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7BD22" w14:textId="13375E87" w:rsidR="007B0774" w:rsidRDefault="007B0774" w:rsidP="00A2408B">
      <w:pPr>
        <w:pStyle w:val="Heading1"/>
      </w:pPr>
      <w:r>
        <w:rPr>
          <w:noProof/>
        </w:rPr>
        <w:drawing>
          <wp:inline distT="0" distB="0" distL="0" distR="0" wp14:anchorId="4E320BD4" wp14:editId="085B3F54">
            <wp:extent cx="2571750" cy="1062797"/>
            <wp:effectExtent l="0" t="0" r="0" b="4445"/>
            <wp:docPr id="7697676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67686"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1105" cy="1074928"/>
                    </a:xfrm>
                    <a:prstGeom prst="rect">
                      <a:avLst/>
                    </a:prstGeom>
                    <a:noFill/>
                  </pic:spPr>
                </pic:pic>
              </a:graphicData>
            </a:graphic>
          </wp:inline>
        </w:drawing>
      </w:r>
    </w:p>
    <w:p w14:paraId="7D172B21" w14:textId="77777777" w:rsidR="007B0774" w:rsidRDefault="007B0774" w:rsidP="007B0774"/>
    <w:p w14:paraId="50C96457" w14:textId="77777777" w:rsidR="007B0774" w:rsidRPr="007B0774" w:rsidRDefault="007B0774" w:rsidP="007B0774"/>
    <w:p w14:paraId="4400D2B1" w14:textId="47901234" w:rsidR="008655AA" w:rsidRPr="00A2408B" w:rsidRDefault="008655AA" w:rsidP="00A2408B">
      <w:pPr>
        <w:pStyle w:val="Heading1"/>
      </w:pPr>
      <w:r w:rsidRPr="00A2408B">
        <w:t>Ashfield District Local Plan Examination</w:t>
      </w:r>
    </w:p>
    <w:p w14:paraId="15C3907B" w14:textId="6E9FA4BE" w:rsidR="00733ABD" w:rsidRPr="00A2408B" w:rsidRDefault="008655AA" w:rsidP="00A2408B">
      <w:pPr>
        <w:pStyle w:val="Heading1"/>
      </w:pPr>
      <w:r w:rsidRPr="00A2408B">
        <w:t>Matters, Issues and Questions identified by the Inspectors</w:t>
      </w:r>
      <w:r w:rsidRPr="00A2408B">
        <w:cr/>
      </w:r>
    </w:p>
    <w:p w14:paraId="3572868F" w14:textId="77777777" w:rsidR="008655AA" w:rsidRPr="00A2408B" w:rsidRDefault="008655AA" w:rsidP="00F44426"/>
    <w:p w14:paraId="0BCB4F01" w14:textId="77777777" w:rsidR="008655AA" w:rsidRPr="00A2408B" w:rsidRDefault="008655AA" w:rsidP="00F44426"/>
    <w:p w14:paraId="0FBA1F2D" w14:textId="4449A84E" w:rsidR="008655AA" w:rsidRPr="00A2408B" w:rsidRDefault="008655AA" w:rsidP="00A2408B">
      <w:pPr>
        <w:pStyle w:val="Heading1"/>
      </w:pPr>
      <w:r w:rsidRPr="00A2408B">
        <w:t xml:space="preserve">Matter </w:t>
      </w:r>
      <w:r w:rsidR="00F44426">
        <w:t>3</w:t>
      </w:r>
      <w:r w:rsidRPr="00A2408B">
        <w:t>:</w:t>
      </w:r>
    </w:p>
    <w:p w14:paraId="1D349B7B" w14:textId="61FCDDDE" w:rsidR="008655AA" w:rsidRDefault="00F44426" w:rsidP="00F44426">
      <w:pPr>
        <w:pStyle w:val="Heading1"/>
      </w:pPr>
      <w:r w:rsidRPr="00F44426">
        <w:t>The Spatial Strategy and the distribution of development</w:t>
      </w:r>
    </w:p>
    <w:p w14:paraId="52878C39" w14:textId="77777777" w:rsidR="008655AA" w:rsidRDefault="008655AA" w:rsidP="008655AA"/>
    <w:p w14:paraId="6FBC350B" w14:textId="41640A4F" w:rsidR="00DD064F" w:rsidRPr="00A424A2" w:rsidRDefault="00A424A2" w:rsidP="00A424A2">
      <w:pPr>
        <w:pStyle w:val="Heading1"/>
      </w:pPr>
      <w:r w:rsidRPr="00A424A2">
        <w:t>Version 2</w:t>
      </w:r>
    </w:p>
    <w:p w14:paraId="541CAAD8" w14:textId="77777777" w:rsidR="00DD064F" w:rsidRDefault="00DD064F" w:rsidP="008655AA"/>
    <w:p w14:paraId="3B88D27C" w14:textId="77777777" w:rsidR="00DD064F" w:rsidRDefault="00DD064F" w:rsidP="008655AA"/>
    <w:p w14:paraId="0C28D363" w14:textId="77777777" w:rsidR="00DD064F" w:rsidRDefault="00DD064F" w:rsidP="008655AA"/>
    <w:p w14:paraId="26DBF5A4" w14:textId="77777777" w:rsidR="00DD064F" w:rsidRDefault="00DD064F" w:rsidP="008655AA"/>
    <w:p w14:paraId="2B984865" w14:textId="77777777" w:rsidR="00436BD0" w:rsidRDefault="00436BD0" w:rsidP="008655AA"/>
    <w:p w14:paraId="243A32C1" w14:textId="77777777" w:rsidR="007B0774" w:rsidRDefault="007B0774" w:rsidP="008655AA"/>
    <w:p w14:paraId="6020B8E0" w14:textId="77777777" w:rsidR="007B0774" w:rsidRDefault="007B0774" w:rsidP="008655AA"/>
    <w:p w14:paraId="7BF360FF" w14:textId="77777777" w:rsidR="00436BD0" w:rsidRDefault="00436BD0" w:rsidP="008655AA"/>
    <w:p w14:paraId="321F8E1A" w14:textId="77777777" w:rsidR="00DD064F" w:rsidRDefault="00DD064F" w:rsidP="008655AA"/>
    <w:p w14:paraId="3D30D867" w14:textId="11B83BF8" w:rsidR="00DD064F" w:rsidRPr="00DD064F" w:rsidRDefault="00DD064F" w:rsidP="00DD064F">
      <w:pPr>
        <w:jc w:val="center"/>
        <w:rPr>
          <w:b/>
          <w:bCs/>
          <w:sz w:val="36"/>
          <w:szCs w:val="36"/>
        </w:rPr>
        <w:sectPr w:rsidR="00DD064F" w:rsidRPr="00DD064F" w:rsidSect="00A2408B">
          <w:pgSz w:w="11906" w:h="16838"/>
          <w:pgMar w:top="1440" w:right="2880" w:bottom="1440" w:left="2880"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r w:rsidRPr="00DD064F">
        <w:rPr>
          <w:b/>
          <w:bCs/>
          <w:sz w:val="36"/>
          <w:szCs w:val="36"/>
        </w:rPr>
        <w:t>October 202</w:t>
      </w:r>
      <w:r w:rsidR="00A424A2">
        <w:rPr>
          <w:b/>
          <w:bCs/>
          <w:sz w:val="36"/>
          <w:szCs w:val="36"/>
        </w:rPr>
        <w:t>5</w:t>
      </w:r>
    </w:p>
    <w:p w14:paraId="1CDBC453" w14:textId="77777777" w:rsidR="00A10DF8" w:rsidRPr="00B3397C" w:rsidRDefault="00A10DF8" w:rsidP="00A10DF8">
      <w:pPr>
        <w:spacing w:after="120"/>
        <w:rPr>
          <w:b/>
          <w:bCs/>
          <w:sz w:val="28"/>
          <w:szCs w:val="28"/>
        </w:rPr>
      </w:pPr>
      <w:r w:rsidRPr="00B3397C">
        <w:rPr>
          <w:b/>
          <w:bCs/>
          <w:sz w:val="28"/>
          <w:szCs w:val="28"/>
        </w:rPr>
        <w:lastRenderedPageBreak/>
        <w:t xml:space="preserve">Ashfield District Council’s response to Inspectors’ Document INS03 </w:t>
      </w:r>
    </w:p>
    <w:p w14:paraId="36076C4F" w14:textId="77777777" w:rsidR="00A10DF8" w:rsidRDefault="00A10DF8" w:rsidP="00A10DF8">
      <w:pPr>
        <w:spacing w:after="120"/>
      </w:pPr>
    </w:p>
    <w:p w14:paraId="55D2E977" w14:textId="77777777" w:rsidR="00A10DF8" w:rsidRDefault="00A10DF8" w:rsidP="00A10DF8">
      <w:pPr>
        <w:spacing w:after="120"/>
      </w:pPr>
      <w:r>
        <w:t xml:space="preserve">This document is Ashfield District Council’s response to the Matter, Issues and Questions (MIQs) identified for examination by Inspectors Mr. Philip Mileham and Mr Graham Wyatt, of the Planning Inspectorate, as published on the </w:t>
      </w:r>
      <w:proofErr w:type="gramStart"/>
      <w:r>
        <w:t>30th</w:t>
      </w:r>
      <w:proofErr w:type="gramEnd"/>
      <w:r>
        <w:t xml:space="preserve"> September 2024.  This is one of twelve separate papers produced to address the specific matters and issues identified on the front page.</w:t>
      </w:r>
    </w:p>
    <w:p w14:paraId="1753611C" w14:textId="77777777" w:rsidR="00A10DF8" w:rsidRDefault="00A10DF8" w:rsidP="00A10DF8">
      <w:pPr>
        <w:spacing w:after="120"/>
        <w:jc w:val="left"/>
      </w:pPr>
    </w:p>
    <w:p w14:paraId="74C131B5" w14:textId="77777777" w:rsidR="00A10DF8" w:rsidRDefault="00A10DF8" w:rsidP="00A10DF8">
      <w:pPr>
        <w:spacing w:after="120"/>
        <w:jc w:val="left"/>
      </w:pPr>
      <w:r>
        <w:t xml:space="preserve">Each response paper includes a number of references to specific evidence which has been relied upon in answering the MIQs. These reference numbers (shown as </w:t>
      </w:r>
      <w:r w:rsidRPr="0007232D">
        <w:rPr>
          <w:b/>
          <w:bCs/>
        </w:rPr>
        <w:t>[XXXX]</w:t>
      </w:r>
      <w:r>
        <w:t xml:space="preserve">) relate directly to the Examination Library website, where all evidence is published: </w:t>
      </w:r>
      <w:hyperlink r:id="rId9" w:history="1">
        <w:r w:rsidRPr="00AF25C4">
          <w:rPr>
            <w:rStyle w:val="Hyperlink"/>
          </w:rPr>
          <w:t>https://www.ashfield.gov.uk/local-plan-examination/examination-library/</w:t>
        </w:r>
      </w:hyperlink>
    </w:p>
    <w:p w14:paraId="329CD1FC" w14:textId="77777777" w:rsidR="00A10DF8" w:rsidRDefault="00A10DF8" w:rsidP="00A10DF8"/>
    <w:p w14:paraId="4530734F" w14:textId="77777777" w:rsidR="00A10DF8" w:rsidRDefault="00A10DF8" w:rsidP="00A10DF8">
      <w:r>
        <w:t xml:space="preserve">The Inspectors’ questions are shown below in </w:t>
      </w:r>
      <w:r w:rsidRPr="00222B10">
        <w:rPr>
          <w:b/>
          <w:bCs/>
          <w:i/>
          <w:iCs/>
        </w:rPr>
        <w:t>bold italics</w:t>
      </w:r>
      <w:r>
        <w:t xml:space="preserve">. </w:t>
      </w:r>
    </w:p>
    <w:p w14:paraId="6EC47177" w14:textId="77777777" w:rsidR="00A10DF8" w:rsidRDefault="00A10DF8" w:rsidP="00A10DF8">
      <w:r>
        <w:t>The Council’s responses are shown in normal typeface below the Inspector’s questions.</w:t>
      </w:r>
    </w:p>
    <w:tbl>
      <w:tblPr>
        <w:tblStyle w:val="TableGrid"/>
        <w:tblW w:w="0" w:type="auto"/>
        <w:tblLook w:val="04A0" w:firstRow="1" w:lastRow="0" w:firstColumn="1" w:lastColumn="0" w:noHBand="0" w:noVBand="1"/>
      </w:tblPr>
      <w:tblGrid>
        <w:gridCol w:w="9742"/>
      </w:tblGrid>
      <w:tr w:rsidR="00A10DF8" w14:paraId="1674BCD5" w14:textId="77777777" w:rsidTr="0065202C">
        <w:trPr>
          <w:trHeight w:val="475"/>
        </w:trPr>
        <w:tc>
          <w:tcPr>
            <w:tcW w:w="9742" w:type="dxa"/>
            <w:shd w:val="clear" w:color="auto" w:fill="D9D9D9" w:themeFill="background1" w:themeFillShade="D9"/>
          </w:tcPr>
          <w:p w14:paraId="0141E549" w14:textId="77777777" w:rsidR="00A10DF8" w:rsidRPr="007F0DDA" w:rsidRDefault="00A10DF8" w:rsidP="0065202C">
            <w:pPr>
              <w:spacing w:after="160"/>
              <w:jc w:val="center"/>
              <w:rPr>
                <w:sz w:val="16"/>
                <w:szCs w:val="16"/>
              </w:rPr>
            </w:pPr>
          </w:p>
          <w:p w14:paraId="5805C928" w14:textId="77777777" w:rsidR="00A10DF8" w:rsidRDefault="00A10DF8" w:rsidP="0065202C">
            <w:pPr>
              <w:spacing w:after="160"/>
              <w:jc w:val="center"/>
            </w:pPr>
            <w:r w:rsidRPr="0059588C">
              <w:t>Proposed Modifications</w:t>
            </w:r>
            <w:r>
              <w:t xml:space="preserve"> arising from the Inspectors’ MIQs are set out in grey tint boxes.</w:t>
            </w:r>
          </w:p>
          <w:p w14:paraId="7102E0BE" w14:textId="77777777" w:rsidR="00A10DF8" w:rsidRPr="007F0DDA" w:rsidRDefault="00A10DF8" w:rsidP="0065202C">
            <w:pPr>
              <w:spacing w:after="160"/>
              <w:jc w:val="center"/>
              <w:rPr>
                <w:sz w:val="16"/>
                <w:szCs w:val="16"/>
              </w:rPr>
            </w:pPr>
          </w:p>
        </w:tc>
      </w:tr>
    </w:tbl>
    <w:p w14:paraId="6DCE3B46" w14:textId="77777777" w:rsidR="00A424A2" w:rsidRDefault="00A424A2" w:rsidP="00A424A2"/>
    <w:p w14:paraId="2A287CDC" w14:textId="77777777" w:rsidR="00DD4FCA" w:rsidRPr="00A424A2" w:rsidRDefault="00DD4FCA" w:rsidP="00A424A2"/>
    <w:p w14:paraId="179BC45F" w14:textId="640F8628" w:rsidR="00DD4FCA" w:rsidRPr="00C02F62" w:rsidRDefault="00DD4FCA" w:rsidP="00DD4FCA">
      <w:pPr>
        <w:jc w:val="left"/>
        <w:rPr>
          <w:rFonts w:cs="Arial"/>
          <w:color w:val="A02B93" w:themeColor="accent5"/>
        </w:rPr>
      </w:pPr>
      <w:bookmarkStart w:id="0" w:name="_Hlk212713799"/>
      <w:r w:rsidRPr="00C02F62">
        <w:rPr>
          <w:rFonts w:cs="Arial"/>
          <w:color w:val="A02B93" w:themeColor="accent5"/>
        </w:rPr>
        <w:t>This paper updates the Hearing Statement [HS</w:t>
      </w:r>
      <w:r w:rsidR="00BE7888">
        <w:rPr>
          <w:rFonts w:cs="Arial"/>
          <w:color w:val="A02B93" w:themeColor="accent5"/>
        </w:rPr>
        <w:t>3</w:t>
      </w:r>
      <w:r w:rsidRPr="00C02F62">
        <w:rPr>
          <w:rFonts w:cs="Arial"/>
          <w:color w:val="A02B93" w:themeColor="accent5"/>
        </w:rPr>
        <w:t xml:space="preserve">.1] previously submitted by the Council in respect of Matter </w:t>
      </w:r>
      <w:r w:rsidR="00BE7888">
        <w:rPr>
          <w:rFonts w:cs="Arial"/>
          <w:color w:val="A02B93" w:themeColor="accent5"/>
        </w:rPr>
        <w:t>3</w:t>
      </w:r>
      <w:r w:rsidRPr="00C02F62">
        <w:rPr>
          <w:rFonts w:cs="Arial"/>
          <w:color w:val="A02B93" w:themeColor="accent5"/>
        </w:rPr>
        <w:t xml:space="preserve">. It incorporates the additional questions posed by the inspectors under </w:t>
      </w:r>
      <w:hyperlink r:id="rId10" w:history="1">
        <w:r w:rsidRPr="00C02F62">
          <w:rPr>
            <w:rStyle w:val="Hyperlink"/>
            <w:rFonts w:cs="Arial"/>
            <w:color w:val="A02B93" w:themeColor="accent5"/>
          </w:rPr>
          <w:t>https://www.ashfield.gov.uk/media/ilbp4kww/ins03a-ashfield-local-plan-inspectors-matters-issues-and-questions-addendum-july-2025.pdf</w:t>
        </w:r>
      </w:hyperlink>
      <w:r w:rsidRPr="00C02F62">
        <w:rPr>
          <w:rFonts w:cs="Arial"/>
          <w:color w:val="A02B93" w:themeColor="accent5"/>
        </w:rPr>
        <w:t xml:space="preserve"> and sets out the Council’s response in purple text. </w:t>
      </w:r>
    </w:p>
    <w:p w14:paraId="68CE819A" w14:textId="17A81EB5" w:rsidR="00A424A2" w:rsidRPr="00C02F62" w:rsidRDefault="00DD4FCA" w:rsidP="00DD4FCA">
      <w:pPr>
        <w:rPr>
          <w:color w:val="A02B93" w:themeColor="accent5"/>
        </w:rPr>
      </w:pPr>
      <w:r w:rsidRPr="00C02F62">
        <w:rPr>
          <w:rFonts w:cs="Arial"/>
          <w:color w:val="A02B93" w:themeColor="accent5"/>
        </w:rPr>
        <w:t>Please note that brackets have also been added into the Inspectors’ new MIQ references, e.g.</w:t>
      </w:r>
      <w:r w:rsidR="00C02F62">
        <w:rPr>
          <w:rFonts w:cs="Arial"/>
          <w:color w:val="A02B93" w:themeColor="accent5"/>
        </w:rPr>
        <w:t xml:space="preserve"> 3.1(.2</w:t>
      </w:r>
      <w:r w:rsidRPr="00C02F62">
        <w:rPr>
          <w:rFonts w:cs="Arial"/>
          <w:color w:val="A02B93" w:themeColor="accent5"/>
        </w:rPr>
        <w:t>), in order to differentiate them from the Council’s existing paragraph numbering.</w:t>
      </w:r>
    </w:p>
    <w:p w14:paraId="4DF3CE17" w14:textId="77777777" w:rsidR="00A424A2" w:rsidRPr="00C02F62" w:rsidRDefault="00A424A2" w:rsidP="00A424A2">
      <w:pPr>
        <w:rPr>
          <w:color w:val="A02B93" w:themeColor="accent5"/>
        </w:rPr>
      </w:pPr>
    </w:p>
    <w:bookmarkEnd w:id="0"/>
    <w:p w14:paraId="30B8B6CE" w14:textId="77777777" w:rsidR="00A424A2" w:rsidRPr="00C02F62" w:rsidRDefault="00A424A2">
      <w:pPr>
        <w:rPr>
          <w:rFonts w:eastAsiaTheme="majorEastAsia" w:cstheme="majorBidi"/>
          <w:b/>
          <w:bCs/>
          <w:color w:val="77206D" w:themeColor="accent5" w:themeShade="BF"/>
          <w:sz w:val="28"/>
          <w:szCs w:val="28"/>
        </w:rPr>
        <w:sectPr w:rsidR="00A424A2" w:rsidRPr="00C02F62" w:rsidSect="00BD4241">
          <w:pgSz w:w="11906" w:h="16838"/>
          <w:pgMar w:top="1440" w:right="1077" w:bottom="1440" w:left="1077" w:header="709" w:footer="709" w:gutter="0"/>
          <w:cols w:space="708"/>
          <w:docGrid w:linePitch="360"/>
        </w:sectPr>
      </w:pPr>
    </w:p>
    <w:p w14:paraId="60147493" w14:textId="2ED5D70A" w:rsidR="003A1825" w:rsidRDefault="003A1825" w:rsidP="00286736">
      <w:pPr>
        <w:pStyle w:val="Heading2"/>
        <w:jc w:val="left"/>
      </w:pPr>
      <w:r>
        <w:lastRenderedPageBreak/>
        <w:t>Issue: Whether the Spatial Strategy and the distribution of development are justified, and can be accommodated without releasing land from the Green Belt? If not, do exceptional circumstances exist that would justify altering the Green Belt boundary?</w:t>
      </w:r>
    </w:p>
    <w:p w14:paraId="3B53B42C" w14:textId="77777777" w:rsidR="003A1825" w:rsidRDefault="003A1825" w:rsidP="003A1825"/>
    <w:p w14:paraId="2CD5BCC2" w14:textId="2AFC3802" w:rsidR="003A214C" w:rsidRDefault="003A1825" w:rsidP="003A214C">
      <w:pPr>
        <w:pStyle w:val="Heading2"/>
        <w:jc w:val="left"/>
      </w:pPr>
      <w:r>
        <w:t xml:space="preserve">Relevant </w:t>
      </w:r>
      <w:r w:rsidR="003A214C">
        <w:t>P</w:t>
      </w:r>
      <w:r>
        <w:t>olicies</w:t>
      </w:r>
      <w:r w:rsidR="003A214C">
        <w:t>:</w:t>
      </w:r>
    </w:p>
    <w:p w14:paraId="0C023028" w14:textId="57D912DB" w:rsidR="003A214C" w:rsidRPr="003A214C" w:rsidRDefault="003A1825" w:rsidP="003A214C">
      <w:pPr>
        <w:pStyle w:val="Heading2"/>
        <w:jc w:val="left"/>
        <w:rPr>
          <w:sz w:val="24"/>
          <w:szCs w:val="24"/>
        </w:rPr>
      </w:pPr>
      <w:r w:rsidRPr="003A214C">
        <w:rPr>
          <w:sz w:val="24"/>
          <w:szCs w:val="24"/>
        </w:rPr>
        <w:t>S1</w:t>
      </w:r>
      <w:r w:rsidR="003A214C" w:rsidRPr="003A214C">
        <w:rPr>
          <w:sz w:val="24"/>
          <w:szCs w:val="24"/>
        </w:rPr>
        <w:t xml:space="preserve"> </w:t>
      </w:r>
      <w:r w:rsidR="00F71B85">
        <w:rPr>
          <w:sz w:val="24"/>
          <w:szCs w:val="24"/>
        </w:rPr>
        <w:t>-</w:t>
      </w:r>
      <w:r w:rsidR="003A214C" w:rsidRPr="003A214C">
        <w:rPr>
          <w:sz w:val="24"/>
          <w:szCs w:val="24"/>
        </w:rPr>
        <w:t xml:space="preserve"> </w:t>
      </w:r>
      <w:r w:rsidR="00F71B85">
        <w:rPr>
          <w:sz w:val="24"/>
          <w:szCs w:val="24"/>
        </w:rPr>
        <w:t>Spatial Strategy to Deliver the Vision</w:t>
      </w:r>
    </w:p>
    <w:p w14:paraId="100FBB86" w14:textId="1D2A464E" w:rsidR="003A214C" w:rsidRPr="003A214C" w:rsidRDefault="003A1825" w:rsidP="003A214C">
      <w:pPr>
        <w:pStyle w:val="Heading2"/>
        <w:jc w:val="left"/>
        <w:rPr>
          <w:sz w:val="24"/>
          <w:szCs w:val="24"/>
        </w:rPr>
      </w:pPr>
      <w:r w:rsidRPr="003A214C">
        <w:rPr>
          <w:sz w:val="24"/>
          <w:szCs w:val="24"/>
        </w:rPr>
        <w:t>S4</w:t>
      </w:r>
      <w:r w:rsidR="003A214C" w:rsidRPr="003A214C">
        <w:rPr>
          <w:sz w:val="24"/>
          <w:szCs w:val="24"/>
        </w:rPr>
        <w:t xml:space="preserve"> </w:t>
      </w:r>
      <w:r w:rsidR="00F71B85">
        <w:rPr>
          <w:sz w:val="24"/>
          <w:szCs w:val="24"/>
        </w:rPr>
        <w:t>- Green Belt</w:t>
      </w:r>
    </w:p>
    <w:p w14:paraId="6F25B506" w14:textId="3C4A95B5" w:rsidR="003A214C" w:rsidRPr="003A214C" w:rsidRDefault="003A1825" w:rsidP="003A214C">
      <w:pPr>
        <w:pStyle w:val="Heading2"/>
        <w:jc w:val="left"/>
        <w:rPr>
          <w:sz w:val="24"/>
          <w:szCs w:val="24"/>
        </w:rPr>
      </w:pPr>
      <w:r w:rsidRPr="003A214C">
        <w:rPr>
          <w:sz w:val="24"/>
          <w:szCs w:val="24"/>
        </w:rPr>
        <w:t>S7</w:t>
      </w:r>
      <w:r w:rsidR="003A214C" w:rsidRPr="003A214C">
        <w:rPr>
          <w:sz w:val="24"/>
          <w:szCs w:val="24"/>
        </w:rPr>
        <w:t xml:space="preserve"> </w:t>
      </w:r>
      <w:r w:rsidR="00F71B85">
        <w:rPr>
          <w:sz w:val="24"/>
          <w:szCs w:val="24"/>
        </w:rPr>
        <w:t>- Meeting Future Housing Provision</w:t>
      </w:r>
    </w:p>
    <w:p w14:paraId="0BC90402" w14:textId="76C9C769" w:rsidR="003A1825" w:rsidRPr="003A214C" w:rsidRDefault="003A1825" w:rsidP="003A214C">
      <w:pPr>
        <w:pStyle w:val="Heading2"/>
        <w:jc w:val="left"/>
        <w:rPr>
          <w:sz w:val="24"/>
          <w:szCs w:val="24"/>
        </w:rPr>
      </w:pPr>
      <w:r w:rsidRPr="003A214C">
        <w:rPr>
          <w:sz w:val="24"/>
          <w:szCs w:val="24"/>
        </w:rPr>
        <w:t>EV1</w:t>
      </w:r>
      <w:r w:rsidR="003A214C" w:rsidRPr="003A214C">
        <w:rPr>
          <w:sz w:val="24"/>
          <w:szCs w:val="24"/>
        </w:rPr>
        <w:t xml:space="preserve"> - Green Belt</w:t>
      </w:r>
    </w:p>
    <w:p w14:paraId="5DD1DE41" w14:textId="77777777" w:rsidR="003A1825" w:rsidRDefault="003A1825" w:rsidP="003A214C">
      <w:pPr>
        <w:jc w:val="left"/>
      </w:pPr>
    </w:p>
    <w:p w14:paraId="0B95CED5" w14:textId="52C6DFFE" w:rsidR="003A1825" w:rsidRPr="003A214C" w:rsidRDefault="003A1825" w:rsidP="003A214C">
      <w:pPr>
        <w:jc w:val="left"/>
        <w:rPr>
          <w:b/>
          <w:bCs/>
          <w:i/>
          <w:iCs/>
        </w:rPr>
      </w:pPr>
      <w:r w:rsidRPr="003A214C">
        <w:rPr>
          <w:b/>
          <w:bCs/>
          <w:i/>
          <w:iCs/>
        </w:rPr>
        <w:t xml:space="preserve">3.1 Is the spatial distribution of development across the </w:t>
      </w:r>
      <w:r w:rsidR="00402164">
        <w:rPr>
          <w:b/>
          <w:bCs/>
          <w:i/>
          <w:iCs/>
        </w:rPr>
        <w:t>district</w:t>
      </w:r>
      <w:r w:rsidRPr="003A214C">
        <w:rPr>
          <w:b/>
          <w:bCs/>
          <w:i/>
          <w:iCs/>
        </w:rPr>
        <w:t xml:space="preserve"> justified and what factors</w:t>
      </w:r>
      <w:r w:rsidR="003A214C">
        <w:rPr>
          <w:b/>
          <w:bCs/>
          <w:i/>
          <w:iCs/>
        </w:rPr>
        <w:t xml:space="preserve"> </w:t>
      </w:r>
      <w:r w:rsidRPr="003A214C">
        <w:rPr>
          <w:b/>
          <w:bCs/>
          <w:i/>
          <w:iCs/>
        </w:rPr>
        <w:t>influenced the Spatial Strategy, for example physical and environmental constraints</w:t>
      </w:r>
      <w:r w:rsidR="003A214C">
        <w:rPr>
          <w:b/>
          <w:bCs/>
          <w:i/>
          <w:iCs/>
        </w:rPr>
        <w:t xml:space="preserve"> </w:t>
      </w:r>
      <w:r w:rsidRPr="003A214C">
        <w:rPr>
          <w:b/>
          <w:bCs/>
          <w:i/>
          <w:iCs/>
        </w:rPr>
        <w:t>and the capacity to accommodate development?</w:t>
      </w:r>
    </w:p>
    <w:p w14:paraId="3280804A" w14:textId="77777777" w:rsidR="003A214C" w:rsidRPr="00156B97" w:rsidRDefault="003A214C" w:rsidP="003A214C">
      <w:pPr>
        <w:jc w:val="left"/>
        <w:rPr>
          <w:u w:val="single"/>
        </w:rPr>
      </w:pPr>
      <w:r w:rsidRPr="00156B97">
        <w:rPr>
          <w:u w:val="single"/>
        </w:rPr>
        <w:t>Council’s response</w:t>
      </w:r>
    </w:p>
    <w:p w14:paraId="72E1B6C1" w14:textId="4B45CFEF" w:rsidR="00402164" w:rsidRPr="00402164" w:rsidRDefault="0057218A" w:rsidP="006D45D0">
      <w:pPr>
        <w:pStyle w:val="ListParagraph"/>
        <w:numPr>
          <w:ilvl w:val="1"/>
          <w:numId w:val="0"/>
        </w:numPr>
        <w:spacing w:line="276" w:lineRule="auto"/>
        <w:ind w:left="709" w:hanging="709"/>
        <w:jc w:val="left"/>
        <w:rPr>
          <w:szCs w:val="24"/>
        </w:rPr>
      </w:pPr>
      <w:r>
        <w:t>3.1.1</w:t>
      </w:r>
      <w:r>
        <w:tab/>
      </w:r>
      <w:r w:rsidR="00DA427F">
        <w:t>Yes</w:t>
      </w:r>
      <w:r>
        <w:t xml:space="preserve"> - T</w:t>
      </w:r>
      <w:r w:rsidR="00DA427F">
        <w:t>he spatial distribution of development across the district is justified.</w:t>
      </w:r>
      <w:r w:rsidR="00402164">
        <w:t xml:space="preserve"> A Housing Position Statement</w:t>
      </w:r>
      <w:r w:rsidR="00402164" w:rsidRPr="00402164">
        <w:rPr>
          <w:szCs w:val="24"/>
        </w:rPr>
        <w:t xml:space="preserve"> has been prepared to provide up to date evidence in respect of housing supply in support of the submitted Ashfield Local Plan 2023-2040 [SD.01].</w:t>
      </w:r>
    </w:p>
    <w:p w14:paraId="1776191C" w14:textId="54E465BD" w:rsidR="00B10B53" w:rsidRPr="00402164" w:rsidRDefault="0057218A" w:rsidP="0057218A">
      <w:pPr>
        <w:spacing w:after="0" w:line="240" w:lineRule="auto"/>
        <w:ind w:left="720" w:hanging="720"/>
        <w:jc w:val="left"/>
        <w:rPr>
          <w:rFonts w:eastAsia="Calibri" w:cs="Arial"/>
          <w:szCs w:val="24"/>
        </w:rPr>
      </w:pPr>
      <w:r>
        <w:t>3.1.2</w:t>
      </w:r>
      <w:r>
        <w:tab/>
      </w:r>
      <w:r w:rsidR="00310F01">
        <w:t xml:space="preserve">Background Paper 5: Analysis of </w:t>
      </w:r>
      <w:r w:rsidR="00B10B53">
        <w:t>C</w:t>
      </w:r>
      <w:r w:rsidR="00310F01">
        <w:t xml:space="preserve">onstraints for the District of Ashfield </w:t>
      </w:r>
      <w:r w:rsidR="00310F01" w:rsidRPr="00402164">
        <w:t xml:space="preserve">[BP.05] </w:t>
      </w:r>
      <w:r w:rsidR="00B10B53" w:rsidRPr="00402164">
        <w:t xml:space="preserve">identifies that the district </w:t>
      </w:r>
      <w:r w:rsidR="00B10B53" w:rsidRPr="00402164">
        <w:rPr>
          <w:rFonts w:eastAsia="Calibri" w:cs="Arial"/>
          <w:szCs w:val="24"/>
        </w:rPr>
        <w:t>possesses several key constraints which limit the quantum of development that can be reasonably achieved across the District. Many of these constraints are located on the edge of, or outside of the Main Urban Areas and Named Settlements of Ashfield and are comprised of large areas of designated Green Belt, as well as undesignated countryside.</w:t>
      </w:r>
    </w:p>
    <w:p w14:paraId="07659DF3" w14:textId="77777777" w:rsidR="00B10B53" w:rsidRPr="00402164" w:rsidRDefault="00B10B53" w:rsidP="00B10B53">
      <w:pPr>
        <w:spacing w:after="0" w:line="240" w:lineRule="auto"/>
        <w:jc w:val="left"/>
        <w:rPr>
          <w:rFonts w:eastAsia="Calibri" w:cs="Arial"/>
          <w:szCs w:val="24"/>
        </w:rPr>
      </w:pPr>
    </w:p>
    <w:p w14:paraId="454784BF" w14:textId="470580E6" w:rsidR="00B10B53" w:rsidRDefault="0057218A" w:rsidP="0057218A">
      <w:pPr>
        <w:spacing w:after="0" w:line="240" w:lineRule="auto"/>
        <w:ind w:left="720" w:hanging="720"/>
        <w:jc w:val="left"/>
        <w:rPr>
          <w:rFonts w:eastAsia="Calibri" w:cs="Arial"/>
          <w:szCs w:val="24"/>
        </w:rPr>
      </w:pPr>
      <w:r w:rsidRPr="00402164">
        <w:rPr>
          <w:rFonts w:eastAsia="Calibri" w:cs="Arial"/>
          <w:szCs w:val="24"/>
        </w:rPr>
        <w:t>3.1.3</w:t>
      </w:r>
      <w:r w:rsidRPr="00402164">
        <w:rPr>
          <w:rFonts w:eastAsia="Calibri" w:cs="Arial"/>
          <w:szCs w:val="24"/>
        </w:rPr>
        <w:tab/>
      </w:r>
      <w:r w:rsidR="00B10B53" w:rsidRPr="00402164">
        <w:rPr>
          <w:rFonts w:eastAsia="Calibri" w:cs="Arial"/>
          <w:szCs w:val="24"/>
        </w:rPr>
        <w:t>Approximately 41% of the total District area is designated as Green Belt, which due to national policy requirements, should only be altered in exceptional circumstances. The circumstances justifying the release of Green Belt land are discussed in Background Paper 1: Spatial Approach and Site Selection</w:t>
      </w:r>
      <w:r w:rsidR="007037B0" w:rsidRPr="00402164">
        <w:rPr>
          <w:rFonts w:eastAsia="Calibri" w:cs="Arial"/>
          <w:szCs w:val="24"/>
        </w:rPr>
        <w:t xml:space="preserve"> [BP.01]</w:t>
      </w:r>
      <w:r w:rsidR="00B10B53" w:rsidRPr="00402164">
        <w:rPr>
          <w:rFonts w:eastAsia="Calibri" w:cs="Arial"/>
          <w:szCs w:val="24"/>
        </w:rPr>
        <w:t>. Areas</w:t>
      </w:r>
      <w:r w:rsidR="00B10B53">
        <w:rPr>
          <w:rFonts w:eastAsia="Calibri" w:cs="Arial"/>
          <w:szCs w:val="24"/>
        </w:rPr>
        <w:t xml:space="preserve"> of countryside not designated as Green Belt and situated outside of the main urban areas and named settlements account for approximately 26% of the total District area, however not all of this area is likely to be suitable for development, due to other constraints, such as the ones listed below.</w:t>
      </w:r>
    </w:p>
    <w:p w14:paraId="129E8558" w14:textId="77777777" w:rsidR="00B10B53" w:rsidRDefault="00B10B53" w:rsidP="00B10B53">
      <w:pPr>
        <w:spacing w:after="0" w:line="240" w:lineRule="auto"/>
        <w:jc w:val="left"/>
        <w:rPr>
          <w:rFonts w:eastAsia="Calibri" w:cs="Arial"/>
          <w:szCs w:val="24"/>
        </w:rPr>
      </w:pPr>
    </w:p>
    <w:p w14:paraId="1148F613" w14:textId="6839CF63" w:rsidR="00B10B53" w:rsidRDefault="0057218A" w:rsidP="00F3385F">
      <w:pPr>
        <w:spacing w:after="0" w:line="240" w:lineRule="auto"/>
        <w:ind w:left="709" w:hanging="709"/>
        <w:jc w:val="left"/>
        <w:rPr>
          <w:rFonts w:eastAsia="Calibri" w:cs="Arial"/>
          <w:szCs w:val="24"/>
        </w:rPr>
      </w:pPr>
      <w:r>
        <w:rPr>
          <w:rFonts w:eastAsia="Calibri" w:cs="Arial"/>
          <w:szCs w:val="24"/>
        </w:rPr>
        <w:t>3.1.4</w:t>
      </w:r>
      <w:r>
        <w:rPr>
          <w:rFonts w:eastAsia="Calibri" w:cs="Arial"/>
          <w:szCs w:val="24"/>
        </w:rPr>
        <w:tab/>
      </w:r>
      <w:r w:rsidR="00B10B53">
        <w:rPr>
          <w:rFonts w:eastAsia="Calibri" w:cs="Arial"/>
          <w:szCs w:val="24"/>
        </w:rPr>
        <w:t>Separate from Green Belt (due to its nature as a policy-based constraint), there are other land-based designations which have a significant impact on the spatial distribution of new development. This includes constraints which heavily restrict the possible use of the land in question and therefore can be argued to rule out larger strategic-scale development as a matter of principle. This includes the following designations relevant to Ashfield:</w:t>
      </w:r>
    </w:p>
    <w:p w14:paraId="30E0FCEB" w14:textId="77777777" w:rsidR="00B10B53" w:rsidRDefault="00B10B53" w:rsidP="00F3385F">
      <w:pPr>
        <w:pStyle w:val="ListParagraph"/>
        <w:spacing w:after="200" w:line="276" w:lineRule="auto"/>
        <w:ind w:left="709" w:hanging="709"/>
        <w:jc w:val="left"/>
        <w:rPr>
          <w:rFonts w:eastAsia="Calibri" w:cs="Arial"/>
          <w:szCs w:val="24"/>
        </w:rPr>
      </w:pPr>
    </w:p>
    <w:p w14:paraId="3B2ADD7C" w14:textId="666E4F31" w:rsidR="00B10B53" w:rsidRDefault="00B10B53" w:rsidP="00F3385F">
      <w:pPr>
        <w:pStyle w:val="ListParagraph"/>
        <w:numPr>
          <w:ilvl w:val="0"/>
          <w:numId w:val="6"/>
        </w:numPr>
        <w:spacing w:after="200" w:line="276" w:lineRule="auto"/>
        <w:ind w:left="1276" w:hanging="425"/>
        <w:jc w:val="left"/>
        <w:rPr>
          <w:rFonts w:eastAsia="Calibri" w:cs="Arial"/>
          <w:szCs w:val="24"/>
        </w:rPr>
      </w:pPr>
      <w:r>
        <w:rPr>
          <w:rFonts w:eastAsia="Calibri" w:cs="Arial"/>
          <w:szCs w:val="24"/>
        </w:rPr>
        <w:t>Land designated as a SSSI</w:t>
      </w:r>
    </w:p>
    <w:p w14:paraId="767FB376" w14:textId="77777777" w:rsidR="00B10B53" w:rsidRDefault="00B10B53" w:rsidP="00F3385F">
      <w:pPr>
        <w:pStyle w:val="ListParagraph"/>
        <w:numPr>
          <w:ilvl w:val="0"/>
          <w:numId w:val="6"/>
        </w:numPr>
        <w:spacing w:after="200" w:line="276" w:lineRule="auto"/>
        <w:ind w:left="1276" w:hanging="425"/>
        <w:jc w:val="left"/>
        <w:rPr>
          <w:rFonts w:eastAsia="Calibri" w:cs="Arial"/>
          <w:szCs w:val="24"/>
        </w:rPr>
      </w:pPr>
      <w:r>
        <w:rPr>
          <w:rFonts w:eastAsia="Calibri" w:cs="Arial"/>
          <w:szCs w:val="24"/>
        </w:rPr>
        <w:t>Land containing Ancient Woodlands</w:t>
      </w:r>
    </w:p>
    <w:p w14:paraId="1C14B8C5" w14:textId="77777777" w:rsidR="00B10B53" w:rsidRDefault="00B10B53" w:rsidP="0057218A">
      <w:pPr>
        <w:pStyle w:val="ListParagraph"/>
        <w:numPr>
          <w:ilvl w:val="0"/>
          <w:numId w:val="6"/>
        </w:numPr>
        <w:spacing w:after="200" w:line="276" w:lineRule="auto"/>
        <w:ind w:left="993" w:hanging="284"/>
        <w:jc w:val="left"/>
        <w:rPr>
          <w:rFonts w:eastAsia="Calibri" w:cs="Arial"/>
          <w:szCs w:val="24"/>
        </w:rPr>
      </w:pPr>
      <w:r>
        <w:rPr>
          <w:rFonts w:eastAsia="Calibri" w:cs="Arial"/>
          <w:szCs w:val="24"/>
        </w:rPr>
        <w:lastRenderedPageBreak/>
        <w:t>Land designated as a possible potential Special Protection Area</w:t>
      </w:r>
    </w:p>
    <w:p w14:paraId="62011DA1" w14:textId="77777777" w:rsidR="00B10B53" w:rsidRDefault="00B10B53" w:rsidP="0057218A">
      <w:pPr>
        <w:pStyle w:val="ListParagraph"/>
        <w:numPr>
          <w:ilvl w:val="0"/>
          <w:numId w:val="6"/>
        </w:numPr>
        <w:spacing w:after="200" w:line="276" w:lineRule="auto"/>
        <w:ind w:left="993" w:hanging="284"/>
        <w:jc w:val="left"/>
        <w:rPr>
          <w:rFonts w:eastAsia="Calibri" w:cs="Arial"/>
          <w:szCs w:val="24"/>
        </w:rPr>
      </w:pPr>
      <w:r>
        <w:rPr>
          <w:rFonts w:eastAsia="Calibri" w:cs="Arial"/>
          <w:szCs w:val="24"/>
        </w:rPr>
        <w:t>Land designated as a Local Nature Reserve</w:t>
      </w:r>
    </w:p>
    <w:p w14:paraId="5FDA8EF1" w14:textId="77777777" w:rsidR="00B10B53" w:rsidRDefault="00B10B53" w:rsidP="0057218A">
      <w:pPr>
        <w:pStyle w:val="ListParagraph"/>
        <w:numPr>
          <w:ilvl w:val="0"/>
          <w:numId w:val="6"/>
        </w:numPr>
        <w:spacing w:after="200" w:line="276" w:lineRule="auto"/>
        <w:ind w:left="993" w:hanging="284"/>
        <w:jc w:val="left"/>
        <w:rPr>
          <w:rFonts w:eastAsia="Calibri" w:cs="Arial"/>
          <w:szCs w:val="24"/>
        </w:rPr>
      </w:pPr>
      <w:r>
        <w:rPr>
          <w:rFonts w:eastAsia="Calibri" w:cs="Arial"/>
          <w:szCs w:val="24"/>
        </w:rPr>
        <w:t>Land that is within the Functional Flood Plain (Flood Zone 3b)</w:t>
      </w:r>
    </w:p>
    <w:p w14:paraId="5EAA8B24" w14:textId="77777777" w:rsidR="00B10B53" w:rsidRDefault="00B10B53" w:rsidP="0057218A">
      <w:pPr>
        <w:pStyle w:val="ListParagraph"/>
        <w:numPr>
          <w:ilvl w:val="0"/>
          <w:numId w:val="6"/>
        </w:numPr>
        <w:spacing w:after="200" w:line="276" w:lineRule="auto"/>
        <w:ind w:left="993" w:hanging="284"/>
        <w:jc w:val="left"/>
        <w:rPr>
          <w:rFonts w:eastAsia="Calibri" w:cs="Arial"/>
          <w:szCs w:val="24"/>
        </w:rPr>
      </w:pPr>
      <w:r>
        <w:rPr>
          <w:rFonts w:eastAsia="Calibri" w:cs="Arial"/>
          <w:szCs w:val="24"/>
        </w:rPr>
        <w:t>Land designated as a Registered Park and Garden</w:t>
      </w:r>
    </w:p>
    <w:p w14:paraId="5DF64214" w14:textId="19DC6353" w:rsidR="00B10B53" w:rsidRDefault="0057218A" w:rsidP="00F3385F">
      <w:pPr>
        <w:spacing w:after="200" w:line="276" w:lineRule="auto"/>
        <w:ind w:left="709" w:hanging="709"/>
        <w:jc w:val="left"/>
        <w:rPr>
          <w:rFonts w:eastAsia="Calibri" w:cs="Arial"/>
          <w:szCs w:val="24"/>
        </w:rPr>
      </w:pPr>
      <w:r>
        <w:rPr>
          <w:rFonts w:eastAsia="Calibri" w:cs="Arial"/>
          <w:szCs w:val="24"/>
        </w:rPr>
        <w:t>3.1.5</w:t>
      </w:r>
      <w:r>
        <w:rPr>
          <w:rFonts w:eastAsia="Calibri" w:cs="Arial"/>
          <w:szCs w:val="24"/>
        </w:rPr>
        <w:tab/>
      </w:r>
      <w:r w:rsidR="00B10B53">
        <w:rPr>
          <w:rFonts w:eastAsia="Calibri" w:cs="Arial"/>
          <w:szCs w:val="24"/>
        </w:rPr>
        <w:t xml:space="preserve">Figure 7 within Background Paper </w:t>
      </w:r>
      <w:r w:rsidR="00B10B53" w:rsidRPr="00402164">
        <w:rPr>
          <w:rFonts w:eastAsia="Calibri" w:cs="Arial"/>
          <w:szCs w:val="24"/>
        </w:rPr>
        <w:t xml:space="preserve">5 </w:t>
      </w:r>
      <w:r w:rsidR="00B10B53" w:rsidRPr="00402164">
        <w:t xml:space="preserve">[BP.05] </w:t>
      </w:r>
      <w:r w:rsidR="00B10B53" w:rsidRPr="00402164">
        <w:rPr>
          <w:rFonts w:eastAsia="Calibri" w:cs="Arial"/>
          <w:szCs w:val="24"/>
        </w:rPr>
        <w:t>shows</w:t>
      </w:r>
      <w:r w:rsidR="00B10B53">
        <w:rPr>
          <w:rFonts w:eastAsia="Calibri" w:cs="Arial"/>
          <w:szCs w:val="24"/>
        </w:rPr>
        <w:t xml:space="preserve"> the combined constraints, site allocations and built-up areas.</w:t>
      </w:r>
    </w:p>
    <w:p w14:paraId="3CDE0D56" w14:textId="49253DAD" w:rsidR="00B10B53" w:rsidRPr="00220732" w:rsidRDefault="00B401C2" w:rsidP="00B401C2">
      <w:pPr>
        <w:pStyle w:val="Heading3"/>
        <w:rPr>
          <w:rFonts w:cs="Arial"/>
          <w:color w:val="A02B93" w:themeColor="accent5"/>
          <w:szCs w:val="24"/>
        </w:rPr>
      </w:pPr>
      <w:r w:rsidRPr="00220732">
        <w:rPr>
          <w:color w:val="A02B93" w:themeColor="accent5"/>
        </w:rPr>
        <w:t xml:space="preserve">3.1(.1) What effect would the proposed additional sites have on the distribution of </w:t>
      </w:r>
      <w:r w:rsidRPr="00220732">
        <w:rPr>
          <w:rFonts w:cs="Arial"/>
          <w:color w:val="A02B93" w:themeColor="accent5"/>
          <w:szCs w:val="24"/>
        </w:rPr>
        <w:t>new housing development across the plan area?</w:t>
      </w:r>
    </w:p>
    <w:p w14:paraId="77AA2C17" w14:textId="77777777" w:rsidR="00B401C2" w:rsidRPr="00220732" w:rsidRDefault="00B401C2" w:rsidP="00B401C2">
      <w:pPr>
        <w:jc w:val="left"/>
        <w:rPr>
          <w:rFonts w:cs="Arial"/>
          <w:color w:val="A02B93" w:themeColor="accent5"/>
          <w:szCs w:val="24"/>
          <w:u w:val="single"/>
        </w:rPr>
      </w:pPr>
      <w:r w:rsidRPr="00220732">
        <w:rPr>
          <w:rFonts w:cs="Arial"/>
          <w:color w:val="A02B93" w:themeColor="accent5"/>
          <w:szCs w:val="24"/>
          <w:u w:val="single"/>
        </w:rPr>
        <w:t>Council’s response</w:t>
      </w:r>
    </w:p>
    <w:p w14:paraId="6DE6213A" w14:textId="7900DB04" w:rsidR="00C715B3" w:rsidRPr="00220732" w:rsidRDefault="00B401C2" w:rsidP="00C715B3">
      <w:pPr>
        <w:pStyle w:val="WDBodyNumbered"/>
        <w:numPr>
          <w:ilvl w:val="2"/>
          <w:numId w:val="0"/>
        </w:numPr>
        <w:ind w:left="709" w:hanging="709"/>
        <w:rPr>
          <w:rFonts w:ascii="Arial" w:hAnsi="Arial" w:cs="Arial"/>
          <w:color w:val="A02B93" w:themeColor="accent5"/>
          <w:sz w:val="24"/>
          <w:szCs w:val="24"/>
        </w:rPr>
      </w:pPr>
      <w:r w:rsidRPr="00220732">
        <w:rPr>
          <w:rFonts w:ascii="Arial" w:hAnsi="Arial" w:cs="Arial"/>
          <w:color w:val="A02B93" w:themeColor="accent5"/>
          <w:sz w:val="24"/>
          <w:szCs w:val="24"/>
        </w:rPr>
        <w:t>3.1.6</w:t>
      </w:r>
      <w:r w:rsidR="00C715B3" w:rsidRPr="00220732">
        <w:rPr>
          <w:rFonts w:ascii="Arial" w:hAnsi="Arial" w:cs="Arial"/>
          <w:color w:val="A02B93" w:themeColor="accent5"/>
          <w:sz w:val="24"/>
          <w:szCs w:val="24"/>
        </w:rPr>
        <w:tab/>
        <w:t xml:space="preserve">The Council previously outlined two approaches which can be taken when looking at the distribution of new housing </w:t>
      </w:r>
      <w:r w:rsidR="00833DA7" w:rsidRPr="00220732">
        <w:rPr>
          <w:rFonts w:ascii="Arial" w:hAnsi="Arial" w:cs="Arial"/>
          <w:color w:val="A02B93" w:themeColor="accent5"/>
          <w:sz w:val="24"/>
          <w:szCs w:val="24"/>
        </w:rPr>
        <w:t>development, in answer to MIQ 3.4.  These are</w:t>
      </w:r>
      <w:r w:rsidR="00C715B3" w:rsidRPr="00220732">
        <w:rPr>
          <w:rFonts w:ascii="Arial" w:hAnsi="Arial" w:cs="Arial"/>
          <w:color w:val="A02B93" w:themeColor="accent5"/>
          <w:sz w:val="24"/>
          <w:szCs w:val="24"/>
        </w:rPr>
        <w:t>:</w:t>
      </w:r>
    </w:p>
    <w:p w14:paraId="32C9A6F1" w14:textId="52F0FA97" w:rsidR="00C715B3" w:rsidRPr="00220732" w:rsidRDefault="00C715B3" w:rsidP="00C715B3">
      <w:pPr>
        <w:pStyle w:val="WDBodyNumbered"/>
        <w:numPr>
          <w:ilvl w:val="0"/>
          <w:numId w:val="37"/>
        </w:numPr>
        <w:rPr>
          <w:rFonts w:ascii="Arial" w:hAnsi="Arial" w:cs="Arial"/>
          <w:color w:val="A02B93" w:themeColor="accent5"/>
          <w:sz w:val="24"/>
          <w:szCs w:val="24"/>
        </w:rPr>
      </w:pPr>
      <w:r w:rsidRPr="00220732">
        <w:rPr>
          <w:rFonts w:ascii="Arial" w:hAnsi="Arial" w:cs="Arial"/>
          <w:color w:val="A02B93" w:themeColor="accent5"/>
          <w:sz w:val="24"/>
          <w:szCs w:val="24"/>
        </w:rPr>
        <w:t xml:space="preserve">Distribution compared with the </w:t>
      </w:r>
      <w:r w:rsidR="000944B4" w:rsidRPr="00220732">
        <w:rPr>
          <w:rFonts w:ascii="Arial" w:hAnsi="Arial" w:cs="Arial"/>
          <w:color w:val="A02B93" w:themeColor="accent5"/>
          <w:sz w:val="24"/>
          <w:szCs w:val="24"/>
        </w:rPr>
        <w:t>S</w:t>
      </w:r>
      <w:r w:rsidRPr="00220732">
        <w:rPr>
          <w:rFonts w:ascii="Arial" w:hAnsi="Arial" w:cs="Arial"/>
          <w:color w:val="A02B93" w:themeColor="accent5"/>
          <w:sz w:val="24"/>
          <w:szCs w:val="24"/>
        </w:rPr>
        <w:t xml:space="preserve">ettlement </w:t>
      </w:r>
      <w:r w:rsidR="000944B4" w:rsidRPr="00220732">
        <w:rPr>
          <w:rFonts w:ascii="Arial" w:hAnsi="Arial" w:cs="Arial"/>
          <w:color w:val="A02B93" w:themeColor="accent5"/>
          <w:sz w:val="24"/>
          <w:szCs w:val="24"/>
        </w:rPr>
        <w:t>H</w:t>
      </w:r>
      <w:r w:rsidRPr="00220732">
        <w:rPr>
          <w:rFonts w:ascii="Arial" w:hAnsi="Arial" w:cs="Arial"/>
          <w:color w:val="A02B93" w:themeColor="accent5"/>
          <w:sz w:val="24"/>
          <w:szCs w:val="24"/>
        </w:rPr>
        <w:t>ierarch</w:t>
      </w:r>
      <w:r w:rsidR="00826F6E" w:rsidRPr="00220732">
        <w:rPr>
          <w:rFonts w:ascii="Arial" w:hAnsi="Arial" w:cs="Arial"/>
          <w:color w:val="A02B93" w:themeColor="accent5"/>
          <w:sz w:val="24"/>
          <w:szCs w:val="24"/>
        </w:rPr>
        <w:t>y</w:t>
      </w:r>
      <w:r w:rsidRPr="00220732">
        <w:rPr>
          <w:rFonts w:ascii="Arial" w:hAnsi="Arial" w:cs="Arial"/>
          <w:color w:val="A02B93" w:themeColor="accent5"/>
          <w:sz w:val="24"/>
          <w:szCs w:val="24"/>
        </w:rPr>
        <w:t xml:space="preserve"> as set out in Strategic Policy S1, and</w:t>
      </w:r>
    </w:p>
    <w:p w14:paraId="751B557D" w14:textId="6FDFFE40" w:rsidR="00C715B3" w:rsidRPr="00220732" w:rsidRDefault="00C715B3" w:rsidP="00113263">
      <w:pPr>
        <w:pStyle w:val="WDBodyNumbered"/>
        <w:numPr>
          <w:ilvl w:val="0"/>
          <w:numId w:val="37"/>
        </w:numPr>
        <w:rPr>
          <w:rFonts w:ascii="Arial" w:hAnsi="Arial" w:cs="Arial"/>
          <w:color w:val="A02B93" w:themeColor="accent5"/>
          <w:sz w:val="24"/>
          <w:szCs w:val="24"/>
        </w:rPr>
      </w:pPr>
      <w:r w:rsidRPr="00220732">
        <w:rPr>
          <w:rFonts w:ascii="Arial" w:hAnsi="Arial" w:cs="Arial"/>
          <w:color w:val="A02B93" w:themeColor="accent5"/>
          <w:sz w:val="24"/>
          <w:szCs w:val="24"/>
        </w:rPr>
        <w:t>Distribution by geographical location, making a comparison with the existing population for those areas.</w:t>
      </w:r>
    </w:p>
    <w:p w14:paraId="38F3F52F" w14:textId="1796FD80" w:rsidR="00FE02E6" w:rsidRPr="00220732" w:rsidRDefault="00833DA7" w:rsidP="00833DA7">
      <w:pPr>
        <w:spacing w:after="0" w:line="240" w:lineRule="auto"/>
        <w:ind w:left="720" w:hanging="720"/>
        <w:jc w:val="left"/>
        <w:rPr>
          <w:color w:val="A02B93" w:themeColor="accent5"/>
        </w:rPr>
      </w:pPr>
      <w:r w:rsidRPr="00220732">
        <w:rPr>
          <w:color w:val="A02B93" w:themeColor="accent5"/>
        </w:rPr>
        <w:t>3.1.7</w:t>
      </w:r>
      <w:r w:rsidRPr="00220732">
        <w:rPr>
          <w:color w:val="A02B93" w:themeColor="accent5"/>
        </w:rPr>
        <w:tab/>
        <w:t>Thie initial assessment of approach a) was set out in the Council’s Housing Land Supply Position Statement [ADC.04]. This table has now been revised to include the 13 additional new sites, 2024/25 completions and new permissions which reflects the most up</w:t>
      </w:r>
      <w:r w:rsidR="00826F6E" w:rsidRPr="00220732">
        <w:rPr>
          <w:color w:val="A02B93" w:themeColor="accent5"/>
        </w:rPr>
        <w:t>-</w:t>
      </w:r>
      <w:r w:rsidRPr="00220732">
        <w:rPr>
          <w:color w:val="A02B93" w:themeColor="accent5"/>
        </w:rPr>
        <w:t>to</w:t>
      </w:r>
      <w:r w:rsidR="00826F6E" w:rsidRPr="00220732">
        <w:rPr>
          <w:color w:val="A02B93" w:themeColor="accent5"/>
        </w:rPr>
        <w:t>-</w:t>
      </w:r>
      <w:r w:rsidRPr="00220732">
        <w:rPr>
          <w:color w:val="A02B93" w:themeColor="accent5"/>
        </w:rPr>
        <w:t>date information available</w:t>
      </w:r>
      <w:r w:rsidR="00E5314E" w:rsidRPr="00220732">
        <w:rPr>
          <w:color w:val="A02B93" w:themeColor="accent5"/>
        </w:rPr>
        <w:t xml:space="preserve"> (See Appendix A).</w:t>
      </w:r>
    </w:p>
    <w:p w14:paraId="733FA97F" w14:textId="77777777" w:rsidR="00E5314E" w:rsidRPr="00220732" w:rsidRDefault="00E5314E" w:rsidP="00833DA7">
      <w:pPr>
        <w:spacing w:after="0" w:line="240" w:lineRule="auto"/>
        <w:ind w:left="720" w:hanging="720"/>
        <w:jc w:val="left"/>
        <w:rPr>
          <w:color w:val="A02B93" w:themeColor="accent5"/>
        </w:rPr>
      </w:pPr>
    </w:p>
    <w:p w14:paraId="042B0C53" w14:textId="129FA25E" w:rsidR="001C4B8F" w:rsidRPr="00220732" w:rsidRDefault="00E5314E" w:rsidP="00833DA7">
      <w:pPr>
        <w:spacing w:after="0" w:line="240" w:lineRule="auto"/>
        <w:ind w:left="720" w:hanging="720"/>
        <w:jc w:val="left"/>
        <w:rPr>
          <w:color w:val="A02B93" w:themeColor="accent5"/>
        </w:rPr>
      </w:pPr>
      <w:r w:rsidRPr="00220732">
        <w:rPr>
          <w:color w:val="A02B93" w:themeColor="accent5"/>
        </w:rPr>
        <w:t>3.1.8</w:t>
      </w:r>
      <w:r w:rsidRPr="00220732">
        <w:rPr>
          <w:color w:val="A02B93" w:themeColor="accent5"/>
        </w:rPr>
        <w:tab/>
      </w:r>
      <w:r w:rsidR="00833DA7" w:rsidRPr="00220732">
        <w:rPr>
          <w:color w:val="A02B93" w:themeColor="accent5"/>
        </w:rPr>
        <w:t>The table below illustrates that there has been a minimal shift in distribution and that future housing development remains consistent with the settlement hierarchy.</w:t>
      </w:r>
      <w:r w:rsidRPr="00220732">
        <w:rPr>
          <w:color w:val="A02B93" w:themeColor="accent5"/>
        </w:rPr>
        <w:t xml:space="preserve"> It is notable that if permissioned sites (and those with a resolution to grant permission) are excluded from the calculation, the remaining non-permissioned allocations have a distribution of </w:t>
      </w:r>
      <w:r w:rsidRPr="00220732">
        <w:rPr>
          <w:b/>
          <w:bCs/>
          <w:color w:val="A02B93" w:themeColor="accent5"/>
        </w:rPr>
        <w:t>86%</w:t>
      </w:r>
      <w:r w:rsidRPr="00220732">
        <w:rPr>
          <w:color w:val="A02B93" w:themeColor="accent5"/>
        </w:rPr>
        <w:t xml:space="preserve"> in Main Urban Areas, with </w:t>
      </w:r>
      <w:r w:rsidRPr="00220732">
        <w:rPr>
          <w:b/>
          <w:bCs/>
          <w:color w:val="A02B93" w:themeColor="accent5"/>
        </w:rPr>
        <w:t>14%</w:t>
      </w:r>
      <w:r w:rsidRPr="00220732">
        <w:rPr>
          <w:color w:val="A02B93" w:themeColor="accent5"/>
        </w:rPr>
        <w:t xml:space="preserve"> in the Named Settlements.</w:t>
      </w:r>
    </w:p>
    <w:p w14:paraId="63044FFD" w14:textId="77777777" w:rsidR="00D974AB" w:rsidRPr="00220732" w:rsidRDefault="00D974AB" w:rsidP="00833DA7">
      <w:pPr>
        <w:spacing w:after="0" w:line="240" w:lineRule="auto"/>
        <w:ind w:left="720" w:hanging="720"/>
        <w:jc w:val="left"/>
        <w:rPr>
          <w:color w:val="A02B93" w:themeColor="accent5"/>
        </w:rPr>
      </w:pPr>
    </w:p>
    <w:p w14:paraId="2C8F1144" w14:textId="4D47529E" w:rsidR="00826F6E" w:rsidRPr="00220732" w:rsidRDefault="00D974AB" w:rsidP="00D974AB">
      <w:pPr>
        <w:spacing w:after="0" w:line="240" w:lineRule="auto"/>
        <w:ind w:left="720"/>
        <w:jc w:val="left"/>
        <w:rPr>
          <w:color w:val="A02B93" w:themeColor="accent5"/>
        </w:rPr>
      </w:pPr>
      <w:r w:rsidRPr="00220732">
        <w:rPr>
          <w:b/>
          <w:bCs/>
          <w:color w:val="A02B93" w:themeColor="accent5"/>
        </w:rPr>
        <w:t>Distribution of New Housing Development by Settlement Hierarchy– Comparison of submitted Local Plan and Updated Position</w:t>
      </w:r>
    </w:p>
    <w:tbl>
      <w:tblPr>
        <w:tblStyle w:val="TableGrid"/>
        <w:tblW w:w="0" w:type="auto"/>
        <w:tblInd w:w="720" w:type="dxa"/>
        <w:tblLook w:val="04A0" w:firstRow="1" w:lastRow="0" w:firstColumn="1" w:lastColumn="0" w:noHBand="0" w:noVBand="1"/>
      </w:tblPr>
      <w:tblGrid>
        <w:gridCol w:w="4378"/>
        <w:gridCol w:w="2268"/>
        <w:gridCol w:w="2376"/>
      </w:tblGrid>
      <w:tr w:rsidR="00220732" w:rsidRPr="00220732" w14:paraId="6E861F56" w14:textId="62ADA8AF" w:rsidTr="00EC021B">
        <w:trPr>
          <w:trHeight w:val="1035"/>
        </w:trPr>
        <w:tc>
          <w:tcPr>
            <w:tcW w:w="4378" w:type="dxa"/>
            <w:shd w:val="clear" w:color="auto" w:fill="D9D9D9" w:themeFill="background1" w:themeFillShade="D9"/>
          </w:tcPr>
          <w:p w14:paraId="7327FF96" w14:textId="185302D4" w:rsidR="00826F6E" w:rsidRPr="00220732" w:rsidRDefault="00826F6E" w:rsidP="00833DA7">
            <w:pPr>
              <w:jc w:val="left"/>
              <w:rPr>
                <w:color w:val="A02B93" w:themeColor="accent5"/>
              </w:rPr>
            </w:pPr>
            <w:r w:rsidRPr="00220732">
              <w:rPr>
                <w:color w:val="A02B93" w:themeColor="accent5"/>
              </w:rPr>
              <w:t>Settlement Hierarchy</w:t>
            </w:r>
            <w:r w:rsidR="000944B4" w:rsidRPr="00220732">
              <w:rPr>
                <w:color w:val="A02B93" w:themeColor="accent5"/>
              </w:rPr>
              <w:t xml:space="preserve"> (Policy S1)</w:t>
            </w:r>
          </w:p>
        </w:tc>
        <w:tc>
          <w:tcPr>
            <w:tcW w:w="2268" w:type="dxa"/>
            <w:shd w:val="clear" w:color="auto" w:fill="D9D9D9" w:themeFill="background1" w:themeFillShade="D9"/>
          </w:tcPr>
          <w:p w14:paraId="56A0C607" w14:textId="77777777" w:rsidR="00EC021B" w:rsidRPr="00220732" w:rsidRDefault="00826F6E" w:rsidP="00833DA7">
            <w:pPr>
              <w:jc w:val="left"/>
              <w:rPr>
                <w:color w:val="A02B93" w:themeColor="accent5"/>
              </w:rPr>
            </w:pPr>
            <w:r w:rsidRPr="00220732">
              <w:rPr>
                <w:color w:val="A02B93" w:themeColor="accent5"/>
              </w:rPr>
              <w:t>Distribution prior to new sites</w:t>
            </w:r>
          </w:p>
          <w:p w14:paraId="6085226A" w14:textId="56996ABD" w:rsidR="00826F6E" w:rsidRPr="00220732" w:rsidRDefault="00EC021B" w:rsidP="00833DA7">
            <w:pPr>
              <w:jc w:val="left"/>
              <w:rPr>
                <w:color w:val="A02B93" w:themeColor="accent5"/>
              </w:rPr>
            </w:pPr>
            <w:r w:rsidRPr="00220732">
              <w:rPr>
                <w:color w:val="A02B93" w:themeColor="accent5"/>
              </w:rPr>
              <w:t>(October 2024)</w:t>
            </w:r>
          </w:p>
        </w:tc>
        <w:tc>
          <w:tcPr>
            <w:tcW w:w="2376" w:type="dxa"/>
            <w:shd w:val="clear" w:color="auto" w:fill="D9D9D9" w:themeFill="background1" w:themeFillShade="D9"/>
          </w:tcPr>
          <w:p w14:paraId="6EAFF10A" w14:textId="77777777" w:rsidR="00826F6E" w:rsidRPr="00220732" w:rsidRDefault="00826F6E" w:rsidP="00833DA7">
            <w:pPr>
              <w:jc w:val="left"/>
              <w:rPr>
                <w:color w:val="A02B93" w:themeColor="accent5"/>
              </w:rPr>
            </w:pPr>
            <w:r w:rsidRPr="00220732">
              <w:rPr>
                <w:color w:val="A02B93" w:themeColor="accent5"/>
              </w:rPr>
              <w:t>Distribution including new sites</w:t>
            </w:r>
          </w:p>
          <w:p w14:paraId="3B2D26CE" w14:textId="393E1EE5" w:rsidR="00EC021B" w:rsidRPr="00220732" w:rsidRDefault="00EC021B" w:rsidP="00833DA7">
            <w:pPr>
              <w:jc w:val="left"/>
              <w:rPr>
                <w:color w:val="A02B93" w:themeColor="accent5"/>
              </w:rPr>
            </w:pPr>
            <w:r w:rsidRPr="00220732">
              <w:rPr>
                <w:color w:val="A02B93" w:themeColor="accent5"/>
              </w:rPr>
              <w:t>(October 2025)</w:t>
            </w:r>
          </w:p>
        </w:tc>
      </w:tr>
      <w:tr w:rsidR="00220732" w:rsidRPr="00220732" w14:paraId="63678B69" w14:textId="4E366F86" w:rsidTr="00826F6E">
        <w:trPr>
          <w:trHeight w:val="397"/>
        </w:trPr>
        <w:tc>
          <w:tcPr>
            <w:tcW w:w="4378" w:type="dxa"/>
          </w:tcPr>
          <w:p w14:paraId="2A6D167D" w14:textId="0FAB4911" w:rsidR="00826F6E" w:rsidRPr="00220732" w:rsidRDefault="00826F6E" w:rsidP="00833DA7">
            <w:pPr>
              <w:jc w:val="left"/>
              <w:rPr>
                <w:color w:val="A02B93" w:themeColor="accent5"/>
              </w:rPr>
            </w:pPr>
            <w:r w:rsidRPr="00220732">
              <w:rPr>
                <w:color w:val="A02B93" w:themeColor="accent5"/>
              </w:rPr>
              <w:t>Tier a): Main Urban Areas</w:t>
            </w:r>
          </w:p>
        </w:tc>
        <w:tc>
          <w:tcPr>
            <w:tcW w:w="2268" w:type="dxa"/>
          </w:tcPr>
          <w:p w14:paraId="360470C8" w14:textId="5300DFA2" w:rsidR="00826F6E" w:rsidRPr="00220732" w:rsidRDefault="00826F6E" w:rsidP="00826F6E">
            <w:pPr>
              <w:jc w:val="center"/>
              <w:rPr>
                <w:color w:val="A02B93" w:themeColor="accent5"/>
              </w:rPr>
            </w:pPr>
            <w:r w:rsidRPr="00220732">
              <w:rPr>
                <w:color w:val="A02B93" w:themeColor="accent5"/>
              </w:rPr>
              <w:t>86%</w:t>
            </w:r>
          </w:p>
        </w:tc>
        <w:tc>
          <w:tcPr>
            <w:tcW w:w="2376" w:type="dxa"/>
          </w:tcPr>
          <w:p w14:paraId="1961347C" w14:textId="1EEE600E" w:rsidR="00826F6E" w:rsidRPr="00220732" w:rsidRDefault="00FE02E6" w:rsidP="00826F6E">
            <w:pPr>
              <w:jc w:val="center"/>
              <w:rPr>
                <w:color w:val="A02B93" w:themeColor="accent5"/>
              </w:rPr>
            </w:pPr>
            <w:r w:rsidRPr="00220732">
              <w:rPr>
                <w:color w:val="A02B93" w:themeColor="accent5"/>
              </w:rPr>
              <w:t>88%</w:t>
            </w:r>
          </w:p>
        </w:tc>
      </w:tr>
      <w:tr w:rsidR="00220732" w:rsidRPr="00220732" w14:paraId="304C4836" w14:textId="4127337E" w:rsidTr="00826F6E">
        <w:trPr>
          <w:trHeight w:val="397"/>
        </w:trPr>
        <w:tc>
          <w:tcPr>
            <w:tcW w:w="4378" w:type="dxa"/>
          </w:tcPr>
          <w:p w14:paraId="165C246C" w14:textId="02D512BA" w:rsidR="00826F6E" w:rsidRPr="00220732" w:rsidRDefault="00826F6E" w:rsidP="00833DA7">
            <w:pPr>
              <w:jc w:val="left"/>
              <w:rPr>
                <w:color w:val="A02B93" w:themeColor="accent5"/>
              </w:rPr>
            </w:pPr>
            <w:r w:rsidRPr="00220732">
              <w:rPr>
                <w:color w:val="A02B93" w:themeColor="accent5"/>
              </w:rPr>
              <w:t>Tier b): Strategic Employment Areas</w:t>
            </w:r>
          </w:p>
        </w:tc>
        <w:tc>
          <w:tcPr>
            <w:tcW w:w="2268" w:type="dxa"/>
          </w:tcPr>
          <w:p w14:paraId="67EDFE93" w14:textId="685E9221" w:rsidR="00826F6E" w:rsidRPr="00220732" w:rsidRDefault="00826F6E" w:rsidP="00826F6E">
            <w:pPr>
              <w:jc w:val="center"/>
              <w:rPr>
                <w:color w:val="A02B93" w:themeColor="accent5"/>
              </w:rPr>
            </w:pPr>
            <w:r w:rsidRPr="00220732">
              <w:rPr>
                <w:color w:val="A02B93" w:themeColor="accent5"/>
              </w:rPr>
              <w:t>N/A</w:t>
            </w:r>
          </w:p>
        </w:tc>
        <w:tc>
          <w:tcPr>
            <w:tcW w:w="2376" w:type="dxa"/>
          </w:tcPr>
          <w:p w14:paraId="17EF3654" w14:textId="61956A0F" w:rsidR="00826F6E" w:rsidRPr="00220732" w:rsidRDefault="00FE02E6" w:rsidP="00826F6E">
            <w:pPr>
              <w:jc w:val="center"/>
              <w:rPr>
                <w:color w:val="A02B93" w:themeColor="accent5"/>
              </w:rPr>
            </w:pPr>
            <w:r w:rsidRPr="00220732">
              <w:rPr>
                <w:color w:val="A02B93" w:themeColor="accent5"/>
              </w:rPr>
              <w:t>N/A</w:t>
            </w:r>
          </w:p>
        </w:tc>
      </w:tr>
      <w:tr w:rsidR="00220732" w:rsidRPr="00220732" w14:paraId="3196491B" w14:textId="4F03E7EA" w:rsidTr="00826F6E">
        <w:trPr>
          <w:trHeight w:val="397"/>
        </w:trPr>
        <w:tc>
          <w:tcPr>
            <w:tcW w:w="4378" w:type="dxa"/>
          </w:tcPr>
          <w:p w14:paraId="797B0E4A" w14:textId="1EB92DBC" w:rsidR="00826F6E" w:rsidRPr="00220732" w:rsidRDefault="00826F6E" w:rsidP="00833DA7">
            <w:pPr>
              <w:jc w:val="left"/>
              <w:rPr>
                <w:color w:val="A02B93" w:themeColor="accent5"/>
              </w:rPr>
            </w:pPr>
            <w:r w:rsidRPr="00220732">
              <w:rPr>
                <w:color w:val="A02B93" w:themeColor="accent5"/>
              </w:rPr>
              <w:t>Tier c): Named Settlements</w:t>
            </w:r>
          </w:p>
        </w:tc>
        <w:tc>
          <w:tcPr>
            <w:tcW w:w="2268" w:type="dxa"/>
          </w:tcPr>
          <w:p w14:paraId="00E02273" w14:textId="5BEA3B34" w:rsidR="00826F6E" w:rsidRPr="00220732" w:rsidRDefault="00826F6E" w:rsidP="00826F6E">
            <w:pPr>
              <w:jc w:val="center"/>
              <w:rPr>
                <w:color w:val="A02B93" w:themeColor="accent5"/>
              </w:rPr>
            </w:pPr>
            <w:r w:rsidRPr="00220732">
              <w:rPr>
                <w:color w:val="A02B93" w:themeColor="accent5"/>
              </w:rPr>
              <w:t>13%</w:t>
            </w:r>
          </w:p>
        </w:tc>
        <w:tc>
          <w:tcPr>
            <w:tcW w:w="2376" w:type="dxa"/>
          </w:tcPr>
          <w:p w14:paraId="63E4ED13" w14:textId="5E795540" w:rsidR="00826F6E" w:rsidRPr="00220732" w:rsidRDefault="00FE02E6" w:rsidP="00826F6E">
            <w:pPr>
              <w:jc w:val="center"/>
              <w:rPr>
                <w:color w:val="A02B93" w:themeColor="accent5"/>
              </w:rPr>
            </w:pPr>
            <w:r w:rsidRPr="00220732">
              <w:rPr>
                <w:color w:val="A02B93" w:themeColor="accent5"/>
              </w:rPr>
              <w:t>10%</w:t>
            </w:r>
          </w:p>
        </w:tc>
      </w:tr>
      <w:tr w:rsidR="00220732" w:rsidRPr="00220732" w14:paraId="1F0B0DBA" w14:textId="6067CF69" w:rsidTr="00826F6E">
        <w:trPr>
          <w:trHeight w:val="397"/>
        </w:trPr>
        <w:tc>
          <w:tcPr>
            <w:tcW w:w="4378" w:type="dxa"/>
          </w:tcPr>
          <w:p w14:paraId="6D7F548B" w14:textId="44DA11BA" w:rsidR="00826F6E" w:rsidRPr="00220732" w:rsidRDefault="00826F6E" w:rsidP="00833DA7">
            <w:pPr>
              <w:jc w:val="left"/>
              <w:rPr>
                <w:color w:val="A02B93" w:themeColor="accent5"/>
              </w:rPr>
            </w:pPr>
            <w:r w:rsidRPr="00220732">
              <w:rPr>
                <w:color w:val="A02B93" w:themeColor="accent5"/>
              </w:rPr>
              <w:t>Tier d): Blenheim Industrial Estate</w:t>
            </w:r>
          </w:p>
        </w:tc>
        <w:tc>
          <w:tcPr>
            <w:tcW w:w="2268" w:type="dxa"/>
          </w:tcPr>
          <w:p w14:paraId="48DB45A1" w14:textId="7E5A45A7" w:rsidR="00826F6E" w:rsidRPr="00220732" w:rsidRDefault="00826F6E" w:rsidP="00826F6E">
            <w:pPr>
              <w:jc w:val="center"/>
              <w:rPr>
                <w:color w:val="A02B93" w:themeColor="accent5"/>
              </w:rPr>
            </w:pPr>
            <w:r w:rsidRPr="00220732">
              <w:rPr>
                <w:color w:val="A02B93" w:themeColor="accent5"/>
              </w:rPr>
              <w:t>N/A</w:t>
            </w:r>
          </w:p>
        </w:tc>
        <w:tc>
          <w:tcPr>
            <w:tcW w:w="2376" w:type="dxa"/>
          </w:tcPr>
          <w:p w14:paraId="098CE35D" w14:textId="7D4130E2" w:rsidR="00826F6E" w:rsidRPr="00220732" w:rsidRDefault="00FE02E6" w:rsidP="00826F6E">
            <w:pPr>
              <w:jc w:val="center"/>
              <w:rPr>
                <w:color w:val="A02B93" w:themeColor="accent5"/>
              </w:rPr>
            </w:pPr>
            <w:r w:rsidRPr="00220732">
              <w:rPr>
                <w:color w:val="A02B93" w:themeColor="accent5"/>
              </w:rPr>
              <w:t>N/A</w:t>
            </w:r>
          </w:p>
        </w:tc>
      </w:tr>
      <w:tr w:rsidR="00220732" w:rsidRPr="00220732" w14:paraId="42041ABB" w14:textId="7CFB0FB1" w:rsidTr="00826F6E">
        <w:trPr>
          <w:trHeight w:val="397"/>
        </w:trPr>
        <w:tc>
          <w:tcPr>
            <w:tcW w:w="4378" w:type="dxa"/>
          </w:tcPr>
          <w:p w14:paraId="061A630E" w14:textId="65A45D25" w:rsidR="00826F6E" w:rsidRPr="00220732" w:rsidRDefault="00826F6E" w:rsidP="00833DA7">
            <w:pPr>
              <w:jc w:val="left"/>
              <w:rPr>
                <w:color w:val="A02B93" w:themeColor="accent5"/>
              </w:rPr>
            </w:pPr>
            <w:r w:rsidRPr="00220732">
              <w:rPr>
                <w:color w:val="A02B93" w:themeColor="accent5"/>
              </w:rPr>
              <w:t>Tier e): The Remainder of the District</w:t>
            </w:r>
          </w:p>
        </w:tc>
        <w:tc>
          <w:tcPr>
            <w:tcW w:w="2268" w:type="dxa"/>
          </w:tcPr>
          <w:p w14:paraId="3D56B254" w14:textId="1EEDC4D1" w:rsidR="00826F6E" w:rsidRPr="00220732" w:rsidRDefault="00826F6E" w:rsidP="00826F6E">
            <w:pPr>
              <w:jc w:val="center"/>
              <w:rPr>
                <w:color w:val="A02B93" w:themeColor="accent5"/>
              </w:rPr>
            </w:pPr>
            <w:r w:rsidRPr="00220732">
              <w:rPr>
                <w:color w:val="A02B93" w:themeColor="accent5"/>
              </w:rPr>
              <w:t>1%</w:t>
            </w:r>
          </w:p>
        </w:tc>
        <w:tc>
          <w:tcPr>
            <w:tcW w:w="2376" w:type="dxa"/>
          </w:tcPr>
          <w:p w14:paraId="4696003F" w14:textId="77C7B710" w:rsidR="00826F6E" w:rsidRPr="00220732" w:rsidRDefault="00FE02E6" w:rsidP="00826F6E">
            <w:pPr>
              <w:jc w:val="center"/>
              <w:rPr>
                <w:color w:val="A02B93" w:themeColor="accent5"/>
              </w:rPr>
            </w:pPr>
            <w:r w:rsidRPr="00220732">
              <w:rPr>
                <w:color w:val="A02B93" w:themeColor="accent5"/>
              </w:rPr>
              <w:t>2%</w:t>
            </w:r>
          </w:p>
        </w:tc>
      </w:tr>
    </w:tbl>
    <w:p w14:paraId="27A16F65" w14:textId="77777777" w:rsidR="00826F6E" w:rsidRPr="00220732" w:rsidRDefault="00826F6E" w:rsidP="00833DA7">
      <w:pPr>
        <w:spacing w:after="0" w:line="240" w:lineRule="auto"/>
        <w:ind w:left="720" w:hanging="720"/>
        <w:jc w:val="left"/>
        <w:rPr>
          <w:color w:val="A02B93" w:themeColor="accent5"/>
        </w:rPr>
      </w:pPr>
    </w:p>
    <w:p w14:paraId="10CE2FEB" w14:textId="27A98B4C" w:rsidR="00833DA7" w:rsidRPr="00220732" w:rsidRDefault="00C57EE1" w:rsidP="00C57EE1">
      <w:pPr>
        <w:spacing w:after="0" w:line="240" w:lineRule="auto"/>
        <w:ind w:left="720" w:hanging="720"/>
        <w:jc w:val="left"/>
        <w:rPr>
          <w:color w:val="A02B93" w:themeColor="accent5"/>
        </w:rPr>
      </w:pPr>
      <w:r w:rsidRPr="00220732">
        <w:rPr>
          <w:color w:val="A02B93" w:themeColor="accent5"/>
        </w:rPr>
        <w:t>3.1.9</w:t>
      </w:r>
      <w:r w:rsidRPr="00220732">
        <w:rPr>
          <w:color w:val="A02B93" w:themeColor="accent5"/>
        </w:rPr>
        <w:tab/>
        <w:t>Table 1 in the submitted Local Plan</w:t>
      </w:r>
      <w:r w:rsidR="007C69DC">
        <w:rPr>
          <w:color w:val="A02B93" w:themeColor="accent5"/>
        </w:rPr>
        <w:t xml:space="preserve"> [SD.01]</w:t>
      </w:r>
      <w:r w:rsidRPr="00220732">
        <w:rPr>
          <w:color w:val="A02B93" w:themeColor="accent5"/>
        </w:rPr>
        <w:t xml:space="preserve"> addressed the distribution of planned housing development as per approach b)</w:t>
      </w:r>
      <w:r w:rsidR="000944B4" w:rsidRPr="00220732">
        <w:rPr>
          <w:color w:val="A02B93" w:themeColor="accent5"/>
        </w:rPr>
        <w:t xml:space="preserve"> at April 2023. </w:t>
      </w:r>
      <w:r w:rsidR="00A57594" w:rsidRPr="00220732">
        <w:rPr>
          <w:color w:val="A02B93" w:themeColor="accent5"/>
        </w:rPr>
        <w:t>This table has been updated below and includes completions since the start of the Local Plan period</w:t>
      </w:r>
      <w:r w:rsidR="00BC3D24" w:rsidRPr="00220732">
        <w:rPr>
          <w:color w:val="A02B93" w:themeColor="accent5"/>
        </w:rPr>
        <w:t xml:space="preserve"> (see Appendix B)</w:t>
      </w:r>
      <w:r w:rsidR="00A57594" w:rsidRPr="00220732">
        <w:rPr>
          <w:color w:val="A02B93" w:themeColor="accent5"/>
        </w:rPr>
        <w:t>.</w:t>
      </w:r>
      <w:r w:rsidR="00FA525B" w:rsidRPr="00220732">
        <w:rPr>
          <w:color w:val="A02B93" w:themeColor="accent5"/>
        </w:rPr>
        <w:t xml:space="preserve"> The table below </w:t>
      </w:r>
      <w:r w:rsidR="00092F5F" w:rsidRPr="00220732">
        <w:rPr>
          <w:color w:val="A02B93" w:themeColor="accent5"/>
        </w:rPr>
        <w:t xml:space="preserve">draws a comparison with the updated position and </w:t>
      </w:r>
      <w:r w:rsidR="00FA525B" w:rsidRPr="00220732">
        <w:rPr>
          <w:color w:val="A02B93" w:themeColor="accent5"/>
        </w:rPr>
        <w:lastRenderedPageBreak/>
        <w:t xml:space="preserve">illustrates a </w:t>
      </w:r>
      <w:r w:rsidR="00092F5F" w:rsidRPr="00220732">
        <w:rPr>
          <w:color w:val="A02B93" w:themeColor="accent5"/>
        </w:rPr>
        <w:t xml:space="preserve">marginal </w:t>
      </w:r>
      <w:r w:rsidR="00FA525B" w:rsidRPr="00220732">
        <w:rPr>
          <w:color w:val="A02B93" w:themeColor="accent5"/>
        </w:rPr>
        <w:t xml:space="preserve">shift towards </w:t>
      </w:r>
      <w:r w:rsidR="00092F5F" w:rsidRPr="00220732">
        <w:rPr>
          <w:color w:val="A02B93" w:themeColor="accent5"/>
        </w:rPr>
        <w:t xml:space="preserve">higher </w:t>
      </w:r>
      <w:r w:rsidR="00FA525B" w:rsidRPr="00220732">
        <w:rPr>
          <w:color w:val="A02B93" w:themeColor="accent5"/>
        </w:rPr>
        <w:t xml:space="preserve">growth in and around the northern </w:t>
      </w:r>
      <w:r w:rsidR="00014DF2">
        <w:rPr>
          <w:color w:val="A02B93" w:themeColor="accent5"/>
        </w:rPr>
        <w:t>area</w:t>
      </w:r>
      <w:r w:rsidR="00FA525B" w:rsidRPr="00220732">
        <w:rPr>
          <w:color w:val="A02B93" w:themeColor="accent5"/>
        </w:rPr>
        <w:t xml:space="preserve"> of Sutton/Kirkby. </w:t>
      </w:r>
      <w:r w:rsidR="00092F5F" w:rsidRPr="00220732">
        <w:rPr>
          <w:color w:val="A02B93" w:themeColor="accent5"/>
        </w:rPr>
        <w:t>This is unsurprising due to the location of both the ‘Rurals’ and Hucknall area falling wholly within the Nottingham – Derby Green Belt</w:t>
      </w:r>
      <w:r w:rsidR="00585BD2" w:rsidRPr="00220732">
        <w:rPr>
          <w:color w:val="A02B93" w:themeColor="accent5"/>
        </w:rPr>
        <w:t xml:space="preserve">, and the decision taken by the Council to re-visit the potential for additional non-Green Belt sites to meet the full Plan period. </w:t>
      </w:r>
    </w:p>
    <w:p w14:paraId="48428715" w14:textId="77777777" w:rsidR="00B71B1A" w:rsidRPr="00220732" w:rsidRDefault="00B71B1A" w:rsidP="00C57EE1">
      <w:pPr>
        <w:spacing w:after="0" w:line="240" w:lineRule="auto"/>
        <w:ind w:left="720" w:hanging="720"/>
        <w:jc w:val="left"/>
        <w:rPr>
          <w:color w:val="A02B93" w:themeColor="accent5"/>
        </w:rPr>
      </w:pPr>
    </w:p>
    <w:p w14:paraId="4B03A9E4" w14:textId="6166AA64" w:rsidR="00FA525B" w:rsidRPr="00220732" w:rsidRDefault="00B71B1A" w:rsidP="00B71B1A">
      <w:pPr>
        <w:spacing w:after="0" w:line="240" w:lineRule="auto"/>
        <w:ind w:left="720"/>
        <w:jc w:val="left"/>
        <w:rPr>
          <w:color w:val="A02B93" w:themeColor="accent5"/>
        </w:rPr>
      </w:pPr>
      <w:r w:rsidRPr="00220732">
        <w:rPr>
          <w:b/>
          <w:bCs/>
          <w:color w:val="A02B93" w:themeColor="accent5"/>
        </w:rPr>
        <w:t>Distribution of New Housing by Geographical Area – Comparison of submitted Local Plan and Updated Position</w:t>
      </w:r>
    </w:p>
    <w:tbl>
      <w:tblPr>
        <w:tblStyle w:val="TableGrid"/>
        <w:tblW w:w="0" w:type="auto"/>
        <w:tblInd w:w="720" w:type="dxa"/>
        <w:tblLook w:val="04A0" w:firstRow="1" w:lastRow="0" w:firstColumn="1" w:lastColumn="0" w:noHBand="0" w:noVBand="1"/>
      </w:tblPr>
      <w:tblGrid>
        <w:gridCol w:w="2461"/>
        <w:gridCol w:w="2350"/>
        <w:gridCol w:w="2350"/>
        <w:gridCol w:w="1861"/>
      </w:tblGrid>
      <w:tr w:rsidR="00220732" w:rsidRPr="00220732" w14:paraId="0BA8F018" w14:textId="2060065C" w:rsidTr="00014DF2">
        <w:trPr>
          <w:trHeight w:val="900"/>
        </w:trPr>
        <w:tc>
          <w:tcPr>
            <w:tcW w:w="2461" w:type="dxa"/>
            <w:shd w:val="clear" w:color="auto" w:fill="D9D9D9" w:themeFill="background1" w:themeFillShade="D9"/>
          </w:tcPr>
          <w:p w14:paraId="039C9A2B" w14:textId="41ABD9CB" w:rsidR="004C1243" w:rsidRPr="00220732" w:rsidRDefault="004C1243" w:rsidP="00C57EE1">
            <w:pPr>
              <w:jc w:val="left"/>
              <w:rPr>
                <w:color w:val="A02B93" w:themeColor="accent5"/>
              </w:rPr>
            </w:pPr>
            <w:r w:rsidRPr="00220732">
              <w:rPr>
                <w:color w:val="A02B93" w:themeColor="accent5"/>
              </w:rPr>
              <w:t>Geographical Area</w:t>
            </w:r>
          </w:p>
        </w:tc>
        <w:tc>
          <w:tcPr>
            <w:tcW w:w="2350" w:type="dxa"/>
            <w:shd w:val="clear" w:color="auto" w:fill="D9D9D9" w:themeFill="background1" w:themeFillShade="D9"/>
          </w:tcPr>
          <w:p w14:paraId="29D32675" w14:textId="7466E602" w:rsidR="004C1243" w:rsidRPr="00220732" w:rsidRDefault="004C1243" w:rsidP="00FC4B2A">
            <w:pPr>
              <w:jc w:val="center"/>
              <w:rPr>
                <w:color w:val="A02B93" w:themeColor="accent5"/>
              </w:rPr>
            </w:pPr>
            <w:r w:rsidRPr="00220732">
              <w:rPr>
                <w:color w:val="A02B93" w:themeColor="accent5"/>
              </w:rPr>
              <w:t>New Housing Distribution by Area 2023</w:t>
            </w:r>
          </w:p>
        </w:tc>
        <w:tc>
          <w:tcPr>
            <w:tcW w:w="2350" w:type="dxa"/>
            <w:shd w:val="clear" w:color="auto" w:fill="D9D9D9" w:themeFill="background1" w:themeFillShade="D9"/>
          </w:tcPr>
          <w:p w14:paraId="2477313E" w14:textId="128129AA" w:rsidR="004C1243" w:rsidRPr="00220732" w:rsidRDefault="004C1243" w:rsidP="00FC4B2A">
            <w:pPr>
              <w:jc w:val="center"/>
              <w:rPr>
                <w:color w:val="A02B93" w:themeColor="accent5"/>
              </w:rPr>
            </w:pPr>
            <w:r w:rsidRPr="00220732">
              <w:rPr>
                <w:color w:val="A02B93" w:themeColor="accent5"/>
              </w:rPr>
              <w:t>New Housing Distribution by Area 2025</w:t>
            </w:r>
            <w:r w:rsidR="00FC4B2A" w:rsidRPr="00220732">
              <w:rPr>
                <w:color w:val="A02B93" w:themeColor="accent5"/>
              </w:rPr>
              <w:t xml:space="preserve"> update</w:t>
            </w:r>
          </w:p>
        </w:tc>
        <w:tc>
          <w:tcPr>
            <w:tcW w:w="1861" w:type="dxa"/>
            <w:shd w:val="clear" w:color="auto" w:fill="D9D9D9" w:themeFill="background1" w:themeFillShade="D9"/>
          </w:tcPr>
          <w:p w14:paraId="1EE0C2CD" w14:textId="118EC44B" w:rsidR="004C1243" w:rsidRPr="00220732" w:rsidRDefault="00DB1F70" w:rsidP="00FC4B2A">
            <w:pPr>
              <w:jc w:val="center"/>
              <w:rPr>
                <w:color w:val="A02B93" w:themeColor="accent5"/>
              </w:rPr>
            </w:pPr>
            <w:r w:rsidRPr="00220732">
              <w:rPr>
                <w:color w:val="A02B93" w:themeColor="accent5"/>
              </w:rPr>
              <w:t>% Existing Population  (2021 Census)</w:t>
            </w:r>
          </w:p>
        </w:tc>
      </w:tr>
      <w:tr w:rsidR="00220732" w:rsidRPr="00220732" w14:paraId="3FCF795A" w14:textId="2F9E01F9" w:rsidTr="00014DF2">
        <w:trPr>
          <w:trHeight w:val="770"/>
        </w:trPr>
        <w:tc>
          <w:tcPr>
            <w:tcW w:w="2461" w:type="dxa"/>
          </w:tcPr>
          <w:p w14:paraId="6B0F70A7" w14:textId="762F7688" w:rsidR="00FC4B2A" w:rsidRPr="00220732" w:rsidRDefault="00FC4B2A" w:rsidP="00FC4B2A">
            <w:pPr>
              <w:jc w:val="left"/>
              <w:rPr>
                <w:color w:val="A02B93" w:themeColor="accent5"/>
              </w:rPr>
            </w:pPr>
            <w:r w:rsidRPr="00220732">
              <w:rPr>
                <w:color w:val="A02B93" w:themeColor="accent5"/>
              </w:rPr>
              <w:t>Northern Towns Area</w:t>
            </w:r>
          </w:p>
        </w:tc>
        <w:tc>
          <w:tcPr>
            <w:tcW w:w="2350" w:type="dxa"/>
            <w:vAlign w:val="center"/>
          </w:tcPr>
          <w:p w14:paraId="4A61AFC0" w14:textId="2E637734" w:rsidR="00FC4B2A" w:rsidRPr="00220732" w:rsidRDefault="00FC4B2A" w:rsidP="00FC4B2A">
            <w:pPr>
              <w:jc w:val="center"/>
              <w:rPr>
                <w:color w:val="A02B93" w:themeColor="accent5"/>
              </w:rPr>
            </w:pPr>
            <w:r w:rsidRPr="00220732">
              <w:rPr>
                <w:color w:val="A02B93" w:themeColor="accent5"/>
              </w:rPr>
              <w:t>65.8%</w:t>
            </w:r>
          </w:p>
        </w:tc>
        <w:tc>
          <w:tcPr>
            <w:tcW w:w="2350" w:type="dxa"/>
            <w:tcBorders>
              <w:top w:val="single" w:sz="4" w:space="0" w:color="auto"/>
              <w:left w:val="single" w:sz="4" w:space="0" w:color="auto"/>
              <w:bottom w:val="single" w:sz="4" w:space="0" w:color="auto"/>
              <w:right w:val="single" w:sz="4" w:space="0" w:color="auto"/>
            </w:tcBorders>
            <w:vAlign w:val="center"/>
          </w:tcPr>
          <w:p w14:paraId="20A046F9" w14:textId="3761F7B2" w:rsidR="00FC4B2A" w:rsidRPr="00220732" w:rsidRDefault="00FC4B2A" w:rsidP="00FC4B2A">
            <w:pPr>
              <w:jc w:val="center"/>
              <w:rPr>
                <w:color w:val="A02B93" w:themeColor="accent5"/>
              </w:rPr>
            </w:pPr>
            <w:r w:rsidRPr="00220732">
              <w:rPr>
                <w:color w:val="A02B93" w:themeColor="accent5"/>
              </w:rPr>
              <w:t>70.3%</w:t>
            </w:r>
          </w:p>
        </w:tc>
        <w:tc>
          <w:tcPr>
            <w:tcW w:w="1861" w:type="dxa"/>
            <w:tcBorders>
              <w:top w:val="single" w:sz="4" w:space="0" w:color="auto"/>
              <w:left w:val="single" w:sz="4" w:space="0" w:color="auto"/>
              <w:bottom w:val="single" w:sz="4" w:space="0" w:color="auto"/>
              <w:right w:val="single" w:sz="4" w:space="0" w:color="auto"/>
            </w:tcBorders>
            <w:vAlign w:val="center"/>
          </w:tcPr>
          <w:p w14:paraId="5BBE7C94" w14:textId="3CD5AD5F" w:rsidR="00FC4B2A" w:rsidRPr="00220732" w:rsidRDefault="00FC4B2A" w:rsidP="00FC4B2A">
            <w:pPr>
              <w:jc w:val="center"/>
              <w:rPr>
                <w:color w:val="A02B93" w:themeColor="accent5"/>
              </w:rPr>
            </w:pPr>
            <w:r w:rsidRPr="00220732">
              <w:rPr>
                <w:color w:val="A02B93" w:themeColor="accent5"/>
              </w:rPr>
              <w:t>61.1%</w:t>
            </w:r>
          </w:p>
        </w:tc>
      </w:tr>
      <w:tr w:rsidR="00220732" w:rsidRPr="00220732" w14:paraId="5D1AC559" w14:textId="35BE32C7" w:rsidTr="00014DF2">
        <w:trPr>
          <w:trHeight w:val="980"/>
        </w:trPr>
        <w:tc>
          <w:tcPr>
            <w:tcW w:w="2461" w:type="dxa"/>
          </w:tcPr>
          <w:p w14:paraId="156F42B2" w14:textId="53B2D77B" w:rsidR="00FC4B2A" w:rsidRPr="00220732" w:rsidRDefault="00FC4B2A" w:rsidP="00FC4B2A">
            <w:pPr>
              <w:jc w:val="left"/>
              <w:rPr>
                <w:color w:val="A02B93" w:themeColor="accent5"/>
              </w:rPr>
            </w:pPr>
            <w:r w:rsidRPr="00220732">
              <w:rPr>
                <w:color w:val="A02B93" w:themeColor="accent5"/>
              </w:rPr>
              <w:t>Rural Villages west of M1(</w:t>
            </w:r>
            <w:r w:rsidR="00092F5F" w:rsidRPr="00220732">
              <w:rPr>
                <w:color w:val="A02B93" w:themeColor="accent5"/>
              </w:rPr>
              <w:t>G</w:t>
            </w:r>
            <w:r w:rsidRPr="00220732">
              <w:rPr>
                <w:color w:val="A02B93" w:themeColor="accent5"/>
              </w:rPr>
              <w:t xml:space="preserve">reen </w:t>
            </w:r>
            <w:r w:rsidR="00092F5F" w:rsidRPr="00220732">
              <w:rPr>
                <w:color w:val="A02B93" w:themeColor="accent5"/>
              </w:rPr>
              <w:t>B</w:t>
            </w:r>
            <w:r w:rsidRPr="00220732">
              <w:rPr>
                <w:color w:val="A02B93" w:themeColor="accent5"/>
              </w:rPr>
              <w:t xml:space="preserve">elt </w:t>
            </w:r>
            <w:r w:rsidR="00092F5F" w:rsidRPr="00220732">
              <w:rPr>
                <w:color w:val="A02B93" w:themeColor="accent5"/>
              </w:rPr>
              <w:t>c</w:t>
            </w:r>
            <w:r w:rsidRPr="00220732">
              <w:rPr>
                <w:color w:val="A02B93" w:themeColor="accent5"/>
              </w:rPr>
              <w:t>onstrained)</w:t>
            </w:r>
          </w:p>
        </w:tc>
        <w:tc>
          <w:tcPr>
            <w:tcW w:w="2350" w:type="dxa"/>
            <w:vAlign w:val="center"/>
          </w:tcPr>
          <w:p w14:paraId="685E67B3" w14:textId="38E0C38F" w:rsidR="00FC4B2A" w:rsidRPr="00220732" w:rsidRDefault="00FC4B2A" w:rsidP="00FC4B2A">
            <w:pPr>
              <w:jc w:val="center"/>
              <w:rPr>
                <w:color w:val="A02B93" w:themeColor="accent5"/>
              </w:rPr>
            </w:pPr>
            <w:r w:rsidRPr="00220732">
              <w:rPr>
                <w:color w:val="A02B93" w:themeColor="accent5"/>
              </w:rPr>
              <w:t>10.1%</w:t>
            </w:r>
          </w:p>
        </w:tc>
        <w:tc>
          <w:tcPr>
            <w:tcW w:w="2350" w:type="dxa"/>
            <w:tcBorders>
              <w:top w:val="nil"/>
              <w:left w:val="single" w:sz="4" w:space="0" w:color="auto"/>
              <w:bottom w:val="single" w:sz="4" w:space="0" w:color="auto"/>
              <w:right w:val="single" w:sz="4" w:space="0" w:color="auto"/>
            </w:tcBorders>
            <w:vAlign w:val="center"/>
          </w:tcPr>
          <w:p w14:paraId="08BD3158" w14:textId="446847A6" w:rsidR="00FC4B2A" w:rsidRPr="00220732" w:rsidRDefault="00FC4B2A" w:rsidP="00FC4B2A">
            <w:pPr>
              <w:jc w:val="center"/>
              <w:rPr>
                <w:color w:val="A02B93" w:themeColor="accent5"/>
              </w:rPr>
            </w:pPr>
            <w:r w:rsidRPr="00220732">
              <w:rPr>
                <w:color w:val="A02B93" w:themeColor="accent5"/>
              </w:rPr>
              <w:t>8.5%</w:t>
            </w:r>
          </w:p>
        </w:tc>
        <w:tc>
          <w:tcPr>
            <w:tcW w:w="1861" w:type="dxa"/>
            <w:tcBorders>
              <w:top w:val="nil"/>
              <w:left w:val="single" w:sz="4" w:space="0" w:color="auto"/>
              <w:bottom w:val="single" w:sz="4" w:space="0" w:color="auto"/>
              <w:right w:val="single" w:sz="4" w:space="0" w:color="auto"/>
            </w:tcBorders>
            <w:vAlign w:val="center"/>
          </w:tcPr>
          <w:p w14:paraId="5CAEBD2E" w14:textId="6C68F99D" w:rsidR="00FC4B2A" w:rsidRPr="00220732" w:rsidRDefault="00FC4B2A" w:rsidP="00FC4B2A">
            <w:pPr>
              <w:jc w:val="center"/>
              <w:rPr>
                <w:color w:val="A02B93" w:themeColor="accent5"/>
              </w:rPr>
            </w:pPr>
            <w:r w:rsidRPr="00220732">
              <w:rPr>
                <w:color w:val="A02B93" w:themeColor="accent5"/>
              </w:rPr>
              <w:t>10.1%</w:t>
            </w:r>
          </w:p>
        </w:tc>
      </w:tr>
      <w:tr w:rsidR="00220732" w:rsidRPr="00220732" w14:paraId="10A6F1B9" w14:textId="369C7317" w:rsidTr="00014DF2">
        <w:trPr>
          <w:trHeight w:val="993"/>
        </w:trPr>
        <w:tc>
          <w:tcPr>
            <w:tcW w:w="2461" w:type="dxa"/>
          </w:tcPr>
          <w:p w14:paraId="6711D300" w14:textId="779EBB43" w:rsidR="00FC4B2A" w:rsidRPr="00220732" w:rsidRDefault="00FC4B2A" w:rsidP="00FC4B2A">
            <w:pPr>
              <w:jc w:val="left"/>
              <w:rPr>
                <w:color w:val="A02B93" w:themeColor="accent5"/>
              </w:rPr>
            </w:pPr>
            <w:r w:rsidRPr="00220732">
              <w:rPr>
                <w:color w:val="A02B93" w:themeColor="accent5"/>
              </w:rPr>
              <w:t>Southern Town Area (</w:t>
            </w:r>
            <w:r w:rsidR="00092F5F" w:rsidRPr="00220732">
              <w:rPr>
                <w:color w:val="A02B93" w:themeColor="accent5"/>
              </w:rPr>
              <w:t>G</w:t>
            </w:r>
            <w:r w:rsidRPr="00220732">
              <w:rPr>
                <w:color w:val="A02B93" w:themeColor="accent5"/>
              </w:rPr>
              <w:t xml:space="preserve">reen </w:t>
            </w:r>
            <w:r w:rsidR="00092F5F" w:rsidRPr="00220732">
              <w:rPr>
                <w:color w:val="A02B93" w:themeColor="accent5"/>
              </w:rPr>
              <w:t>B</w:t>
            </w:r>
            <w:r w:rsidRPr="00220732">
              <w:rPr>
                <w:color w:val="A02B93" w:themeColor="accent5"/>
              </w:rPr>
              <w:t>elt constrained)</w:t>
            </w:r>
          </w:p>
        </w:tc>
        <w:tc>
          <w:tcPr>
            <w:tcW w:w="2350" w:type="dxa"/>
            <w:vAlign w:val="center"/>
          </w:tcPr>
          <w:p w14:paraId="31D8A7E1" w14:textId="21BB0B3C" w:rsidR="00FC4B2A" w:rsidRPr="00220732" w:rsidRDefault="00FC4B2A" w:rsidP="00FC4B2A">
            <w:pPr>
              <w:jc w:val="center"/>
              <w:rPr>
                <w:color w:val="A02B93" w:themeColor="accent5"/>
              </w:rPr>
            </w:pPr>
            <w:r w:rsidRPr="00220732">
              <w:rPr>
                <w:color w:val="A02B93" w:themeColor="accent5"/>
              </w:rPr>
              <w:t>24.1%</w:t>
            </w:r>
          </w:p>
        </w:tc>
        <w:tc>
          <w:tcPr>
            <w:tcW w:w="2350" w:type="dxa"/>
            <w:tcBorders>
              <w:top w:val="nil"/>
              <w:left w:val="single" w:sz="4" w:space="0" w:color="auto"/>
              <w:bottom w:val="single" w:sz="4" w:space="0" w:color="auto"/>
              <w:right w:val="single" w:sz="4" w:space="0" w:color="auto"/>
            </w:tcBorders>
            <w:vAlign w:val="center"/>
          </w:tcPr>
          <w:p w14:paraId="5FAD2666" w14:textId="6F9178EE" w:rsidR="00FC4B2A" w:rsidRPr="00220732" w:rsidRDefault="00FC4B2A" w:rsidP="00FC4B2A">
            <w:pPr>
              <w:jc w:val="center"/>
              <w:rPr>
                <w:color w:val="A02B93" w:themeColor="accent5"/>
              </w:rPr>
            </w:pPr>
            <w:r w:rsidRPr="00220732">
              <w:rPr>
                <w:color w:val="A02B93" w:themeColor="accent5"/>
              </w:rPr>
              <w:t>21.1%</w:t>
            </w:r>
          </w:p>
        </w:tc>
        <w:tc>
          <w:tcPr>
            <w:tcW w:w="1861" w:type="dxa"/>
            <w:tcBorders>
              <w:top w:val="nil"/>
              <w:left w:val="single" w:sz="4" w:space="0" w:color="auto"/>
              <w:bottom w:val="single" w:sz="4" w:space="0" w:color="auto"/>
              <w:right w:val="single" w:sz="4" w:space="0" w:color="auto"/>
            </w:tcBorders>
            <w:vAlign w:val="center"/>
          </w:tcPr>
          <w:p w14:paraId="2AF809FB" w14:textId="123CFB1E" w:rsidR="00FC4B2A" w:rsidRPr="00220732" w:rsidRDefault="00FC4B2A" w:rsidP="00FC4B2A">
            <w:pPr>
              <w:jc w:val="center"/>
              <w:rPr>
                <w:color w:val="A02B93" w:themeColor="accent5"/>
              </w:rPr>
            </w:pPr>
            <w:r w:rsidRPr="00220732">
              <w:rPr>
                <w:color w:val="A02B93" w:themeColor="accent5"/>
              </w:rPr>
              <w:t>28.8%</w:t>
            </w:r>
          </w:p>
        </w:tc>
      </w:tr>
      <w:tr w:rsidR="00220732" w:rsidRPr="00220732" w14:paraId="33945DB7" w14:textId="08A3A6BF" w:rsidTr="00014DF2">
        <w:trPr>
          <w:trHeight w:val="612"/>
        </w:trPr>
        <w:tc>
          <w:tcPr>
            <w:tcW w:w="2461" w:type="dxa"/>
          </w:tcPr>
          <w:p w14:paraId="6F93F170" w14:textId="3E5A4A4E" w:rsidR="00FC4B2A" w:rsidRPr="00220732" w:rsidRDefault="00FC4B2A" w:rsidP="00FC4B2A">
            <w:pPr>
              <w:jc w:val="left"/>
              <w:rPr>
                <w:b/>
                <w:bCs/>
                <w:color w:val="A02B93" w:themeColor="accent5"/>
              </w:rPr>
            </w:pPr>
            <w:r w:rsidRPr="00220732">
              <w:rPr>
                <w:b/>
                <w:bCs/>
                <w:color w:val="A02B93" w:themeColor="accent5"/>
              </w:rPr>
              <w:t>Ashfield District Total</w:t>
            </w:r>
          </w:p>
        </w:tc>
        <w:tc>
          <w:tcPr>
            <w:tcW w:w="2350" w:type="dxa"/>
            <w:vAlign w:val="center"/>
          </w:tcPr>
          <w:p w14:paraId="19A24E79" w14:textId="10BC99C3" w:rsidR="00FC4B2A" w:rsidRPr="00220732" w:rsidRDefault="00FC4B2A" w:rsidP="00FC4B2A">
            <w:pPr>
              <w:jc w:val="center"/>
              <w:rPr>
                <w:b/>
                <w:bCs/>
                <w:color w:val="A02B93" w:themeColor="accent5"/>
              </w:rPr>
            </w:pPr>
            <w:r w:rsidRPr="00220732">
              <w:rPr>
                <w:b/>
                <w:bCs/>
                <w:color w:val="A02B93" w:themeColor="accent5"/>
              </w:rPr>
              <w:t>100.0%</w:t>
            </w:r>
          </w:p>
        </w:tc>
        <w:tc>
          <w:tcPr>
            <w:tcW w:w="2350" w:type="dxa"/>
            <w:tcBorders>
              <w:top w:val="nil"/>
              <w:left w:val="single" w:sz="4" w:space="0" w:color="auto"/>
              <w:bottom w:val="single" w:sz="4" w:space="0" w:color="auto"/>
              <w:right w:val="single" w:sz="4" w:space="0" w:color="auto"/>
            </w:tcBorders>
            <w:vAlign w:val="center"/>
          </w:tcPr>
          <w:p w14:paraId="02A94A4F" w14:textId="3AD92332" w:rsidR="00FC4B2A" w:rsidRPr="00220732" w:rsidRDefault="00FC4B2A" w:rsidP="00FC4B2A">
            <w:pPr>
              <w:jc w:val="center"/>
              <w:rPr>
                <w:color w:val="A02B93" w:themeColor="accent5"/>
              </w:rPr>
            </w:pPr>
            <w:r w:rsidRPr="00220732">
              <w:rPr>
                <w:b/>
                <w:bCs/>
                <w:color w:val="A02B93" w:themeColor="accent5"/>
              </w:rPr>
              <w:t>100.0%</w:t>
            </w:r>
          </w:p>
        </w:tc>
        <w:tc>
          <w:tcPr>
            <w:tcW w:w="1861" w:type="dxa"/>
            <w:tcBorders>
              <w:top w:val="nil"/>
              <w:left w:val="single" w:sz="4" w:space="0" w:color="auto"/>
              <w:bottom w:val="single" w:sz="4" w:space="0" w:color="auto"/>
              <w:right w:val="single" w:sz="4" w:space="0" w:color="auto"/>
            </w:tcBorders>
            <w:vAlign w:val="center"/>
          </w:tcPr>
          <w:p w14:paraId="0940A895" w14:textId="487A63C6" w:rsidR="00FC4B2A" w:rsidRPr="00220732" w:rsidRDefault="00FC4B2A" w:rsidP="00FC4B2A">
            <w:pPr>
              <w:jc w:val="center"/>
              <w:rPr>
                <w:color w:val="A02B93" w:themeColor="accent5"/>
              </w:rPr>
            </w:pPr>
            <w:r w:rsidRPr="00220732">
              <w:rPr>
                <w:b/>
                <w:bCs/>
                <w:color w:val="A02B93" w:themeColor="accent5"/>
              </w:rPr>
              <w:t>100.0%</w:t>
            </w:r>
          </w:p>
        </w:tc>
      </w:tr>
    </w:tbl>
    <w:p w14:paraId="26049BF8" w14:textId="77777777" w:rsidR="00FA525B" w:rsidRPr="00220732" w:rsidRDefault="00FA525B" w:rsidP="00C57EE1">
      <w:pPr>
        <w:spacing w:after="0" w:line="240" w:lineRule="auto"/>
        <w:ind w:left="720" w:hanging="720"/>
        <w:jc w:val="left"/>
        <w:rPr>
          <w:color w:val="A02B93" w:themeColor="accent5"/>
        </w:rPr>
      </w:pPr>
    </w:p>
    <w:p w14:paraId="12BC4CF5" w14:textId="77777777" w:rsidR="00833DA7" w:rsidRPr="00220732" w:rsidRDefault="00833DA7" w:rsidP="00B10B53">
      <w:pPr>
        <w:spacing w:after="0" w:line="240" w:lineRule="auto"/>
        <w:jc w:val="left"/>
        <w:rPr>
          <w:color w:val="A02B93" w:themeColor="accent5"/>
        </w:rPr>
      </w:pPr>
    </w:p>
    <w:p w14:paraId="5B56D940" w14:textId="3883DDAE" w:rsidR="00BC3D24" w:rsidRPr="00220732" w:rsidRDefault="00585BD2" w:rsidP="00585BD2">
      <w:pPr>
        <w:spacing w:after="0" w:line="240" w:lineRule="auto"/>
        <w:ind w:left="720" w:hanging="720"/>
        <w:jc w:val="left"/>
        <w:rPr>
          <w:color w:val="A02B93" w:themeColor="accent5"/>
        </w:rPr>
      </w:pPr>
      <w:r w:rsidRPr="00220732">
        <w:rPr>
          <w:color w:val="A02B93" w:themeColor="accent5"/>
        </w:rPr>
        <w:t>3.1.10</w:t>
      </w:r>
      <w:r w:rsidRPr="00220732">
        <w:rPr>
          <w:color w:val="A02B93" w:themeColor="accent5"/>
        </w:rPr>
        <w:tab/>
        <w:t xml:space="preserve">Despite the slightly higher planned growth in the north of the </w:t>
      </w:r>
      <w:r w:rsidR="00DC40C2" w:rsidRPr="00220732">
        <w:rPr>
          <w:color w:val="A02B93" w:themeColor="accent5"/>
        </w:rPr>
        <w:t>D</w:t>
      </w:r>
      <w:r w:rsidRPr="00220732">
        <w:rPr>
          <w:color w:val="A02B93" w:themeColor="accent5"/>
        </w:rPr>
        <w:t xml:space="preserve">istrict, it is considered that this remains broadly comparable with the distribution of the existing population across the District and at a scale which is appropriate to the existing settlements. It is also notable that </w:t>
      </w:r>
      <w:r w:rsidR="00DC40C2" w:rsidRPr="00220732">
        <w:rPr>
          <w:color w:val="A02B93" w:themeColor="accent5"/>
        </w:rPr>
        <w:t xml:space="preserve">Hucknall has additional </w:t>
      </w:r>
      <w:r w:rsidR="00BB520C" w:rsidRPr="00220732">
        <w:rPr>
          <w:color w:val="A02B93" w:themeColor="accent5"/>
        </w:rPr>
        <w:t xml:space="preserve">permissioned and </w:t>
      </w:r>
      <w:r w:rsidR="00DC40C2" w:rsidRPr="00220732">
        <w:rPr>
          <w:color w:val="A02B93" w:themeColor="accent5"/>
        </w:rPr>
        <w:t xml:space="preserve">planned growth </w:t>
      </w:r>
      <w:r w:rsidR="00BB520C" w:rsidRPr="00220732">
        <w:rPr>
          <w:color w:val="A02B93" w:themeColor="accent5"/>
        </w:rPr>
        <w:t xml:space="preserve">in ‘white land’ </w:t>
      </w:r>
      <w:r w:rsidR="00DC40C2" w:rsidRPr="00220732">
        <w:rPr>
          <w:color w:val="A02B93" w:themeColor="accent5"/>
        </w:rPr>
        <w:t xml:space="preserve">which falls within </w:t>
      </w:r>
      <w:r w:rsidR="00BB520C" w:rsidRPr="00220732">
        <w:rPr>
          <w:color w:val="A02B93" w:themeColor="accent5"/>
        </w:rPr>
        <w:t>the administration boundary of Gedling Borough. This is likely to see future expansion of the town beyond the Ashfield Local Plan period of 2040.</w:t>
      </w:r>
    </w:p>
    <w:p w14:paraId="40AE23C0" w14:textId="77777777" w:rsidR="00833DA7" w:rsidRPr="00220732" w:rsidRDefault="00833DA7" w:rsidP="00B10B53">
      <w:pPr>
        <w:spacing w:after="0" w:line="240" w:lineRule="auto"/>
        <w:jc w:val="left"/>
        <w:rPr>
          <w:color w:val="A02B93" w:themeColor="accent5"/>
        </w:rPr>
      </w:pPr>
    </w:p>
    <w:p w14:paraId="2B7C7214" w14:textId="317445E7" w:rsidR="007037B0" w:rsidRPr="00220732" w:rsidRDefault="001C4B8F" w:rsidP="001C4B8F">
      <w:pPr>
        <w:pStyle w:val="Heading3"/>
        <w:rPr>
          <w:color w:val="A02B93" w:themeColor="accent5"/>
        </w:rPr>
      </w:pPr>
      <w:r w:rsidRPr="00220732">
        <w:rPr>
          <w:color w:val="A02B93" w:themeColor="accent5"/>
        </w:rPr>
        <w:t>3.1(.2) Is the Spatial Strategy effective having regard to the scale and location of the proposed additional sites?</w:t>
      </w:r>
    </w:p>
    <w:p w14:paraId="7281420B" w14:textId="77777777" w:rsidR="001C4B8F" w:rsidRPr="00220732" w:rsidRDefault="001C4B8F" w:rsidP="001C4B8F">
      <w:pPr>
        <w:jc w:val="left"/>
        <w:rPr>
          <w:color w:val="A02B93" w:themeColor="accent5"/>
          <w:u w:val="single"/>
        </w:rPr>
      </w:pPr>
      <w:r w:rsidRPr="00220732">
        <w:rPr>
          <w:color w:val="A02B93" w:themeColor="accent5"/>
          <w:u w:val="single"/>
        </w:rPr>
        <w:t>Council’s response</w:t>
      </w:r>
    </w:p>
    <w:p w14:paraId="5FAD06D2" w14:textId="7062E27A" w:rsidR="001C4B8F" w:rsidRPr="00220732" w:rsidRDefault="008B19D0" w:rsidP="00295206">
      <w:pPr>
        <w:spacing w:after="0" w:line="240" w:lineRule="auto"/>
        <w:ind w:left="720" w:hanging="720"/>
        <w:jc w:val="left"/>
        <w:rPr>
          <w:color w:val="A02B93" w:themeColor="accent5"/>
        </w:rPr>
      </w:pPr>
      <w:r w:rsidRPr="00220732">
        <w:rPr>
          <w:color w:val="A02B93" w:themeColor="accent5"/>
        </w:rPr>
        <w:t>3.1.</w:t>
      </w:r>
      <w:r w:rsidR="00295206" w:rsidRPr="00220732">
        <w:rPr>
          <w:color w:val="A02B93" w:themeColor="accent5"/>
        </w:rPr>
        <w:t>11</w:t>
      </w:r>
      <w:r w:rsidR="00295206" w:rsidRPr="00220732">
        <w:rPr>
          <w:color w:val="A02B93" w:themeColor="accent5"/>
        </w:rPr>
        <w:tab/>
        <w:t>Yes. As set out in response to Qu. 3.1(.1) applying the Council’s agreed Spatial Strategy will deliver distributed an</w:t>
      </w:r>
      <w:r w:rsidR="00220732" w:rsidRPr="00220732">
        <w:rPr>
          <w:color w:val="A02B93" w:themeColor="accent5"/>
        </w:rPr>
        <w:t>d</w:t>
      </w:r>
      <w:r w:rsidR="00295206" w:rsidRPr="00220732">
        <w:rPr>
          <w:color w:val="A02B93" w:themeColor="accent5"/>
        </w:rPr>
        <w:t xml:space="preserve"> proportionate growth which meets the future housing needs of the District to 2040.  </w:t>
      </w:r>
      <w:r w:rsidR="00220732" w:rsidRPr="00220732">
        <w:rPr>
          <w:color w:val="A02B93" w:themeColor="accent5"/>
        </w:rPr>
        <w:t xml:space="preserve">It reflects an approach which seeks to maintain the effectiveness of the Nottingham-Derby Green Belt whilst enabling growth in the most sustainable locations.  </w:t>
      </w:r>
    </w:p>
    <w:p w14:paraId="67D83E8B" w14:textId="77777777" w:rsidR="001C4B8F" w:rsidRDefault="001C4B8F" w:rsidP="00B10B53">
      <w:pPr>
        <w:spacing w:after="0" w:line="240" w:lineRule="auto"/>
        <w:jc w:val="left"/>
      </w:pPr>
    </w:p>
    <w:p w14:paraId="67A16E70" w14:textId="77777777" w:rsidR="001C4B8F" w:rsidRDefault="001C4B8F" w:rsidP="00B10B53">
      <w:pPr>
        <w:spacing w:after="0" w:line="240" w:lineRule="auto"/>
        <w:jc w:val="left"/>
      </w:pPr>
    </w:p>
    <w:p w14:paraId="7A8FB192" w14:textId="77777777" w:rsidR="001C4B8F" w:rsidRDefault="001C4B8F" w:rsidP="00B10B53">
      <w:pPr>
        <w:spacing w:after="0" w:line="240" w:lineRule="auto"/>
        <w:jc w:val="left"/>
        <w:rPr>
          <w:rFonts w:eastAsia="Calibri" w:cs="Arial"/>
          <w:szCs w:val="24"/>
        </w:rPr>
      </w:pPr>
    </w:p>
    <w:p w14:paraId="0D2C8A23" w14:textId="483C0A5E" w:rsidR="003A1825" w:rsidRPr="003A214C" w:rsidRDefault="003A1825" w:rsidP="00B401C2">
      <w:pPr>
        <w:pStyle w:val="Heading3"/>
      </w:pPr>
      <w:r w:rsidRPr="003A214C">
        <w:t>3.2 What alternative options for the spatial strategy were considered?</w:t>
      </w:r>
    </w:p>
    <w:p w14:paraId="06C665C9" w14:textId="77777777" w:rsidR="003A214C" w:rsidRPr="00156B97" w:rsidRDefault="003A214C" w:rsidP="003A214C">
      <w:pPr>
        <w:jc w:val="left"/>
        <w:rPr>
          <w:u w:val="single"/>
        </w:rPr>
      </w:pPr>
      <w:r w:rsidRPr="00156B97">
        <w:rPr>
          <w:u w:val="single"/>
        </w:rPr>
        <w:t>Council’s response</w:t>
      </w:r>
    </w:p>
    <w:p w14:paraId="5DEBAD47" w14:textId="77777777" w:rsidR="00F431CF" w:rsidRDefault="0057218A" w:rsidP="000534EF">
      <w:pPr>
        <w:pStyle w:val="WDBodyNumbered"/>
        <w:numPr>
          <w:ilvl w:val="2"/>
          <w:numId w:val="0"/>
        </w:numPr>
        <w:ind w:left="720" w:hanging="720"/>
        <w:rPr>
          <w:rFonts w:ascii="Arial" w:hAnsi="Arial" w:cs="Arial"/>
          <w:sz w:val="24"/>
          <w:szCs w:val="24"/>
        </w:rPr>
      </w:pPr>
      <w:r>
        <w:rPr>
          <w:rFonts w:ascii="Arial" w:hAnsi="Arial" w:cs="Arial"/>
          <w:sz w:val="24"/>
          <w:szCs w:val="24"/>
        </w:rPr>
        <w:t>3.2.1</w:t>
      </w:r>
      <w:r>
        <w:rPr>
          <w:rFonts w:ascii="Arial" w:hAnsi="Arial" w:cs="Arial"/>
          <w:sz w:val="24"/>
          <w:szCs w:val="24"/>
        </w:rPr>
        <w:tab/>
      </w:r>
      <w:r w:rsidR="00083106">
        <w:rPr>
          <w:rFonts w:ascii="Arial" w:hAnsi="Arial" w:cs="Arial"/>
          <w:sz w:val="24"/>
          <w:szCs w:val="24"/>
        </w:rPr>
        <w:t>Section 5.5 of the Sustainability Appraisal (SA</w:t>
      </w:r>
      <w:r w:rsidR="00083106" w:rsidRPr="00402164">
        <w:rPr>
          <w:rFonts w:ascii="Arial" w:hAnsi="Arial" w:cs="Arial"/>
          <w:sz w:val="24"/>
          <w:szCs w:val="24"/>
        </w:rPr>
        <w:t>) [SD.03]</w:t>
      </w:r>
      <w:r w:rsidR="00083106">
        <w:rPr>
          <w:rFonts w:ascii="Arial" w:hAnsi="Arial" w:cs="Arial"/>
          <w:sz w:val="24"/>
          <w:szCs w:val="24"/>
        </w:rPr>
        <w:t xml:space="preserve"> sets out in para</w:t>
      </w:r>
      <w:r w:rsidR="000534EF">
        <w:rPr>
          <w:rFonts w:ascii="Arial" w:hAnsi="Arial" w:cs="Arial"/>
          <w:sz w:val="24"/>
          <w:szCs w:val="24"/>
        </w:rPr>
        <w:t>graphs</w:t>
      </w:r>
      <w:r w:rsidR="00083106">
        <w:rPr>
          <w:rFonts w:ascii="Arial" w:hAnsi="Arial" w:cs="Arial"/>
          <w:sz w:val="24"/>
          <w:szCs w:val="24"/>
        </w:rPr>
        <w:t xml:space="preserve"> 5.5.2 </w:t>
      </w:r>
      <w:r w:rsidR="000534EF">
        <w:rPr>
          <w:rFonts w:ascii="Arial" w:hAnsi="Arial" w:cs="Arial"/>
          <w:sz w:val="24"/>
          <w:szCs w:val="24"/>
        </w:rPr>
        <w:t xml:space="preserve">to </w:t>
      </w:r>
      <w:r w:rsidR="00083106">
        <w:rPr>
          <w:rFonts w:ascii="Arial" w:hAnsi="Arial" w:cs="Arial"/>
          <w:sz w:val="24"/>
          <w:szCs w:val="24"/>
        </w:rPr>
        <w:t>5.5.4 th</w:t>
      </w:r>
      <w:r w:rsidR="000534EF">
        <w:rPr>
          <w:rFonts w:ascii="Arial" w:hAnsi="Arial" w:cs="Arial"/>
          <w:sz w:val="24"/>
          <w:szCs w:val="24"/>
        </w:rPr>
        <w:t>at the Council considered 1</w:t>
      </w:r>
      <w:r w:rsidR="007F0830" w:rsidRPr="007F0830">
        <w:rPr>
          <w:rFonts w:ascii="Arial" w:hAnsi="Arial" w:cs="Arial"/>
          <w:sz w:val="24"/>
          <w:szCs w:val="24"/>
        </w:rPr>
        <w:t xml:space="preserve">0 </w:t>
      </w:r>
      <w:r w:rsidR="000534EF">
        <w:rPr>
          <w:rFonts w:ascii="Arial" w:hAnsi="Arial" w:cs="Arial"/>
          <w:sz w:val="24"/>
          <w:szCs w:val="24"/>
        </w:rPr>
        <w:t xml:space="preserve">spatial </w:t>
      </w:r>
      <w:r w:rsidR="007F0830" w:rsidRPr="007F0830">
        <w:rPr>
          <w:rFonts w:ascii="Arial" w:hAnsi="Arial" w:cs="Arial"/>
          <w:sz w:val="24"/>
          <w:szCs w:val="24"/>
        </w:rPr>
        <w:t>strategic options</w:t>
      </w:r>
      <w:r w:rsidR="00F431CF">
        <w:rPr>
          <w:rFonts w:ascii="Arial" w:hAnsi="Arial" w:cs="Arial"/>
          <w:sz w:val="24"/>
          <w:szCs w:val="24"/>
        </w:rPr>
        <w:t>, from which:</w:t>
      </w:r>
    </w:p>
    <w:p w14:paraId="70F86989" w14:textId="43041A62" w:rsidR="00F431CF" w:rsidRPr="007F0830" w:rsidRDefault="00F431CF" w:rsidP="00F431CF">
      <w:pPr>
        <w:pStyle w:val="WDBullets"/>
        <w:numPr>
          <w:ilvl w:val="0"/>
          <w:numId w:val="19"/>
        </w:numPr>
        <w:ind w:left="1134"/>
        <w:rPr>
          <w:rFonts w:ascii="Arial" w:hAnsi="Arial" w:cs="Arial"/>
          <w:sz w:val="24"/>
          <w:szCs w:val="24"/>
        </w:rPr>
      </w:pPr>
      <w:r w:rsidRPr="00C83B74">
        <w:rPr>
          <w:rFonts w:ascii="Arial" w:hAnsi="Arial" w:cs="Arial"/>
          <w:sz w:val="24"/>
          <w:szCs w:val="24"/>
          <w:u w:val="single"/>
        </w:rPr>
        <w:lastRenderedPageBreak/>
        <w:t>Option 1</w:t>
      </w:r>
      <w:r>
        <w:rPr>
          <w:rFonts w:ascii="Arial" w:hAnsi="Arial" w:cs="Arial"/>
          <w:sz w:val="24"/>
          <w:szCs w:val="24"/>
        </w:rPr>
        <w:t xml:space="preserve">: </w:t>
      </w:r>
      <w:r w:rsidRPr="007F0830">
        <w:rPr>
          <w:rFonts w:ascii="Arial" w:hAnsi="Arial" w:cs="Arial"/>
          <w:sz w:val="24"/>
          <w:szCs w:val="24"/>
        </w:rPr>
        <w:t>Containment within existing settlements</w:t>
      </w:r>
      <w:r>
        <w:rPr>
          <w:rFonts w:ascii="Arial" w:hAnsi="Arial" w:cs="Arial"/>
          <w:sz w:val="24"/>
          <w:szCs w:val="24"/>
        </w:rPr>
        <w:t xml:space="preserve"> - NOT taken forward for SA</w:t>
      </w:r>
    </w:p>
    <w:p w14:paraId="5BFBB583" w14:textId="3E299E22" w:rsidR="000534EF" w:rsidRDefault="00F431CF" w:rsidP="00F431CF">
      <w:pPr>
        <w:pStyle w:val="WDBullets"/>
        <w:numPr>
          <w:ilvl w:val="0"/>
          <w:numId w:val="19"/>
        </w:numPr>
        <w:ind w:left="1134"/>
        <w:rPr>
          <w:rFonts w:ascii="Arial" w:hAnsi="Arial" w:cs="Arial"/>
          <w:sz w:val="24"/>
          <w:szCs w:val="24"/>
        </w:rPr>
      </w:pPr>
      <w:r w:rsidRPr="00C83B74">
        <w:rPr>
          <w:rFonts w:ascii="Arial" w:hAnsi="Arial" w:cs="Arial"/>
          <w:sz w:val="24"/>
          <w:szCs w:val="24"/>
          <w:u w:val="single"/>
        </w:rPr>
        <w:t>Option 2</w:t>
      </w:r>
      <w:r>
        <w:rPr>
          <w:rFonts w:ascii="Arial" w:hAnsi="Arial" w:cs="Arial"/>
          <w:sz w:val="24"/>
          <w:szCs w:val="24"/>
        </w:rPr>
        <w:t xml:space="preserve">: </w:t>
      </w:r>
      <w:r w:rsidRPr="007F0830">
        <w:rPr>
          <w:rFonts w:ascii="Arial" w:hAnsi="Arial" w:cs="Arial"/>
          <w:sz w:val="24"/>
          <w:szCs w:val="24"/>
        </w:rPr>
        <w:t>Urban Concentration within/adjoining existing settlements with no Green Belt release</w:t>
      </w:r>
      <w:r>
        <w:rPr>
          <w:rFonts w:ascii="Arial" w:hAnsi="Arial" w:cs="Arial"/>
          <w:sz w:val="24"/>
          <w:szCs w:val="24"/>
        </w:rPr>
        <w:t>’ - NOT taken forward for SA</w:t>
      </w:r>
      <w:r w:rsidR="007F0830" w:rsidRPr="007F0830">
        <w:rPr>
          <w:rFonts w:ascii="Arial" w:hAnsi="Arial" w:cs="Arial"/>
          <w:sz w:val="24"/>
          <w:szCs w:val="24"/>
        </w:rPr>
        <w:t xml:space="preserve"> </w:t>
      </w:r>
    </w:p>
    <w:p w14:paraId="0AF080CC" w14:textId="0B955695" w:rsidR="00704EC1" w:rsidRDefault="00704EC1" w:rsidP="00704EC1">
      <w:pPr>
        <w:pStyle w:val="WDBullets"/>
        <w:numPr>
          <w:ilvl w:val="0"/>
          <w:numId w:val="19"/>
        </w:numPr>
        <w:ind w:left="1134"/>
        <w:rPr>
          <w:rFonts w:ascii="Arial" w:hAnsi="Arial" w:cs="Arial"/>
          <w:sz w:val="24"/>
          <w:szCs w:val="24"/>
        </w:rPr>
      </w:pPr>
      <w:r w:rsidRPr="00C83B74">
        <w:rPr>
          <w:rFonts w:ascii="Arial" w:hAnsi="Arial" w:cs="Arial"/>
          <w:sz w:val="24"/>
          <w:szCs w:val="24"/>
          <w:u w:val="single"/>
        </w:rPr>
        <w:t>Option 3</w:t>
      </w:r>
      <w:r>
        <w:rPr>
          <w:rFonts w:ascii="Arial" w:hAnsi="Arial" w:cs="Arial"/>
          <w:sz w:val="24"/>
          <w:szCs w:val="24"/>
        </w:rPr>
        <w:t xml:space="preserve">: Dispersed Development </w:t>
      </w:r>
      <w:r w:rsidRPr="00083106">
        <w:rPr>
          <w:rFonts w:ascii="Arial" w:hAnsi="Arial" w:cs="Arial"/>
          <w:sz w:val="24"/>
          <w:szCs w:val="24"/>
        </w:rPr>
        <w:t>(across the district) comprising of smaller sites, each with capacity for less than 500 dwellings</w:t>
      </w:r>
      <w:r>
        <w:rPr>
          <w:rFonts w:ascii="Arial" w:hAnsi="Arial" w:cs="Arial"/>
          <w:sz w:val="24"/>
          <w:szCs w:val="24"/>
        </w:rPr>
        <w:t xml:space="preserve"> – SELECTED</w:t>
      </w:r>
      <w:r w:rsidRPr="00083106">
        <w:rPr>
          <w:rFonts w:ascii="Arial" w:hAnsi="Arial" w:cs="Arial"/>
          <w:sz w:val="24"/>
          <w:szCs w:val="24"/>
        </w:rPr>
        <w:t>.</w:t>
      </w:r>
    </w:p>
    <w:p w14:paraId="655DB5AA" w14:textId="574C505D" w:rsidR="00083106" w:rsidRPr="00083106" w:rsidRDefault="000534EF" w:rsidP="0057218A">
      <w:pPr>
        <w:pStyle w:val="WDBodyNumbered"/>
        <w:numPr>
          <w:ilvl w:val="2"/>
          <w:numId w:val="0"/>
        </w:numPr>
        <w:ind w:left="720" w:hanging="720"/>
        <w:rPr>
          <w:rFonts w:ascii="Arial" w:hAnsi="Arial" w:cs="Arial"/>
          <w:sz w:val="24"/>
          <w:szCs w:val="24"/>
        </w:rPr>
      </w:pPr>
      <w:r>
        <w:rPr>
          <w:rFonts w:ascii="Arial" w:hAnsi="Arial" w:cs="Arial"/>
          <w:sz w:val="24"/>
          <w:szCs w:val="24"/>
        </w:rPr>
        <w:t>3.2.</w:t>
      </w:r>
      <w:r w:rsidR="00F431CF">
        <w:rPr>
          <w:rFonts w:ascii="Arial" w:hAnsi="Arial" w:cs="Arial"/>
          <w:sz w:val="24"/>
          <w:szCs w:val="24"/>
        </w:rPr>
        <w:t>2</w:t>
      </w:r>
      <w:r w:rsidR="00F431CF">
        <w:rPr>
          <w:rFonts w:ascii="Arial" w:hAnsi="Arial" w:cs="Arial"/>
          <w:sz w:val="24"/>
          <w:szCs w:val="24"/>
        </w:rPr>
        <w:tab/>
        <w:t>The reason for not taking forward Options 1 &amp; 2 was that e</w:t>
      </w:r>
      <w:r w:rsidR="00083106" w:rsidRPr="00083106">
        <w:rPr>
          <w:rFonts w:ascii="Arial" w:hAnsi="Arial" w:cs="Arial"/>
          <w:sz w:val="24"/>
          <w:szCs w:val="24"/>
        </w:rPr>
        <w:t>vidence show</w:t>
      </w:r>
      <w:r>
        <w:rPr>
          <w:rFonts w:ascii="Arial" w:hAnsi="Arial" w:cs="Arial"/>
          <w:sz w:val="24"/>
          <w:szCs w:val="24"/>
        </w:rPr>
        <w:t xml:space="preserve">ed </w:t>
      </w:r>
      <w:r w:rsidR="00083106" w:rsidRPr="00083106">
        <w:rPr>
          <w:rFonts w:ascii="Arial" w:hAnsi="Arial" w:cs="Arial"/>
          <w:sz w:val="24"/>
          <w:szCs w:val="24"/>
        </w:rPr>
        <w:t>that there are not enough sites available through the Strategic Housing and Economic Land Availability Assessment (SHELAA) process to meet the minimum housing required in the district</w:t>
      </w:r>
      <w:r w:rsidR="00F431CF">
        <w:rPr>
          <w:rFonts w:ascii="Arial" w:hAnsi="Arial" w:cs="Arial"/>
          <w:sz w:val="24"/>
          <w:szCs w:val="24"/>
        </w:rPr>
        <w:t>.</w:t>
      </w:r>
      <w:r w:rsidR="00083106" w:rsidRPr="00083106">
        <w:rPr>
          <w:rFonts w:ascii="Arial" w:hAnsi="Arial" w:cs="Arial"/>
          <w:sz w:val="24"/>
          <w:szCs w:val="24"/>
        </w:rPr>
        <w:t xml:space="preserve">  In SA terms, it is therefore considered that the</w:t>
      </w:r>
      <w:r>
        <w:rPr>
          <w:rFonts w:ascii="Arial" w:hAnsi="Arial" w:cs="Arial"/>
          <w:sz w:val="24"/>
          <w:szCs w:val="24"/>
        </w:rPr>
        <w:t>y were</w:t>
      </w:r>
      <w:r w:rsidR="00083106" w:rsidRPr="00083106">
        <w:rPr>
          <w:rFonts w:ascii="Arial" w:hAnsi="Arial" w:cs="Arial"/>
          <w:sz w:val="24"/>
          <w:szCs w:val="24"/>
        </w:rPr>
        <w:t xml:space="preserve"> not ‘reasonable alternatives’ as they will not deliver the Local Plan’s growth objectives.  </w:t>
      </w:r>
    </w:p>
    <w:p w14:paraId="570F2501" w14:textId="268177A7" w:rsidR="00083106" w:rsidRPr="00083106" w:rsidRDefault="0057218A" w:rsidP="0057218A">
      <w:pPr>
        <w:pStyle w:val="WDBodyNumbered"/>
        <w:numPr>
          <w:ilvl w:val="2"/>
          <w:numId w:val="0"/>
        </w:numPr>
        <w:ind w:left="709" w:hanging="709"/>
        <w:rPr>
          <w:rFonts w:ascii="Arial" w:hAnsi="Arial" w:cs="Arial"/>
          <w:sz w:val="24"/>
          <w:szCs w:val="24"/>
        </w:rPr>
      </w:pPr>
      <w:r>
        <w:rPr>
          <w:rFonts w:ascii="Arial" w:hAnsi="Arial" w:cs="Arial"/>
          <w:sz w:val="24"/>
          <w:szCs w:val="24"/>
        </w:rPr>
        <w:t>3.2.3</w:t>
      </w:r>
      <w:r>
        <w:rPr>
          <w:rFonts w:ascii="Arial" w:hAnsi="Arial" w:cs="Arial"/>
          <w:sz w:val="24"/>
          <w:szCs w:val="24"/>
        </w:rPr>
        <w:tab/>
      </w:r>
      <w:r w:rsidR="00F431CF">
        <w:rPr>
          <w:rFonts w:ascii="Arial" w:hAnsi="Arial" w:cs="Arial"/>
          <w:sz w:val="24"/>
          <w:szCs w:val="24"/>
        </w:rPr>
        <w:t>The following seven</w:t>
      </w:r>
      <w:r w:rsidR="00083106" w:rsidRPr="00083106">
        <w:rPr>
          <w:rFonts w:ascii="Arial" w:hAnsi="Arial" w:cs="Arial"/>
          <w:sz w:val="24"/>
          <w:szCs w:val="24"/>
        </w:rPr>
        <w:t xml:space="preserve"> strategic spatial options </w:t>
      </w:r>
      <w:r w:rsidR="00F431CF">
        <w:rPr>
          <w:rFonts w:ascii="Arial" w:hAnsi="Arial" w:cs="Arial"/>
          <w:sz w:val="24"/>
          <w:szCs w:val="24"/>
        </w:rPr>
        <w:t>were therefore considered as alternative options</w:t>
      </w:r>
      <w:r w:rsidR="00083106" w:rsidRPr="00083106">
        <w:rPr>
          <w:rFonts w:ascii="Arial" w:hAnsi="Arial" w:cs="Arial"/>
          <w:sz w:val="24"/>
          <w:szCs w:val="24"/>
        </w:rPr>
        <w:t>:</w:t>
      </w:r>
    </w:p>
    <w:p w14:paraId="04444410" w14:textId="6EBE837C" w:rsidR="00083106" w:rsidRPr="00083106" w:rsidRDefault="00F431CF" w:rsidP="00F431CF">
      <w:pPr>
        <w:pStyle w:val="WDBullets"/>
        <w:numPr>
          <w:ilvl w:val="0"/>
          <w:numId w:val="20"/>
        </w:numPr>
        <w:ind w:left="1134"/>
        <w:rPr>
          <w:rFonts w:ascii="Arial" w:hAnsi="Arial" w:cs="Arial"/>
          <w:sz w:val="24"/>
          <w:szCs w:val="24"/>
        </w:rPr>
      </w:pPr>
      <w:r w:rsidRPr="00C83B74">
        <w:rPr>
          <w:rFonts w:ascii="Arial" w:hAnsi="Arial" w:cs="Arial"/>
          <w:sz w:val="24"/>
          <w:szCs w:val="24"/>
          <w:u w:val="single"/>
        </w:rPr>
        <w:t xml:space="preserve">Option </w:t>
      </w:r>
      <w:r w:rsidR="00083106" w:rsidRPr="00C83B74">
        <w:rPr>
          <w:rFonts w:ascii="Arial" w:hAnsi="Arial" w:cs="Arial"/>
          <w:sz w:val="24"/>
          <w:szCs w:val="24"/>
          <w:u w:val="single"/>
        </w:rPr>
        <w:t>4</w:t>
      </w:r>
      <w:r>
        <w:rPr>
          <w:rFonts w:ascii="Arial" w:hAnsi="Arial" w:cs="Arial"/>
          <w:sz w:val="24"/>
          <w:szCs w:val="24"/>
        </w:rPr>
        <w:t xml:space="preserve">: </w:t>
      </w:r>
      <w:r w:rsidR="00083106" w:rsidRPr="00083106">
        <w:rPr>
          <w:rFonts w:ascii="Arial" w:hAnsi="Arial" w:cs="Arial"/>
          <w:sz w:val="24"/>
          <w:szCs w:val="24"/>
        </w:rPr>
        <w:t>One large sustainable urban extension (SUE) adjacent Sutton/Kirkby (1000+dwgs) with smaller sites (less than 500 dw</w:t>
      </w:r>
      <w:r w:rsidR="00704EC1">
        <w:rPr>
          <w:rFonts w:ascii="Arial" w:hAnsi="Arial" w:cs="Arial"/>
          <w:sz w:val="24"/>
          <w:szCs w:val="24"/>
        </w:rPr>
        <w:t>ellings</w:t>
      </w:r>
      <w:r w:rsidR="00083106" w:rsidRPr="00083106">
        <w:rPr>
          <w:rFonts w:ascii="Arial" w:hAnsi="Arial" w:cs="Arial"/>
          <w:sz w:val="24"/>
          <w:szCs w:val="24"/>
        </w:rPr>
        <w:t>) within and adjacent to existing settlements, with significant Green Belt release.</w:t>
      </w:r>
    </w:p>
    <w:p w14:paraId="49F3C6FE" w14:textId="77777777" w:rsidR="00083106" w:rsidRPr="00083106" w:rsidRDefault="00083106" w:rsidP="0057218A">
      <w:pPr>
        <w:pStyle w:val="WDBullets2"/>
        <w:ind w:left="1701"/>
        <w:rPr>
          <w:rFonts w:ascii="Arial" w:hAnsi="Arial" w:cs="Arial"/>
          <w:sz w:val="24"/>
          <w:szCs w:val="24"/>
        </w:rPr>
      </w:pPr>
      <w:r w:rsidRPr="00083106">
        <w:rPr>
          <w:rFonts w:ascii="Arial" w:hAnsi="Arial" w:cs="Arial"/>
          <w:sz w:val="24"/>
          <w:szCs w:val="24"/>
        </w:rPr>
        <w:t>4a. Sub-option 1 considers Sutton Parkway as SUE.</w:t>
      </w:r>
    </w:p>
    <w:p w14:paraId="2825EC6B" w14:textId="77777777" w:rsidR="00083106" w:rsidRPr="00083106" w:rsidRDefault="00083106" w:rsidP="0057218A">
      <w:pPr>
        <w:pStyle w:val="WDBullets2"/>
        <w:ind w:left="1701"/>
        <w:rPr>
          <w:rFonts w:ascii="Arial" w:hAnsi="Arial" w:cs="Arial"/>
          <w:sz w:val="24"/>
          <w:szCs w:val="24"/>
        </w:rPr>
      </w:pPr>
      <w:r w:rsidRPr="00083106">
        <w:rPr>
          <w:rFonts w:ascii="Arial" w:hAnsi="Arial" w:cs="Arial"/>
          <w:sz w:val="24"/>
          <w:szCs w:val="24"/>
        </w:rPr>
        <w:t>4b. Sub-option 2 considers Mowlands as SUE.</w:t>
      </w:r>
    </w:p>
    <w:p w14:paraId="51EB9F29" w14:textId="0205997F" w:rsidR="00083106" w:rsidRPr="00083106" w:rsidRDefault="00F431CF" w:rsidP="00F431CF">
      <w:pPr>
        <w:pStyle w:val="WDBullets"/>
        <w:numPr>
          <w:ilvl w:val="0"/>
          <w:numId w:val="20"/>
        </w:numPr>
        <w:ind w:left="1134"/>
        <w:rPr>
          <w:rFonts w:ascii="Arial" w:hAnsi="Arial" w:cs="Arial"/>
          <w:sz w:val="24"/>
          <w:szCs w:val="24"/>
        </w:rPr>
      </w:pPr>
      <w:r w:rsidRPr="00C83B74">
        <w:rPr>
          <w:rFonts w:ascii="Arial" w:hAnsi="Arial" w:cs="Arial"/>
          <w:sz w:val="24"/>
          <w:szCs w:val="24"/>
          <w:u w:val="single"/>
        </w:rPr>
        <w:t xml:space="preserve">Option </w:t>
      </w:r>
      <w:r w:rsidR="00083106" w:rsidRPr="00C83B74">
        <w:rPr>
          <w:rFonts w:ascii="Arial" w:hAnsi="Arial" w:cs="Arial"/>
          <w:sz w:val="24"/>
          <w:szCs w:val="24"/>
          <w:u w:val="single"/>
        </w:rPr>
        <w:t>5</w:t>
      </w:r>
      <w:r>
        <w:rPr>
          <w:rFonts w:ascii="Arial" w:hAnsi="Arial" w:cs="Arial"/>
          <w:sz w:val="24"/>
          <w:szCs w:val="24"/>
        </w:rPr>
        <w:t xml:space="preserve">: </w:t>
      </w:r>
      <w:r w:rsidR="00083106" w:rsidRPr="00083106">
        <w:rPr>
          <w:rFonts w:ascii="Arial" w:hAnsi="Arial" w:cs="Arial"/>
          <w:sz w:val="24"/>
          <w:szCs w:val="24"/>
        </w:rPr>
        <w:t>One new settlement (outside Green Belt), one large SUE adjacent Kirkby/Sutton</w:t>
      </w:r>
      <w:r w:rsidR="00083106">
        <w:rPr>
          <w:rFonts w:ascii="Arial" w:hAnsi="Arial" w:cs="Arial"/>
          <w:sz w:val="24"/>
          <w:szCs w:val="24"/>
        </w:rPr>
        <w:t xml:space="preserve"> </w:t>
      </w:r>
      <w:r w:rsidR="00083106" w:rsidRPr="00083106">
        <w:rPr>
          <w:rFonts w:ascii="Arial" w:hAnsi="Arial" w:cs="Arial"/>
          <w:sz w:val="24"/>
          <w:szCs w:val="24"/>
        </w:rPr>
        <w:t>and smaller sites in/adjacent existing settlements, including moderate Green Belt release in Hucknall and Rurals.</w:t>
      </w:r>
    </w:p>
    <w:p w14:paraId="5745BD03" w14:textId="77777777" w:rsidR="00083106" w:rsidRPr="00083106" w:rsidRDefault="00083106" w:rsidP="0057218A">
      <w:pPr>
        <w:pStyle w:val="WDBullets2"/>
        <w:ind w:left="1701"/>
        <w:rPr>
          <w:rFonts w:ascii="Arial" w:hAnsi="Arial" w:cs="Arial"/>
          <w:sz w:val="24"/>
          <w:szCs w:val="24"/>
        </w:rPr>
      </w:pPr>
      <w:r w:rsidRPr="00083106">
        <w:rPr>
          <w:rFonts w:ascii="Arial" w:hAnsi="Arial" w:cs="Arial"/>
          <w:sz w:val="24"/>
          <w:szCs w:val="24"/>
        </w:rPr>
        <w:t xml:space="preserve">Sub-option 1 considers Sutton Parkway as SUE </w:t>
      </w:r>
    </w:p>
    <w:p w14:paraId="2971031E" w14:textId="77777777" w:rsidR="00083106" w:rsidRPr="00083106" w:rsidRDefault="00083106" w:rsidP="0057218A">
      <w:pPr>
        <w:pStyle w:val="WDBullets2"/>
        <w:ind w:left="1701"/>
        <w:rPr>
          <w:rFonts w:ascii="Arial" w:hAnsi="Arial" w:cs="Arial"/>
          <w:sz w:val="24"/>
          <w:szCs w:val="24"/>
        </w:rPr>
      </w:pPr>
      <w:r w:rsidRPr="00083106">
        <w:rPr>
          <w:rFonts w:ascii="Arial" w:hAnsi="Arial" w:cs="Arial"/>
          <w:sz w:val="24"/>
          <w:szCs w:val="24"/>
        </w:rPr>
        <w:t>Sub-option 2 considers Mowlands as SUE.</w:t>
      </w:r>
    </w:p>
    <w:p w14:paraId="42BF45F3" w14:textId="63004A2F" w:rsidR="00083106" w:rsidRPr="00083106" w:rsidRDefault="00F431CF" w:rsidP="00F431CF">
      <w:pPr>
        <w:pStyle w:val="WDBullets"/>
        <w:numPr>
          <w:ilvl w:val="0"/>
          <w:numId w:val="20"/>
        </w:numPr>
        <w:ind w:left="1134"/>
        <w:rPr>
          <w:rFonts w:ascii="Arial" w:hAnsi="Arial" w:cs="Arial"/>
          <w:sz w:val="24"/>
          <w:szCs w:val="24"/>
        </w:rPr>
      </w:pPr>
      <w:r w:rsidRPr="00C83B74">
        <w:rPr>
          <w:rFonts w:ascii="Arial" w:hAnsi="Arial" w:cs="Arial"/>
          <w:sz w:val="24"/>
          <w:szCs w:val="24"/>
          <w:u w:val="single"/>
        </w:rPr>
        <w:t>Option 6</w:t>
      </w:r>
      <w:r>
        <w:rPr>
          <w:rFonts w:ascii="Arial" w:hAnsi="Arial" w:cs="Arial"/>
          <w:sz w:val="24"/>
          <w:szCs w:val="24"/>
        </w:rPr>
        <w:t>: T</w:t>
      </w:r>
      <w:r w:rsidR="00083106" w:rsidRPr="00083106">
        <w:rPr>
          <w:rFonts w:ascii="Arial" w:hAnsi="Arial" w:cs="Arial"/>
          <w:sz w:val="24"/>
          <w:szCs w:val="24"/>
        </w:rPr>
        <w:t>wo SUEs adjacent Kirkby/Sutton with smaller sites (less than 500 dw</w:t>
      </w:r>
      <w:r w:rsidR="00704EC1">
        <w:rPr>
          <w:rFonts w:ascii="Arial" w:hAnsi="Arial" w:cs="Arial"/>
          <w:sz w:val="24"/>
          <w:szCs w:val="24"/>
        </w:rPr>
        <w:t>ellings</w:t>
      </w:r>
      <w:r w:rsidR="00083106" w:rsidRPr="00083106">
        <w:rPr>
          <w:rFonts w:ascii="Arial" w:hAnsi="Arial" w:cs="Arial"/>
          <w:sz w:val="24"/>
          <w:szCs w:val="24"/>
        </w:rPr>
        <w:t>) in/adjacent existing settlements, with moderate Green Belt release.</w:t>
      </w:r>
    </w:p>
    <w:p w14:paraId="3EEB4874" w14:textId="13B04C26" w:rsidR="00083106" w:rsidRPr="00083106" w:rsidRDefault="00C83B74" w:rsidP="00C83B74">
      <w:pPr>
        <w:pStyle w:val="WDBullets"/>
        <w:numPr>
          <w:ilvl w:val="0"/>
          <w:numId w:val="20"/>
        </w:numPr>
        <w:ind w:left="1134"/>
        <w:rPr>
          <w:rFonts w:ascii="Arial" w:hAnsi="Arial" w:cs="Arial"/>
          <w:sz w:val="24"/>
          <w:szCs w:val="24"/>
        </w:rPr>
      </w:pPr>
      <w:r w:rsidRPr="00C83B74">
        <w:rPr>
          <w:rFonts w:ascii="Arial" w:hAnsi="Arial" w:cs="Arial"/>
          <w:sz w:val="24"/>
          <w:szCs w:val="24"/>
          <w:u w:val="single"/>
        </w:rPr>
        <w:t xml:space="preserve">Option </w:t>
      </w:r>
      <w:r w:rsidR="00083106" w:rsidRPr="00C83B74">
        <w:rPr>
          <w:rFonts w:ascii="Arial" w:hAnsi="Arial" w:cs="Arial"/>
          <w:sz w:val="24"/>
          <w:szCs w:val="24"/>
          <w:u w:val="single"/>
        </w:rPr>
        <w:t>7</w:t>
      </w:r>
      <w:r>
        <w:rPr>
          <w:rFonts w:ascii="Arial" w:hAnsi="Arial" w:cs="Arial"/>
          <w:sz w:val="24"/>
          <w:szCs w:val="24"/>
        </w:rPr>
        <w:t xml:space="preserve">: </w:t>
      </w:r>
      <w:r w:rsidR="00083106" w:rsidRPr="00083106">
        <w:rPr>
          <w:rFonts w:ascii="Arial" w:hAnsi="Arial" w:cs="Arial"/>
          <w:sz w:val="24"/>
          <w:szCs w:val="24"/>
        </w:rPr>
        <w:t xml:space="preserve">One new settlement (approximately 3,000 </w:t>
      </w:r>
      <w:r w:rsidR="00704EC1" w:rsidRPr="00083106">
        <w:rPr>
          <w:rFonts w:ascii="Arial" w:hAnsi="Arial" w:cs="Arial"/>
          <w:sz w:val="24"/>
          <w:szCs w:val="24"/>
        </w:rPr>
        <w:t>dw</w:t>
      </w:r>
      <w:r w:rsidR="00704EC1">
        <w:rPr>
          <w:rFonts w:ascii="Arial" w:hAnsi="Arial" w:cs="Arial"/>
          <w:sz w:val="24"/>
          <w:szCs w:val="24"/>
        </w:rPr>
        <w:t>ellings</w:t>
      </w:r>
      <w:r w:rsidR="00083106" w:rsidRPr="00083106">
        <w:rPr>
          <w:rFonts w:ascii="Arial" w:hAnsi="Arial" w:cs="Arial"/>
          <w:sz w:val="24"/>
          <w:szCs w:val="24"/>
        </w:rPr>
        <w:t xml:space="preserve">) in Hucknall's Green Belt and smaller sites (less than 500 </w:t>
      </w:r>
      <w:r w:rsidR="00704EC1" w:rsidRPr="00083106">
        <w:rPr>
          <w:rFonts w:ascii="Arial" w:hAnsi="Arial" w:cs="Arial"/>
          <w:sz w:val="24"/>
          <w:szCs w:val="24"/>
        </w:rPr>
        <w:t>dw</w:t>
      </w:r>
      <w:r w:rsidR="00704EC1">
        <w:rPr>
          <w:rFonts w:ascii="Arial" w:hAnsi="Arial" w:cs="Arial"/>
          <w:sz w:val="24"/>
          <w:szCs w:val="24"/>
        </w:rPr>
        <w:t>ellings</w:t>
      </w:r>
      <w:r w:rsidR="00083106" w:rsidRPr="00083106">
        <w:rPr>
          <w:rFonts w:ascii="Arial" w:hAnsi="Arial" w:cs="Arial"/>
          <w:sz w:val="24"/>
          <w:szCs w:val="24"/>
        </w:rPr>
        <w:t>) in/adjoining Sutton and Kirkby, and moderate Green Belt release adjoining existing rural settlement.</w:t>
      </w:r>
    </w:p>
    <w:p w14:paraId="6347676D" w14:textId="2D9392DB" w:rsidR="00083106" w:rsidRPr="00083106" w:rsidRDefault="00C83B74" w:rsidP="00C83B74">
      <w:pPr>
        <w:pStyle w:val="WDBullets"/>
        <w:numPr>
          <w:ilvl w:val="0"/>
          <w:numId w:val="20"/>
        </w:numPr>
        <w:ind w:left="1134"/>
        <w:rPr>
          <w:rFonts w:ascii="Arial" w:hAnsi="Arial" w:cs="Arial"/>
          <w:sz w:val="24"/>
          <w:szCs w:val="24"/>
        </w:rPr>
      </w:pPr>
      <w:r w:rsidRPr="00C83B74">
        <w:rPr>
          <w:rFonts w:ascii="Arial" w:hAnsi="Arial" w:cs="Arial"/>
          <w:sz w:val="24"/>
          <w:szCs w:val="24"/>
          <w:u w:val="single"/>
        </w:rPr>
        <w:t xml:space="preserve">Option </w:t>
      </w:r>
      <w:r w:rsidR="00083106" w:rsidRPr="00C83B74">
        <w:rPr>
          <w:rFonts w:ascii="Arial" w:hAnsi="Arial" w:cs="Arial"/>
          <w:sz w:val="24"/>
          <w:szCs w:val="24"/>
          <w:u w:val="single"/>
        </w:rPr>
        <w:t>8</w:t>
      </w:r>
      <w:r>
        <w:rPr>
          <w:rFonts w:ascii="Arial" w:hAnsi="Arial" w:cs="Arial"/>
          <w:sz w:val="24"/>
          <w:szCs w:val="24"/>
        </w:rPr>
        <w:t xml:space="preserve">: </w:t>
      </w:r>
      <w:r w:rsidR="00083106" w:rsidRPr="00083106">
        <w:rPr>
          <w:rFonts w:ascii="Arial" w:hAnsi="Arial" w:cs="Arial"/>
          <w:sz w:val="24"/>
          <w:szCs w:val="24"/>
        </w:rPr>
        <w:t xml:space="preserve">Two new settlements (approximately 1,250 and 1,750 </w:t>
      </w:r>
      <w:r w:rsidR="00704EC1" w:rsidRPr="00083106">
        <w:rPr>
          <w:rFonts w:ascii="Arial" w:hAnsi="Arial" w:cs="Arial"/>
          <w:sz w:val="24"/>
          <w:szCs w:val="24"/>
        </w:rPr>
        <w:t>dw</w:t>
      </w:r>
      <w:r w:rsidR="00704EC1">
        <w:rPr>
          <w:rFonts w:ascii="Arial" w:hAnsi="Arial" w:cs="Arial"/>
          <w:sz w:val="24"/>
          <w:szCs w:val="24"/>
        </w:rPr>
        <w:t>ellings</w:t>
      </w:r>
      <w:r w:rsidR="00083106" w:rsidRPr="00083106">
        <w:rPr>
          <w:rFonts w:ascii="Arial" w:hAnsi="Arial" w:cs="Arial"/>
          <w:sz w:val="24"/>
          <w:szCs w:val="24"/>
        </w:rPr>
        <w:t xml:space="preserve">) and smaller sites (less than 500 </w:t>
      </w:r>
      <w:r w:rsidR="00704EC1" w:rsidRPr="00083106">
        <w:rPr>
          <w:rFonts w:ascii="Arial" w:hAnsi="Arial" w:cs="Arial"/>
          <w:sz w:val="24"/>
          <w:szCs w:val="24"/>
        </w:rPr>
        <w:t>dw</w:t>
      </w:r>
      <w:r w:rsidR="00704EC1">
        <w:rPr>
          <w:rFonts w:ascii="Arial" w:hAnsi="Arial" w:cs="Arial"/>
          <w:sz w:val="24"/>
          <w:szCs w:val="24"/>
        </w:rPr>
        <w:t>ellings</w:t>
      </w:r>
      <w:r w:rsidR="00083106" w:rsidRPr="00083106">
        <w:rPr>
          <w:rFonts w:ascii="Arial" w:hAnsi="Arial" w:cs="Arial"/>
          <w:sz w:val="24"/>
          <w:szCs w:val="24"/>
        </w:rPr>
        <w:t>) in/adjacent Sutton and Kirkby, moderate Green Belt release adjoining Hucknall and existing rural settlements.</w:t>
      </w:r>
    </w:p>
    <w:p w14:paraId="45579FE8" w14:textId="6B190319" w:rsidR="00083106" w:rsidRPr="00083106" w:rsidRDefault="00C83B74" w:rsidP="00C83B74">
      <w:pPr>
        <w:pStyle w:val="WDBullets"/>
        <w:numPr>
          <w:ilvl w:val="0"/>
          <w:numId w:val="20"/>
        </w:numPr>
        <w:ind w:left="1134"/>
        <w:rPr>
          <w:rFonts w:ascii="Arial" w:hAnsi="Arial" w:cs="Arial"/>
          <w:sz w:val="24"/>
          <w:szCs w:val="24"/>
        </w:rPr>
      </w:pPr>
      <w:r w:rsidRPr="00C83B74">
        <w:rPr>
          <w:rFonts w:ascii="Arial" w:hAnsi="Arial" w:cs="Arial"/>
          <w:sz w:val="24"/>
          <w:szCs w:val="24"/>
          <w:u w:val="single"/>
        </w:rPr>
        <w:t>Option 9</w:t>
      </w:r>
      <w:r>
        <w:rPr>
          <w:rFonts w:ascii="Arial" w:hAnsi="Arial" w:cs="Arial"/>
          <w:sz w:val="24"/>
          <w:szCs w:val="24"/>
        </w:rPr>
        <w:t xml:space="preserve">: </w:t>
      </w:r>
      <w:r w:rsidR="00083106" w:rsidRPr="00083106">
        <w:rPr>
          <w:rFonts w:ascii="Arial" w:hAnsi="Arial" w:cs="Arial"/>
          <w:sz w:val="24"/>
          <w:szCs w:val="24"/>
        </w:rPr>
        <w:t xml:space="preserve">Three new settlements (approximately 1,250, 1,750 and 3,000 </w:t>
      </w:r>
      <w:r w:rsidR="00704EC1" w:rsidRPr="00083106">
        <w:rPr>
          <w:rFonts w:ascii="Arial" w:hAnsi="Arial" w:cs="Arial"/>
          <w:sz w:val="24"/>
          <w:szCs w:val="24"/>
        </w:rPr>
        <w:t>dw</w:t>
      </w:r>
      <w:r w:rsidR="00704EC1">
        <w:rPr>
          <w:rFonts w:ascii="Arial" w:hAnsi="Arial" w:cs="Arial"/>
          <w:sz w:val="24"/>
          <w:szCs w:val="24"/>
        </w:rPr>
        <w:t>ellings</w:t>
      </w:r>
      <w:r w:rsidR="00083106" w:rsidRPr="00083106">
        <w:rPr>
          <w:rFonts w:ascii="Arial" w:hAnsi="Arial" w:cs="Arial"/>
          <w:sz w:val="24"/>
          <w:szCs w:val="24"/>
        </w:rPr>
        <w:t>) including one in Green Belt, with no other large sites over 500 dwellings.</w:t>
      </w:r>
    </w:p>
    <w:p w14:paraId="4D9E62EB" w14:textId="314B0E49" w:rsidR="00083106" w:rsidRDefault="00C83B74" w:rsidP="00C83B74">
      <w:pPr>
        <w:pStyle w:val="WDBullets"/>
        <w:numPr>
          <w:ilvl w:val="0"/>
          <w:numId w:val="20"/>
        </w:numPr>
        <w:ind w:left="1134"/>
        <w:rPr>
          <w:rFonts w:ascii="Arial" w:hAnsi="Arial" w:cs="Arial"/>
          <w:sz w:val="24"/>
          <w:szCs w:val="24"/>
        </w:rPr>
      </w:pPr>
      <w:r w:rsidRPr="00C83B74">
        <w:rPr>
          <w:rFonts w:ascii="Arial" w:hAnsi="Arial" w:cs="Arial"/>
          <w:sz w:val="24"/>
          <w:szCs w:val="24"/>
          <w:u w:val="single"/>
        </w:rPr>
        <w:t xml:space="preserve">Option </w:t>
      </w:r>
      <w:r w:rsidR="00083106" w:rsidRPr="00C83B74">
        <w:rPr>
          <w:rFonts w:ascii="Arial" w:hAnsi="Arial" w:cs="Arial"/>
          <w:sz w:val="24"/>
          <w:szCs w:val="24"/>
          <w:u w:val="single"/>
        </w:rPr>
        <w:t>10</w:t>
      </w:r>
      <w:bookmarkStart w:id="1" w:name="_Hlk75172946"/>
      <w:r>
        <w:rPr>
          <w:rFonts w:ascii="Arial" w:hAnsi="Arial" w:cs="Arial"/>
          <w:sz w:val="24"/>
          <w:szCs w:val="24"/>
        </w:rPr>
        <w:t xml:space="preserve">: </w:t>
      </w:r>
      <w:bookmarkStart w:id="2" w:name="_Hlk82699346"/>
      <w:r w:rsidR="00083106" w:rsidRPr="00083106">
        <w:rPr>
          <w:rFonts w:ascii="Arial" w:hAnsi="Arial" w:cs="Arial"/>
          <w:sz w:val="24"/>
          <w:szCs w:val="24"/>
        </w:rPr>
        <w:t xml:space="preserve">Two new settlements with one in Hucknall’s Green Belt (approx. 3,000 </w:t>
      </w:r>
      <w:r w:rsidR="00704EC1" w:rsidRPr="00083106">
        <w:rPr>
          <w:rFonts w:ascii="Arial" w:hAnsi="Arial" w:cs="Arial"/>
          <w:sz w:val="24"/>
          <w:szCs w:val="24"/>
        </w:rPr>
        <w:t>dw</w:t>
      </w:r>
      <w:r w:rsidR="00704EC1">
        <w:rPr>
          <w:rFonts w:ascii="Arial" w:hAnsi="Arial" w:cs="Arial"/>
          <w:sz w:val="24"/>
          <w:szCs w:val="24"/>
        </w:rPr>
        <w:t>ellings</w:t>
      </w:r>
      <w:r w:rsidR="00083106" w:rsidRPr="00083106">
        <w:rPr>
          <w:rFonts w:ascii="Arial" w:hAnsi="Arial" w:cs="Arial"/>
          <w:sz w:val="24"/>
          <w:szCs w:val="24"/>
        </w:rPr>
        <w:t xml:space="preserve"> with around 1,600 in the plan period) and one at Cauldwell Road (approximately 300 </w:t>
      </w:r>
      <w:r w:rsidR="001437E6" w:rsidRPr="00083106">
        <w:rPr>
          <w:rFonts w:ascii="Arial" w:hAnsi="Arial" w:cs="Arial"/>
          <w:sz w:val="24"/>
          <w:szCs w:val="24"/>
        </w:rPr>
        <w:t>dw</w:t>
      </w:r>
      <w:r w:rsidR="001437E6">
        <w:rPr>
          <w:rFonts w:ascii="Arial" w:hAnsi="Arial" w:cs="Arial"/>
          <w:sz w:val="24"/>
          <w:szCs w:val="24"/>
        </w:rPr>
        <w:t>ellings</w:t>
      </w:r>
      <w:r w:rsidR="00083106" w:rsidRPr="00083106">
        <w:rPr>
          <w:rFonts w:ascii="Arial" w:hAnsi="Arial" w:cs="Arial"/>
          <w:sz w:val="24"/>
          <w:szCs w:val="24"/>
        </w:rPr>
        <w:t xml:space="preserve"> in plan period) with further moderate Green Belt release around Hucknall </w:t>
      </w:r>
      <w:bookmarkEnd w:id="1"/>
      <w:r w:rsidR="00083106" w:rsidRPr="00083106">
        <w:rPr>
          <w:rFonts w:ascii="Arial" w:hAnsi="Arial" w:cs="Arial"/>
          <w:sz w:val="24"/>
          <w:szCs w:val="24"/>
        </w:rPr>
        <w:t>and more limited development in/adjoining Sutton and Kirkby, and existing rural settlements.</w:t>
      </w:r>
      <w:bookmarkEnd w:id="2"/>
    </w:p>
    <w:p w14:paraId="391BE2EA" w14:textId="77777777" w:rsidR="007F0830" w:rsidRDefault="007F0830" w:rsidP="000C657D">
      <w:pPr>
        <w:spacing w:line="256" w:lineRule="auto"/>
        <w:jc w:val="left"/>
        <w:rPr>
          <w:rFonts w:cs="Arial"/>
        </w:rPr>
      </w:pPr>
    </w:p>
    <w:p w14:paraId="4C8474C5" w14:textId="7BBA3F16" w:rsidR="003A1825" w:rsidRPr="003A214C" w:rsidRDefault="003A1825" w:rsidP="001C4B8F">
      <w:pPr>
        <w:pStyle w:val="Heading3"/>
      </w:pPr>
      <w:r w:rsidRPr="003A214C">
        <w:lastRenderedPageBreak/>
        <w:t>3.3 Why was the submitted approach to disperse development chosen and is it an</w:t>
      </w:r>
      <w:r w:rsidR="003A214C">
        <w:t xml:space="preserve"> </w:t>
      </w:r>
      <w:r w:rsidRPr="003A214C">
        <w:t>appropriate strategy having regard to reasonable alternatives?</w:t>
      </w:r>
    </w:p>
    <w:p w14:paraId="3313399C" w14:textId="77777777" w:rsidR="003A214C" w:rsidRDefault="003A214C" w:rsidP="003A214C">
      <w:pPr>
        <w:jc w:val="left"/>
        <w:rPr>
          <w:u w:val="single"/>
        </w:rPr>
      </w:pPr>
      <w:r w:rsidRPr="00156B97">
        <w:rPr>
          <w:u w:val="single"/>
        </w:rPr>
        <w:t>Council’s response</w:t>
      </w:r>
    </w:p>
    <w:p w14:paraId="0222799D" w14:textId="29916D2A" w:rsidR="003F7E97" w:rsidRPr="003F7E97" w:rsidRDefault="0057218A" w:rsidP="003F7E97">
      <w:pPr>
        <w:spacing w:line="256" w:lineRule="auto"/>
        <w:ind w:left="720" w:hanging="720"/>
        <w:jc w:val="left"/>
        <w:rPr>
          <w:rFonts w:eastAsia="Arial" w:cs="Arial"/>
          <w:szCs w:val="24"/>
        </w:rPr>
      </w:pPr>
      <w:r w:rsidRPr="003F7E97">
        <w:rPr>
          <w:rFonts w:eastAsia="Times New Roman" w:cs="Arial"/>
          <w:iCs/>
          <w:szCs w:val="24"/>
        </w:rPr>
        <w:t>3.3.1</w:t>
      </w:r>
      <w:r w:rsidRPr="003F7E97">
        <w:rPr>
          <w:rFonts w:eastAsia="Times New Roman" w:cs="Arial"/>
          <w:iCs/>
          <w:szCs w:val="24"/>
        </w:rPr>
        <w:tab/>
      </w:r>
      <w:r w:rsidR="001E1473" w:rsidRPr="003F7E97">
        <w:rPr>
          <w:rFonts w:cs="Arial"/>
        </w:rPr>
        <w:t xml:space="preserve">The Spatial Strategy for Ashfield is set out Policy S1 of the Local </w:t>
      </w:r>
      <w:r w:rsidR="004450EF" w:rsidRPr="003F7E97">
        <w:rPr>
          <w:rFonts w:cs="Arial"/>
        </w:rPr>
        <w:t>Plan and</w:t>
      </w:r>
      <w:r w:rsidR="003F7E97" w:rsidRPr="003F7E97">
        <w:rPr>
          <w:rFonts w:cs="Arial"/>
        </w:rPr>
        <w:t xml:space="preserve"> sets out </w:t>
      </w:r>
      <w:r w:rsidR="003F7E97" w:rsidRPr="003F7E97">
        <w:rPr>
          <w:rFonts w:cs="Arial"/>
          <w:szCs w:val="24"/>
        </w:rPr>
        <w:t xml:space="preserve">sets out how future growth will be delivered taking account of the geography and key attributes of the District. It considers the size of settlements and their role and function, and </w:t>
      </w:r>
      <w:r w:rsidR="003F7E97" w:rsidRPr="003F7E97">
        <w:rPr>
          <w:rFonts w:eastAsia="Arial" w:cs="Arial"/>
          <w:szCs w:val="24"/>
        </w:rPr>
        <w:t>how the Council aims to deliver its Vision by guiding the distribution of development across the District.</w:t>
      </w:r>
    </w:p>
    <w:p w14:paraId="43A7BA6B" w14:textId="4B14B7AE" w:rsidR="007C1870" w:rsidRDefault="001E1473" w:rsidP="001E1473">
      <w:pPr>
        <w:spacing w:line="259" w:lineRule="auto"/>
        <w:ind w:left="720" w:hanging="720"/>
        <w:jc w:val="left"/>
        <w:rPr>
          <w:rFonts w:eastAsia="Times New Roman" w:cs="Arial"/>
          <w:iCs/>
          <w:szCs w:val="24"/>
        </w:rPr>
      </w:pPr>
      <w:r>
        <w:rPr>
          <w:rFonts w:cs="Arial"/>
        </w:rPr>
        <w:t>3.3.2</w:t>
      </w:r>
      <w:r>
        <w:rPr>
          <w:rFonts w:cs="Arial"/>
        </w:rPr>
        <w:tab/>
      </w:r>
      <w:r w:rsidR="003F7E97">
        <w:rPr>
          <w:rFonts w:cs="Arial"/>
        </w:rPr>
        <w:t xml:space="preserve">In choosing the Spatial Strategy, </w:t>
      </w:r>
      <w:r w:rsidRPr="001E1473">
        <w:rPr>
          <w:rFonts w:eastAsia="Times New Roman" w:cs="Arial"/>
          <w:iCs/>
          <w:szCs w:val="24"/>
        </w:rPr>
        <w:t xml:space="preserve">Officers </w:t>
      </w:r>
      <w:r w:rsidR="003F7E97">
        <w:rPr>
          <w:rFonts w:eastAsia="Times New Roman" w:cs="Arial"/>
          <w:iCs/>
          <w:szCs w:val="24"/>
        </w:rPr>
        <w:t xml:space="preserve">first </w:t>
      </w:r>
      <w:r w:rsidRPr="001E1473">
        <w:rPr>
          <w:rFonts w:eastAsia="Times New Roman" w:cs="Arial"/>
          <w:iCs/>
          <w:szCs w:val="24"/>
        </w:rPr>
        <w:t xml:space="preserve">worked with Members of Local Plan Development Committee (formerly known as the Local Plan </w:t>
      </w:r>
      <w:r w:rsidR="00BB2460">
        <w:rPr>
          <w:rFonts w:eastAsia="Times New Roman" w:cs="Arial"/>
          <w:iCs/>
          <w:szCs w:val="24"/>
        </w:rPr>
        <w:t xml:space="preserve">Working </w:t>
      </w:r>
      <w:r w:rsidRPr="001E1473">
        <w:rPr>
          <w:rFonts w:eastAsia="Times New Roman" w:cs="Arial"/>
          <w:iCs/>
          <w:szCs w:val="24"/>
        </w:rPr>
        <w:t>Group</w:t>
      </w:r>
      <w:r w:rsidR="007C1870">
        <w:rPr>
          <w:rFonts w:eastAsia="Times New Roman" w:cs="Arial"/>
          <w:iCs/>
          <w:szCs w:val="24"/>
        </w:rPr>
        <w:t>)</w:t>
      </w:r>
      <w:r w:rsidR="00BB2460">
        <w:rPr>
          <w:rFonts w:eastAsia="Times New Roman" w:cs="Arial"/>
          <w:iCs/>
          <w:szCs w:val="24"/>
        </w:rPr>
        <w:t xml:space="preserve"> to </w:t>
      </w:r>
      <w:r w:rsidR="002B20A3">
        <w:rPr>
          <w:rFonts w:eastAsia="Times New Roman" w:cs="Arial"/>
          <w:iCs/>
          <w:szCs w:val="24"/>
        </w:rPr>
        <w:t xml:space="preserve">agree </w:t>
      </w:r>
      <w:r w:rsidR="00BB2460">
        <w:rPr>
          <w:rFonts w:eastAsia="Times New Roman" w:cs="Arial"/>
          <w:iCs/>
          <w:szCs w:val="24"/>
        </w:rPr>
        <w:t xml:space="preserve">a Vision for </w:t>
      </w:r>
      <w:r w:rsidR="002B20A3">
        <w:rPr>
          <w:rFonts w:eastAsia="Times New Roman" w:cs="Arial"/>
          <w:iCs/>
          <w:szCs w:val="24"/>
        </w:rPr>
        <w:t>Ashfield which is both aspirational and achievable</w:t>
      </w:r>
      <w:r w:rsidR="007C1870">
        <w:rPr>
          <w:rFonts w:eastAsia="Times New Roman" w:cs="Arial"/>
          <w:iCs/>
          <w:szCs w:val="24"/>
        </w:rPr>
        <w:t>.</w:t>
      </w:r>
    </w:p>
    <w:p w14:paraId="3C0FBC89" w14:textId="08981E6A" w:rsidR="002B20A3" w:rsidRDefault="002B20A3" w:rsidP="002B20A3">
      <w:pPr>
        <w:spacing w:line="256" w:lineRule="auto"/>
        <w:ind w:left="720" w:hanging="720"/>
        <w:jc w:val="left"/>
        <w:rPr>
          <w:rFonts w:eastAsia="Arial" w:cs="Arial"/>
          <w:szCs w:val="24"/>
        </w:rPr>
      </w:pPr>
      <w:r w:rsidRPr="002B20A3">
        <w:rPr>
          <w:rFonts w:eastAsia="Times New Roman" w:cs="Arial"/>
          <w:iCs/>
          <w:szCs w:val="24"/>
        </w:rPr>
        <w:t>3.3.3</w:t>
      </w:r>
      <w:r w:rsidRPr="002B20A3">
        <w:rPr>
          <w:rFonts w:eastAsia="Times New Roman" w:cs="Arial"/>
          <w:iCs/>
          <w:szCs w:val="24"/>
        </w:rPr>
        <w:tab/>
      </w:r>
      <w:r w:rsidRPr="002B20A3">
        <w:rPr>
          <w:rFonts w:eastAsia="Arial" w:cs="Arial"/>
          <w:szCs w:val="24"/>
        </w:rPr>
        <w:t xml:space="preserve">The Council </w:t>
      </w:r>
      <w:r w:rsidR="003F7E97">
        <w:rPr>
          <w:rFonts w:eastAsia="Arial" w:cs="Arial"/>
          <w:szCs w:val="24"/>
        </w:rPr>
        <w:t xml:space="preserve">then </w:t>
      </w:r>
      <w:r w:rsidRPr="002B20A3">
        <w:rPr>
          <w:rFonts w:eastAsia="Arial" w:cs="Arial"/>
          <w:szCs w:val="24"/>
        </w:rPr>
        <w:t>considered a number of alternative options</w:t>
      </w:r>
      <w:r w:rsidR="003F7E97">
        <w:rPr>
          <w:rFonts w:eastAsia="Arial" w:cs="Arial"/>
          <w:szCs w:val="24"/>
        </w:rPr>
        <w:t xml:space="preserve"> for spatial growth. </w:t>
      </w:r>
      <w:r w:rsidRPr="002B20A3">
        <w:rPr>
          <w:rFonts w:eastAsia="Arial" w:cs="Arial"/>
          <w:szCs w:val="24"/>
        </w:rPr>
        <w:t>These</w:t>
      </w:r>
      <w:r w:rsidR="003F7E97">
        <w:rPr>
          <w:rFonts w:eastAsia="Arial" w:cs="Arial"/>
          <w:szCs w:val="24"/>
        </w:rPr>
        <w:t xml:space="preserve"> </w:t>
      </w:r>
      <w:r w:rsidRPr="002B20A3">
        <w:rPr>
          <w:rFonts w:eastAsia="Arial" w:cs="Arial"/>
          <w:szCs w:val="24"/>
        </w:rPr>
        <w:t xml:space="preserve">took into consideration the key issues that the Plan is seeking to address, the outcome of previous Local Plan consultations, and a broad the evidence base including (but not limited to) the Strategic Housing and Employment Availability Assessment (SHELAA), </w:t>
      </w:r>
      <w:r w:rsidRPr="002B20A3">
        <w:rPr>
          <w:rFonts w:cs="Arial"/>
        </w:rPr>
        <w:t>the identified housing and employment requirement for the District, a Brownfield Land Capacity Assessment, and the Green Belt Harm Report</w:t>
      </w:r>
      <w:r w:rsidRPr="002B20A3">
        <w:rPr>
          <w:rFonts w:eastAsia="Arial" w:cs="Arial"/>
          <w:szCs w:val="24"/>
        </w:rPr>
        <w:t xml:space="preserve">. </w:t>
      </w:r>
    </w:p>
    <w:p w14:paraId="279E0839" w14:textId="1168E939" w:rsidR="003F7E97" w:rsidRPr="003F7E97" w:rsidRDefault="003F7E97" w:rsidP="003F7E97">
      <w:pPr>
        <w:pStyle w:val="ListParagraph"/>
        <w:numPr>
          <w:ilvl w:val="2"/>
          <w:numId w:val="17"/>
        </w:numPr>
        <w:spacing w:line="256" w:lineRule="auto"/>
        <w:jc w:val="left"/>
        <w:rPr>
          <w:rFonts w:eastAsia="Arial" w:cs="Arial"/>
          <w:szCs w:val="24"/>
        </w:rPr>
      </w:pPr>
      <w:r w:rsidRPr="003F7E97">
        <w:rPr>
          <w:rFonts w:eastAsia="Arial" w:cs="Arial"/>
          <w:szCs w:val="24"/>
        </w:rPr>
        <w:t xml:space="preserve">The range of alternative spatial options have been considered in the Sustainability Appraisal (SA) </w:t>
      </w:r>
      <w:r>
        <w:rPr>
          <w:rFonts w:eastAsia="Arial" w:cs="Arial"/>
          <w:szCs w:val="24"/>
        </w:rPr>
        <w:t xml:space="preserve">[SD.03] </w:t>
      </w:r>
      <w:r w:rsidRPr="003F7E97">
        <w:rPr>
          <w:rFonts w:eastAsia="Arial" w:cs="Arial"/>
          <w:szCs w:val="24"/>
        </w:rPr>
        <w:t>accompanying the Plan.  Option 3 in the SA has now been taken forward as it represents the best option to deliver sustainable development and meet the Vision for the District.  The SA also sets out the reasons why other options were discounted.</w:t>
      </w:r>
    </w:p>
    <w:p w14:paraId="0D75F034" w14:textId="4FAFF5B1" w:rsidR="00BB2460" w:rsidRPr="003F7E97" w:rsidRDefault="001E1473" w:rsidP="003F7E97">
      <w:pPr>
        <w:spacing w:line="256" w:lineRule="auto"/>
        <w:ind w:left="720" w:hanging="720"/>
        <w:jc w:val="left"/>
        <w:rPr>
          <w:rFonts w:eastAsia="Arial" w:cs="Arial"/>
          <w:szCs w:val="24"/>
        </w:rPr>
      </w:pPr>
      <w:r>
        <w:rPr>
          <w:rFonts w:eastAsia="Arial" w:cs="Arial"/>
          <w:szCs w:val="24"/>
        </w:rPr>
        <w:t>3.3.</w:t>
      </w:r>
      <w:r w:rsidR="003F7E97">
        <w:rPr>
          <w:rFonts w:eastAsia="Arial" w:cs="Arial"/>
          <w:szCs w:val="24"/>
        </w:rPr>
        <w:t>5</w:t>
      </w:r>
      <w:r>
        <w:rPr>
          <w:rFonts w:eastAsia="Arial" w:cs="Arial"/>
          <w:szCs w:val="24"/>
        </w:rPr>
        <w:tab/>
      </w:r>
      <w:r>
        <w:rPr>
          <w:rFonts w:eastAsia="Times New Roman" w:cs="Arial"/>
          <w:iCs/>
          <w:szCs w:val="24"/>
        </w:rPr>
        <w:t>Background Paper 1: Spatial Str</w:t>
      </w:r>
      <w:r w:rsidR="00237A9E">
        <w:rPr>
          <w:rFonts w:eastAsia="Times New Roman" w:cs="Arial"/>
          <w:iCs/>
          <w:szCs w:val="24"/>
        </w:rPr>
        <w:t>a</w:t>
      </w:r>
      <w:r>
        <w:rPr>
          <w:rFonts w:eastAsia="Times New Roman" w:cs="Arial"/>
          <w:iCs/>
          <w:szCs w:val="24"/>
        </w:rPr>
        <w:t>t</w:t>
      </w:r>
      <w:r w:rsidR="00237A9E">
        <w:rPr>
          <w:rFonts w:eastAsia="Times New Roman" w:cs="Arial"/>
          <w:iCs/>
          <w:szCs w:val="24"/>
        </w:rPr>
        <w:t>e</w:t>
      </w:r>
      <w:r>
        <w:rPr>
          <w:rFonts w:eastAsia="Times New Roman" w:cs="Arial"/>
          <w:iCs/>
          <w:szCs w:val="24"/>
        </w:rPr>
        <w:t xml:space="preserve">gy and Site </w:t>
      </w:r>
      <w:r w:rsidRPr="00402164">
        <w:rPr>
          <w:rFonts w:eastAsia="Times New Roman" w:cs="Arial"/>
          <w:iCs/>
          <w:szCs w:val="24"/>
        </w:rPr>
        <w:t>Selection [</w:t>
      </w:r>
      <w:r w:rsidR="00237A9E" w:rsidRPr="00402164">
        <w:rPr>
          <w:rFonts w:eastAsia="Times New Roman" w:cs="Arial"/>
          <w:iCs/>
          <w:szCs w:val="24"/>
        </w:rPr>
        <w:t>BP.01]</w:t>
      </w:r>
      <w:r w:rsidRPr="00402164">
        <w:rPr>
          <w:rFonts w:eastAsia="Times New Roman" w:cs="Arial"/>
          <w:iCs/>
          <w:szCs w:val="24"/>
        </w:rPr>
        <w:t xml:space="preserve"> set</w:t>
      </w:r>
      <w:r w:rsidR="00237A9E" w:rsidRPr="00402164">
        <w:rPr>
          <w:rFonts w:eastAsia="Times New Roman" w:cs="Arial"/>
          <w:iCs/>
          <w:szCs w:val="24"/>
        </w:rPr>
        <w:t>s</w:t>
      </w:r>
      <w:r w:rsidRPr="00402164">
        <w:rPr>
          <w:rFonts w:eastAsia="Times New Roman" w:cs="Arial"/>
          <w:iCs/>
          <w:szCs w:val="24"/>
        </w:rPr>
        <w:t xml:space="preserve"> </w:t>
      </w:r>
      <w:r w:rsidR="00237A9E" w:rsidRPr="00402164">
        <w:rPr>
          <w:rFonts w:eastAsia="Times New Roman" w:cs="Arial"/>
          <w:iCs/>
          <w:szCs w:val="24"/>
        </w:rPr>
        <w:t xml:space="preserve">out in Chapters 2, 3 &amp; 4 the Council’s </w:t>
      </w:r>
      <w:r w:rsidRPr="00402164">
        <w:rPr>
          <w:rFonts w:eastAsia="Times New Roman" w:cs="Arial"/>
          <w:iCs/>
          <w:szCs w:val="24"/>
        </w:rPr>
        <w:t>reason</w:t>
      </w:r>
      <w:r w:rsidR="00237A9E" w:rsidRPr="00402164">
        <w:rPr>
          <w:rFonts w:eastAsia="Times New Roman" w:cs="Arial"/>
          <w:iCs/>
          <w:szCs w:val="24"/>
        </w:rPr>
        <w:t>ing</w:t>
      </w:r>
      <w:r w:rsidRPr="00402164">
        <w:rPr>
          <w:rFonts w:eastAsia="Times New Roman" w:cs="Arial"/>
          <w:iCs/>
          <w:szCs w:val="24"/>
        </w:rPr>
        <w:t xml:space="preserve"> for cho</w:t>
      </w:r>
      <w:r w:rsidR="00237A9E" w:rsidRPr="00402164">
        <w:rPr>
          <w:rFonts w:eastAsia="Times New Roman" w:cs="Arial"/>
          <w:iCs/>
          <w:szCs w:val="24"/>
        </w:rPr>
        <w:t>osing Option 3: Dispersed Development</w:t>
      </w:r>
      <w:r w:rsidR="00F876CB" w:rsidRPr="00402164">
        <w:rPr>
          <w:rFonts w:eastAsia="Times New Roman" w:cs="Arial"/>
          <w:iCs/>
          <w:szCs w:val="24"/>
        </w:rPr>
        <w:t xml:space="preserve">, this is also set out in the </w:t>
      </w:r>
      <w:r w:rsidR="00237A9E" w:rsidRPr="00402164">
        <w:rPr>
          <w:rFonts w:eastAsia="Times New Roman" w:cs="Arial"/>
          <w:iCs/>
          <w:szCs w:val="24"/>
        </w:rPr>
        <w:t>Sustainability Appraisal</w:t>
      </w:r>
      <w:r w:rsidR="00F876CB" w:rsidRPr="00402164">
        <w:rPr>
          <w:rFonts w:eastAsia="Times New Roman" w:cs="Arial"/>
          <w:iCs/>
          <w:szCs w:val="24"/>
        </w:rPr>
        <w:t xml:space="preserve"> (SA)</w:t>
      </w:r>
      <w:r w:rsidR="00237A9E" w:rsidRPr="00402164">
        <w:rPr>
          <w:rFonts w:eastAsia="Times New Roman" w:cs="Arial"/>
          <w:iCs/>
          <w:szCs w:val="24"/>
        </w:rPr>
        <w:t xml:space="preserve"> [SD.03]</w:t>
      </w:r>
      <w:r w:rsidR="00F876CB" w:rsidRPr="00402164">
        <w:rPr>
          <w:rFonts w:eastAsia="Times New Roman" w:cs="Arial"/>
          <w:iCs/>
          <w:szCs w:val="24"/>
        </w:rPr>
        <w:t>,</w:t>
      </w:r>
      <w:r w:rsidR="00F876CB">
        <w:rPr>
          <w:rFonts w:eastAsia="Times New Roman" w:cs="Arial"/>
          <w:b/>
          <w:bCs/>
          <w:iCs/>
          <w:szCs w:val="24"/>
        </w:rPr>
        <w:t xml:space="preserve"> </w:t>
      </w:r>
      <w:r w:rsidR="00F876CB" w:rsidRPr="00F876CB">
        <w:rPr>
          <w:rFonts w:eastAsia="Times New Roman" w:cs="Arial"/>
          <w:iCs/>
          <w:szCs w:val="24"/>
        </w:rPr>
        <w:t xml:space="preserve">together with </w:t>
      </w:r>
      <w:r w:rsidR="00F876CB">
        <w:rPr>
          <w:rFonts w:eastAsia="Times New Roman" w:cs="Arial"/>
          <w:iCs/>
          <w:szCs w:val="24"/>
        </w:rPr>
        <w:t xml:space="preserve">the </w:t>
      </w:r>
      <w:r w:rsidR="00A90756" w:rsidRPr="00A90756">
        <w:rPr>
          <w:rFonts w:eastAsia="Arial" w:cs="Arial"/>
          <w:szCs w:val="24"/>
        </w:rPr>
        <w:t>reasons why other options were discounted</w:t>
      </w:r>
      <w:r w:rsidR="00F876CB">
        <w:rPr>
          <w:rFonts w:eastAsia="Arial" w:cs="Arial"/>
          <w:szCs w:val="24"/>
        </w:rPr>
        <w:t xml:space="preserve"> – see Table </w:t>
      </w:r>
      <w:r w:rsidR="00F876CB">
        <w:rPr>
          <w:rFonts w:eastAsia="Times New Roman" w:cs="Arial"/>
          <w:iCs/>
          <w:szCs w:val="24"/>
        </w:rPr>
        <w:t>5.5 o</w:t>
      </w:r>
      <w:r w:rsidR="004450EF">
        <w:rPr>
          <w:rFonts w:eastAsia="Times New Roman" w:cs="Arial"/>
          <w:iCs/>
          <w:szCs w:val="24"/>
        </w:rPr>
        <w:t>f</w:t>
      </w:r>
      <w:r w:rsidR="00F876CB">
        <w:rPr>
          <w:rFonts w:eastAsia="Times New Roman" w:cs="Arial"/>
          <w:iCs/>
          <w:szCs w:val="24"/>
        </w:rPr>
        <w:t xml:space="preserve"> </w:t>
      </w:r>
      <w:r w:rsidR="00F876CB" w:rsidRPr="00A90756">
        <w:rPr>
          <w:rFonts w:eastAsia="Arial" w:cs="Arial"/>
          <w:szCs w:val="24"/>
        </w:rPr>
        <w:t>the</w:t>
      </w:r>
      <w:r w:rsidR="00F876CB">
        <w:rPr>
          <w:rFonts w:eastAsia="Arial" w:cs="Arial"/>
          <w:szCs w:val="24"/>
        </w:rPr>
        <w:t xml:space="preserve"> SA</w:t>
      </w:r>
      <w:r w:rsidR="004450EF">
        <w:rPr>
          <w:rFonts w:eastAsia="Arial" w:cs="Arial"/>
          <w:szCs w:val="24"/>
        </w:rPr>
        <w:t xml:space="preserve"> Report</w:t>
      </w:r>
      <w:r w:rsidR="00A90756" w:rsidRPr="00A90756">
        <w:rPr>
          <w:rFonts w:eastAsia="Arial" w:cs="Arial"/>
          <w:szCs w:val="24"/>
        </w:rPr>
        <w:t>.</w:t>
      </w:r>
    </w:p>
    <w:p w14:paraId="177ECA51" w14:textId="77777777" w:rsidR="00101EE0" w:rsidRPr="009A7CFB" w:rsidRDefault="00101EE0" w:rsidP="00101EE0">
      <w:pPr>
        <w:numPr>
          <w:ilvl w:val="1"/>
          <w:numId w:val="0"/>
        </w:numPr>
        <w:spacing w:line="276" w:lineRule="auto"/>
        <w:contextualSpacing/>
        <w:jc w:val="left"/>
      </w:pPr>
    </w:p>
    <w:p w14:paraId="2FF2CAC0" w14:textId="2A4BC3AD" w:rsidR="003A1825" w:rsidRPr="003A214C" w:rsidRDefault="003A1825" w:rsidP="001C4B8F">
      <w:pPr>
        <w:pStyle w:val="Heading3"/>
      </w:pPr>
      <w:r w:rsidRPr="003A214C">
        <w:t>3.4 Are the Plan’s Strategic Policies sufficiently clear about the scale of development</w:t>
      </w:r>
      <w:r w:rsidR="003A214C" w:rsidRPr="003A214C">
        <w:t xml:space="preserve"> </w:t>
      </w:r>
      <w:r w:rsidRPr="003A214C">
        <w:t>envisaged in each settlement/ area?</w:t>
      </w:r>
    </w:p>
    <w:p w14:paraId="379E978B" w14:textId="77777777" w:rsidR="003A214C" w:rsidRPr="00156B97" w:rsidRDefault="003A214C" w:rsidP="003A214C">
      <w:pPr>
        <w:jc w:val="left"/>
        <w:rPr>
          <w:u w:val="single"/>
        </w:rPr>
      </w:pPr>
      <w:r w:rsidRPr="00156B97">
        <w:rPr>
          <w:u w:val="single"/>
        </w:rPr>
        <w:t>Council’s response</w:t>
      </w:r>
    </w:p>
    <w:p w14:paraId="14667D91" w14:textId="61356B50" w:rsidR="003A1825" w:rsidRDefault="00EA78BB" w:rsidP="006214C2">
      <w:pPr>
        <w:pStyle w:val="ListParagraph"/>
        <w:numPr>
          <w:ilvl w:val="1"/>
          <w:numId w:val="0"/>
        </w:numPr>
        <w:spacing w:line="276" w:lineRule="auto"/>
        <w:ind w:left="709" w:hanging="709"/>
        <w:jc w:val="left"/>
      </w:pPr>
      <w:r w:rsidRPr="007C1870">
        <w:t>3.4.1</w:t>
      </w:r>
      <w:r w:rsidRPr="007C1870">
        <w:tab/>
      </w:r>
      <w:r w:rsidR="00B36FCF">
        <w:t>Table 1 in the Local Plan addresses the distribution of planned housing development at a geographical level and also draws a comparison with the existing population. Whilst this demonstrates the ‘dispersed development’ strategy, it does not demonstrate how planned development fits with the settlement hierarchy in accordance with Policy S1. As such, a new table has been prepared to clarify this matter</w:t>
      </w:r>
      <w:r w:rsidR="006214C2">
        <w:t xml:space="preserve"> and can be found in t</w:t>
      </w:r>
      <w:r w:rsidR="007C1870">
        <w:t>he Council’s Housing Land Supply Position Statement</w:t>
      </w:r>
      <w:r w:rsidR="006214C2">
        <w:t xml:space="preserve"> [ADC.04], </w:t>
      </w:r>
      <w:r w:rsidR="007C1870">
        <w:t>which sets out the level of growth attributed to each area of the District based on the settlement hierarchy.  It is proposed to incorporate this new table with supporting text to Policy S7.</w:t>
      </w:r>
    </w:p>
    <w:p w14:paraId="2F2F4792" w14:textId="77777777" w:rsidR="006214C2" w:rsidRDefault="006214C2" w:rsidP="006214C2">
      <w:pPr>
        <w:pStyle w:val="ListParagraph"/>
        <w:numPr>
          <w:ilvl w:val="1"/>
          <w:numId w:val="0"/>
        </w:numPr>
        <w:spacing w:line="276" w:lineRule="auto"/>
        <w:ind w:left="709" w:hanging="709"/>
        <w:jc w:val="left"/>
      </w:pPr>
    </w:p>
    <w:p w14:paraId="78011070" w14:textId="15AF8510" w:rsidR="006214C2" w:rsidRDefault="006214C2" w:rsidP="006214C2">
      <w:pPr>
        <w:pStyle w:val="ListParagraph"/>
        <w:numPr>
          <w:ilvl w:val="1"/>
          <w:numId w:val="0"/>
        </w:numPr>
        <w:spacing w:line="276" w:lineRule="auto"/>
        <w:ind w:left="709" w:hanging="709"/>
        <w:jc w:val="left"/>
      </w:pPr>
      <w:r>
        <w:lastRenderedPageBreak/>
        <w:t>3.4.2</w:t>
      </w:r>
      <w:r>
        <w:tab/>
        <w:t>The table demonstrates that planned housing growth is consistent with the identified settlement hierarchy with the following distribution:</w:t>
      </w:r>
    </w:p>
    <w:p w14:paraId="5BE08183" w14:textId="77777777" w:rsidR="006214C2" w:rsidRDefault="006214C2" w:rsidP="006214C2">
      <w:pPr>
        <w:pStyle w:val="ListParagraph"/>
        <w:jc w:val="left"/>
      </w:pPr>
    </w:p>
    <w:p w14:paraId="4ED55CED" w14:textId="77777777" w:rsidR="006214C2" w:rsidRDefault="006214C2" w:rsidP="006214C2">
      <w:pPr>
        <w:pStyle w:val="ListParagraph"/>
        <w:numPr>
          <w:ilvl w:val="0"/>
          <w:numId w:val="29"/>
        </w:numPr>
        <w:spacing w:line="276" w:lineRule="auto"/>
        <w:jc w:val="left"/>
      </w:pPr>
      <w:r>
        <w:t>Tier a): Main Urban Areas                        86%</w:t>
      </w:r>
    </w:p>
    <w:p w14:paraId="6A5ABDDF" w14:textId="77777777" w:rsidR="006214C2" w:rsidRDefault="006214C2" w:rsidP="006214C2">
      <w:pPr>
        <w:pStyle w:val="ListParagraph"/>
        <w:numPr>
          <w:ilvl w:val="0"/>
          <w:numId w:val="29"/>
        </w:numPr>
        <w:spacing w:line="276" w:lineRule="auto"/>
        <w:jc w:val="left"/>
      </w:pPr>
      <w:r>
        <w:t>Tier b): Strategic Employment Areas        N/A</w:t>
      </w:r>
    </w:p>
    <w:p w14:paraId="363302AF" w14:textId="77777777" w:rsidR="006214C2" w:rsidRDefault="006214C2" w:rsidP="006214C2">
      <w:pPr>
        <w:pStyle w:val="ListParagraph"/>
        <w:numPr>
          <w:ilvl w:val="0"/>
          <w:numId w:val="29"/>
        </w:numPr>
        <w:spacing w:line="276" w:lineRule="auto"/>
        <w:jc w:val="left"/>
      </w:pPr>
      <w:r>
        <w:t>Tier c): Named Settlements                      13%</w:t>
      </w:r>
    </w:p>
    <w:p w14:paraId="5DFAB1EA" w14:textId="77777777" w:rsidR="006214C2" w:rsidRDefault="006214C2" w:rsidP="006214C2">
      <w:pPr>
        <w:pStyle w:val="ListParagraph"/>
        <w:numPr>
          <w:ilvl w:val="0"/>
          <w:numId w:val="29"/>
        </w:numPr>
        <w:spacing w:line="276" w:lineRule="auto"/>
        <w:jc w:val="left"/>
      </w:pPr>
      <w:r>
        <w:t>Tier d): Blenheim Industrial Estate            N/A</w:t>
      </w:r>
    </w:p>
    <w:p w14:paraId="75883CA4" w14:textId="77777777" w:rsidR="006214C2" w:rsidRDefault="006214C2" w:rsidP="006214C2">
      <w:pPr>
        <w:pStyle w:val="ListParagraph"/>
        <w:numPr>
          <w:ilvl w:val="0"/>
          <w:numId w:val="29"/>
        </w:numPr>
        <w:spacing w:line="276" w:lineRule="auto"/>
        <w:jc w:val="left"/>
      </w:pPr>
      <w:r>
        <w:t>Tier e): The Remainder of the District       1%</w:t>
      </w:r>
    </w:p>
    <w:p w14:paraId="066B6E88" w14:textId="77777777" w:rsidR="006214C2" w:rsidRDefault="006214C2" w:rsidP="006214C2">
      <w:pPr>
        <w:pStyle w:val="ListParagraph"/>
        <w:numPr>
          <w:ilvl w:val="1"/>
          <w:numId w:val="0"/>
        </w:numPr>
        <w:spacing w:line="276" w:lineRule="auto"/>
        <w:ind w:left="709" w:hanging="709"/>
        <w:jc w:val="left"/>
      </w:pPr>
      <w:bookmarkStart w:id="3" w:name="_Hlk180760201"/>
    </w:p>
    <w:tbl>
      <w:tblPr>
        <w:tblStyle w:val="TableGrid"/>
        <w:tblW w:w="0" w:type="auto"/>
        <w:tblInd w:w="846" w:type="dxa"/>
        <w:tblLook w:val="04A0" w:firstRow="1" w:lastRow="0" w:firstColumn="1" w:lastColumn="0" w:noHBand="0" w:noVBand="1"/>
      </w:tblPr>
      <w:tblGrid>
        <w:gridCol w:w="8896"/>
      </w:tblGrid>
      <w:tr w:rsidR="006B4D8F" w14:paraId="222CFCCF" w14:textId="77777777" w:rsidTr="006214C2">
        <w:trPr>
          <w:trHeight w:val="475"/>
        </w:trPr>
        <w:tc>
          <w:tcPr>
            <w:tcW w:w="8896" w:type="dxa"/>
            <w:shd w:val="clear" w:color="auto" w:fill="D9D9D9" w:themeFill="background1" w:themeFillShade="D9"/>
          </w:tcPr>
          <w:p w14:paraId="336D4DCF" w14:textId="77777777" w:rsidR="006214C2" w:rsidRDefault="006214C2" w:rsidP="006214C2">
            <w:pPr>
              <w:pStyle w:val="ListParagraph"/>
              <w:ind w:left="170"/>
              <w:jc w:val="left"/>
              <w:rPr>
                <w:b/>
                <w:bCs/>
                <w:sz w:val="20"/>
                <w:szCs w:val="20"/>
                <w:lang w:eastAsia="en-GB"/>
              </w:rPr>
            </w:pPr>
          </w:p>
          <w:p w14:paraId="1C6338CB" w14:textId="25867CC5" w:rsidR="006214C2" w:rsidRDefault="006214C2" w:rsidP="006214C2">
            <w:pPr>
              <w:pStyle w:val="ListParagraph"/>
              <w:ind w:left="170"/>
              <w:jc w:val="left"/>
              <w:rPr>
                <w:b/>
                <w:bCs/>
                <w:szCs w:val="24"/>
                <w:lang w:eastAsia="en-GB"/>
              </w:rPr>
            </w:pPr>
            <w:r w:rsidRPr="006214C2">
              <w:rPr>
                <w:b/>
                <w:bCs/>
                <w:szCs w:val="24"/>
                <w:lang w:eastAsia="en-GB"/>
              </w:rPr>
              <w:t>Proposed Modification</w:t>
            </w:r>
          </w:p>
          <w:p w14:paraId="66BB6112" w14:textId="77777777" w:rsidR="006214C2" w:rsidRPr="006214C2" w:rsidRDefault="006214C2" w:rsidP="006214C2">
            <w:pPr>
              <w:pStyle w:val="ListParagraph"/>
              <w:ind w:left="170"/>
              <w:jc w:val="left"/>
              <w:rPr>
                <w:b/>
                <w:bCs/>
                <w:sz w:val="16"/>
                <w:szCs w:val="16"/>
                <w:lang w:eastAsia="en-GB"/>
              </w:rPr>
            </w:pPr>
          </w:p>
          <w:p w14:paraId="03AF9952" w14:textId="6862554E" w:rsidR="006214C2" w:rsidRPr="006214C2" w:rsidRDefault="006214C2" w:rsidP="006214C2">
            <w:pPr>
              <w:pStyle w:val="ListParagraph"/>
              <w:ind w:left="170"/>
              <w:jc w:val="left"/>
              <w:rPr>
                <w:szCs w:val="24"/>
                <w:lang w:eastAsia="en-GB"/>
              </w:rPr>
            </w:pPr>
            <w:r w:rsidRPr="006214C2">
              <w:rPr>
                <w:szCs w:val="24"/>
                <w:lang w:eastAsia="en-GB"/>
              </w:rPr>
              <w:t>Insert new Table</w:t>
            </w:r>
            <w:r>
              <w:rPr>
                <w:szCs w:val="24"/>
                <w:lang w:eastAsia="en-GB"/>
              </w:rPr>
              <w:t xml:space="preserve"> </w:t>
            </w:r>
            <w:r w:rsidRPr="006214C2">
              <w:rPr>
                <w:szCs w:val="24"/>
                <w:lang w:eastAsia="en-GB"/>
              </w:rPr>
              <w:t>(</w:t>
            </w:r>
            <w:r>
              <w:rPr>
                <w:szCs w:val="24"/>
                <w:lang w:eastAsia="en-GB"/>
              </w:rPr>
              <w:t xml:space="preserve">Table A, </w:t>
            </w:r>
            <w:r w:rsidRPr="006214C2">
              <w:rPr>
                <w:szCs w:val="24"/>
              </w:rPr>
              <w:t>Housing Land Supply Position Statement [ADC.04]</w:t>
            </w:r>
            <w:r>
              <w:rPr>
                <w:szCs w:val="24"/>
              </w:rPr>
              <w:t>)</w:t>
            </w:r>
          </w:p>
          <w:p w14:paraId="1E65EEE0" w14:textId="3290E9C6" w:rsidR="006B4D8F" w:rsidRDefault="006214C2" w:rsidP="006214C2">
            <w:pPr>
              <w:pStyle w:val="ListParagraph"/>
              <w:ind w:left="170"/>
              <w:jc w:val="left"/>
              <w:rPr>
                <w:sz w:val="16"/>
                <w:szCs w:val="16"/>
              </w:rPr>
            </w:pPr>
            <w:r>
              <w:rPr>
                <w:szCs w:val="24"/>
                <w:lang w:eastAsia="en-GB"/>
              </w:rPr>
              <w:t>into supporting text for Policy S1 after paragraph 3.24 and include additional explanatory text.</w:t>
            </w:r>
          </w:p>
          <w:p w14:paraId="0AE042B7" w14:textId="77777777" w:rsidR="008E2065" w:rsidRDefault="008E2065" w:rsidP="008E2065">
            <w:pPr>
              <w:jc w:val="left"/>
              <w:rPr>
                <w:sz w:val="16"/>
                <w:szCs w:val="16"/>
              </w:rPr>
            </w:pPr>
          </w:p>
          <w:p w14:paraId="5B6A9041" w14:textId="2041795A" w:rsidR="008E2065" w:rsidRPr="007F0DDA" w:rsidRDefault="008E2065" w:rsidP="008E2065">
            <w:pPr>
              <w:jc w:val="left"/>
              <w:rPr>
                <w:sz w:val="16"/>
                <w:szCs w:val="16"/>
              </w:rPr>
            </w:pPr>
          </w:p>
        </w:tc>
      </w:tr>
    </w:tbl>
    <w:p w14:paraId="7F86CD49" w14:textId="32EB59F5" w:rsidR="007C1870" w:rsidRPr="003A214C" w:rsidRDefault="007C1870" w:rsidP="003A214C">
      <w:pPr>
        <w:jc w:val="left"/>
      </w:pPr>
    </w:p>
    <w:bookmarkEnd w:id="3"/>
    <w:p w14:paraId="40FDD6C5" w14:textId="5F8B6106" w:rsidR="003A1825" w:rsidRPr="003A214C" w:rsidRDefault="003A1825" w:rsidP="001C4B8F">
      <w:pPr>
        <w:pStyle w:val="Heading3"/>
      </w:pPr>
      <w:r w:rsidRPr="003A214C">
        <w:t>3.5 Does the submitted Plan’s approach strike an appropriate balance between the</w:t>
      </w:r>
      <w:r w:rsidR="003A214C" w:rsidRPr="003A214C">
        <w:t xml:space="preserve"> </w:t>
      </w:r>
      <w:r w:rsidRPr="003A214C">
        <w:t>identification of land for new homes and employment?</w:t>
      </w:r>
    </w:p>
    <w:p w14:paraId="01161F6A" w14:textId="77777777" w:rsidR="003A214C" w:rsidRPr="00156B97" w:rsidRDefault="003A214C" w:rsidP="003A214C">
      <w:pPr>
        <w:jc w:val="left"/>
        <w:rPr>
          <w:u w:val="single"/>
        </w:rPr>
      </w:pPr>
      <w:r w:rsidRPr="00156B97">
        <w:rPr>
          <w:u w:val="single"/>
        </w:rPr>
        <w:t>Council’s response</w:t>
      </w:r>
    </w:p>
    <w:p w14:paraId="107DD1F1" w14:textId="36942F1C" w:rsidR="00CD104A" w:rsidRPr="00CD104A" w:rsidRDefault="00D16BE7" w:rsidP="00D16BE7">
      <w:pPr>
        <w:ind w:left="720" w:hanging="720"/>
        <w:jc w:val="left"/>
        <w:rPr>
          <w:rFonts w:eastAsia="Aptos" w:cs="Times New Roman"/>
        </w:rPr>
      </w:pPr>
      <w:r>
        <w:rPr>
          <w:rFonts w:eastAsia="Aptos" w:cs="Times New Roman"/>
        </w:rPr>
        <w:t>3.5.1</w:t>
      </w:r>
      <w:r>
        <w:rPr>
          <w:rFonts w:eastAsia="Aptos" w:cs="Times New Roman"/>
        </w:rPr>
        <w:tab/>
      </w:r>
      <w:r w:rsidR="00CD104A" w:rsidRPr="00CD104A">
        <w:rPr>
          <w:rFonts w:eastAsia="Aptos" w:cs="Times New Roman"/>
        </w:rPr>
        <w:t>Yes.  The supply of land for new homes and employment identified in the submitted Local Plan [SD.01] aligns with the needs assessments for those uses, with the inter-relationship between job creation and housing delivery a key outcome of the Council’s evidence.  Paragraph 3.61 of the Local Plan identifies that the Local Housing Need (LHN) for Ashfield District, based on the Government’s standard methodology, was 446 dwellings per annum (dpa) as of April 2023.  Strategic Policy S7 states that over the 17-year Plan period 2023-2040, this would equate to the delivery of 7,582 dwellings.</w:t>
      </w:r>
    </w:p>
    <w:p w14:paraId="45EBCCF0" w14:textId="1D73CA71" w:rsidR="00CD104A" w:rsidRPr="00CD104A" w:rsidRDefault="00D16BE7" w:rsidP="00D16BE7">
      <w:pPr>
        <w:ind w:left="720" w:hanging="720"/>
        <w:jc w:val="left"/>
        <w:rPr>
          <w:rFonts w:eastAsia="Aptos" w:cs="Times New Roman"/>
        </w:rPr>
      </w:pPr>
      <w:r>
        <w:rPr>
          <w:rFonts w:eastAsia="Aptos" w:cs="Times New Roman"/>
        </w:rPr>
        <w:t>3.5.2</w:t>
      </w:r>
      <w:r>
        <w:rPr>
          <w:rFonts w:eastAsia="Aptos" w:cs="Times New Roman"/>
        </w:rPr>
        <w:tab/>
      </w:r>
      <w:r w:rsidR="00CD104A" w:rsidRPr="00CD104A">
        <w:rPr>
          <w:rFonts w:eastAsia="Aptos" w:cs="Times New Roman"/>
        </w:rPr>
        <w:t>Strategic Policy S8 aims to provide for the growth of the local and regional economy by ensuring sufficient and appropriate employment land is available within the District to meet local needs and to contribute towards future regional needs of businesses.  The employment land demand requires 81 ha of employment land to be provided, which is addressed through Strategic Policy S6: Strategic Employment Allocation at Junction 27 M1 Motorway and Policy EM2: Employment Land Allocations.</w:t>
      </w:r>
    </w:p>
    <w:p w14:paraId="0221EA7C" w14:textId="6752CA67" w:rsidR="00CD104A" w:rsidRPr="00CD104A" w:rsidRDefault="00D16BE7" w:rsidP="00D16BE7">
      <w:pPr>
        <w:ind w:left="720" w:hanging="720"/>
        <w:jc w:val="left"/>
        <w:rPr>
          <w:rFonts w:eastAsia="Aptos" w:cs="Times New Roman"/>
        </w:rPr>
      </w:pPr>
      <w:r>
        <w:rPr>
          <w:rFonts w:eastAsia="Aptos" w:cs="Times New Roman"/>
        </w:rPr>
        <w:t>3.5.3</w:t>
      </w:r>
      <w:r>
        <w:rPr>
          <w:rFonts w:eastAsia="Aptos" w:cs="Times New Roman"/>
        </w:rPr>
        <w:tab/>
      </w:r>
      <w:r w:rsidR="00CD104A" w:rsidRPr="00CD104A">
        <w:rPr>
          <w:rFonts w:eastAsia="Aptos" w:cs="Times New Roman"/>
        </w:rPr>
        <w:t xml:space="preserve">The employment land requirement is derived via modelling work contained within </w:t>
      </w:r>
      <w:r w:rsidR="00CD104A" w:rsidRPr="00CD104A">
        <w:rPr>
          <w:rFonts w:eastAsia="Aptos" w:cs="Times New Roman"/>
          <w:i/>
          <w:iCs/>
        </w:rPr>
        <w:t xml:space="preserve">Background Paper No 3: Economy &amp; Employment Land </w:t>
      </w:r>
      <w:r w:rsidR="00CD104A" w:rsidRPr="00CD104A">
        <w:rPr>
          <w:rFonts w:eastAsia="Aptos" w:cs="Times New Roman"/>
        </w:rPr>
        <w:t xml:space="preserve">(2023), which is itself an update of the </w:t>
      </w:r>
      <w:r w:rsidR="00CD104A" w:rsidRPr="00CD104A">
        <w:rPr>
          <w:rFonts w:eastAsia="Aptos" w:cs="Times New Roman"/>
          <w:i/>
          <w:iCs/>
        </w:rPr>
        <w:t>Nottingham Core HMA and Nottingham Outer HMA, Employment Land Needs Study</w:t>
      </w:r>
      <w:r w:rsidR="00CD104A" w:rsidRPr="00CD104A">
        <w:rPr>
          <w:rFonts w:eastAsia="Aptos" w:cs="Times New Roman"/>
        </w:rPr>
        <w:t xml:space="preserve"> (ELNS) (May 2021, Lichfields).  These documents set out how the employment land target aligns with housing need.</w:t>
      </w:r>
    </w:p>
    <w:p w14:paraId="6A2D3B9C" w14:textId="6A3C383B" w:rsidR="00CD104A" w:rsidRPr="00CD104A" w:rsidRDefault="00D16BE7" w:rsidP="00D16BE7">
      <w:pPr>
        <w:ind w:left="720" w:hanging="720"/>
        <w:jc w:val="left"/>
        <w:rPr>
          <w:rFonts w:eastAsia="Aptos" w:cs="Times New Roman"/>
        </w:rPr>
      </w:pPr>
      <w:r>
        <w:rPr>
          <w:rFonts w:eastAsia="Aptos" w:cs="Times New Roman"/>
        </w:rPr>
        <w:t>3.5.4</w:t>
      </w:r>
      <w:r>
        <w:rPr>
          <w:rFonts w:eastAsia="Aptos" w:cs="Times New Roman"/>
        </w:rPr>
        <w:tab/>
      </w:r>
      <w:r w:rsidR="00CD104A" w:rsidRPr="00CD104A">
        <w:rPr>
          <w:rFonts w:eastAsia="Aptos" w:cs="Times New Roman"/>
        </w:rPr>
        <w:t xml:space="preserve">For example, </w:t>
      </w:r>
      <w:r w:rsidR="00CD104A" w:rsidRPr="00CD104A">
        <w:rPr>
          <w:rFonts w:eastAsia="Aptos" w:cs="Times New Roman"/>
          <w:i/>
          <w:iCs/>
        </w:rPr>
        <w:t xml:space="preserve">Background Paper 3 </w:t>
      </w:r>
      <w:r w:rsidR="00CD104A" w:rsidRPr="00CD104A">
        <w:rPr>
          <w:rFonts w:eastAsia="Aptos" w:cs="Times New Roman"/>
        </w:rPr>
        <w:t>revisited several scenarios for deriving employment land requirements based on the Planning Practice Guidance</w:t>
      </w:r>
      <w:r w:rsidR="00CD104A" w:rsidRPr="00CD104A">
        <w:rPr>
          <w:rFonts w:eastAsia="Aptos" w:cs="Times New Roman"/>
          <w:vertAlign w:val="superscript"/>
        </w:rPr>
        <w:footnoteReference w:id="1"/>
      </w:r>
      <w:r w:rsidR="00CD104A" w:rsidRPr="00CD104A">
        <w:rPr>
          <w:rFonts w:eastAsia="Aptos" w:cs="Times New Roman"/>
        </w:rPr>
        <w:t>, including:</w:t>
      </w:r>
    </w:p>
    <w:p w14:paraId="6454C216" w14:textId="77777777" w:rsidR="00CD104A" w:rsidRPr="00CD104A" w:rsidRDefault="00CD104A" w:rsidP="00D16BE7">
      <w:pPr>
        <w:numPr>
          <w:ilvl w:val="0"/>
          <w:numId w:val="28"/>
        </w:numPr>
        <w:ind w:left="1134" w:hanging="283"/>
        <w:jc w:val="left"/>
        <w:rPr>
          <w:rFonts w:eastAsia="Aptos" w:cs="Times New Roman"/>
        </w:rPr>
      </w:pPr>
      <w:r w:rsidRPr="00CD104A">
        <w:rPr>
          <w:rFonts w:eastAsia="Aptos" w:cs="Times New Roman"/>
          <w:b/>
          <w:bCs/>
        </w:rPr>
        <w:lastRenderedPageBreak/>
        <w:t xml:space="preserve">Labour Demand: </w:t>
      </w:r>
      <w:r w:rsidRPr="00CD104A">
        <w:rPr>
          <w:rFonts w:eastAsia="Aptos" w:cs="Times New Roman"/>
        </w:rPr>
        <w:t>Forecasts of job demand by industrial sector (with 3 scenarios using Experian data for March/September 2020 and a Regeneration Scenario);</w:t>
      </w:r>
    </w:p>
    <w:p w14:paraId="22A6C4D9" w14:textId="77777777" w:rsidR="00CD104A" w:rsidRPr="00CD104A" w:rsidRDefault="00CD104A" w:rsidP="00D16BE7">
      <w:pPr>
        <w:numPr>
          <w:ilvl w:val="0"/>
          <w:numId w:val="28"/>
        </w:numPr>
        <w:ind w:left="1134" w:hanging="283"/>
        <w:jc w:val="left"/>
        <w:rPr>
          <w:rFonts w:eastAsia="Aptos" w:cs="Times New Roman"/>
        </w:rPr>
      </w:pPr>
      <w:r w:rsidRPr="00CD104A">
        <w:rPr>
          <w:rFonts w:eastAsia="Aptos" w:cs="Times New Roman"/>
          <w:b/>
          <w:bCs/>
        </w:rPr>
        <w:t>Labour Supply:</w:t>
      </w:r>
      <w:r w:rsidRPr="00CD104A">
        <w:rPr>
          <w:rFonts w:eastAsia="Aptos" w:cs="Times New Roman"/>
        </w:rPr>
        <w:t xml:space="preserve"> modelling the employment implications of meeting housing delivery targets (and the associated uplift to Ashfield’s local labour-force).  Two scenarios were modelled, based on the ONS’s 2014-based Sub-National Population Projections [SNPP]; and the Standard Methodology figure of 446 dpa;</w:t>
      </w:r>
    </w:p>
    <w:p w14:paraId="72DA8029" w14:textId="77777777" w:rsidR="00CD104A" w:rsidRPr="00CD104A" w:rsidRDefault="00CD104A" w:rsidP="00D16BE7">
      <w:pPr>
        <w:numPr>
          <w:ilvl w:val="0"/>
          <w:numId w:val="28"/>
        </w:numPr>
        <w:ind w:left="1134" w:hanging="283"/>
        <w:jc w:val="left"/>
        <w:rPr>
          <w:rFonts w:eastAsia="Aptos" w:cs="Times New Roman"/>
        </w:rPr>
      </w:pPr>
      <w:r w:rsidRPr="00CD104A">
        <w:rPr>
          <w:rFonts w:eastAsia="Aptos" w:cs="Times New Roman"/>
          <w:b/>
          <w:bCs/>
        </w:rPr>
        <w:t>Past Completions:</w:t>
      </w:r>
      <w:r w:rsidRPr="00CD104A">
        <w:rPr>
          <w:rFonts w:eastAsia="Aptos" w:cs="Times New Roman"/>
        </w:rPr>
        <w:t xml:space="preserve"> Annual completions of industrial &amp; office space projected into the future.</w:t>
      </w:r>
    </w:p>
    <w:p w14:paraId="4373A21A" w14:textId="3F3C49A8" w:rsidR="00CD104A" w:rsidRPr="00CD104A" w:rsidRDefault="00D16BE7" w:rsidP="00D16BE7">
      <w:pPr>
        <w:ind w:left="720" w:hanging="720"/>
        <w:jc w:val="left"/>
        <w:rPr>
          <w:rFonts w:eastAsia="Aptos" w:cs="Times New Roman"/>
        </w:rPr>
      </w:pPr>
      <w:r>
        <w:rPr>
          <w:rFonts w:eastAsia="Aptos" w:cs="Times New Roman"/>
        </w:rPr>
        <w:t>3.5.5</w:t>
      </w:r>
      <w:r>
        <w:rPr>
          <w:rFonts w:eastAsia="Aptos" w:cs="Times New Roman"/>
        </w:rPr>
        <w:tab/>
      </w:r>
      <w:r w:rsidR="00CD104A" w:rsidRPr="00CD104A">
        <w:rPr>
          <w:rFonts w:eastAsia="Aptos" w:cs="Times New Roman"/>
        </w:rPr>
        <w:t xml:space="preserve">Following various adjustments to the net land requirements, including the incorporation of a margin of choice and an adjustment for loss replacement, </w:t>
      </w:r>
      <w:r w:rsidR="00CD104A" w:rsidRPr="00CD104A">
        <w:rPr>
          <w:rFonts w:eastAsia="Aptos" w:cs="Times New Roman"/>
          <w:i/>
          <w:iCs/>
        </w:rPr>
        <w:t>Background Paper 3</w:t>
      </w:r>
      <w:r w:rsidR="00CD104A" w:rsidRPr="00CD104A">
        <w:rPr>
          <w:rFonts w:eastAsia="Aptos" w:cs="Times New Roman"/>
        </w:rPr>
        <w:t xml:space="preserve"> reported that the employment land range was between 1,433 sqm and 16,588 sqm of office floorspace, and between 12.2 ha and 80.6 ha of industrial / warehousing land to 2040 (summarised in Table 3.1):</w:t>
      </w:r>
    </w:p>
    <w:p w14:paraId="461E8700" w14:textId="77777777" w:rsidR="00CD104A" w:rsidRPr="00CD104A" w:rsidRDefault="00CD104A" w:rsidP="00CD104A">
      <w:pPr>
        <w:autoSpaceDE w:val="0"/>
        <w:autoSpaceDN w:val="0"/>
        <w:adjustRightInd w:val="0"/>
        <w:ind w:left="525"/>
        <w:rPr>
          <w:rFonts w:eastAsia="Aptos" w:cs="Arial"/>
          <w:b/>
          <w:bCs/>
        </w:rPr>
      </w:pPr>
      <w:r w:rsidRPr="00CD104A">
        <w:rPr>
          <w:rFonts w:eastAsia="Aptos" w:cs="Arial"/>
          <w:b/>
          <w:bCs/>
        </w:rPr>
        <w:t>Table 3.1:  Revised Employment Land Requirements for Ashfield District 2023-2040</w:t>
      </w:r>
    </w:p>
    <w:tbl>
      <w:tblPr>
        <w:tblStyle w:val="ReportTable1"/>
        <w:tblW w:w="9109" w:type="dxa"/>
        <w:tblInd w:w="525" w:type="dxa"/>
        <w:tblLook w:val="04A0" w:firstRow="1" w:lastRow="0" w:firstColumn="1" w:lastColumn="0" w:noHBand="0" w:noVBand="1"/>
      </w:tblPr>
      <w:tblGrid>
        <w:gridCol w:w="2509"/>
        <w:gridCol w:w="1356"/>
        <w:gridCol w:w="1275"/>
        <w:gridCol w:w="1701"/>
        <w:gridCol w:w="2268"/>
      </w:tblGrid>
      <w:tr w:rsidR="00CD104A" w:rsidRPr="00CD104A" w14:paraId="034E8C44" w14:textId="77777777" w:rsidTr="00CD104A">
        <w:tc>
          <w:tcPr>
            <w:tcW w:w="250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2DF6C0" w14:textId="77777777" w:rsidR="00CD104A" w:rsidRPr="00CD104A" w:rsidRDefault="00CD104A" w:rsidP="00CD104A">
            <w:pPr>
              <w:autoSpaceDE w:val="0"/>
              <w:autoSpaceDN w:val="0"/>
              <w:adjustRightInd w:val="0"/>
              <w:jc w:val="left"/>
              <w:rPr>
                <w:rFonts w:cs="Arial"/>
                <w:b/>
                <w:bCs/>
                <w:sz w:val="20"/>
                <w:szCs w:val="20"/>
              </w:rPr>
            </w:pPr>
            <w:r w:rsidRPr="00CD104A">
              <w:rPr>
                <w:rFonts w:cs="Arial"/>
                <w:b/>
                <w:bCs/>
                <w:sz w:val="20"/>
                <w:szCs w:val="20"/>
              </w:rPr>
              <w:t>Scenario</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5FDEDF" w14:textId="77777777" w:rsidR="00CD104A" w:rsidRPr="00CD104A" w:rsidRDefault="00CD104A" w:rsidP="00CD104A">
            <w:pPr>
              <w:autoSpaceDE w:val="0"/>
              <w:autoSpaceDN w:val="0"/>
              <w:adjustRightInd w:val="0"/>
              <w:jc w:val="left"/>
              <w:rPr>
                <w:rFonts w:cs="Arial"/>
                <w:b/>
                <w:bCs/>
                <w:sz w:val="20"/>
                <w:szCs w:val="20"/>
              </w:rPr>
            </w:pPr>
            <w:r w:rsidRPr="00CD104A">
              <w:rPr>
                <w:rFonts w:cs="Arial"/>
                <w:b/>
                <w:bCs/>
                <w:sz w:val="20"/>
                <w:szCs w:val="20"/>
              </w:rPr>
              <w:t>Stage</w:t>
            </w:r>
          </w:p>
        </w:tc>
        <w:tc>
          <w:tcPr>
            <w:tcW w:w="524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F5D08D" w14:textId="77777777" w:rsidR="00CD104A" w:rsidRPr="00CD104A" w:rsidRDefault="00CD104A" w:rsidP="00CD104A">
            <w:pPr>
              <w:autoSpaceDE w:val="0"/>
              <w:autoSpaceDN w:val="0"/>
              <w:adjustRightInd w:val="0"/>
              <w:jc w:val="left"/>
              <w:rPr>
                <w:rFonts w:cs="Arial"/>
                <w:b/>
                <w:bCs/>
                <w:sz w:val="20"/>
                <w:szCs w:val="20"/>
              </w:rPr>
            </w:pPr>
            <w:r w:rsidRPr="00CD104A">
              <w:rPr>
                <w:rFonts w:cs="Arial"/>
                <w:b/>
                <w:bCs/>
                <w:sz w:val="20"/>
                <w:szCs w:val="20"/>
              </w:rPr>
              <w:t>2023 Update (2023-2040)</w:t>
            </w:r>
          </w:p>
        </w:tc>
      </w:tr>
      <w:tr w:rsidR="00CD104A" w:rsidRPr="00CD104A" w14:paraId="749BCD87" w14:textId="77777777" w:rsidTr="00CD104A">
        <w:tc>
          <w:tcPr>
            <w:tcW w:w="0" w:type="auto"/>
            <w:vMerge/>
            <w:tcBorders>
              <w:top w:val="single" w:sz="4" w:space="0" w:color="auto"/>
              <w:left w:val="single" w:sz="4" w:space="0" w:color="auto"/>
              <w:bottom w:val="single" w:sz="4" w:space="0" w:color="auto"/>
              <w:right w:val="single" w:sz="4" w:space="0" w:color="auto"/>
            </w:tcBorders>
            <w:vAlign w:val="center"/>
            <w:hideMark/>
          </w:tcPr>
          <w:p w14:paraId="7767B469" w14:textId="77777777" w:rsidR="00CD104A" w:rsidRPr="00CD104A" w:rsidRDefault="00CD104A" w:rsidP="00CD104A">
            <w:pPr>
              <w:rPr>
                <w:rFonts w:cs="Arial"/>
                <w:b/>
                <w:bCs/>
                <w:kern w:val="2"/>
                <w:sz w:val="20"/>
                <w:szCs w:val="20"/>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12AB0" w14:textId="77777777" w:rsidR="00CD104A" w:rsidRPr="00CD104A" w:rsidRDefault="00CD104A" w:rsidP="00CD104A">
            <w:pPr>
              <w:rPr>
                <w:rFonts w:cs="Arial"/>
                <w:b/>
                <w:bCs/>
                <w:kern w:val="2"/>
                <w:sz w:val="20"/>
                <w:szCs w:val="20"/>
                <w14:ligatures w14:val="standardContextual"/>
              </w:rPr>
            </w:pP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4F8D29" w14:textId="77777777" w:rsidR="00CD104A" w:rsidRPr="00CD104A" w:rsidRDefault="00CD104A" w:rsidP="00CD104A">
            <w:pPr>
              <w:autoSpaceDE w:val="0"/>
              <w:autoSpaceDN w:val="0"/>
              <w:adjustRightInd w:val="0"/>
              <w:jc w:val="left"/>
              <w:rPr>
                <w:rFonts w:cs="Arial"/>
                <w:b/>
                <w:bCs/>
                <w:sz w:val="20"/>
                <w:szCs w:val="20"/>
              </w:rPr>
            </w:pPr>
            <w:r w:rsidRPr="00CD104A">
              <w:rPr>
                <w:rFonts w:cs="Arial"/>
                <w:b/>
                <w:bCs/>
                <w:sz w:val="20"/>
                <w:szCs w:val="20"/>
              </w:rPr>
              <w:t>Office (sqm)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E734F6" w14:textId="77777777" w:rsidR="00CD104A" w:rsidRPr="00CD104A" w:rsidRDefault="00CD104A" w:rsidP="00CD104A">
            <w:pPr>
              <w:autoSpaceDE w:val="0"/>
              <w:autoSpaceDN w:val="0"/>
              <w:adjustRightInd w:val="0"/>
              <w:jc w:val="left"/>
              <w:rPr>
                <w:rFonts w:cs="Arial"/>
                <w:b/>
                <w:bCs/>
                <w:sz w:val="20"/>
                <w:szCs w:val="20"/>
              </w:rPr>
            </w:pPr>
            <w:r w:rsidRPr="00CD104A">
              <w:rPr>
                <w:rFonts w:cs="Arial"/>
                <w:b/>
                <w:bCs/>
                <w:sz w:val="20"/>
                <w:szCs w:val="20"/>
              </w:rPr>
              <w:t>Total Industrial (ha)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E79DC0" w14:textId="77777777" w:rsidR="00CD104A" w:rsidRPr="00CD104A" w:rsidRDefault="00CD104A" w:rsidP="00CD104A">
            <w:pPr>
              <w:autoSpaceDE w:val="0"/>
              <w:autoSpaceDN w:val="0"/>
              <w:adjustRightInd w:val="0"/>
              <w:jc w:val="left"/>
              <w:rPr>
                <w:rFonts w:cs="Arial"/>
                <w:b/>
                <w:bCs/>
                <w:sz w:val="20"/>
                <w:szCs w:val="20"/>
              </w:rPr>
            </w:pPr>
            <w:r w:rsidRPr="00CD104A">
              <w:rPr>
                <w:rFonts w:cs="Arial"/>
                <w:b/>
                <w:bCs/>
                <w:sz w:val="20"/>
                <w:szCs w:val="20"/>
              </w:rPr>
              <w:t>ALL EMPLOYMENT LAND</w:t>
            </w:r>
          </w:p>
        </w:tc>
      </w:tr>
      <w:tr w:rsidR="00CD104A" w:rsidRPr="00CD104A" w14:paraId="000B1283" w14:textId="77777777" w:rsidTr="00CD104A">
        <w:tc>
          <w:tcPr>
            <w:tcW w:w="2509" w:type="dxa"/>
            <w:vMerge w:val="restart"/>
            <w:tcBorders>
              <w:top w:val="single" w:sz="4" w:space="0" w:color="auto"/>
              <w:left w:val="single" w:sz="4" w:space="0" w:color="auto"/>
              <w:bottom w:val="single" w:sz="4" w:space="0" w:color="auto"/>
              <w:right w:val="single" w:sz="4" w:space="0" w:color="auto"/>
            </w:tcBorders>
            <w:vAlign w:val="center"/>
            <w:hideMark/>
          </w:tcPr>
          <w:p w14:paraId="18289AC6" w14:textId="77777777" w:rsidR="00CD104A" w:rsidRPr="00CD104A" w:rsidRDefault="00CD104A" w:rsidP="00CD104A">
            <w:pPr>
              <w:jc w:val="left"/>
              <w:rPr>
                <w:rFonts w:cs="Arial"/>
                <w:sz w:val="20"/>
                <w:szCs w:val="20"/>
              </w:rPr>
            </w:pPr>
            <w:r w:rsidRPr="00CD104A">
              <w:rPr>
                <w:rFonts w:eastAsia="Calibri" w:cs="Arial"/>
                <w:b/>
                <w:bCs/>
                <w:sz w:val="20"/>
                <w:szCs w:val="20"/>
              </w:rPr>
              <w:t>1) Experian September 2020 Baseline</w:t>
            </w:r>
          </w:p>
        </w:tc>
        <w:tc>
          <w:tcPr>
            <w:tcW w:w="1356" w:type="dxa"/>
            <w:tcBorders>
              <w:top w:val="single" w:sz="4" w:space="0" w:color="auto"/>
              <w:left w:val="single" w:sz="4" w:space="0" w:color="auto"/>
              <w:bottom w:val="single" w:sz="4" w:space="0" w:color="auto"/>
              <w:right w:val="single" w:sz="4" w:space="0" w:color="auto"/>
            </w:tcBorders>
            <w:vAlign w:val="center"/>
            <w:hideMark/>
          </w:tcPr>
          <w:p w14:paraId="68C6529A" w14:textId="77777777" w:rsidR="00CD104A" w:rsidRPr="00CD104A" w:rsidRDefault="00CD104A" w:rsidP="00CD104A">
            <w:pPr>
              <w:jc w:val="left"/>
              <w:rPr>
                <w:rFonts w:eastAsia="Calibri" w:cs="Arial"/>
                <w:sz w:val="20"/>
                <w:szCs w:val="20"/>
              </w:rPr>
            </w:pPr>
            <w:r w:rsidRPr="00CD104A">
              <w:rPr>
                <w:rFonts w:eastAsia="Calibri" w:cs="Arial"/>
                <w:sz w:val="20"/>
                <w:szCs w:val="20"/>
              </w:rPr>
              <w:t>Net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B5BD263" w14:textId="77777777" w:rsidR="00CD104A" w:rsidRPr="00CD104A" w:rsidRDefault="00CD104A" w:rsidP="00CD104A">
            <w:pPr>
              <w:jc w:val="left"/>
              <w:rPr>
                <w:rFonts w:eastAsia="Calibri" w:cs="Arial"/>
                <w:sz w:val="20"/>
                <w:szCs w:val="20"/>
              </w:rPr>
            </w:pPr>
            <w:r w:rsidRPr="00CD104A">
              <w:rPr>
                <w:rFonts w:eastAsia="Calibri" w:cs="Arial"/>
                <w:sz w:val="20"/>
                <w:szCs w:val="20"/>
              </w:rPr>
              <w:t>6,626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A2DDC8" w14:textId="77777777" w:rsidR="00CD104A" w:rsidRPr="00CD104A" w:rsidRDefault="00CD104A" w:rsidP="00CD104A">
            <w:pPr>
              <w:jc w:val="left"/>
              <w:rPr>
                <w:rFonts w:eastAsia="Calibri" w:cs="Arial"/>
                <w:sz w:val="20"/>
                <w:szCs w:val="20"/>
              </w:rPr>
            </w:pPr>
            <w:r w:rsidRPr="00CD104A">
              <w:rPr>
                <w:rFonts w:eastAsia="Calibri" w:cs="Arial"/>
                <w:sz w:val="20"/>
                <w:szCs w:val="20"/>
              </w:rPr>
              <w:t>-0.76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2315DF" w14:textId="77777777" w:rsidR="00CD104A" w:rsidRPr="00CD104A" w:rsidRDefault="00CD104A" w:rsidP="00CD104A">
            <w:pPr>
              <w:jc w:val="left"/>
              <w:rPr>
                <w:rFonts w:eastAsia="Calibri" w:cs="Arial"/>
                <w:sz w:val="20"/>
                <w:szCs w:val="20"/>
              </w:rPr>
            </w:pPr>
            <w:r w:rsidRPr="00CD104A">
              <w:rPr>
                <w:rFonts w:eastAsia="Calibri" w:cs="Arial"/>
                <w:sz w:val="20"/>
                <w:szCs w:val="20"/>
              </w:rPr>
              <w:t>0.90</w:t>
            </w:r>
          </w:p>
        </w:tc>
      </w:tr>
      <w:tr w:rsidR="00CD104A" w:rsidRPr="00CD104A" w14:paraId="56DD3E66" w14:textId="77777777" w:rsidTr="00CD104A">
        <w:tc>
          <w:tcPr>
            <w:tcW w:w="0" w:type="auto"/>
            <w:vMerge/>
            <w:tcBorders>
              <w:top w:val="single" w:sz="4" w:space="0" w:color="auto"/>
              <w:left w:val="single" w:sz="4" w:space="0" w:color="auto"/>
              <w:bottom w:val="single" w:sz="4" w:space="0" w:color="auto"/>
              <w:right w:val="single" w:sz="4" w:space="0" w:color="auto"/>
            </w:tcBorders>
            <w:vAlign w:val="center"/>
            <w:hideMark/>
          </w:tcPr>
          <w:p w14:paraId="43D1E0DD" w14:textId="77777777" w:rsidR="00CD104A" w:rsidRPr="00CD104A" w:rsidRDefault="00CD104A" w:rsidP="00CD104A">
            <w:pPr>
              <w:rPr>
                <w:rFonts w:cs="Arial"/>
                <w:kern w:val="2"/>
                <w:sz w:val="20"/>
                <w:szCs w:val="20"/>
                <w14:ligatures w14:val="standardContextual"/>
              </w:rPr>
            </w:pPr>
          </w:p>
        </w:tc>
        <w:tc>
          <w:tcPr>
            <w:tcW w:w="1356" w:type="dxa"/>
            <w:tcBorders>
              <w:top w:val="single" w:sz="4" w:space="0" w:color="auto"/>
              <w:left w:val="single" w:sz="4" w:space="0" w:color="auto"/>
              <w:bottom w:val="single" w:sz="4" w:space="0" w:color="auto"/>
              <w:right w:val="single" w:sz="4" w:space="0" w:color="auto"/>
            </w:tcBorders>
            <w:vAlign w:val="center"/>
            <w:hideMark/>
          </w:tcPr>
          <w:p w14:paraId="65AC5DBE" w14:textId="77777777" w:rsidR="00CD104A" w:rsidRPr="00CD104A" w:rsidRDefault="00CD104A" w:rsidP="00CD104A">
            <w:pPr>
              <w:jc w:val="left"/>
              <w:rPr>
                <w:rFonts w:eastAsia="Calibri" w:cs="Arial"/>
                <w:sz w:val="20"/>
                <w:szCs w:val="20"/>
              </w:rPr>
            </w:pPr>
            <w:r w:rsidRPr="00CD104A">
              <w:rPr>
                <w:rFonts w:eastAsia="Calibri" w:cs="Arial"/>
                <w:sz w:val="20"/>
                <w:szCs w:val="20"/>
              </w:rPr>
              <w:t>Flexibility</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95393D" w14:textId="77777777" w:rsidR="00CD104A" w:rsidRPr="00CD104A" w:rsidRDefault="00CD104A" w:rsidP="00CD104A">
            <w:pPr>
              <w:jc w:val="left"/>
              <w:rPr>
                <w:rFonts w:eastAsia="Calibri" w:cs="Arial"/>
                <w:sz w:val="20"/>
                <w:szCs w:val="20"/>
              </w:rPr>
            </w:pPr>
            <w:r w:rsidRPr="00CD104A">
              <w:rPr>
                <w:rFonts w:eastAsia="Calibri" w:cs="Arial"/>
                <w:sz w:val="20"/>
                <w:szCs w:val="20"/>
              </w:rPr>
              <w:t>73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C18C44" w14:textId="77777777" w:rsidR="00CD104A" w:rsidRPr="00CD104A" w:rsidRDefault="00CD104A" w:rsidP="00CD104A">
            <w:pPr>
              <w:jc w:val="left"/>
              <w:rPr>
                <w:rFonts w:eastAsia="Calibri" w:cs="Arial"/>
                <w:sz w:val="20"/>
                <w:szCs w:val="20"/>
              </w:rPr>
            </w:pPr>
            <w:r w:rsidRPr="00CD104A">
              <w:rPr>
                <w:rFonts w:eastAsia="Calibri" w:cs="Arial"/>
                <w:sz w:val="20"/>
                <w:szCs w:val="20"/>
              </w:rPr>
              <w:t>7.30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2EBB88" w14:textId="77777777" w:rsidR="00CD104A" w:rsidRPr="00CD104A" w:rsidRDefault="00CD104A" w:rsidP="00CD104A">
            <w:pPr>
              <w:jc w:val="left"/>
              <w:rPr>
                <w:rFonts w:eastAsia="Calibri" w:cs="Arial"/>
                <w:sz w:val="20"/>
                <w:szCs w:val="20"/>
              </w:rPr>
            </w:pPr>
            <w:r w:rsidRPr="00CD104A">
              <w:rPr>
                <w:rFonts w:eastAsia="Calibri" w:cs="Arial"/>
                <w:sz w:val="20"/>
                <w:szCs w:val="20"/>
              </w:rPr>
              <w:t>7.32</w:t>
            </w:r>
          </w:p>
        </w:tc>
      </w:tr>
      <w:tr w:rsidR="00CD104A" w:rsidRPr="00CD104A" w14:paraId="19EA5F01" w14:textId="77777777" w:rsidTr="00CD104A">
        <w:tc>
          <w:tcPr>
            <w:tcW w:w="0" w:type="auto"/>
            <w:vMerge/>
            <w:tcBorders>
              <w:top w:val="single" w:sz="4" w:space="0" w:color="auto"/>
              <w:left w:val="single" w:sz="4" w:space="0" w:color="auto"/>
              <w:bottom w:val="single" w:sz="4" w:space="0" w:color="auto"/>
              <w:right w:val="single" w:sz="4" w:space="0" w:color="auto"/>
            </w:tcBorders>
            <w:vAlign w:val="center"/>
            <w:hideMark/>
          </w:tcPr>
          <w:p w14:paraId="00AFC1C6" w14:textId="77777777" w:rsidR="00CD104A" w:rsidRPr="00CD104A" w:rsidRDefault="00CD104A" w:rsidP="00CD104A">
            <w:pPr>
              <w:rPr>
                <w:rFonts w:cs="Arial"/>
                <w:kern w:val="2"/>
                <w:sz w:val="20"/>
                <w:szCs w:val="20"/>
                <w14:ligatures w14:val="standardContextual"/>
              </w:rPr>
            </w:pPr>
          </w:p>
        </w:tc>
        <w:tc>
          <w:tcPr>
            <w:tcW w:w="1356" w:type="dxa"/>
            <w:tcBorders>
              <w:top w:val="single" w:sz="4" w:space="0" w:color="auto"/>
              <w:left w:val="single" w:sz="4" w:space="0" w:color="auto"/>
              <w:bottom w:val="single" w:sz="4" w:space="0" w:color="auto"/>
              <w:right w:val="single" w:sz="4" w:space="0" w:color="auto"/>
            </w:tcBorders>
            <w:vAlign w:val="center"/>
            <w:hideMark/>
          </w:tcPr>
          <w:p w14:paraId="71A97FED" w14:textId="77777777" w:rsidR="00CD104A" w:rsidRPr="00CD104A" w:rsidRDefault="00CD104A" w:rsidP="00CD104A">
            <w:pPr>
              <w:jc w:val="left"/>
              <w:rPr>
                <w:rFonts w:eastAsia="Calibri" w:cs="Arial"/>
                <w:sz w:val="20"/>
                <w:szCs w:val="20"/>
              </w:rPr>
            </w:pPr>
            <w:r w:rsidRPr="00CD104A">
              <w:rPr>
                <w:rFonts w:eastAsia="Calibri" w:cs="Arial"/>
                <w:sz w:val="20"/>
                <w:szCs w:val="20"/>
              </w:rPr>
              <w:t>Loss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E9D8D61" w14:textId="77777777" w:rsidR="00CD104A" w:rsidRPr="00CD104A" w:rsidRDefault="00CD104A" w:rsidP="00CD104A">
            <w:pPr>
              <w:jc w:val="left"/>
              <w:rPr>
                <w:rFonts w:eastAsia="Calibri" w:cs="Arial"/>
                <w:sz w:val="20"/>
                <w:szCs w:val="20"/>
              </w:rPr>
            </w:pPr>
            <w:r w:rsidRPr="00CD104A">
              <w:rPr>
                <w:rFonts w:eastAsia="Calibri" w:cs="Arial"/>
                <w:sz w:val="20"/>
                <w:szCs w:val="20"/>
              </w:rPr>
              <w:t>737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457F01" w14:textId="77777777" w:rsidR="00CD104A" w:rsidRPr="00CD104A" w:rsidRDefault="00CD104A" w:rsidP="00CD104A">
            <w:pPr>
              <w:jc w:val="left"/>
              <w:rPr>
                <w:rFonts w:eastAsia="Calibri" w:cs="Arial"/>
                <w:sz w:val="20"/>
                <w:szCs w:val="20"/>
              </w:rPr>
            </w:pPr>
            <w:r w:rsidRPr="00CD104A">
              <w:rPr>
                <w:rFonts w:eastAsia="Calibri" w:cs="Arial"/>
                <w:sz w:val="20"/>
                <w:szCs w:val="20"/>
              </w:rPr>
              <w:t>11.26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262F1D" w14:textId="77777777" w:rsidR="00CD104A" w:rsidRPr="00CD104A" w:rsidRDefault="00CD104A" w:rsidP="00CD104A">
            <w:pPr>
              <w:jc w:val="left"/>
              <w:rPr>
                <w:rFonts w:eastAsia="Calibri" w:cs="Arial"/>
                <w:sz w:val="20"/>
                <w:szCs w:val="20"/>
              </w:rPr>
            </w:pPr>
            <w:r w:rsidRPr="00CD104A">
              <w:rPr>
                <w:rFonts w:eastAsia="Calibri" w:cs="Arial"/>
                <w:sz w:val="20"/>
                <w:szCs w:val="20"/>
              </w:rPr>
              <w:t>11.44</w:t>
            </w:r>
          </w:p>
        </w:tc>
      </w:tr>
      <w:tr w:rsidR="00CD104A" w:rsidRPr="00CD104A" w14:paraId="4D10C65A" w14:textId="77777777" w:rsidTr="00CD104A">
        <w:tc>
          <w:tcPr>
            <w:tcW w:w="0" w:type="auto"/>
            <w:vMerge/>
            <w:tcBorders>
              <w:top w:val="single" w:sz="4" w:space="0" w:color="auto"/>
              <w:left w:val="single" w:sz="4" w:space="0" w:color="auto"/>
              <w:bottom w:val="single" w:sz="4" w:space="0" w:color="auto"/>
              <w:right w:val="single" w:sz="4" w:space="0" w:color="auto"/>
            </w:tcBorders>
            <w:vAlign w:val="center"/>
            <w:hideMark/>
          </w:tcPr>
          <w:p w14:paraId="4F4B5964" w14:textId="77777777" w:rsidR="00CD104A" w:rsidRPr="00CD104A" w:rsidRDefault="00CD104A" w:rsidP="00CD104A">
            <w:pPr>
              <w:rPr>
                <w:rFonts w:cs="Arial"/>
                <w:kern w:val="2"/>
                <w:sz w:val="20"/>
                <w:szCs w:val="20"/>
                <w14:ligatures w14:val="standardContextual"/>
              </w:rPr>
            </w:pPr>
          </w:p>
        </w:tc>
        <w:tc>
          <w:tcPr>
            <w:tcW w:w="1356" w:type="dxa"/>
            <w:tcBorders>
              <w:top w:val="single" w:sz="4" w:space="0" w:color="auto"/>
              <w:left w:val="single" w:sz="4" w:space="0" w:color="auto"/>
              <w:bottom w:val="single" w:sz="4" w:space="0" w:color="auto"/>
              <w:right w:val="single" w:sz="4" w:space="0" w:color="auto"/>
            </w:tcBorders>
            <w:vAlign w:val="center"/>
            <w:hideMark/>
          </w:tcPr>
          <w:p w14:paraId="18B13BBB" w14:textId="77777777" w:rsidR="00CD104A" w:rsidRPr="00CD104A" w:rsidRDefault="00CD104A" w:rsidP="00CD104A">
            <w:pPr>
              <w:jc w:val="left"/>
              <w:rPr>
                <w:rFonts w:eastAsia="Calibri" w:cs="Arial"/>
                <w:sz w:val="20"/>
                <w:szCs w:val="20"/>
              </w:rPr>
            </w:pPr>
            <w:r w:rsidRPr="00CD104A">
              <w:rPr>
                <w:rFonts w:eastAsia="Calibri" w:cs="Arial"/>
                <w:sz w:val="20"/>
                <w:szCs w:val="20"/>
              </w:rPr>
              <w:t>Gross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4D25B6" w14:textId="77777777" w:rsidR="00CD104A" w:rsidRPr="00CD104A" w:rsidRDefault="00CD104A" w:rsidP="00CD104A">
            <w:pPr>
              <w:jc w:val="left"/>
              <w:rPr>
                <w:rFonts w:eastAsia="Calibri" w:cs="Arial"/>
                <w:b/>
                <w:bCs/>
                <w:sz w:val="20"/>
                <w:szCs w:val="20"/>
              </w:rPr>
            </w:pPr>
            <w:r w:rsidRPr="00CD104A">
              <w:rPr>
                <w:rFonts w:eastAsia="Calibri" w:cs="Arial"/>
                <w:b/>
                <w:bCs/>
                <w:sz w:val="20"/>
                <w:szCs w:val="20"/>
              </w:rPr>
              <w:t>7,436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AC9A79" w14:textId="77777777" w:rsidR="00CD104A" w:rsidRPr="00CD104A" w:rsidRDefault="00CD104A" w:rsidP="00CD104A">
            <w:pPr>
              <w:jc w:val="left"/>
              <w:rPr>
                <w:rFonts w:eastAsia="Calibri" w:cs="Arial"/>
                <w:b/>
                <w:bCs/>
                <w:sz w:val="20"/>
                <w:szCs w:val="20"/>
              </w:rPr>
            </w:pPr>
            <w:r w:rsidRPr="00CD104A">
              <w:rPr>
                <w:rFonts w:eastAsia="Calibri" w:cs="Arial"/>
                <w:b/>
                <w:bCs/>
                <w:sz w:val="20"/>
                <w:szCs w:val="20"/>
              </w:rPr>
              <w:t>17.80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AEE841" w14:textId="77777777" w:rsidR="00CD104A" w:rsidRPr="00CD104A" w:rsidRDefault="00CD104A" w:rsidP="00CD104A">
            <w:pPr>
              <w:jc w:val="left"/>
              <w:rPr>
                <w:rFonts w:eastAsia="Calibri" w:cs="Arial"/>
                <w:b/>
                <w:bCs/>
                <w:sz w:val="20"/>
                <w:szCs w:val="20"/>
              </w:rPr>
            </w:pPr>
            <w:r w:rsidRPr="00CD104A">
              <w:rPr>
                <w:rFonts w:eastAsia="Calibri" w:cs="Arial"/>
                <w:b/>
                <w:bCs/>
                <w:sz w:val="20"/>
                <w:szCs w:val="20"/>
              </w:rPr>
              <w:t>19.65</w:t>
            </w:r>
          </w:p>
        </w:tc>
      </w:tr>
      <w:tr w:rsidR="00CD104A" w:rsidRPr="00CD104A" w14:paraId="791054E2" w14:textId="77777777" w:rsidTr="00CD104A">
        <w:tc>
          <w:tcPr>
            <w:tcW w:w="2509" w:type="dxa"/>
            <w:vMerge w:val="restart"/>
            <w:tcBorders>
              <w:top w:val="single" w:sz="4" w:space="0" w:color="auto"/>
              <w:left w:val="single" w:sz="4" w:space="0" w:color="auto"/>
              <w:bottom w:val="single" w:sz="4" w:space="0" w:color="auto"/>
              <w:right w:val="single" w:sz="4" w:space="0" w:color="auto"/>
            </w:tcBorders>
            <w:vAlign w:val="center"/>
            <w:hideMark/>
          </w:tcPr>
          <w:p w14:paraId="17964224" w14:textId="77777777" w:rsidR="00CD104A" w:rsidRPr="00CD104A" w:rsidRDefault="00CD104A" w:rsidP="00CD104A">
            <w:pPr>
              <w:jc w:val="left"/>
              <w:rPr>
                <w:rFonts w:eastAsia="Calibri" w:cs="Arial"/>
                <w:sz w:val="20"/>
                <w:szCs w:val="20"/>
              </w:rPr>
            </w:pPr>
            <w:r w:rsidRPr="00CD104A">
              <w:rPr>
                <w:rFonts w:eastAsia="Calibri" w:cs="Arial"/>
                <w:b/>
                <w:bCs/>
                <w:sz w:val="20"/>
                <w:szCs w:val="20"/>
              </w:rPr>
              <w:t xml:space="preserve">2) Experian March 2020 </w:t>
            </w:r>
          </w:p>
          <w:p w14:paraId="7A741194" w14:textId="77777777" w:rsidR="00CD104A" w:rsidRPr="00CD104A" w:rsidRDefault="00CD104A" w:rsidP="00CD104A">
            <w:pPr>
              <w:autoSpaceDE w:val="0"/>
              <w:autoSpaceDN w:val="0"/>
              <w:adjustRightInd w:val="0"/>
              <w:jc w:val="left"/>
              <w:rPr>
                <w:rFonts w:cs="Arial"/>
                <w:color w:val="FF0000"/>
                <w:sz w:val="20"/>
                <w:szCs w:val="20"/>
              </w:rPr>
            </w:pPr>
            <w:r w:rsidRPr="00CD104A">
              <w:rPr>
                <w:rFonts w:eastAsia="Calibri" w:cs="Arial"/>
                <w:b/>
                <w:bCs/>
                <w:sz w:val="20"/>
                <w:szCs w:val="20"/>
              </w:rPr>
              <w:t>Baseline</w:t>
            </w:r>
          </w:p>
        </w:tc>
        <w:tc>
          <w:tcPr>
            <w:tcW w:w="1356" w:type="dxa"/>
            <w:tcBorders>
              <w:top w:val="single" w:sz="4" w:space="0" w:color="auto"/>
              <w:left w:val="single" w:sz="4" w:space="0" w:color="auto"/>
              <w:bottom w:val="single" w:sz="4" w:space="0" w:color="auto"/>
              <w:right w:val="single" w:sz="4" w:space="0" w:color="auto"/>
            </w:tcBorders>
            <w:vAlign w:val="center"/>
            <w:hideMark/>
          </w:tcPr>
          <w:p w14:paraId="51D344F0" w14:textId="77777777" w:rsidR="00CD104A" w:rsidRPr="00CD104A" w:rsidRDefault="00CD104A" w:rsidP="00CD104A">
            <w:pPr>
              <w:jc w:val="left"/>
              <w:rPr>
                <w:rFonts w:eastAsia="Calibri" w:cs="Arial"/>
                <w:b/>
                <w:bCs/>
                <w:sz w:val="20"/>
                <w:szCs w:val="20"/>
              </w:rPr>
            </w:pPr>
            <w:r w:rsidRPr="00CD104A">
              <w:rPr>
                <w:rFonts w:eastAsia="Calibri" w:cs="Arial"/>
                <w:sz w:val="20"/>
                <w:szCs w:val="20"/>
              </w:rPr>
              <w:t>Net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10893DD" w14:textId="77777777" w:rsidR="00CD104A" w:rsidRPr="00CD104A" w:rsidRDefault="00CD104A" w:rsidP="00CD104A">
            <w:pPr>
              <w:jc w:val="left"/>
              <w:rPr>
                <w:rFonts w:eastAsia="Calibri" w:cs="Arial"/>
                <w:sz w:val="20"/>
                <w:szCs w:val="20"/>
              </w:rPr>
            </w:pPr>
            <w:r w:rsidRPr="00CD104A">
              <w:rPr>
                <w:rFonts w:eastAsia="Calibri" w:cs="Arial"/>
                <w:sz w:val="20"/>
                <w:szCs w:val="20"/>
              </w:rPr>
              <w:t>4,185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1D559C" w14:textId="77777777" w:rsidR="00CD104A" w:rsidRPr="00CD104A" w:rsidRDefault="00CD104A" w:rsidP="00CD104A">
            <w:pPr>
              <w:jc w:val="left"/>
              <w:rPr>
                <w:rFonts w:eastAsia="Calibri" w:cs="Arial"/>
                <w:sz w:val="20"/>
                <w:szCs w:val="20"/>
              </w:rPr>
            </w:pPr>
            <w:r w:rsidRPr="00CD104A">
              <w:rPr>
                <w:rFonts w:eastAsia="Calibri" w:cs="Arial"/>
                <w:sz w:val="20"/>
                <w:szCs w:val="20"/>
              </w:rPr>
              <w:t>-4.52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6A10B9" w14:textId="77777777" w:rsidR="00CD104A" w:rsidRPr="00CD104A" w:rsidRDefault="00CD104A" w:rsidP="00CD104A">
            <w:pPr>
              <w:jc w:val="left"/>
              <w:rPr>
                <w:rFonts w:eastAsia="Calibri" w:cs="Arial"/>
                <w:sz w:val="20"/>
                <w:szCs w:val="20"/>
              </w:rPr>
            </w:pPr>
            <w:r w:rsidRPr="00CD104A">
              <w:rPr>
                <w:rFonts w:eastAsia="Calibri" w:cs="Arial"/>
                <w:sz w:val="20"/>
                <w:szCs w:val="20"/>
              </w:rPr>
              <w:t>-3.48</w:t>
            </w:r>
          </w:p>
        </w:tc>
      </w:tr>
      <w:tr w:rsidR="00CD104A" w:rsidRPr="00CD104A" w14:paraId="3AE26B07" w14:textId="77777777" w:rsidTr="00CD104A">
        <w:tc>
          <w:tcPr>
            <w:tcW w:w="0" w:type="auto"/>
            <w:vMerge/>
            <w:tcBorders>
              <w:top w:val="single" w:sz="4" w:space="0" w:color="auto"/>
              <w:left w:val="single" w:sz="4" w:space="0" w:color="auto"/>
              <w:bottom w:val="single" w:sz="4" w:space="0" w:color="auto"/>
              <w:right w:val="single" w:sz="4" w:space="0" w:color="auto"/>
            </w:tcBorders>
            <w:vAlign w:val="center"/>
            <w:hideMark/>
          </w:tcPr>
          <w:p w14:paraId="02954D7A" w14:textId="77777777" w:rsidR="00CD104A" w:rsidRPr="00CD104A" w:rsidRDefault="00CD104A" w:rsidP="00CD104A">
            <w:pPr>
              <w:rPr>
                <w:rFonts w:cs="Arial"/>
                <w:color w:val="FF0000"/>
                <w:kern w:val="2"/>
                <w:sz w:val="20"/>
                <w:szCs w:val="20"/>
                <w14:ligatures w14:val="standardContextual"/>
              </w:rPr>
            </w:pPr>
          </w:p>
        </w:tc>
        <w:tc>
          <w:tcPr>
            <w:tcW w:w="1356" w:type="dxa"/>
            <w:tcBorders>
              <w:top w:val="single" w:sz="4" w:space="0" w:color="auto"/>
              <w:left w:val="single" w:sz="4" w:space="0" w:color="auto"/>
              <w:bottom w:val="single" w:sz="4" w:space="0" w:color="auto"/>
              <w:right w:val="single" w:sz="4" w:space="0" w:color="auto"/>
            </w:tcBorders>
            <w:vAlign w:val="center"/>
            <w:hideMark/>
          </w:tcPr>
          <w:p w14:paraId="34CA0009" w14:textId="77777777" w:rsidR="00CD104A" w:rsidRPr="00CD104A" w:rsidRDefault="00CD104A" w:rsidP="00CD104A">
            <w:pPr>
              <w:jc w:val="left"/>
              <w:rPr>
                <w:rFonts w:eastAsia="Calibri" w:cs="Arial"/>
                <w:b/>
                <w:bCs/>
                <w:sz w:val="20"/>
                <w:szCs w:val="20"/>
              </w:rPr>
            </w:pPr>
            <w:r w:rsidRPr="00CD104A">
              <w:rPr>
                <w:rFonts w:eastAsia="Calibri" w:cs="Arial"/>
                <w:sz w:val="20"/>
                <w:szCs w:val="20"/>
              </w:rPr>
              <w:t>Flexibility</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703462" w14:textId="77777777" w:rsidR="00CD104A" w:rsidRPr="00CD104A" w:rsidRDefault="00CD104A" w:rsidP="00CD104A">
            <w:pPr>
              <w:jc w:val="left"/>
              <w:rPr>
                <w:rFonts w:eastAsia="Calibri" w:cs="Arial"/>
                <w:b/>
                <w:bCs/>
                <w:sz w:val="20"/>
                <w:szCs w:val="20"/>
              </w:rPr>
            </w:pPr>
            <w:r w:rsidRPr="00CD104A">
              <w:rPr>
                <w:rFonts w:eastAsia="Calibri" w:cs="Arial"/>
                <w:sz w:val="20"/>
                <w:szCs w:val="20"/>
              </w:rPr>
              <w:t>73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967FA7" w14:textId="77777777" w:rsidR="00CD104A" w:rsidRPr="00CD104A" w:rsidRDefault="00CD104A" w:rsidP="00CD104A">
            <w:pPr>
              <w:jc w:val="left"/>
              <w:rPr>
                <w:rFonts w:eastAsia="Calibri" w:cs="Arial"/>
                <w:b/>
                <w:bCs/>
                <w:sz w:val="20"/>
                <w:szCs w:val="20"/>
              </w:rPr>
            </w:pPr>
            <w:r w:rsidRPr="00CD104A">
              <w:rPr>
                <w:rFonts w:eastAsia="Calibri" w:cs="Arial"/>
                <w:sz w:val="20"/>
                <w:szCs w:val="20"/>
              </w:rPr>
              <w:t>7.30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ABDA4B" w14:textId="77777777" w:rsidR="00CD104A" w:rsidRPr="00CD104A" w:rsidRDefault="00CD104A" w:rsidP="00CD104A">
            <w:pPr>
              <w:jc w:val="left"/>
              <w:rPr>
                <w:rFonts w:eastAsia="Calibri" w:cs="Arial"/>
                <w:sz w:val="20"/>
                <w:szCs w:val="20"/>
              </w:rPr>
            </w:pPr>
            <w:r w:rsidRPr="00CD104A">
              <w:rPr>
                <w:rFonts w:eastAsia="Calibri" w:cs="Arial"/>
                <w:sz w:val="20"/>
                <w:szCs w:val="20"/>
              </w:rPr>
              <w:t>7.32</w:t>
            </w:r>
          </w:p>
        </w:tc>
      </w:tr>
      <w:tr w:rsidR="00CD104A" w:rsidRPr="00CD104A" w14:paraId="1374115E" w14:textId="77777777" w:rsidTr="00CD104A">
        <w:tc>
          <w:tcPr>
            <w:tcW w:w="0" w:type="auto"/>
            <w:vMerge/>
            <w:tcBorders>
              <w:top w:val="single" w:sz="4" w:space="0" w:color="auto"/>
              <w:left w:val="single" w:sz="4" w:space="0" w:color="auto"/>
              <w:bottom w:val="single" w:sz="4" w:space="0" w:color="auto"/>
              <w:right w:val="single" w:sz="4" w:space="0" w:color="auto"/>
            </w:tcBorders>
            <w:vAlign w:val="center"/>
            <w:hideMark/>
          </w:tcPr>
          <w:p w14:paraId="1B30C815" w14:textId="77777777" w:rsidR="00CD104A" w:rsidRPr="00CD104A" w:rsidRDefault="00CD104A" w:rsidP="00CD104A">
            <w:pPr>
              <w:rPr>
                <w:rFonts w:cs="Arial"/>
                <w:color w:val="FF0000"/>
                <w:kern w:val="2"/>
                <w:sz w:val="20"/>
                <w:szCs w:val="20"/>
                <w14:ligatures w14:val="standardContextual"/>
              </w:rPr>
            </w:pPr>
          </w:p>
        </w:tc>
        <w:tc>
          <w:tcPr>
            <w:tcW w:w="1356" w:type="dxa"/>
            <w:tcBorders>
              <w:top w:val="single" w:sz="4" w:space="0" w:color="auto"/>
              <w:left w:val="single" w:sz="4" w:space="0" w:color="auto"/>
              <w:bottom w:val="single" w:sz="4" w:space="0" w:color="auto"/>
              <w:right w:val="single" w:sz="4" w:space="0" w:color="auto"/>
            </w:tcBorders>
            <w:vAlign w:val="center"/>
            <w:hideMark/>
          </w:tcPr>
          <w:p w14:paraId="39788D9E" w14:textId="77777777" w:rsidR="00CD104A" w:rsidRPr="00CD104A" w:rsidRDefault="00CD104A" w:rsidP="00CD104A">
            <w:pPr>
              <w:jc w:val="left"/>
              <w:rPr>
                <w:rFonts w:eastAsia="Calibri" w:cs="Arial"/>
                <w:b/>
                <w:bCs/>
                <w:sz w:val="20"/>
                <w:szCs w:val="20"/>
              </w:rPr>
            </w:pPr>
            <w:r w:rsidRPr="00CD104A">
              <w:rPr>
                <w:rFonts w:eastAsia="Calibri" w:cs="Arial"/>
                <w:sz w:val="20"/>
                <w:szCs w:val="20"/>
              </w:rPr>
              <w:t>Loss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0DDC4E2" w14:textId="77777777" w:rsidR="00CD104A" w:rsidRPr="00CD104A" w:rsidRDefault="00CD104A" w:rsidP="00CD104A">
            <w:pPr>
              <w:jc w:val="left"/>
              <w:rPr>
                <w:rFonts w:eastAsia="Calibri" w:cs="Arial"/>
                <w:b/>
                <w:bCs/>
                <w:sz w:val="20"/>
                <w:szCs w:val="20"/>
              </w:rPr>
            </w:pPr>
            <w:r w:rsidRPr="00CD104A">
              <w:rPr>
                <w:rFonts w:eastAsia="Calibri" w:cs="Arial"/>
                <w:sz w:val="20"/>
                <w:szCs w:val="20"/>
              </w:rPr>
              <w:t>737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D6EDD1" w14:textId="77777777" w:rsidR="00CD104A" w:rsidRPr="00CD104A" w:rsidRDefault="00CD104A" w:rsidP="00CD104A">
            <w:pPr>
              <w:jc w:val="left"/>
              <w:rPr>
                <w:rFonts w:eastAsia="Calibri" w:cs="Arial"/>
                <w:b/>
                <w:bCs/>
                <w:sz w:val="20"/>
                <w:szCs w:val="20"/>
              </w:rPr>
            </w:pPr>
            <w:r w:rsidRPr="00CD104A">
              <w:rPr>
                <w:rFonts w:eastAsia="Calibri" w:cs="Arial"/>
                <w:sz w:val="20"/>
                <w:szCs w:val="20"/>
              </w:rPr>
              <w:t>11.26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6E2AFD" w14:textId="77777777" w:rsidR="00CD104A" w:rsidRPr="00CD104A" w:rsidRDefault="00CD104A" w:rsidP="00CD104A">
            <w:pPr>
              <w:jc w:val="left"/>
              <w:rPr>
                <w:rFonts w:eastAsia="Calibri" w:cs="Arial"/>
                <w:sz w:val="20"/>
                <w:szCs w:val="20"/>
              </w:rPr>
            </w:pPr>
            <w:r w:rsidRPr="00CD104A">
              <w:rPr>
                <w:rFonts w:eastAsia="Calibri" w:cs="Arial"/>
                <w:sz w:val="20"/>
                <w:szCs w:val="20"/>
              </w:rPr>
              <w:t>11.44</w:t>
            </w:r>
          </w:p>
        </w:tc>
      </w:tr>
      <w:tr w:rsidR="00CD104A" w:rsidRPr="00CD104A" w14:paraId="69F075BF" w14:textId="77777777" w:rsidTr="00CD104A">
        <w:tc>
          <w:tcPr>
            <w:tcW w:w="0" w:type="auto"/>
            <w:vMerge/>
            <w:tcBorders>
              <w:top w:val="single" w:sz="4" w:space="0" w:color="auto"/>
              <w:left w:val="single" w:sz="4" w:space="0" w:color="auto"/>
              <w:bottom w:val="single" w:sz="4" w:space="0" w:color="auto"/>
              <w:right w:val="single" w:sz="4" w:space="0" w:color="auto"/>
            </w:tcBorders>
            <w:vAlign w:val="center"/>
            <w:hideMark/>
          </w:tcPr>
          <w:p w14:paraId="66CAF486" w14:textId="77777777" w:rsidR="00CD104A" w:rsidRPr="00CD104A" w:rsidRDefault="00CD104A" w:rsidP="00CD104A">
            <w:pPr>
              <w:rPr>
                <w:rFonts w:cs="Arial"/>
                <w:color w:val="FF0000"/>
                <w:kern w:val="2"/>
                <w:sz w:val="20"/>
                <w:szCs w:val="20"/>
                <w14:ligatures w14:val="standardContextual"/>
              </w:rPr>
            </w:pPr>
          </w:p>
        </w:tc>
        <w:tc>
          <w:tcPr>
            <w:tcW w:w="1356" w:type="dxa"/>
            <w:tcBorders>
              <w:top w:val="single" w:sz="4" w:space="0" w:color="auto"/>
              <w:left w:val="single" w:sz="4" w:space="0" w:color="auto"/>
              <w:bottom w:val="single" w:sz="4" w:space="0" w:color="auto"/>
              <w:right w:val="single" w:sz="4" w:space="0" w:color="auto"/>
            </w:tcBorders>
            <w:vAlign w:val="center"/>
            <w:hideMark/>
          </w:tcPr>
          <w:p w14:paraId="1313AD6C" w14:textId="77777777" w:rsidR="00CD104A" w:rsidRPr="00CD104A" w:rsidRDefault="00CD104A" w:rsidP="00CD104A">
            <w:pPr>
              <w:jc w:val="left"/>
              <w:rPr>
                <w:rFonts w:eastAsia="Calibri" w:cs="Arial"/>
                <w:b/>
                <w:bCs/>
                <w:sz w:val="20"/>
                <w:szCs w:val="20"/>
              </w:rPr>
            </w:pPr>
            <w:r w:rsidRPr="00CD104A">
              <w:rPr>
                <w:rFonts w:eastAsia="Calibri" w:cs="Arial"/>
                <w:sz w:val="20"/>
                <w:szCs w:val="20"/>
              </w:rPr>
              <w:t>Gross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4F0BB8F" w14:textId="77777777" w:rsidR="00CD104A" w:rsidRPr="00CD104A" w:rsidRDefault="00CD104A" w:rsidP="00CD104A">
            <w:pPr>
              <w:jc w:val="left"/>
              <w:rPr>
                <w:rFonts w:eastAsia="Calibri" w:cs="Arial"/>
                <w:b/>
                <w:bCs/>
                <w:sz w:val="20"/>
                <w:szCs w:val="20"/>
              </w:rPr>
            </w:pPr>
            <w:r w:rsidRPr="00CD104A">
              <w:rPr>
                <w:rFonts w:eastAsia="Calibri" w:cs="Arial"/>
                <w:b/>
                <w:bCs/>
                <w:sz w:val="20"/>
                <w:szCs w:val="20"/>
              </w:rPr>
              <w:t xml:space="preserve">4,995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58470C" w14:textId="77777777" w:rsidR="00CD104A" w:rsidRPr="00CD104A" w:rsidRDefault="00CD104A" w:rsidP="00CD104A">
            <w:pPr>
              <w:jc w:val="left"/>
              <w:rPr>
                <w:rFonts w:eastAsia="Calibri" w:cs="Arial"/>
                <w:b/>
                <w:bCs/>
                <w:sz w:val="20"/>
                <w:szCs w:val="20"/>
              </w:rPr>
            </w:pPr>
            <w:r w:rsidRPr="00CD104A">
              <w:rPr>
                <w:rFonts w:eastAsia="Calibri" w:cs="Arial"/>
                <w:b/>
                <w:bCs/>
                <w:sz w:val="20"/>
                <w:szCs w:val="20"/>
              </w:rPr>
              <w:t>14.04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AA78FE" w14:textId="77777777" w:rsidR="00CD104A" w:rsidRPr="00CD104A" w:rsidRDefault="00CD104A" w:rsidP="00CD104A">
            <w:pPr>
              <w:jc w:val="left"/>
              <w:rPr>
                <w:rFonts w:eastAsia="Calibri" w:cs="Arial"/>
                <w:sz w:val="20"/>
                <w:szCs w:val="20"/>
              </w:rPr>
            </w:pPr>
            <w:r w:rsidRPr="00CD104A">
              <w:rPr>
                <w:rFonts w:eastAsia="Calibri" w:cs="Arial"/>
                <w:b/>
                <w:bCs/>
                <w:sz w:val="20"/>
                <w:szCs w:val="20"/>
              </w:rPr>
              <w:t>15.28</w:t>
            </w:r>
          </w:p>
        </w:tc>
      </w:tr>
      <w:tr w:rsidR="00CD104A" w:rsidRPr="00CD104A" w14:paraId="4EB87397" w14:textId="77777777" w:rsidTr="00CD104A">
        <w:tc>
          <w:tcPr>
            <w:tcW w:w="2509" w:type="dxa"/>
            <w:vMerge w:val="restart"/>
            <w:tcBorders>
              <w:top w:val="single" w:sz="4" w:space="0" w:color="auto"/>
              <w:left w:val="single" w:sz="4" w:space="0" w:color="auto"/>
              <w:bottom w:val="single" w:sz="4" w:space="0" w:color="auto"/>
              <w:right w:val="single" w:sz="4" w:space="0" w:color="auto"/>
            </w:tcBorders>
            <w:vAlign w:val="center"/>
            <w:hideMark/>
          </w:tcPr>
          <w:p w14:paraId="48E2198C" w14:textId="77777777" w:rsidR="00CD104A" w:rsidRPr="00CD104A" w:rsidRDefault="00CD104A" w:rsidP="00CD104A">
            <w:pPr>
              <w:autoSpaceDE w:val="0"/>
              <w:autoSpaceDN w:val="0"/>
              <w:adjustRightInd w:val="0"/>
              <w:jc w:val="left"/>
              <w:rPr>
                <w:rFonts w:cs="Arial"/>
                <w:b/>
                <w:bCs/>
                <w:color w:val="000000"/>
                <w:sz w:val="20"/>
                <w:szCs w:val="20"/>
              </w:rPr>
            </w:pPr>
            <w:r w:rsidRPr="00CD104A">
              <w:rPr>
                <w:rFonts w:cs="Arial"/>
                <w:b/>
                <w:bCs/>
                <w:color w:val="000000"/>
                <w:sz w:val="20"/>
                <w:szCs w:val="20"/>
              </w:rPr>
              <w:t>3) Regeneration Scenario</w:t>
            </w:r>
          </w:p>
        </w:tc>
        <w:tc>
          <w:tcPr>
            <w:tcW w:w="1356" w:type="dxa"/>
            <w:tcBorders>
              <w:top w:val="single" w:sz="4" w:space="0" w:color="auto"/>
              <w:left w:val="single" w:sz="4" w:space="0" w:color="auto"/>
              <w:bottom w:val="single" w:sz="4" w:space="0" w:color="auto"/>
              <w:right w:val="single" w:sz="4" w:space="0" w:color="auto"/>
            </w:tcBorders>
            <w:vAlign w:val="center"/>
            <w:hideMark/>
          </w:tcPr>
          <w:p w14:paraId="24FADEB0" w14:textId="77777777" w:rsidR="00CD104A" w:rsidRPr="00CD104A" w:rsidRDefault="00CD104A" w:rsidP="00CD104A">
            <w:pPr>
              <w:jc w:val="left"/>
              <w:rPr>
                <w:rFonts w:eastAsia="Calibri" w:cs="Arial"/>
                <w:b/>
                <w:bCs/>
                <w:sz w:val="20"/>
                <w:szCs w:val="20"/>
              </w:rPr>
            </w:pPr>
            <w:r w:rsidRPr="00CD104A">
              <w:rPr>
                <w:rFonts w:eastAsia="Calibri" w:cs="Arial"/>
                <w:sz w:val="20"/>
                <w:szCs w:val="20"/>
              </w:rPr>
              <w:t>Net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3DBCB6" w14:textId="77777777" w:rsidR="00CD104A" w:rsidRPr="00CD104A" w:rsidRDefault="00CD104A" w:rsidP="00CD104A">
            <w:pPr>
              <w:jc w:val="left"/>
              <w:rPr>
                <w:rFonts w:eastAsia="Calibri" w:cs="Arial"/>
                <w:sz w:val="20"/>
                <w:szCs w:val="20"/>
              </w:rPr>
            </w:pPr>
            <w:r w:rsidRPr="00CD104A">
              <w:rPr>
                <w:rFonts w:eastAsia="Calibri" w:cs="Arial"/>
                <w:sz w:val="20"/>
                <w:szCs w:val="20"/>
              </w:rPr>
              <w:t>15,778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7D637E" w14:textId="77777777" w:rsidR="00CD104A" w:rsidRPr="00CD104A" w:rsidRDefault="00CD104A" w:rsidP="00CD104A">
            <w:pPr>
              <w:jc w:val="left"/>
              <w:rPr>
                <w:rFonts w:eastAsia="Calibri" w:cs="Arial"/>
                <w:sz w:val="20"/>
                <w:szCs w:val="20"/>
              </w:rPr>
            </w:pPr>
            <w:r w:rsidRPr="00CD104A">
              <w:rPr>
                <w:rFonts w:eastAsia="Calibri" w:cs="Arial"/>
                <w:sz w:val="20"/>
                <w:szCs w:val="20"/>
              </w:rPr>
              <w:t>5.35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5E964A" w14:textId="77777777" w:rsidR="00CD104A" w:rsidRPr="00CD104A" w:rsidRDefault="00CD104A" w:rsidP="00CD104A">
            <w:pPr>
              <w:jc w:val="left"/>
              <w:rPr>
                <w:rFonts w:eastAsia="Calibri" w:cs="Arial"/>
                <w:sz w:val="20"/>
                <w:szCs w:val="20"/>
              </w:rPr>
            </w:pPr>
            <w:r w:rsidRPr="00CD104A">
              <w:rPr>
                <w:rFonts w:eastAsia="Calibri" w:cs="Arial"/>
                <w:sz w:val="20"/>
                <w:szCs w:val="20"/>
              </w:rPr>
              <w:t>9.30</w:t>
            </w:r>
          </w:p>
        </w:tc>
      </w:tr>
      <w:tr w:rsidR="00CD104A" w:rsidRPr="00CD104A" w14:paraId="682DF259" w14:textId="77777777" w:rsidTr="00CD104A">
        <w:tc>
          <w:tcPr>
            <w:tcW w:w="0" w:type="auto"/>
            <w:vMerge/>
            <w:tcBorders>
              <w:top w:val="single" w:sz="4" w:space="0" w:color="auto"/>
              <w:left w:val="single" w:sz="4" w:space="0" w:color="auto"/>
              <w:bottom w:val="single" w:sz="4" w:space="0" w:color="auto"/>
              <w:right w:val="single" w:sz="4" w:space="0" w:color="auto"/>
            </w:tcBorders>
            <w:vAlign w:val="center"/>
            <w:hideMark/>
          </w:tcPr>
          <w:p w14:paraId="1537587A" w14:textId="77777777" w:rsidR="00CD104A" w:rsidRPr="00CD104A" w:rsidRDefault="00CD104A" w:rsidP="00CD104A">
            <w:pPr>
              <w:rPr>
                <w:rFonts w:cs="Arial"/>
                <w:b/>
                <w:bCs/>
                <w:color w:val="000000"/>
                <w:kern w:val="2"/>
                <w:sz w:val="20"/>
                <w:szCs w:val="20"/>
                <w14:ligatures w14:val="standardContextual"/>
              </w:rPr>
            </w:pPr>
          </w:p>
        </w:tc>
        <w:tc>
          <w:tcPr>
            <w:tcW w:w="1356" w:type="dxa"/>
            <w:tcBorders>
              <w:top w:val="single" w:sz="4" w:space="0" w:color="auto"/>
              <w:left w:val="single" w:sz="4" w:space="0" w:color="auto"/>
              <w:bottom w:val="single" w:sz="4" w:space="0" w:color="auto"/>
              <w:right w:val="single" w:sz="4" w:space="0" w:color="auto"/>
            </w:tcBorders>
            <w:vAlign w:val="center"/>
            <w:hideMark/>
          </w:tcPr>
          <w:p w14:paraId="0749F406" w14:textId="77777777" w:rsidR="00CD104A" w:rsidRPr="00CD104A" w:rsidRDefault="00CD104A" w:rsidP="00CD104A">
            <w:pPr>
              <w:jc w:val="left"/>
              <w:rPr>
                <w:rFonts w:eastAsia="Calibri" w:cs="Arial"/>
                <w:b/>
                <w:bCs/>
                <w:sz w:val="20"/>
                <w:szCs w:val="20"/>
              </w:rPr>
            </w:pPr>
            <w:r w:rsidRPr="00CD104A">
              <w:rPr>
                <w:rFonts w:eastAsia="Calibri" w:cs="Arial"/>
                <w:sz w:val="20"/>
                <w:szCs w:val="20"/>
              </w:rPr>
              <w:t>Flexibility</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234A65" w14:textId="77777777" w:rsidR="00CD104A" w:rsidRPr="00CD104A" w:rsidRDefault="00CD104A" w:rsidP="00CD104A">
            <w:pPr>
              <w:jc w:val="left"/>
              <w:rPr>
                <w:rFonts w:eastAsia="Calibri" w:cs="Arial"/>
                <w:b/>
                <w:bCs/>
                <w:sz w:val="20"/>
                <w:szCs w:val="20"/>
              </w:rPr>
            </w:pPr>
            <w:r w:rsidRPr="00CD104A">
              <w:rPr>
                <w:rFonts w:eastAsia="Calibri" w:cs="Arial"/>
                <w:sz w:val="20"/>
                <w:szCs w:val="20"/>
              </w:rPr>
              <w:t>73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E9D1B8" w14:textId="77777777" w:rsidR="00CD104A" w:rsidRPr="00CD104A" w:rsidRDefault="00CD104A" w:rsidP="00CD104A">
            <w:pPr>
              <w:jc w:val="left"/>
              <w:rPr>
                <w:rFonts w:eastAsia="Calibri" w:cs="Arial"/>
                <w:b/>
                <w:bCs/>
                <w:sz w:val="20"/>
                <w:szCs w:val="20"/>
              </w:rPr>
            </w:pPr>
            <w:r w:rsidRPr="00CD104A">
              <w:rPr>
                <w:rFonts w:eastAsia="Calibri" w:cs="Arial"/>
                <w:sz w:val="20"/>
                <w:szCs w:val="20"/>
              </w:rPr>
              <w:t>7.30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1F4F31" w14:textId="77777777" w:rsidR="00CD104A" w:rsidRPr="00CD104A" w:rsidRDefault="00CD104A" w:rsidP="00CD104A">
            <w:pPr>
              <w:jc w:val="left"/>
              <w:rPr>
                <w:rFonts w:eastAsia="Calibri" w:cs="Arial"/>
                <w:sz w:val="20"/>
                <w:szCs w:val="20"/>
              </w:rPr>
            </w:pPr>
            <w:r w:rsidRPr="00CD104A">
              <w:rPr>
                <w:rFonts w:eastAsia="Calibri" w:cs="Arial"/>
                <w:sz w:val="20"/>
                <w:szCs w:val="20"/>
              </w:rPr>
              <w:t>7.32</w:t>
            </w:r>
          </w:p>
        </w:tc>
      </w:tr>
      <w:tr w:rsidR="00CD104A" w:rsidRPr="00CD104A" w14:paraId="171CF888" w14:textId="77777777" w:rsidTr="00CD104A">
        <w:tc>
          <w:tcPr>
            <w:tcW w:w="0" w:type="auto"/>
            <w:vMerge/>
            <w:tcBorders>
              <w:top w:val="single" w:sz="4" w:space="0" w:color="auto"/>
              <w:left w:val="single" w:sz="4" w:space="0" w:color="auto"/>
              <w:bottom w:val="single" w:sz="4" w:space="0" w:color="auto"/>
              <w:right w:val="single" w:sz="4" w:space="0" w:color="auto"/>
            </w:tcBorders>
            <w:vAlign w:val="center"/>
            <w:hideMark/>
          </w:tcPr>
          <w:p w14:paraId="45B74195" w14:textId="77777777" w:rsidR="00CD104A" w:rsidRPr="00CD104A" w:rsidRDefault="00CD104A" w:rsidP="00CD104A">
            <w:pPr>
              <w:rPr>
                <w:rFonts w:cs="Arial"/>
                <w:b/>
                <w:bCs/>
                <w:color w:val="000000"/>
                <w:kern w:val="2"/>
                <w:sz w:val="20"/>
                <w:szCs w:val="20"/>
                <w14:ligatures w14:val="standardContextual"/>
              </w:rPr>
            </w:pPr>
          </w:p>
        </w:tc>
        <w:tc>
          <w:tcPr>
            <w:tcW w:w="1356" w:type="dxa"/>
            <w:tcBorders>
              <w:top w:val="single" w:sz="4" w:space="0" w:color="auto"/>
              <w:left w:val="single" w:sz="4" w:space="0" w:color="auto"/>
              <w:bottom w:val="single" w:sz="4" w:space="0" w:color="auto"/>
              <w:right w:val="single" w:sz="4" w:space="0" w:color="auto"/>
            </w:tcBorders>
            <w:vAlign w:val="center"/>
            <w:hideMark/>
          </w:tcPr>
          <w:p w14:paraId="225BD7A2" w14:textId="77777777" w:rsidR="00CD104A" w:rsidRPr="00CD104A" w:rsidRDefault="00CD104A" w:rsidP="00CD104A">
            <w:pPr>
              <w:jc w:val="left"/>
              <w:rPr>
                <w:rFonts w:eastAsia="Calibri" w:cs="Arial"/>
                <w:b/>
                <w:bCs/>
                <w:sz w:val="20"/>
                <w:szCs w:val="20"/>
              </w:rPr>
            </w:pPr>
            <w:r w:rsidRPr="00CD104A">
              <w:rPr>
                <w:rFonts w:eastAsia="Calibri" w:cs="Arial"/>
                <w:sz w:val="20"/>
                <w:szCs w:val="20"/>
              </w:rPr>
              <w:t>Loss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6C27E9" w14:textId="77777777" w:rsidR="00CD104A" w:rsidRPr="00CD104A" w:rsidRDefault="00CD104A" w:rsidP="00CD104A">
            <w:pPr>
              <w:jc w:val="left"/>
              <w:rPr>
                <w:rFonts w:eastAsia="Calibri" w:cs="Arial"/>
                <w:b/>
                <w:bCs/>
                <w:sz w:val="20"/>
                <w:szCs w:val="20"/>
              </w:rPr>
            </w:pPr>
            <w:r w:rsidRPr="00CD104A">
              <w:rPr>
                <w:rFonts w:eastAsia="Calibri" w:cs="Arial"/>
                <w:sz w:val="20"/>
                <w:szCs w:val="20"/>
              </w:rPr>
              <w:t>737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43E91E" w14:textId="77777777" w:rsidR="00CD104A" w:rsidRPr="00CD104A" w:rsidRDefault="00CD104A" w:rsidP="00CD104A">
            <w:pPr>
              <w:jc w:val="left"/>
              <w:rPr>
                <w:rFonts w:eastAsia="Calibri" w:cs="Arial"/>
                <w:b/>
                <w:bCs/>
                <w:sz w:val="20"/>
                <w:szCs w:val="20"/>
              </w:rPr>
            </w:pPr>
            <w:r w:rsidRPr="00CD104A">
              <w:rPr>
                <w:rFonts w:eastAsia="Calibri" w:cs="Arial"/>
                <w:sz w:val="20"/>
                <w:szCs w:val="20"/>
              </w:rPr>
              <w:t>11.26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52E4B6" w14:textId="77777777" w:rsidR="00CD104A" w:rsidRPr="00CD104A" w:rsidRDefault="00CD104A" w:rsidP="00CD104A">
            <w:pPr>
              <w:jc w:val="left"/>
              <w:rPr>
                <w:rFonts w:eastAsia="Calibri" w:cs="Arial"/>
                <w:sz w:val="20"/>
                <w:szCs w:val="20"/>
              </w:rPr>
            </w:pPr>
            <w:r w:rsidRPr="00CD104A">
              <w:rPr>
                <w:rFonts w:eastAsia="Calibri" w:cs="Arial"/>
                <w:sz w:val="20"/>
                <w:szCs w:val="20"/>
              </w:rPr>
              <w:t>11.44</w:t>
            </w:r>
          </w:p>
        </w:tc>
      </w:tr>
      <w:tr w:rsidR="00CD104A" w:rsidRPr="00CD104A" w14:paraId="305F1E7C" w14:textId="77777777" w:rsidTr="00CD104A">
        <w:tc>
          <w:tcPr>
            <w:tcW w:w="0" w:type="auto"/>
            <w:vMerge/>
            <w:tcBorders>
              <w:top w:val="single" w:sz="4" w:space="0" w:color="auto"/>
              <w:left w:val="single" w:sz="4" w:space="0" w:color="auto"/>
              <w:bottom w:val="single" w:sz="4" w:space="0" w:color="auto"/>
              <w:right w:val="single" w:sz="4" w:space="0" w:color="auto"/>
            </w:tcBorders>
            <w:vAlign w:val="center"/>
            <w:hideMark/>
          </w:tcPr>
          <w:p w14:paraId="4D7727C9" w14:textId="77777777" w:rsidR="00CD104A" w:rsidRPr="00CD104A" w:rsidRDefault="00CD104A" w:rsidP="00CD104A">
            <w:pPr>
              <w:rPr>
                <w:rFonts w:cs="Arial"/>
                <w:b/>
                <w:bCs/>
                <w:color w:val="000000"/>
                <w:kern w:val="2"/>
                <w:sz w:val="20"/>
                <w:szCs w:val="20"/>
                <w14:ligatures w14:val="standardContextual"/>
              </w:rPr>
            </w:pPr>
          </w:p>
        </w:tc>
        <w:tc>
          <w:tcPr>
            <w:tcW w:w="1356" w:type="dxa"/>
            <w:tcBorders>
              <w:top w:val="single" w:sz="4" w:space="0" w:color="auto"/>
              <w:left w:val="single" w:sz="4" w:space="0" w:color="auto"/>
              <w:bottom w:val="single" w:sz="4" w:space="0" w:color="auto"/>
              <w:right w:val="single" w:sz="4" w:space="0" w:color="auto"/>
            </w:tcBorders>
            <w:vAlign w:val="center"/>
            <w:hideMark/>
          </w:tcPr>
          <w:p w14:paraId="6F3E3491" w14:textId="77777777" w:rsidR="00CD104A" w:rsidRPr="00CD104A" w:rsidRDefault="00CD104A" w:rsidP="00CD104A">
            <w:pPr>
              <w:jc w:val="left"/>
              <w:rPr>
                <w:rFonts w:eastAsia="Calibri" w:cs="Arial"/>
                <w:b/>
                <w:bCs/>
                <w:sz w:val="20"/>
                <w:szCs w:val="20"/>
              </w:rPr>
            </w:pPr>
            <w:r w:rsidRPr="00CD104A">
              <w:rPr>
                <w:rFonts w:eastAsia="Calibri" w:cs="Arial"/>
                <w:sz w:val="20"/>
                <w:szCs w:val="20"/>
              </w:rPr>
              <w:t>Gross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07383C1" w14:textId="77777777" w:rsidR="00CD104A" w:rsidRPr="00CD104A" w:rsidRDefault="00CD104A" w:rsidP="00CD104A">
            <w:pPr>
              <w:jc w:val="left"/>
              <w:rPr>
                <w:rFonts w:eastAsia="Calibri" w:cs="Arial"/>
                <w:b/>
                <w:bCs/>
                <w:sz w:val="20"/>
                <w:szCs w:val="20"/>
              </w:rPr>
            </w:pPr>
            <w:r w:rsidRPr="00CD104A">
              <w:rPr>
                <w:rFonts w:eastAsia="Calibri" w:cs="Arial"/>
                <w:b/>
                <w:bCs/>
                <w:sz w:val="20"/>
                <w:szCs w:val="20"/>
              </w:rPr>
              <w:t>16,588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925E4D" w14:textId="77777777" w:rsidR="00CD104A" w:rsidRPr="00CD104A" w:rsidRDefault="00CD104A" w:rsidP="00CD104A">
            <w:pPr>
              <w:jc w:val="left"/>
              <w:rPr>
                <w:rFonts w:eastAsia="Calibri" w:cs="Arial"/>
                <w:b/>
                <w:bCs/>
                <w:sz w:val="20"/>
                <w:szCs w:val="20"/>
              </w:rPr>
            </w:pPr>
            <w:r w:rsidRPr="00CD104A">
              <w:rPr>
                <w:rFonts w:eastAsia="Calibri" w:cs="Arial"/>
                <w:b/>
                <w:bCs/>
                <w:sz w:val="20"/>
                <w:szCs w:val="20"/>
              </w:rPr>
              <w:t>23.91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388BFC" w14:textId="77777777" w:rsidR="00CD104A" w:rsidRPr="00CD104A" w:rsidRDefault="00CD104A" w:rsidP="00CD104A">
            <w:pPr>
              <w:jc w:val="left"/>
              <w:rPr>
                <w:rFonts w:eastAsia="Calibri" w:cs="Arial"/>
                <w:sz w:val="20"/>
                <w:szCs w:val="20"/>
              </w:rPr>
            </w:pPr>
            <w:r w:rsidRPr="00CD104A">
              <w:rPr>
                <w:rFonts w:eastAsia="Calibri" w:cs="Arial"/>
                <w:b/>
                <w:bCs/>
                <w:sz w:val="20"/>
                <w:szCs w:val="20"/>
              </w:rPr>
              <w:t>28.06</w:t>
            </w:r>
          </w:p>
        </w:tc>
      </w:tr>
      <w:tr w:rsidR="00CD104A" w:rsidRPr="00CD104A" w14:paraId="45E4221C" w14:textId="77777777" w:rsidTr="00CD104A">
        <w:tc>
          <w:tcPr>
            <w:tcW w:w="2509" w:type="dxa"/>
            <w:vMerge w:val="restart"/>
            <w:tcBorders>
              <w:top w:val="single" w:sz="4" w:space="0" w:color="auto"/>
              <w:left w:val="single" w:sz="4" w:space="0" w:color="auto"/>
              <w:bottom w:val="single" w:sz="4" w:space="0" w:color="auto"/>
              <w:right w:val="single" w:sz="4" w:space="0" w:color="auto"/>
            </w:tcBorders>
            <w:vAlign w:val="center"/>
            <w:hideMark/>
          </w:tcPr>
          <w:p w14:paraId="4C215004" w14:textId="77777777" w:rsidR="00CD104A" w:rsidRPr="00CD104A" w:rsidRDefault="00CD104A" w:rsidP="00CD104A">
            <w:pPr>
              <w:autoSpaceDE w:val="0"/>
              <w:autoSpaceDN w:val="0"/>
              <w:adjustRightInd w:val="0"/>
              <w:jc w:val="left"/>
              <w:rPr>
                <w:rFonts w:eastAsia="Calibri" w:cs="Arial"/>
                <w:b/>
                <w:bCs/>
                <w:sz w:val="20"/>
                <w:szCs w:val="20"/>
              </w:rPr>
            </w:pPr>
            <w:r w:rsidRPr="00CD104A">
              <w:rPr>
                <w:rFonts w:eastAsia="Calibri" w:cs="Arial"/>
                <w:b/>
                <w:bCs/>
                <w:sz w:val="20"/>
                <w:szCs w:val="20"/>
              </w:rPr>
              <w:t>4) 2014-based SNPP</w:t>
            </w:r>
          </w:p>
        </w:tc>
        <w:tc>
          <w:tcPr>
            <w:tcW w:w="1356" w:type="dxa"/>
            <w:tcBorders>
              <w:top w:val="single" w:sz="4" w:space="0" w:color="auto"/>
              <w:left w:val="single" w:sz="4" w:space="0" w:color="auto"/>
              <w:bottom w:val="single" w:sz="4" w:space="0" w:color="auto"/>
              <w:right w:val="single" w:sz="4" w:space="0" w:color="auto"/>
            </w:tcBorders>
            <w:vAlign w:val="center"/>
            <w:hideMark/>
          </w:tcPr>
          <w:p w14:paraId="3507828B" w14:textId="77777777" w:rsidR="00CD104A" w:rsidRPr="00CD104A" w:rsidRDefault="00CD104A" w:rsidP="00CD104A">
            <w:pPr>
              <w:jc w:val="left"/>
              <w:rPr>
                <w:rFonts w:eastAsia="Calibri" w:cs="Arial"/>
                <w:sz w:val="20"/>
                <w:szCs w:val="20"/>
              </w:rPr>
            </w:pPr>
            <w:r w:rsidRPr="00CD104A">
              <w:rPr>
                <w:rFonts w:eastAsia="Calibri" w:cs="Arial"/>
                <w:sz w:val="20"/>
                <w:szCs w:val="20"/>
              </w:rPr>
              <w:t>Net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C27E735" w14:textId="77777777" w:rsidR="00CD104A" w:rsidRPr="00CD104A" w:rsidRDefault="00CD104A" w:rsidP="00CD104A">
            <w:pPr>
              <w:jc w:val="left"/>
              <w:rPr>
                <w:rFonts w:eastAsia="Calibri" w:cs="Arial"/>
                <w:sz w:val="20"/>
                <w:szCs w:val="20"/>
              </w:rPr>
            </w:pPr>
            <w:r w:rsidRPr="00CD104A">
              <w:rPr>
                <w:rFonts w:eastAsia="Calibri" w:cs="Arial"/>
                <w:sz w:val="20"/>
                <w:szCs w:val="20"/>
              </w:rPr>
              <w:t>4,267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DDDEDB" w14:textId="77777777" w:rsidR="00CD104A" w:rsidRPr="00CD104A" w:rsidRDefault="00CD104A" w:rsidP="00CD104A">
            <w:pPr>
              <w:jc w:val="left"/>
              <w:rPr>
                <w:rFonts w:eastAsia="Calibri" w:cs="Arial"/>
                <w:sz w:val="20"/>
                <w:szCs w:val="20"/>
              </w:rPr>
            </w:pPr>
            <w:r w:rsidRPr="00CD104A">
              <w:rPr>
                <w:rFonts w:eastAsia="Calibri" w:cs="Arial"/>
                <w:sz w:val="20"/>
                <w:szCs w:val="20"/>
              </w:rPr>
              <w:t>-6.39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7BB421C" w14:textId="77777777" w:rsidR="00CD104A" w:rsidRPr="00CD104A" w:rsidRDefault="00CD104A" w:rsidP="00CD104A">
            <w:pPr>
              <w:jc w:val="left"/>
              <w:rPr>
                <w:rFonts w:eastAsia="Calibri" w:cs="Arial"/>
                <w:sz w:val="20"/>
                <w:szCs w:val="20"/>
              </w:rPr>
            </w:pPr>
            <w:r w:rsidRPr="00CD104A">
              <w:rPr>
                <w:rFonts w:eastAsia="Calibri" w:cs="Arial"/>
                <w:sz w:val="20"/>
                <w:szCs w:val="20"/>
              </w:rPr>
              <w:t>-5.32</w:t>
            </w:r>
          </w:p>
        </w:tc>
      </w:tr>
      <w:tr w:rsidR="00CD104A" w:rsidRPr="00CD104A" w14:paraId="12EE8877" w14:textId="77777777" w:rsidTr="00CD104A">
        <w:tc>
          <w:tcPr>
            <w:tcW w:w="0" w:type="auto"/>
            <w:vMerge/>
            <w:tcBorders>
              <w:top w:val="single" w:sz="4" w:space="0" w:color="auto"/>
              <w:left w:val="single" w:sz="4" w:space="0" w:color="auto"/>
              <w:bottom w:val="single" w:sz="4" w:space="0" w:color="auto"/>
              <w:right w:val="single" w:sz="4" w:space="0" w:color="auto"/>
            </w:tcBorders>
            <w:vAlign w:val="center"/>
            <w:hideMark/>
          </w:tcPr>
          <w:p w14:paraId="5BFD6243" w14:textId="77777777" w:rsidR="00CD104A" w:rsidRPr="00CD104A" w:rsidRDefault="00CD104A" w:rsidP="00CD104A">
            <w:pPr>
              <w:rPr>
                <w:rFonts w:eastAsia="Calibri" w:cs="Arial"/>
                <w:b/>
                <w:bCs/>
                <w:kern w:val="2"/>
                <w:sz w:val="20"/>
                <w:szCs w:val="20"/>
                <w14:ligatures w14:val="standardContextual"/>
              </w:rPr>
            </w:pPr>
          </w:p>
        </w:tc>
        <w:tc>
          <w:tcPr>
            <w:tcW w:w="1356" w:type="dxa"/>
            <w:tcBorders>
              <w:top w:val="single" w:sz="4" w:space="0" w:color="auto"/>
              <w:left w:val="single" w:sz="4" w:space="0" w:color="auto"/>
              <w:bottom w:val="single" w:sz="4" w:space="0" w:color="auto"/>
              <w:right w:val="single" w:sz="4" w:space="0" w:color="auto"/>
            </w:tcBorders>
            <w:vAlign w:val="center"/>
            <w:hideMark/>
          </w:tcPr>
          <w:p w14:paraId="22AF993B" w14:textId="77777777" w:rsidR="00CD104A" w:rsidRPr="00CD104A" w:rsidRDefault="00CD104A" w:rsidP="00CD104A">
            <w:pPr>
              <w:jc w:val="left"/>
              <w:rPr>
                <w:rFonts w:eastAsia="Calibri" w:cs="Arial"/>
                <w:sz w:val="20"/>
                <w:szCs w:val="20"/>
              </w:rPr>
            </w:pPr>
            <w:r w:rsidRPr="00CD104A">
              <w:rPr>
                <w:rFonts w:eastAsia="Calibri" w:cs="Arial"/>
                <w:sz w:val="20"/>
                <w:szCs w:val="20"/>
              </w:rPr>
              <w:t>Flexibility</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962DB2" w14:textId="77777777" w:rsidR="00CD104A" w:rsidRPr="00CD104A" w:rsidRDefault="00CD104A" w:rsidP="00CD104A">
            <w:pPr>
              <w:jc w:val="left"/>
              <w:rPr>
                <w:rFonts w:eastAsia="Calibri" w:cs="Arial"/>
                <w:b/>
                <w:bCs/>
                <w:sz w:val="20"/>
                <w:szCs w:val="20"/>
              </w:rPr>
            </w:pPr>
            <w:r w:rsidRPr="00CD104A">
              <w:rPr>
                <w:rFonts w:eastAsia="Calibri" w:cs="Arial"/>
                <w:sz w:val="20"/>
                <w:szCs w:val="20"/>
              </w:rPr>
              <w:t>73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63E786" w14:textId="77777777" w:rsidR="00CD104A" w:rsidRPr="00CD104A" w:rsidRDefault="00CD104A" w:rsidP="00CD104A">
            <w:pPr>
              <w:jc w:val="left"/>
              <w:rPr>
                <w:rFonts w:eastAsia="Calibri" w:cs="Arial"/>
                <w:sz w:val="20"/>
                <w:szCs w:val="20"/>
              </w:rPr>
            </w:pPr>
            <w:r w:rsidRPr="00CD104A">
              <w:rPr>
                <w:rFonts w:eastAsia="Calibri" w:cs="Arial"/>
                <w:sz w:val="20"/>
                <w:szCs w:val="20"/>
              </w:rPr>
              <w:t>7.30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B5BBB2" w14:textId="77777777" w:rsidR="00CD104A" w:rsidRPr="00CD104A" w:rsidRDefault="00CD104A" w:rsidP="00CD104A">
            <w:pPr>
              <w:jc w:val="left"/>
              <w:rPr>
                <w:rFonts w:eastAsia="Calibri" w:cs="Arial"/>
                <w:sz w:val="20"/>
                <w:szCs w:val="20"/>
              </w:rPr>
            </w:pPr>
            <w:r w:rsidRPr="00CD104A">
              <w:rPr>
                <w:rFonts w:eastAsia="Calibri" w:cs="Arial"/>
                <w:sz w:val="20"/>
                <w:szCs w:val="20"/>
              </w:rPr>
              <w:t>7.32</w:t>
            </w:r>
          </w:p>
        </w:tc>
      </w:tr>
      <w:tr w:rsidR="00CD104A" w:rsidRPr="00CD104A" w14:paraId="2E62A2D0" w14:textId="77777777" w:rsidTr="00CD104A">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5E6D0" w14:textId="77777777" w:rsidR="00CD104A" w:rsidRPr="00CD104A" w:rsidRDefault="00CD104A" w:rsidP="00CD104A">
            <w:pPr>
              <w:rPr>
                <w:rFonts w:eastAsia="Calibri" w:cs="Arial"/>
                <w:b/>
                <w:bCs/>
                <w:kern w:val="2"/>
                <w:sz w:val="20"/>
                <w:szCs w:val="20"/>
                <w14:ligatures w14:val="standardContextual"/>
              </w:rPr>
            </w:pPr>
          </w:p>
        </w:tc>
        <w:tc>
          <w:tcPr>
            <w:tcW w:w="1356" w:type="dxa"/>
            <w:tcBorders>
              <w:top w:val="single" w:sz="4" w:space="0" w:color="auto"/>
              <w:left w:val="single" w:sz="4" w:space="0" w:color="auto"/>
              <w:bottom w:val="single" w:sz="4" w:space="0" w:color="auto"/>
              <w:right w:val="single" w:sz="4" w:space="0" w:color="auto"/>
            </w:tcBorders>
            <w:vAlign w:val="center"/>
            <w:hideMark/>
          </w:tcPr>
          <w:p w14:paraId="6BA4B27F" w14:textId="77777777" w:rsidR="00CD104A" w:rsidRPr="00CD104A" w:rsidRDefault="00CD104A" w:rsidP="00CD104A">
            <w:pPr>
              <w:jc w:val="left"/>
              <w:rPr>
                <w:rFonts w:eastAsia="Calibri" w:cs="Arial"/>
                <w:sz w:val="20"/>
                <w:szCs w:val="20"/>
              </w:rPr>
            </w:pPr>
            <w:r w:rsidRPr="00CD104A">
              <w:rPr>
                <w:rFonts w:eastAsia="Calibri" w:cs="Arial"/>
                <w:sz w:val="20"/>
                <w:szCs w:val="20"/>
              </w:rPr>
              <w:t>Loss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60926C" w14:textId="77777777" w:rsidR="00CD104A" w:rsidRPr="00CD104A" w:rsidRDefault="00CD104A" w:rsidP="00CD104A">
            <w:pPr>
              <w:jc w:val="left"/>
              <w:rPr>
                <w:rFonts w:eastAsia="Calibri" w:cs="Arial"/>
                <w:b/>
                <w:bCs/>
                <w:sz w:val="20"/>
                <w:szCs w:val="20"/>
              </w:rPr>
            </w:pPr>
            <w:r w:rsidRPr="00CD104A">
              <w:rPr>
                <w:rFonts w:eastAsia="Calibri" w:cs="Arial"/>
                <w:sz w:val="20"/>
                <w:szCs w:val="20"/>
              </w:rPr>
              <w:t>737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DDFC73" w14:textId="77777777" w:rsidR="00CD104A" w:rsidRPr="00CD104A" w:rsidRDefault="00CD104A" w:rsidP="00CD104A">
            <w:pPr>
              <w:jc w:val="left"/>
              <w:rPr>
                <w:rFonts w:eastAsia="Calibri" w:cs="Arial"/>
                <w:sz w:val="20"/>
                <w:szCs w:val="20"/>
              </w:rPr>
            </w:pPr>
            <w:r w:rsidRPr="00CD104A">
              <w:rPr>
                <w:rFonts w:eastAsia="Calibri" w:cs="Arial"/>
                <w:sz w:val="20"/>
                <w:szCs w:val="20"/>
              </w:rPr>
              <w:t>11.26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E2A78A2" w14:textId="77777777" w:rsidR="00CD104A" w:rsidRPr="00CD104A" w:rsidRDefault="00CD104A" w:rsidP="00CD104A">
            <w:pPr>
              <w:jc w:val="left"/>
              <w:rPr>
                <w:rFonts w:eastAsia="Calibri" w:cs="Arial"/>
                <w:sz w:val="20"/>
                <w:szCs w:val="20"/>
              </w:rPr>
            </w:pPr>
            <w:r w:rsidRPr="00CD104A">
              <w:rPr>
                <w:rFonts w:eastAsia="Calibri" w:cs="Arial"/>
                <w:sz w:val="20"/>
                <w:szCs w:val="20"/>
              </w:rPr>
              <w:t>11.44</w:t>
            </w:r>
          </w:p>
        </w:tc>
      </w:tr>
      <w:tr w:rsidR="00CD104A" w:rsidRPr="00CD104A" w14:paraId="05D0B46F" w14:textId="77777777" w:rsidTr="00CD104A">
        <w:tc>
          <w:tcPr>
            <w:tcW w:w="0" w:type="auto"/>
            <w:vMerge/>
            <w:tcBorders>
              <w:top w:val="single" w:sz="4" w:space="0" w:color="auto"/>
              <w:left w:val="single" w:sz="4" w:space="0" w:color="auto"/>
              <w:bottom w:val="single" w:sz="4" w:space="0" w:color="auto"/>
              <w:right w:val="single" w:sz="4" w:space="0" w:color="auto"/>
            </w:tcBorders>
            <w:vAlign w:val="center"/>
            <w:hideMark/>
          </w:tcPr>
          <w:p w14:paraId="190CD5BD" w14:textId="77777777" w:rsidR="00CD104A" w:rsidRPr="00CD104A" w:rsidRDefault="00CD104A" w:rsidP="00CD104A">
            <w:pPr>
              <w:rPr>
                <w:rFonts w:eastAsia="Calibri" w:cs="Arial"/>
                <w:b/>
                <w:bCs/>
                <w:kern w:val="2"/>
                <w:sz w:val="20"/>
                <w:szCs w:val="20"/>
                <w14:ligatures w14:val="standardContextual"/>
              </w:rPr>
            </w:pPr>
          </w:p>
        </w:tc>
        <w:tc>
          <w:tcPr>
            <w:tcW w:w="1356" w:type="dxa"/>
            <w:tcBorders>
              <w:top w:val="single" w:sz="4" w:space="0" w:color="auto"/>
              <w:left w:val="single" w:sz="4" w:space="0" w:color="auto"/>
              <w:bottom w:val="single" w:sz="4" w:space="0" w:color="auto"/>
              <w:right w:val="single" w:sz="4" w:space="0" w:color="auto"/>
            </w:tcBorders>
            <w:vAlign w:val="center"/>
            <w:hideMark/>
          </w:tcPr>
          <w:p w14:paraId="1C7074C6" w14:textId="77777777" w:rsidR="00CD104A" w:rsidRPr="00CD104A" w:rsidRDefault="00CD104A" w:rsidP="00CD104A">
            <w:pPr>
              <w:jc w:val="left"/>
              <w:rPr>
                <w:rFonts w:eastAsia="Calibri" w:cs="Arial"/>
                <w:sz w:val="20"/>
                <w:szCs w:val="20"/>
              </w:rPr>
            </w:pPr>
            <w:r w:rsidRPr="00CD104A">
              <w:rPr>
                <w:rFonts w:eastAsia="Calibri" w:cs="Arial"/>
                <w:sz w:val="20"/>
                <w:szCs w:val="20"/>
              </w:rPr>
              <w:t>Gross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3CA3DA" w14:textId="77777777" w:rsidR="00CD104A" w:rsidRPr="00CD104A" w:rsidRDefault="00CD104A" w:rsidP="00CD104A">
            <w:pPr>
              <w:jc w:val="left"/>
              <w:rPr>
                <w:rFonts w:eastAsia="Calibri" w:cs="Arial"/>
                <w:b/>
                <w:bCs/>
                <w:sz w:val="20"/>
                <w:szCs w:val="20"/>
              </w:rPr>
            </w:pPr>
            <w:r w:rsidRPr="00CD104A">
              <w:rPr>
                <w:rFonts w:eastAsia="Calibri" w:cs="Arial"/>
                <w:b/>
                <w:bCs/>
                <w:sz w:val="20"/>
                <w:szCs w:val="20"/>
              </w:rPr>
              <w:t>5,077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66A675" w14:textId="77777777" w:rsidR="00CD104A" w:rsidRPr="00CD104A" w:rsidRDefault="00CD104A" w:rsidP="00CD104A">
            <w:pPr>
              <w:jc w:val="left"/>
              <w:rPr>
                <w:rFonts w:eastAsia="Calibri" w:cs="Arial"/>
                <w:b/>
                <w:bCs/>
                <w:sz w:val="20"/>
                <w:szCs w:val="20"/>
              </w:rPr>
            </w:pPr>
            <w:r w:rsidRPr="00CD104A">
              <w:rPr>
                <w:rFonts w:eastAsia="Calibri" w:cs="Arial"/>
                <w:b/>
                <w:bCs/>
                <w:sz w:val="20"/>
                <w:szCs w:val="20"/>
              </w:rPr>
              <w:t>12.17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0C9C30" w14:textId="77777777" w:rsidR="00CD104A" w:rsidRPr="00CD104A" w:rsidRDefault="00CD104A" w:rsidP="00CD104A">
            <w:pPr>
              <w:jc w:val="left"/>
              <w:rPr>
                <w:rFonts w:eastAsia="Calibri" w:cs="Arial"/>
                <w:sz w:val="20"/>
                <w:szCs w:val="20"/>
              </w:rPr>
            </w:pPr>
            <w:r w:rsidRPr="00CD104A">
              <w:rPr>
                <w:rFonts w:eastAsia="Calibri" w:cs="Arial"/>
                <w:b/>
                <w:bCs/>
                <w:sz w:val="20"/>
                <w:szCs w:val="20"/>
              </w:rPr>
              <w:t>13.44</w:t>
            </w:r>
          </w:p>
        </w:tc>
      </w:tr>
      <w:tr w:rsidR="00CD104A" w:rsidRPr="00CD104A" w14:paraId="58ED184F" w14:textId="77777777" w:rsidTr="00CD104A">
        <w:tc>
          <w:tcPr>
            <w:tcW w:w="2509" w:type="dxa"/>
            <w:vMerge w:val="restart"/>
            <w:tcBorders>
              <w:top w:val="single" w:sz="4" w:space="0" w:color="auto"/>
              <w:left w:val="single" w:sz="4" w:space="0" w:color="auto"/>
              <w:bottom w:val="single" w:sz="4" w:space="0" w:color="auto"/>
              <w:right w:val="single" w:sz="4" w:space="0" w:color="auto"/>
            </w:tcBorders>
            <w:vAlign w:val="center"/>
            <w:hideMark/>
          </w:tcPr>
          <w:p w14:paraId="32A6B561" w14:textId="77777777" w:rsidR="00CD104A" w:rsidRPr="00CD104A" w:rsidRDefault="00CD104A" w:rsidP="00CD104A">
            <w:pPr>
              <w:autoSpaceDE w:val="0"/>
              <w:autoSpaceDN w:val="0"/>
              <w:adjustRightInd w:val="0"/>
              <w:jc w:val="left"/>
              <w:rPr>
                <w:rFonts w:cs="Arial"/>
                <w:b/>
                <w:bCs/>
                <w:color w:val="000000"/>
                <w:sz w:val="20"/>
                <w:szCs w:val="20"/>
              </w:rPr>
            </w:pPr>
            <w:r w:rsidRPr="00CD104A">
              <w:rPr>
                <w:rFonts w:cs="Arial"/>
                <w:b/>
                <w:bCs/>
                <w:color w:val="000000"/>
                <w:sz w:val="20"/>
                <w:szCs w:val="20"/>
              </w:rPr>
              <w:t>5) Current SM (446 dpa)</w:t>
            </w:r>
          </w:p>
        </w:tc>
        <w:tc>
          <w:tcPr>
            <w:tcW w:w="1356" w:type="dxa"/>
            <w:tcBorders>
              <w:top w:val="single" w:sz="4" w:space="0" w:color="auto"/>
              <w:left w:val="single" w:sz="4" w:space="0" w:color="auto"/>
              <w:bottom w:val="single" w:sz="4" w:space="0" w:color="auto"/>
              <w:right w:val="single" w:sz="4" w:space="0" w:color="auto"/>
            </w:tcBorders>
            <w:vAlign w:val="center"/>
            <w:hideMark/>
          </w:tcPr>
          <w:p w14:paraId="408926C6" w14:textId="77777777" w:rsidR="00CD104A" w:rsidRPr="00CD104A" w:rsidRDefault="00CD104A" w:rsidP="00CD104A">
            <w:pPr>
              <w:jc w:val="left"/>
              <w:rPr>
                <w:rFonts w:eastAsia="Calibri" w:cs="Arial"/>
                <w:b/>
                <w:bCs/>
                <w:sz w:val="20"/>
                <w:szCs w:val="20"/>
              </w:rPr>
            </w:pPr>
            <w:r w:rsidRPr="00CD104A">
              <w:rPr>
                <w:rFonts w:eastAsia="Calibri" w:cs="Arial"/>
                <w:sz w:val="20"/>
                <w:szCs w:val="20"/>
              </w:rPr>
              <w:t>Net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A16048" w14:textId="77777777" w:rsidR="00CD104A" w:rsidRPr="00CD104A" w:rsidRDefault="00CD104A" w:rsidP="00CD104A">
            <w:pPr>
              <w:jc w:val="left"/>
              <w:rPr>
                <w:rFonts w:eastAsia="Calibri" w:cs="Arial"/>
                <w:sz w:val="20"/>
                <w:szCs w:val="20"/>
              </w:rPr>
            </w:pPr>
            <w:r w:rsidRPr="00CD104A">
              <w:rPr>
                <w:rFonts w:eastAsia="Calibri" w:cs="Arial"/>
                <w:sz w:val="20"/>
                <w:szCs w:val="20"/>
              </w:rPr>
              <w:t>5,558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F788A5" w14:textId="77777777" w:rsidR="00CD104A" w:rsidRPr="00CD104A" w:rsidRDefault="00CD104A" w:rsidP="00CD104A">
            <w:pPr>
              <w:jc w:val="left"/>
              <w:rPr>
                <w:rFonts w:eastAsia="Calibri" w:cs="Arial"/>
                <w:sz w:val="20"/>
                <w:szCs w:val="20"/>
              </w:rPr>
            </w:pPr>
            <w:r w:rsidRPr="00CD104A">
              <w:rPr>
                <w:rFonts w:eastAsia="Calibri" w:cs="Arial"/>
                <w:sz w:val="20"/>
                <w:szCs w:val="20"/>
              </w:rPr>
              <w:t>-3.31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41D74A" w14:textId="77777777" w:rsidR="00CD104A" w:rsidRPr="00CD104A" w:rsidRDefault="00CD104A" w:rsidP="00CD104A">
            <w:pPr>
              <w:jc w:val="left"/>
              <w:rPr>
                <w:rFonts w:eastAsia="Calibri" w:cs="Arial"/>
                <w:sz w:val="20"/>
                <w:szCs w:val="20"/>
              </w:rPr>
            </w:pPr>
            <w:r w:rsidRPr="00CD104A">
              <w:rPr>
                <w:rFonts w:eastAsia="Calibri" w:cs="Arial"/>
                <w:sz w:val="20"/>
                <w:szCs w:val="20"/>
              </w:rPr>
              <w:t>-1.92</w:t>
            </w:r>
          </w:p>
        </w:tc>
      </w:tr>
      <w:tr w:rsidR="00CD104A" w:rsidRPr="00CD104A" w14:paraId="3D3A9743" w14:textId="77777777" w:rsidTr="00CD104A">
        <w:tc>
          <w:tcPr>
            <w:tcW w:w="0" w:type="auto"/>
            <w:vMerge/>
            <w:tcBorders>
              <w:top w:val="single" w:sz="4" w:space="0" w:color="auto"/>
              <w:left w:val="single" w:sz="4" w:space="0" w:color="auto"/>
              <w:bottom w:val="single" w:sz="4" w:space="0" w:color="auto"/>
              <w:right w:val="single" w:sz="4" w:space="0" w:color="auto"/>
            </w:tcBorders>
            <w:vAlign w:val="center"/>
            <w:hideMark/>
          </w:tcPr>
          <w:p w14:paraId="1ACA7428" w14:textId="77777777" w:rsidR="00CD104A" w:rsidRPr="00CD104A" w:rsidRDefault="00CD104A" w:rsidP="00CD104A">
            <w:pPr>
              <w:rPr>
                <w:rFonts w:cs="Arial"/>
                <w:b/>
                <w:bCs/>
                <w:color w:val="000000"/>
                <w:kern w:val="2"/>
                <w:sz w:val="20"/>
                <w:szCs w:val="20"/>
                <w14:ligatures w14:val="standardContextual"/>
              </w:rPr>
            </w:pPr>
          </w:p>
        </w:tc>
        <w:tc>
          <w:tcPr>
            <w:tcW w:w="1356" w:type="dxa"/>
            <w:tcBorders>
              <w:top w:val="single" w:sz="4" w:space="0" w:color="auto"/>
              <w:left w:val="single" w:sz="4" w:space="0" w:color="auto"/>
              <w:bottom w:val="single" w:sz="4" w:space="0" w:color="auto"/>
              <w:right w:val="single" w:sz="4" w:space="0" w:color="auto"/>
            </w:tcBorders>
            <w:vAlign w:val="center"/>
            <w:hideMark/>
          </w:tcPr>
          <w:p w14:paraId="63D6D3C2" w14:textId="77777777" w:rsidR="00CD104A" w:rsidRPr="00CD104A" w:rsidRDefault="00CD104A" w:rsidP="00CD104A">
            <w:pPr>
              <w:jc w:val="left"/>
              <w:rPr>
                <w:rFonts w:eastAsia="Calibri" w:cs="Arial"/>
                <w:b/>
                <w:bCs/>
                <w:sz w:val="20"/>
                <w:szCs w:val="20"/>
              </w:rPr>
            </w:pPr>
            <w:r w:rsidRPr="00CD104A">
              <w:rPr>
                <w:rFonts w:eastAsia="Calibri" w:cs="Arial"/>
                <w:sz w:val="20"/>
                <w:szCs w:val="20"/>
              </w:rPr>
              <w:t>Flexibility</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86A047" w14:textId="77777777" w:rsidR="00CD104A" w:rsidRPr="00CD104A" w:rsidRDefault="00CD104A" w:rsidP="00CD104A">
            <w:pPr>
              <w:jc w:val="left"/>
              <w:rPr>
                <w:rFonts w:eastAsia="Calibri" w:cs="Arial"/>
                <w:b/>
                <w:bCs/>
                <w:sz w:val="20"/>
                <w:szCs w:val="20"/>
              </w:rPr>
            </w:pPr>
            <w:r w:rsidRPr="00CD104A">
              <w:rPr>
                <w:rFonts w:eastAsia="Calibri" w:cs="Arial"/>
                <w:sz w:val="20"/>
                <w:szCs w:val="20"/>
              </w:rPr>
              <w:t>73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BFA5BA" w14:textId="77777777" w:rsidR="00CD104A" w:rsidRPr="00CD104A" w:rsidRDefault="00CD104A" w:rsidP="00CD104A">
            <w:pPr>
              <w:jc w:val="left"/>
              <w:rPr>
                <w:rFonts w:eastAsia="Calibri" w:cs="Arial"/>
                <w:b/>
                <w:bCs/>
                <w:sz w:val="20"/>
                <w:szCs w:val="20"/>
              </w:rPr>
            </w:pPr>
            <w:r w:rsidRPr="00CD104A">
              <w:rPr>
                <w:rFonts w:eastAsia="Calibri" w:cs="Arial"/>
                <w:sz w:val="20"/>
                <w:szCs w:val="20"/>
              </w:rPr>
              <w:t>7.30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45938F" w14:textId="77777777" w:rsidR="00CD104A" w:rsidRPr="00CD104A" w:rsidRDefault="00CD104A" w:rsidP="00CD104A">
            <w:pPr>
              <w:jc w:val="left"/>
              <w:rPr>
                <w:rFonts w:eastAsia="Calibri" w:cs="Arial"/>
                <w:sz w:val="20"/>
                <w:szCs w:val="20"/>
              </w:rPr>
            </w:pPr>
            <w:r w:rsidRPr="00CD104A">
              <w:rPr>
                <w:rFonts w:eastAsia="Calibri" w:cs="Arial"/>
                <w:sz w:val="20"/>
                <w:szCs w:val="20"/>
              </w:rPr>
              <w:t>7.32</w:t>
            </w:r>
          </w:p>
        </w:tc>
      </w:tr>
      <w:tr w:rsidR="00CD104A" w:rsidRPr="00CD104A" w14:paraId="2410897A" w14:textId="77777777" w:rsidTr="00CD104A">
        <w:tc>
          <w:tcPr>
            <w:tcW w:w="0" w:type="auto"/>
            <w:vMerge/>
            <w:tcBorders>
              <w:top w:val="single" w:sz="4" w:space="0" w:color="auto"/>
              <w:left w:val="single" w:sz="4" w:space="0" w:color="auto"/>
              <w:bottom w:val="single" w:sz="4" w:space="0" w:color="auto"/>
              <w:right w:val="single" w:sz="4" w:space="0" w:color="auto"/>
            </w:tcBorders>
            <w:vAlign w:val="center"/>
            <w:hideMark/>
          </w:tcPr>
          <w:p w14:paraId="0BC9B5AB" w14:textId="77777777" w:rsidR="00CD104A" w:rsidRPr="00CD104A" w:rsidRDefault="00CD104A" w:rsidP="00CD104A">
            <w:pPr>
              <w:rPr>
                <w:rFonts w:cs="Arial"/>
                <w:b/>
                <w:bCs/>
                <w:color w:val="000000"/>
                <w:kern w:val="2"/>
                <w:sz w:val="20"/>
                <w:szCs w:val="20"/>
                <w14:ligatures w14:val="standardContextual"/>
              </w:rPr>
            </w:pPr>
          </w:p>
        </w:tc>
        <w:tc>
          <w:tcPr>
            <w:tcW w:w="1356" w:type="dxa"/>
            <w:tcBorders>
              <w:top w:val="single" w:sz="4" w:space="0" w:color="auto"/>
              <w:left w:val="single" w:sz="4" w:space="0" w:color="auto"/>
              <w:bottom w:val="single" w:sz="4" w:space="0" w:color="auto"/>
              <w:right w:val="single" w:sz="4" w:space="0" w:color="auto"/>
            </w:tcBorders>
            <w:vAlign w:val="center"/>
            <w:hideMark/>
          </w:tcPr>
          <w:p w14:paraId="544B09CE" w14:textId="77777777" w:rsidR="00CD104A" w:rsidRPr="00CD104A" w:rsidRDefault="00CD104A" w:rsidP="00CD104A">
            <w:pPr>
              <w:jc w:val="left"/>
              <w:rPr>
                <w:rFonts w:eastAsia="Calibri" w:cs="Arial"/>
                <w:b/>
                <w:bCs/>
                <w:sz w:val="20"/>
                <w:szCs w:val="20"/>
              </w:rPr>
            </w:pPr>
            <w:r w:rsidRPr="00CD104A">
              <w:rPr>
                <w:rFonts w:eastAsia="Calibri" w:cs="Arial"/>
                <w:sz w:val="20"/>
                <w:szCs w:val="20"/>
              </w:rPr>
              <w:t>Loss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C415E0" w14:textId="77777777" w:rsidR="00CD104A" w:rsidRPr="00CD104A" w:rsidRDefault="00CD104A" w:rsidP="00CD104A">
            <w:pPr>
              <w:jc w:val="left"/>
              <w:rPr>
                <w:rFonts w:eastAsia="Calibri" w:cs="Arial"/>
                <w:b/>
                <w:bCs/>
                <w:sz w:val="20"/>
                <w:szCs w:val="20"/>
              </w:rPr>
            </w:pPr>
            <w:r w:rsidRPr="00CD104A">
              <w:rPr>
                <w:rFonts w:eastAsia="Calibri" w:cs="Arial"/>
                <w:sz w:val="20"/>
                <w:szCs w:val="20"/>
              </w:rPr>
              <w:t>737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881DBF" w14:textId="77777777" w:rsidR="00CD104A" w:rsidRPr="00CD104A" w:rsidRDefault="00CD104A" w:rsidP="00CD104A">
            <w:pPr>
              <w:jc w:val="left"/>
              <w:rPr>
                <w:rFonts w:eastAsia="Calibri" w:cs="Arial"/>
                <w:b/>
                <w:bCs/>
                <w:sz w:val="20"/>
                <w:szCs w:val="20"/>
              </w:rPr>
            </w:pPr>
            <w:r w:rsidRPr="00CD104A">
              <w:rPr>
                <w:rFonts w:eastAsia="Calibri" w:cs="Arial"/>
                <w:sz w:val="20"/>
                <w:szCs w:val="20"/>
              </w:rPr>
              <w:t>11.26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EA0D63" w14:textId="77777777" w:rsidR="00CD104A" w:rsidRPr="00CD104A" w:rsidRDefault="00CD104A" w:rsidP="00CD104A">
            <w:pPr>
              <w:jc w:val="left"/>
              <w:rPr>
                <w:rFonts w:eastAsia="Calibri" w:cs="Arial"/>
                <w:sz w:val="20"/>
                <w:szCs w:val="20"/>
              </w:rPr>
            </w:pPr>
            <w:r w:rsidRPr="00CD104A">
              <w:rPr>
                <w:rFonts w:eastAsia="Calibri" w:cs="Arial"/>
                <w:sz w:val="20"/>
                <w:szCs w:val="20"/>
              </w:rPr>
              <w:t>11.44</w:t>
            </w:r>
          </w:p>
        </w:tc>
      </w:tr>
      <w:tr w:rsidR="00CD104A" w:rsidRPr="00CD104A" w14:paraId="09582A9E" w14:textId="77777777" w:rsidTr="00CD104A">
        <w:tc>
          <w:tcPr>
            <w:tcW w:w="0" w:type="auto"/>
            <w:vMerge/>
            <w:tcBorders>
              <w:top w:val="single" w:sz="4" w:space="0" w:color="auto"/>
              <w:left w:val="single" w:sz="4" w:space="0" w:color="auto"/>
              <w:bottom w:val="single" w:sz="4" w:space="0" w:color="auto"/>
              <w:right w:val="single" w:sz="4" w:space="0" w:color="auto"/>
            </w:tcBorders>
            <w:vAlign w:val="center"/>
            <w:hideMark/>
          </w:tcPr>
          <w:p w14:paraId="2976C033" w14:textId="77777777" w:rsidR="00CD104A" w:rsidRPr="00CD104A" w:rsidRDefault="00CD104A" w:rsidP="00CD104A">
            <w:pPr>
              <w:rPr>
                <w:rFonts w:cs="Arial"/>
                <w:b/>
                <w:bCs/>
                <w:color w:val="000000"/>
                <w:kern w:val="2"/>
                <w:sz w:val="20"/>
                <w:szCs w:val="20"/>
                <w14:ligatures w14:val="standardContextual"/>
              </w:rPr>
            </w:pPr>
          </w:p>
        </w:tc>
        <w:tc>
          <w:tcPr>
            <w:tcW w:w="1356" w:type="dxa"/>
            <w:tcBorders>
              <w:top w:val="single" w:sz="4" w:space="0" w:color="auto"/>
              <w:left w:val="single" w:sz="4" w:space="0" w:color="auto"/>
              <w:bottom w:val="single" w:sz="4" w:space="0" w:color="auto"/>
              <w:right w:val="single" w:sz="4" w:space="0" w:color="auto"/>
            </w:tcBorders>
            <w:vAlign w:val="center"/>
            <w:hideMark/>
          </w:tcPr>
          <w:p w14:paraId="4BB824D1" w14:textId="77777777" w:rsidR="00CD104A" w:rsidRPr="00CD104A" w:rsidRDefault="00CD104A" w:rsidP="00CD104A">
            <w:pPr>
              <w:jc w:val="left"/>
              <w:rPr>
                <w:rFonts w:eastAsia="Calibri" w:cs="Arial"/>
                <w:b/>
                <w:bCs/>
                <w:sz w:val="20"/>
                <w:szCs w:val="20"/>
              </w:rPr>
            </w:pPr>
            <w:r w:rsidRPr="00CD104A">
              <w:rPr>
                <w:rFonts w:eastAsia="Calibri" w:cs="Arial"/>
                <w:sz w:val="20"/>
                <w:szCs w:val="20"/>
              </w:rPr>
              <w:t>Gross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6939EB" w14:textId="77777777" w:rsidR="00CD104A" w:rsidRPr="00CD104A" w:rsidRDefault="00CD104A" w:rsidP="00CD104A">
            <w:pPr>
              <w:jc w:val="left"/>
              <w:rPr>
                <w:rFonts w:eastAsia="Calibri" w:cs="Arial"/>
                <w:b/>
                <w:bCs/>
                <w:sz w:val="20"/>
                <w:szCs w:val="20"/>
              </w:rPr>
            </w:pPr>
            <w:r w:rsidRPr="00CD104A">
              <w:rPr>
                <w:rFonts w:eastAsia="Calibri" w:cs="Arial"/>
                <w:b/>
                <w:bCs/>
                <w:sz w:val="20"/>
                <w:szCs w:val="20"/>
              </w:rPr>
              <w:t>6,368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DFDDF6" w14:textId="77777777" w:rsidR="00CD104A" w:rsidRPr="00CD104A" w:rsidRDefault="00CD104A" w:rsidP="00CD104A">
            <w:pPr>
              <w:jc w:val="left"/>
              <w:rPr>
                <w:rFonts w:eastAsia="Calibri" w:cs="Arial"/>
                <w:b/>
                <w:bCs/>
                <w:sz w:val="20"/>
                <w:szCs w:val="20"/>
              </w:rPr>
            </w:pPr>
            <w:r w:rsidRPr="00CD104A">
              <w:rPr>
                <w:rFonts w:eastAsia="Calibri" w:cs="Arial"/>
                <w:b/>
                <w:bCs/>
                <w:sz w:val="20"/>
                <w:szCs w:val="20"/>
              </w:rPr>
              <w:t>15.25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530E4B" w14:textId="77777777" w:rsidR="00CD104A" w:rsidRPr="00CD104A" w:rsidRDefault="00CD104A" w:rsidP="00CD104A">
            <w:pPr>
              <w:jc w:val="left"/>
              <w:rPr>
                <w:rFonts w:eastAsia="Calibri" w:cs="Arial"/>
                <w:sz w:val="20"/>
                <w:szCs w:val="20"/>
              </w:rPr>
            </w:pPr>
            <w:r w:rsidRPr="00CD104A">
              <w:rPr>
                <w:rFonts w:eastAsia="Calibri" w:cs="Arial"/>
                <w:b/>
                <w:bCs/>
                <w:sz w:val="20"/>
                <w:szCs w:val="20"/>
              </w:rPr>
              <w:t>16.84</w:t>
            </w:r>
          </w:p>
        </w:tc>
      </w:tr>
      <w:tr w:rsidR="00CD104A" w:rsidRPr="00CD104A" w14:paraId="50D28A4C" w14:textId="77777777" w:rsidTr="00CD104A">
        <w:tc>
          <w:tcPr>
            <w:tcW w:w="2509" w:type="dxa"/>
            <w:vMerge w:val="restart"/>
            <w:tcBorders>
              <w:top w:val="single" w:sz="4" w:space="0" w:color="auto"/>
              <w:left w:val="single" w:sz="4" w:space="0" w:color="auto"/>
              <w:bottom w:val="single" w:sz="4" w:space="0" w:color="auto"/>
              <w:right w:val="single" w:sz="4" w:space="0" w:color="auto"/>
            </w:tcBorders>
            <w:vAlign w:val="center"/>
            <w:hideMark/>
          </w:tcPr>
          <w:p w14:paraId="16679AEF" w14:textId="77777777" w:rsidR="00CD104A" w:rsidRPr="00CD104A" w:rsidRDefault="00CD104A" w:rsidP="00CD104A">
            <w:pPr>
              <w:autoSpaceDE w:val="0"/>
              <w:autoSpaceDN w:val="0"/>
              <w:adjustRightInd w:val="0"/>
              <w:jc w:val="left"/>
              <w:rPr>
                <w:rFonts w:cs="Arial"/>
                <w:b/>
                <w:bCs/>
                <w:color w:val="000000"/>
                <w:sz w:val="20"/>
                <w:szCs w:val="20"/>
              </w:rPr>
            </w:pPr>
            <w:r w:rsidRPr="00CD104A">
              <w:rPr>
                <w:rFonts w:cs="Arial"/>
                <w:b/>
                <w:bCs/>
                <w:color w:val="000000"/>
                <w:sz w:val="20"/>
                <w:szCs w:val="20"/>
              </w:rPr>
              <w:t>6) Past Take Up Rates</w:t>
            </w:r>
          </w:p>
        </w:tc>
        <w:tc>
          <w:tcPr>
            <w:tcW w:w="1356" w:type="dxa"/>
            <w:tcBorders>
              <w:top w:val="single" w:sz="4" w:space="0" w:color="auto"/>
              <w:left w:val="single" w:sz="4" w:space="0" w:color="auto"/>
              <w:bottom w:val="single" w:sz="4" w:space="0" w:color="auto"/>
              <w:right w:val="single" w:sz="4" w:space="0" w:color="auto"/>
            </w:tcBorders>
            <w:vAlign w:val="center"/>
            <w:hideMark/>
          </w:tcPr>
          <w:p w14:paraId="1FAF8AC2" w14:textId="77777777" w:rsidR="00CD104A" w:rsidRPr="00CD104A" w:rsidRDefault="00CD104A" w:rsidP="00CD104A">
            <w:pPr>
              <w:jc w:val="left"/>
              <w:rPr>
                <w:rFonts w:eastAsia="Calibri" w:cs="Arial"/>
                <w:b/>
                <w:bCs/>
                <w:sz w:val="20"/>
                <w:szCs w:val="20"/>
              </w:rPr>
            </w:pPr>
            <w:r w:rsidRPr="00CD104A">
              <w:rPr>
                <w:rFonts w:eastAsia="Calibri" w:cs="Arial"/>
                <w:sz w:val="20"/>
                <w:szCs w:val="20"/>
              </w:rPr>
              <w:t>Net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6AF657" w14:textId="77777777" w:rsidR="00CD104A" w:rsidRPr="00CD104A" w:rsidRDefault="00CD104A" w:rsidP="00CD104A">
            <w:pPr>
              <w:jc w:val="left"/>
              <w:rPr>
                <w:rFonts w:eastAsia="Calibri" w:cs="Arial"/>
                <w:sz w:val="20"/>
                <w:szCs w:val="20"/>
              </w:rPr>
            </w:pPr>
            <w:r w:rsidRPr="00CD104A">
              <w:rPr>
                <w:rFonts w:eastAsia="Calibri" w:cs="Arial"/>
                <w:sz w:val="20"/>
                <w:szCs w:val="20"/>
              </w:rPr>
              <w:t>623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79347C" w14:textId="77777777" w:rsidR="00CD104A" w:rsidRPr="00CD104A" w:rsidRDefault="00CD104A" w:rsidP="00CD104A">
            <w:pPr>
              <w:jc w:val="left"/>
              <w:rPr>
                <w:rFonts w:eastAsia="Calibri" w:cs="Arial"/>
                <w:sz w:val="20"/>
                <w:szCs w:val="20"/>
              </w:rPr>
            </w:pPr>
            <w:r w:rsidRPr="00CD104A">
              <w:rPr>
                <w:rFonts w:eastAsia="Calibri" w:cs="Arial"/>
                <w:sz w:val="20"/>
                <w:szCs w:val="20"/>
              </w:rPr>
              <w:t>62.06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DF3A76" w14:textId="77777777" w:rsidR="00CD104A" w:rsidRPr="00CD104A" w:rsidRDefault="00CD104A" w:rsidP="00CD104A">
            <w:pPr>
              <w:jc w:val="left"/>
              <w:rPr>
                <w:rFonts w:eastAsia="Calibri" w:cs="Arial"/>
                <w:sz w:val="20"/>
                <w:szCs w:val="20"/>
              </w:rPr>
            </w:pPr>
            <w:r w:rsidRPr="00CD104A">
              <w:rPr>
                <w:rFonts w:eastAsia="Calibri" w:cs="Arial"/>
                <w:sz w:val="20"/>
                <w:szCs w:val="20"/>
              </w:rPr>
              <w:t>62.22</w:t>
            </w:r>
          </w:p>
        </w:tc>
      </w:tr>
      <w:tr w:rsidR="00CD104A" w:rsidRPr="00CD104A" w14:paraId="7F5FD217" w14:textId="77777777" w:rsidTr="00CD104A">
        <w:tc>
          <w:tcPr>
            <w:tcW w:w="0" w:type="auto"/>
            <w:vMerge/>
            <w:tcBorders>
              <w:top w:val="single" w:sz="4" w:space="0" w:color="auto"/>
              <w:left w:val="single" w:sz="4" w:space="0" w:color="auto"/>
              <w:bottom w:val="single" w:sz="4" w:space="0" w:color="auto"/>
              <w:right w:val="single" w:sz="4" w:space="0" w:color="auto"/>
            </w:tcBorders>
            <w:vAlign w:val="center"/>
            <w:hideMark/>
          </w:tcPr>
          <w:p w14:paraId="38105FC0" w14:textId="77777777" w:rsidR="00CD104A" w:rsidRPr="00CD104A" w:rsidRDefault="00CD104A" w:rsidP="00CD104A">
            <w:pPr>
              <w:rPr>
                <w:rFonts w:cs="Arial"/>
                <w:b/>
                <w:bCs/>
                <w:color w:val="000000"/>
                <w:kern w:val="2"/>
                <w:sz w:val="20"/>
                <w:szCs w:val="20"/>
                <w14:ligatures w14:val="standardContextual"/>
              </w:rPr>
            </w:pPr>
          </w:p>
        </w:tc>
        <w:tc>
          <w:tcPr>
            <w:tcW w:w="1356" w:type="dxa"/>
            <w:tcBorders>
              <w:top w:val="single" w:sz="4" w:space="0" w:color="auto"/>
              <w:left w:val="single" w:sz="4" w:space="0" w:color="auto"/>
              <w:bottom w:val="single" w:sz="4" w:space="0" w:color="auto"/>
              <w:right w:val="single" w:sz="4" w:space="0" w:color="auto"/>
            </w:tcBorders>
            <w:vAlign w:val="center"/>
            <w:hideMark/>
          </w:tcPr>
          <w:p w14:paraId="67360FEE" w14:textId="77777777" w:rsidR="00CD104A" w:rsidRPr="00CD104A" w:rsidRDefault="00CD104A" w:rsidP="00CD104A">
            <w:pPr>
              <w:jc w:val="left"/>
              <w:rPr>
                <w:rFonts w:eastAsia="Calibri" w:cs="Arial"/>
                <w:b/>
                <w:bCs/>
                <w:sz w:val="20"/>
                <w:szCs w:val="20"/>
              </w:rPr>
            </w:pPr>
            <w:r w:rsidRPr="00CD104A">
              <w:rPr>
                <w:rFonts w:eastAsia="Calibri" w:cs="Arial"/>
                <w:sz w:val="20"/>
                <w:szCs w:val="20"/>
              </w:rPr>
              <w:t>Flexibility</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0E0CBB" w14:textId="77777777" w:rsidR="00CD104A" w:rsidRPr="00CD104A" w:rsidRDefault="00CD104A" w:rsidP="00CD104A">
            <w:pPr>
              <w:jc w:val="left"/>
              <w:rPr>
                <w:rFonts w:eastAsia="Calibri" w:cs="Arial"/>
                <w:b/>
                <w:bCs/>
                <w:sz w:val="20"/>
                <w:szCs w:val="20"/>
              </w:rPr>
            </w:pPr>
            <w:r w:rsidRPr="00CD104A">
              <w:rPr>
                <w:rFonts w:eastAsia="Calibri" w:cs="Arial"/>
                <w:sz w:val="20"/>
                <w:szCs w:val="20"/>
              </w:rPr>
              <w:t>73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0B31A8" w14:textId="77777777" w:rsidR="00CD104A" w:rsidRPr="00CD104A" w:rsidRDefault="00CD104A" w:rsidP="00CD104A">
            <w:pPr>
              <w:jc w:val="left"/>
              <w:rPr>
                <w:rFonts w:eastAsia="Calibri" w:cs="Arial"/>
                <w:b/>
                <w:bCs/>
                <w:sz w:val="20"/>
                <w:szCs w:val="20"/>
              </w:rPr>
            </w:pPr>
            <w:r w:rsidRPr="00CD104A">
              <w:rPr>
                <w:rFonts w:eastAsia="Calibri" w:cs="Arial"/>
                <w:sz w:val="20"/>
                <w:szCs w:val="20"/>
              </w:rPr>
              <w:t>7.30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7CDE10" w14:textId="77777777" w:rsidR="00CD104A" w:rsidRPr="00CD104A" w:rsidRDefault="00CD104A" w:rsidP="00CD104A">
            <w:pPr>
              <w:jc w:val="left"/>
              <w:rPr>
                <w:rFonts w:eastAsia="Calibri" w:cs="Arial"/>
                <w:sz w:val="20"/>
                <w:szCs w:val="20"/>
              </w:rPr>
            </w:pPr>
            <w:r w:rsidRPr="00CD104A">
              <w:rPr>
                <w:rFonts w:eastAsia="Calibri" w:cs="Arial"/>
                <w:sz w:val="20"/>
                <w:szCs w:val="20"/>
              </w:rPr>
              <w:t>7.32</w:t>
            </w:r>
          </w:p>
        </w:tc>
      </w:tr>
      <w:tr w:rsidR="00CD104A" w:rsidRPr="00CD104A" w14:paraId="7506F47A" w14:textId="77777777" w:rsidTr="00CD104A">
        <w:tc>
          <w:tcPr>
            <w:tcW w:w="0" w:type="auto"/>
            <w:vMerge/>
            <w:tcBorders>
              <w:top w:val="single" w:sz="4" w:space="0" w:color="auto"/>
              <w:left w:val="single" w:sz="4" w:space="0" w:color="auto"/>
              <w:bottom w:val="single" w:sz="4" w:space="0" w:color="auto"/>
              <w:right w:val="single" w:sz="4" w:space="0" w:color="auto"/>
            </w:tcBorders>
            <w:vAlign w:val="center"/>
            <w:hideMark/>
          </w:tcPr>
          <w:p w14:paraId="1A0BCB19" w14:textId="77777777" w:rsidR="00CD104A" w:rsidRPr="00CD104A" w:rsidRDefault="00CD104A" w:rsidP="00CD104A">
            <w:pPr>
              <w:rPr>
                <w:rFonts w:cs="Arial"/>
                <w:b/>
                <w:bCs/>
                <w:color w:val="000000"/>
                <w:kern w:val="2"/>
                <w:sz w:val="20"/>
                <w:szCs w:val="20"/>
                <w14:ligatures w14:val="standardContextual"/>
              </w:rPr>
            </w:pPr>
          </w:p>
        </w:tc>
        <w:tc>
          <w:tcPr>
            <w:tcW w:w="1356" w:type="dxa"/>
            <w:tcBorders>
              <w:top w:val="single" w:sz="4" w:space="0" w:color="auto"/>
              <w:left w:val="single" w:sz="4" w:space="0" w:color="auto"/>
              <w:bottom w:val="single" w:sz="4" w:space="0" w:color="auto"/>
              <w:right w:val="single" w:sz="4" w:space="0" w:color="auto"/>
            </w:tcBorders>
            <w:vAlign w:val="center"/>
            <w:hideMark/>
          </w:tcPr>
          <w:p w14:paraId="517B329B" w14:textId="77777777" w:rsidR="00CD104A" w:rsidRPr="00CD104A" w:rsidRDefault="00CD104A" w:rsidP="00CD104A">
            <w:pPr>
              <w:jc w:val="left"/>
              <w:rPr>
                <w:rFonts w:eastAsia="Calibri" w:cs="Arial"/>
                <w:b/>
                <w:bCs/>
                <w:sz w:val="20"/>
                <w:szCs w:val="20"/>
              </w:rPr>
            </w:pPr>
            <w:r w:rsidRPr="00CD104A">
              <w:rPr>
                <w:rFonts w:eastAsia="Calibri" w:cs="Arial"/>
                <w:sz w:val="20"/>
                <w:szCs w:val="20"/>
              </w:rPr>
              <w:t>Loss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E514ACF" w14:textId="77777777" w:rsidR="00CD104A" w:rsidRPr="00CD104A" w:rsidRDefault="00CD104A" w:rsidP="00CD104A">
            <w:pPr>
              <w:jc w:val="left"/>
              <w:rPr>
                <w:rFonts w:eastAsia="Calibri" w:cs="Arial"/>
                <w:b/>
                <w:bCs/>
                <w:sz w:val="20"/>
                <w:szCs w:val="20"/>
              </w:rPr>
            </w:pPr>
            <w:r w:rsidRPr="00CD104A">
              <w:rPr>
                <w:rFonts w:eastAsia="Calibri" w:cs="Arial"/>
                <w:sz w:val="20"/>
                <w:szCs w:val="20"/>
              </w:rPr>
              <w:t>737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AFD3A0" w14:textId="77777777" w:rsidR="00CD104A" w:rsidRPr="00CD104A" w:rsidRDefault="00CD104A" w:rsidP="00CD104A">
            <w:pPr>
              <w:jc w:val="left"/>
              <w:rPr>
                <w:rFonts w:eastAsia="Calibri" w:cs="Arial"/>
                <w:b/>
                <w:bCs/>
                <w:sz w:val="20"/>
                <w:szCs w:val="20"/>
              </w:rPr>
            </w:pPr>
            <w:r w:rsidRPr="00CD104A">
              <w:rPr>
                <w:rFonts w:eastAsia="Calibri" w:cs="Arial"/>
                <w:sz w:val="20"/>
                <w:szCs w:val="20"/>
              </w:rPr>
              <w:t>11.26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564E4E" w14:textId="77777777" w:rsidR="00CD104A" w:rsidRPr="00CD104A" w:rsidRDefault="00CD104A" w:rsidP="00CD104A">
            <w:pPr>
              <w:jc w:val="left"/>
              <w:rPr>
                <w:rFonts w:eastAsia="Calibri" w:cs="Arial"/>
                <w:sz w:val="20"/>
                <w:szCs w:val="20"/>
              </w:rPr>
            </w:pPr>
            <w:r w:rsidRPr="00CD104A">
              <w:rPr>
                <w:rFonts w:eastAsia="Calibri" w:cs="Arial"/>
                <w:sz w:val="20"/>
                <w:szCs w:val="20"/>
              </w:rPr>
              <w:t>11.44</w:t>
            </w:r>
          </w:p>
        </w:tc>
      </w:tr>
      <w:tr w:rsidR="00CD104A" w:rsidRPr="00CD104A" w14:paraId="549CBDDE" w14:textId="77777777" w:rsidTr="00CD104A">
        <w:tc>
          <w:tcPr>
            <w:tcW w:w="0" w:type="auto"/>
            <w:vMerge/>
            <w:tcBorders>
              <w:top w:val="single" w:sz="4" w:space="0" w:color="auto"/>
              <w:left w:val="single" w:sz="4" w:space="0" w:color="auto"/>
              <w:bottom w:val="single" w:sz="4" w:space="0" w:color="auto"/>
              <w:right w:val="single" w:sz="4" w:space="0" w:color="auto"/>
            </w:tcBorders>
            <w:vAlign w:val="center"/>
            <w:hideMark/>
          </w:tcPr>
          <w:p w14:paraId="26DDECF9" w14:textId="77777777" w:rsidR="00CD104A" w:rsidRPr="00CD104A" w:rsidRDefault="00CD104A" w:rsidP="00CD104A">
            <w:pPr>
              <w:rPr>
                <w:rFonts w:cs="Arial"/>
                <w:b/>
                <w:bCs/>
                <w:color w:val="000000"/>
                <w:kern w:val="2"/>
                <w:sz w:val="20"/>
                <w:szCs w:val="20"/>
                <w14:ligatures w14:val="standardContextual"/>
              </w:rPr>
            </w:pPr>
          </w:p>
        </w:tc>
        <w:tc>
          <w:tcPr>
            <w:tcW w:w="1356" w:type="dxa"/>
            <w:tcBorders>
              <w:top w:val="single" w:sz="4" w:space="0" w:color="auto"/>
              <w:left w:val="single" w:sz="4" w:space="0" w:color="auto"/>
              <w:bottom w:val="single" w:sz="4" w:space="0" w:color="auto"/>
              <w:right w:val="single" w:sz="4" w:space="0" w:color="auto"/>
            </w:tcBorders>
            <w:vAlign w:val="center"/>
            <w:hideMark/>
          </w:tcPr>
          <w:p w14:paraId="2AD8E1A7" w14:textId="77777777" w:rsidR="00CD104A" w:rsidRPr="00CD104A" w:rsidRDefault="00CD104A" w:rsidP="00CD104A">
            <w:pPr>
              <w:jc w:val="left"/>
              <w:rPr>
                <w:rFonts w:eastAsia="Calibri" w:cs="Arial"/>
                <w:b/>
                <w:bCs/>
                <w:sz w:val="20"/>
                <w:szCs w:val="20"/>
              </w:rPr>
            </w:pPr>
            <w:r w:rsidRPr="00CD104A">
              <w:rPr>
                <w:rFonts w:eastAsia="Calibri" w:cs="Arial"/>
                <w:sz w:val="20"/>
                <w:szCs w:val="20"/>
              </w:rPr>
              <w:t>Gross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558B4C" w14:textId="77777777" w:rsidR="00CD104A" w:rsidRPr="00CD104A" w:rsidRDefault="00CD104A" w:rsidP="00CD104A">
            <w:pPr>
              <w:jc w:val="left"/>
              <w:rPr>
                <w:rFonts w:eastAsia="Calibri" w:cs="Arial"/>
                <w:b/>
                <w:bCs/>
                <w:sz w:val="20"/>
                <w:szCs w:val="20"/>
              </w:rPr>
            </w:pPr>
            <w:r w:rsidRPr="00CD104A">
              <w:rPr>
                <w:rFonts w:eastAsia="Calibri" w:cs="Arial"/>
                <w:b/>
                <w:bCs/>
                <w:sz w:val="20"/>
                <w:szCs w:val="20"/>
              </w:rPr>
              <w:t>1,433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CDD553" w14:textId="77777777" w:rsidR="00CD104A" w:rsidRPr="00CD104A" w:rsidRDefault="00CD104A" w:rsidP="00CD104A">
            <w:pPr>
              <w:jc w:val="left"/>
              <w:rPr>
                <w:rFonts w:eastAsia="Calibri" w:cs="Arial"/>
                <w:b/>
                <w:bCs/>
                <w:sz w:val="20"/>
                <w:szCs w:val="20"/>
              </w:rPr>
            </w:pPr>
            <w:r w:rsidRPr="00CD104A">
              <w:rPr>
                <w:rFonts w:eastAsia="Calibri" w:cs="Arial"/>
                <w:b/>
                <w:bCs/>
                <w:sz w:val="20"/>
                <w:szCs w:val="20"/>
              </w:rPr>
              <w:t>80.62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7DAE84" w14:textId="77777777" w:rsidR="00CD104A" w:rsidRPr="00CD104A" w:rsidRDefault="00CD104A" w:rsidP="00CD104A">
            <w:pPr>
              <w:jc w:val="left"/>
              <w:rPr>
                <w:rFonts w:eastAsia="Calibri" w:cs="Arial"/>
                <w:sz w:val="20"/>
                <w:szCs w:val="20"/>
              </w:rPr>
            </w:pPr>
            <w:r w:rsidRPr="00CD104A">
              <w:rPr>
                <w:rFonts w:eastAsia="Calibri" w:cs="Arial"/>
                <w:b/>
                <w:bCs/>
                <w:sz w:val="20"/>
                <w:szCs w:val="20"/>
              </w:rPr>
              <w:t>80.98</w:t>
            </w:r>
          </w:p>
        </w:tc>
      </w:tr>
    </w:tbl>
    <w:p w14:paraId="1C2CC52B" w14:textId="77777777" w:rsidR="00CD104A" w:rsidRPr="00CD104A" w:rsidRDefault="00CD104A" w:rsidP="00CD104A">
      <w:pPr>
        <w:jc w:val="left"/>
        <w:rPr>
          <w:rFonts w:eastAsia="Aptos" w:cs="Times New Roman"/>
        </w:rPr>
      </w:pPr>
    </w:p>
    <w:p w14:paraId="7C94BC16" w14:textId="6179A765" w:rsidR="00CD104A" w:rsidRPr="00CD104A" w:rsidRDefault="00D16BE7" w:rsidP="00D16BE7">
      <w:pPr>
        <w:ind w:left="720" w:hanging="720"/>
        <w:jc w:val="left"/>
        <w:rPr>
          <w:rFonts w:eastAsia="Aptos" w:cs="Times New Roman"/>
        </w:rPr>
      </w:pPr>
      <w:r>
        <w:rPr>
          <w:rFonts w:eastAsia="Aptos" w:cs="Times New Roman"/>
        </w:rPr>
        <w:t>3.5.6</w:t>
      </w:r>
      <w:r>
        <w:rPr>
          <w:rFonts w:eastAsia="Aptos" w:cs="Times New Roman"/>
        </w:rPr>
        <w:tab/>
      </w:r>
      <w:r w:rsidR="00CD104A" w:rsidRPr="00CD104A">
        <w:rPr>
          <w:rFonts w:eastAsia="Aptos" w:cs="Times New Roman"/>
        </w:rPr>
        <w:t>The updated local need for employment land requirements for industrial is reflected in the labour demand and labour supply scenarios (and by extension, the current SM target of 446 dpa) set out in Table 3.1 which range from 13 ha to 28 ha.  The past take-up rate scenario identified a substantially higher figure of 81 ha which would suggest that this is, at least in part, influenced by the regional demand for logistics.</w:t>
      </w:r>
    </w:p>
    <w:p w14:paraId="7100A468" w14:textId="43F535D0" w:rsidR="00CD104A" w:rsidRPr="00CD104A" w:rsidRDefault="00D16BE7" w:rsidP="00D16BE7">
      <w:pPr>
        <w:ind w:left="720" w:hanging="720"/>
        <w:jc w:val="left"/>
        <w:rPr>
          <w:rFonts w:eastAsia="Aptos" w:cs="Times New Roman"/>
        </w:rPr>
      </w:pPr>
      <w:r>
        <w:rPr>
          <w:rFonts w:eastAsia="Aptos" w:cs="Times New Roman"/>
        </w:rPr>
        <w:lastRenderedPageBreak/>
        <w:t>3.5.7</w:t>
      </w:r>
      <w:r>
        <w:rPr>
          <w:rFonts w:eastAsia="Aptos" w:cs="Times New Roman"/>
        </w:rPr>
        <w:tab/>
      </w:r>
      <w:r w:rsidR="00CD104A" w:rsidRPr="00CD104A">
        <w:rPr>
          <w:rFonts w:eastAsia="Aptos" w:cs="Times New Roman"/>
        </w:rPr>
        <w:t>This is because the wholesale and distribution sector has been one of the major drivers of Ashfield’s economy in recent years.   Since 2015/16 Ashfield District has seen a significant growth in the delivery of strategic distribution and logistics units</w:t>
      </w:r>
      <w:r w:rsidR="00CD104A" w:rsidRPr="00CD104A">
        <w:rPr>
          <w:rFonts w:eastAsia="Aptos" w:cs="Times New Roman"/>
          <w:vertAlign w:val="superscript"/>
        </w:rPr>
        <w:footnoteReference w:id="2"/>
      </w:r>
      <w:r w:rsidR="00CD104A" w:rsidRPr="00CD104A">
        <w:rPr>
          <w:rFonts w:eastAsia="Aptos" w:cs="Times New Roman"/>
        </w:rPr>
        <w:t>.  This has included units at Castlewood Grange Business Park, Harrier Park, Hucknall and the Amazon distribution centre on Summit Park comprising 162,791 sqm which opened in autumn 2020, creating around 2,000 jobs.</w:t>
      </w:r>
    </w:p>
    <w:p w14:paraId="40B012E8" w14:textId="6324FF75" w:rsidR="00CD104A" w:rsidRPr="00CD104A" w:rsidRDefault="00D16BE7" w:rsidP="00D16BE7">
      <w:pPr>
        <w:ind w:left="720" w:hanging="720"/>
        <w:jc w:val="left"/>
        <w:rPr>
          <w:rFonts w:eastAsia="Aptos" w:cs="Times New Roman"/>
        </w:rPr>
      </w:pPr>
      <w:r>
        <w:rPr>
          <w:rFonts w:eastAsia="Aptos" w:cs="Times New Roman"/>
        </w:rPr>
        <w:t>3.5.8</w:t>
      </w:r>
      <w:r>
        <w:rPr>
          <w:rFonts w:eastAsia="Aptos" w:cs="Times New Roman"/>
        </w:rPr>
        <w:tab/>
      </w:r>
      <w:r w:rsidR="00CD104A" w:rsidRPr="00CD104A">
        <w:rPr>
          <w:rFonts w:eastAsia="Aptos" w:cs="Times New Roman"/>
        </w:rPr>
        <w:t>The past take-up approach trends forward past completions and assumes a similar level of development will be needed in the future.  Therefore, as this scenario has been driven primarily by the development of land for large scale logistics units, then pursuing this scenario in future will necessarily incorporate an allowance for ‘bigger than local’ needs.  In contrast, the labour supply scenarios (including the SM 446 dpa scenario) do not make any allowance for strategic logistics needs and relate specifically to meeting the needs of the growing indigenous population of Ashfield District.</w:t>
      </w:r>
    </w:p>
    <w:p w14:paraId="3DD22220" w14:textId="7A008CB3" w:rsidR="00CD104A" w:rsidRPr="00CD104A" w:rsidRDefault="00D16BE7" w:rsidP="00D16BE7">
      <w:pPr>
        <w:ind w:left="720" w:hanging="720"/>
        <w:jc w:val="left"/>
        <w:rPr>
          <w:rFonts w:eastAsia="Aptos" w:cs="Times New Roman"/>
        </w:rPr>
      </w:pPr>
      <w:r>
        <w:rPr>
          <w:rFonts w:eastAsia="Aptos" w:cs="Times New Roman"/>
        </w:rPr>
        <w:t>3.5.9</w:t>
      </w:r>
      <w:r>
        <w:rPr>
          <w:rFonts w:eastAsia="Aptos" w:cs="Times New Roman"/>
        </w:rPr>
        <w:tab/>
      </w:r>
      <w:r w:rsidR="00CD104A" w:rsidRPr="00CD104A">
        <w:rPr>
          <w:rFonts w:eastAsia="Aptos" w:cs="Times New Roman"/>
        </w:rPr>
        <w:t>In these circumstances, the Council has opted to identify an overall employment land requirement that exceeds the labour demand and labour supply forecasts and factors in an uplift to go some way towards addressing the Functional Economic Market Area [FEMA]-wide demand for strategic logistics.  Given the commentary above, Officers considered that the past take up rate figure of 81 ha represented a suitable balance between meeting Ashfield District’s own needs in full, as well as providing an appropriate level of strategic industrial / warehousing needs.</w:t>
      </w:r>
    </w:p>
    <w:p w14:paraId="41740948" w14:textId="5C7E5B4A" w:rsidR="00CD104A" w:rsidRPr="00CD104A" w:rsidRDefault="00D16BE7" w:rsidP="00D16BE7">
      <w:pPr>
        <w:ind w:left="720" w:hanging="720"/>
        <w:jc w:val="left"/>
        <w:rPr>
          <w:rFonts w:eastAsia="Aptos" w:cs="Times New Roman"/>
        </w:rPr>
      </w:pPr>
      <w:r>
        <w:rPr>
          <w:rFonts w:eastAsia="Aptos" w:cs="Times New Roman"/>
        </w:rPr>
        <w:t>3.5.10</w:t>
      </w:r>
      <w:r>
        <w:rPr>
          <w:rFonts w:eastAsia="Aptos" w:cs="Times New Roman"/>
        </w:rPr>
        <w:tab/>
      </w:r>
      <w:r w:rsidR="00CD104A" w:rsidRPr="00CD104A">
        <w:rPr>
          <w:rFonts w:eastAsia="Aptos" w:cs="Times New Roman"/>
        </w:rPr>
        <w:t xml:space="preserve">In terms of how this local/strategic level employment land split might be derived, Table 33 of </w:t>
      </w:r>
      <w:r w:rsidR="00CD104A" w:rsidRPr="00CD104A">
        <w:rPr>
          <w:rFonts w:eastAsia="Aptos" w:cs="Times New Roman"/>
          <w:i/>
          <w:iCs/>
        </w:rPr>
        <w:t>Background Paper 3</w:t>
      </w:r>
      <w:r w:rsidR="00CD104A" w:rsidRPr="00CD104A">
        <w:rPr>
          <w:rFonts w:eastAsia="Aptos" w:cs="Times New Roman"/>
        </w:rPr>
        <w:t xml:space="preserve"> indicated that a number of strategic-scale distribution sites have come forward for development in Ashfield District in recent years, totalling 39.49 ha out of the 60.07 ha that had come forward for development since 2011/12.  This comprises around two-thirds of all employment land completions over that time period.</w:t>
      </w:r>
    </w:p>
    <w:p w14:paraId="1B94D8F7" w14:textId="695C5ADA" w:rsidR="00CD104A" w:rsidRPr="00CD104A" w:rsidRDefault="00D16BE7" w:rsidP="00D16BE7">
      <w:pPr>
        <w:ind w:left="720" w:hanging="720"/>
        <w:jc w:val="left"/>
        <w:rPr>
          <w:rFonts w:eastAsia="Aptos" w:cs="Times New Roman"/>
        </w:rPr>
      </w:pPr>
      <w:r>
        <w:rPr>
          <w:rFonts w:eastAsia="Aptos" w:cs="Times New Roman"/>
        </w:rPr>
        <w:t>3.5.11</w:t>
      </w:r>
      <w:r>
        <w:rPr>
          <w:rFonts w:eastAsia="Aptos" w:cs="Times New Roman"/>
        </w:rPr>
        <w:tab/>
      </w:r>
      <w:r w:rsidR="00CD104A" w:rsidRPr="00CD104A">
        <w:rPr>
          <w:rFonts w:eastAsia="Aptos" w:cs="Times New Roman"/>
        </w:rPr>
        <w:t>At a hypothetical level therefore, it might be expected that for Scenario 6) Past Take Up Rates, applying this 1/3:2/3 ratio to the 81 ha requirement would suggest that around 27.5 ha of land would be required for ‘indigenous’ needs arising from within Ashfield District, and at least 53.5 ha of land would be required to meet wider strategic needs (extending across the much wider FEMA that includes the neighbouring Outer HMA districts of Mansfield and Newark &amp; Sherwood).  The 27.5 ha local needs figure is closely aligned with the Regeneration Scenario’s total figure of 28 ha.</w:t>
      </w:r>
    </w:p>
    <w:p w14:paraId="38542BFC" w14:textId="78D7C655" w:rsidR="00CD104A" w:rsidRPr="00CD104A" w:rsidRDefault="00D16BE7" w:rsidP="00D16BE7">
      <w:pPr>
        <w:ind w:left="720" w:hanging="720"/>
        <w:jc w:val="left"/>
        <w:rPr>
          <w:rFonts w:eastAsia="Aptos" w:cs="Times New Roman"/>
        </w:rPr>
      </w:pPr>
      <w:r>
        <w:rPr>
          <w:rFonts w:eastAsia="Aptos" w:cs="Times New Roman"/>
        </w:rPr>
        <w:t>3.5.12</w:t>
      </w:r>
      <w:r>
        <w:rPr>
          <w:rFonts w:eastAsia="Aptos" w:cs="Times New Roman"/>
        </w:rPr>
        <w:tab/>
      </w:r>
      <w:r w:rsidR="00CD104A" w:rsidRPr="00CD104A">
        <w:rPr>
          <w:rFonts w:eastAsia="Aptos" w:cs="Times New Roman"/>
        </w:rPr>
        <w:t>The Council accepts that the 27.5 ha ‘local need’ apportionment of the 81 ha overall requirement is still in excess of the 17 ha employment land requirement based on the current SM2 figure of 446 dpa (see Table 3.1 above).  However, this does not mean that the supply of land for new homes and employment in the Plan is imbalanced.</w:t>
      </w:r>
    </w:p>
    <w:p w14:paraId="10283B7D" w14:textId="4A85706A" w:rsidR="00CD104A" w:rsidRPr="00CD104A" w:rsidRDefault="00D16BE7" w:rsidP="00D16BE7">
      <w:pPr>
        <w:ind w:left="720" w:hanging="720"/>
        <w:jc w:val="left"/>
        <w:rPr>
          <w:rFonts w:eastAsia="Aptos" w:cs="Times New Roman"/>
        </w:rPr>
      </w:pPr>
      <w:r>
        <w:rPr>
          <w:rFonts w:eastAsia="Aptos" w:cs="Times New Roman"/>
        </w:rPr>
        <w:t>3.5.13</w:t>
      </w:r>
      <w:r>
        <w:rPr>
          <w:rFonts w:eastAsia="Aptos" w:cs="Times New Roman"/>
        </w:rPr>
        <w:tab/>
      </w:r>
      <w:r w:rsidR="00CD104A" w:rsidRPr="00CD104A">
        <w:rPr>
          <w:rFonts w:eastAsia="Aptos" w:cs="Times New Roman"/>
        </w:rPr>
        <w:t xml:space="preserve">Planning for this higher figure (around 10.5 ha above the SM 446 dpa scenario) is necessary to ensure a choice of employment land supply by size, type, location and quality of sites and premises for businesses, and maximises future job opportunities for the local workforce (including those who may currently commute elsewhere).  </w:t>
      </w:r>
      <w:r w:rsidR="00CD104A" w:rsidRPr="00CD104A">
        <w:rPr>
          <w:rFonts w:eastAsia="Aptos" w:cs="Times New Roman"/>
        </w:rPr>
        <w:lastRenderedPageBreak/>
        <w:t>This aligns with the NPPF (December 2023) requirement to ensure that planning policies are flexible enough to accommodate needs not anticipated in the plan, and to enable a rapid response to changes in economic circumstances [paragraph 86d].</w:t>
      </w:r>
    </w:p>
    <w:p w14:paraId="727EF530" w14:textId="449A5488" w:rsidR="00CD104A" w:rsidRPr="00CD104A" w:rsidRDefault="00D16BE7" w:rsidP="00D16BE7">
      <w:pPr>
        <w:ind w:left="720" w:hanging="720"/>
        <w:jc w:val="left"/>
        <w:rPr>
          <w:rFonts w:eastAsia="Aptos" w:cs="Times New Roman"/>
          <w:i/>
          <w:iCs/>
        </w:rPr>
      </w:pPr>
      <w:r>
        <w:rPr>
          <w:rFonts w:eastAsia="Aptos" w:cs="Times New Roman"/>
        </w:rPr>
        <w:t>3.5.14</w:t>
      </w:r>
      <w:r>
        <w:rPr>
          <w:rFonts w:eastAsia="Aptos" w:cs="Times New Roman"/>
        </w:rPr>
        <w:tab/>
      </w:r>
      <w:r w:rsidR="00CD104A" w:rsidRPr="00CD104A">
        <w:rPr>
          <w:rFonts w:eastAsia="Aptos" w:cs="Times New Roman"/>
        </w:rPr>
        <w:t>This approach will make the best use of the existing labour force and help more inactive or unemployed Ashfield residents into employment.  It aligns fully with the Council’s Strategic Policy S8, which states that the “</w:t>
      </w:r>
      <w:r w:rsidR="00CD104A" w:rsidRPr="00CD104A">
        <w:rPr>
          <w:rFonts w:eastAsia="Aptos" w:cs="Times New Roman"/>
          <w:i/>
          <w:iCs/>
        </w:rPr>
        <w:t xml:space="preserve">Council is committed to developing a sustainable, diverse and resilient economy, reducing low wages and improving skill levels in order to narrow the difference between District and national figures”.  </w:t>
      </w:r>
    </w:p>
    <w:p w14:paraId="0B9116EB" w14:textId="55F41AE3" w:rsidR="00CD104A" w:rsidRPr="00CD104A" w:rsidRDefault="00D16BE7" w:rsidP="00D16BE7">
      <w:pPr>
        <w:ind w:left="720" w:hanging="720"/>
        <w:jc w:val="left"/>
        <w:rPr>
          <w:rFonts w:eastAsia="Aptos" w:cs="Times New Roman"/>
        </w:rPr>
      </w:pPr>
      <w:r>
        <w:rPr>
          <w:rFonts w:eastAsia="Aptos" w:cs="Times New Roman"/>
        </w:rPr>
        <w:t>3.5.15</w:t>
      </w:r>
      <w:r>
        <w:rPr>
          <w:rFonts w:eastAsia="Aptos" w:cs="Times New Roman"/>
        </w:rPr>
        <w:tab/>
      </w:r>
      <w:r w:rsidR="00CD104A" w:rsidRPr="00CD104A">
        <w:rPr>
          <w:rFonts w:eastAsia="Aptos" w:cs="Times New Roman"/>
        </w:rPr>
        <w:t>The supporting text to this Policy is clear that Ashfield’s local economy is faced with a number of issues related to low paid and lower quality employment opportunities, a shortage of skills and qualifications, and a need to create economic diversity to minimise the District’s reliance on the manufacturing sector:</w:t>
      </w:r>
    </w:p>
    <w:p w14:paraId="5828FF2D" w14:textId="77777777" w:rsidR="00CD104A" w:rsidRPr="00CD104A" w:rsidRDefault="00CD104A" w:rsidP="00D16BE7">
      <w:pPr>
        <w:ind w:left="1440"/>
        <w:jc w:val="left"/>
        <w:rPr>
          <w:rFonts w:eastAsia="Aptos" w:cs="Times New Roman"/>
        </w:rPr>
      </w:pPr>
      <w:r w:rsidRPr="00CD104A">
        <w:rPr>
          <w:rFonts w:eastAsia="Aptos" w:cs="Times New Roman"/>
          <w:i/>
          <w:iCs/>
        </w:rPr>
        <w:t xml:space="preserve">“High levels of deprivation remain within Ashfield; with areas ranked in the top 10% and top 20% of most deprived areas in the country. The 2019 ONS Indices of Multiple Deprivation (IMD) ranks Ashfield as the 63rd most deprived local authority in England.  A key message from the Ashfield and Mansfield - A Plan for Growth 2016 (Joint Economic Masterplan Update) is that to maximise the ability of the labour supply to drive growth, it is vital that opportunities are open to all to be economically active, through access to education, training and employment.  The Council is committed to supporting opportunities which assist with the long-term re-skilling of the Ashfield workforce which is necessary to ensure the presence of a </w:t>
      </w:r>
      <w:proofErr w:type="gramStart"/>
      <w:r w:rsidRPr="00CD104A">
        <w:rPr>
          <w:rFonts w:eastAsia="Aptos" w:cs="Times New Roman"/>
          <w:i/>
          <w:iCs/>
        </w:rPr>
        <w:t>highly-skilled</w:t>
      </w:r>
      <w:proofErr w:type="gramEnd"/>
      <w:r w:rsidRPr="00CD104A">
        <w:rPr>
          <w:rFonts w:eastAsia="Aptos" w:cs="Times New Roman"/>
          <w:i/>
          <w:iCs/>
        </w:rPr>
        <w:t xml:space="preserve"> labour pool to take advantage of new jobs across the </w:t>
      </w:r>
      <w:proofErr w:type="gramStart"/>
      <w:r w:rsidRPr="00CD104A">
        <w:rPr>
          <w:rFonts w:eastAsia="Aptos" w:cs="Times New Roman"/>
          <w:i/>
          <w:iCs/>
        </w:rPr>
        <w:t>District</w:t>
      </w:r>
      <w:proofErr w:type="gramEnd"/>
      <w:r w:rsidRPr="00CD104A">
        <w:rPr>
          <w:rFonts w:eastAsia="Aptos" w:cs="Times New Roman"/>
          <w:i/>
          <w:iCs/>
        </w:rPr>
        <w:t>”</w:t>
      </w:r>
      <w:r w:rsidRPr="00CD104A">
        <w:rPr>
          <w:rFonts w:eastAsia="Aptos" w:cs="Times New Roman"/>
        </w:rPr>
        <w:t xml:space="preserve">. [paragraph 3.92] </w:t>
      </w:r>
    </w:p>
    <w:p w14:paraId="37D237F7" w14:textId="7CA42D3A" w:rsidR="00CD104A" w:rsidRPr="00CD104A" w:rsidRDefault="00D16BE7" w:rsidP="00D16BE7">
      <w:pPr>
        <w:ind w:left="720" w:hanging="720"/>
        <w:jc w:val="left"/>
        <w:rPr>
          <w:rFonts w:eastAsia="Aptos" w:cs="Times New Roman"/>
        </w:rPr>
      </w:pPr>
      <w:r>
        <w:rPr>
          <w:rFonts w:eastAsia="Aptos" w:cs="Times New Roman"/>
        </w:rPr>
        <w:t>3.5.16</w:t>
      </w:r>
      <w:r>
        <w:rPr>
          <w:rFonts w:eastAsia="Aptos" w:cs="Times New Roman"/>
        </w:rPr>
        <w:tab/>
      </w:r>
      <w:r w:rsidR="00CD104A" w:rsidRPr="00CD104A">
        <w:rPr>
          <w:rFonts w:eastAsia="Aptos" w:cs="Times New Roman"/>
        </w:rPr>
        <w:t>It is in order to address these significant economic challenges that the Local Plan has made a policy choice regarding the balance between identifying land for new homes and employment.</w:t>
      </w:r>
    </w:p>
    <w:p w14:paraId="16B9D7AC" w14:textId="1A1EAC59" w:rsidR="00CD104A" w:rsidRPr="00CD104A" w:rsidRDefault="00D16BE7" w:rsidP="00D16BE7">
      <w:pPr>
        <w:ind w:left="720" w:hanging="720"/>
        <w:jc w:val="left"/>
        <w:rPr>
          <w:rFonts w:eastAsia="Aptos" w:cs="Times New Roman"/>
        </w:rPr>
      </w:pPr>
      <w:r>
        <w:rPr>
          <w:rFonts w:eastAsia="Aptos" w:cs="Times New Roman"/>
        </w:rPr>
        <w:t>3.5.17</w:t>
      </w:r>
      <w:r>
        <w:rPr>
          <w:rFonts w:eastAsia="Aptos" w:cs="Times New Roman"/>
        </w:rPr>
        <w:tab/>
      </w:r>
      <w:r w:rsidR="00CD104A" w:rsidRPr="00CD104A">
        <w:rPr>
          <w:rFonts w:eastAsia="Aptos" w:cs="Times New Roman"/>
        </w:rPr>
        <w:t>In summary, the 81 ha employment land target includes around 53.5 ha of strategic logistics needs across the wider FEMA.  The remainder will specifically meet the local business and economic needs.  This aligns with the 446 dpa SM labour supply scenario, with any remaining over-provision justified on the basis that it will help to ensure a choice of employment land supply by size, type, location and quality of sites and premises for businesses.  It maximises future job opportunities for the local workforce by aligning with wider Council aspirations of increasing levels of economic activity, improving skills levels and helping to facilitate more local residents to return to the workplace, with higher workplace wages and improving skills levels the intended consequence.</w:t>
      </w:r>
    </w:p>
    <w:p w14:paraId="75F84B35" w14:textId="77777777" w:rsidR="00CD104A" w:rsidRDefault="00CD104A" w:rsidP="003A214C">
      <w:pPr>
        <w:jc w:val="left"/>
        <w:rPr>
          <w:b/>
          <w:bCs/>
          <w:i/>
          <w:iCs/>
        </w:rPr>
      </w:pPr>
    </w:p>
    <w:p w14:paraId="65251D8E" w14:textId="238665B3" w:rsidR="003A1825" w:rsidRPr="003A214C" w:rsidRDefault="003A1825" w:rsidP="001C4B8F">
      <w:pPr>
        <w:pStyle w:val="Heading3"/>
      </w:pPr>
      <w:r w:rsidRPr="003A214C">
        <w:t>3.6 Is the settlement hierarchy set out in Policy S1 Justified?</w:t>
      </w:r>
    </w:p>
    <w:p w14:paraId="48BFDF21" w14:textId="77777777" w:rsidR="003A214C" w:rsidRPr="00156B97" w:rsidRDefault="003A214C" w:rsidP="003A214C">
      <w:pPr>
        <w:jc w:val="left"/>
        <w:rPr>
          <w:u w:val="single"/>
        </w:rPr>
      </w:pPr>
      <w:r w:rsidRPr="00156B97">
        <w:rPr>
          <w:u w:val="single"/>
        </w:rPr>
        <w:t>Council’s response</w:t>
      </w:r>
    </w:p>
    <w:p w14:paraId="43291F4C" w14:textId="5E6A782F" w:rsidR="006F1C7D" w:rsidRDefault="00EA78BB" w:rsidP="00627DF7">
      <w:pPr>
        <w:ind w:left="720" w:hanging="720"/>
        <w:jc w:val="left"/>
      </w:pPr>
      <w:r w:rsidRPr="00146AFF">
        <w:t>3.6.1</w:t>
      </w:r>
      <w:r w:rsidRPr="00146AFF">
        <w:tab/>
      </w:r>
      <w:r w:rsidR="006F1C7D" w:rsidRPr="00146AFF">
        <w:t>Yes</w:t>
      </w:r>
      <w:r w:rsidR="00077C2D">
        <w:t xml:space="preserve">. </w:t>
      </w:r>
      <w:r w:rsidR="00146AFF" w:rsidRPr="00146AFF">
        <w:t xml:space="preserve">The settlement hierarchy is justified, based on the 3 towns of Sutton-In-Ashfield, Kirkby-In-Ashfield and Hucknall (Main Urban Area), followed by the largest villages </w:t>
      </w:r>
      <w:r w:rsidR="00146AFF" w:rsidRPr="00146AFF">
        <w:lastRenderedPageBreak/>
        <w:t>(Named Settlements).  This is set out in the supporting text to Policy S1 in paragraphs 3.8 to 3.21.</w:t>
      </w:r>
      <w:r w:rsidR="006F1C7D" w:rsidRPr="00146AFF">
        <w:t xml:space="preserve"> </w:t>
      </w:r>
    </w:p>
    <w:p w14:paraId="6DBD7505" w14:textId="77777777" w:rsidR="002771AD" w:rsidRDefault="002771AD" w:rsidP="00627DF7">
      <w:pPr>
        <w:ind w:left="720" w:hanging="720"/>
        <w:jc w:val="left"/>
      </w:pPr>
    </w:p>
    <w:p w14:paraId="7BD33F4F" w14:textId="1BA283AC" w:rsidR="003A1825" w:rsidRPr="003A214C" w:rsidRDefault="006F1C7D" w:rsidP="001C4B8F">
      <w:pPr>
        <w:pStyle w:val="Heading3"/>
      </w:pPr>
      <w:r w:rsidRPr="002771AD">
        <w:t>3</w:t>
      </w:r>
      <w:r w:rsidR="003A1825" w:rsidRPr="003A214C">
        <w:t>.7 What evidence is there to justify the identification of each settlement within the</w:t>
      </w:r>
      <w:r w:rsidR="003A214C" w:rsidRPr="003A214C">
        <w:t xml:space="preserve"> </w:t>
      </w:r>
      <w:r w:rsidR="003A1825" w:rsidRPr="003A214C">
        <w:t>respective tiers of the hierarchy?</w:t>
      </w:r>
    </w:p>
    <w:p w14:paraId="5B4ED55C" w14:textId="77777777" w:rsidR="003A214C" w:rsidRPr="00156B97" w:rsidRDefault="003A214C" w:rsidP="003A214C">
      <w:pPr>
        <w:jc w:val="left"/>
        <w:rPr>
          <w:u w:val="single"/>
        </w:rPr>
      </w:pPr>
      <w:r w:rsidRPr="00156B97">
        <w:rPr>
          <w:u w:val="single"/>
        </w:rPr>
        <w:t>Council’s response</w:t>
      </w:r>
    </w:p>
    <w:p w14:paraId="74B60178" w14:textId="2E3D8D5E" w:rsidR="003A1825" w:rsidRPr="00B37BBD" w:rsidRDefault="00B37BBD" w:rsidP="00B37BBD">
      <w:pPr>
        <w:autoSpaceDE w:val="0"/>
        <w:autoSpaceDN w:val="0"/>
        <w:adjustRightInd w:val="0"/>
        <w:spacing w:after="0" w:line="240" w:lineRule="auto"/>
        <w:ind w:left="720" w:hanging="720"/>
        <w:jc w:val="left"/>
        <w:rPr>
          <w:rFonts w:eastAsia="Calibri" w:cs="Arial"/>
        </w:rPr>
      </w:pPr>
      <w:r>
        <w:rPr>
          <w:rFonts w:cs="Arial"/>
          <w:szCs w:val="24"/>
        </w:rPr>
        <w:t>3.7.1</w:t>
      </w:r>
      <w:r>
        <w:rPr>
          <w:rFonts w:cs="Arial"/>
          <w:szCs w:val="24"/>
        </w:rPr>
        <w:tab/>
        <w:t>Th</w:t>
      </w:r>
      <w:r w:rsidR="00146AFF" w:rsidRPr="00B37BBD">
        <w:rPr>
          <w:rFonts w:cs="Arial"/>
          <w:szCs w:val="24"/>
        </w:rPr>
        <w:t>e Greater Nottingham Accessible Settlements Study</w:t>
      </w:r>
      <w:r w:rsidR="00827B77">
        <w:rPr>
          <w:rFonts w:cs="Arial"/>
          <w:szCs w:val="24"/>
        </w:rPr>
        <w:t xml:space="preserve"> </w:t>
      </w:r>
      <w:r w:rsidR="00827B77" w:rsidRPr="00B85DEA">
        <w:rPr>
          <w:rFonts w:cs="Arial"/>
          <w:szCs w:val="24"/>
        </w:rPr>
        <w:t>[</w:t>
      </w:r>
      <w:r w:rsidR="00B85DEA" w:rsidRPr="00B85DEA">
        <w:rPr>
          <w:rFonts w:cs="Arial"/>
          <w:szCs w:val="24"/>
        </w:rPr>
        <w:t>ADC.05</w:t>
      </w:r>
      <w:r w:rsidR="00827B77" w:rsidRPr="00B85DEA">
        <w:rPr>
          <w:rFonts w:cs="Arial"/>
          <w:szCs w:val="24"/>
        </w:rPr>
        <w:t>]</w:t>
      </w:r>
      <w:r w:rsidR="00146AFF" w:rsidRPr="00B37BBD">
        <w:rPr>
          <w:rFonts w:cs="Arial"/>
          <w:szCs w:val="24"/>
        </w:rPr>
        <w:t xml:space="preserve"> was produced for Ashfield and other Nottinghamshire core authority areas in 2010 and ranks settlements in terms of the level of access to a range of facilities and services. The findings of this study support the hierarchy of settlements as set out in Policy S1.</w:t>
      </w:r>
      <w:r>
        <w:rPr>
          <w:rFonts w:cs="Arial"/>
          <w:szCs w:val="24"/>
        </w:rPr>
        <w:t xml:space="preserve">  This is set out in paragraph 3.11 of the Plan.</w:t>
      </w:r>
      <w:r w:rsidR="00827B77">
        <w:rPr>
          <w:rFonts w:cs="Arial"/>
          <w:szCs w:val="24"/>
        </w:rPr>
        <w:t xml:space="preserve">  A summary of findings from the Accessibility Study is also cited in paragraphs 7.23 to 7.27 of Background Paper 1: Spatial Strategy and Site Selection [BP.01]. </w:t>
      </w:r>
    </w:p>
    <w:p w14:paraId="4DCE4D3D" w14:textId="77777777" w:rsidR="003A1825" w:rsidRDefault="003A1825" w:rsidP="003A214C">
      <w:pPr>
        <w:jc w:val="left"/>
      </w:pPr>
    </w:p>
    <w:p w14:paraId="00676988" w14:textId="4848915D" w:rsidR="003A1825" w:rsidRPr="003A214C" w:rsidRDefault="003A1825" w:rsidP="001C4B8F">
      <w:pPr>
        <w:pStyle w:val="Heading3"/>
      </w:pPr>
      <w:r w:rsidRPr="003A214C">
        <w:t>3.8 What reliance does the Plan’s overall strategy have on the proposed Maid Marian line? Is there a reasonable prospect of it coming forward during the plan period? How will the Plan respond to it?</w:t>
      </w:r>
    </w:p>
    <w:p w14:paraId="7A5C1DF5" w14:textId="77777777" w:rsidR="003A214C" w:rsidRPr="00156B97" w:rsidRDefault="003A214C" w:rsidP="003A214C">
      <w:pPr>
        <w:jc w:val="left"/>
        <w:rPr>
          <w:u w:val="single"/>
        </w:rPr>
      </w:pPr>
      <w:r w:rsidRPr="00156B97">
        <w:rPr>
          <w:u w:val="single"/>
        </w:rPr>
        <w:t>Council’s response</w:t>
      </w:r>
    </w:p>
    <w:p w14:paraId="3C2F743C" w14:textId="77777777" w:rsidR="008C56EA" w:rsidRDefault="00EA78BB" w:rsidP="00A73FBF">
      <w:pPr>
        <w:ind w:left="720" w:hanging="720"/>
        <w:jc w:val="left"/>
      </w:pPr>
      <w:r w:rsidRPr="00A73FBF">
        <w:t>3.8.1</w:t>
      </w:r>
      <w:r w:rsidR="00A73FBF">
        <w:tab/>
        <w:t xml:space="preserve">The Local Plan strategy does not rely on the proposed Main Marion Line coming </w:t>
      </w:r>
      <w:proofErr w:type="gramStart"/>
      <w:r w:rsidR="00A73FBF">
        <w:t>forward,</w:t>
      </w:r>
      <w:proofErr w:type="gramEnd"/>
      <w:r w:rsidR="00A73FBF">
        <w:t xml:space="preserve"> however it is an aspiration to improve transport connectivity and facilitate economic development</w:t>
      </w:r>
      <w:r w:rsidR="008C56EA">
        <w:t xml:space="preserve"> within the district</w:t>
      </w:r>
      <w:r w:rsidR="00A73FBF">
        <w:t xml:space="preserve">. </w:t>
      </w:r>
      <w:r w:rsidR="008C56EA">
        <w:t>Further details can be found in paragraph 3.93 of the Plan.</w:t>
      </w:r>
    </w:p>
    <w:p w14:paraId="5229D348" w14:textId="77777777" w:rsidR="008C56EA" w:rsidRDefault="008C56EA" w:rsidP="008C56EA">
      <w:pPr>
        <w:pStyle w:val="ListParagraph"/>
        <w:numPr>
          <w:ilvl w:val="2"/>
          <w:numId w:val="16"/>
        </w:numPr>
        <w:jc w:val="left"/>
      </w:pPr>
      <w:r>
        <w:t xml:space="preserve">The Main Marion Line is a stand-alone project which could come forward independent of the Plan and the HS2 Project.   </w:t>
      </w:r>
      <w:r w:rsidR="00A73FBF">
        <w:t xml:space="preserve">Delivery of the line is </w:t>
      </w:r>
      <w:r>
        <w:t>dependent</w:t>
      </w:r>
      <w:r w:rsidR="00A73FBF">
        <w:t xml:space="preserve"> on </w:t>
      </w:r>
      <w:r>
        <w:t xml:space="preserve">availability of </w:t>
      </w:r>
      <w:r w:rsidR="00A73FBF">
        <w:t>external funding from regional partners</w:t>
      </w:r>
      <w:r>
        <w:t xml:space="preserve"> and future funding bids</w:t>
      </w:r>
      <w:r w:rsidR="00A73FBF">
        <w:t xml:space="preserve">.  </w:t>
      </w:r>
    </w:p>
    <w:p w14:paraId="0CECB154" w14:textId="77777777" w:rsidR="008C56EA" w:rsidRDefault="008C56EA" w:rsidP="008C56EA">
      <w:pPr>
        <w:pStyle w:val="ListParagraph"/>
        <w:jc w:val="left"/>
      </w:pPr>
    </w:p>
    <w:p w14:paraId="1DA4980A" w14:textId="66151740" w:rsidR="008C56EA" w:rsidRPr="008C56EA" w:rsidRDefault="008C56EA" w:rsidP="008C56EA">
      <w:pPr>
        <w:pStyle w:val="ListParagraph"/>
        <w:numPr>
          <w:ilvl w:val="2"/>
          <w:numId w:val="16"/>
        </w:numPr>
        <w:jc w:val="left"/>
      </w:pPr>
      <w:r w:rsidRPr="008C56EA">
        <w:rPr>
          <w:rFonts w:cs="Arial"/>
          <w:szCs w:val="24"/>
        </w:rPr>
        <w:t>The Maid Marian Line is being developed as a scheme which will provide greater local connectivity with cross county connections, an alternative route into Nottingham and to Derby and beyond.</w:t>
      </w:r>
      <w:r>
        <w:t xml:space="preserve"> </w:t>
      </w:r>
      <w:r w:rsidRPr="008C56EA">
        <w:rPr>
          <w:rFonts w:cs="Arial"/>
          <w:szCs w:val="24"/>
        </w:rPr>
        <w:t>There is an opportunity through the Maid Marian Line to improve capacity in the wider strategic rail network.   This will support Ashfield’s ambition to be a destination for employment, education, and tourism.</w:t>
      </w:r>
    </w:p>
    <w:p w14:paraId="019B3F17" w14:textId="4E696710" w:rsidR="003A1825" w:rsidRDefault="003A1825" w:rsidP="008C56EA">
      <w:pPr>
        <w:ind w:left="720" w:hanging="720"/>
        <w:jc w:val="left"/>
      </w:pPr>
    </w:p>
    <w:p w14:paraId="1A483444" w14:textId="65016562" w:rsidR="003A1825" w:rsidRDefault="003A1825" w:rsidP="00B401C2">
      <w:pPr>
        <w:pStyle w:val="Heading3"/>
      </w:pPr>
      <w:r>
        <w:t>Green Belt</w:t>
      </w:r>
    </w:p>
    <w:p w14:paraId="4D8C3C51" w14:textId="77777777" w:rsidR="00246C64" w:rsidRPr="006B4D8F" w:rsidRDefault="00246C64" w:rsidP="003A214C">
      <w:pPr>
        <w:jc w:val="left"/>
        <w:rPr>
          <w:b/>
          <w:bCs/>
          <w:i/>
          <w:iCs/>
          <w:sz w:val="16"/>
          <w:szCs w:val="16"/>
        </w:rPr>
      </w:pPr>
    </w:p>
    <w:p w14:paraId="1642E1E4" w14:textId="27B107FD" w:rsidR="003A1825" w:rsidRPr="003A214C" w:rsidRDefault="003A1825" w:rsidP="001C4B8F">
      <w:pPr>
        <w:pStyle w:val="Heading3"/>
      </w:pPr>
      <w:r w:rsidRPr="003A214C">
        <w:t>3.9 What proportion of new housing and employment proposed in the Plan would be on</w:t>
      </w:r>
      <w:r w:rsidR="003A214C" w:rsidRPr="003A214C">
        <w:t xml:space="preserve"> </w:t>
      </w:r>
      <w:r w:rsidRPr="003A214C">
        <w:t>land currently designated as Green Belt?</w:t>
      </w:r>
    </w:p>
    <w:p w14:paraId="75E3965D" w14:textId="76011705" w:rsidR="004032CB" w:rsidRDefault="003A214C" w:rsidP="004032CB">
      <w:pPr>
        <w:jc w:val="left"/>
        <w:rPr>
          <w:u w:val="single"/>
        </w:rPr>
      </w:pPr>
      <w:r w:rsidRPr="00156B97">
        <w:rPr>
          <w:u w:val="single"/>
        </w:rPr>
        <w:t>Council’s response</w:t>
      </w:r>
    </w:p>
    <w:p w14:paraId="018DBE69" w14:textId="2A8E981E" w:rsidR="009B1B52" w:rsidRDefault="00251ED0" w:rsidP="00251ED0">
      <w:pPr>
        <w:ind w:left="720" w:hanging="720"/>
        <w:jc w:val="left"/>
      </w:pPr>
      <w:r>
        <w:t>3.9.1</w:t>
      </w:r>
      <w:r>
        <w:tab/>
      </w:r>
      <w:r w:rsidR="00FD7820">
        <w:t>Ashfield covers an area of 10,961 h</w:t>
      </w:r>
      <w:r w:rsidR="00246C64">
        <w:t xml:space="preserve">ectares (ha), </w:t>
      </w:r>
      <w:r w:rsidR="00FD7820">
        <w:t>of this</w:t>
      </w:r>
      <w:r w:rsidR="009B1B52">
        <w:t>,</w:t>
      </w:r>
      <w:r w:rsidR="00FD7820">
        <w:t xml:space="preserve"> 4,525 ha</w:t>
      </w:r>
      <w:r w:rsidR="009B1B52">
        <w:t xml:space="preserve"> is Green Belt, approximately 41% of the District.  </w:t>
      </w:r>
    </w:p>
    <w:p w14:paraId="4AF38EF8" w14:textId="0701AC47" w:rsidR="009B1B52" w:rsidRDefault="00251ED0" w:rsidP="004032CB">
      <w:pPr>
        <w:jc w:val="left"/>
      </w:pPr>
      <w:r>
        <w:t>3.9.2</w:t>
      </w:r>
      <w:r>
        <w:tab/>
      </w:r>
      <w:r w:rsidR="009B1B52">
        <w:t xml:space="preserve">The total Plan allocations on land currently in Green Belt is </w:t>
      </w:r>
      <w:r>
        <w:t>119.66</w:t>
      </w:r>
      <w:r w:rsidR="009B1B52">
        <w:t xml:space="preserve"> ha - </w:t>
      </w:r>
      <w:r w:rsidR="009B1B52" w:rsidRPr="00251ED0">
        <w:t>2.</w:t>
      </w:r>
      <w:r w:rsidRPr="00251ED0">
        <w:t>6</w:t>
      </w:r>
      <w:r w:rsidR="009B1B52" w:rsidRPr="00251ED0">
        <w:t>%.</w:t>
      </w:r>
      <w:r w:rsidR="009B1B52">
        <w:t xml:space="preserve"> </w:t>
      </w:r>
    </w:p>
    <w:p w14:paraId="179EBDC6" w14:textId="5C9C7172" w:rsidR="004032CB" w:rsidRPr="004032CB" w:rsidRDefault="00251ED0" w:rsidP="004032CB">
      <w:pPr>
        <w:jc w:val="left"/>
      </w:pPr>
      <w:r>
        <w:lastRenderedPageBreak/>
        <w:t>3.9.3</w:t>
      </w:r>
      <w:r>
        <w:tab/>
      </w:r>
      <w:r w:rsidR="009B1B52">
        <w:t>Th</w:t>
      </w:r>
      <w:r w:rsidR="004032CB" w:rsidRPr="004032CB">
        <w:t xml:space="preserve">e tables </w:t>
      </w:r>
      <w:r w:rsidR="009B1B52">
        <w:t xml:space="preserve">below </w:t>
      </w:r>
      <w:r w:rsidR="00AA307F">
        <w:t>identify</w:t>
      </w:r>
      <w:r w:rsidR="009B1B52">
        <w:t xml:space="preserve"> all allocated Green </w:t>
      </w:r>
      <w:r w:rsidR="00AA307F">
        <w:t>B</w:t>
      </w:r>
      <w:r w:rsidR="009B1B52">
        <w:t xml:space="preserve">elt Sites.  </w:t>
      </w:r>
    </w:p>
    <w:tbl>
      <w:tblPr>
        <w:tblW w:w="9630" w:type="dxa"/>
        <w:tblInd w:w="-1" w:type="dxa"/>
        <w:tblCellMar>
          <w:left w:w="0" w:type="dxa"/>
          <w:right w:w="0" w:type="dxa"/>
        </w:tblCellMar>
        <w:tblLook w:val="04A0" w:firstRow="1" w:lastRow="0" w:firstColumn="1" w:lastColumn="0" w:noHBand="0" w:noVBand="1"/>
      </w:tblPr>
      <w:tblGrid>
        <w:gridCol w:w="4244"/>
        <w:gridCol w:w="3118"/>
        <w:gridCol w:w="103"/>
        <w:gridCol w:w="890"/>
        <w:gridCol w:w="1275"/>
      </w:tblGrid>
      <w:tr w:rsidR="00882EC0" w14:paraId="1968AD0C" w14:textId="77777777" w:rsidTr="00371D8B">
        <w:trPr>
          <w:trHeight w:val="312"/>
        </w:trPr>
        <w:tc>
          <w:tcPr>
            <w:tcW w:w="4244"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hideMark/>
          </w:tcPr>
          <w:p w14:paraId="508BB7BD" w14:textId="77777777" w:rsidR="009B1B52" w:rsidRDefault="009B1B52" w:rsidP="00150C3C">
            <w:pPr>
              <w:jc w:val="left"/>
              <w:rPr>
                <w:rFonts w:ascii="Aptos Narrow" w:hAnsi="Aptos Narrow"/>
                <w:b/>
                <w:bCs/>
                <w:color w:val="000000"/>
                <w:szCs w:val="24"/>
                <w:lang w:eastAsia="en-GB"/>
              </w:rPr>
            </w:pPr>
            <w:r>
              <w:rPr>
                <w:rFonts w:ascii="Aptos Narrow" w:hAnsi="Aptos Narrow"/>
                <w:b/>
                <w:bCs/>
                <w:color w:val="000000"/>
                <w:szCs w:val="24"/>
                <w:lang w:eastAsia="en-GB"/>
              </w:rPr>
              <w:t>Employment Allocations</w:t>
            </w:r>
          </w:p>
        </w:tc>
        <w:tc>
          <w:tcPr>
            <w:tcW w:w="311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bottom"/>
          </w:tcPr>
          <w:p w14:paraId="6FB9B920" w14:textId="2ED2F39D" w:rsidR="009B1B52" w:rsidRDefault="009B1B52" w:rsidP="00371D8B">
            <w:pPr>
              <w:ind w:left="142"/>
              <w:jc w:val="left"/>
              <w:rPr>
                <w:rFonts w:ascii="Aptos Narrow" w:hAnsi="Aptos Narrow"/>
                <w:b/>
                <w:bCs/>
                <w:color w:val="000000"/>
                <w:szCs w:val="24"/>
                <w:lang w:eastAsia="en-GB"/>
              </w:rPr>
            </w:pPr>
            <w:r>
              <w:rPr>
                <w:rFonts w:ascii="Aptos Narrow" w:hAnsi="Aptos Narrow"/>
                <w:b/>
                <w:bCs/>
                <w:color w:val="000000"/>
                <w:szCs w:val="24"/>
                <w:lang w:eastAsia="en-GB"/>
              </w:rPr>
              <w:t xml:space="preserve">Current </w:t>
            </w:r>
            <w:r w:rsidR="00150C3C">
              <w:rPr>
                <w:rFonts w:ascii="Aptos Narrow" w:hAnsi="Aptos Narrow"/>
                <w:b/>
                <w:bCs/>
                <w:color w:val="000000"/>
                <w:szCs w:val="24"/>
                <w:lang w:eastAsia="en-GB"/>
              </w:rPr>
              <w:t xml:space="preserve">Planning </w:t>
            </w:r>
            <w:r>
              <w:rPr>
                <w:rFonts w:ascii="Aptos Narrow" w:hAnsi="Aptos Narrow"/>
                <w:b/>
                <w:bCs/>
                <w:color w:val="000000"/>
                <w:szCs w:val="24"/>
                <w:lang w:eastAsia="en-GB"/>
              </w:rPr>
              <w:t>Status</w:t>
            </w:r>
          </w:p>
        </w:tc>
        <w:tc>
          <w:tcPr>
            <w:tcW w:w="103" w:type="dxa"/>
            <w:tcBorders>
              <w:top w:val="single" w:sz="8" w:space="0" w:color="auto"/>
              <w:left w:val="nil"/>
              <w:bottom w:val="single" w:sz="8" w:space="0" w:color="auto"/>
              <w:right w:val="nil"/>
            </w:tcBorders>
            <w:shd w:val="clear" w:color="auto" w:fill="F2F2F2" w:themeFill="background1" w:themeFillShade="F2"/>
          </w:tcPr>
          <w:p w14:paraId="18F06D9D" w14:textId="77777777" w:rsidR="009B1B52" w:rsidRDefault="009B1B52">
            <w:pPr>
              <w:rPr>
                <w:rFonts w:ascii="Aptos Narrow" w:hAnsi="Aptos Narrow"/>
                <w:b/>
                <w:bCs/>
                <w:color w:val="000000"/>
                <w:szCs w:val="24"/>
                <w:lang w:eastAsia="en-GB"/>
              </w:rPr>
            </w:pPr>
          </w:p>
        </w:tc>
        <w:tc>
          <w:tcPr>
            <w:tcW w:w="890" w:type="dxa"/>
            <w:tcBorders>
              <w:top w:val="single" w:sz="8"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hideMark/>
          </w:tcPr>
          <w:p w14:paraId="6F161A40" w14:textId="41F15FF1" w:rsidR="009B1B52" w:rsidRDefault="009C6F35" w:rsidP="009C6F35">
            <w:pPr>
              <w:jc w:val="left"/>
              <w:rPr>
                <w:rFonts w:ascii="Aptos Narrow" w:hAnsi="Aptos Narrow"/>
                <w:b/>
                <w:bCs/>
                <w:color w:val="000000"/>
                <w:szCs w:val="24"/>
                <w:lang w:eastAsia="en-GB"/>
              </w:rPr>
            </w:pPr>
            <w:r>
              <w:rPr>
                <w:rFonts w:ascii="Aptos Narrow" w:hAnsi="Aptos Narrow"/>
                <w:b/>
                <w:bCs/>
                <w:color w:val="000000"/>
                <w:szCs w:val="24"/>
                <w:lang w:eastAsia="en-GB"/>
              </w:rPr>
              <w:t>Area ha</w:t>
            </w:r>
          </w:p>
        </w:tc>
        <w:tc>
          <w:tcPr>
            <w:tcW w:w="1275" w:type="dxa"/>
            <w:tcBorders>
              <w:top w:val="single" w:sz="8"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hideMark/>
          </w:tcPr>
          <w:p w14:paraId="3994B821" w14:textId="3177393D" w:rsidR="009B1B52" w:rsidRDefault="006B4D8F" w:rsidP="009C6F35">
            <w:pPr>
              <w:jc w:val="left"/>
              <w:rPr>
                <w:rFonts w:ascii="Aptos Narrow" w:hAnsi="Aptos Narrow"/>
                <w:b/>
                <w:bCs/>
                <w:color w:val="000000"/>
                <w:szCs w:val="24"/>
                <w:lang w:eastAsia="en-GB"/>
              </w:rPr>
            </w:pPr>
            <w:r>
              <w:rPr>
                <w:rFonts w:ascii="Aptos Narrow" w:hAnsi="Aptos Narrow"/>
                <w:b/>
                <w:bCs/>
                <w:color w:val="000000"/>
                <w:szCs w:val="24"/>
                <w:lang w:eastAsia="en-GB"/>
              </w:rPr>
              <w:t xml:space="preserve">Existing </w:t>
            </w:r>
            <w:r w:rsidR="009B1B52">
              <w:rPr>
                <w:rFonts w:ascii="Aptos Narrow" w:hAnsi="Aptos Narrow"/>
                <w:b/>
                <w:bCs/>
                <w:color w:val="000000"/>
                <w:szCs w:val="24"/>
                <w:lang w:eastAsia="en-GB"/>
              </w:rPr>
              <w:t>Green Belt</w:t>
            </w:r>
            <w:r w:rsidR="009C6F35">
              <w:rPr>
                <w:rFonts w:ascii="Aptos Narrow" w:hAnsi="Aptos Narrow"/>
                <w:b/>
                <w:bCs/>
                <w:color w:val="000000"/>
                <w:szCs w:val="24"/>
                <w:lang w:eastAsia="en-GB"/>
              </w:rPr>
              <w:t xml:space="preserve"> </w:t>
            </w:r>
            <w:r w:rsidR="00EA78BB">
              <w:rPr>
                <w:rFonts w:ascii="Aptos Narrow" w:hAnsi="Aptos Narrow"/>
                <w:b/>
                <w:bCs/>
                <w:color w:val="000000"/>
                <w:szCs w:val="24"/>
                <w:lang w:eastAsia="en-GB"/>
              </w:rPr>
              <w:t>(</w:t>
            </w:r>
            <w:r w:rsidR="009C6F35">
              <w:rPr>
                <w:rFonts w:ascii="Aptos Narrow" w:hAnsi="Aptos Narrow"/>
                <w:b/>
                <w:bCs/>
                <w:color w:val="000000"/>
                <w:szCs w:val="24"/>
                <w:lang w:eastAsia="en-GB"/>
              </w:rPr>
              <w:t>4,525</w:t>
            </w:r>
            <w:r w:rsidR="009B1B52">
              <w:rPr>
                <w:rFonts w:ascii="Aptos Narrow" w:hAnsi="Aptos Narrow"/>
                <w:b/>
                <w:bCs/>
                <w:color w:val="000000"/>
                <w:szCs w:val="24"/>
                <w:lang w:eastAsia="en-GB"/>
              </w:rPr>
              <w:t xml:space="preserve"> ha</w:t>
            </w:r>
            <w:r w:rsidR="00EA78BB">
              <w:rPr>
                <w:rFonts w:ascii="Aptos Narrow" w:hAnsi="Aptos Narrow"/>
                <w:b/>
                <w:bCs/>
                <w:color w:val="000000"/>
                <w:szCs w:val="24"/>
                <w:lang w:eastAsia="en-GB"/>
              </w:rPr>
              <w:t>)</w:t>
            </w:r>
          </w:p>
        </w:tc>
      </w:tr>
      <w:tr w:rsidR="00882EC0" w14:paraId="7410A6D9" w14:textId="77777777" w:rsidTr="00371D8B">
        <w:trPr>
          <w:trHeight w:val="319"/>
        </w:trPr>
        <w:tc>
          <w:tcPr>
            <w:tcW w:w="42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A0DB7FB" w14:textId="17F0E6D8" w:rsidR="009B1B52" w:rsidRDefault="009B1B52" w:rsidP="00150C3C">
            <w:pPr>
              <w:jc w:val="left"/>
              <w:rPr>
                <w:rFonts w:ascii="Aptos Narrow" w:hAnsi="Aptos Narrow"/>
                <w:color w:val="000000"/>
                <w:szCs w:val="24"/>
                <w:lang w:eastAsia="en-GB"/>
              </w:rPr>
            </w:pPr>
            <w:r>
              <w:rPr>
                <w:rFonts w:ascii="Aptos Narrow" w:hAnsi="Aptos Narrow"/>
                <w:color w:val="000000"/>
                <w:szCs w:val="24"/>
                <w:lang w:eastAsia="en-GB"/>
              </w:rPr>
              <w:t>S6 a</w:t>
            </w:r>
            <w:r w:rsidR="00150C3C">
              <w:rPr>
                <w:rFonts w:ascii="Aptos Narrow" w:hAnsi="Aptos Narrow"/>
                <w:color w:val="000000"/>
                <w:szCs w:val="24"/>
                <w:lang w:eastAsia="en-GB"/>
              </w:rPr>
              <w:t xml:space="preserve"> – Land north-east of Junction 27 M1</w:t>
            </w:r>
          </w:p>
        </w:tc>
        <w:tc>
          <w:tcPr>
            <w:tcW w:w="3118" w:type="dxa"/>
            <w:tcBorders>
              <w:top w:val="nil"/>
              <w:left w:val="single" w:sz="8" w:space="0" w:color="auto"/>
              <w:bottom w:val="single" w:sz="8" w:space="0" w:color="auto"/>
              <w:right w:val="single" w:sz="8" w:space="0" w:color="auto"/>
            </w:tcBorders>
            <w:vAlign w:val="bottom"/>
          </w:tcPr>
          <w:p w14:paraId="6DCF70A5" w14:textId="417D4086" w:rsidR="009B1B52" w:rsidRDefault="00150C3C" w:rsidP="00371D8B">
            <w:pPr>
              <w:ind w:left="142"/>
              <w:jc w:val="left"/>
              <w:rPr>
                <w:rFonts w:ascii="Aptos Narrow" w:hAnsi="Aptos Narrow"/>
                <w:color w:val="000000"/>
                <w:szCs w:val="24"/>
                <w:lang w:eastAsia="en-GB"/>
              </w:rPr>
            </w:pPr>
            <w:r>
              <w:rPr>
                <w:rFonts w:ascii="Aptos Narrow" w:hAnsi="Aptos Narrow"/>
                <w:color w:val="000000"/>
                <w:szCs w:val="24"/>
                <w:lang w:eastAsia="en-GB"/>
              </w:rPr>
              <w:t xml:space="preserve">Planning </w:t>
            </w:r>
            <w:r w:rsidR="007F0C08">
              <w:rPr>
                <w:rFonts w:ascii="Aptos Narrow" w:hAnsi="Aptos Narrow"/>
                <w:color w:val="000000"/>
                <w:szCs w:val="24"/>
                <w:lang w:eastAsia="en-GB"/>
              </w:rPr>
              <w:t>p</w:t>
            </w:r>
            <w:r>
              <w:rPr>
                <w:rFonts w:ascii="Aptos Narrow" w:hAnsi="Aptos Narrow"/>
                <w:color w:val="000000"/>
                <w:szCs w:val="24"/>
                <w:lang w:eastAsia="en-GB"/>
              </w:rPr>
              <w:t xml:space="preserve">ermission </w:t>
            </w:r>
            <w:r w:rsidR="007F0C08">
              <w:rPr>
                <w:rFonts w:ascii="Aptos Narrow" w:hAnsi="Aptos Narrow"/>
                <w:color w:val="000000"/>
                <w:szCs w:val="24"/>
                <w:lang w:eastAsia="en-GB"/>
              </w:rPr>
              <w:t>a</w:t>
            </w:r>
            <w:r>
              <w:rPr>
                <w:rFonts w:ascii="Aptos Narrow" w:hAnsi="Aptos Narrow"/>
                <w:color w:val="000000"/>
                <w:szCs w:val="24"/>
                <w:lang w:eastAsia="en-GB"/>
              </w:rPr>
              <w:t>pproved</w:t>
            </w:r>
          </w:p>
        </w:tc>
        <w:tc>
          <w:tcPr>
            <w:tcW w:w="103" w:type="dxa"/>
            <w:tcBorders>
              <w:top w:val="nil"/>
              <w:left w:val="nil"/>
              <w:bottom w:val="single" w:sz="8" w:space="0" w:color="auto"/>
              <w:right w:val="nil"/>
            </w:tcBorders>
          </w:tcPr>
          <w:p w14:paraId="3F580372" w14:textId="77777777" w:rsidR="009B1B52" w:rsidRDefault="009B1B52" w:rsidP="004032CB">
            <w:pPr>
              <w:jc w:val="right"/>
              <w:rPr>
                <w:rFonts w:ascii="Aptos Narrow" w:hAnsi="Aptos Narrow"/>
                <w:color w:val="000000"/>
                <w:szCs w:val="24"/>
                <w:lang w:eastAsia="en-GB"/>
              </w:rPr>
            </w:pP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4DDB0C" w14:textId="14D986EA" w:rsidR="009B1B52" w:rsidRPr="00882EC0" w:rsidRDefault="009B1B52" w:rsidP="004032CB">
            <w:pPr>
              <w:jc w:val="right"/>
              <w:rPr>
                <w:rFonts w:ascii="Aptos Narrow" w:hAnsi="Aptos Narrow"/>
                <w:color w:val="000000"/>
                <w:szCs w:val="24"/>
                <w:lang w:eastAsia="en-GB"/>
              </w:rPr>
            </w:pPr>
            <w:r w:rsidRPr="00882EC0">
              <w:rPr>
                <w:rFonts w:ascii="Aptos Narrow" w:hAnsi="Aptos Narrow"/>
                <w:color w:val="000000"/>
                <w:szCs w:val="24"/>
                <w:lang w:eastAsia="en-GB"/>
              </w:rPr>
              <w:t>20.</w:t>
            </w:r>
            <w:r w:rsidR="00882EC0" w:rsidRPr="00882EC0">
              <w:rPr>
                <w:rFonts w:ascii="Aptos Narrow" w:hAnsi="Aptos Narrow"/>
                <w:color w:val="000000"/>
                <w:szCs w:val="24"/>
                <w:lang w:eastAsia="en-GB"/>
              </w:rPr>
              <w:t>47</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8D9514B" w14:textId="2399CAE5" w:rsidR="009B1B52" w:rsidRPr="00882EC0" w:rsidRDefault="009B1B52" w:rsidP="004032CB">
            <w:pPr>
              <w:jc w:val="right"/>
              <w:rPr>
                <w:rFonts w:ascii="Aptos Narrow" w:hAnsi="Aptos Narrow"/>
                <w:color w:val="000000"/>
                <w:szCs w:val="24"/>
                <w:lang w:eastAsia="en-GB"/>
              </w:rPr>
            </w:pPr>
          </w:p>
        </w:tc>
      </w:tr>
      <w:tr w:rsidR="00882EC0" w:rsidRPr="00882EC0" w14:paraId="5C439B05" w14:textId="77777777" w:rsidTr="00371D8B">
        <w:trPr>
          <w:trHeight w:val="319"/>
        </w:trPr>
        <w:tc>
          <w:tcPr>
            <w:tcW w:w="42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2675D3" w14:textId="10CE2C9D" w:rsidR="009B1B52" w:rsidRDefault="009B1B52" w:rsidP="00150C3C">
            <w:pPr>
              <w:jc w:val="left"/>
              <w:rPr>
                <w:rFonts w:ascii="Aptos Narrow" w:hAnsi="Aptos Narrow"/>
                <w:color w:val="000000"/>
                <w:szCs w:val="24"/>
                <w:lang w:eastAsia="en-GB"/>
              </w:rPr>
            </w:pPr>
            <w:r>
              <w:rPr>
                <w:rFonts w:ascii="Aptos Narrow" w:hAnsi="Aptos Narrow"/>
                <w:color w:val="000000"/>
                <w:szCs w:val="24"/>
                <w:lang w:eastAsia="en-GB"/>
              </w:rPr>
              <w:t>S6 b</w:t>
            </w:r>
            <w:r w:rsidR="00150C3C">
              <w:rPr>
                <w:rFonts w:ascii="Aptos Narrow" w:hAnsi="Aptos Narrow"/>
                <w:color w:val="000000"/>
                <w:szCs w:val="24"/>
                <w:lang w:eastAsia="en-GB"/>
              </w:rPr>
              <w:t xml:space="preserve"> – Land south-east of Junction 27 M1</w:t>
            </w:r>
          </w:p>
        </w:tc>
        <w:tc>
          <w:tcPr>
            <w:tcW w:w="3118" w:type="dxa"/>
            <w:tcBorders>
              <w:top w:val="nil"/>
              <w:left w:val="single" w:sz="8" w:space="0" w:color="auto"/>
              <w:bottom w:val="single" w:sz="8" w:space="0" w:color="auto"/>
              <w:right w:val="single" w:sz="8" w:space="0" w:color="auto"/>
            </w:tcBorders>
            <w:vAlign w:val="bottom"/>
          </w:tcPr>
          <w:p w14:paraId="5FC35DC7" w14:textId="1A231EF8" w:rsidR="009B1B52" w:rsidRDefault="00150C3C" w:rsidP="00371D8B">
            <w:pPr>
              <w:ind w:left="142"/>
              <w:jc w:val="left"/>
              <w:rPr>
                <w:rFonts w:ascii="Aptos Narrow" w:hAnsi="Aptos Narrow"/>
                <w:color w:val="000000"/>
                <w:szCs w:val="24"/>
                <w:lang w:eastAsia="en-GB"/>
              </w:rPr>
            </w:pPr>
            <w:r>
              <w:rPr>
                <w:rFonts w:ascii="Aptos Narrow" w:hAnsi="Aptos Narrow"/>
                <w:color w:val="000000"/>
                <w:szCs w:val="24"/>
                <w:lang w:eastAsia="en-GB"/>
              </w:rPr>
              <w:t>Allocation in Plan</w:t>
            </w:r>
          </w:p>
        </w:tc>
        <w:tc>
          <w:tcPr>
            <w:tcW w:w="103" w:type="dxa"/>
            <w:tcBorders>
              <w:top w:val="nil"/>
              <w:left w:val="nil"/>
              <w:bottom w:val="single" w:sz="8" w:space="0" w:color="auto"/>
              <w:right w:val="nil"/>
            </w:tcBorders>
          </w:tcPr>
          <w:p w14:paraId="578B76C3" w14:textId="77777777" w:rsidR="009B1B52" w:rsidRDefault="009B1B52" w:rsidP="004032CB">
            <w:pPr>
              <w:jc w:val="right"/>
              <w:rPr>
                <w:rFonts w:ascii="Aptos Narrow" w:hAnsi="Aptos Narrow"/>
                <w:color w:val="000000"/>
                <w:szCs w:val="24"/>
                <w:lang w:eastAsia="en-GB"/>
              </w:rPr>
            </w:pP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9C97AF" w14:textId="539C1E8D" w:rsidR="009B1B52" w:rsidRPr="00882EC0" w:rsidRDefault="00882EC0" w:rsidP="004032CB">
            <w:pPr>
              <w:jc w:val="right"/>
              <w:rPr>
                <w:rFonts w:ascii="Aptos Narrow" w:hAnsi="Aptos Narrow"/>
                <w:color w:val="000000"/>
                <w:szCs w:val="24"/>
                <w:lang w:eastAsia="en-GB"/>
              </w:rPr>
            </w:pPr>
            <w:r w:rsidRPr="00882EC0">
              <w:rPr>
                <w:rFonts w:ascii="Aptos Narrow" w:hAnsi="Aptos Narrow"/>
                <w:color w:val="000000"/>
                <w:szCs w:val="24"/>
                <w:lang w:eastAsia="en-GB"/>
              </w:rPr>
              <w:t>25.00</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C575C3" w14:textId="2F2558B9" w:rsidR="009B1B52" w:rsidRPr="00882EC0" w:rsidRDefault="009B1B52" w:rsidP="004032CB">
            <w:pPr>
              <w:jc w:val="right"/>
              <w:rPr>
                <w:rFonts w:ascii="Aptos Narrow" w:hAnsi="Aptos Narrow"/>
                <w:color w:val="000000"/>
                <w:szCs w:val="24"/>
                <w:lang w:eastAsia="en-GB"/>
              </w:rPr>
            </w:pPr>
          </w:p>
        </w:tc>
      </w:tr>
      <w:tr w:rsidR="00251ED0" w:rsidRPr="00882EC0" w14:paraId="513CF398" w14:textId="77777777" w:rsidTr="00371D8B">
        <w:trPr>
          <w:trHeight w:val="312"/>
        </w:trPr>
        <w:tc>
          <w:tcPr>
            <w:tcW w:w="7362"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A6CF8D" w14:textId="77777777" w:rsidR="009B1B52" w:rsidRPr="00150C3C" w:rsidRDefault="009B1B52" w:rsidP="004032CB">
            <w:pPr>
              <w:rPr>
                <w:rFonts w:ascii="Aptos Narrow" w:hAnsi="Aptos Narrow"/>
                <w:b/>
                <w:bCs/>
                <w:color w:val="000000"/>
                <w:szCs w:val="24"/>
                <w:lang w:eastAsia="en-GB"/>
              </w:rPr>
            </w:pPr>
            <w:r w:rsidRPr="00150C3C">
              <w:rPr>
                <w:rFonts w:ascii="Aptos Narrow" w:hAnsi="Aptos Narrow"/>
                <w:b/>
                <w:bCs/>
                <w:color w:val="000000"/>
                <w:szCs w:val="24"/>
                <w:lang w:eastAsia="en-GB"/>
              </w:rPr>
              <w:t>TOTAL</w:t>
            </w:r>
          </w:p>
        </w:tc>
        <w:tc>
          <w:tcPr>
            <w:tcW w:w="103" w:type="dxa"/>
            <w:tcBorders>
              <w:top w:val="nil"/>
              <w:left w:val="nil"/>
              <w:bottom w:val="single" w:sz="8" w:space="0" w:color="auto"/>
              <w:right w:val="nil"/>
            </w:tcBorders>
          </w:tcPr>
          <w:p w14:paraId="75966AEC" w14:textId="77777777" w:rsidR="009B1B52" w:rsidRPr="00150C3C" w:rsidRDefault="009B1B52" w:rsidP="004032CB">
            <w:pPr>
              <w:jc w:val="right"/>
              <w:rPr>
                <w:rFonts w:ascii="Aptos Narrow" w:hAnsi="Aptos Narrow"/>
                <w:b/>
                <w:bCs/>
                <w:color w:val="000000"/>
                <w:szCs w:val="24"/>
                <w:lang w:eastAsia="en-GB"/>
              </w:rPr>
            </w:pP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B78D09" w14:textId="737DA616" w:rsidR="009B1B52" w:rsidRPr="00882EC0" w:rsidRDefault="00882EC0" w:rsidP="004032CB">
            <w:pPr>
              <w:jc w:val="right"/>
              <w:rPr>
                <w:rFonts w:ascii="Aptos Narrow" w:hAnsi="Aptos Narrow"/>
                <w:b/>
                <w:bCs/>
                <w:color w:val="000000"/>
                <w:szCs w:val="24"/>
                <w:lang w:eastAsia="en-GB"/>
              </w:rPr>
            </w:pPr>
            <w:r w:rsidRPr="00882EC0">
              <w:rPr>
                <w:rFonts w:ascii="Aptos Narrow" w:hAnsi="Aptos Narrow"/>
                <w:b/>
                <w:bCs/>
                <w:color w:val="000000"/>
                <w:szCs w:val="24"/>
                <w:lang w:eastAsia="en-GB"/>
              </w:rPr>
              <w:t>45.47</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E73083" w14:textId="2AF202F2" w:rsidR="009B1B52" w:rsidRPr="00882EC0" w:rsidRDefault="009B1B52" w:rsidP="004032CB">
            <w:pPr>
              <w:jc w:val="right"/>
              <w:rPr>
                <w:rFonts w:ascii="Aptos Narrow" w:hAnsi="Aptos Narrow"/>
                <w:b/>
                <w:bCs/>
                <w:color w:val="000000"/>
                <w:szCs w:val="24"/>
                <w:lang w:eastAsia="en-GB"/>
              </w:rPr>
            </w:pPr>
            <w:r w:rsidRPr="00882EC0">
              <w:rPr>
                <w:rFonts w:ascii="Aptos Narrow" w:hAnsi="Aptos Narrow"/>
                <w:b/>
                <w:bCs/>
                <w:color w:val="000000"/>
                <w:szCs w:val="24"/>
                <w:lang w:eastAsia="en-GB"/>
              </w:rPr>
              <w:t>1.</w:t>
            </w:r>
            <w:r w:rsidR="00251ED0">
              <w:rPr>
                <w:rFonts w:ascii="Aptos Narrow" w:hAnsi="Aptos Narrow"/>
                <w:b/>
                <w:bCs/>
                <w:color w:val="000000"/>
                <w:szCs w:val="24"/>
                <w:lang w:eastAsia="en-GB"/>
              </w:rPr>
              <w:t>0</w:t>
            </w:r>
            <w:r w:rsidRPr="00882EC0">
              <w:rPr>
                <w:rFonts w:ascii="Aptos Narrow" w:hAnsi="Aptos Narrow"/>
                <w:b/>
                <w:bCs/>
                <w:color w:val="000000"/>
                <w:szCs w:val="24"/>
                <w:lang w:eastAsia="en-GB"/>
              </w:rPr>
              <w:t>%</w:t>
            </w:r>
          </w:p>
        </w:tc>
      </w:tr>
      <w:tr w:rsidR="00371D8B" w14:paraId="5AE98CF0" w14:textId="77777777" w:rsidTr="00371D8B">
        <w:trPr>
          <w:trHeight w:val="312"/>
        </w:trPr>
        <w:tc>
          <w:tcPr>
            <w:tcW w:w="7362" w:type="dxa"/>
            <w:gridSpan w:val="2"/>
            <w:noWrap/>
            <w:tcMar>
              <w:top w:w="0" w:type="dxa"/>
              <w:left w:w="108" w:type="dxa"/>
              <w:bottom w:w="0" w:type="dxa"/>
              <w:right w:w="108" w:type="dxa"/>
            </w:tcMar>
            <w:vAlign w:val="bottom"/>
            <w:hideMark/>
          </w:tcPr>
          <w:p w14:paraId="1B43100D" w14:textId="77777777" w:rsidR="009B1B52" w:rsidRDefault="009B1B52" w:rsidP="004032CB">
            <w:pPr>
              <w:rPr>
                <w:rFonts w:ascii="Times New Roman" w:eastAsia="Times New Roman" w:hAnsi="Times New Roman" w:cs="Times New Roman"/>
                <w:sz w:val="20"/>
                <w:szCs w:val="20"/>
                <w:lang w:eastAsia="en-GB"/>
              </w:rPr>
            </w:pPr>
          </w:p>
        </w:tc>
        <w:tc>
          <w:tcPr>
            <w:tcW w:w="103" w:type="dxa"/>
          </w:tcPr>
          <w:p w14:paraId="171881AC" w14:textId="77777777" w:rsidR="009B1B52" w:rsidRDefault="009B1B52" w:rsidP="004032CB">
            <w:pPr>
              <w:rPr>
                <w:rFonts w:ascii="Times New Roman" w:eastAsia="Times New Roman" w:hAnsi="Times New Roman" w:cs="Times New Roman"/>
                <w:sz w:val="20"/>
                <w:szCs w:val="20"/>
                <w:lang w:eastAsia="en-GB"/>
              </w:rPr>
            </w:pPr>
          </w:p>
        </w:tc>
        <w:tc>
          <w:tcPr>
            <w:tcW w:w="890" w:type="dxa"/>
            <w:noWrap/>
            <w:tcMar>
              <w:top w:w="0" w:type="dxa"/>
              <w:left w:w="108" w:type="dxa"/>
              <w:bottom w:w="0" w:type="dxa"/>
              <w:right w:w="108" w:type="dxa"/>
            </w:tcMar>
            <w:vAlign w:val="bottom"/>
            <w:hideMark/>
          </w:tcPr>
          <w:p w14:paraId="77798913" w14:textId="611C55E8" w:rsidR="009B1B52" w:rsidRDefault="009B1B52" w:rsidP="004032CB">
            <w:pPr>
              <w:rPr>
                <w:rFonts w:ascii="Times New Roman" w:eastAsia="Times New Roman" w:hAnsi="Times New Roman" w:cs="Times New Roman"/>
                <w:sz w:val="20"/>
                <w:szCs w:val="20"/>
                <w:lang w:eastAsia="en-GB"/>
              </w:rPr>
            </w:pPr>
          </w:p>
        </w:tc>
        <w:tc>
          <w:tcPr>
            <w:tcW w:w="1275" w:type="dxa"/>
            <w:noWrap/>
            <w:tcMar>
              <w:top w:w="0" w:type="dxa"/>
              <w:left w:w="108" w:type="dxa"/>
              <w:bottom w:w="0" w:type="dxa"/>
              <w:right w:w="108" w:type="dxa"/>
            </w:tcMar>
            <w:vAlign w:val="bottom"/>
            <w:hideMark/>
          </w:tcPr>
          <w:p w14:paraId="082A541D" w14:textId="77777777" w:rsidR="009B1B52" w:rsidRDefault="009B1B52" w:rsidP="004032CB">
            <w:pPr>
              <w:rPr>
                <w:rFonts w:ascii="Times New Roman" w:eastAsia="Times New Roman" w:hAnsi="Times New Roman" w:cs="Times New Roman"/>
                <w:sz w:val="20"/>
                <w:szCs w:val="20"/>
                <w:lang w:eastAsia="en-GB"/>
              </w:rPr>
            </w:pPr>
          </w:p>
        </w:tc>
      </w:tr>
      <w:tr w:rsidR="00882EC0" w14:paraId="3F272C19" w14:textId="77777777" w:rsidTr="00827B77">
        <w:trPr>
          <w:trHeight w:val="312"/>
        </w:trPr>
        <w:tc>
          <w:tcPr>
            <w:tcW w:w="4244" w:type="dxa"/>
            <w:tcBorders>
              <w:top w:val="single" w:sz="8" w:space="0" w:color="auto"/>
              <w:left w:val="single" w:sz="8" w:space="0" w:color="auto"/>
              <w:bottom w:val="single" w:sz="4" w:space="0" w:color="auto"/>
              <w:right w:val="single" w:sz="8" w:space="0" w:color="auto"/>
            </w:tcBorders>
            <w:shd w:val="clear" w:color="auto" w:fill="F2F2F2" w:themeFill="background1" w:themeFillShade="F2"/>
            <w:noWrap/>
            <w:tcMar>
              <w:top w:w="0" w:type="dxa"/>
              <w:left w:w="108" w:type="dxa"/>
              <w:bottom w:w="0" w:type="dxa"/>
              <w:right w:w="108" w:type="dxa"/>
            </w:tcMar>
            <w:vAlign w:val="bottom"/>
            <w:hideMark/>
          </w:tcPr>
          <w:p w14:paraId="52FD6735" w14:textId="77777777" w:rsidR="00150C3C" w:rsidRDefault="00150C3C" w:rsidP="004032CB">
            <w:pPr>
              <w:rPr>
                <w:rFonts w:ascii="Aptos Narrow" w:hAnsi="Aptos Narrow" w:cs="Arial"/>
                <w:b/>
                <w:bCs/>
                <w:color w:val="000000"/>
                <w:szCs w:val="24"/>
                <w:lang w:eastAsia="en-GB"/>
              </w:rPr>
            </w:pPr>
            <w:r>
              <w:rPr>
                <w:rFonts w:ascii="Aptos Narrow" w:hAnsi="Aptos Narrow"/>
                <w:b/>
                <w:bCs/>
                <w:color w:val="000000"/>
                <w:szCs w:val="24"/>
                <w:lang w:eastAsia="en-GB"/>
              </w:rPr>
              <w:t>Housing Allocations</w:t>
            </w:r>
          </w:p>
        </w:tc>
        <w:tc>
          <w:tcPr>
            <w:tcW w:w="3118"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bottom"/>
          </w:tcPr>
          <w:p w14:paraId="4CD0BA10" w14:textId="1D3A0C1F" w:rsidR="00150C3C" w:rsidRDefault="00150C3C" w:rsidP="00371D8B">
            <w:pPr>
              <w:ind w:left="139"/>
              <w:rPr>
                <w:rFonts w:ascii="Aptos Narrow" w:hAnsi="Aptos Narrow" w:cs="Arial"/>
                <w:b/>
                <w:bCs/>
                <w:color w:val="000000"/>
                <w:szCs w:val="24"/>
                <w:lang w:eastAsia="en-GB"/>
              </w:rPr>
            </w:pPr>
            <w:r>
              <w:rPr>
                <w:rFonts w:ascii="Aptos Narrow" w:hAnsi="Aptos Narrow"/>
                <w:b/>
                <w:bCs/>
                <w:color w:val="000000"/>
                <w:szCs w:val="24"/>
                <w:lang w:eastAsia="en-GB"/>
              </w:rPr>
              <w:t>Current Planning Status</w:t>
            </w:r>
          </w:p>
        </w:tc>
        <w:tc>
          <w:tcPr>
            <w:tcW w:w="103" w:type="dxa"/>
            <w:tcBorders>
              <w:top w:val="single" w:sz="8" w:space="0" w:color="auto"/>
              <w:left w:val="nil"/>
              <w:bottom w:val="single" w:sz="4" w:space="0" w:color="auto"/>
              <w:right w:val="nil"/>
            </w:tcBorders>
            <w:shd w:val="clear" w:color="auto" w:fill="F2F2F2" w:themeFill="background1" w:themeFillShade="F2"/>
          </w:tcPr>
          <w:p w14:paraId="26654F80" w14:textId="77777777" w:rsidR="00150C3C" w:rsidRDefault="00150C3C" w:rsidP="004032CB">
            <w:pPr>
              <w:rPr>
                <w:rFonts w:ascii="Aptos Narrow" w:hAnsi="Aptos Narrow"/>
                <w:b/>
                <w:bCs/>
                <w:color w:val="000000"/>
                <w:szCs w:val="24"/>
                <w:lang w:eastAsia="en-GB"/>
              </w:rPr>
            </w:pPr>
          </w:p>
        </w:tc>
        <w:tc>
          <w:tcPr>
            <w:tcW w:w="890" w:type="dxa"/>
            <w:tcBorders>
              <w:top w:val="single" w:sz="8" w:space="0" w:color="auto"/>
              <w:left w:val="nil"/>
              <w:bottom w:val="single" w:sz="4" w:space="0" w:color="auto"/>
              <w:right w:val="single" w:sz="8" w:space="0" w:color="auto"/>
            </w:tcBorders>
            <w:shd w:val="clear" w:color="auto" w:fill="F2F2F2" w:themeFill="background1" w:themeFillShade="F2"/>
            <w:noWrap/>
            <w:tcMar>
              <w:top w:w="0" w:type="dxa"/>
              <w:left w:w="108" w:type="dxa"/>
              <w:bottom w:w="0" w:type="dxa"/>
              <w:right w:w="108" w:type="dxa"/>
            </w:tcMar>
            <w:vAlign w:val="bottom"/>
            <w:hideMark/>
          </w:tcPr>
          <w:p w14:paraId="647F8B58" w14:textId="2233558A" w:rsidR="00150C3C" w:rsidRDefault="00150C3C" w:rsidP="009C6F35">
            <w:pPr>
              <w:jc w:val="left"/>
              <w:rPr>
                <w:rFonts w:ascii="Aptos Narrow" w:hAnsi="Aptos Narrow"/>
                <w:b/>
                <w:bCs/>
                <w:color w:val="000000"/>
                <w:szCs w:val="24"/>
                <w:lang w:eastAsia="en-GB"/>
              </w:rPr>
            </w:pPr>
            <w:r>
              <w:rPr>
                <w:rFonts w:ascii="Aptos Narrow" w:hAnsi="Aptos Narrow"/>
                <w:b/>
                <w:bCs/>
                <w:color w:val="000000"/>
                <w:szCs w:val="24"/>
                <w:lang w:eastAsia="en-GB"/>
              </w:rPr>
              <w:t>Area ha</w:t>
            </w:r>
          </w:p>
        </w:tc>
        <w:tc>
          <w:tcPr>
            <w:tcW w:w="1275" w:type="dxa"/>
            <w:tcBorders>
              <w:top w:val="single" w:sz="8" w:space="0" w:color="auto"/>
              <w:left w:val="nil"/>
              <w:bottom w:val="single" w:sz="4" w:space="0" w:color="auto"/>
              <w:right w:val="single" w:sz="8" w:space="0" w:color="auto"/>
            </w:tcBorders>
            <w:shd w:val="clear" w:color="auto" w:fill="F2F2F2" w:themeFill="background1" w:themeFillShade="F2"/>
            <w:noWrap/>
            <w:tcMar>
              <w:top w:w="0" w:type="dxa"/>
              <w:left w:w="108" w:type="dxa"/>
              <w:bottom w:w="0" w:type="dxa"/>
              <w:right w:w="108" w:type="dxa"/>
            </w:tcMar>
            <w:vAlign w:val="bottom"/>
            <w:hideMark/>
          </w:tcPr>
          <w:p w14:paraId="1A04A47E" w14:textId="07A448F3" w:rsidR="00150C3C" w:rsidRDefault="006B4D8F" w:rsidP="009C6F35">
            <w:pPr>
              <w:jc w:val="left"/>
              <w:rPr>
                <w:rFonts w:ascii="Aptos Narrow" w:hAnsi="Aptos Narrow"/>
                <w:b/>
                <w:bCs/>
                <w:color w:val="000000"/>
                <w:szCs w:val="24"/>
                <w:lang w:eastAsia="en-GB"/>
              </w:rPr>
            </w:pPr>
            <w:r>
              <w:rPr>
                <w:rFonts w:ascii="Aptos Narrow" w:hAnsi="Aptos Narrow"/>
                <w:b/>
                <w:bCs/>
                <w:color w:val="000000"/>
                <w:szCs w:val="24"/>
                <w:lang w:eastAsia="en-GB"/>
              </w:rPr>
              <w:t xml:space="preserve">Existing </w:t>
            </w:r>
            <w:r w:rsidR="00150C3C">
              <w:rPr>
                <w:rFonts w:ascii="Aptos Narrow" w:hAnsi="Aptos Narrow"/>
                <w:b/>
                <w:bCs/>
                <w:color w:val="000000"/>
                <w:szCs w:val="24"/>
                <w:lang w:eastAsia="en-GB"/>
              </w:rPr>
              <w:t>Green Belt</w:t>
            </w:r>
            <w:r w:rsidR="009C6F35">
              <w:rPr>
                <w:rFonts w:ascii="Aptos Narrow" w:hAnsi="Aptos Narrow"/>
                <w:b/>
                <w:bCs/>
                <w:color w:val="000000"/>
                <w:szCs w:val="24"/>
                <w:lang w:eastAsia="en-GB"/>
              </w:rPr>
              <w:t xml:space="preserve"> </w:t>
            </w:r>
            <w:r>
              <w:rPr>
                <w:rFonts w:ascii="Aptos Narrow" w:hAnsi="Aptos Narrow"/>
                <w:b/>
                <w:bCs/>
                <w:color w:val="000000"/>
                <w:szCs w:val="24"/>
                <w:lang w:eastAsia="en-GB"/>
              </w:rPr>
              <w:t>(</w:t>
            </w:r>
            <w:r w:rsidR="009C6F35">
              <w:rPr>
                <w:rFonts w:ascii="Aptos Narrow" w:hAnsi="Aptos Narrow"/>
                <w:b/>
                <w:bCs/>
                <w:color w:val="000000"/>
                <w:szCs w:val="24"/>
                <w:lang w:eastAsia="en-GB"/>
              </w:rPr>
              <w:t>4,525</w:t>
            </w:r>
            <w:r w:rsidR="00150C3C">
              <w:rPr>
                <w:rFonts w:ascii="Aptos Narrow" w:hAnsi="Aptos Narrow"/>
                <w:b/>
                <w:bCs/>
                <w:color w:val="000000"/>
                <w:szCs w:val="24"/>
                <w:lang w:eastAsia="en-GB"/>
              </w:rPr>
              <w:t xml:space="preserve"> ha</w:t>
            </w:r>
            <w:r>
              <w:rPr>
                <w:rFonts w:ascii="Aptos Narrow" w:hAnsi="Aptos Narrow"/>
                <w:b/>
                <w:bCs/>
                <w:color w:val="000000"/>
                <w:szCs w:val="24"/>
                <w:lang w:eastAsia="en-GB"/>
              </w:rPr>
              <w:t>)</w:t>
            </w:r>
          </w:p>
        </w:tc>
      </w:tr>
      <w:tr w:rsidR="00827B77" w14:paraId="5B7E955D" w14:textId="77777777" w:rsidTr="00173876">
        <w:trPr>
          <w:trHeight w:val="312"/>
        </w:trPr>
        <w:tc>
          <w:tcPr>
            <w:tcW w:w="4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34FFE86" w14:textId="3FD30A2F" w:rsidR="00827B77" w:rsidRDefault="00827B77" w:rsidP="004032CB">
            <w:pPr>
              <w:rPr>
                <w:rFonts w:ascii="Aptos Narrow" w:hAnsi="Aptos Narrow"/>
                <w:color w:val="000000"/>
                <w:szCs w:val="24"/>
                <w:lang w:eastAsia="en-GB"/>
              </w:rPr>
            </w:pPr>
            <w:r>
              <w:rPr>
                <w:rFonts w:ascii="Aptos Narrow" w:hAnsi="Aptos Narrow"/>
                <w:color w:val="000000"/>
                <w:szCs w:val="24"/>
                <w:lang w:eastAsia="en-GB"/>
              </w:rPr>
              <w:t>H1Ka – Beacon Farm, K-I-A</w:t>
            </w:r>
          </w:p>
        </w:tc>
        <w:tc>
          <w:tcPr>
            <w:tcW w:w="3118" w:type="dxa"/>
            <w:tcBorders>
              <w:top w:val="single" w:sz="4" w:space="0" w:color="auto"/>
              <w:left w:val="single" w:sz="4" w:space="0" w:color="auto"/>
              <w:bottom w:val="single" w:sz="4" w:space="0" w:color="auto"/>
              <w:right w:val="single" w:sz="4" w:space="0" w:color="auto"/>
            </w:tcBorders>
            <w:vAlign w:val="bottom"/>
          </w:tcPr>
          <w:p w14:paraId="5CD38902" w14:textId="6115898C" w:rsidR="00827B77" w:rsidRDefault="00827B77" w:rsidP="00371D8B">
            <w:pPr>
              <w:ind w:left="139"/>
              <w:rPr>
                <w:rFonts w:ascii="Aptos Narrow" w:hAnsi="Aptos Narrow"/>
                <w:color w:val="000000"/>
                <w:szCs w:val="24"/>
                <w:lang w:eastAsia="en-GB"/>
              </w:rPr>
            </w:pPr>
            <w:r>
              <w:rPr>
                <w:rFonts w:ascii="Aptos Narrow" w:hAnsi="Aptos Narrow"/>
                <w:color w:val="000000"/>
                <w:szCs w:val="24"/>
                <w:lang w:eastAsia="en-GB"/>
              </w:rPr>
              <w:t>Allocated in Plan</w:t>
            </w:r>
          </w:p>
        </w:tc>
        <w:tc>
          <w:tcPr>
            <w:tcW w:w="993" w:type="dxa"/>
            <w:gridSpan w:val="2"/>
            <w:tcBorders>
              <w:top w:val="single" w:sz="4" w:space="0" w:color="auto"/>
              <w:left w:val="single" w:sz="4" w:space="0" w:color="auto"/>
              <w:bottom w:val="single" w:sz="4" w:space="0" w:color="auto"/>
              <w:right w:val="single" w:sz="4" w:space="0" w:color="auto"/>
            </w:tcBorders>
          </w:tcPr>
          <w:p w14:paraId="273EF18F" w14:textId="6F1D271B" w:rsidR="00827B77" w:rsidRDefault="00827B77" w:rsidP="00251ED0">
            <w:pPr>
              <w:rPr>
                <w:rFonts w:ascii="Aptos Narrow" w:hAnsi="Aptos Narrow"/>
                <w:color w:val="000000"/>
                <w:szCs w:val="24"/>
                <w:lang w:eastAsia="en-GB"/>
              </w:rPr>
            </w:pPr>
            <w:r>
              <w:rPr>
                <w:rFonts w:ascii="Aptos Narrow" w:hAnsi="Aptos Narrow"/>
                <w:color w:val="000000"/>
                <w:szCs w:val="24"/>
                <w:lang w:eastAsia="en-GB"/>
              </w:rPr>
              <w:t xml:space="preserve">    2.37</w:t>
            </w:r>
          </w:p>
        </w:tc>
        <w:tc>
          <w:tcPr>
            <w:tcW w:w="12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F9613B4" w14:textId="5EC8B7D0" w:rsidR="00827B77" w:rsidRDefault="00827B77" w:rsidP="004032CB">
            <w:pPr>
              <w:jc w:val="right"/>
              <w:rPr>
                <w:rFonts w:ascii="Aptos Narrow" w:hAnsi="Aptos Narrow"/>
                <w:color w:val="000000"/>
                <w:szCs w:val="24"/>
                <w:lang w:eastAsia="en-GB"/>
              </w:rPr>
            </w:pPr>
          </w:p>
        </w:tc>
      </w:tr>
      <w:tr w:rsidR="00251ED0" w14:paraId="4B48DC2A" w14:textId="77777777" w:rsidTr="00DD2C58">
        <w:trPr>
          <w:trHeight w:val="312"/>
        </w:trPr>
        <w:tc>
          <w:tcPr>
            <w:tcW w:w="4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FBEDBAA" w14:textId="61D65333" w:rsidR="00251ED0" w:rsidRDefault="00251ED0" w:rsidP="004032CB">
            <w:pPr>
              <w:rPr>
                <w:rFonts w:ascii="Aptos Narrow" w:hAnsi="Aptos Narrow"/>
                <w:color w:val="000000"/>
                <w:szCs w:val="24"/>
                <w:lang w:eastAsia="en-GB"/>
              </w:rPr>
            </w:pPr>
            <w:r>
              <w:rPr>
                <w:rFonts w:ascii="Aptos Narrow" w:hAnsi="Aptos Narrow"/>
                <w:color w:val="000000"/>
                <w:szCs w:val="24"/>
                <w:lang w:eastAsia="en-GB"/>
              </w:rPr>
              <w:t>H1Kh – Hucknall Road, Newstead</w:t>
            </w:r>
          </w:p>
        </w:tc>
        <w:tc>
          <w:tcPr>
            <w:tcW w:w="3118" w:type="dxa"/>
            <w:tcBorders>
              <w:top w:val="single" w:sz="4" w:space="0" w:color="auto"/>
              <w:left w:val="single" w:sz="4" w:space="0" w:color="auto"/>
              <w:bottom w:val="single" w:sz="4" w:space="0" w:color="auto"/>
              <w:right w:val="single" w:sz="4" w:space="0" w:color="auto"/>
            </w:tcBorders>
            <w:vAlign w:val="bottom"/>
          </w:tcPr>
          <w:p w14:paraId="2234FABC" w14:textId="1BDA5CA5" w:rsidR="00251ED0" w:rsidRDefault="00251ED0" w:rsidP="00371D8B">
            <w:pPr>
              <w:ind w:left="139"/>
              <w:rPr>
                <w:rFonts w:ascii="Aptos Narrow" w:hAnsi="Aptos Narrow"/>
                <w:color w:val="000000"/>
                <w:szCs w:val="24"/>
                <w:lang w:eastAsia="en-GB"/>
              </w:rPr>
            </w:pPr>
            <w:r>
              <w:rPr>
                <w:rFonts w:ascii="Aptos Narrow" w:hAnsi="Aptos Narrow"/>
                <w:color w:val="000000"/>
                <w:szCs w:val="24"/>
                <w:lang w:eastAsia="en-GB"/>
              </w:rPr>
              <w:t>Allocated in Plan</w:t>
            </w:r>
          </w:p>
        </w:tc>
        <w:tc>
          <w:tcPr>
            <w:tcW w:w="993" w:type="dxa"/>
            <w:gridSpan w:val="2"/>
            <w:tcBorders>
              <w:top w:val="single" w:sz="4" w:space="0" w:color="auto"/>
              <w:left w:val="single" w:sz="4" w:space="0" w:color="auto"/>
              <w:bottom w:val="single" w:sz="4" w:space="0" w:color="auto"/>
              <w:right w:val="single" w:sz="4" w:space="0" w:color="auto"/>
            </w:tcBorders>
          </w:tcPr>
          <w:p w14:paraId="0D1BD2FF" w14:textId="67F2E71E" w:rsidR="00251ED0" w:rsidRDefault="00251ED0" w:rsidP="00882EC0">
            <w:pPr>
              <w:jc w:val="left"/>
              <w:rPr>
                <w:rFonts w:ascii="Aptos Narrow" w:hAnsi="Aptos Narrow"/>
                <w:color w:val="000000"/>
                <w:szCs w:val="24"/>
                <w:lang w:eastAsia="en-GB"/>
              </w:rPr>
            </w:pPr>
            <w:r>
              <w:rPr>
                <w:rFonts w:ascii="Aptos Narrow" w:hAnsi="Aptos Narrow"/>
                <w:color w:val="000000"/>
                <w:szCs w:val="24"/>
                <w:lang w:eastAsia="en-GB"/>
              </w:rPr>
              <w:t xml:space="preserve">    2.51</w:t>
            </w:r>
          </w:p>
        </w:tc>
        <w:tc>
          <w:tcPr>
            <w:tcW w:w="12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D031BA9" w14:textId="77777777" w:rsidR="00251ED0" w:rsidRDefault="00251ED0" w:rsidP="004032CB">
            <w:pPr>
              <w:rPr>
                <w:rFonts w:ascii="Aptos Narrow" w:hAnsi="Aptos Narrow"/>
                <w:color w:val="000000"/>
                <w:szCs w:val="24"/>
                <w:lang w:eastAsia="en-GB"/>
              </w:rPr>
            </w:pPr>
            <w:r>
              <w:rPr>
                <w:rFonts w:ascii="Aptos Narrow" w:hAnsi="Aptos Narrow"/>
                <w:color w:val="000000"/>
                <w:szCs w:val="24"/>
                <w:lang w:eastAsia="en-GB"/>
              </w:rPr>
              <w:t> </w:t>
            </w:r>
          </w:p>
        </w:tc>
      </w:tr>
      <w:tr w:rsidR="00882EC0" w14:paraId="675F27FF" w14:textId="77777777" w:rsidTr="00C83B74">
        <w:trPr>
          <w:trHeight w:val="312"/>
        </w:trPr>
        <w:tc>
          <w:tcPr>
            <w:tcW w:w="4244"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bottom"/>
          </w:tcPr>
          <w:p w14:paraId="1C3CA50E" w14:textId="6410F968" w:rsidR="00150C3C" w:rsidRDefault="00150C3C" w:rsidP="00150C3C">
            <w:pPr>
              <w:rPr>
                <w:rFonts w:ascii="Aptos Narrow" w:hAnsi="Aptos Narrow"/>
                <w:color w:val="000000"/>
                <w:szCs w:val="24"/>
                <w:lang w:eastAsia="en-GB"/>
              </w:rPr>
            </w:pPr>
            <w:r>
              <w:rPr>
                <w:rFonts w:ascii="Aptos Narrow" w:hAnsi="Aptos Narrow"/>
                <w:color w:val="000000"/>
                <w:szCs w:val="24"/>
                <w:lang w:eastAsia="en-GB"/>
              </w:rPr>
              <w:t>H1Va – Plainspot Farm, Brinsley</w:t>
            </w:r>
          </w:p>
        </w:tc>
        <w:tc>
          <w:tcPr>
            <w:tcW w:w="3118" w:type="dxa"/>
            <w:tcBorders>
              <w:top w:val="single" w:sz="4" w:space="0" w:color="auto"/>
              <w:left w:val="single" w:sz="8" w:space="0" w:color="auto"/>
              <w:bottom w:val="single" w:sz="4" w:space="0" w:color="auto"/>
              <w:right w:val="single" w:sz="8" w:space="0" w:color="auto"/>
            </w:tcBorders>
            <w:vAlign w:val="bottom"/>
          </w:tcPr>
          <w:p w14:paraId="453312D2" w14:textId="0FB3DE6F" w:rsidR="00150C3C" w:rsidRDefault="007F0C08" w:rsidP="00371D8B">
            <w:pPr>
              <w:ind w:left="139"/>
              <w:rPr>
                <w:rFonts w:ascii="Aptos Narrow" w:hAnsi="Aptos Narrow"/>
                <w:color w:val="000000"/>
                <w:szCs w:val="24"/>
                <w:lang w:eastAsia="en-GB"/>
              </w:rPr>
            </w:pPr>
            <w:r>
              <w:rPr>
                <w:rFonts w:ascii="Aptos Narrow" w:hAnsi="Aptos Narrow"/>
                <w:color w:val="000000"/>
                <w:szCs w:val="24"/>
                <w:lang w:eastAsia="en-GB"/>
              </w:rPr>
              <w:t>Allocated in Plan</w:t>
            </w:r>
          </w:p>
        </w:tc>
        <w:tc>
          <w:tcPr>
            <w:tcW w:w="103" w:type="dxa"/>
            <w:tcBorders>
              <w:top w:val="single" w:sz="4" w:space="0" w:color="auto"/>
              <w:left w:val="nil"/>
              <w:bottom w:val="single" w:sz="4" w:space="0" w:color="auto"/>
              <w:right w:val="nil"/>
            </w:tcBorders>
          </w:tcPr>
          <w:p w14:paraId="4ED26432" w14:textId="77777777" w:rsidR="00150C3C" w:rsidRDefault="00150C3C" w:rsidP="00150C3C">
            <w:pPr>
              <w:jc w:val="right"/>
              <w:rPr>
                <w:rFonts w:ascii="Aptos Narrow" w:hAnsi="Aptos Narrow"/>
                <w:color w:val="000000"/>
                <w:szCs w:val="24"/>
                <w:lang w:eastAsia="en-GB"/>
              </w:rPr>
            </w:pPr>
          </w:p>
        </w:tc>
        <w:tc>
          <w:tcPr>
            <w:tcW w:w="890"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bottom"/>
            <w:hideMark/>
          </w:tcPr>
          <w:p w14:paraId="0586F1FE" w14:textId="22290556" w:rsidR="00150C3C" w:rsidRDefault="00150C3C" w:rsidP="00882EC0">
            <w:pPr>
              <w:jc w:val="left"/>
              <w:rPr>
                <w:rFonts w:ascii="Aptos Narrow" w:hAnsi="Aptos Narrow"/>
                <w:color w:val="000000"/>
                <w:szCs w:val="24"/>
                <w:lang w:eastAsia="en-GB"/>
              </w:rPr>
            </w:pPr>
            <w:r>
              <w:rPr>
                <w:rFonts w:ascii="Aptos Narrow" w:hAnsi="Aptos Narrow"/>
                <w:color w:val="000000"/>
                <w:szCs w:val="24"/>
                <w:lang w:eastAsia="en-GB"/>
              </w:rPr>
              <w:t>2.11</w:t>
            </w:r>
          </w:p>
        </w:tc>
        <w:tc>
          <w:tcPr>
            <w:tcW w:w="1275"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bottom"/>
            <w:hideMark/>
          </w:tcPr>
          <w:p w14:paraId="4AF9AC98" w14:textId="1A01BCF4" w:rsidR="00150C3C" w:rsidRDefault="00150C3C" w:rsidP="00150C3C">
            <w:pPr>
              <w:rPr>
                <w:rFonts w:ascii="Aptos Narrow" w:hAnsi="Aptos Narrow"/>
                <w:color w:val="000000"/>
                <w:szCs w:val="24"/>
                <w:lang w:eastAsia="en-GB"/>
              </w:rPr>
            </w:pPr>
            <w:r>
              <w:rPr>
                <w:rFonts w:ascii="Aptos Narrow" w:hAnsi="Aptos Narrow"/>
                <w:color w:val="000000"/>
                <w:szCs w:val="24"/>
                <w:lang w:eastAsia="en-GB"/>
              </w:rPr>
              <w:t> </w:t>
            </w:r>
          </w:p>
        </w:tc>
      </w:tr>
      <w:tr w:rsidR="00827B77" w14:paraId="4A59A543" w14:textId="77777777" w:rsidTr="00BA6797">
        <w:trPr>
          <w:trHeight w:val="312"/>
        </w:trPr>
        <w:tc>
          <w:tcPr>
            <w:tcW w:w="4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156739F" w14:textId="7E8B9716" w:rsidR="00827B77" w:rsidRDefault="00827B77" w:rsidP="00150C3C">
            <w:pPr>
              <w:rPr>
                <w:rFonts w:ascii="Aptos Narrow" w:hAnsi="Aptos Narrow"/>
                <w:color w:val="000000"/>
                <w:szCs w:val="24"/>
                <w:lang w:eastAsia="en-GB"/>
              </w:rPr>
            </w:pPr>
            <w:r>
              <w:rPr>
                <w:rFonts w:ascii="Aptos Narrow" w:hAnsi="Aptos Narrow"/>
                <w:color w:val="000000"/>
                <w:szCs w:val="24"/>
                <w:lang w:eastAsia="en-GB"/>
              </w:rPr>
              <w:t>H1Vc – Bull &amp; Butcher PH, Selston</w:t>
            </w:r>
          </w:p>
        </w:tc>
        <w:tc>
          <w:tcPr>
            <w:tcW w:w="3118" w:type="dxa"/>
            <w:tcBorders>
              <w:top w:val="single" w:sz="4" w:space="0" w:color="auto"/>
              <w:left w:val="single" w:sz="4" w:space="0" w:color="auto"/>
              <w:bottom w:val="single" w:sz="4" w:space="0" w:color="auto"/>
              <w:right w:val="single" w:sz="4" w:space="0" w:color="auto"/>
            </w:tcBorders>
            <w:vAlign w:val="bottom"/>
          </w:tcPr>
          <w:p w14:paraId="488E473D" w14:textId="03C61D3F" w:rsidR="00827B77" w:rsidRDefault="00827B77" w:rsidP="00371D8B">
            <w:pPr>
              <w:ind w:left="139"/>
              <w:rPr>
                <w:rFonts w:ascii="Aptos Narrow" w:hAnsi="Aptos Narrow"/>
                <w:color w:val="000000"/>
                <w:szCs w:val="24"/>
                <w:lang w:eastAsia="en-GB"/>
              </w:rPr>
            </w:pPr>
            <w:r w:rsidRPr="0055393E">
              <w:rPr>
                <w:rFonts w:ascii="Aptos Narrow" w:hAnsi="Aptos Narrow"/>
                <w:color w:val="000000"/>
                <w:szCs w:val="24"/>
                <w:lang w:eastAsia="en-GB"/>
              </w:rPr>
              <w:t>Pending planning application</w:t>
            </w:r>
          </w:p>
        </w:tc>
        <w:tc>
          <w:tcPr>
            <w:tcW w:w="993" w:type="dxa"/>
            <w:gridSpan w:val="2"/>
            <w:tcBorders>
              <w:top w:val="single" w:sz="4" w:space="0" w:color="auto"/>
              <w:left w:val="single" w:sz="4" w:space="0" w:color="auto"/>
              <w:bottom w:val="single" w:sz="4" w:space="0" w:color="auto"/>
              <w:right w:val="single" w:sz="4" w:space="0" w:color="auto"/>
            </w:tcBorders>
          </w:tcPr>
          <w:p w14:paraId="329F4280" w14:textId="4C722BD9" w:rsidR="00827B77" w:rsidRDefault="00827B77" w:rsidP="00882EC0">
            <w:pPr>
              <w:jc w:val="left"/>
              <w:rPr>
                <w:rFonts w:ascii="Aptos Narrow" w:hAnsi="Aptos Narrow"/>
                <w:color w:val="000000"/>
                <w:szCs w:val="24"/>
                <w:lang w:eastAsia="en-GB"/>
              </w:rPr>
            </w:pPr>
            <w:r>
              <w:rPr>
                <w:rFonts w:ascii="Aptos Narrow" w:hAnsi="Aptos Narrow"/>
                <w:color w:val="000000"/>
                <w:szCs w:val="24"/>
                <w:lang w:eastAsia="en-GB"/>
              </w:rPr>
              <w:t xml:space="preserve">    6.63</w:t>
            </w:r>
          </w:p>
        </w:tc>
        <w:tc>
          <w:tcPr>
            <w:tcW w:w="12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345083B" w14:textId="1908C1FE" w:rsidR="00827B77" w:rsidRDefault="00827B77" w:rsidP="00150C3C">
            <w:pPr>
              <w:rPr>
                <w:rFonts w:ascii="Aptos Narrow" w:hAnsi="Aptos Narrow"/>
                <w:color w:val="000000"/>
                <w:szCs w:val="24"/>
                <w:lang w:eastAsia="en-GB"/>
              </w:rPr>
            </w:pPr>
            <w:r>
              <w:rPr>
                <w:rFonts w:ascii="Aptos Narrow" w:hAnsi="Aptos Narrow"/>
                <w:color w:val="000000"/>
                <w:szCs w:val="24"/>
                <w:lang w:eastAsia="en-GB"/>
              </w:rPr>
              <w:t> </w:t>
            </w:r>
          </w:p>
        </w:tc>
      </w:tr>
      <w:tr w:rsidR="00882EC0" w14:paraId="1678F516" w14:textId="77777777" w:rsidTr="00C83B74">
        <w:trPr>
          <w:trHeight w:val="312"/>
        </w:trPr>
        <w:tc>
          <w:tcPr>
            <w:tcW w:w="4244"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894AF0" w14:textId="0C2B09E0" w:rsidR="00150C3C" w:rsidRDefault="00150C3C" w:rsidP="004032CB">
            <w:pPr>
              <w:rPr>
                <w:rFonts w:ascii="Aptos Narrow" w:hAnsi="Aptos Narrow"/>
                <w:color w:val="000000"/>
                <w:szCs w:val="24"/>
                <w:lang w:eastAsia="en-GB"/>
              </w:rPr>
            </w:pPr>
            <w:r>
              <w:rPr>
                <w:rFonts w:ascii="Aptos Narrow" w:hAnsi="Aptos Narrow"/>
                <w:color w:val="000000"/>
                <w:szCs w:val="24"/>
                <w:lang w:eastAsia="en-GB"/>
              </w:rPr>
              <w:t>H1Vd</w:t>
            </w:r>
            <w:r w:rsidR="009C25A3">
              <w:rPr>
                <w:rFonts w:ascii="Aptos Narrow" w:hAnsi="Aptos Narrow"/>
                <w:color w:val="000000"/>
                <w:szCs w:val="24"/>
                <w:lang w:eastAsia="en-GB"/>
              </w:rPr>
              <w:t xml:space="preserve"> – Adj. 149 Stoney Lane, Selston</w:t>
            </w:r>
          </w:p>
        </w:tc>
        <w:tc>
          <w:tcPr>
            <w:tcW w:w="3118" w:type="dxa"/>
            <w:tcBorders>
              <w:top w:val="single" w:sz="4" w:space="0" w:color="auto"/>
              <w:left w:val="single" w:sz="8" w:space="0" w:color="auto"/>
              <w:bottom w:val="single" w:sz="8" w:space="0" w:color="auto"/>
              <w:right w:val="single" w:sz="8" w:space="0" w:color="auto"/>
            </w:tcBorders>
            <w:vAlign w:val="bottom"/>
          </w:tcPr>
          <w:p w14:paraId="6C25CF68" w14:textId="00C8BCBB" w:rsidR="00150C3C" w:rsidRDefault="007F0C08" w:rsidP="00371D8B">
            <w:pPr>
              <w:ind w:left="139"/>
              <w:rPr>
                <w:rFonts w:ascii="Aptos Narrow" w:hAnsi="Aptos Narrow"/>
                <w:color w:val="000000"/>
                <w:szCs w:val="24"/>
                <w:lang w:eastAsia="en-GB"/>
              </w:rPr>
            </w:pPr>
            <w:r>
              <w:rPr>
                <w:rFonts w:ascii="Aptos Narrow" w:hAnsi="Aptos Narrow"/>
                <w:color w:val="000000"/>
                <w:szCs w:val="24"/>
                <w:lang w:eastAsia="en-GB"/>
              </w:rPr>
              <w:t>Allocated in Plan</w:t>
            </w:r>
          </w:p>
        </w:tc>
        <w:tc>
          <w:tcPr>
            <w:tcW w:w="103" w:type="dxa"/>
            <w:tcBorders>
              <w:top w:val="single" w:sz="4" w:space="0" w:color="auto"/>
              <w:left w:val="nil"/>
              <w:bottom w:val="single" w:sz="8" w:space="0" w:color="auto"/>
              <w:right w:val="nil"/>
            </w:tcBorders>
          </w:tcPr>
          <w:p w14:paraId="2ECA0C7D" w14:textId="77777777" w:rsidR="00150C3C" w:rsidRDefault="00150C3C" w:rsidP="004032CB">
            <w:pPr>
              <w:jc w:val="right"/>
              <w:rPr>
                <w:rFonts w:ascii="Aptos Narrow" w:hAnsi="Aptos Narrow"/>
                <w:color w:val="000000"/>
                <w:szCs w:val="24"/>
                <w:lang w:eastAsia="en-GB"/>
              </w:rPr>
            </w:pPr>
          </w:p>
        </w:tc>
        <w:tc>
          <w:tcPr>
            <w:tcW w:w="89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14:paraId="76100A7B" w14:textId="0479B651" w:rsidR="00150C3C" w:rsidRDefault="00150C3C" w:rsidP="00882EC0">
            <w:pPr>
              <w:jc w:val="left"/>
              <w:rPr>
                <w:rFonts w:ascii="Aptos Narrow" w:hAnsi="Aptos Narrow"/>
                <w:color w:val="000000"/>
                <w:szCs w:val="24"/>
                <w:lang w:eastAsia="en-GB"/>
              </w:rPr>
            </w:pPr>
            <w:r>
              <w:rPr>
                <w:rFonts w:ascii="Aptos Narrow" w:hAnsi="Aptos Narrow"/>
                <w:color w:val="000000"/>
                <w:szCs w:val="24"/>
                <w:lang w:eastAsia="en-GB"/>
              </w:rPr>
              <w:t>0.</w:t>
            </w:r>
            <w:r w:rsidR="009C25A3">
              <w:rPr>
                <w:rFonts w:ascii="Aptos Narrow" w:hAnsi="Aptos Narrow"/>
                <w:color w:val="000000"/>
                <w:szCs w:val="24"/>
                <w:lang w:eastAsia="en-GB"/>
              </w:rPr>
              <w:t>20</w:t>
            </w:r>
          </w:p>
        </w:tc>
        <w:tc>
          <w:tcPr>
            <w:tcW w:w="127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14:paraId="20A28946" w14:textId="7BFA259B" w:rsidR="00150C3C" w:rsidRDefault="00150C3C" w:rsidP="004032CB">
            <w:pPr>
              <w:rPr>
                <w:rFonts w:ascii="Aptos Narrow" w:hAnsi="Aptos Narrow"/>
                <w:color w:val="000000"/>
                <w:szCs w:val="24"/>
                <w:lang w:eastAsia="en-GB"/>
              </w:rPr>
            </w:pPr>
          </w:p>
        </w:tc>
      </w:tr>
      <w:tr w:rsidR="00882EC0" w14:paraId="7D134A33" w14:textId="77777777" w:rsidTr="00EA78BB">
        <w:trPr>
          <w:trHeight w:val="312"/>
        </w:trPr>
        <w:tc>
          <w:tcPr>
            <w:tcW w:w="4244"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14:paraId="2E0651A7" w14:textId="77777777" w:rsidR="009C25A3" w:rsidRDefault="009C25A3" w:rsidP="004032CB">
            <w:pPr>
              <w:rPr>
                <w:rFonts w:ascii="Aptos Narrow" w:hAnsi="Aptos Narrow"/>
                <w:color w:val="000000"/>
                <w:szCs w:val="24"/>
                <w:lang w:eastAsia="en-GB"/>
              </w:rPr>
            </w:pPr>
            <w:r>
              <w:rPr>
                <w:rFonts w:ascii="Aptos Narrow" w:hAnsi="Aptos Narrow"/>
                <w:color w:val="000000"/>
                <w:szCs w:val="24"/>
                <w:lang w:eastAsia="en-GB"/>
              </w:rPr>
              <w:t>H1Ve – Park Lane/ South-west M1, Selston</w:t>
            </w:r>
          </w:p>
        </w:tc>
        <w:tc>
          <w:tcPr>
            <w:tcW w:w="3118" w:type="dxa"/>
            <w:tcBorders>
              <w:top w:val="nil"/>
              <w:left w:val="single" w:sz="8" w:space="0" w:color="auto"/>
              <w:bottom w:val="single" w:sz="4" w:space="0" w:color="auto"/>
              <w:right w:val="single" w:sz="8" w:space="0" w:color="auto"/>
            </w:tcBorders>
            <w:vAlign w:val="bottom"/>
          </w:tcPr>
          <w:p w14:paraId="395EF860" w14:textId="08345EE9" w:rsidR="009C25A3" w:rsidRDefault="007F0C08" w:rsidP="00371D8B">
            <w:pPr>
              <w:ind w:left="139"/>
              <w:rPr>
                <w:rFonts w:ascii="Aptos Narrow" w:hAnsi="Aptos Narrow"/>
                <w:color w:val="000000"/>
                <w:szCs w:val="24"/>
                <w:lang w:eastAsia="en-GB"/>
              </w:rPr>
            </w:pPr>
            <w:r w:rsidRPr="0055393E">
              <w:rPr>
                <w:rFonts w:ascii="Aptos Narrow" w:hAnsi="Aptos Narrow"/>
                <w:color w:val="000000"/>
                <w:szCs w:val="24"/>
                <w:lang w:eastAsia="en-GB"/>
              </w:rPr>
              <w:t>Pending planning application</w:t>
            </w:r>
          </w:p>
        </w:tc>
        <w:tc>
          <w:tcPr>
            <w:tcW w:w="103" w:type="dxa"/>
            <w:tcBorders>
              <w:top w:val="nil"/>
              <w:left w:val="nil"/>
              <w:bottom w:val="single" w:sz="4" w:space="0" w:color="auto"/>
              <w:right w:val="nil"/>
            </w:tcBorders>
          </w:tcPr>
          <w:p w14:paraId="7DB79DC0" w14:textId="77777777" w:rsidR="009C25A3" w:rsidRDefault="009C25A3" w:rsidP="004032CB">
            <w:pPr>
              <w:jc w:val="right"/>
              <w:rPr>
                <w:rFonts w:ascii="Aptos Narrow" w:hAnsi="Aptos Narrow"/>
                <w:color w:val="000000"/>
                <w:szCs w:val="24"/>
                <w:lang w:eastAsia="en-GB"/>
              </w:rPr>
            </w:pPr>
          </w:p>
        </w:tc>
        <w:tc>
          <w:tcPr>
            <w:tcW w:w="890"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3097D6E7" w14:textId="009363FA" w:rsidR="009C25A3" w:rsidRDefault="009C25A3" w:rsidP="00882EC0">
            <w:pPr>
              <w:jc w:val="left"/>
              <w:rPr>
                <w:rFonts w:ascii="Aptos Narrow" w:hAnsi="Aptos Narrow"/>
                <w:color w:val="000000"/>
                <w:szCs w:val="24"/>
                <w:lang w:eastAsia="en-GB"/>
              </w:rPr>
            </w:pPr>
            <w:r>
              <w:rPr>
                <w:rFonts w:ascii="Aptos Narrow" w:hAnsi="Aptos Narrow"/>
                <w:color w:val="000000"/>
                <w:szCs w:val="24"/>
                <w:lang w:eastAsia="en-GB"/>
              </w:rPr>
              <w:t>9.43</w:t>
            </w:r>
          </w:p>
        </w:tc>
        <w:tc>
          <w:tcPr>
            <w:tcW w:w="1275"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6F391CD0" w14:textId="7793AA75" w:rsidR="009C25A3" w:rsidRDefault="009C25A3" w:rsidP="004032CB">
            <w:pPr>
              <w:rPr>
                <w:rFonts w:ascii="Aptos Narrow" w:hAnsi="Aptos Narrow"/>
                <w:color w:val="000000"/>
                <w:szCs w:val="24"/>
                <w:lang w:eastAsia="en-GB"/>
              </w:rPr>
            </w:pPr>
          </w:p>
        </w:tc>
      </w:tr>
      <w:tr w:rsidR="00882EC0" w14:paraId="749E3B7B" w14:textId="77777777" w:rsidTr="006458EF">
        <w:trPr>
          <w:trHeight w:val="312"/>
        </w:trPr>
        <w:tc>
          <w:tcPr>
            <w:tcW w:w="4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ACD8E03" w14:textId="77777777" w:rsidR="00882EC0" w:rsidRDefault="00882EC0" w:rsidP="009C25A3">
            <w:pPr>
              <w:rPr>
                <w:rFonts w:ascii="Aptos Narrow" w:hAnsi="Aptos Narrow"/>
                <w:color w:val="000000"/>
                <w:szCs w:val="24"/>
                <w:lang w:eastAsia="en-GB"/>
              </w:rPr>
            </w:pPr>
            <w:r>
              <w:rPr>
                <w:rFonts w:ascii="Aptos Narrow" w:hAnsi="Aptos Narrow"/>
                <w:color w:val="000000"/>
                <w:szCs w:val="24"/>
                <w:lang w:eastAsia="en-GB"/>
              </w:rPr>
              <w:t>H1Vg – North Larch Close, Underwood</w:t>
            </w:r>
          </w:p>
        </w:tc>
        <w:tc>
          <w:tcPr>
            <w:tcW w:w="3118" w:type="dxa"/>
            <w:tcBorders>
              <w:top w:val="single" w:sz="4" w:space="0" w:color="auto"/>
              <w:left w:val="single" w:sz="4" w:space="0" w:color="auto"/>
              <w:bottom w:val="single" w:sz="4" w:space="0" w:color="auto"/>
              <w:right w:val="single" w:sz="4" w:space="0" w:color="auto"/>
            </w:tcBorders>
            <w:vAlign w:val="bottom"/>
          </w:tcPr>
          <w:p w14:paraId="6812836E" w14:textId="53F29BAA" w:rsidR="00882EC0" w:rsidRDefault="00882EC0" w:rsidP="00371D8B">
            <w:pPr>
              <w:ind w:left="139"/>
              <w:rPr>
                <w:rFonts w:ascii="Aptos Narrow" w:hAnsi="Aptos Narrow"/>
                <w:color w:val="000000"/>
                <w:szCs w:val="24"/>
                <w:lang w:eastAsia="en-GB"/>
              </w:rPr>
            </w:pPr>
            <w:r>
              <w:rPr>
                <w:rFonts w:ascii="Aptos Narrow" w:hAnsi="Aptos Narrow"/>
                <w:color w:val="000000"/>
                <w:szCs w:val="24"/>
                <w:lang w:eastAsia="en-GB"/>
              </w:rPr>
              <w:t>Allocated in Plan</w:t>
            </w:r>
          </w:p>
        </w:tc>
        <w:tc>
          <w:tcPr>
            <w:tcW w:w="993" w:type="dxa"/>
            <w:gridSpan w:val="2"/>
            <w:tcBorders>
              <w:top w:val="single" w:sz="4" w:space="0" w:color="auto"/>
              <w:left w:val="single" w:sz="4" w:space="0" w:color="auto"/>
              <w:bottom w:val="single" w:sz="4" w:space="0" w:color="auto"/>
              <w:right w:val="single" w:sz="4" w:space="0" w:color="auto"/>
            </w:tcBorders>
          </w:tcPr>
          <w:p w14:paraId="72461160" w14:textId="55D40C82" w:rsidR="00882EC0" w:rsidRDefault="00882EC0" w:rsidP="00882EC0">
            <w:pPr>
              <w:jc w:val="left"/>
              <w:rPr>
                <w:rFonts w:ascii="Aptos Narrow" w:hAnsi="Aptos Narrow"/>
                <w:color w:val="000000"/>
                <w:szCs w:val="24"/>
                <w:lang w:eastAsia="en-GB"/>
              </w:rPr>
            </w:pPr>
            <w:r>
              <w:rPr>
                <w:rFonts w:ascii="Aptos Narrow" w:hAnsi="Aptos Narrow"/>
                <w:color w:val="000000"/>
                <w:szCs w:val="24"/>
                <w:lang w:eastAsia="en-GB"/>
              </w:rPr>
              <w:t xml:space="preserve">    3.02</w:t>
            </w:r>
          </w:p>
        </w:tc>
        <w:tc>
          <w:tcPr>
            <w:tcW w:w="12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2830D669" w14:textId="07C0A28D" w:rsidR="00882EC0" w:rsidRDefault="00882EC0" w:rsidP="009C25A3">
            <w:pPr>
              <w:rPr>
                <w:rFonts w:ascii="Aptos Narrow" w:hAnsi="Aptos Narrow"/>
                <w:color w:val="000000"/>
                <w:szCs w:val="24"/>
                <w:lang w:eastAsia="en-GB"/>
              </w:rPr>
            </w:pPr>
            <w:r>
              <w:rPr>
                <w:rFonts w:ascii="Aptos Narrow" w:hAnsi="Aptos Narrow"/>
                <w:color w:val="000000"/>
                <w:szCs w:val="24"/>
                <w:lang w:eastAsia="en-GB"/>
              </w:rPr>
              <w:t> </w:t>
            </w:r>
          </w:p>
        </w:tc>
      </w:tr>
      <w:tr w:rsidR="00882EC0" w14:paraId="7B502937" w14:textId="77777777" w:rsidTr="00543FD7">
        <w:trPr>
          <w:trHeight w:val="312"/>
        </w:trPr>
        <w:tc>
          <w:tcPr>
            <w:tcW w:w="4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58ACF95E" w14:textId="77777777" w:rsidR="00882EC0" w:rsidRDefault="00882EC0" w:rsidP="009C25A3">
            <w:pPr>
              <w:rPr>
                <w:rFonts w:ascii="Aptos Narrow" w:hAnsi="Aptos Narrow"/>
                <w:color w:val="000000"/>
                <w:szCs w:val="24"/>
                <w:lang w:eastAsia="en-GB"/>
              </w:rPr>
            </w:pPr>
            <w:r>
              <w:rPr>
                <w:rFonts w:ascii="Aptos Narrow" w:hAnsi="Aptos Narrow"/>
                <w:color w:val="000000"/>
                <w:szCs w:val="24"/>
                <w:lang w:eastAsia="en-GB"/>
              </w:rPr>
              <w:t>H1Vj – Main Road, Jacksdale</w:t>
            </w:r>
          </w:p>
        </w:tc>
        <w:tc>
          <w:tcPr>
            <w:tcW w:w="3118" w:type="dxa"/>
            <w:tcBorders>
              <w:top w:val="single" w:sz="4" w:space="0" w:color="auto"/>
              <w:left w:val="single" w:sz="4" w:space="0" w:color="auto"/>
              <w:bottom w:val="single" w:sz="4" w:space="0" w:color="auto"/>
              <w:right w:val="single" w:sz="4" w:space="0" w:color="auto"/>
            </w:tcBorders>
            <w:vAlign w:val="bottom"/>
          </w:tcPr>
          <w:p w14:paraId="755CC681" w14:textId="66C56F51" w:rsidR="00882EC0" w:rsidRDefault="00882EC0" w:rsidP="00371D8B">
            <w:pPr>
              <w:ind w:left="139"/>
              <w:jc w:val="left"/>
              <w:rPr>
                <w:rFonts w:ascii="Aptos Narrow" w:hAnsi="Aptos Narrow"/>
                <w:color w:val="000000"/>
                <w:szCs w:val="24"/>
                <w:lang w:eastAsia="en-GB"/>
              </w:rPr>
            </w:pPr>
            <w:r>
              <w:rPr>
                <w:rFonts w:ascii="Aptos Narrow" w:hAnsi="Aptos Narrow"/>
                <w:color w:val="000000"/>
                <w:szCs w:val="24"/>
                <w:lang w:eastAsia="en-GB"/>
              </w:rPr>
              <w:t>Planning permission approved</w:t>
            </w:r>
          </w:p>
        </w:tc>
        <w:tc>
          <w:tcPr>
            <w:tcW w:w="993" w:type="dxa"/>
            <w:gridSpan w:val="2"/>
            <w:tcBorders>
              <w:top w:val="single" w:sz="4" w:space="0" w:color="auto"/>
              <w:left w:val="single" w:sz="4" w:space="0" w:color="auto"/>
              <w:bottom w:val="single" w:sz="4" w:space="0" w:color="auto"/>
              <w:right w:val="single" w:sz="4" w:space="0" w:color="auto"/>
            </w:tcBorders>
          </w:tcPr>
          <w:p w14:paraId="211E2D2A" w14:textId="41CDE58A" w:rsidR="00882EC0" w:rsidRDefault="00882EC0" w:rsidP="00882EC0">
            <w:pPr>
              <w:jc w:val="left"/>
              <w:rPr>
                <w:rFonts w:ascii="Aptos Narrow" w:hAnsi="Aptos Narrow"/>
                <w:color w:val="000000"/>
                <w:szCs w:val="24"/>
                <w:lang w:eastAsia="en-GB"/>
              </w:rPr>
            </w:pPr>
            <w:r>
              <w:rPr>
                <w:rFonts w:ascii="Aptos Narrow" w:hAnsi="Aptos Narrow"/>
                <w:color w:val="000000"/>
                <w:szCs w:val="24"/>
                <w:lang w:eastAsia="en-GB"/>
              </w:rPr>
              <w:t xml:space="preserve">    4.22</w:t>
            </w:r>
          </w:p>
        </w:tc>
        <w:tc>
          <w:tcPr>
            <w:tcW w:w="12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1D81FFE" w14:textId="77777777" w:rsidR="00882EC0" w:rsidRDefault="00882EC0" w:rsidP="009C25A3">
            <w:pPr>
              <w:rPr>
                <w:rFonts w:ascii="Aptos Narrow" w:hAnsi="Aptos Narrow"/>
                <w:color w:val="000000"/>
                <w:szCs w:val="24"/>
                <w:lang w:eastAsia="en-GB"/>
              </w:rPr>
            </w:pPr>
            <w:r>
              <w:rPr>
                <w:rFonts w:ascii="Aptos Narrow" w:hAnsi="Aptos Narrow"/>
                <w:color w:val="000000"/>
                <w:szCs w:val="24"/>
                <w:lang w:eastAsia="en-GB"/>
              </w:rPr>
              <w:t> </w:t>
            </w:r>
          </w:p>
        </w:tc>
      </w:tr>
      <w:tr w:rsidR="00882EC0" w14:paraId="746AA6C8" w14:textId="77777777" w:rsidTr="00EA78BB">
        <w:trPr>
          <w:trHeight w:val="312"/>
        </w:trPr>
        <w:tc>
          <w:tcPr>
            <w:tcW w:w="4244"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A975EC" w14:textId="77777777" w:rsidR="009C25A3" w:rsidRDefault="009C25A3" w:rsidP="009C25A3">
            <w:pPr>
              <w:rPr>
                <w:rFonts w:ascii="Aptos Narrow" w:hAnsi="Aptos Narrow"/>
                <w:color w:val="000000"/>
                <w:szCs w:val="24"/>
                <w:lang w:eastAsia="en-GB"/>
              </w:rPr>
            </w:pPr>
            <w:r>
              <w:rPr>
                <w:rFonts w:ascii="Aptos Narrow" w:hAnsi="Aptos Narrow"/>
                <w:color w:val="000000"/>
                <w:szCs w:val="24"/>
                <w:lang w:eastAsia="en-GB"/>
              </w:rPr>
              <w:t>H1Hb – Linby Boarding Kennels, Hucknall</w:t>
            </w:r>
          </w:p>
        </w:tc>
        <w:tc>
          <w:tcPr>
            <w:tcW w:w="3118" w:type="dxa"/>
            <w:tcBorders>
              <w:top w:val="single" w:sz="4" w:space="0" w:color="auto"/>
              <w:left w:val="single" w:sz="8" w:space="0" w:color="auto"/>
              <w:bottom w:val="single" w:sz="8" w:space="0" w:color="auto"/>
              <w:right w:val="single" w:sz="8" w:space="0" w:color="auto"/>
            </w:tcBorders>
            <w:vAlign w:val="bottom"/>
          </w:tcPr>
          <w:p w14:paraId="4D4A09EE" w14:textId="7D0C130C" w:rsidR="009C25A3" w:rsidRDefault="00246C64" w:rsidP="00371D8B">
            <w:pPr>
              <w:ind w:left="139"/>
              <w:jc w:val="left"/>
              <w:rPr>
                <w:rFonts w:ascii="Aptos Narrow" w:hAnsi="Aptos Narrow"/>
                <w:color w:val="000000"/>
                <w:szCs w:val="24"/>
                <w:lang w:eastAsia="en-GB"/>
              </w:rPr>
            </w:pPr>
            <w:r>
              <w:rPr>
                <w:rFonts w:ascii="Aptos Narrow" w:hAnsi="Aptos Narrow"/>
                <w:color w:val="000000"/>
                <w:szCs w:val="24"/>
                <w:lang w:eastAsia="en-GB"/>
              </w:rPr>
              <w:t>Planning p</w:t>
            </w:r>
            <w:r w:rsidR="007F0C08">
              <w:rPr>
                <w:rFonts w:ascii="Aptos Narrow" w:hAnsi="Aptos Narrow"/>
                <w:color w:val="000000"/>
                <w:szCs w:val="24"/>
                <w:lang w:eastAsia="en-GB"/>
              </w:rPr>
              <w:t xml:space="preserve">ermission </w:t>
            </w:r>
            <w:r>
              <w:rPr>
                <w:rFonts w:ascii="Aptos Narrow" w:hAnsi="Aptos Narrow"/>
                <w:color w:val="000000"/>
                <w:szCs w:val="24"/>
                <w:lang w:eastAsia="en-GB"/>
              </w:rPr>
              <w:t xml:space="preserve">approved for </w:t>
            </w:r>
            <w:r w:rsidR="007F0C08">
              <w:rPr>
                <w:rFonts w:ascii="Aptos Narrow" w:hAnsi="Aptos Narrow"/>
                <w:color w:val="000000"/>
                <w:szCs w:val="24"/>
                <w:lang w:eastAsia="en-GB"/>
              </w:rPr>
              <w:t>9 dw</w:t>
            </w:r>
            <w:r>
              <w:rPr>
                <w:rFonts w:ascii="Aptos Narrow" w:hAnsi="Aptos Narrow"/>
                <w:color w:val="000000"/>
                <w:szCs w:val="24"/>
                <w:lang w:eastAsia="en-GB"/>
              </w:rPr>
              <w:t>ellin</w:t>
            </w:r>
            <w:r w:rsidR="007F0C08">
              <w:rPr>
                <w:rFonts w:ascii="Aptos Narrow" w:hAnsi="Aptos Narrow"/>
                <w:color w:val="000000"/>
                <w:szCs w:val="24"/>
                <w:lang w:eastAsia="en-GB"/>
              </w:rPr>
              <w:t>gs</w:t>
            </w:r>
            <w:r>
              <w:rPr>
                <w:rFonts w:ascii="Aptos Narrow" w:hAnsi="Aptos Narrow"/>
                <w:color w:val="000000"/>
                <w:szCs w:val="24"/>
                <w:lang w:eastAsia="en-GB"/>
              </w:rPr>
              <w:t xml:space="preserve"> on part of site</w:t>
            </w:r>
          </w:p>
        </w:tc>
        <w:tc>
          <w:tcPr>
            <w:tcW w:w="103" w:type="dxa"/>
            <w:tcBorders>
              <w:top w:val="single" w:sz="4" w:space="0" w:color="auto"/>
              <w:left w:val="nil"/>
              <w:bottom w:val="single" w:sz="8" w:space="0" w:color="auto"/>
              <w:right w:val="nil"/>
            </w:tcBorders>
          </w:tcPr>
          <w:p w14:paraId="7D8C82B5" w14:textId="77777777" w:rsidR="009C25A3" w:rsidRDefault="009C25A3" w:rsidP="009C25A3">
            <w:pPr>
              <w:jc w:val="right"/>
              <w:rPr>
                <w:rFonts w:ascii="Aptos Narrow" w:hAnsi="Aptos Narrow"/>
                <w:color w:val="000000"/>
                <w:szCs w:val="24"/>
                <w:lang w:eastAsia="en-GB"/>
              </w:rPr>
            </w:pPr>
          </w:p>
        </w:tc>
        <w:tc>
          <w:tcPr>
            <w:tcW w:w="89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1693A5D" w14:textId="065EE895" w:rsidR="009C25A3" w:rsidRDefault="009C25A3" w:rsidP="00882EC0">
            <w:pPr>
              <w:jc w:val="left"/>
              <w:rPr>
                <w:rFonts w:ascii="Aptos Narrow" w:hAnsi="Aptos Narrow"/>
                <w:color w:val="000000"/>
                <w:szCs w:val="24"/>
                <w:lang w:eastAsia="en-GB"/>
              </w:rPr>
            </w:pPr>
            <w:r>
              <w:rPr>
                <w:rFonts w:ascii="Aptos Narrow" w:hAnsi="Aptos Narrow"/>
                <w:color w:val="000000"/>
                <w:szCs w:val="24"/>
                <w:lang w:eastAsia="en-GB"/>
              </w:rPr>
              <w:t>3.33</w:t>
            </w:r>
          </w:p>
        </w:tc>
        <w:tc>
          <w:tcPr>
            <w:tcW w:w="127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0400E20" w14:textId="77777777" w:rsidR="009C25A3" w:rsidRDefault="009C25A3" w:rsidP="009C25A3">
            <w:pPr>
              <w:rPr>
                <w:rFonts w:ascii="Aptos Narrow" w:hAnsi="Aptos Narrow"/>
                <w:color w:val="000000"/>
                <w:szCs w:val="24"/>
                <w:lang w:eastAsia="en-GB"/>
              </w:rPr>
            </w:pPr>
            <w:r>
              <w:rPr>
                <w:rFonts w:ascii="Aptos Narrow" w:hAnsi="Aptos Narrow"/>
                <w:color w:val="000000"/>
                <w:szCs w:val="24"/>
                <w:lang w:eastAsia="en-GB"/>
              </w:rPr>
              <w:t> </w:t>
            </w:r>
          </w:p>
        </w:tc>
      </w:tr>
      <w:tr w:rsidR="00882EC0" w14:paraId="56458AF9" w14:textId="77777777" w:rsidTr="00371D8B">
        <w:trPr>
          <w:trHeight w:val="312"/>
        </w:trPr>
        <w:tc>
          <w:tcPr>
            <w:tcW w:w="42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62437E" w14:textId="77777777" w:rsidR="009C25A3" w:rsidRDefault="009C25A3" w:rsidP="009C25A3">
            <w:pPr>
              <w:rPr>
                <w:rFonts w:ascii="Aptos Narrow" w:hAnsi="Aptos Narrow"/>
                <w:color w:val="000000"/>
                <w:szCs w:val="24"/>
                <w:lang w:eastAsia="en-GB"/>
              </w:rPr>
            </w:pPr>
            <w:r>
              <w:rPr>
                <w:rFonts w:ascii="Aptos Narrow" w:hAnsi="Aptos Narrow"/>
                <w:color w:val="000000"/>
                <w:szCs w:val="24"/>
                <w:lang w:eastAsia="en-GB"/>
              </w:rPr>
              <w:t>H1Hc – South of Broomhill Farm, Hucknall</w:t>
            </w:r>
          </w:p>
        </w:tc>
        <w:tc>
          <w:tcPr>
            <w:tcW w:w="3118" w:type="dxa"/>
            <w:tcBorders>
              <w:top w:val="nil"/>
              <w:left w:val="single" w:sz="8" w:space="0" w:color="auto"/>
              <w:bottom w:val="single" w:sz="8" w:space="0" w:color="auto"/>
              <w:right w:val="single" w:sz="8" w:space="0" w:color="auto"/>
            </w:tcBorders>
            <w:vAlign w:val="bottom"/>
          </w:tcPr>
          <w:p w14:paraId="3A8D3999" w14:textId="6C2FBB27" w:rsidR="009C25A3" w:rsidRDefault="007F0C08" w:rsidP="00371D8B">
            <w:pPr>
              <w:ind w:left="139"/>
              <w:rPr>
                <w:rFonts w:ascii="Aptos Narrow" w:hAnsi="Aptos Narrow"/>
                <w:color w:val="000000"/>
                <w:szCs w:val="24"/>
                <w:lang w:eastAsia="en-GB"/>
              </w:rPr>
            </w:pPr>
            <w:r>
              <w:rPr>
                <w:rFonts w:ascii="Aptos Narrow" w:hAnsi="Aptos Narrow"/>
                <w:color w:val="000000"/>
                <w:szCs w:val="24"/>
                <w:lang w:eastAsia="en-GB"/>
              </w:rPr>
              <w:t xml:space="preserve">Allocation in Plan </w:t>
            </w:r>
          </w:p>
        </w:tc>
        <w:tc>
          <w:tcPr>
            <w:tcW w:w="103" w:type="dxa"/>
            <w:tcBorders>
              <w:top w:val="nil"/>
              <w:left w:val="nil"/>
              <w:bottom w:val="single" w:sz="8" w:space="0" w:color="auto"/>
              <w:right w:val="nil"/>
            </w:tcBorders>
          </w:tcPr>
          <w:p w14:paraId="37CDDEA8" w14:textId="77777777" w:rsidR="009C25A3" w:rsidRDefault="009C25A3" w:rsidP="009C25A3">
            <w:pPr>
              <w:jc w:val="right"/>
              <w:rPr>
                <w:rFonts w:ascii="Aptos Narrow" w:hAnsi="Aptos Narrow"/>
                <w:color w:val="000000"/>
                <w:szCs w:val="24"/>
                <w:lang w:eastAsia="en-GB"/>
              </w:rPr>
            </w:pP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8C24B5" w14:textId="3FE3D287" w:rsidR="009C25A3" w:rsidRDefault="009C25A3" w:rsidP="00882EC0">
            <w:pPr>
              <w:jc w:val="left"/>
              <w:rPr>
                <w:rFonts w:ascii="Aptos Narrow" w:hAnsi="Aptos Narrow"/>
                <w:color w:val="000000"/>
                <w:szCs w:val="24"/>
                <w:lang w:eastAsia="en-GB"/>
              </w:rPr>
            </w:pPr>
            <w:r>
              <w:rPr>
                <w:rFonts w:ascii="Aptos Narrow" w:hAnsi="Aptos Narrow"/>
                <w:color w:val="000000"/>
                <w:szCs w:val="24"/>
                <w:lang w:eastAsia="en-GB"/>
              </w:rPr>
              <w:t>31.53</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116467" w14:textId="77777777" w:rsidR="009C25A3" w:rsidRDefault="009C25A3" w:rsidP="009C25A3">
            <w:pPr>
              <w:rPr>
                <w:rFonts w:ascii="Aptos Narrow" w:hAnsi="Aptos Narrow"/>
                <w:color w:val="000000"/>
                <w:szCs w:val="24"/>
                <w:lang w:eastAsia="en-GB"/>
              </w:rPr>
            </w:pPr>
            <w:r>
              <w:rPr>
                <w:rFonts w:ascii="Aptos Narrow" w:hAnsi="Aptos Narrow"/>
                <w:color w:val="000000"/>
                <w:szCs w:val="24"/>
                <w:lang w:eastAsia="en-GB"/>
              </w:rPr>
              <w:t> </w:t>
            </w:r>
          </w:p>
        </w:tc>
      </w:tr>
      <w:tr w:rsidR="00882EC0" w14:paraId="7B75BBC1" w14:textId="77777777" w:rsidTr="00882EC0">
        <w:trPr>
          <w:trHeight w:val="312"/>
        </w:trPr>
        <w:tc>
          <w:tcPr>
            <w:tcW w:w="42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C290C63" w14:textId="101D8DC5" w:rsidR="007F0C08" w:rsidRDefault="007F0C08" w:rsidP="009C25A3">
            <w:pPr>
              <w:rPr>
                <w:rFonts w:ascii="Aptos Narrow" w:hAnsi="Aptos Narrow"/>
                <w:color w:val="000000"/>
                <w:szCs w:val="24"/>
                <w:lang w:eastAsia="en-GB"/>
              </w:rPr>
            </w:pPr>
            <w:r>
              <w:rPr>
                <w:rFonts w:ascii="Aptos Narrow" w:hAnsi="Aptos Narrow"/>
                <w:color w:val="000000"/>
                <w:szCs w:val="24"/>
                <w:lang w:eastAsia="en-GB"/>
              </w:rPr>
              <w:t>H1Hd – Stubbin Wood Farm, Huckn</w:t>
            </w:r>
            <w:r w:rsidR="00004D6B">
              <w:rPr>
                <w:rFonts w:ascii="Aptos Narrow" w:hAnsi="Aptos Narrow"/>
                <w:color w:val="000000"/>
                <w:szCs w:val="24"/>
                <w:lang w:eastAsia="en-GB"/>
              </w:rPr>
              <w:t>a</w:t>
            </w:r>
            <w:r>
              <w:rPr>
                <w:rFonts w:ascii="Aptos Narrow" w:hAnsi="Aptos Narrow"/>
                <w:color w:val="000000"/>
                <w:szCs w:val="24"/>
                <w:lang w:eastAsia="en-GB"/>
              </w:rPr>
              <w:t>ll</w:t>
            </w:r>
          </w:p>
        </w:tc>
        <w:tc>
          <w:tcPr>
            <w:tcW w:w="3118" w:type="dxa"/>
            <w:tcBorders>
              <w:top w:val="nil"/>
              <w:left w:val="single" w:sz="8" w:space="0" w:color="auto"/>
              <w:bottom w:val="single" w:sz="8" w:space="0" w:color="auto"/>
              <w:right w:val="single" w:sz="8" w:space="0" w:color="auto"/>
            </w:tcBorders>
            <w:vAlign w:val="bottom"/>
          </w:tcPr>
          <w:p w14:paraId="3DCD024A" w14:textId="029D57B8" w:rsidR="007F0C08" w:rsidRDefault="007F0C08" w:rsidP="00371D8B">
            <w:pPr>
              <w:ind w:left="139"/>
              <w:rPr>
                <w:rFonts w:ascii="Aptos Narrow" w:hAnsi="Aptos Narrow"/>
                <w:color w:val="000000"/>
                <w:szCs w:val="24"/>
                <w:lang w:eastAsia="en-GB"/>
              </w:rPr>
            </w:pPr>
            <w:r>
              <w:rPr>
                <w:rFonts w:ascii="Aptos Narrow" w:hAnsi="Aptos Narrow"/>
                <w:color w:val="000000"/>
                <w:szCs w:val="24"/>
                <w:lang w:eastAsia="en-GB"/>
              </w:rPr>
              <w:t>Allocation in Plan</w:t>
            </w:r>
          </w:p>
        </w:tc>
        <w:tc>
          <w:tcPr>
            <w:tcW w:w="103" w:type="dxa"/>
            <w:tcBorders>
              <w:top w:val="nil"/>
              <w:left w:val="nil"/>
              <w:bottom w:val="single" w:sz="8" w:space="0" w:color="auto"/>
              <w:right w:val="nil"/>
            </w:tcBorders>
          </w:tcPr>
          <w:p w14:paraId="7CDD9FEE" w14:textId="77777777" w:rsidR="007F0C08" w:rsidRDefault="007F0C08" w:rsidP="009C25A3">
            <w:pPr>
              <w:jc w:val="right"/>
              <w:rPr>
                <w:rFonts w:ascii="Aptos Narrow" w:hAnsi="Aptos Narrow"/>
                <w:color w:val="000000"/>
                <w:szCs w:val="24"/>
                <w:lang w:eastAsia="en-GB"/>
              </w:rPr>
            </w:pP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D4D5F80" w14:textId="000D74E4" w:rsidR="007F0C08" w:rsidRPr="00882EC0" w:rsidRDefault="00882EC0" w:rsidP="00882EC0">
            <w:pPr>
              <w:jc w:val="left"/>
              <w:rPr>
                <w:rFonts w:ascii="Aptos Narrow" w:hAnsi="Aptos Narrow"/>
                <w:color w:val="000000"/>
                <w:szCs w:val="24"/>
                <w:lang w:eastAsia="en-GB"/>
              </w:rPr>
            </w:pPr>
            <w:r w:rsidRPr="00882EC0">
              <w:rPr>
                <w:rFonts w:ascii="Aptos Narrow" w:hAnsi="Aptos Narrow"/>
                <w:color w:val="000000"/>
                <w:szCs w:val="24"/>
                <w:lang w:eastAsia="en-GB"/>
              </w:rPr>
              <w:t>8.85</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C559D05" w14:textId="77777777" w:rsidR="007F0C08" w:rsidRPr="00882EC0" w:rsidRDefault="007F0C08" w:rsidP="009C25A3">
            <w:pPr>
              <w:rPr>
                <w:rFonts w:ascii="Aptos Narrow" w:hAnsi="Aptos Narrow"/>
                <w:color w:val="000000"/>
                <w:szCs w:val="24"/>
                <w:lang w:eastAsia="en-GB"/>
              </w:rPr>
            </w:pPr>
          </w:p>
        </w:tc>
      </w:tr>
      <w:tr w:rsidR="00251ED0" w14:paraId="23EABDE0" w14:textId="77777777" w:rsidTr="00882EC0">
        <w:trPr>
          <w:trHeight w:val="312"/>
        </w:trPr>
        <w:tc>
          <w:tcPr>
            <w:tcW w:w="7362"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F15E34" w14:textId="77777777" w:rsidR="009C25A3" w:rsidRPr="00150C3C" w:rsidRDefault="009C25A3" w:rsidP="009C25A3">
            <w:pPr>
              <w:rPr>
                <w:rFonts w:ascii="Aptos Narrow" w:hAnsi="Aptos Narrow"/>
                <w:b/>
                <w:bCs/>
                <w:color w:val="000000"/>
                <w:szCs w:val="24"/>
                <w:lang w:eastAsia="en-GB"/>
              </w:rPr>
            </w:pPr>
            <w:r w:rsidRPr="00150C3C">
              <w:rPr>
                <w:rFonts w:ascii="Aptos Narrow" w:hAnsi="Aptos Narrow"/>
                <w:b/>
                <w:bCs/>
                <w:color w:val="000000"/>
                <w:szCs w:val="24"/>
                <w:lang w:eastAsia="en-GB"/>
              </w:rPr>
              <w:t>TOTAL</w:t>
            </w:r>
          </w:p>
        </w:tc>
        <w:tc>
          <w:tcPr>
            <w:tcW w:w="103" w:type="dxa"/>
            <w:tcBorders>
              <w:top w:val="nil"/>
              <w:left w:val="nil"/>
              <w:bottom w:val="single" w:sz="8" w:space="0" w:color="auto"/>
              <w:right w:val="nil"/>
            </w:tcBorders>
          </w:tcPr>
          <w:p w14:paraId="08DC81AF" w14:textId="77777777" w:rsidR="009C25A3" w:rsidRPr="00150C3C" w:rsidRDefault="009C25A3" w:rsidP="009C25A3">
            <w:pPr>
              <w:jc w:val="right"/>
              <w:rPr>
                <w:rFonts w:ascii="Aptos Narrow" w:hAnsi="Aptos Narrow"/>
                <w:b/>
                <w:bCs/>
                <w:color w:val="000000"/>
                <w:szCs w:val="24"/>
                <w:lang w:eastAsia="en-GB"/>
              </w:rPr>
            </w:pP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0E6C69" w14:textId="72A7E94A" w:rsidR="009C25A3" w:rsidRPr="00882EC0" w:rsidRDefault="00882EC0" w:rsidP="00882EC0">
            <w:pPr>
              <w:jc w:val="left"/>
              <w:rPr>
                <w:rFonts w:ascii="Aptos Narrow" w:hAnsi="Aptos Narrow"/>
                <w:b/>
                <w:bCs/>
                <w:color w:val="000000"/>
                <w:szCs w:val="24"/>
                <w:lang w:eastAsia="en-GB"/>
              </w:rPr>
            </w:pPr>
            <w:r w:rsidRPr="00882EC0">
              <w:rPr>
                <w:rFonts w:ascii="Aptos Narrow" w:hAnsi="Aptos Narrow"/>
                <w:b/>
                <w:bCs/>
                <w:color w:val="000000"/>
                <w:szCs w:val="24"/>
                <w:lang w:eastAsia="en-GB"/>
              </w:rPr>
              <w:t>74.</w:t>
            </w:r>
            <w:r w:rsidR="00251ED0">
              <w:rPr>
                <w:rFonts w:ascii="Aptos Narrow" w:hAnsi="Aptos Narrow"/>
                <w:b/>
                <w:bCs/>
                <w:color w:val="000000"/>
                <w:szCs w:val="24"/>
                <w:lang w:eastAsia="en-GB"/>
              </w:rPr>
              <w:t>19</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AF3E02" w14:textId="2167D25D" w:rsidR="009C25A3" w:rsidRPr="00882EC0" w:rsidRDefault="009C25A3" w:rsidP="009C25A3">
            <w:pPr>
              <w:jc w:val="right"/>
              <w:rPr>
                <w:rFonts w:ascii="Aptos Narrow" w:hAnsi="Aptos Narrow"/>
                <w:b/>
                <w:bCs/>
                <w:color w:val="000000"/>
                <w:szCs w:val="24"/>
                <w:lang w:eastAsia="en-GB"/>
              </w:rPr>
            </w:pPr>
            <w:r w:rsidRPr="00882EC0">
              <w:rPr>
                <w:rFonts w:ascii="Aptos Narrow" w:hAnsi="Aptos Narrow"/>
                <w:b/>
                <w:bCs/>
                <w:color w:val="000000"/>
                <w:szCs w:val="24"/>
                <w:lang w:eastAsia="en-GB"/>
              </w:rPr>
              <w:t>1.</w:t>
            </w:r>
            <w:r w:rsidR="00251ED0">
              <w:rPr>
                <w:rFonts w:ascii="Aptos Narrow" w:hAnsi="Aptos Narrow"/>
                <w:b/>
                <w:bCs/>
                <w:color w:val="000000"/>
                <w:szCs w:val="24"/>
                <w:lang w:eastAsia="en-GB"/>
              </w:rPr>
              <w:t>6</w:t>
            </w:r>
            <w:r w:rsidRPr="00882EC0">
              <w:rPr>
                <w:rFonts w:ascii="Aptos Narrow" w:hAnsi="Aptos Narrow"/>
                <w:b/>
                <w:bCs/>
                <w:color w:val="000000"/>
                <w:szCs w:val="24"/>
                <w:lang w:eastAsia="en-GB"/>
              </w:rPr>
              <w:t>%</w:t>
            </w:r>
          </w:p>
        </w:tc>
      </w:tr>
    </w:tbl>
    <w:p w14:paraId="1FDE710B" w14:textId="56B3E869" w:rsidR="003A1825" w:rsidRPr="004032CB" w:rsidRDefault="003A1825" w:rsidP="004032CB">
      <w:pPr>
        <w:rPr>
          <w:color w:val="000000"/>
          <w:sz w:val="22"/>
          <w:lang w:eastAsia="en-GB"/>
        </w:rPr>
      </w:pPr>
    </w:p>
    <w:p w14:paraId="708343CD" w14:textId="77777777" w:rsidR="00251ED0" w:rsidRDefault="00251ED0" w:rsidP="003A214C">
      <w:pPr>
        <w:jc w:val="left"/>
        <w:rPr>
          <w:b/>
          <w:bCs/>
          <w:i/>
          <w:iCs/>
        </w:rPr>
      </w:pPr>
    </w:p>
    <w:p w14:paraId="29F4EE09" w14:textId="78B91C65" w:rsidR="003A1825" w:rsidRPr="003A214C" w:rsidRDefault="003A1825" w:rsidP="001C4B8F">
      <w:pPr>
        <w:pStyle w:val="Heading3"/>
      </w:pPr>
      <w:r w:rsidRPr="003A214C">
        <w:t>3.10 What other reasonable options for meeting the identified housing requirement were</w:t>
      </w:r>
      <w:r w:rsidR="003A214C" w:rsidRPr="003A214C">
        <w:t xml:space="preserve"> </w:t>
      </w:r>
      <w:r w:rsidRPr="003A214C">
        <w:t>considered prior to the proposed release of land from the Green Belt?</w:t>
      </w:r>
    </w:p>
    <w:p w14:paraId="04FC7FE5" w14:textId="77777777" w:rsidR="003A214C" w:rsidRPr="00156B97" w:rsidRDefault="003A214C" w:rsidP="003A214C">
      <w:pPr>
        <w:jc w:val="left"/>
        <w:rPr>
          <w:u w:val="single"/>
        </w:rPr>
      </w:pPr>
      <w:r w:rsidRPr="00156B97">
        <w:rPr>
          <w:u w:val="single"/>
        </w:rPr>
        <w:t>Council’s response</w:t>
      </w:r>
    </w:p>
    <w:p w14:paraId="09E65D7E" w14:textId="77777777" w:rsidR="006627B1" w:rsidRDefault="000C666C" w:rsidP="006627B1">
      <w:pPr>
        <w:ind w:left="851" w:hanging="851"/>
        <w:jc w:val="left"/>
      </w:pPr>
      <w:r>
        <w:t>3.10.1</w:t>
      </w:r>
      <w:r>
        <w:tab/>
      </w:r>
      <w:r w:rsidR="00FE5696" w:rsidRPr="00CD5AF8">
        <w:rPr>
          <w:rFonts w:cs="Arial"/>
          <w:szCs w:val="24"/>
        </w:rPr>
        <w:t xml:space="preserve"> </w:t>
      </w:r>
      <w:r w:rsidR="006627B1">
        <w:t xml:space="preserve">Appendix G of the Sustainability Appraisal (SA) </w:t>
      </w:r>
      <w:r w:rsidR="006627B1" w:rsidRPr="00CD5AF8">
        <w:t>[SD.03h] appraises</w:t>
      </w:r>
      <w:r w:rsidR="006627B1" w:rsidRPr="00C46DBA">
        <w:t xml:space="preserve"> the spatial options considered by the Council. </w:t>
      </w:r>
      <w:r w:rsidR="006627B1">
        <w:t xml:space="preserve">Of the 10 spatial options considered, only 2 did not proposes Green Belt release. </w:t>
      </w:r>
      <w:r w:rsidR="006627B1" w:rsidRPr="00C46DBA">
        <w:t xml:space="preserve"> </w:t>
      </w:r>
      <w:r w:rsidR="006627B1">
        <w:t>These were:</w:t>
      </w:r>
    </w:p>
    <w:p w14:paraId="659D6657" w14:textId="77777777" w:rsidR="006627B1" w:rsidRPr="007F0830" w:rsidRDefault="006627B1" w:rsidP="006627B1">
      <w:pPr>
        <w:pStyle w:val="WDBullets"/>
        <w:numPr>
          <w:ilvl w:val="0"/>
          <w:numId w:val="21"/>
        </w:numPr>
        <w:ind w:left="1418"/>
        <w:rPr>
          <w:rFonts w:ascii="Arial" w:hAnsi="Arial" w:cs="Arial"/>
          <w:sz w:val="24"/>
          <w:szCs w:val="24"/>
        </w:rPr>
      </w:pPr>
      <w:r>
        <w:rPr>
          <w:rFonts w:ascii="Arial" w:hAnsi="Arial" w:cs="Arial"/>
          <w:sz w:val="24"/>
          <w:szCs w:val="24"/>
        </w:rPr>
        <w:lastRenderedPageBreak/>
        <w:t xml:space="preserve">Option </w:t>
      </w:r>
      <w:r w:rsidRPr="007F0830">
        <w:rPr>
          <w:rFonts w:ascii="Arial" w:hAnsi="Arial" w:cs="Arial"/>
          <w:sz w:val="24"/>
          <w:szCs w:val="24"/>
        </w:rPr>
        <w:t>1</w:t>
      </w:r>
      <w:r>
        <w:rPr>
          <w:rFonts w:ascii="Arial" w:hAnsi="Arial" w:cs="Arial"/>
          <w:sz w:val="24"/>
          <w:szCs w:val="24"/>
        </w:rPr>
        <w:t>:</w:t>
      </w:r>
      <w:r w:rsidRPr="007F0830">
        <w:rPr>
          <w:rFonts w:ascii="Arial" w:hAnsi="Arial" w:cs="Arial"/>
          <w:sz w:val="24"/>
          <w:szCs w:val="24"/>
        </w:rPr>
        <w:t xml:space="preserve"> Containment within existing settlements; and</w:t>
      </w:r>
    </w:p>
    <w:p w14:paraId="626C00F4" w14:textId="77777777" w:rsidR="006627B1" w:rsidRPr="00CD5AF8" w:rsidRDefault="006627B1" w:rsidP="006627B1">
      <w:pPr>
        <w:pStyle w:val="WDBullets"/>
        <w:numPr>
          <w:ilvl w:val="0"/>
          <w:numId w:val="21"/>
        </w:numPr>
        <w:ind w:left="1418"/>
        <w:rPr>
          <w:rFonts w:ascii="Arial" w:hAnsi="Arial" w:cs="Arial"/>
          <w:sz w:val="24"/>
          <w:szCs w:val="24"/>
        </w:rPr>
      </w:pPr>
      <w:r>
        <w:rPr>
          <w:rFonts w:ascii="Arial" w:hAnsi="Arial" w:cs="Arial"/>
          <w:sz w:val="24"/>
          <w:szCs w:val="24"/>
        </w:rPr>
        <w:t xml:space="preserve">Option 2: </w:t>
      </w:r>
      <w:r w:rsidRPr="007F0830">
        <w:rPr>
          <w:rFonts w:ascii="Arial" w:hAnsi="Arial" w:cs="Arial"/>
          <w:sz w:val="24"/>
          <w:szCs w:val="24"/>
        </w:rPr>
        <w:t>Urban Concentration within/adjoining existing settlements with no Green Belt release.</w:t>
      </w:r>
      <w:r>
        <w:rPr>
          <w:rFonts w:ascii="Arial" w:hAnsi="Arial" w:cs="Arial"/>
          <w:sz w:val="24"/>
          <w:szCs w:val="24"/>
        </w:rPr>
        <w:t>’</w:t>
      </w:r>
      <w:r w:rsidRPr="00CD5AF8">
        <w:rPr>
          <w:rFonts w:ascii="Arial" w:hAnsi="Arial" w:cs="Arial"/>
          <w:sz w:val="24"/>
          <w:szCs w:val="24"/>
        </w:rPr>
        <w:t xml:space="preserve"> </w:t>
      </w:r>
    </w:p>
    <w:p w14:paraId="58A8D162" w14:textId="6D4318CE" w:rsidR="006627B1" w:rsidRDefault="006627B1" w:rsidP="00C63847">
      <w:pPr>
        <w:pStyle w:val="WDBodyNumbered"/>
        <w:numPr>
          <w:ilvl w:val="2"/>
          <w:numId w:val="0"/>
        </w:numPr>
        <w:ind w:left="851" w:hanging="851"/>
      </w:pPr>
      <w:r>
        <w:rPr>
          <w:rFonts w:ascii="Arial" w:hAnsi="Arial" w:cs="Arial"/>
          <w:sz w:val="24"/>
          <w:szCs w:val="24"/>
        </w:rPr>
        <w:t>3.10.2</w:t>
      </w:r>
      <w:r>
        <w:rPr>
          <w:rFonts w:ascii="Arial" w:hAnsi="Arial" w:cs="Arial"/>
          <w:sz w:val="24"/>
          <w:szCs w:val="24"/>
        </w:rPr>
        <w:tab/>
        <w:t>It was e</w:t>
      </w:r>
      <w:r w:rsidRPr="00083106">
        <w:rPr>
          <w:rFonts w:ascii="Arial" w:hAnsi="Arial" w:cs="Arial"/>
          <w:sz w:val="24"/>
          <w:szCs w:val="24"/>
        </w:rPr>
        <w:t>vidence</w:t>
      </w:r>
      <w:r>
        <w:rPr>
          <w:rFonts w:ascii="Arial" w:hAnsi="Arial" w:cs="Arial"/>
          <w:sz w:val="24"/>
          <w:szCs w:val="24"/>
        </w:rPr>
        <w:t xml:space="preserve">d early on the Plan making process that </w:t>
      </w:r>
      <w:r w:rsidRPr="00083106">
        <w:rPr>
          <w:rFonts w:ascii="Arial" w:hAnsi="Arial" w:cs="Arial"/>
          <w:sz w:val="24"/>
          <w:szCs w:val="24"/>
        </w:rPr>
        <w:t>there are not enough sites available through the Strategic Housing and Economic Land Availability Assessment (SHELAA) process to meet the minimum housing required in the district</w:t>
      </w:r>
      <w:r>
        <w:rPr>
          <w:rFonts w:ascii="Arial" w:hAnsi="Arial" w:cs="Arial"/>
          <w:sz w:val="24"/>
          <w:szCs w:val="24"/>
        </w:rPr>
        <w:t>,</w:t>
      </w:r>
      <w:r w:rsidRPr="00083106">
        <w:rPr>
          <w:rFonts w:ascii="Arial" w:hAnsi="Arial" w:cs="Arial"/>
          <w:sz w:val="24"/>
          <w:szCs w:val="24"/>
        </w:rPr>
        <w:t xml:space="preserve"> for either </w:t>
      </w:r>
      <w:r>
        <w:rPr>
          <w:rFonts w:ascii="Arial" w:hAnsi="Arial" w:cs="Arial"/>
          <w:sz w:val="24"/>
          <w:szCs w:val="24"/>
        </w:rPr>
        <w:t>O</w:t>
      </w:r>
      <w:r w:rsidRPr="00083106">
        <w:rPr>
          <w:rFonts w:ascii="Arial" w:hAnsi="Arial" w:cs="Arial"/>
          <w:sz w:val="24"/>
          <w:szCs w:val="24"/>
        </w:rPr>
        <w:t>ption</w:t>
      </w:r>
      <w:r>
        <w:rPr>
          <w:rFonts w:ascii="Arial" w:hAnsi="Arial" w:cs="Arial"/>
          <w:sz w:val="24"/>
          <w:szCs w:val="24"/>
        </w:rPr>
        <w:t xml:space="preserve"> 1 or Option 2</w:t>
      </w:r>
      <w:r w:rsidRPr="00083106">
        <w:rPr>
          <w:rFonts w:ascii="Arial" w:hAnsi="Arial" w:cs="Arial"/>
          <w:sz w:val="24"/>
          <w:szCs w:val="24"/>
        </w:rPr>
        <w:t xml:space="preserve">.  In SA terms, it </w:t>
      </w:r>
      <w:r>
        <w:rPr>
          <w:rFonts w:ascii="Arial" w:hAnsi="Arial" w:cs="Arial"/>
          <w:sz w:val="24"/>
          <w:szCs w:val="24"/>
        </w:rPr>
        <w:t>was</w:t>
      </w:r>
      <w:r w:rsidRPr="00083106">
        <w:rPr>
          <w:rFonts w:ascii="Arial" w:hAnsi="Arial" w:cs="Arial"/>
          <w:sz w:val="24"/>
          <w:szCs w:val="24"/>
        </w:rPr>
        <w:t xml:space="preserve"> therefore considered that the two options </w:t>
      </w:r>
      <w:r>
        <w:rPr>
          <w:rFonts w:ascii="Arial" w:hAnsi="Arial" w:cs="Arial"/>
          <w:sz w:val="24"/>
          <w:szCs w:val="24"/>
        </w:rPr>
        <w:t>a</w:t>
      </w:r>
      <w:r w:rsidRPr="00083106">
        <w:rPr>
          <w:rFonts w:ascii="Arial" w:hAnsi="Arial" w:cs="Arial"/>
          <w:sz w:val="24"/>
          <w:szCs w:val="24"/>
        </w:rPr>
        <w:t>re not ‘reasonable alternatives’ as they w</w:t>
      </w:r>
      <w:r>
        <w:rPr>
          <w:rFonts w:ascii="Arial" w:hAnsi="Arial" w:cs="Arial"/>
          <w:sz w:val="24"/>
          <w:szCs w:val="24"/>
        </w:rPr>
        <w:t>ill</w:t>
      </w:r>
      <w:r w:rsidRPr="00083106">
        <w:rPr>
          <w:rFonts w:ascii="Arial" w:hAnsi="Arial" w:cs="Arial"/>
          <w:sz w:val="24"/>
          <w:szCs w:val="24"/>
        </w:rPr>
        <w:t xml:space="preserve"> not deliver the Local Plan’s growth objectives.  </w:t>
      </w:r>
    </w:p>
    <w:p w14:paraId="61389A29" w14:textId="77777777" w:rsidR="00C63847" w:rsidRDefault="00C63847" w:rsidP="00556367">
      <w:pPr>
        <w:ind w:left="720" w:hanging="720"/>
        <w:jc w:val="left"/>
      </w:pPr>
    </w:p>
    <w:p w14:paraId="2D62D4DE" w14:textId="6A6A2439" w:rsidR="003A1825" w:rsidRPr="003A214C" w:rsidRDefault="003A1825" w:rsidP="001C4B8F">
      <w:pPr>
        <w:pStyle w:val="Heading3"/>
      </w:pPr>
      <w:r w:rsidRPr="003A214C">
        <w:t>3.11 Not all of Ashfield District is within the Green Belt. Could the need for new housing and</w:t>
      </w:r>
      <w:r w:rsidR="003A214C" w:rsidRPr="003A214C">
        <w:t xml:space="preserve"> </w:t>
      </w:r>
      <w:r w:rsidRPr="003A214C">
        <w:t>employment be met by locating such uses outside Green Belt? If not, why is this the</w:t>
      </w:r>
      <w:r w:rsidR="003A214C" w:rsidRPr="003A214C">
        <w:t xml:space="preserve"> </w:t>
      </w:r>
      <w:r w:rsidRPr="003A214C">
        <w:t>case?</w:t>
      </w:r>
    </w:p>
    <w:p w14:paraId="65C317DB" w14:textId="77777777" w:rsidR="003A214C" w:rsidRPr="00156B97" w:rsidRDefault="003A214C" w:rsidP="003A214C">
      <w:pPr>
        <w:jc w:val="left"/>
        <w:rPr>
          <w:u w:val="single"/>
        </w:rPr>
      </w:pPr>
      <w:r w:rsidRPr="00156B97">
        <w:rPr>
          <w:u w:val="single"/>
        </w:rPr>
        <w:t>Council’s response</w:t>
      </w:r>
    </w:p>
    <w:p w14:paraId="062CF66B" w14:textId="77777777" w:rsidR="007412F6" w:rsidRDefault="00CD5AF8" w:rsidP="007412F6">
      <w:pPr>
        <w:ind w:left="851" w:hanging="851"/>
        <w:jc w:val="left"/>
        <w:rPr>
          <w:rFonts w:cs="Arial"/>
          <w:szCs w:val="24"/>
        </w:rPr>
      </w:pPr>
      <w:r>
        <w:rPr>
          <w:rFonts w:cs="Arial"/>
          <w:szCs w:val="24"/>
        </w:rPr>
        <w:t>3.11.1</w:t>
      </w:r>
      <w:r>
        <w:rPr>
          <w:rFonts w:cs="Arial"/>
          <w:szCs w:val="24"/>
        </w:rPr>
        <w:tab/>
      </w:r>
      <w:r w:rsidR="00CE72AE">
        <w:rPr>
          <w:rFonts w:cs="Arial"/>
          <w:szCs w:val="24"/>
        </w:rPr>
        <w:t>In relation to Housing, please see the Councils response to Qu.3.10.</w:t>
      </w:r>
      <w:r w:rsidR="007412F6">
        <w:rPr>
          <w:rFonts w:cs="Arial"/>
          <w:szCs w:val="24"/>
        </w:rPr>
        <w:t xml:space="preserve">  </w:t>
      </w:r>
    </w:p>
    <w:p w14:paraId="2638942A" w14:textId="18D86AE3" w:rsidR="00CE72AE" w:rsidRDefault="007412F6" w:rsidP="00CE72AE">
      <w:pPr>
        <w:ind w:left="851" w:hanging="851"/>
        <w:jc w:val="left"/>
      </w:pPr>
      <w:r>
        <w:rPr>
          <w:rFonts w:cs="Arial"/>
          <w:szCs w:val="24"/>
        </w:rPr>
        <w:t>3.11.2</w:t>
      </w:r>
      <w:r>
        <w:rPr>
          <w:rFonts w:cs="Arial"/>
          <w:szCs w:val="24"/>
        </w:rPr>
        <w:tab/>
      </w:r>
      <w:r w:rsidR="00CE72AE">
        <w:t>The National Planning Policy Framework (NPPF) requires local authorities to identify and provide sufficient housing land to meet the objectively assessed needs of a growing population, as set out in Policy S7 of the Local Plan [SD.01]. The Government places particular importance on promoting sustainable patterns of development (NPPF para 7) and a lower housing provision (Option 1 &amp; Option 2) was not viewed to be sustainable when considering environmental, social and economic factors. It is considered that the approach to the proposed distribution of growth is justified and consistent with sustainable development.</w:t>
      </w:r>
    </w:p>
    <w:p w14:paraId="121BCDAC" w14:textId="54EB39E5" w:rsidR="007412F6" w:rsidRDefault="007412F6" w:rsidP="007412F6">
      <w:pPr>
        <w:ind w:left="851" w:hanging="851"/>
        <w:jc w:val="left"/>
      </w:pPr>
      <w:r>
        <w:t>3.11.3</w:t>
      </w:r>
      <w:r>
        <w:tab/>
      </w:r>
      <w:r>
        <w:rPr>
          <w:rFonts w:cs="Arial"/>
          <w:szCs w:val="24"/>
        </w:rPr>
        <w:t>T</w:t>
      </w:r>
      <w:r w:rsidRPr="00F3497D">
        <w:t xml:space="preserve">he Council consider that Green </w:t>
      </w:r>
      <w:r>
        <w:t>B</w:t>
      </w:r>
      <w:r w:rsidRPr="00F3497D">
        <w:t xml:space="preserve">elt release is necessary to deliver growth in appropriate locations and to achieve the Vision through the preferred spatial strategy. Sites have been selected according to the methodology set out in [BP.01] and aim to deliver proportionate growth in sustainable locations to serve existing settlements whilst minimising impact on the Green </w:t>
      </w:r>
      <w:r>
        <w:t>B</w:t>
      </w:r>
      <w:r w:rsidRPr="00F3497D">
        <w:t xml:space="preserve">elt. </w:t>
      </w:r>
    </w:p>
    <w:p w14:paraId="4D00212F" w14:textId="2C19295B" w:rsidR="008461FA" w:rsidRPr="008461FA" w:rsidRDefault="006627B1" w:rsidP="008461FA">
      <w:pPr>
        <w:spacing w:after="0" w:line="240" w:lineRule="auto"/>
        <w:ind w:left="851" w:hanging="851"/>
        <w:jc w:val="left"/>
        <w:rPr>
          <w:rFonts w:eastAsia="Calibri" w:cs="Arial"/>
          <w:szCs w:val="24"/>
        </w:rPr>
      </w:pPr>
      <w:r w:rsidRPr="008461FA">
        <w:rPr>
          <w:rFonts w:cs="Arial"/>
          <w:szCs w:val="24"/>
        </w:rPr>
        <w:t>3.11.</w:t>
      </w:r>
      <w:r w:rsidR="007412F6">
        <w:rPr>
          <w:rFonts w:cs="Arial"/>
          <w:szCs w:val="24"/>
        </w:rPr>
        <w:t>4</w:t>
      </w:r>
      <w:r w:rsidR="008461FA">
        <w:rPr>
          <w:rFonts w:cs="Arial"/>
          <w:szCs w:val="24"/>
        </w:rPr>
        <w:tab/>
      </w:r>
      <w:r w:rsidRPr="008461FA">
        <w:rPr>
          <w:rFonts w:cs="Arial"/>
          <w:szCs w:val="24"/>
        </w:rPr>
        <w:t xml:space="preserve">In relation to Employment, </w:t>
      </w:r>
      <w:r w:rsidR="008461FA">
        <w:rPr>
          <w:rFonts w:cs="Arial"/>
          <w:szCs w:val="24"/>
        </w:rPr>
        <w:t>t</w:t>
      </w:r>
      <w:r w:rsidR="008461FA" w:rsidRPr="008461FA">
        <w:rPr>
          <w:rFonts w:eastAsia="Calibri" w:cs="Arial"/>
          <w:szCs w:val="24"/>
        </w:rPr>
        <w:t>he economic evidence for the Local Plan identifies that there is a significant demand for strategic logistics, particularly along the M1 Motorway corridor in Nottinghamshire, and a shortage in the supply to meet the needs of major logistics operators. With the substantial development of Castlewood Business Park and the building out of Summit Park, Ashfield no longer has the capacity to significantly contribute towards meeting this requirement. The Council considers that currently there are no sites in the District which would provide a realistic alternative with the necessary attributes that the sites at Junction 27</w:t>
      </w:r>
      <w:r w:rsidR="008461FA">
        <w:rPr>
          <w:rFonts w:eastAsia="Calibri" w:cs="Arial"/>
          <w:szCs w:val="24"/>
        </w:rPr>
        <w:t xml:space="preserve"> (Policy S6 of the Local Plan)</w:t>
      </w:r>
      <w:r w:rsidR="008461FA" w:rsidRPr="008461FA">
        <w:rPr>
          <w:rFonts w:eastAsia="Calibri" w:cs="Arial"/>
          <w:szCs w:val="24"/>
        </w:rPr>
        <w:t xml:space="preserve"> possess which are well placed to meet demand for logistics in terms of scale, access to the motorway network and deliverability.</w:t>
      </w:r>
    </w:p>
    <w:p w14:paraId="1905F6AC" w14:textId="77777777" w:rsidR="008461FA" w:rsidRDefault="008461FA" w:rsidP="008461FA">
      <w:pPr>
        <w:pStyle w:val="ListParagraph"/>
        <w:ind w:left="851" w:hanging="851"/>
        <w:rPr>
          <w:rFonts w:asciiTheme="minorHAnsi" w:eastAsia="Calibri" w:hAnsiTheme="minorHAnsi" w:cs="Arial"/>
          <w:sz w:val="22"/>
          <w:szCs w:val="24"/>
        </w:rPr>
      </w:pPr>
    </w:p>
    <w:p w14:paraId="14D4DBDC" w14:textId="3FA037B8" w:rsidR="008461FA" w:rsidRPr="007412F6" w:rsidRDefault="008461FA" w:rsidP="007412F6">
      <w:pPr>
        <w:pStyle w:val="ListParagraph"/>
        <w:numPr>
          <w:ilvl w:val="2"/>
          <w:numId w:val="26"/>
        </w:numPr>
        <w:spacing w:after="0" w:line="240" w:lineRule="auto"/>
        <w:ind w:left="851" w:hanging="851"/>
        <w:jc w:val="left"/>
        <w:rPr>
          <w:rFonts w:eastAsia="Calibri" w:cs="Arial"/>
          <w:szCs w:val="24"/>
        </w:rPr>
      </w:pPr>
      <w:r w:rsidRPr="007412F6">
        <w:rPr>
          <w:rFonts w:eastAsia="Calibri" w:cs="Arial"/>
          <w:szCs w:val="24"/>
        </w:rPr>
        <w:t xml:space="preserve">The proposed strategic employment allocations (Policy S6 of the Local Plan) provide a major economic opportunity for Ashfield, providing investment to boost the local economy and jobs, and helping to address local deprivation issues. </w:t>
      </w:r>
    </w:p>
    <w:p w14:paraId="45034350" w14:textId="77777777" w:rsidR="008461FA" w:rsidRDefault="008461FA" w:rsidP="007412F6">
      <w:pPr>
        <w:pStyle w:val="ListParagraph"/>
        <w:ind w:left="851" w:hanging="851"/>
        <w:rPr>
          <w:rFonts w:eastAsia="Calibri" w:cs="Arial"/>
          <w:szCs w:val="24"/>
        </w:rPr>
      </w:pPr>
    </w:p>
    <w:p w14:paraId="293A3D57" w14:textId="5713C0A8" w:rsidR="008461FA" w:rsidRPr="007412F6" w:rsidRDefault="008461FA" w:rsidP="007412F6">
      <w:pPr>
        <w:pStyle w:val="ListParagraph"/>
        <w:numPr>
          <w:ilvl w:val="2"/>
          <w:numId w:val="26"/>
        </w:numPr>
        <w:spacing w:after="0" w:line="240" w:lineRule="auto"/>
        <w:ind w:left="851" w:hanging="851"/>
        <w:jc w:val="left"/>
        <w:rPr>
          <w:rFonts w:eastAsia="Calibri" w:cs="Arial"/>
          <w:szCs w:val="24"/>
        </w:rPr>
      </w:pPr>
      <w:r w:rsidRPr="007412F6">
        <w:rPr>
          <w:rFonts w:eastAsia="Calibri" w:cs="Arial"/>
          <w:szCs w:val="24"/>
        </w:rPr>
        <w:lastRenderedPageBreak/>
        <w:t>The need to weigh competing issues lies at the heart of the NPPF. It is considered, on balance, the public benefits of the proposed allocation in relation to heritage assets and the exceptional circumstances in relation to the Green Belt provide the justification for the allocation to be taken forward in the Local Plan.</w:t>
      </w:r>
    </w:p>
    <w:p w14:paraId="0CF1B169" w14:textId="3A4FEDF3" w:rsidR="006627B1" w:rsidRPr="00C46DBA" w:rsidRDefault="006627B1" w:rsidP="008461FA">
      <w:pPr>
        <w:ind w:left="851" w:hanging="851"/>
        <w:jc w:val="left"/>
      </w:pPr>
    </w:p>
    <w:p w14:paraId="535D3966" w14:textId="77777777" w:rsidR="003A1825" w:rsidRDefault="003A1825" w:rsidP="003A214C">
      <w:pPr>
        <w:jc w:val="left"/>
      </w:pPr>
    </w:p>
    <w:p w14:paraId="1454D66B" w14:textId="5BE3AA34" w:rsidR="003A1825" w:rsidRPr="003A214C" w:rsidRDefault="003A1825" w:rsidP="001C4B8F">
      <w:pPr>
        <w:pStyle w:val="Heading3"/>
      </w:pPr>
      <w:r w:rsidRPr="003A214C">
        <w:t>3.12 How has the assessment of sites within the Green Belt informed the Council’s approach</w:t>
      </w:r>
      <w:r w:rsidR="003A214C" w:rsidRPr="003A214C">
        <w:t xml:space="preserve"> </w:t>
      </w:r>
      <w:r w:rsidRPr="003A214C">
        <w:t>to site selection?</w:t>
      </w:r>
    </w:p>
    <w:p w14:paraId="48057F28" w14:textId="77777777" w:rsidR="003A214C" w:rsidRPr="00156B97" w:rsidRDefault="003A214C" w:rsidP="003A214C">
      <w:pPr>
        <w:jc w:val="left"/>
        <w:rPr>
          <w:u w:val="single"/>
        </w:rPr>
      </w:pPr>
      <w:r w:rsidRPr="00156B97">
        <w:rPr>
          <w:u w:val="single"/>
        </w:rPr>
        <w:t>Council’s response</w:t>
      </w:r>
    </w:p>
    <w:p w14:paraId="13959F1D" w14:textId="2B2E10C2" w:rsidR="005C3DAF" w:rsidRDefault="005C3DAF" w:rsidP="005C3DAF">
      <w:pPr>
        <w:pStyle w:val="CM33"/>
        <w:ind w:left="851" w:right="537" w:hanging="851"/>
      </w:pPr>
      <w:r>
        <w:t>3.12.1</w:t>
      </w:r>
      <w:r>
        <w:tab/>
        <w:t xml:space="preserve">The Council has undertaken a </w:t>
      </w:r>
      <w:r w:rsidR="00D2267D">
        <w:t>two-stage</w:t>
      </w:r>
      <w:r>
        <w:t xml:space="preserve"> approach to the assessment of sites within the Green Belt: </w:t>
      </w:r>
    </w:p>
    <w:p w14:paraId="6E05E676" w14:textId="77777777" w:rsidR="005C3DAF" w:rsidRDefault="005C3DAF" w:rsidP="005C3DAF">
      <w:pPr>
        <w:pStyle w:val="Default"/>
      </w:pPr>
    </w:p>
    <w:p w14:paraId="588DC515" w14:textId="1D26F49A" w:rsidR="005C3DAF" w:rsidRPr="000861F4" w:rsidRDefault="005C3DAF" w:rsidP="000861F4">
      <w:pPr>
        <w:pStyle w:val="Default"/>
        <w:numPr>
          <w:ilvl w:val="0"/>
          <w:numId w:val="24"/>
        </w:numPr>
        <w:spacing w:after="160"/>
        <w:ind w:left="1276" w:hanging="284"/>
        <w:rPr>
          <w:color w:val="auto"/>
        </w:rPr>
      </w:pPr>
      <w:r w:rsidRPr="000861F4">
        <w:rPr>
          <w:b/>
          <w:bCs/>
          <w:color w:val="auto"/>
        </w:rPr>
        <w:t>Stage 1</w:t>
      </w:r>
      <w:r w:rsidRPr="000861F4">
        <w:rPr>
          <w:color w:val="auto"/>
        </w:rPr>
        <w:t xml:space="preserve">: Strategic Green Belt Review (SGBR) </w:t>
      </w:r>
      <w:r w:rsidR="00DA1917" w:rsidRPr="000861F4">
        <w:rPr>
          <w:color w:val="auto"/>
        </w:rPr>
        <w:t>[SEV.07, SEV.07a</w:t>
      </w:r>
      <w:r w:rsidR="000861F4">
        <w:rPr>
          <w:color w:val="auto"/>
        </w:rPr>
        <w:t xml:space="preserve"> </w:t>
      </w:r>
      <w:r w:rsidR="00DA1917" w:rsidRPr="000861F4">
        <w:rPr>
          <w:color w:val="auto"/>
        </w:rPr>
        <w:t>–</w:t>
      </w:r>
      <w:r w:rsidR="000861F4">
        <w:rPr>
          <w:color w:val="auto"/>
        </w:rPr>
        <w:t xml:space="preserve"> i</w:t>
      </w:r>
      <w:r w:rsidR="00DA1917" w:rsidRPr="000861F4">
        <w:rPr>
          <w:color w:val="auto"/>
        </w:rPr>
        <w:t xml:space="preserve">]            </w:t>
      </w:r>
    </w:p>
    <w:p w14:paraId="51CE8E12" w14:textId="3F7D48FD" w:rsidR="005C3DAF" w:rsidRDefault="005C3DAF" w:rsidP="000861F4">
      <w:pPr>
        <w:pStyle w:val="Default"/>
        <w:numPr>
          <w:ilvl w:val="0"/>
          <w:numId w:val="24"/>
        </w:numPr>
        <w:spacing w:after="160"/>
        <w:ind w:left="1276" w:hanging="284"/>
        <w:rPr>
          <w:color w:val="auto"/>
        </w:rPr>
      </w:pPr>
      <w:r w:rsidRPr="000861F4">
        <w:rPr>
          <w:b/>
          <w:bCs/>
          <w:color w:val="auto"/>
        </w:rPr>
        <w:t>Stage 2</w:t>
      </w:r>
      <w:r w:rsidRPr="000861F4">
        <w:rPr>
          <w:color w:val="auto"/>
        </w:rPr>
        <w:t xml:space="preserve">: </w:t>
      </w:r>
      <w:r w:rsidR="00D2267D" w:rsidRPr="000861F4">
        <w:rPr>
          <w:color w:val="auto"/>
        </w:rPr>
        <w:t xml:space="preserve">Background Paper 4 - </w:t>
      </w:r>
      <w:r w:rsidRPr="000861F4">
        <w:rPr>
          <w:color w:val="auto"/>
        </w:rPr>
        <w:t xml:space="preserve">Green Belt Harm Assessment </w:t>
      </w:r>
      <w:r w:rsidR="00D2267D" w:rsidRPr="000861F4">
        <w:rPr>
          <w:color w:val="auto"/>
        </w:rPr>
        <w:t>[</w:t>
      </w:r>
      <w:r w:rsidR="00D2267D" w:rsidRPr="00DA1917">
        <w:rPr>
          <w:color w:val="auto"/>
        </w:rPr>
        <w:t>BP.04]</w:t>
      </w:r>
      <w:r>
        <w:rPr>
          <w:color w:val="auto"/>
        </w:rPr>
        <w:t xml:space="preserve">  </w:t>
      </w:r>
    </w:p>
    <w:p w14:paraId="7C2D2167" w14:textId="77777777" w:rsidR="005C3DAF" w:rsidRDefault="005C3DAF" w:rsidP="005C3DAF">
      <w:pPr>
        <w:pStyle w:val="Default"/>
        <w:ind w:left="1276"/>
        <w:rPr>
          <w:color w:val="auto"/>
        </w:rPr>
      </w:pPr>
    </w:p>
    <w:p w14:paraId="6A675697" w14:textId="5B5A0556" w:rsidR="005C3DAF" w:rsidRDefault="005C3DAF" w:rsidP="005C3DAF">
      <w:pPr>
        <w:pStyle w:val="CM44"/>
        <w:ind w:left="851" w:right="285" w:hanging="851"/>
      </w:pPr>
      <w:r>
        <w:t>3.12.2</w:t>
      </w:r>
      <w:r>
        <w:tab/>
        <w:t>The Stage 1 study provided a rating for each identified Green Belt parcel for ‘harm of release’</w:t>
      </w:r>
      <w:r w:rsidR="000861F4">
        <w:t xml:space="preserve"> when assessed against the purposes of the Green Belt as set out in National Planning Policy</w:t>
      </w:r>
      <w:r>
        <w:t>, but this was a basic measure that did not reflect a detailed analysis.  This Stage 2 study provides a more refined assessment of harm.</w:t>
      </w:r>
    </w:p>
    <w:p w14:paraId="1971C788" w14:textId="77777777" w:rsidR="005C3DAF" w:rsidRDefault="005C3DAF" w:rsidP="005C3DAF">
      <w:pPr>
        <w:pStyle w:val="Default"/>
      </w:pPr>
    </w:p>
    <w:p w14:paraId="7E2E4847" w14:textId="51CF50E3" w:rsidR="005B2EE3" w:rsidRPr="005B2EE3" w:rsidRDefault="005C3DAF" w:rsidP="005B2EE3">
      <w:pPr>
        <w:spacing w:line="256" w:lineRule="auto"/>
        <w:ind w:left="851" w:hanging="851"/>
        <w:jc w:val="left"/>
        <w:rPr>
          <w:rFonts w:eastAsia="Calibri" w:cs="Arial"/>
          <w:szCs w:val="24"/>
        </w:rPr>
      </w:pPr>
      <w:r>
        <w:t>3.12.3</w:t>
      </w:r>
      <w:r>
        <w:tab/>
        <w:t>Both</w:t>
      </w:r>
      <w:r w:rsidR="00E272BD">
        <w:t xml:space="preserve"> </w:t>
      </w:r>
      <w:r w:rsidR="00E45488">
        <w:t>stage</w:t>
      </w:r>
      <w:r w:rsidR="003A66CA">
        <w:t>s</w:t>
      </w:r>
      <w:r w:rsidR="00E45488">
        <w:t xml:space="preserve"> 1 &amp; 2 </w:t>
      </w:r>
      <w:r w:rsidR="00E272BD">
        <w:t>assessment</w:t>
      </w:r>
      <w:r>
        <w:t xml:space="preserve">s </w:t>
      </w:r>
      <w:r w:rsidR="003A66CA">
        <w:t>are</w:t>
      </w:r>
      <w:r w:rsidR="00E45488">
        <w:t xml:space="preserve"> technical </w:t>
      </w:r>
      <w:r w:rsidR="00E45488" w:rsidRPr="005B2EE3">
        <w:rPr>
          <w:bCs/>
        </w:rPr>
        <w:t>exercise, which d</w:t>
      </w:r>
      <w:r w:rsidR="003A66CA">
        <w:rPr>
          <w:bCs/>
        </w:rPr>
        <w:t>o</w:t>
      </w:r>
      <w:r w:rsidR="00E45488" w:rsidRPr="005B2EE3">
        <w:rPr>
          <w:bCs/>
        </w:rPr>
        <w:t xml:space="preserve"> not determine whether or not land should remain or be excluded from the Green Bel</w:t>
      </w:r>
      <w:r w:rsidR="00144974">
        <w:rPr>
          <w:bCs/>
        </w:rPr>
        <w:t>t</w:t>
      </w:r>
      <w:r w:rsidR="00E45488" w:rsidRPr="005B2EE3">
        <w:rPr>
          <w:bCs/>
        </w:rPr>
        <w:t xml:space="preserve">, nor is it their role </w:t>
      </w:r>
      <w:r w:rsidR="00E45488">
        <w:t xml:space="preserve">to establish whether exceptional circumstances exist.  </w:t>
      </w:r>
      <w:r w:rsidR="003A66CA">
        <w:t xml:space="preserve">They </w:t>
      </w:r>
      <w:r w:rsidR="00144974">
        <w:rPr>
          <w:rFonts w:eastAsia="Calibri" w:cs="Arial"/>
          <w:szCs w:val="24"/>
        </w:rPr>
        <w:t>form a</w:t>
      </w:r>
      <w:r w:rsidR="003A66CA">
        <w:rPr>
          <w:rFonts w:eastAsia="Calibri" w:cs="Arial"/>
          <w:szCs w:val="24"/>
        </w:rPr>
        <w:t xml:space="preserve">n </w:t>
      </w:r>
      <w:r w:rsidR="00144974">
        <w:rPr>
          <w:rFonts w:eastAsia="Calibri" w:cs="Arial"/>
          <w:szCs w:val="24"/>
        </w:rPr>
        <w:t xml:space="preserve">evidence base </w:t>
      </w:r>
      <w:r w:rsidR="003A66CA">
        <w:rPr>
          <w:rFonts w:eastAsia="Calibri" w:cs="Arial"/>
          <w:szCs w:val="24"/>
        </w:rPr>
        <w:t xml:space="preserve">to help inform the </w:t>
      </w:r>
      <w:r w:rsidR="00144974">
        <w:rPr>
          <w:rFonts w:eastAsia="Calibri" w:cs="Arial"/>
          <w:szCs w:val="24"/>
        </w:rPr>
        <w:t>selection process</w:t>
      </w:r>
      <w:r w:rsidR="003A66CA">
        <w:rPr>
          <w:rFonts w:eastAsia="Calibri" w:cs="Arial"/>
          <w:szCs w:val="24"/>
        </w:rPr>
        <w:t>, alongside other evidence base documents</w:t>
      </w:r>
      <w:r w:rsidR="00144974">
        <w:rPr>
          <w:rFonts w:eastAsia="Calibri" w:cs="Arial"/>
          <w:szCs w:val="24"/>
        </w:rPr>
        <w:t xml:space="preserve">.  </w:t>
      </w:r>
    </w:p>
    <w:p w14:paraId="5693EE16" w14:textId="2C982D11" w:rsidR="00E45488" w:rsidRPr="00E45488" w:rsidRDefault="00E45488" w:rsidP="00E45488">
      <w:pPr>
        <w:spacing w:line="256" w:lineRule="auto"/>
        <w:ind w:left="851" w:hanging="851"/>
        <w:jc w:val="left"/>
        <w:rPr>
          <w:rFonts w:cs="Arial"/>
          <w:szCs w:val="24"/>
        </w:rPr>
      </w:pPr>
      <w:r>
        <w:t>3.12.2</w:t>
      </w:r>
      <w:r>
        <w:tab/>
        <w:t>Chapter 7 of Background Paper 1 [BP.01] sets out the</w:t>
      </w:r>
      <w:r w:rsidRPr="00E45488">
        <w:rPr>
          <w:rFonts w:cs="Arial"/>
          <w:szCs w:val="24"/>
        </w:rPr>
        <w:t xml:space="preserve"> key factors which have been taken into consideration when selecting the most appropriate sites that would deliver the Spatial Approach and achieve the Council’s vision for the future. </w:t>
      </w:r>
      <w:r w:rsidR="005B2EE3">
        <w:rPr>
          <w:rFonts w:cs="Arial"/>
          <w:szCs w:val="24"/>
        </w:rPr>
        <w:t xml:space="preserve">The Green Belt was considered as </w:t>
      </w:r>
      <w:r w:rsidR="00144974">
        <w:rPr>
          <w:rFonts w:cs="Arial"/>
          <w:szCs w:val="24"/>
        </w:rPr>
        <w:t xml:space="preserve">part of </w:t>
      </w:r>
      <w:r w:rsidR="00C232FF">
        <w:rPr>
          <w:rFonts w:cs="Arial"/>
          <w:szCs w:val="24"/>
        </w:rPr>
        <w:t>a</w:t>
      </w:r>
      <w:r w:rsidR="005B2EE3">
        <w:rPr>
          <w:rFonts w:cs="Arial"/>
          <w:szCs w:val="24"/>
        </w:rPr>
        <w:t xml:space="preserve"> </w:t>
      </w:r>
      <w:r w:rsidR="00C232FF">
        <w:rPr>
          <w:rFonts w:cs="Arial"/>
          <w:szCs w:val="24"/>
        </w:rPr>
        <w:t>5-stage</w:t>
      </w:r>
      <w:r w:rsidR="00144974">
        <w:rPr>
          <w:rFonts w:cs="Arial"/>
          <w:szCs w:val="24"/>
        </w:rPr>
        <w:t xml:space="preserve"> </w:t>
      </w:r>
      <w:r w:rsidR="005B2EE3">
        <w:rPr>
          <w:rFonts w:cs="Arial"/>
          <w:szCs w:val="24"/>
        </w:rPr>
        <w:t>se</w:t>
      </w:r>
      <w:r w:rsidRPr="00E45488">
        <w:rPr>
          <w:rFonts w:cs="Arial"/>
          <w:szCs w:val="24"/>
        </w:rPr>
        <w:t>quential approach</w:t>
      </w:r>
      <w:r w:rsidR="00C232FF">
        <w:rPr>
          <w:rFonts w:cs="Arial"/>
          <w:szCs w:val="24"/>
        </w:rPr>
        <w:t>, as follows</w:t>
      </w:r>
      <w:r w:rsidR="00144974">
        <w:rPr>
          <w:rFonts w:cs="Arial"/>
          <w:szCs w:val="24"/>
        </w:rPr>
        <w:t xml:space="preserve">: </w:t>
      </w:r>
    </w:p>
    <w:p w14:paraId="1BD3A47B" w14:textId="77777777" w:rsidR="00E45488" w:rsidRDefault="00E45488" w:rsidP="005B2EE3">
      <w:pPr>
        <w:pStyle w:val="ListParagraph"/>
        <w:numPr>
          <w:ilvl w:val="2"/>
          <w:numId w:val="22"/>
        </w:numPr>
        <w:spacing w:line="256" w:lineRule="auto"/>
        <w:ind w:left="1418"/>
        <w:jc w:val="left"/>
        <w:rPr>
          <w:rFonts w:cs="Arial"/>
          <w:szCs w:val="24"/>
        </w:rPr>
      </w:pPr>
      <w:r>
        <w:rPr>
          <w:rFonts w:cs="Arial"/>
          <w:b/>
          <w:bCs/>
          <w:szCs w:val="24"/>
        </w:rPr>
        <w:t>Stage 1</w:t>
      </w:r>
      <w:r>
        <w:rPr>
          <w:rFonts w:cs="Arial"/>
          <w:szCs w:val="24"/>
        </w:rPr>
        <w:t>: Sites with planning permission;</w:t>
      </w:r>
    </w:p>
    <w:p w14:paraId="2159BAA8" w14:textId="77777777" w:rsidR="00E45488" w:rsidRDefault="00E45488" w:rsidP="005B2EE3">
      <w:pPr>
        <w:pStyle w:val="ListParagraph"/>
        <w:numPr>
          <w:ilvl w:val="2"/>
          <w:numId w:val="22"/>
        </w:numPr>
        <w:spacing w:line="256" w:lineRule="auto"/>
        <w:ind w:left="1418"/>
        <w:jc w:val="left"/>
        <w:rPr>
          <w:rFonts w:cs="Arial"/>
          <w:szCs w:val="24"/>
        </w:rPr>
      </w:pPr>
      <w:bookmarkStart w:id="4" w:name="_Hlk144210712"/>
      <w:r>
        <w:rPr>
          <w:rFonts w:cs="Arial"/>
          <w:b/>
          <w:bCs/>
          <w:szCs w:val="24"/>
        </w:rPr>
        <w:t>Stage 2</w:t>
      </w:r>
      <w:r>
        <w:rPr>
          <w:rFonts w:cs="Arial"/>
          <w:szCs w:val="24"/>
        </w:rPr>
        <w:t>: Sites with a resolution to grant planning permission subject to signing a Section 106 legal agreement;</w:t>
      </w:r>
    </w:p>
    <w:p w14:paraId="0A5A8CCF" w14:textId="77777777" w:rsidR="00E45488" w:rsidRDefault="00E45488" w:rsidP="005B2EE3">
      <w:pPr>
        <w:pStyle w:val="ListParagraph"/>
        <w:numPr>
          <w:ilvl w:val="2"/>
          <w:numId w:val="22"/>
        </w:numPr>
        <w:spacing w:line="256" w:lineRule="auto"/>
        <w:ind w:left="1418"/>
        <w:jc w:val="left"/>
        <w:rPr>
          <w:rFonts w:cs="Arial"/>
          <w:szCs w:val="24"/>
        </w:rPr>
      </w:pPr>
      <w:bookmarkStart w:id="5" w:name="_Hlk142482064"/>
      <w:bookmarkEnd w:id="4"/>
      <w:r>
        <w:rPr>
          <w:rFonts w:cs="Arial"/>
          <w:b/>
          <w:bCs/>
          <w:szCs w:val="24"/>
        </w:rPr>
        <w:t>Stage 3</w:t>
      </w:r>
      <w:r>
        <w:rPr>
          <w:rFonts w:cs="Arial"/>
          <w:szCs w:val="24"/>
        </w:rPr>
        <w:t>: Brownfield (previously developed) sites assessed through the SHELAA as ‘achievable’ or ‘potentially achievable’ and consistent with the Council’s strategic approach for sustainable growth;</w:t>
      </w:r>
    </w:p>
    <w:bookmarkEnd w:id="5"/>
    <w:p w14:paraId="4ED8A981" w14:textId="77777777" w:rsidR="00E45488" w:rsidRDefault="00E45488" w:rsidP="000861F4">
      <w:pPr>
        <w:pStyle w:val="ListParagraph"/>
        <w:numPr>
          <w:ilvl w:val="2"/>
          <w:numId w:val="22"/>
        </w:numPr>
        <w:spacing w:line="257" w:lineRule="auto"/>
        <w:ind w:left="1417" w:hanging="357"/>
        <w:jc w:val="left"/>
        <w:rPr>
          <w:rFonts w:cs="Arial"/>
          <w:szCs w:val="24"/>
        </w:rPr>
      </w:pPr>
      <w:r>
        <w:rPr>
          <w:rFonts w:cs="Arial"/>
          <w:b/>
          <w:bCs/>
          <w:szCs w:val="24"/>
        </w:rPr>
        <w:t>Stage 4</w:t>
      </w:r>
      <w:r>
        <w:rPr>
          <w:rFonts w:cs="Arial"/>
          <w:szCs w:val="24"/>
        </w:rPr>
        <w:t xml:space="preserve">: Greenfield </w:t>
      </w:r>
      <w:bookmarkStart w:id="6" w:name="_Hlk142482153"/>
      <w:r>
        <w:rPr>
          <w:rFonts w:cs="Arial"/>
          <w:szCs w:val="24"/>
        </w:rPr>
        <w:t xml:space="preserve">sites assessed </w:t>
      </w:r>
      <w:bookmarkStart w:id="7" w:name="_Hlk143791503"/>
      <w:r>
        <w:rPr>
          <w:rFonts w:cs="Arial"/>
          <w:szCs w:val="24"/>
        </w:rPr>
        <w:t>through the SHELAA as ‘achievable’ or ‘potentially achievable’</w:t>
      </w:r>
      <w:bookmarkEnd w:id="7"/>
      <w:r>
        <w:rPr>
          <w:rFonts w:cs="Arial"/>
          <w:szCs w:val="24"/>
        </w:rPr>
        <w:t xml:space="preserve"> and consistent with the Council’s strategic approach for sustainable growth</w:t>
      </w:r>
      <w:bookmarkEnd w:id="6"/>
      <w:r>
        <w:rPr>
          <w:rFonts w:cs="Arial"/>
          <w:szCs w:val="24"/>
        </w:rPr>
        <w:t>;</w:t>
      </w:r>
    </w:p>
    <w:p w14:paraId="68EB9E91" w14:textId="30A4B8B6" w:rsidR="00E45488" w:rsidRDefault="00E45488" w:rsidP="000861F4">
      <w:pPr>
        <w:pStyle w:val="ListParagraph"/>
        <w:numPr>
          <w:ilvl w:val="2"/>
          <w:numId w:val="22"/>
        </w:numPr>
        <w:spacing w:line="257" w:lineRule="auto"/>
        <w:ind w:left="1417" w:hanging="357"/>
        <w:jc w:val="left"/>
        <w:rPr>
          <w:rFonts w:cs="Arial"/>
          <w:szCs w:val="24"/>
        </w:rPr>
      </w:pPr>
      <w:r>
        <w:rPr>
          <w:rFonts w:cs="Arial"/>
          <w:b/>
          <w:bCs/>
          <w:szCs w:val="24"/>
        </w:rPr>
        <w:lastRenderedPageBreak/>
        <w:t>Stage 5</w:t>
      </w:r>
      <w:r>
        <w:rPr>
          <w:rFonts w:cs="Arial"/>
          <w:szCs w:val="24"/>
        </w:rPr>
        <w:t>: Green Belt sites assessed through the SHELAA as ‘achievable</w:t>
      </w:r>
      <w:r w:rsidR="00CD693B">
        <w:rPr>
          <w:rStyle w:val="FootnoteReference"/>
          <w:rFonts w:cs="Arial"/>
          <w:szCs w:val="24"/>
        </w:rPr>
        <w:footnoteReference w:id="3"/>
      </w:r>
      <w:r>
        <w:rPr>
          <w:rFonts w:cs="Arial"/>
          <w:szCs w:val="24"/>
        </w:rPr>
        <w:t>’ or ‘potentially achievable’ and consistent with the Council’s strategic approach for sustainable growth.</w:t>
      </w:r>
    </w:p>
    <w:p w14:paraId="53726FEA" w14:textId="4060A0E4" w:rsidR="00E45488" w:rsidRDefault="005B2EE3" w:rsidP="006029EB">
      <w:pPr>
        <w:spacing w:after="0" w:line="240" w:lineRule="auto"/>
        <w:ind w:left="851" w:hanging="851"/>
        <w:jc w:val="left"/>
        <w:rPr>
          <w:rFonts w:cs="Arial"/>
          <w:szCs w:val="24"/>
        </w:rPr>
      </w:pPr>
      <w:r w:rsidRPr="00144974">
        <w:rPr>
          <w:rFonts w:cs="Arial"/>
          <w:szCs w:val="24"/>
        </w:rPr>
        <w:t>3.12.3</w:t>
      </w:r>
      <w:r w:rsidRPr="00144974">
        <w:rPr>
          <w:rFonts w:cs="Arial"/>
          <w:szCs w:val="24"/>
        </w:rPr>
        <w:tab/>
      </w:r>
      <w:bookmarkStart w:id="8" w:name="_Hlk141281077"/>
      <w:r w:rsidR="00144974" w:rsidRPr="00C232FF">
        <w:rPr>
          <w:rFonts w:cs="Arial"/>
          <w:szCs w:val="24"/>
        </w:rPr>
        <w:fldChar w:fldCharType="begin"/>
      </w:r>
      <w:r w:rsidR="00144974" w:rsidRPr="00C232FF">
        <w:rPr>
          <w:rFonts w:cs="Arial"/>
          <w:szCs w:val="24"/>
        </w:rPr>
        <w:instrText>HYPERLINK "https://www.ashfield.gov.uk/planning-building-control/local-plan/emerging-local-plan/ashfield-draft-local-plan-consultation-regulation-18/"</w:instrText>
      </w:r>
      <w:r w:rsidR="00144974" w:rsidRPr="00C232FF">
        <w:rPr>
          <w:rFonts w:cs="Arial"/>
          <w:szCs w:val="24"/>
        </w:rPr>
      </w:r>
      <w:r w:rsidR="00144974" w:rsidRPr="00C232FF">
        <w:rPr>
          <w:rFonts w:cs="Arial"/>
          <w:szCs w:val="24"/>
        </w:rPr>
        <w:fldChar w:fldCharType="separate"/>
      </w:r>
      <w:r w:rsidR="00144974" w:rsidRPr="00C232FF">
        <w:rPr>
          <w:rStyle w:val="Hyperlink"/>
          <w:rFonts w:cs="Arial"/>
          <w:color w:val="auto"/>
          <w:szCs w:val="24"/>
          <w:u w:val="none"/>
        </w:rPr>
        <w:t>Background Paper 4: Green Belt Harm Assessment (Stage 2)</w:t>
      </w:r>
      <w:r w:rsidR="00144974" w:rsidRPr="00C232FF">
        <w:rPr>
          <w:rFonts w:cs="Arial"/>
          <w:szCs w:val="24"/>
        </w:rPr>
        <w:fldChar w:fldCharType="end"/>
      </w:r>
      <w:r w:rsidR="00144974" w:rsidRPr="00C232FF">
        <w:rPr>
          <w:rFonts w:cs="Arial"/>
          <w:szCs w:val="24"/>
        </w:rPr>
        <w:t xml:space="preserve"> </w:t>
      </w:r>
      <w:bookmarkEnd w:id="8"/>
      <w:r w:rsidR="00C232FF" w:rsidRPr="00C232FF">
        <w:rPr>
          <w:rFonts w:cs="Arial"/>
          <w:szCs w:val="24"/>
        </w:rPr>
        <w:t>[BP.04]</w:t>
      </w:r>
      <w:r w:rsidR="00C232FF">
        <w:rPr>
          <w:rFonts w:cs="Arial"/>
          <w:szCs w:val="24"/>
        </w:rPr>
        <w:t xml:space="preserve"> </w:t>
      </w:r>
      <w:r w:rsidR="00144974" w:rsidRPr="00C232FF">
        <w:rPr>
          <w:rFonts w:cs="Arial"/>
          <w:szCs w:val="24"/>
        </w:rPr>
        <w:t>examines the likely harm to Green Belt purposes that may result from the de</w:t>
      </w:r>
      <w:r w:rsidR="00144974" w:rsidRPr="00144974">
        <w:rPr>
          <w:rFonts w:cs="Arial"/>
          <w:szCs w:val="24"/>
        </w:rPr>
        <w:t>velopment of any of the sites which were identified as potentially ‘developable</w:t>
      </w:r>
      <w:r w:rsidR="00CD693B">
        <w:rPr>
          <w:rStyle w:val="FootnoteReference"/>
          <w:rFonts w:cs="Arial"/>
          <w:szCs w:val="24"/>
        </w:rPr>
        <w:footnoteReference w:id="4"/>
      </w:r>
      <w:r w:rsidR="00144974" w:rsidRPr="00144974">
        <w:rPr>
          <w:rFonts w:cs="Arial"/>
          <w:szCs w:val="24"/>
        </w:rPr>
        <w:t>’.</w:t>
      </w:r>
      <w:r w:rsidR="006029EB">
        <w:rPr>
          <w:rFonts w:cs="Arial"/>
          <w:szCs w:val="24"/>
        </w:rPr>
        <w:t xml:space="preserve">  </w:t>
      </w:r>
    </w:p>
    <w:p w14:paraId="0E50BDF3" w14:textId="77777777" w:rsidR="006029EB" w:rsidRDefault="006029EB" w:rsidP="006029EB">
      <w:pPr>
        <w:spacing w:after="0" w:line="240" w:lineRule="auto"/>
        <w:ind w:left="851" w:hanging="851"/>
        <w:jc w:val="left"/>
        <w:rPr>
          <w:rFonts w:cs="Arial"/>
          <w:szCs w:val="24"/>
        </w:rPr>
      </w:pPr>
    </w:p>
    <w:p w14:paraId="482D2BEC" w14:textId="089CC481" w:rsidR="006029EB" w:rsidRDefault="006029EB" w:rsidP="006029EB">
      <w:pPr>
        <w:spacing w:after="0" w:line="240" w:lineRule="auto"/>
        <w:ind w:left="851" w:hanging="851"/>
        <w:jc w:val="left"/>
        <w:rPr>
          <w:rFonts w:cs="Arial"/>
          <w:szCs w:val="24"/>
        </w:rPr>
      </w:pPr>
      <w:r>
        <w:rPr>
          <w:rFonts w:cs="Arial"/>
          <w:szCs w:val="24"/>
        </w:rPr>
        <w:t>3.12.4</w:t>
      </w:r>
      <w:r>
        <w:rPr>
          <w:rFonts w:cs="Arial"/>
          <w:szCs w:val="24"/>
        </w:rPr>
        <w:tab/>
        <w:t>Chapter 9 of Background Paper 1: Spatial Strategy and Site Selection [BP.01] sets out how the BP.04 has informed the selection of sites within the Green Belt.</w:t>
      </w:r>
    </w:p>
    <w:p w14:paraId="1949BEE1" w14:textId="66CFAD03" w:rsidR="006029EB" w:rsidRDefault="006029EB" w:rsidP="006029EB">
      <w:pPr>
        <w:spacing w:after="0" w:line="240" w:lineRule="auto"/>
        <w:ind w:left="851" w:hanging="851"/>
        <w:jc w:val="left"/>
        <w:rPr>
          <w:rFonts w:eastAsia="Times New Roman" w:cs="Arial"/>
          <w:color w:val="000000"/>
          <w:szCs w:val="28"/>
        </w:rPr>
      </w:pPr>
      <w:r>
        <w:rPr>
          <w:rFonts w:cs="Arial"/>
          <w:szCs w:val="24"/>
        </w:rPr>
        <w:t xml:space="preserve">  </w:t>
      </w:r>
    </w:p>
    <w:p w14:paraId="3635784A" w14:textId="77777777" w:rsidR="006029EB" w:rsidRPr="00E45488" w:rsidRDefault="006029EB" w:rsidP="006029EB">
      <w:pPr>
        <w:spacing w:after="0" w:line="240" w:lineRule="auto"/>
        <w:ind w:left="851" w:hanging="851"/>
        <w:jc w:val="left"/>
        <w:rPr>
          <w:rFonts w:cs="Arial"/>
          <w:szCs w:val="24"/>
        </w:rPr>
      </w:pPr>
    </w:p>
    <w:p w14:paraId="7FEA1DCA" w14:textId="2A6DE120" w:rsidR="003A1825" w:rsidRPr="003A214C" w:rsidRDefault="003A1825" w:rsidP="001C4B8F">
      <w:pPr>
        <w:pStyle w:val="Heading3"/>
      </w:pPr>
      <w:bookmarkStart w:id="9" w:name="_Hlk180680243"/>
      <w:r w:rsidRPr="003A214C">
        <w:t>3.13 Before concluding that exceptional circumstances exist to justify changes to Green Belt</w:t>
      </w:r>
      <w:r w:rsidR="003A214C" w:rsidRPr="003A214C">
        <w:t xml:space="preserve"> </w:t>
      </w:r>
      <w:r w:rsidRPr="003A214C">
        <w:t>boundaries, paragraph 141 of the Framework states that strategic policy-making</w:t>
      </w:r>
      <w:r w:rsidR="003A214C" w:rsidRPr="003A214C">
        <w:t xml:space="preserve"> </w:t>
      </w:r>
      <w:r w:rsidRPr="003A214C">
        <w:t>authorities should be able to demonstrate that it has examined fully all other</w:t>
      </w:r>
      <w:r w:rsidR="003A214C" w:rsidRPr="003A214C">
        <w:t xml:space="preserve"> </w:t>
      </w:r>
      <w:r w:rsidRPr="003A214C">
        <w:t>reasonable options for meeting its identified need for housing. This will be assessed</w:t>
      </w:r>
      <w:r w:rsidR="003A214C" w:rsidRPr="003A214C">
        <w:t xml:space="preserve"> </w:t>
      </w:r>
      <w:r w:rsidRPr="003A214C">
        <w:t>through the examination and will consider whether the strategy:</w:t>
      </w:r>
    </w:p>
    <w:p w14:paraId="5385C4B2" w14:textId="77777777" w:rsidR="003A1825" w:rsidRPr="003A214C" w:rsidRDefault="003A1825" w:rsidP="003A214C">
      <w:pPr>
        <w:ind w:left="284"/>
        <w:jc w:val="left"/>
        <w:rPr>
          <w:b/>
          <w:bCs/>
          <w:i/>
          <w:iCs/>
        </w:rPr>
      </w:pPr>
      <w:r w:rsidRPr="003A214C">
        <w:rPr>
          <w:b/>
          <w:bCs/>
          <w:i/>
          <w:iCs/>
        </w:rPr>
        <w:t>• Makes as much use as possible of suitable brownfield sites and underutilised land;</w:t>
      </w:r>
    </w:p>
    <w:p w14:paraId="4DD7B34F" w14:textId="77777777" w:rsidR="003A1825" w:rsidRPr="003A214C" w:rsidRDefault="003A1825" w:rsidP="003A214C">
      <w:pPr>
        <w:ind w:left="284"/>
        <w:jc w:val="left"/>
        <w:rPr>
          <w:b/>
          <w:bCs/>
          <w:i/>
          <w:iCs/>
        </w:rPr>
      </w:pPr>
      <w:r w:rsidRPr="003A214C">
        <w:rPr>
          <w:b/>
          <w:bCs/>
          <w:i/>
          <w:iCs/>
        </w:rPr>
        <w:t>• Optimises the density of development, and</w:t>
      </w:r>
    </w:p>
    <w:p w14:paraId="09BE83A9" w14:textId="5D3A42F8" w:rsidR="003A1825" w:rsidRPr="003A214C" w:rsidRDefault="003A1825" w:rsidP="003A214C">
      <w:pPr>
        <w:ind w:left="284"/>
        <w:jc w:val="left"/>
        <w:rPr>
          <w:b/>
          <w:bCs/>
          <w:i/>
          <w:iCs/>
        </w:rPr>
      </w:pPr>
      <w:r w:rsidRPr="003A214C">
        <w:rPr>
          <w:b/>
          <w:bCs/>
          <w:i/>
          <w:iCs/>
        </w:rPr>
        <w:t>• Has been informed by discussions with neighbouring authorities about whether they</w:t>
      </w:r>
      <w:r w:rsidR="003A214C" w:rsidRPr="003A214C">
        <w:rPr>
          <w:b/>
          <w:bCs/>
          <w:i/>
          <w:iCs/>
        </w:rPr>
        <w:t xml:space="preserve"> </w:t>
      </w:r>
      <w:r w:rsidRPr="003A214C">
        <w:rPr>
          <w:b/>
          <w:bCs/>
          <w:i/>
          <w:iCs/>
        </w:rPr>
        <w:t>can accommodate some of the identified need.</w:t>
      </w:r>
    </w:p>
    <w:p w14:paraId="25CCB598" w14:textId="748569C2" w:rsidR="003A1825" w:rsidRPr="003A214C" w:rsidRDefault="003A1825" w:rsidP="003A214C">
      <w:pPr>
        <w:jc w:val="left"/>
        <w:rPr>
          <w:b/>
          <w:bCs/>
          <w:i/>
          <w:iCs/>
        </w:rPr>
      </w:pPr>
      <w:r w:rsidRPr="003A214C">
        <w:rPr>
          <w:b/>
          <w:bCs/>
          <w:i/>
          <w:iCs/>
        </w:rPr>
        <w:t>How has the preparation of the Plan sought to make as much use as possible of</w:t>
      </w:r>
      <w:r w:rsidR="003A214C">
        <w:rPr>
          <w:b/>
          <w:bCs/>
          <w:i/>
          <w:iCs/>
        </w:rPr>
        <w:t xml:space="preserve"> </w:t>
      </w:r>
      <w:r w:rsidRPr="003A214C">
        <w:rPr>
          <w:b/>
          <w:bCs/>
          <w:i/>
          <w:iCs/>
        </w:rPr>
        <w:t xml:space="preserve">suitable brownfield sites and </w:t>
      </w:r>
      <w:r w:rsidRPr="00BD3DEC">
        <w:rPr>
          <w:b/>
          <w:bCs/>
          <w:i/>
          <w:iCs/>
        </w:rPr>
        <w:t>optimise the density of development</w:t>
      </w:r>
      <w:r w:rsidRPr="003A214C">
        <w:rPr>
          <w:b/>
          <w:bCs/>
          <w:i/>
          <w:iCs/>
        </w:rPr>
        <w:t>?</w:t>
      </w:r>
    </w:p>
    <w:bookmarkEnd w:id="9"/>
    <w:p w14:paraId="4B3797E6" w14:textId="77777777" w:rsidR="003A214C" w:rsidRDefault="003A214C" w:rsidP="003A214C">
      <w:pPr>
        <w:jc w:val="left"/>
        <w:rPr>
          <w:u w:val="single"/>
        </w:rPr>
      </w:pPr>
      <w:r w:rsidRPr="00156B97">
        <w:rPr>
          <w:u w:val="single"/>
        </w:rPr>
        <w:t>Council’s response</w:t>
      </w:r>
    </w:p>
    <w:p w14:paraId="549AE7C3" w14:textId="3C83474B" w:rsidR="00175137" w:rsidRDefault="002E4946" w:rsidP="002E4946">
      <w:pPr>
        <w:ind w:left="851" w:hanging="851"/>
        <w:jc w:val="left"/>
        <w:rPr>
          <w:u w:val="single"/>
        </w:rPr>
      </w:pPr>
      <w:r>
        <w:rPr>
          <w:rFonts w:cs="Arial"/>
          <w:szCs w:val="24"/>
        </w:rPr>
        <w:t>3.13.1</w:t>
      </w:r>
      <w:r>
        <w:rPr>
          <w:rFonts w:cs="Arial"/>
          <w:szCs w:val="24"/>
        </w:rPr>
        <w:tab/>
      </w:r>
      <w:r w:rsidR="00175137">
        <w:rPr>
          <w:rFonts w:cs="Arial"/>
          <w:szCs w:val="24"/>
        </w:rPr>
        <w:t xml:space="preserve">This issue is addressed in Section 9 of Background Paper 1 [BP.01], in particular para. 9.5 provides an explanation in regard to the how the requirements of </w:t>
      </w:r>
      <w:r w:rsidR="001D517B">
        <w:rPr>
          <w:rFonts w:cs="Arial"/>
          <w:szCs w:val="24"/>
        </w:rPr>
        <w:t>NPPF paragraph 141 ha</w:t>
      </w:r>
      <w:r w:rsidR="00175137">
        <w:rPr>
          <w:rFonts w:cs="Arial"/>
          <w:szCs w:val="24"/>
        </w:rPr>
        <w:t>ve been addressed.  More detail can be found throughout BP.01, however this the approach is summarised below.</w:t>
      </w:r>
    </w:p>
    <w:p w14:paraId="0AE0FC61" w14:textId="539681BE" w:rsidR="00C044FC" w:rsidRPr="00C044FC" w:rsidRDefault="00C044FC" w:rsidP="00C044FC">
      <w:pPr>
        <w:ind w:left="851"/>
        <w:jc w:val="left"/>
        <w:rPr>
          <w:i/>
          <w:iCs/>
          <w:u w:val="single"/>
        </w:rPr>
      </w:pPr>
      <w:r w:rsidRPr="00C044FC">
        <w:rPr>
          <w:i/>
          <w:iCs/>
          <w:u w:val="single"/>
        </w:rPr>
        <w:t>Brownfield Sites</w:t>
      </w:r>
    </w:p>
    <w:p w14:paraId="6B4E2C74" w14:textId="00360FD4" w:rsidR="001C5817" w:rsidRDefault="00AF7E0C" w:rsidP="00AF7E0C">
      <w:pPr>
        <w:spacing w:line="256" w:lineRule="auto"/>
        <w:ind w:left="851" w:hanging="851"/>
        <w:jc w:val="left"/>
        <w:rPr>
          <w:rFonts w:cs="Arial"/>
          <w:szCs w:val="24"/>
        </w:rPr>
      </w:pPr>
      <w:r w:rsidRPr="00AF7E0C">
        <w:t>3.13.</w:t>
      </w:r>
      <w:r w:rsidR="002E4946">
        <w:t>2</w:t>
      </w:r>
      <w:r w:rsidRPr="00AF7E0C">
        <w:tab/>
      </w:r>
      <w:r>
        <w:t xml:space="preserve">As set out in the Council’s response to Qu.3.12, a sequential approach was </w:t>
      </w:r>
      <w:r w:rsidR="00DD75D3">
        <w:t>utilised</w:t>
      </w:r>
      <w:r>
        <w:t xml:space="preserve"> by the Council to s</w:t>
      </w:r>
      <w:r w:rsidRPr="00AF7E0C">
        <w:rPr>
          <w:rFonts w:cs="Arial"/>
          <w:szCs w:val="24"/>
        </w:rPr>
        <w:t>elect the most appropriate sites that would deliver the Spatial Approach and achieve the Council’s vision for the future. Brownfield sites were considered at stage 3</w:t>
      </w:r>
      <w:r>
        <w:rPr>
          <w:rFonts w:cs="Arial"/>
          <w:szCs w:val="24"/>
        </w:rPr>
        <w:t xml:space="preserve"> before Green </w:t>
      </w:r>
      <w:r w:rsidR="00DD75D3">
        <w:rPr>
          <w:rFonts w:cs="Arial"/>
          <w:szCs w:val="24"/>
        </w:rPr>
        <w:t>B</w:t>
      </w:r>
      <w:r>
        <w:rPr>
          <w:rFonts w:cs="Arial"/>
          <w:szCs w:val="24"/>
        </w:rPr>
        <w:t>elt.</w:t>
      </w:r>
      <w:r w:rsidR="001C5817">
        <w:rPr>
          <w:rFonts w:cs="Arial"/>
          <w:szCs w:val="24"/>
        </w:rPr>
        <w:t xml:space="preserve">  However, the Strategic Housing and Employment Land Availability Assessment [SEV.20] and Brownfield Land capacity Study [SEV.44] identified that there are insufficient developable brownfield sites </w:t>
      </w:r>
      <w:r w:rsidR="001C5817">
        <w:rPr>
          <w:rFonts w:cs="Arial"/>
          <w:szCs w:val="24"/>
        </w:rPr>
        <w:lastRenderedPageBreak/>
        <w:t>within the existing built-up areas to accommodate the required level s of growth over the Plan period.</w:t>
      </w:r>
    </w:p>
    <w:p w14:paraId="0AA68F3D" w14:textId="3F95184C" w:rsidR="00C044FC" w:rsidRPr="00C044FC" w:rsidRDefault="00C044FC" w:rsidP="00AF7E0C">
      <w:pPr>
        <w:spacing w:line="256" w:lineRule="auto"/>
        <w:ind w:left="851" w:hanging="851"/>
        <w:jc w:val="left"/>
        <w:rPr>
          <w:rFonts w:cs="Arial"/>
          <w:i/>
          <w:iCs/>
          <w:szCs w:val="24"/>
          <w:u w:val="single"/>
        </w:rPr>
      </w:pPr>
      <w:r>
        <w:rPr>
          <w:rFonts w:cs="Arial"/>
          <w:szCs w:val="24"/>
        </w:rPr>
        <w:tab/>
      </w:r>
      <w:r w:rsidRPr="00C044FC">
        <w:rPr>
          <w:rFonts w:cs="Arial"/>
          <w:i/>
          <w:iCs/>
          <w:szCs w:val="24"/>
          <w:u w:val="single"/>
        </w:rPr>
        <w:t>Density of Development</w:t>
      </w:r>
    </w:p>
    <w:p w14:paraId="51057898" w14:textId="575A20EE" w:rsidR="00325DA9" w:rsidRPr="004D7C92" w:rsidRDefault="00AF7E0C" w:rsidP="00325DA9">
      <w:pPr>
        <w:spacing w:line="256" w:lineRule="auto"/>
        <w:ind w:left="851" w:hanging="851"/>
        <w:jc w:val="left"/>
      </w:pPr>
      <w:r>
        <w:rPr>
          <w:rFonts w:cs="Arial"/>
          <w:szCs w:val="24"/>
        </w:rPr>
        <w:t>3.13.</w:t>
      </w:r>
      <w:r w:rsidR="002E4946">
        <w:rPr>
          <w:rFonts w:cs="Arial"/>
          <w:szCs w:val="24"/>
        </w:rPr>
        <w:t>3</w:t>
      </w:r>
      <w:r>
        <w:rPr>
          <w:rFonts w:cs="Arial"/>
          <w:szCs w:val="24"/>
        </w:rPr>
        <w:tab/>
      </w:r>
      <w:r w:rsidR="00325DA9" w:rsidRPr="004D7C92">
        <w:t>Policy H7</w:t>
      </w:r>
      <w:r w:rsidR="00325DA9">
        <w:t xml:space="preserve"> of the Local Plan [SD.01]</w:t>
      </w:r>
      <w:r w:rsidR="00325DA9" w:rsidRPr="004D7C92">
        <w:t xml:space="preserve"> aims to encourage higher density development in areas which are close to key services and facilities, i.e., identified town centres, plus the major transport nodes which enable access to other centres and services further afield, and not just locally significant destinations.  </w:t>
      </w:r>
    </w:p>
    <w:p w14:paraId="7248B15C" w14:textId="30F81586" w:rsidR="006F77BB" w:rsidRDefault="00BD3DEC" w:rsidP="006F77BB">
      <w:pPr>
        <w:pStyle w:val="ListParagraph"/>
        <w:ind w:left="851" w:hanging="851"/>
        <w:jc w:val="left"/>
        <w:rPr>
          <w:rFonts w:cs="Arial"/>
        </w:rPr>
      </w:pPr>
      <w:r>
        <w:t>3.13.</w:t>
      </w:r>
      <w:r w:rsidR="002E4946">
        <w:t>4</w:t>
      </w:r>
      <w:r>
        <w:tab/>
      </w:r>
      <w:r w:rsidR="006F77BB">
        <w:rPr>
          <w:rFonts w:cs="Arial"/>
        </w:rPr>
        <w:t xml:space="preserve">Housing development in the District will be brought forward through sites mainly concentrated in and adjacent to the larger and more accessible towns of Hucknall, Sutton-in-Ashfield and Kirkby-in-Ashfield under Policy H1. Policy H7 of the Local Plan supports this approach by promoting higher housing densities in areas closer to town centre services and major transport hubs. </w:t>
      </w:r>
    </w:p>
    <w:p w14:paraId="6D6F8D28" w14:textId="1A9E6211" w:rsidR="00325DA9" w:rsidRPr="004D7C92" w:rsidRDefault="006F77BB" w:rsidP="00BD3DEC">
      <w:pPr>
        <w:ind w:left="851" w:hanging="851"/>
        <w:jc w:val="left"/>
      </w:pPr>
      <w:r>
        <w:t>3.13.</w:t>
      </w:r>
      <w:r w:rsidR="002E4946">
        <w:t>5</w:t>
      </w:r>
      <w:r>
        <w:tab/>
      </w:r>
      <w:r w:rsidR="00C044FC">
        <w:t>P</w:t>
      </w:r>
      <w:r w:rsidR="00325DA9" w:rsidRPr="004D7C92">
        <w:t>olicy</w:t>
      </w:r>
      <w:r w:rsidR="00C044FC">
        <w:t xml:space="preserve"> H7</w:t>
      </w:r>
      <w:r w:rsidR="00325DA9" w:rsidRPr="004D7C92">
        <w:t xml:space="preserve"> is in line with the NPPF in respect of a variable approach to requirements and maximising land use in more sustainable locations.</w:t>
      </w:r>
    </w:p>
    <w:p w14:paraId="6B873B54" w14:textId="77777777" w:rsidR="00325DA9" w:rsidRPr="003308D6" w:rsidRDefault="00325DA9" w:rsidP="00325DA9">
      <w:pPr>
        <w:jc w:val="left"/>
        <w:rPr>
          <w:color w:val="0070C0"/>
        </w:rPr>
      </w:pPr>
    </w:p>
    <w:p w14:paraId="16ACDFE4" w14:textId="6B3AD62E" w:rsidR="003A1825" w:rsidRPr="003A214C" w:rsidRDefault="003A1825" w:rsidP="001C4B8F">
      <w:pPr>
        <w:pStyle w:val="Heading3"/>
      </w:pPr>
      <w:r w:rsidRPr="003A214C">
        <w:t>3.14 How would the proposed release of land maintain the openness and permanence</w:t>
      </w:r>
      <w:r w:rsidR="003A214C">
        <w:t xml:space="preserve"> </w:t>
      </w:r>
      <w:r w:rsidRPr="003A214C">
        <w:t>of the</w:t>
      </w:r>
      <w:r w:rsidR="003A214C">
        <w:t xml:space="preserve"> </w:t>
      </w:r>
      <w:r w:rsidRPr="003A214C">
        <w:t>Green Belt?</w:t>
      </w:r>
    </w:p>
    <w:p w14:paraId="2ECB2FB1" w14:textId="77777777" w:rsidR="003A214C" w:rsidRPr="00156B97" w:rsidRDefault="003A214C" w:rsidP="003A214C">
      <w:pPr>
        <w:jc w:val="left"/>
        <w:rPr>
          <w:u w:val="single"/>
        </w:rPr>
      </w:pPr>
      <w:r w:rsidRPr="00156B97">
        <w:rPr>
          <w:u w:val="single"/>
        </w:rPr>
        <w:t>Council’s response</w:t>
      </w:r>
    </w:p>
    <w:p w14:paraId="77BC131E" w14:textId="6EFF09CE" w:rsidR="000704BB" w:rsidRDefault="008461FA" w:rsidP="005C3DAF">
      <w:pPr>
        <w:pStyle w:val="CM33"/>
        <w:ind w:left="851" w:right="537" w:hanging="851"/>
      </w:pPr>
      <w:r>
        <w:t>3.14.1</w:t>
      </w:r>
      <w:r w:rsidR="000704BB" w:rsidRPr="000704BB">
        <w:t xml:space="preserve"> </w:t>
      </w:r>
      <w:r w:rsidR="000704BB">
        <w:tab/>
        <w:t xml:space="preserve">The September 2023 NPPF confirms the importance that Government attaches to Green Belt and stresses the fundamental aim of Green Belt policy of preventing urban sprawl by keeping land permanently open (Para 137). The five purposes of Green Belt are recognised, and Local Plan </w:t>
      </w:r>
      <w:r w:rsidR="0084476D">
        <w:t>[</w:t>
      </w:r>
      <w:r w:rsidR="000704BB">
        <w:t>SD.01</w:t>
      </w:r>
      <w:r w:rsidR="0084476D">
        <w:t>]</w:t>
      </w:r>
      <w:r w:rsidR="000704BB">
        <w:t xml:space="preserve"> Policy S4: Green Belt, confirms that the principle of the Nottingham Derby Green Belt will be retained. </w:t>
      </w:r>
    </w:p>
    <w:p w14:paraId="11D29263" w14:textId="77777777" w:rsidR="000704BB" w:rsidRDefault="000704BB" w:rsidP="005C3DAF">
      <w:pPr>
        <w:pStyle w:val="CM33"/>
        <w:ind w:left="851" w:right="537" w:hanging="851"/>
      </w:pPr>
    </w:p>
    <w:p w14:paraId="2AD8D3BD" w14:textId="5B824DCC" w:rsidR="001C153D" w:rsidRDefault="000704BB" w:rsidP="005C3DAF">
      <w:pPr>
        <w:pStyle w:val="CM33"/>
        <w:ind w:left="851" w:right="537" w:hanging="851"/>
      </w:pPr>
      <w:r>
        <w:t>3.14.2</w:t>
      </w:r>
      <w:r>
        <w:tab/>
      </w:r>
      <w:r w:rsidR="005E5263">
        <w:t xml:space="preserve">The Councils Spatial Approach limits the release of Green </w:t>
      </w:r>
      <w:r w:rsidR="001C153D">
        <w:t>B</w:t>
      </w:r>
      <w:r w:rsidR="005E5263">
        <w:t xml:space="preserve">elt </w:t>
      </w:r>
      <w:r w:rsidR="001C153D">
        <w:t xml:space="preserve">land </w:t>
      </w:r>
      <w:r w:rsidR="005E5263">
        <w:t xml:space="preserve">to </w:t>
      </w:r>
      <w:r w:rsidR="001C5817">
        <w:t xml:space="preserve">where necessary to plan for sustainable communities. </w:t>
      </w:r>
    </w:p>
    <w:p w14:paraId="3569034F" w14:textId="77777777" w:rsidR="001C153D" w:rsidRDefault="001C153D" w:rsidP="005C3DAF">
      <w:pPr>
        <w:pStyle w:val="CM33"/>
        <w:ind w:left="851" w:right="537" w:hanging="851"/>
      </w:pPr>
    </w:p>
    <w:p w14:paraId="4554F399" w14:textId="1BEE52D2" w:rsidR="002E3745" w:rsidRPr="002E3745" w:rsidRDefault="009C3CD7" w:rsidP="001C5817">
      <w:pPr>
        <w:pStyle w:val="CM41"/>
        <w:ind w:left="851" w:right="745" w:hanging="851"/>
      </w:pPr>
      <w:r>
        <w:t>3.14.3</w:t>
      </w:r>
      <w:r>
        <w:tab/>
      </w:r>
      <w:r w:rsidR="001C5817">
        <w:t>The Council considers that the sites proposed to be re</w:t>
      </w:r>
      <w:r>
        <w:t xml:space="preserve">lease from the </w:t>
      </w:r>
      <w:r w:rsidR="0084476D">
        <w:t>Green Belt</w:t>
      </w:r>
      <w:r w:rsidR="001C5817">
        <w:t xml:space="preserve"> </w:t>
      </w:r>
      <w:r w:rsidR="008443CB">
        <w:t>are well contained and will not impact on the openness and permanence of the Green Belt.  Chapter 9 of Background Paper 1: Spatial Strategy and Site Selection</w:t>
      </w:r>
      <w:r w:rsidR="00232FFD">
        <w:t xml:space="preserve"> [BP.01]</w:t>
      </w:r>
      <w:r w:rsidR="008443CB">
        <w:t xml:space="preserve"> sets out the site-specific justification for Green Belt </w:t>
      </w:r>
      <w:proofErr w:type="gramStart"/>
      <w:r w:rsidR="008443CB">
        <w:t>release</w:t>
      </w:r>
      <w:r w:rsidR="00232FFD">
        <w:t>,</w:t>
      </w:r>
      <w:r w:rsidR="001C5817">
        <w:t xml:space="preserve"> and</w:t>
      </w:r>
      <w:proofErr w:type="gramEnd"/>
      <w:r w:rsidR="001C5817">
        <w:t xml:space="preserve"> include</w:t>
      </w:r>
      <w:r w:rsidR="008443CB">
        <w:t xml:space="preserve"> a summary of the findings from </w:t>
      </w:r>
      <w:r w:rsidR="00232FFD">
        <w:t xml:space="preserve">the </w:t>
      </w:r>
      <w:r w:rsidR="008443CB">
        <w:t>Green Belt Harm</w:t>
      </w:r>
      <w:r w:rsidR="00232FFD">
        <w:t xml:space="preserve"> Report</w:t>
      </w:r>
      <w:r w:rsidR="008443CB">
        <w:t xml:space="preserve"> [BP.04]</w:t>
      </w:r>
      <w:r w:rsidR="001C5817">
        <w:t>.  BP04 assesses the sites in respect of the potential degree of harm that their release would cause to the purposes of the Green Belt.  A full list of sites assessed can be seen in Appendix 1 of BP.04, together with a map showing their location.</w:t>
      </w:r>
      <w:r w:rsidR="008443CB">
        <w:t xml:space="preserve"> </w:t>
      </w:r>
      <w:r w:rsidR="008461FA">
        <w:tab/>
      </w:r>
    </w:p>
    <w:p w14:paraId="5EFC8AFF" w14:textId="2659427A" w:rsidR="003A1825" w:rsidRDefault="003A1825" w:rsidP="003A214C">
      <w:pPr>
        <w:jc w:val="left"/>
      </w:pPr>
    </w:p>
    <w:p w14:paraId="0115DA44" w14:textId="196D3A45" w:rsidR="003A1825" w:rsidRPr="003A214C" w:rsidRDefault="003A1825" w:rsidP="001C4B8F">
      <w:pPr>
        <w:pStyle w:val="Heading3"/>
      </w:pPr>
      <w:r w:rsidRPr="003A214C">
        <w:t>3.15 How has the Green Belt assessment considered the potential for mitigation?</w:t>
      </w:r>
    </w:p>
    <w:p w14:paraId="43F16AAC" w14:textId="77777777" w:rsidR="003A214C" w:rsidRPr="00156B97" w:rsidRDefault="003A214C" w:rsidP="003A214C">
      <w:pPr>
        <w:jc w:val="left"/>
        <w:rPr>
          <w:u w:val="single"/>
        </w:rPr>
      </w:pPr>
      <w:r w:rsidRPr="00156B97">
        <w:rPr>
          <w:u w:val="single"/>
        </w:rPr>
        <w:t>Council’s response</w:t>
      </w:r>
    </w:p>
    <w:p w14:paraId="4E4D1D12" w14:textId="18062284" w:rsidR="003A1825" w:rsidRDefault="00232FFD" w:rsidP="00232FFD">
      <w:pPr>
        <w:ind w:left="851" w:hanging="851"/>
        <w:jc w:val="left"/>
      </w:pPr>
      <w:r>
        <w:t>3.15.1</w:t>
      </w:r>
      <w:r>
        <w:tab/>
        <w:t xml:space="preserve">Background Paper 4: Green Belt Harm [BP.04] discusses in Chapter 4 appropriate mitigation to reduce harm to the Green </w:t>
      </w:r>
      <w:r w:rsidR="00606A3A">
        <w:t>B</w:t>
      </w:r>
      <w:r>
        <w:t>elt and how this will be achieved.</w:t>
      </w:r>
    </w:p>
    <w:p w14:paraId="4AFC7638" w14:textId="77777777" w:rsidR="003A1825" w:rsidRDefault="003A1825" w:rsidP="003A214C">
      <w:pPr>
        <w:jc w:val="left"/>
      </w:pPr>
    </w:p>
    <w:p w14:paraId="612AE7FB" w14:textId="5F30CA7E" w:rsidR="00D54C0F" w:rsidRPr="003A214C" w:rsidRDefault="003A1825" w:rsidP="001C4B8F">
      <w:pPr>
        <w:pStyle w:val="Heading3"/>
      </w:pPr>
      <w:bookmarkStart w:id="10" w:name="_Hlk180680265"/>
      <w:r w:rsidRPr="003A214C">
        <w:t>3.16 Do the Plan’s strategic policies set out the scale and need for the release of land from</w:t>
      </w:r>
      <w:r w:rsidR="003A214C" w:rsidRPr="003A214C">
        <w:t xml:space="preserve"> </w:t>
      </w:r>
      <w:r w:rsidRPr="003A214C">
        <w:t>the Green Belt as required by paragraph 140 of the Framework?</w:t>
      </w:r>
    </w:p>
    <w:bookmarkEnd w:id="10"/>
    <w:p w14:paraId="6DD53463" w14:textId="77777777" w:rsidR="003A214C" w:rsidRPr="00156B97" w:rsidRDefault="003A214C" w:rsidP="003A214C">
      <w:pPr>
        <w:jc w:val="left"/>
        <w:rPr>
          <w:u w:val="single"/>
        </w:rPr>
      </w:pPr>
      <w:r w:rsidRPr="00156B97">
        <w:rPr>
          <w:u w:val="single"/>
        </w:rPr>
        <w:t>Council’s response</w:t>
      </w:r>
    </w:p>
    <w:p w14:paraId="67DCF728" w14:textId="792D5D2A" w:rsidR="003A1825" w:rsidRDefault="00B807D6" w:rsidP="00C05527">
      <w:pPr>
        <w:tabs>
          <w:tab w:val="left" w:pos="567"/>
        </w:tabs>
        <w:ind w:left="851" w:hanging="851"/>
        <w:jc w:val="left"/>
      </w:pPr>
      <w:r w:rsidRPr="00C05527">
        <w:t>3.16.1</w:t>
      </w:r>
      <w:r w:rsidRPr="00C05527">
        <w:tab/>
      </w:r>
      <w:r w:rsidR="00C05527">
        <w:t xml:space="preserve">Supporting text to Strategic </w:t>
      </w:r>
      <w:r w:rsidRPr="00C05527">
        <w:t>Policy S1</w:t>
      </w:r>
      <w:r w:rsidR="00C05527">
        <w:t>: Spatial Strategy to Deliver the Vision</w:t>
      </w:r>
      <w:r w:rsidRPr="00C05527">
        <w:t>, sets out</w:t>
      </w:r>
      <w:r w:rsidR="00C05527">
        <w:t xml:space="preserve"> at paragraph 3.6</w:t>
      </w:r>
      <w:r w:rsidRPr="00C05527">
        <w:t>:</w:t>
      </w:r>
    </w:p>
    <w:p w14:paraId="30B65D17" w14:textId="50958ED1" w:rsidR="00C05527" w:rsidRDefault="00C05527" w:rsidP="00C05527">
      <w:pPr>
        <w:autoSpaceDE w:val="0"/>
        <w:autoSpaceDN w:val="0"/>
        <w:adjustRightInd w:val="0"/>
        <w:spacing w:after="0" w:line="240" w:lineRule="auto"/>
        <w:ind w:left="851"/>
        <w:jc w:val="left"/>
      </w:pPr>
      <w:r>
        <w:t>“</w:t>
      </w:r>
      <w:r w:rsidRPr="00C05527">
        <w:rPr>
          <w:rFonts w:eastAsia="Arial" w:cs="Arial"/>
          <w:i/>
          <w:iCs/>
        </w:rPr>
        <w:t>The SHELAA and Brownfield Capacity Study identify that there are insufficient developable brownfield sites within the existing built-up areas to accommodate the required levels of growth over the plan period.  As such, it has been necessary to direct new development to greenfield land outside of the existing settlements. Some of this new development requires the release of land from the Green Belt, including strategic employment land allocated at junction 27 of the M1 (Policy S8) and several housing allocations identified under Policy H1</w:t>
      </w:r>
      <w:r>
        <w:rPr>
          <w:rFonts w:eastAsia="Arial" w:cs="Arial"/>
        </w:rPr>
        <w:t>.”</w:t>
      </w:r>
    </w:p>
    <w:p w14:paraId="370A1C18" w14:textId="77777777" w:rsidR="003A1825" w:rsidRDefault="003A1825" w:rsidP="003A214C">
      <w:pPr>
        <w:jc w:val="left"/>
      </w:pPr>
    </w:p>
    <w:p w14:paraId="3AD75DB4" w14:textId="7FE83AD3" w:rsidR="003A1825" w:rsidRPr="003A214C" w:rsidRDefault="003A1825" w:rsidP="001C4B8F">
      <w:pPr>
        <w:pStyle w:val="Heading3"/>
      </w:pPr>
      <w:bookmarkStart w:id="11" w:name="_Hlk180680282"/>
      <w:r w:rsidRPr="003A214C">
        <w:t>3.17 Having regard to the shortfall of housing provision over the plan period, what evidence</w:t>
      </w:r>
      <w:r w:rsidR="003A214C" w:rsidRPr="003A214C">
        <w:t xml:space="preserve"> </w:t>
      </w:r>
      <w:r w:rsidRPr="003A214C">
        <w:t>is there that the Green Belt boundary will not need to be altered at the end of the plan</w:t>
      </w:r>
      <w:r w:rsidR="003A214C" w:rsidRPr="003A214C">
        <w:t xml:space="preserve"> </w:t>
      </w:r>
      <w:r w:rsidRPr="003A214C">
        <w:t>period as set out at paragraph 143(e) of the Framework?</w:t>
      </w:r>
    </w:p>
    <w:bookmarkEnd w:id="11"/>
    <w:p w14:paraId="0B25BF52" w14:textId="77777777" w:rsidR="003A214C" w:rsidRPr="00156B97" w:rsidRDefault="003A214C" w:rsidP="003A214C">
      <w:pPr>
        <w:jc w:val="left"/>
        <w:rPr>
          <w:u w:val="single"/>
        </w:rPr>
      </w:pPr>
      <w:r w:rsidRPr="00156B97">
        <w:rPr>
          <w:u w:val="single"/>
        </w:rPr>
        <w:t>Council’s response</w:t>
      </w:r>
    </w:p>
    <w:p w14:paraId="0A42DEBD" w14:textId="3DB95DD8" w:rsidR="00DA1917" w:rsidRDefault="00DA1917" w:rsidP="00DA1917">
      <w:pPr>
        <w:tabs>
          <w:tab w:val="left" w:pos="851"/>
        </w:tabs>
        <w:ind w:left="851" w:hanging="851"/>
        <w:jc w:val="left"/>
      </w:pPr>
      <w:r>
        <w:t>3.17.1</w:t>
      </w:r>
      <w:r>
        <w:tab/>
      </w:r>
      <w:r w:rsidRPr="00F3497D">
        <w:t xml:space="preserve">The Council consider that Green </w:t>
      </w:r>
      <w:r>
        <w:t>B</w:t>
      </w:r>
      <w:r w:rsidRPr="00F3497D">
        <w:t xml:space="preserve">elt release is necessary to deliver growth in appropriate locations and to achieve the Vision through the preferred spatial strategy. Sites have been selected according to the methodology set out in [BP.01] and aim to deliver proportionate growth in sustainable locations to serve existing settlements whilst minimising impact on the Green </w:t>
      </w:r>
      <w:r>
        <w:t>B</w:t>
      </w:r>
      <w:r w:rsidRPr="00F3497D">
        <w:t xml:space="preserve">elt. </w:t>
      </w:r>
    </w:p>
    <w:p w14:paraId="4267BD85" w14:textId="59F2744E" w:rsidR="00DA1917" w:rsidRDefault="00DA1917" w:rsidP="00DA1917">
      <w:pPr>
        <w:tabs>
          <w:tab w:val="left" w:pos="851"/>
        </w:tabs>
        <w:ind w:left="851" w:hanging="851"/>
        <w:jc w:val="left"/>
      </w:pPr>
      <w:r>
        <w:t>3.17.2</w:t>
      </w:r>
      <w:r>
        <w:tab/>
        <w:t xml:space="preserve">The Council considers that proposed changes to the Green Belt present long term strong defensible boundaries. Taking account of the settlement hierarchy in Strategic Policy S1, the only ‘Level A’ settlement wholly constrained by Green Belt in Ashfield is the town of Hucknall. It should be noted that this settlement is located on the District’s boundary with Gedling Borough. </w:t>
      </w:r>
      <w:bookmarkStart w:id="12" w:name="_Hlk180748709"/>
      <w:r>
        <w:t xml:space="preserve">Gedling Borough Council have allocated a significant sized site of </w:t>
      </w:r>
      <w:r w:rsidR="009C3CD7">
        <w:t>805</w:t>
      </w:r>
      <w:r>
        <w:t xml:space="preserve"> dwellings to the north of </w:t>
      </w:r>
      <w:proofErr w:type="gramStart"/>
      <w:r>
        <w:t>Hucknall, and</w:t>
      </w:r>
      <w:proofErr w:type="gramEnd"/>
      <w:r>
        <w:t xml:space="preserve"> are proposing additional allocation on existing ‘white land’ in this location to accommodate future development.</w:t>
      </w:r>
    </w:p>
    <w:bookmarkEnd w:id="12"/>
    <w:p w14:paraId="5208DBE1" w14:textId="54A891CB" w:rsidR="003A1825" w:rsidRDefault="00DA1917" w:rsidP="00DA1917">
      <w:pPr>
        <w:tabs>
          <w:tab w:val="left" w:pos="851"/>
        </w:tabs>
        <w:ind w:left="851" w:hanging="851"/>
        <w:jc w:val="left"/>
      </w:pPr>
      <w:r>
        <w:t>3.17.3</w:t>
      </w:r>
      <w:r>
        <w:tab/>
        <w:t>Future development requirements beyond the Plan period are uncertain, and wholesale Green Belt release at this stage is considered inappropriate.  It should also be noted that the remaining ‘Level A’ settlements of Sutton and Kirkby are not wholly constrained by Green Belt, albeit having other constraints to development.</w:t>
      </w:r>
      <w:r w:rsidRPr="00F3497D">
        <w:t xml:space="preserve"> </w:t>
      </w:r>
    </w:p>
    <w:p w14:paraId="59FBB515" w14:textId="77777777" w:rsidR="00DA1917" w:rsidRDefault="00DA1917" w:rsidP="003A214C">
      <w:pPr>
        <w:jc w:val="left"/>
        <w:rPr>
          <w:b/>
          <w:bCs/>
          <w:i/>
          <w:iCs/>
        </w:rPr>
      </w:pPr>
    </w:p>
    <w:p w14:paraId="044058FC" w14:textId="15D2FB34" w:rsidR="003A1825" w:rsidRPr="003A214C" w:rsidRDefault="003A1825" w:rsidP="001C4B8F">
      <w:pPr>
        <w:pStyle w:val="Heading3"/>
      </w:pPr>
      <w:r w:rsidRPr="003A214C">
        <w:t>3.18 At a strategic level, do exceptional circumstances exist to alter the Green Belt</w:t>
      </w:r>
      <w:r w:rsidR="003A214C" w:rsidRPr="003A214C">
        <w:t xml:space="preserve"> </w:t>
      </w:r>
      <w:r w:rsidRPr="003A214C">
        <w:t>boundary, having particular regard to paragraphs 140 – 143 of the Framework? If not,</w:t>
      </w:r>
      <w:r w:rsidR="003A214C" w:rsidRPr="003A214C">
        <w:t xml:space="preserve"> </w:t>
      </w:r>
      <w:r w:rsidRPr="003A214C">
        <w:t>how could housing and employment needs be met in other ways?</w:t>
      </w:r>
      <w:r w:rsidRPr="003A214C">
        <w:cr/>
      </w:r>
    </w:p>
    <w:p w14:paraId="7CEF8266" w14:textId="77777777" w:rsidR="003A214C" w:rsidRDefault="003A214C" w:rsidP="003A214C">
      <w:pPr>
        <w:jc w:val="left"/>
        <w:rPr>
          <w:u w:val="single"/>
        </w:rPr>
      </w:pPr>
      <w:r w:rsidRPr="00156B97">
        <w:rPr>
          <w:u w:val="single"/>
        </w:rPr>
        <w:t>Council’s response</w:t>
      </w:r>
    </w:p>
    <w:p w14:paraId="627D730C" w14:textId="0F486C80" w:rsidR="00C10C37" w:rsidRDefault="00866296" w:rsidP="00866296">
      <w:pPr>
        <w:autoSpaceDE w:val="0"/>
        <w:autoSpaceDN w:val="0"/>
        <w:adjustRightInd w:val="0"/>
        <w:spacing w:after="0" w:line="240" w:lineRule="auto"/>
        <w:ind w:left="720" w:hanging="720"/>
        <w:jc w:val="left"/>
        <w:rPr>
          <w:rFonts w:cs="Arial"/>
          <w:color w:val="000000"/>
          <w:szCs w:val="24"/>
        </w:rPr>
      </w:pPr>
      <w:r>
        <w:rPr>
          <w:rFonts w:cs="Arial"/>
          <w:color w:val="000000"/>
          <w:szCs w:val="24"/>
        </w:rPr>
        <w:lastRenderedPageBreak/>
        <w:t>3.18.1</w:t>
      </w:r>
      <w:r>
        <w:rPr>
          <w:rFonts w:cs="Arial"/>
          <w:color w:val="000000"/>
          <w:szCs w:val="24"/>
        </w:rPr>
        <w:tab/>
      </w:r>
      <w:r w:rsidR="00ED0688">
        <w:rPr>
          <w:rFonts w:cs="Arial"/>
          <w:color w:val="000000"/>
          <w:szCs w:val="24"/>
        </w:rPr>
        <w:t xml:space="preserve">Yes. </w:t>
      </w:r>
      <w:r w:rsidR="005062A4">
        <w:rPr>
          <w:rFonts w:cs="Arial"/>
          <w:color w:val="000000"/>
          <w:szCs w:val="24"/>
        </w:rPr>
        <w:t xml:space="preserve">Chapter 9 of </w:t>
      </w:r>
      <w:r w:rsidR="001C153D">
        <w:rPr>
          <w:rFonts w:cs="Arial"/>
          <w:color w:val="000000"/>
          <w:szCs w:val="24"/>
        </w:rPr>
        <w:t xml:space="preserve">Background Paper 1: Spatial Strategy and Site Selection [BP.01] </w:t>
      </w:r>
      <w:r>
        <w:rPr>
          <w:rFonts w:cs="Arial"/>
          <w:color w:val="000000"/>
          <w:szCs w:val="24"/>
        </w:rPr>
        <w:t>discusses th</w:t>
      </w:r>
      <w:r w:rsidR="005062A4">
        <w:rPr>
          <w:rFonts w:cs="Arial"/>
          <w:color w:val="000000"/>
          <w:szCs w:val="24"/>
        </w:rPr>
        <w:t>e requirements of paragraphs</w:t>
      </w:r>
      <w:r>
        <w:rPr>
          <w:rFonts w:cs="Arial"/>
          <w:color w:val="000000"/>
          <w:szCs w:val="24"/>
        </w:rPr>
        <w:t xml:space="preserve"> 140 – 142 NPPF</w:t>
      </w:r>
      <w:r w:rsidR="00C10C37">
        <w:rPr>
          <w:rFonts w:cs="Arial"/>
          <w:color w:val="000000"/>
          <w:szCs w:val="24"/>
        </w:rPr>
        <w:t xml:space="preserve">, and why the Council believes that there are exceptional circumstances to release land from the Green Belt to deliver the strategy identified in the Local Plan [SD.01]. </w:t>
      </w:r>
      <w:r>
        <w:rPr>
          <w:rFonts w:cs="Arial"/>
          <w:color w:val="000000"/>
          <w:szCs w:val="24"/>
        </w:rPr>
        <w:t xml:space="preserve"> </w:t>
      </w:r>
      <w:r w:rsidR="005062A4">
        <w:rPr>
          <w:rFonts w:cs="Arial"/>
          <w:color w:val="000000"/>
          <w:szCs w:val="24"/>
        </w:rPr>
        <w:t xml:space="preserve"> </w:t>
      </w:r>
    </w:p>
    <w:p w14:paraId="5C348667" w14:textId="77777777" w:rsidR="00C10C37" w:rsidRDefault="00C10C37" w:rsidP="00866296">
      <w:pPr>
        <w:autoSpaceDE w:val="0"/>
        <w:autoSpaceDN w:val="0"/>
        <w:adjustRightInd w:val="0"/>
        <w:spacing w:after="0" w:line="240" w:lineRule="auto"/>
        <w:ind w:left="720" w:hanging="720"/>
        <w:jc w:val="left"/>
        <w:rPr>
          <w:rFonts w:cs="Arial"/>
          <w:color w:val="000000"/>
          <w:szCs w:val="24"/>
        </w:rPr>
      </w:pPr>
    </w:p>
    <w:p w14:paraId="7467F9D6" w14:textId="2D7835C2" w:rsidR="00866296" w:rsidRPr="00DD064F" w:rsidRDefault="00C10C37" w:rsidP="00DD064F">
      <w:pPr>
        <w:pStyle w:val="ListParagraph"/>
        <w:numPr>
          <w:ilvl w:val="2"/>
          <w:numId w:val="33"/>
        </w:numPr>
        <w:autoSpaceDE w:val="0"/>
        <w:autoSpaceDN w:val="0"/>
        <w:adjustRightInd w:val="0"/>
        <w:spacing w:after="0" w:line="240" w:lineRule="auto"/>
        <w:jc w:val="left"/>
        <w:rPr>
          <w:rFonts w:cs="Arial"/>
          <w:color w:val="000000"/>
          <w:szCs w:val="24"/>
        </w:rPr>
      </w:pPr>
      <w:r w:rsidRPr="00DD064F">
        <w:rPr>
          <w:rFonts w:cs="Arial"/>
          <w:color w:val="000000"/>
          <w:szCs w:val="24"/>
        </w:rPr>
        <w:t>The requirements of p</w:t>
      </w:r>
      <w:r w:rsidR="00866296" w:rsidRPr="00DD064F">
        <w:rPr>
          <w:rFonts w:cs="Arial"/>
          <w:color w:val="000000"/>
          <w:szCs w:val="24"/>
        </w:rPr>
        <w:t>aragraph 143</w:t>
      </w:r>
      <w:r w:rsidRPr="00DD064F">
        <w:rPr>
          <w:rFonts w:cs="Arial"/>
          <w:color w:val="000000"/>
          <w:szCs w:val="24"/>
        </w:rPr>
        <w:t xml:space="preserve"> NPPF</w:t>
      </w:r>
      <w:r w:rsidR="00866296" w:rsidRPr="00DD064F">
        <w:rPr>
          <w:rFonts w:cs="Arial"/>
          <w:color w:val="000000"/>
          <w:szCs w:val="24"/>
        </w:rPr>
        <w:t xml:space="preserve"> </w:t>
      </w:r>
      <w:r w:rsidR="00D60AEB" w:rsidRPr="00DD064F">
        <w:rPr>
          <w:rFonts w:cs="Arial"/>
          <w:color w:val="000000"/>
          <w:szCs w:val="24"/>
        </w:rPr>
        <w:t>are addressed</w:t>
      </w:r>
      <w:r w:rsidR="00BA3B17">
        <w:rPr>
          <w:rFonts w:cs="Arial"/>
          <w:color w:val="000000"/>
          <w:szCs w:val="24"/>
        </w:rPr>
        <w:t xml:space="preserve"> throughout BP.01.</w:t>
      </w:r>
    </w:p>
    <w:p w14:paraId="3339FD4F" w14:textId="77777777" w:rsidR="00D60AEB" w:rsidRDefault="00D60AEB" w:rsidP="00866296">
      <w:pPr>
        <w:autoSpaceDE w:val="0"/>
        <w:autoSpaceDN w:val="0"/>
        <w:adjustRightInd w:val="0"/>
        <w:spacing w:after="0" w:line="240" w:lineRule="auto"/>
        <w:ind w:left="720" w:hanging="720"/>
        <w:jc w:val="left"/>
        <w:rPr>
          <w:rFonts w:cs="Arial"/>
          <w:color w:val="000000"/>
          <w:szCs w:val="24"/>
        </w:rPr>
      </w:pPr>
    </w:p>
    <w:p w14:paraId="731F2DA0" w14:textId="77777777" w:rsidR="00A229A1" w:rsidRDefault="001249EF" w:rsidP="001249EF">
      <w:pPr>
        <w:ind w:left="720" w:hanging="720"/>
        <w:jc w:val="left"/>
      </w:pPr>
      <w:r>
        <w:t>3.18.2</w:t>
      </w:r>
      <w:r>
        <w:tab/>
        <w:t xml:space="preserve">The exceptional circumstances for the release of Green Belt for strategic employment purposes is </w:t>
      </w:r>
      <w:r w:rsidR="00A229A1">
        <w:t xml:space="preserve">also </w:t>
      </w:r>
      <w:r>
        <w:t>set out in</w:t>
      </w:r>
      <w:r w:rsidR="00A229A1">
        <w:t xml:space="preserve"> </w:t>
      </w:r>
      <w:r w:rsidR="00866296">
        <w:t xml:space="preserve">BP.01 </w:t>
      </w:r>
      <w:r w:rsidR="00A229A1">
        <w:t xml:space="preserve">at </w:t>
      </w:r>
      <w:r w:rsidR="00866296">
        <w:t xml:space="preserve">paragraphs </w:t>
      </w:r>
      <w:r w:rsidR="002E4946">
        <w:t>9.</w:t>
      </w:r>
      <w:r w:rsidR="00A229A1">
        <w:t>5</w:t>
      </w:r>
      <w:r w:rsidR="002E4946">
        <w:t>1 – 9.62, but in particular</w:t>
      </w:r>
      <w:r w:rsidR="00A229A1">
        <w:t>:</w:t>
      </w:r>
    </w:p>
    <w:p w14:paraId="00E0543C" w14:textId="3F4E9DA3" w:rsidR="005062A4" w:rsidRDefault="002E4946" w:rsidP="00A875A8">
      <w:pPr>
        <w:pStyle w:val="ListParagraph"/>
        <w:numPr>
          <w:ilvl w:val="0"/>
          <w:numId w:val="32"/>
        </w:numPr>
        <w:ind w:left="1276"/>
        <w:jc w:val="left"/>
        <w:rPr>
          <w:rFonts w:eastAsia="Calibri" w:cs="Arial"/>
          <w:szCs w:val="24"/>
        </w:rPr>
      </w:pPr>
      <w:r>
        <w:t>9.60 sets out</w:t>
      </w:r>
      <w:r w:rsidR="00A229A1">
        <w:t>: “</w:t>
      </w:r>
      <w:r w:rsidR="005062A4" w:rsidRPr="00A875A8">
        <w:rPr>
          <w:rFonts w:eastAsia="Calibri" w:cs="Arial"/>
          <w:szCs w:val="24"/>
        </w:rPr>
        <w:t>The economic evidence for the Local Plan identifies that there is a significant demand for strategic logistics, particularly along the M1 Motorway corridor in Nottinghamshire, and a shortage in the supply to meet the needs of major logistics operators. With the substantial development of Castlewood Business Park and the building out of Summit Park, Ashfield no longer has the capacity to significantly contribute towards meeting this requirement. The Council considers that currently there are no sites in the District which would provide a realistic alternative with the necessary attributes that the sites at Junction 27 possess which are well placed to meet demand for logistics in terms of scale, access to the motorway network and deliverability.</w:t>
      </w:r>
    </w:p>
    <w:p w14:paraId="6C41093E" w14:textId="77777777" w:rsidR="00A875A8" w:rsidRPr="00A875A8" w:rsidRDefault="00A875A8" w:rsidP="00A875A8">
      <w:pPr>
        <w:pStyle w:val="ListParagraph"/>
        <w:ind w:left="1276"/>
        <w:jc w:val="left"/>
        <w:rPr>
          <w:rFonts w:eastAsia="Calibri" w:cs="Arial"/>
          <w:szCs w:val="24"/>
        </w:rPr>
      </w:pPr>
    </w:p>
    <w:p w14:paraId="24D4AB10" w14:textId="46025F1D" w:rsidR="005062A4" w:rsidRPr="00A875A8" w:rsidRDefault="005062A4" w:rsidP="00A875A8">
      <w:pPr>
        <w:pStyle w:val="ListParagraph"/>
        <w:numPr>
          <w:ilvl w:val="0"/>
          <w:numId w:val="32"/>
        </w:numPr>
        <w:spacing w:after="0" w:line="240" w:lineRule="auto"/>
        <w:ind w:left="1276"/>
        <w:jc w:val="left"/>
        <w:rPr>
          <w:rFonts w:eastAsia="Calibri" w:cs="Arial"/>
          <w:szCs w:val="24"/>
        </w:rPr>
      </w:pPr>
      <w:r w:rsidRPr="00A875A8">
        <w:rPr>
          <w:rFonts w:eastAsia="Calibri" w:cs="Arial"/>
          <w:szCs w:val="24"/>
        </w:rPr>
        <w:t>9.61 sets out:</w:t>
      </w:r>
      <w:r w:rsidR="00A229A1" w:rsidRPr="00A875A8">
        <w:rPr>
          <w:rFonts w:eastAsia="Calibri" w:cs="Arial"/>
          <w:szCs w:val="24"/>
        </w:rPr>
        <w:t xml:space="preserve"> “</w:t>
      </w:r>
      <w:r w:rsidRPr="00A875A8">
        <w:rPr>
          <w:rFonts w:eastAsia="Calibri" w:cs="Arial"/>
          <w:szCs w:val="24"/>
        </w:rPr>
        <w:t>The proposed strategic allocations provide a major economic opportunity for Ashfield, providing investment to boost the local economy and jobs, and helping to address local deprivation issues.</w:t>
      </w:r>
      <w:r w:rsidR="00A229A1" w:rsidRPr="00A875A8">
        <w:rPr>
          <w:rFonts w:eastAsia="Calibri" w:cs="Arial"/>
          <w:szCs w:val="24"/>
        </w:rPr>
        <w:t>”</w:t>
      </w:r>
      <w:r w:rsidRPr="00A875A8">
        <w:rPr>
          <w:rFonts w:eastAsia="Calibri" w:cs="Arial"/>
          <w:szCs w:val="24"/>
        </w:rPr>
        <w:t xml:space="preserve"> </w:t>
      </w:r>
    </w:p>
    <w:p w14:paraId="0DB33C0A" w14:textId="77777777" w:rsidR="005062A4" w:rsidRDefault="005062A4" w:rsidP="00A875A8">
      <w:pPr>
        <w:pStyle w:val="ListParagraph"/>
        <w:ind w:left="1276"/>
        <w:rPr>
          <w:rFonts w:eastAsia="Calibri" w:cs="Arial"/>
          <w:szCs w:val="24"/>
        </w:rPr>
      </w:pPr>
    </w:p>
    <w:p w14:paraId="3012FA17" w14:textId="6407C0C3" w:rsidR="005062A4" w:rsidRDefault="00A229A1" w:rsidP="00A875A8">
      <w:pPr>
        <w:pStyle w:val="ListParagraph"/>
        <w:numPr>
          <w:ilvl w:val="0"/>
          <w:numId w:val="32"/>
        </w:numPr>
        <w:spacing w:after="0" w:line="240" w:lineRule="auto"/>
        <w:ind w:left="1276"/>
        <w:jc w:val="left"/>
        <w:rPr>
          <w:rFonts w:eastAsia="Calibri" w:cs="Arial"/>
          <w:szCs w:val="24"/>
        </w:rPr>
      </w:pPr>
      <w:r w:rsidRPr="00A875A8">
        <w:rPr>
          <w:rFonts w:eastAsia="Calibri" w:cs="Arial"/>
          <w:szCs w:val="24"/>
        </w:rPr>
        <w:t>9.62 sets out: “</w:t>
      </w:r>
      <w:r w:rsidR="005062A4" w:rsidRPr="00A875A8">
        <w:rPr>
          <w:rFonts w:eastAsia="Calibri" w:cs="Arial"/>
          <w:szCs w:val="24"/>
        </w:rPr>
        <w:t>The need to weigh competing issues lies at the heart of the NPPF. It is considered, on balance, the public benefits of the proposed allocation in relation to heritage assets and the exceptional circumstances in relation to the Green Belt provide the justification for the allocation to be taken forward in the Local Plan.</w:t>
      </w:r>
      <w:r w:rsidRPr="00A875A8">
        <w:rPr>
          <w:rFonts w:eastAsia="Calibri" w:cs="Arial"/>
          <w:szCs w:val="24"/>
        </w:rPr>
        <w:t>”</w:t>
      </w:r>
    </w:p>
    <w:p w14:paraId="5B5C2A3D" w14:textId="77777777" w:rsidR="00FE0BF1" w:rsidRPr="00FE0BF1" w:rsidRDefault="00FE0BF1" w:rsidP="00FE0BF1">
      <w:pPr>
        <w:pStyle w:val="ListParagraph"/>
        <w:rPr>
          <w:rFonts w:eastAsia="Calibri" w:cs="Arial"/>
          <w:szCs w:val="24"/>
        </w:rPr>
      </w:pPr>
    </w:p>
    <w:p w14:paraId="61963AD7" w14:textId="77777777" w:rsidR="00FE0BF1" w:rsidRPr="00FE0BF1" w:rsidRDefault="00FE0BF1" w:rsidP="00FE0BF1">
      <w:pPr>
        <w:spacing w:after="0" w:line="240" w:lineRule="auto"/>
        <w:jc w:val="left"/>
        <w:rPr>
          <w:rFonts w:eastAsia="Calibri" w:cs="Arial"/>
          <w:szCs w:val="24"/>
        </w:rPr>
      </w:pPr>
    </w:p>
    <w:p w14:paraId="1595F240" w14:textId="77777777" w:rsidR="00FE0BF1" w:rsidRPr="00FE0BF1" w:rsidRDefault="00FE0BF1" w:rsidP="00FE0BF1">
      <w:pPr>
        <w:pStyle w:val="Heading3"/>
        <w:rPr>
          <w:color w:val="A02B93" w:themeColor="accent5"/>
        </w:rPr>
      </w:pPr>
      <w:r w:rsidRPr="00FE0BF1">
        <w:rPr>
          <w:color w:val="A02B93" w:themeColor="accent5"/>
        </w:rPr>
        <w:t xml:space="preserve">3.19 Is the Spatial Strategy effective if any further proposed sites would be required to be released from the Green Belt? </w:t>
      </w:r>
    </w:p>
    <w:p w14:paraId="7718446D" w14:textId="292CBF7A" w:rsidR="00FE0BF1" w:rsidRDefault="00E72CEB" w:rsidP="0025168A">
      <w:pPr>
        <w:ind w:left="720" w:hanging="720"/>
        <w:rPr>
          <w:color w:val="A02B93" w:themeColor="accent5"/>
        </w:rPr>
      </w:pPr>
      <w:r>
        <w:rPr>
          <w:color w:val="A02B93" w:themeColor="accent5"/>
        </w:rPr>
        <w:t>3.19.1</w:t>
      </w:r>
      <w:r>
        <w:rPr>
          <w:color w:val="A02B93" w:themeColor="accent5"/>
        </w:rPr>
        <w:tab/>
        <w:t>The Council are not pro</w:t>
      </w:r>
      <w:r w:rsidR="0025168A">
        <w:rPr>
          <w:color w:val="A02B93" w:themeColor="accent5"/>
        </w:rPr>
        <w:t>moting</w:t>
      </w:r>
      <w:r>
        <w:rPr>
          <w:color w:val="A02B93" w:themeColor="accent5"/>
        </w:rPr>
        <w:t xml:space="preserve"> additional </w:t>
      </w:r>
      <w:r w:rsidR="0025168A">
        <w:rPr>
          <w:color w:val="A02B93" w:themeColor="accent5"/>
        </w:rPr>
        <w:t xml:space="preserve">Green Belt </w:t>
      </w:r>
      <w:r>
        <w:rPr>
          <w:color w:val="A02B93" w:themeColor="accent5"/>
        </w:rPr>
        <w:t xml:space="preserve">sites to meet future housing needs to 2040. The only exception to this is a </w:t>
      </w:r>
      <w:r w:rsidR="0025168A">
        <w:rPr>
          <w:color w:val="A02B93" w:themeColor="accent5"/>
        </w:rPr>
        <w:t xml:space="preserve">relatively </w:t>
      </w:r>
      <w:r>
        <w:rPr>
          <w:color w:val="A02B93" w:themeColor="accent5"/>
        </w:rPr>
        <w:t>small site</w:t>
      </w:r>
      <w:r w:rsidR="0025168A">
        <w:rPr>
          <w:color w:val="A02B93" w:themeColor="accent5"/>
        </w:rPr>
        <w:t xml:space="preserve"> for up to 38 dwellings</w:t>
      </w:r>
      <w:r>
        <w:rPr>
          <w:color w:val="A02B93" w:themeColor="accent5"/>
        </w:rPr>
        <w:t xml:space="preserve"> at Abbey Road in Kirkby</w:t>
      </w:r>
      <w:r w:rsidR="0025168A">
        <w:rPr>
          <w:color w:val="A02B93" w:themeColor="accent5"/>
        </w:rPr>
        <w:t xml:space="preserve"> (H1Km). This site has a resolution to grant permission subject to the signing of a s106 legal agreement and therefore falls within Stage 2 of the site selection process.</w:t>
      </w:r>
      <w:r w:rsidR="008364B0" w:rsidRPr="008364B0">
        <w:t xml:space="preserve"> </w:t>
      </w:r>
      <w:r w:rsidR="008364B0" w:rsidRPr="008364B0">
        <w:rPr>
          <w:color w:val="A02B93" w:themeColor="accent5"/>
        </w:rPr>
        <w:t xml:space="preserve">Correspondance received from </w:t>
      </w:r>
      <w:r w:rsidR="008364B0">
        <w:rPr>
          <w:color w:val="A02B93" w:themeColor="accent5"/>
        </w:rPr>
        <w:t xml:space="preserve">the Secretary of State for </w:t>
      </w:r>
      <w:r w:rsidR="008364B0" w:rsidRPr="008364B0">
        <w:rPr>
          <w:color w:val="A02B93" w:themeColor="accent5"/>
        </w:rPr>
        <w:t xml:space="preserve">MHCLG </w:t>
      </w:r>
      <w:r w:rsidR="008364B0">
        <w:rPr>
          <w:color w:val="A02B93" w:themeColor="accent5"/>
        </w:rPr>
        <w:t>in March 2025 concluded that ‘</w:t>
      </w:r>
      <w:r w:rsidR="008364B0" w:rsidRPr="008364B0">
        <w:rPr>
          <w:color w:val="A02B93" w:themeColor="accent5"/>
        </w:rPr>
        <w:t>call in</w:t>
      </w:r>
      <w:r w:rsidR="008364B0">
        <w:rPr>
          <w:color w:val="A02B93" w:themeColor="accent5"/>
        </w:rPr>
        <w:t>’</w:t>
      </w:r>
      <w:r w:rsidR="008364B0" w:rsidRPr="008364B0">
        <w:rPr>
          <w:color w:val="A02B93" w:themeColor="accent5"/>
        </w:rPr>
        <w:t xml:space="preserve"> </w:t>
      </w:r>
      <w:r w:rsidR="008364B0">
        <w:rPr>
          <w:color w:val="A02B93" w:themeColor="accent5"/>
        </w:rPr>
        <w:t xml:space="preserve">was </w:t>
      </w:r>
      <w:r w:rsidR="00D7057A">
        <w:rPr>
          <w:color w:val="A02B93" w:themeColor="accent5"/>
        </w:rPr>
        <w:t>u</w:t>
      </w:r>
      <w:r w:rsidR="00D7057A" w:rsidRPr="008364B0">
        <w:rPr>
          <w:color w:val="A02B93" w:themeColor="accent5"/>
        </w:rPr>
        <w:t>nnecessary</w:t>
      </w:r>
      <w:r w:rsidR="00D7057A">
        <w:rPr>
          <w:color w:val="A02B93" w:themeColor="accent5"/>
        </w:rPr>
        <w:t xml:space="preserve"> in respect of the release of this site from Green Belt.</w:t>
      </w:r>
    </w:p>
    <w:p w14:paraId="6F62EC4B" w14:textId="53788404" w:rsidR="00D7057A" w:rsidRDefault="00D7057A" w:rsidP="00A35408">
      <w:pPr>
        <w:ind w:left="720" w:hanging="720"/>
        <w:rPr>
          <w:color w:val="A02B93" w:themeColor="accent5"/>
        </w:rPr>
      </w:pPr>
      <w:r>
        <w:rPr>
          <w:color w:val="A02B93" w:themeColor="accent5"/>
        </w:rPr>
        <w:t xml:space="preserve">3.19.2 </w:t>
      </w:r>
      <w:r w:rsidR="001A5653">
        <w:rPr>
          <w:color w:val="A02B93" w:themeColor="accent5"/>
        </w:rPr>
        <w:t xml:space="preserve">It is also worth noting the implications of Grey Belt with regard to this additional proposed site allocation. </w:t>
      </w:r>
      <w:r w:rsidR="001A5653" w:rsidRPr="001A5653">
        <w:rPr>
          <w:color w:val="A02B93" w:themeColor="accent5"/>
        </w:rPr>
        <w:t xml:space="preserve">The Council acknowledges that the Local Plan examination is being undertaken under the September 2023 version of the NPPF where the concept of Grey Belt is not considered. However, planning decisions </w:t>
      </w:r>
      <w:r w:rsidR="001A5653">
        <w:rPr>
          <w:color w:val="A02B93" w:themeColor="accent5"/>
        </w:rPr>
        <w:t>are now</w:t>
      </w:r>
      <w:r w:rsidR="001A5653" w:rsidRPr="001A5653">
        <w:rPr>
          <w:color w:val="A02B93" w:themeColor="accent5"/>
        </w:rPr>
        <w:t xml:space="preserve"> assessed against the requirements of </w:t>
      </w:r>
      <w:r w:rsidR="00A35408">
        <w:rPr>
          <w:color w:val="A02B93" w:themeColor="accent5"/>
        </w:rPr>
        <w:t>NPPF</w:t>
      </w:r>
      <w:r w:rsidR="001A5653" w:rsidRPr="001A5653">
        <w:rPr>
          <w:color w:val="A02B93" w:themeColor="accent5"/>
        </w:rPr>
        <w:t xml:space="preserve"> 2025 where the concept of Grey Belt </w:t>
      </w:r>
      <w:r w:rsidR="00A35408">
        <w:rPr>
          <w:color w:val="A02B93" w:themeColor="accent5"/>
        </w:rPr>
        <w:t>is</w:t>
      </w:r>
      <w:r w:rsidR="001A5653" w:rsidRPr="001A5653">
        <w:rPr>
          <w:color w:val="A02B93" w:themeColor="accent5"/>
        </w:rPr>
        <w:t xml:space="preserve"> a </w:t>
      </w:r>
      <w:r w:rsidR="001A5653" w:rsidRPr="001A5653">
        <w:rPr>
          <w:color w:val="A02B93" w:themeColor="accent5"/>
        </w:rPr>
        <w:lastRenderedPageBreak/>
        <w:t xml:space="preserve">material consideration. As such, the Council have undertaken an assessment of </w:t>
      </w:r>
      <w:r w:rsidR="00A35408">
        <w:rPr>
          <w:color w:val="A02B93" w:themeColor="accent5"/>
        </w:rPr>
        <w:t>all</w:t>
      </w:r>
      <w:r w:rsidR="001A5653" w:rsidRPr="001A5653">
        <w:rPr>
          <w:color w:val="A02B93" w:themeColor="accent5"/>
        </w:rPr>
        <w:t xml:space="preserve"> proposed Green Belt site</w:t>
      </w:r>
      <w:r w:rsidR="00A35408">
        <w:rPr>
          <w:color w:val="A02B93" w:themeColor="accent5"/>
        </w:rPr>
        <w:t xml:space="preserve"> allocations</w:t>
      </w:r>
      <w:r w:rsidR="001A5653" w:rsidRPr="001A5653">
        <w:rPr>
          <w:color w:val="A02B93" w:themeColor="accent5"/>
        </w:rPr>
        <w:t xml:space="preserve"> in the emerging Local Plan to determine their potential to be considered Grey Belt land. The assessment reflects the planning practice guidance published in February 2025 Reference ID: 64-005-20250225.</w:t>
      </w:r>
      <w:r w:rsidR="00A35408">
        <w:rPr>
          <w:color w:val="A02B93" w:themeColor="accent5"/>
        </w:rPr>
        <w:t xml:space="preserve"> </w:t>
      </w:r>
      <w:r w:rsidR="001A5653" w:rsidRPr="001A5653">
        <w:rPr>
          <w:color w:val="A02B93" w:themeColor="accent5"/>
        </w:rPr>
        <w:t>Following the individual assessment of each of the 11 proposed Green Belt housing allocations (including new site H1Km – Abbey Road, Kirkby), it has been determined that all 11 sites are considered to constitute Grey Belt land.</w:t>
      </w:r>
    </w:p>
    <w:p w14:paraId="165D4CA2" w14:textId="77777777" w:rsidR="00FA779E" w:rsidRPr="00FE0BF1" w:rsidRDefault="00FA779E" w:rsidP="0025168A">
      <w:pPr>
        <w:ind w:left="720" w:hanging="720"/>
        <w:rPr>
          <w:color w:val="A02B93" w:themeColor="accent5"/>
        </w:rPr>
      </w:pPr>
    </w:p>
    <w:p w14:paraId="30F0E033" w14:textId="77777777" w:rsidR="0025168A" w:rsidRDefault="00FE0BF1" w:rsidP="00FE0BF1">
      <w:pPr>
        <w:pStyle w:val="Heading3"/>
        <w:rPr>
          <w:color w:val="A02B93" w:themeColor="accent5"/>
        </w:rPr>
      </w:pPr>
      <w:r w:rsidRPr="00FE0BF1">
        <w:rPr>
          <w:color w:val="A02B93" w:themeColor="accent5"/>
        </w:rPr>
        <w:t xml:space="preserve">3.20 Is the release of Green Belt land necessary to address the shortfall in housing across the plan period? </w:t>
      </w:r>
    </w:p>
    <w:p w14:paraId="2EB9C713" w14:textId="19C9DBD6" w:rsidR="00E5314E" w:rsidRDefault="0025168A" w:rsidP="00CA579E">
      <w:pPr>
        <w:ind w:left="720" w:hanging="720"/>
      </w:pPr>
      <w:r>
        <w:rPr>
          <w:color w:val="A02B93" w:themeColor="accent5"/>
        </w:rPr>
        <w:t>3.20.1</w:t>
      </w:r>
      <w:r>
        <w:rPr>
          <w:color w:val="A02B93" w:themeColor="accent5"/>
        </w:rPr>
        <w:tab/>
        <w:t xml:space="preserve">No. The </w:t>
      </w:r>
      <w:r w:rsidR="00BC5A58">
        <w:rPr>
          <w:color w:val="A02B93" w:themeColor="accent5"/>
        </w:rPr>
        <w:t xml:space="preserve">Council’s </w:t>
      </w:r>
      <w:r>
        <w:rPr>
          <w:color w:val="A02B93" w:themeColor="accent5"/>
        </w:rPr>
        <w:t>updated Table included in response to MIQ</w:t>
      </w:r>
      <w:r w:rsidR="00CA579E">
        <w:rPr>
          <w:color w:val="A02B93" w:themeColor="accent5"/>
        </w:rPr>
        <w:t xml:space="preserve"> 2.7(.1) at paragraph 2.7.7</w:t>
      </w:r>
      <w:r>
        <w:rPr>
          <w:color w:val="A02B93" w:themeColor="accent5"/>
        </w:rPr>
        <w:t xml:space="preserve"> </w:t>
      </w:r>
      <w:r w:rsidR="00BC5A58">
        <w:rPr>
          <w:color w:val="A02B93" w:themeColor="accent5"/>
        </w:rPr>
        <w:t xml:space="preserve">illustrates the current position which reflects all proposed sites and updated completions, commitments etc. This indicates an expected over provision of 591 dwellings over the plan period 2023 to 2040. </w:t>
      </w:r>
      <w:r w:rsidR="00CA579E">
        <w:rPr>
          <w:color w:val="A02B93" w:themeColor="accent5"/>
        </w:rPr>
        <w:t>The response to MIQ 3.19 above discusses the only additional Green Belt site for 38 dwellings at Abbey Road, Kirkby. The quantum of development which may be yielded by this allocation is therefore not essential in addressing the previously identified shortfall.</w:t>
      </w:r>
      <w:r w:rsidR="00E5314E">
        <w:br w:type="page"/>
      </w:r>
    </w:p>
    <w:p w14:paraId="12D62D5F" w14:textId="77777777" w:rsidR="00E5314E" w:rsidRPr="00FE0BF1" w:rsidRDefault="00E5314E" w:rsidP="00220732">
      <w:pPr>
        <w:pStyle w:val="Heading2"/>
        <w:rPr>
          <w:color w:val="A02B93" w:themeColor="accent5"/>
        </w:rPr>
      </w:pPr>
      <w:r w:rsidRPr="00FE0BF1">
        <w:rPr>
          <w:color w:val="A02B93" w:themeColor="accent5"/>
        </w:rPr>
        <w:lastRenderedPageBreak/>
        <w:t>Appendix A</w:t>
      </w:r>
    </w:p>
    <w:p w14:paraId="3D97525B" w14:textId="382C66F6" w:rsidR="00E5314E" w:rsidRPr="00FE0BF1" w:rsidRDefault="00E5314E" w:rsidP="00657E09">
      <w:pPr>
        <w:jc w:val="left"/>
        <w:rPr>
          <w:b/>
          <w:bCs/>
          <w:color w:val="A02B93" w:themeColor="accent5"/>
        </w:rPr>
      </w:pPr>
      <w:r w:rsidRPr="00FE0BF1">
        <w:rPr>
          <w:b/>
          <w:bCs/>
          <w:color w:val="A02B93" w:themeColor="accent5"/>
        </w:rPr>
        <w:t xml:space="preserve">Distribution of New Housing Development </w:t>
      </w:r>
      <w:r w:rsidR="00657E09">
        <w:rPr>
          <w:b/>
          <w:bCs/>
          <w:color w:val="A02B93" w:themeColor="accent5"/>
        </w:rPr>
        <w:t xml:space="preserve">(Dwellings) </w:t>
      </w:r>
      <w:r w:rsidRPr="00FE0BF1">
        <w:rPr>
          <w:b/>
          <w:bCs/>
          <w:color w:val="A02B93" w:themeColor="accent5"/>
        </w:rPr>
        <w:t xml:space="preserve">by Settlement Hierarchy - October 2025 </w:t>
      </w:r>
    </w:p>
    <w:tbl>
      <w:tblPr>
        <w:tblW w:w="10202" w:type="dxa"/>
        <w:tblInd w:w="-147" w:type="dxa"/>
        <w:tblLook w:val="04A0" w:firstRow="1" w:lastRow="0" w:firstColumn="1" w:lastColumn="0" w:noHBand="0" w:noVBand="1"/>
      </w:tblPr>
      <w:tblGrid>
        <w:gridCol w:w="2161"/>
        <w:gridCol w:w="1439"/>
        <w:gridCol w:w="1403"/>
        <w:gridCol w:w="1513"/>
        <w:gridCol w:w="1382"/>
        <w:gridCol w:w="987"/>
        <w:gridCol w:w="1317"/>
      </w:tblGrid>
      <w:tr w:rsidR="00FE0BF1" w:rsidRPr="00FE0BF1" w14:paraId="48E2DE14" w14:textId="77777777" w:rsidTr="00657E09">
        <w:trPr>
          <w:trHeight w:val="1833"/>
        </w:trPr>
        <w:tc>
          <w:tcPr>
            <w:tcW w:w="2161"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713F336A"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Hierarchy</w:t>
            </w:r>
          </w:p>
        </w:tc>
        <w:tc>
          <w:tcPr>
            <w:tcW w:w="1439" w:type="dxa"/>
            <w:tcBorders>
              <w:top w:val="single" w:sz="4" w:space="0" w:color="auto"/>
              <w:left w:val="nil"/>
              <w:bottom w:val="single" w:sz="4" w:space="0" w:color="auto"/>
              <w:right w:val="single" w:sz="4" w:space="0" w:color="auto"/>
            </w:tcBorders>
            <w:shd w:val="clear" w:color="000000" w:fill="D9D9D9"/>
            <w:vAlign w:val="bottom"/>
            <w:hideMark/>
          </w:tcPr>
          <w:p w14:paraId="20A458DA" w14:textId="77777777" w:rsidR="00E5314E" w:rsidRPr="00FE02E6" w:rsidRDefault="00E5314E" w:rsidP="00E024A5">
            <w:pPr>
              <w:spacing w:after="0" w:line="240" w:lineRule="auto"/>
              <w:jc w:val="center"/>
              <w:rPr>
                <w:rFonts w:eastAsia="Times New Roman" w:cs="Arial"/>
                <w:color w:val="A02B93" w:themeColor="accent5"/>
                <w:sz w:val="22"/>
                <w:lang w:eastAsia="en-GB"/>
              </w:rPr>
            </w:pPr>
            <w:r w:rsidRPr="00FE02E6">
              <w:rPr>
                <w:rFonts w:eastAsia="Times New Roman" w:cs="Arial"/>
                <w:color w:val="A02B93" w:themeColor="accent5"/>
                <w:sz w:val="22"/>
                <w:lang w:eastAsia="en-GB"/>
              </w:rPr>
              <w:t>Net Housing Completions 2023-25</w:t>
            </w:r>
          </w:p>
        </w:tc>
        <w:tc>
          <w:tcPr>
            <w:tcW w:w="1403" w:type="dxa"/>
            <w:tcBorders>
              <w:top w:val="single" w:sz="4" w:space="0" w:color="auto"/>
              <w:left w:val="nil"/>
              <w:bottom w:val="single" w:sz="4" w:space="0" w:color="auto"/>
              <w:right w:val="single" w:sz="4" w:space="0" w:color="auto"/>
            </w:tcBorders>
            <w:shd w:val="clear" w:color="000000" w:fill="D9D9D9"/>
            <w:vAlign w:val="bottom"/>
            <w:hideMark/>
          </w:tcPr>
          <w:p w14:paraId="5BF17A09" w14:textId="0E8313BD" w:rsidR="00E5314E" w:rsidRPr="00FE02E6" w:rsidRDefault="00E5314E" w:rsidP="00E024A5">
            <w:pPr>
              <w:spacing w:after="0" w:line="240" w:lineRule="auto"/>
              <w:jc w:val="center"/>
              <w:rPr>
                <w:rFonts w:eastAsia="Times New Roman" w:cs="Arial"/>
                <w:color w:val="A02B93" w:themeColor="accent5"/>
                <w:sz w:val="22"/>
                <w:lang w:eastAsia="en-GB"/>
              </w:rPr>
            </w:pPr>
            <w:r w:rsidRPr="00FE02E6">
              <w:rPr>
                <w:rFonts w:eastAsia="Times New Roman" w:cs="Arial"/>
                <w:color w:val="A02B93" w:themeColor="accent5"/>
                <w:sz w:val="22"/>
                <w:lang w:eastAsia="en-GB"/>
              </w:rPr>
              <w:t>H1 Housing Sites without Planning Permission</w:t>
            </w:r>
          </w:p>
        </w:tc>
        <w:tc>
          <w:tcPr>
            <w:tcW w:w="1513" w:type="dxa"/>
            <w:tcBorders>
              <w:top w:val="single" w:sz="4" w:space="0" w:color="auto"/>
              <w:left w:val="nil"/>
              <w:bottom w:val="single" w:sz="4" w:space="0" w:color="auto"/>
              <w:right w:val="single" w:sz="4" w:space="0" w:color="auto"/>
            </w:tcBorders>
            <w:shd w:val="clear" w:color="000000" w:fill="D9D9D9"/>
            <w:vAlign w:val="bottom"/>
            <w:hideMark/>
          </w:tcPr>
          <w:p w14:paraId="59E3991D" w14:textId="77777777" w:rsidR="00E5314E" w:rsidRPr="00FE02E6" w:rsidRDefault="00E5314E" w:rsidP="00E024A5">
            <w:pPr>
              <w:spacing w:after="0" w:line="240" w:lineRule="auto"/>
              <w:jc w:val="center"/>
              <w:rPr>
                <w:rFonts w:eastAsia="Times New Roman" w:cs="Arial"/>
                <w:color w:val="A02B93" w:themeColor="accent5"/>
                <w:sz w:val="22"/>
                <w:lang w:eastAsia="en-GB"/>
              </w:rPr>
            </w:pPr>
            <w:r w:rsidRPr="00FE02E6">
              <w:rPr>
                <w:rFonts w:eastAsia="Times New Roman" w:cs="Arial"/>
                <w:color w:val="A02B93" w:themeColor="accent5"/>
                <w:sz w:val="22"/>
                <w:lang w:eastAsia="en-GB"/>
              </w:rPr>
              <w:t>H1 sites with resolution to grant  permission subject to signing s106 agreement</w:t>
            </w:r>
          </w:p>
        </w:tc>
        <w:tc>
          <w:tcPr>
            <w:tcW w:w="1382" w:type="dxa"/>
            <w:tcBorders>
              <w:top w:val="single" w:sz="4" w:space="0" w:color="auto"/>
              <w:left w:val="nil"/>
              <w:bottom w:val="single" w:sz="4" w:space="0" w:color="auto"/>
              <w:right w:val="single" w:sz="4" w:space="0" w:color="auto"/>
            </w:tcBorders>
            <w:shd w:val="clear" w:color="000000" w:fill="D9D9D9"/>
            <w:vAlign w:val="bottom"/>
            <w:hideMark/>
          </w:tcPr>
          <w:p w14:paraId="0B75D251" w14:textId="5598EB7D" w:rsidR="00E5314E" w:rsidRPr="00FE02E6" w:rsidRDefault="00E5314E" w:rsidP="00E024A5">
            <w:pPr>
              <w:spacing w:after="0" w:line="240" w:lineRule="auto"/>
              <w:jc w:val="center"/>
              <w:rPr>
                <w:rFonts w:eastAsia="Times New Roman" w:cs="Arial"/>
                <w:color w:val="A02B93" w:themeColor="accent5"/>
                <w:sz w:val="22"/>
                <w:lang w:eastAsia="en-GB"/>
              </w:rPr>
            </w:pPr>
            <w:r w:rsidRPr="00FE02E6">
              <w:rPr>
                <w:rFonts w:eastAsia="Times New Roman" w:cs="Arial"/>
                <w:color w:val="A02B93" w:themeColor="accent5"/>
                <w:sz w:val="22"/>
                <w:lang w:eastAsia="en-GB"/>
              </w:rPr>
              <w:t>All Housing Sites with Planning Permission</w:t>
            </w:r>
            <w:r w:rsidRPr="00FE02E6">
              <w:rPr>
                <w:rFonts w:eastAsia="Times New Roman" w:cs="Arial"/>
                <w:color w:val="A02B93" w:themeColor="accent5"/>
                <w:sz w:val="22"/>
                <w:vertAlign w:val="superscript"/>
                <w:lang w:eastAsia="en-GB"/>
              </w:rPr>
              <w:t>#</w:t>
            </w:r>
          </w:p>
        </w:tc>
        <w:tc>
          <w:tcPr>
            <w:tcW w:w="987" w:type="dxa"/>
            <w:tcBorders>
              <w:top w:val="single" w:sz="4" w:space="0" w:color="auto"/>
              <w:left w:val="nil"/>
              <w:bottom w:val="single" w:sz="4" w:space="0" w:color="auto"/>
              <w:right w:val="single" w:sz="4" w:space="0" w:color="auto"/>
            </w:tcBorders>
            <w:shd w:val="clear" w:color="000000" w:fill="D9D9D9"/>
            <w:vAlign w:val="bottom"/>
            <w:hideMark/>
          </w:tcPr>
          <w:p w14:paraId="42122CAA" w14:textId="668EEC3B" w:rsidR="00E5314E" w:rsidRPr="00FE02E6" w:rsidRDefault="00E5314E" w:rsidP="00E024A5">
            <w:pPr>
              <w:spacing w:after="0" w:line="240" w:lineRule="auto"/>
              <w:jc w:val="center"/>
              <w:rPr>
                <w:rFonts w:eastAsia="Times New Roman" w:cs="Arial"/>
                <w:color w:val="A02B93" w:themeColor="accent5"/>
                <w:sz w:val="22"/>
                <w:lang w:eastAsia="en-GB"/>
              </w:rPr>
            </w:pPr>
            <w:r w:rsidRPr="00FE02E6">
              <w:rPr>
                <w:rFonts w:eastAsia="Times New Roman" w:cs="Arial"/>
                <w:color w:val="A02B93" w:themeColor="accent5"/>
                <w:sz w:val="22"/>
                <w:lang w:eastAsia="en-GB"/>
              </w:rPr>
              <w:t>All housing Sites</w:t>
            </w:r>
          </w:p>
        </w:tc>
        <w:tc>
          <w:tcPr>
            <w:tcW w:w="1317" w:type="dxa"/>
            <w:tcBorders>
              <w:top w:val="single" w:sz="4" w:space="0" w:color="auto"/>
              <w:left w:val="nil"/>
              <w:bottom w:val="single" w:sz="4" w:space="0" w:color="auto"/>
              <w:right w:val="single" w:sz="4" w:space="0" w:color="auto"/>
            </w:tcBorders>
            <w:shd w:val="clear" w:color="000000" w:fill="D9D9D9"/>
            <w:vAlign w:val="bottom"/>
            <w:hideMark/>
          </w:tcPr>
          <w:p w14:paraId="4E485B49" w14:textId="77777777" w:rsidR="00E5314E" w:rsidRPr="00FE02E6" w:rsidRDefault="00E5314E" w:rsidP="00E024A5">
            <w:pPr>
              <w:spacing w:after="0" w:line="240" w:lineRule="auto"/>
              <w:jc w:val="center"/>
              <w:rPr>
                <w:rFonts w:eastAsia="Times New Roman" w:cs="Arial"/>
                <w:color w:val="A02B93" w:themeColor="accent5"/>
                <w:sz w:val="22"/>
                <w:lang w:eastAsia="en-GB"/>
              </w:rPr>
            </w:pPr>
            <w:r w:rsidRPr="00FE02E6">
              <w:rPr>
                <w:rFonts w:eastAsia="Times New Roman" w:cs="Arial"/>
                <w:color w:val="A02B93" w:themeColor="accent5"/>
                <w:sz w:val="22"/>
                <w:lang w:eastAsia="en-GB"/>
              </w:rPr>
              <w:t>% Distribution</w:t>
            </w:r>
          </w:p>
        </w:tc>
      </w:tr>
      <w:tr w:rsidR="00FE0BF1" w:rsidRPr="00FE0BF1" w14:paraId="63661CD8" w14:textId="77777777" w:rsidTr="00657E09">
        <w:trPr>
          <w:trHeight w:val="369"/>
        </w:trPr>
        <w:tc>
          <w:tcPr>
            <w:tcW w:w="2161" w:type="dxa"/>
            <w:tcBorders>
              <w:top w:val="nil"/>
              <w:left w:val="single" w:sz="4" w:space="0" w:color="auto"/>
              <w:bottom w:val="single" w:sz="4" w:space="0" w:color="auto"/>
              <w:right w:val="single" w:sz="4" w:space="0" w:color="auto"/>
            </w:tcBorders>
            <w:vAlign w:val="bottom"/>
            <w:hideMark/>
          </w:tcPr>
          <w:p w14:paraId="426E87F2" w14:textId="77777777" w:rsidR="00E5314E" w:rsidRPr="00FE02E6" w:rsidRDefault="00E5314E" w:rsidP="00AB5245">
            <w:pPr>
              <w:spacing w:after="0" w:line="240" w:lineRule="auto"/>
              <w:jc w:val="lef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Main Urban Areas</w:t>
            </w:r>
          </w:p>
        </w:tc>
        <w:tc>
          <w:tcPr>
            <w:tcW w:w="1439" w:type="dxa"/>
            <w:tcBorders>
              <w:top w:val="nil"/>
              <w:left w:val="nil"/>
              <w:bottom w:val="single" w:sz="4" w:space="0" w:color="auto"/>
              <w:right w:val="single" w:sz="4" w:space="0" w:color="auto"/>
            </w:tcBorders>
            <w:vAlign w:val="bottom"/>
            <w:hideMark/>
          </w:tcPr>
          <w:p w14:paraId="25623139" w14:textId="77777777" w:rsidR="00E5314E" w:rsidRPr="00FE02E6" w:rsidRDefault="00E5314E" w:rsidP="00AB5245">
            <w:pPr>
              <w:spacing w:after="0" w:line="240" w:lineRule="auto"/>
              <w:jc w:val="lef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 </w:t>
            </w:r>
          </w:p>
        </w:tc>
        <w:tc>
          <w:tcPr>
            <w:tcW w:w="1403" w:type="dxa"/>
            <w:tcBorders>
              <w:top w:val="nil"/>
              <w:left w:val="nil"/>
              <w:bottom w:val="single" w:sz="4" w:space="0" w:color="auto"/>
              <w:right w:val="single" w:sz="4" w:space="0" w:color="auto"/>
            </w:tcBorders>
            <w:noWrap/>
            <w:vAlign w:val="bottom"/>
            <w:hideMark/>
          </w:tcPr>
          <w:p w14:paraId="4307172C"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 </w:t>
            </w:r>
          </w:p>
        </w:tc>
        <w:tc>
          <w:tcPr>
            <w:tcW w:w="1513" w:type="dxa"/>
            <w:tcBorders>
              <w:top w:val="nil"/>
              <w:left w:val="nil"/>
              <w:bottom w:val="single" w:sz="4" w:space="0" w:color="auto"/>
              <w:right w:val="single" w:sz="4" w:space="0" w:color="auto"/>
            </w:tcBorders>
            <w:noWrap/>
            <w:vAlign w:val="bottom"/>
            <w:hideMark/>
          </w:tcPr>
          <w:p w14:paraId="0210C70F"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 </w:t>
            </w:r>
          </w:p>
        </w:tc>
        <w:tc>
          <w:tcPr>
            <w:tcW w:w="1382" w:type="dxa"/>
            <w:tcBorders>
              <w:top w:val="nil"/>
              <w:left w:val="nil"/>
              <w:bottom w:val="single" w:sz="4" w:space="0" w:color="auto"/>
              <w:right w:val="single" w:sz="4" w:space="0" w:color="auto"/>
            </w:tcBorders>
            <w:noWrap/>
            <w:vAlign w:val="bottom"/>
            <w:hideMark/>
          </w:tcPr>
          <w:p w14:paraId="58B13648"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 </w:t>
            </w:r>
          </w:p>
        </w:tc>
        <w:tc>
          <w:tcPr>
            <w:tcW w:w="987" w:type="dxa"/>
            <w:tcBorders>
              <w:top w:val="nil"/>
              <w:left w:val="nil"/>
              <w:bottom w:val="single" w:sz="4" w:space="0" w:color="auto"/>
              <w:right w:val="single" w:sz="4" w:space="0" w:color="auto"/>
            </w:tcBorders>
            <w:noWrap/>
            <w:vAlign w:val="bottom"/>
            <w:hideMark/>
          </w:tcPr>
          <w:p w14:paraId="217C4BF7"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 </w:t>
            </w:r>
          </w:p>
        </w:tc>
        <w:tc>
          <w:tcPr>
            <w:tcW w:w="1317" w:type="dxa"/>
            <w:tcBorders>
              <w:top w:val="nil"/>
              <w:left w:val="nil"/>
              <w:bottom w:val="single" w:sz="4" w:space="0" w:color="auto"/>
              <w:right w:val="single" w:sz="4" w:space="0" w:color="auto"/>
            </w:tcBorders>
            <w:noWrap/>
            <w:vAlign w:val="bottom"/>
            <w:hideMark/>
          </w:tcPr>
          <w:p w14:paraId="387B0B1D"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 </w:t>
            </w:r>
          </w:p>
        </w:tc>
      </w:tr>
      <w:tr w:rsidR="00FE0BF1" w:rsidRPr="00FE0BF1" w14:paraId="566F0B71" w14:textId="77777777" w:rsidTr="00657E09">
        <w:trPr>
          <w:trHeight w:val="310"/>
        </w:trPr>
        <w:tc>
          <w:tcPr>
            <w:tcW w:w="2161" w:type="dxa"/>
            <w:tcBorders>
              <w:top w:val="nil"/>
              <w:left w:val="single" w:sz="4" w:space="0" w:color="auto"/>
              <w:bottom w:val="single" w:sz="4" w:space="0" w:color="auto"/>
              <w:right w:val="single" w:sz="4" w:space="0" w:color="auto"/>
            </w:tcBorders>
            <w:vAlign w:val="bottom"/>
            <w:hideMark/>
          </w:tcPr>
          <w:p w14:paraId="5F6D64FB"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Sutton</w:t>
            </w:r>
          </w:p>
        </w:tc>
        <w:tc>
          <w:tcPr>
            <w:tcW w:w="1439" w:type="dxa"/>
            <w:tcBorders>
              <w:top w:val="nil"/>
              <w:left w:val="nil"/>
              <w:bottom w:val="single" w:sz="4" w:space="0" w:color="auto"/>
              <w:right w:val="single" w:sz="4" w:space="0" w:color="auto"/>
            </w:tcBorders>
            <w:vAlign w:val="bottom"/>
            <w:hideMark/>
          </w:tcPr>
          <w:p w14:paraId="02C7DB36"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450</w:t>
            </w:r>
          </w:p>
        </w:tc>
        <w:tc>
          <w:tcPr>
            <w:tcW w:w="1403" w:type="dxa"/>
            <w:tcBorders>
              <w:top w:val="nil"/>
              <w:left w:val="nil"/>
              <w:bottom w:val="single" w:sz="4" w:space="0" w:color="auto"/>
              <w:right w:val="single" w:sz="4" w:space="0" w:color="auto"/>
            </w:tcBorders>
            <w:shd w:val="clear" w:color="000000" w:fill="FFFFFF"/>
            <w:noWrap/>
            <w:vAlign w:val="bottom"/>
            <w:hideMark/>
          </w:tcPr>
          <w:p w14:paraId="48315AEB"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2065</w:t>
            </w:r>
          </w:p>
        </w:tc>
        <w:tc>
          <w:tcPr>
            <w:tcW w:w="1513" w:type="dxa"/>
            <w:tcBorders>
              <w:top w:val="nil"/>
              <w:left w:val="nil"/>
              <w:bottom w:val="single" w:sz="4" w:space="0" w:color="auto"/>
              <w:right w:val="single" w:sz="4" w:space="0" w:color="auto"/>
            </w:tcBorders>
            <w:noWrap/>
            <w:vAlign w:val="bottom"/>
            <w:hideMark/>
          </w:tcPr>
          <w:p w14:paraId="2879BAF9"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248</w:t>
            </w:r>
          </w:p>
        </w:tc>
        <w:tc>
          <w:tcPr>
            <w:tcW w:w="1382" w:type="dxa"/>
            <w:tcBorders>
              <w:top w:val="nil"/>
              <w:left w:val="nil"/>
              <w:bottom w:val="single" w:sz="4" w:space="0" w:color="auto"/>
              <w:right w:val="single" w:sz="4" w:space="0" w:color="auto"/>
            </w:tcBorders>
            <w:shd w:val="clear" w:color="000000" w:fill="FFFFFF"/>
            <w:noWrap/>
            <w:vAlign w:val="bottom"/>
            <w:hideMark/>
          </w:tcPr>
          <w:p w14:paraId="6106A584"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1524</w:t>
            </w:r>
          </w:p>
        </w:tc>
        <w:tc>
          <w:tcPr>
            <w:tcW w:w="987" w:type="dxa"/>
            <w:tcBorders>
              <w:top w:val="nil"/>
              <w:left w:val="nil"/>
              <w:bottom w:val="single" w:sz="4" w:space="0" w:color="auto"/>
              <w:right w:val="single" w:sz="4" w:space="0" w:color="auto"/>
            </w:tcBorders>
            <w:noWrap/>
            <w:vAlign w:val="bottom"/>
            <w:hideMark/>
          </w:tcPr>
          <w:p w14:paraId="5708A898"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4287</w:t>
            </w:r>
          </w:p>
        </w:tc>
        <w:tc>
          <w:tcPr>
            <w:tcW w:w="1317" w:type="dxa"/>
            <w:tcBorders>
              <w:top w:val="nil"/>
              <w:left w:val="nil"/>
              <w:bottom w:val="single" w:sz="4" w:space="0" w:color="auto"/>
              <w:right w:val="single" w:sz="4" w:space="0" w:color="auto"/>
            </w:tcBorders>
            <w:noWrap/>
            <w:vAlign w:val="bottom"/>
            <w:hideMark/>
          </w:tcPr>
          <w:p w14:paraId="0238C1CA"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52.8%</w:t>
            </w:r>
          </w:p>
        </w:tc>
      </w:tr>
      <w:tr w:rsidR="00FE0BF1" w:rsidRPr="00FE0BF1" w14:paraId="704DE794" w14:textId="77777777" w:rsidTr="00657E09">
        <w:trPr>
          <w:trHeight w:val="310"/>
        </w:trPr>
        <w:tc>
          <w:tcPr>
            <w:tcW w:w="2161" w:type="dxa"/>
            <w:tcBorders>
              <w:top w:val="nil"/>
              <w:left w:val="single" w:sz="4" w:space="0" w:color="auto"/>
              <w:bottom w:val="single" w:sz="4" w:space="0" w:color="auto"/>
              <w:right w:val="single" w:sz="4" w:space="0" w:color="auto"/>
            </w:tcBorders>
            <w:vAlign w:val="bottom"/>
            <w:hideMark/>
          </w:tcPr>
          <w:p w14:paraId="7D16DC92"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Kirkby</w:t>
            </w:r>
          </w:p>
        </w:tc>
        <w:tc>
          <w:tcPr>
            <w:tcW w:w="1439" w:type="dxa"/>
            <w:tcBorders>
              <w:top w:val="nil"/>
              <w:left w:val="nil"/>
              <w:bottom w:val="single" w:sz="4" w:space="0" w:color="auto"/>
              <w:right w:val="single" w:sz="4" w:space="0" w:color="auto"/>
            </w:tcBorders>
            <w:vAlign w:val="bottom"/>
            <w:hideMark/>
          </w:tcPr>
          <w:p w14:paraId="7118BACE"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124</w:t>
            </w:r>
          </w:p>
        </w:tc>
        <w:tc>
          <w:tcPr>
            <w:tcW w:w="1403" w:type="dxa"/>
            <w:tcBorders>
              <w:top w:val="nil"/>
              <w:left w:val="nil"/>
              <w:bottom w:val="single" w:sz="4" w:space="0" w:color="auto"/>
              <w:right w:val="single" w:sz="4" w:space="0" w:color="auto"/>
            </w:tcBorders>
            <w:noWrap/>
            <w:vAlign w:val="bottom"/>
            <w:hideMark/>
          </w:tcPr>
          <w:p w14:paraId="5CC37515"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428</w:t>
            </w:r>
          </w:p>
        </w:tc>
        <w:tc>
          <w:tcPr>
            <w:tcW w:w="1513" w:type="dxa"/>
            <w:tcBorders>
              <w:top w:val="nil"/>
              <w:left w:val="nil"/>
              <w:bottom w:val="single" w:sz="4" w:space="0" w:color="auto"/>
              <w:right w:val="single" w:sz="4" w:space="0" w:color="auto"/>
            </w:tcBorders>
            <w:noWrap/>
            <w:vAlign w:val="bottom"/>
            <w:hideMark/>
          </w:tcPr>
          <w:p w14:paraId="516F9765"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38</w:t>
            </w:r>
          </w:p>
        </w:tc>
        <w:tc>
          <w:tcPr>
            <w:tcW w:w="1382" w:type="dxa"/>
            <w:tcBorders>
              <w:top w:val="nil"/>
              <w:left w:val="nil"/>
              <w:bottom w:val="single" w:sz="4" w:space="0" w:color="auto"/>
              <w:right w:val="single" w:sz="4" w:space="0" w:color="auto"/>
            </w:tcBorders>
            <w:shd w:val="clear" w:color="000000" w:fill="FFFFFF"/>
            <w:noWrap/>
            <w:vAlign w:val="bottom"/>
            <w:hideMark/>
          </w:tcPr>
          <w:p w14:paraId="410FE5B1"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282</w:t>
            </w:r>
          </w:p>
        </w:tc>
        <w:tc>
          <w:tcPr>
            <w:tcW w:w="987" w:type="dxa"/>
            <w:tcBorders>
              <w:top w:val="nil"/>
              <w:left w:val="nil"/>
              <w:bottom w:val="single" w:sz="4" w:space="0" w:color="auto"/>
              <w:right w:val="single" w:sz="4" w:space="0" w:color="auto"/>
            </w:tcBorders>
            <w:noWrap/>
            <w:vAlign w:val="bottom"/>
            <w:hideMark/>
          </w:tcPr>
          <w:p w14:paraId="19EB95A3"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872</w:t>
            </w:r>
          </w:p>
        </w:tc>
        <w:tc>
          <w:tcPr>
            <w:tcW w:w="1317" w:type="dxa"/>
            <w:tcBorders>
              <w:top w:val="nil"/>
              <w:left w:val="nil"/>
              <w:bottom w:val="single" w:sz="4" w:space="0" w:color="auto"/>
              <w:right w:val="single" w:sz="4" w:space="0" w:color="auto"/>
            </w:tcBorders>
            <w:noWrap/>
            <w:vAlign w:val="bottom"/>
            <w:hideMark/>
          </w:tcPr>
          <w:p w14:paraId="7DD85BFD"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10.7%</w:t>
            </w:r>
          </w:p>
        </w:tc>
      </w:tr>
      <w:tr w:rsidR="00FE0BF1" w:rsidRPr="00FE0BF1" w14:paraId="2F40F4D9" w14:textId="77777777" w:rsidTr="00657E09">
        <w:trPr>
          <w:trHeight w:val="310"/>
        </w:trPr>
        <w:tc>
          <w:tcPr>
            <w:tcW w:w="2161" w:type="dxa"/>
            <w:tcBorders>
              <w:top w:val="nil"/>
              <w:left w:val="single" w:sz="4" w:space="0" w:color="auto"/>
              <w:bottom w:val="single" w:sz="4" w:space="0" w:color="auto"/>
              <w:right w:val="single" w:sz="4" w:space="0" w:color="auto"/>
            </w:tcBorders>
            <w:vAlign w:val="bottom"/>
            <w:hideMark/>
          </w:tcPr>
          <w:p w14:paraId="77B9FD8B"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Hucknall</w:t>
            </w:r>
          </w:p>
        </w:tc>
        <w:tc>
          <w:tcPr>
            <w:tcW w:w="1439" w:type="dxa"/>
            <w:tcBorders>
              <w:top w:val="nil"/>
              <w:left w:val="nil"/>
              <w:bottom w:val="single" w:sz="4" w:space="0" w:color="auto"/>
              <w:right w:val="single" w:sz="4" w:space="0" w:color="auto"/>
            </w:tcBorders>
            <w:vAlign w:val="bottom"/>
            <w:hideMark/>
          </w:tcPr>
          <w:p w14:paraId="3540A32D"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306</w:t>
            </w:r>
          </w:p>
        </w:tc>
        <w:tc>
          <w:tcPr>
            <w:tcW w:w="1403" w:type="dxa"/>
            <w:tcBorders>
              <w:top w:val="nil"/>
              <w:left w:val="nil"/>
              <w:bottom w:val="single" w:sz="4" w:space="0" w:color="auto"/>
              <w:right w:val="single" w:sz="4" w:space="0" w:color="auto"/>
            </w:tcBorders>
            <w:noWrap/>
            <w:vAlign w:val="bottom"/>
            <w:hideMark/>
          </w:tcPr>
          <w:p w14:paraId="0BC0BB8F"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759</w:t>
            </w:r>
          </w:p>
        </w:tc>
        <w:tc>
          <w:tcPr>
            <w:tcW w:w="1513" w:type="dxa"/>
            <w:tcBorders>
              <w:top w:val="nil"/>
              <w:left w:val="nil"/>
              <w:bottom w:val="single" w:sz="4" w:space="0" w:color="auto"/>
              <w:right w:val="single" w:sz="4" w:space="0" w:color="auto"/>
            </w:tcBorders>
            <w:noWrap/>
            <w:vAlign w:val="bottom"/>
            <w:hideMark/>
          </w:tcPr>
          <w:p w14:paraId="7BE817FD"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382" w:type="dxa"/>
            <w:tcBorders>
              <w:top w:val="nil"/>
              <w:left w:val="nil"/>
              <w:bottom w:val="single" w:sz="4" w:space="0" w:color="auto"/>
              <w:right w:val="single" w:sz="4" w:space="0" w:color="auto"/>
            </w:tcBorders>
            <w:shd w:val="clear" w:color="000000" w:fill="FFFFFF"/>
            <w:noWrap/>
            <w:vAlign w:val="bottom"/>
            <w:hideMark/>
          </w:tcPr>
          <w:p w14:paraId="11ED4A36"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459</w:t>
            </w:r>
          </w:p>
        </w:tc>
        <w:tc>
          <w:tcPr>
            <w:tcW w:w="987" w:type="dxa"/>
            <w:tcBorders>
              <w:top w:val="nil"/>
              <w:left w:val="nil"/>
              <w:bottom w:val="single" w:sz="4" w:space="0" w:color="auto"/>
              <w:right w:val="single" w:sz="4" w:space="0" w:color="auto"/>
            </w:tcBorders>
            <w:noWrap/>
            <w:vAlign w:val="bottom"/>
            <w:hideMark/>
          </w:tcPr>
          <w:p w14:paraId="5744B27D"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1524</w:t>
            </w:r>
          </w:p>
        </w:tc>
        <w:tc>
          <w:tcPr>
            <w:tcW w:w="1317" w:type="dxa"/>
            <w:tcBorders>
              <w:top w:val="nil"/>
              <w:left w:val="nil"/>
              <w:bottom w:val="single" w:sz="4" w:space="0" w:color="auto"/>
              <w:right w:val="single" w:sz="4" w:space="0" w:color="auto"/>
            </w:tcBorders>
            <w:noWrap/>
            <w:vAlign w:val="bottom"/>
            <w:hideMark/>
          </w:tcPr>
          <w:p w14:paraId="01803A15"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18.8%</w:t>
            </w:r>
          </w:p>
        </w:tc>
      </w:tr>
      <w:tr w:rsidR="00FE0BF1" w:rsidRPr="00FE0BF1" w14:paraId="3DF1736F" w14:textId="77777777" w:rsidTr="00657E09">
        <w:trPr>
          <w:trHeight w:val="330"/>
        </w:trPr>
        <w:tc>
          <w:tcPr>
            <w:tcW w:w="2161" w:type="dxa"/>
            <w:tcBorders>
              <w:top w:val="nil"/>
              <w:left w:val="single" w:sz="4" w:space="0" w:color="auto"/>
              <w:bottom w:val="single" w:sz="4" w:space="0" w:color="auto"/>
              <w:right w:val="single" w:sz="4" w:space="0" w:color="auto"/>
            </w:tcBorders>
            <w:vAlign w:val="bottom"/>
            <w:hideMark/>
          </w:tcPr>
          <w:p w14:paraId="69FDEBAB"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Adjacent to Mansfield</w:t>
            </w:r>
          </w:p>
        </w:tc>
        <w:tc>
          <w:tcPr>
            <w:tcW w:w="1439" w:type="dxa"/>
            <w:tcBorders>
              <w:top w:val="nil"/>
              <w:left w:val="nil"/>
              <w:bottom w:val="single" w:sz="4" w:space="0" w:color="auto"/>
              <w:right w:val="single" w:sz="4" w:space="0" w:color="auto"/>
            </w:tcBorders>
            <w:vAlign w:val="bottom"/>
            <w:hideMark/>
          </w:tcPr>
          <w:p w14:paraId="4D46E55C"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403" w:type="dxa"/>
            <w:tcBorders>
              <w:top w:val="nil"/>
              <w:left w:val="nil"/>
              <w:bottom w:val="single" w:sz="4" w:space="0" w:color="auto"/>
              <w:right w:val="single" w:sz="4" w:space="0" w:color="auto"/>
            </w:tcBorders>
            <w:shd w:val="clear" w:color="000000" w:fill="FFFFFF"/>
            <w:noWrap/>
            <w:vAlign w:val="bottom"/>
            <w:hideMark/>
          </w:tcPr>
          <w:p w14:paraId="33D9E1AD"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513" w:type="dxa"/>
            <w:tcBorders>
              <w:top w:val="nil"/>
              <w:left w:val="nil"/>
              <w:bottom w:val="single" w:sz="4" w:space="0" w:color="auto"/>
              <w:right w:val="single" w:sz="4" w:space="0" w:color="auto"/>
            </w:tcBorders>
            <w:noWrap/>
            <w:vAlign w:val="bottom"/>
            <w:hideMark/>
          </w:tcPr>
          <w:p w14:paraId="48B368DD"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458</w:t>
            </w:r>
          </w:p>
        </w:tc>
        <w:tc>
          <w:tcPr>
            <w:tcW w:w="1382" w:type="dxa"/>
            <w:tcBorders>
              <w:top w:val="nil"/>
              <w:left w:val="nil"/>
              <w:bottom w:val="single" w:sz="4" w:space="0" w:color="auto"/>
              <w:right w:val="single" w:sz="4" w:space="0" w:color="auto"/>
            </w:tcBorders>
            <w:shd w:val="clear" w:color="000000" w:fill="FFFFFF"/>
            <w:noWrap/>
            <w:vAlign w:val="bottom"/>
            <w:hideMark/>
          </w:tcPr>
          <w:p w14:paraId="25CAB6E9"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987" w:type="dxa"/>
            <w:tcBorders>
              <w:top w:val="nil"/>
              <w:left w:val="nil"/>
              <w:bottom w:val="single" w:sz="4" w:space="0" w:color="auto"/>
              <w:right w:val="single" w:sz="4" w:space="0" w:color="auto"/>
            </w:tcBorders>
            <w:noWrap/>
            <w:vAlign w:val="bottom"/>
            <w:hideMark/>
          </w:tcPr>
          <w:p w14:paraId="6CD7CD34"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458</w:t>
            </w:r>
          </w:p>
        </w:tc>
        <w:tc>
          <w:tcPr>
            <w:tcW w:w="1317" w:type="dxa"/>
            <w:tcBorders>
              <w:top w:val="nil"/>
              <w:left w:val="nil"/>
              <w:bottom w:val="single" w:sz="4" w:space="0" w:color="auto"/>
              <w:right w:val="single" w:sz="4" w:space="0" w:color="auto"/>
            </w:tcBorders>
            <w:noWrap/>
            <w:vAlign w:val="bottom"/>
            <w:hideMark/>
          </w:tcPr>
          <w:p w14:paraId="2DE82573"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5.6%</w:t>
            </w:r>
          </w:p>
        </w:tc>
      </w:tr>
      <w:tr w:rsidR="00FE0BF1" w:rsidRPr="00FE0BF1" w14:paraId="06F43475" w14:textId="77777777" w:rsidTr="00657E09">
        <w:trPr>
          <w:trHeight w:val="313"/>
        </w:trPr>
        <w:tc>
          <w:tcPr>
            <w:tcW w:w="2161" w:type="dxa"/>
            <w:tcBorders>
              <w:top w:val="nil"/>
              <w:left w:val="single" w:sz="4" w:space="0" w:color="auto"/>
              <w:bottom w:val="single" w:sz="4" w:space="0" w:color="auto"/>
              <w:right w:val="single" w:sz="4" w:space="0" w:color="auto"/>
            </w:tcBorders>
            <w:vAlign w:val="bottom"/>
            <w:hideMark/>
          </w:tcPr>
          <w:p w14:paraId="72E64E2D" w14:textId="77777777" w:rsidR="00E5314E" w:rsidRPr="00FE02E6" w:rsidRDefault="00E5314E" w:rsidP="00AB5245">
            <w:pPr>
              <w:spacing w:after="0" w:line="240" w:lineRule="auto"/>
              <w:jc w:val="lef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 xml:space="preserve">Total </w:t>
            </w:r>
          </w:p>
        </w:tc>
        <w:tc>
          <w:tcPr>
            <w:tcW w:w="1439" w:type="dxa"/>
            <w:tcBorders>
              <w:top w:val="nil"/>
              <w:left w:val="nil"/>
              <w:bottom w:val="single" w:sz="4" w:space="0" w:color="auto"/>
              <w:right w:val="single" w:sz="4" w:space="0" w:color="auto"/>
            </w:tcBorders>
            <w:vAlign w:val="bottom"/>
            <w:hideMark/>
          </w:tcPr>
          <w:p w14:paraId="085200EC" w14:textId="77777777" w:rsidR="00E5314E" w:rsidRPr="00FE02E6" w:rsidRDefault="00E5314E" w:rsidP="00AB5245">
            <w:pPr>
              <w:spacing w:after="0" w:line="240" w:lineRule="auto"/>
              <w:jc w:val="righ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880</w:t>
            </w:r>
          </w:p>
        </w:tc>
        <w:tc>
          <w:tcPr>
            <w:tcW w:w="1403" w:type="dxa"/>
            <w:tcBorders>
              <w:top w:val="nil"/>
              <w:left w:val="nil"/>
              <w:bottom w:val="single" w:sz="4" w:space="0" w:color="auto"/>
              <w:right w:val="single" w:sz="4" w:space="0" w:color="auto"/>
            </w:tcBorders>
            <w:noWrap/>
            <w:vAlign w:val="bottom"/>
            <w:hideMark/>
          </w:tcPr>
          <w:p w14:paraId="4CFA18DA" w14:textId="77777777" w:rsidR="00E5314E" w:rsidRPr="00FE02E6" w:rsidRDefault="00E5314E" w:rsidP="00AB5245">
            <w:pPr>
              <w:spacing w:after="0" w:line="240" w:lineRule="auto"/>
              <w:jc w:val="righ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3252</w:t>
            </w:r>
          </w:p>
        </w:tc>
        <w:tc>
          <w:tcPr>
            <w:tcW w:w="1513" w:type="dxa"/>
            <w:tcBorders>
              <w:top w:val="nil"/>
              <w:left w:val="nil"/>
              <w:bottom w:val="single" w:sz="4" w:space="0" w:color="auto"/>
              <w:right w:val="single" w:sz="4" w:space="0" w:color="auto"/>
            </w:tcBorders>
            <w:noWrap/>
            <w:vAlign w:val="bottom"/>
            <w:hideMark/>
          </w:tcPr>
          <w:p w14:paraId="31984919" w14:textId="77777777" w:rsidR="00E5314E" w:rsidRPr="00FE02E6" w:rsidRDefault="00E5314E" w:rsidP="00AB5245">
            <w:pPr>
              <w:spacing w:after="0" w:line="240" w:lineRule="auto"/>
              <w:jc w:val="righ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744</w:t>
            </w:r>
          </w:p>
        </w:tc>
        <w:tc>
          <w:tcPr>
            <w:tcW w:w="1382" w:type="dxa"/>
            <w:tcBorders>
              <w:top w:val="nil"/>
              <w:left w:val="nil"/>
              <w:bottom w:val="single" w:sz="4" w:space="0" w:color="auto"/>
              <w:right w:val="single" w:sz="4" w:space="0" w:color="auto"/>
            </w:tcBorders>
            <w:noWrap/>
            <w:vAlign w:val="bottom"/>
            <w:hideMark/>
          </w:tcPr>
          <w:p w14:paraId="3A391F1F" w14:textId="77777777" w:rsidR="00E5314E" w:rsidRPr="00FE02E6" w:rsidRDefault="00E5314E" w:rsidP="00AB5245">
            <w:pPr>
              <w:spacing w:after="0" w:line="240" w:lineRule="auto"/>
              <w:jc w:val="righ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2265</w:t>
            </w:r>
          </w:p>
        </w:tc>
        <w:tc>
          <w:tcPr>
            <w:tcW w:w="987" w:type="dxa"/>
            <w:tcBorders>
              <w:top w:val="nil"/>
              <w:left w:val="nil"/>
              <w:bottom w:val="single" w:sz="4" w:space="0" w:color="auto"/>
              <w:right w:val="single" w:sz="4" w:space="0" w:color="auto"/>
            </w:tcBorders>
            <w:noWrap/>
            <w:vAlign w:val="bottom"/>
            <w:hideMark/>
          </w:tcPr>
          <w:p w14:paraId="3C6BB656" w14:textId="77777777" w:rsidR="00E5314E" w:rsidRPr="00FE02E6" w:rsidRDefault="00E5314E" w:rsidP="00AB5245">
            <w:pPr>
              <w:spacing w:after="0" w:line="240" w:lineRule="auto"/>
              <w:jc w:val="righ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7141</w:t>
            </w:r>
          </w:p>
        </w:tc>
        <w:tc>
          <w:tcPr>
            <w:tcW w:w="1317" w:type="dxa"/>
            <w:tcBorders>
              <w:top w:val="nil"/>
              <w:left w:val="nil"/>
              <w:bottom w:val="single" w:sz="4" w:space="0" w:color="auto"/>
              <w:right w:val="single" w:sz="4" w:space="0" w:color="auto"/>
            </w:tcBorders>
            <w:noWrap/>
            <w:vAlign w:val="bottom"/>
            <w:hideMark/>
          </w:tcPr>
          <w:p w14:paraId="0B3EE56D" w14:textId="77777777" w:rsidR="00E5314E" w:rsidRPr="00FE02E6" w:rsidRDefault="00E5314E" w:rsidP="00AB5245">
            <w:pPr>
              <w:spacing w:after="0" w:line="240" w:lineRule="auto"/>
              <w:jc w:val="righ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88%</w:t>
            </w:r>
          </w:p>
        </w:tc>
      </w:tr>
      <w:tr w:rsidR="00FE0BF1" w:rsidRPr="00FE0BF1" w14:paraId="3FA7D70E" w14:textId="77777777" w:rsidTr="00657E09">
        <w:trPr>
          <w:trHeight w:val="480"/>
        </w:trPr>
        <w:tc>
          <w:tcPr>
            <w:tcW w:w="2161" w:type="dxa"/>
            <w:tcBorders>
              <w:top w:val="nil"/>
              <w:left w:val="single" w:sz="4" w:space="0" w:color="auto"/>
              <w:bottom w:val="single" w:sz="4" w:space="0" w:color="auto"/>
              <w:right w:val="single" w:sz="4" w:space="0" w:color="auto"/>
            </w:tcBorders>
            <w:vAlign w:val="bottom"/>
            <w:hideMark/>
          </w:tcPr>
          <w:p w14:paraId="618D2646" w14:textId="77777777" w:rsidR="00E5314E" w:rsidRPr="00FE02E6" w:rsidRDefault="00E5314E" w:rsidP="00AB5245">
            <w:pPr>
              <w:spacing w:after="0" w:line="240" w:lineRule="auto"/>
              <w:jc w:val="lef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Named Settlements</w:t>
            </w:r>
          </w:p>
        </w:tc>
        <w:tc>
          <w:tcPr>
            <w:tcW w:w="1439" w:type="dxa"/>
            <w:tcBorders>
              <w:top w:val="nil"/>
              <w:left w:val="nil"/>
              <w:bottom w:val="single" w:sz="4" w:space="0" w:color="auto"/>
              <w:right w:val="single" w:sz="4" w:space="0" w:color="auto"/>
            </w:tcBorders>
            <w:vAlign w:val="bottom"/>
            <w:hideMark/>
          </w:tcPr>
          <w:p w14:paraId="7F0226FD"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 </w:t>
            </w:r>
          </w:p>
        </w:tc>
        <w:tc>
          <w:tcPr>
            <w:tcW w:w="1403" w:type="dxa"/>
            <w:tcBorders>
              <w:top w:val="nil"/>
              <w:left w:val="nil"/>
              <w:bottom w:val="single" w:sz="4" w:space="0" w:color="auto"/>
              <w:right w:val="single" w:sz="4" w:space="0" w:color="auto"/>
            </w:tcBorders>
            <w:noWrap/>
            <w:vAlign w:val="bottom"/>
            <w:hideMark/>
          </w:tcPr>
          <w:p w14:paraId="109EB6C4"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 </w:t>
            </w:r>
          </w:p>
        </w:tc>
        <w:tc>
          <w:tcPr>
            <w:tcW w:w="1513" w:type="dxa"/>
            <w:tcBorders>
              <w:top w:val="nil"/>
              <w:left w:val="nil"/>
              <w:bottom w:val="single" w:sz="4" w:space="0" w:color="auto"/>
              <w:right w:val="single" w:sz="4" w:space="0" w:color="auto"/>
            </w:tcBorders>
            <w:noWrap/>
            <w:vAlign w:val="bottom"/>
            <w:hideMark/>
          </w:tcPr>
          <w:p w14:paraId="33D6449C"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 </w:t>
            </w:r>
          </w:p>
        </w:tc>
        <w:tc>
          <w:tcPr>
            <w:tcW w:w="1382" w:type="dxa"/>
            <w:tcBorders>
              <w:top w:val="nil"/>
              <w:left w:val="nil"/>
              <w:bottom w:val="single" w:sz="4" w:space="0" w:color="auto"/>
              <w:right w:val="single" w:sz="4" w:space="0" w:color="auto"/>
            </w:tcBorders>
            <w:noWrap/>
            <w:vAlign w:val="bottom"/>
            <w:hideMark/>
          </w:tcPr>
          <w:p w14:paraId="3E12F27C"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 </w:t>
            </w:r>
          </w:p>
        </w:tc>
        <w:tc>
          <w:tcPr>
            <w:tcW w:w="987" w:type="dxa"/>
            <w:tcBorders>
              <w:top w:val="nil"/>
              <w:left w:val="nil"/>
              <w:bottom w:val="single" w:sz="4" w:space="0" w:color="auto"/>
              <w:right w:val="single" w:sz="4" w:space="0" w:color="auto"/>
            </w:tcBorders>
            <w:noWrap/>
            <w:vAlign w:val="bottom"/>
            <w:hideMark/>
          </w:tcPr>
          <w:p w14:paraId="77ED4268"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 </w:t>
            </w:r>
          </w:p>
        </w:tc>
        <w:tc>
          <w:tcPr>
            <w:tcW w:w="1317" w:type="dxa"/>
            <w:tcBorders>
              <w:top w:val="nil"/>
              <w:left w:val="nil"/>
              <w:bottom w:val="single" w:sz="4" w:space="0" w:color="auto"/>
              <w:right w:val="single" w:sz="4" w:space="0" w:color="auto"/>
            </w:tcBorders>
            <w:noWrap/>
            <w:vAlign w:val="bottom"/>
            <w:hideMark/>
          </w:tcPr>
          <w:p w14:paraId="641974EF"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 </w:t>
            </w:r>
          </w:p>
        </w:tc>
      </w:tr>
      <w:tr w:rsidR="00FE0BF1" w:rsidRPr="00FE0BF1" w14:paraId="27FE06E6" w14:textId="77777777" w:rsidTr="00657E09">
        <w:trPr>
          <w:trHeight w:val="310"/>
        </w:trPr>
        <w:tc>
          <w:tcPr>
            <w:tcW w:w="2161" w:type="dxa"/>
            <w:tcBorders>
              <w:top w:val="nil"/>
              <w:left w:val="single" w:sz="4" w:space="0" w:color="auto"/>
              <w:bottom w:val="single" w:sz="4" w:space="0" w:color="auto"/>
              <w:right w:val="single" w:sz="4" w:space="0" w:color="auto"/>
            </w:tcBorders>
            <w:vAlign w:val="bottom"/>
            <w:hideMark/>
          </w:tcPr>
          <w:p w14:paraId="24F212F2"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Selston</w:t>
            </w:r>
          </w:p>
        </w:tc>
        <w:tc>
          <w:tcPr>
            <w:tcW w:w="1439" w:type="dxa"/>
            <w:tcBorders>
              <w:top w:val="nil"/>
              <w:left w:val="nil"/>
              <w:bottom w:val="single" w:sz="4" w:space="0" w:color="auto"/>
              <w:right w:val="single" w:sz="4" w:space="0" w:color="auto"/>
            </w:tcBorders>
            <w:vAlign w:val="bottom"/>
            <w:hideMark/>
          </w:tcPr>
          <w:p w14:paraId="75CDA61A"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2</w:t>
            </w:r>
          </w:p>
        </w:tc>
        <w:tc>
          <w:tcPr>
            <w:tcW w:w="1403" w:type="dxa"/>
            <w:tcBorders>
              <w:top w:val="nil"/>
              <w:left w:val="nil"/>
              <w:bottom w:val="single" w:sz="4" w:space="0" w:color="auto"/>
              <w:right w:val="single" w:sz="4" w:space="0" w:color="auto"/>
            </w:tcBorders>
            <w:noWrap/>
            <w:vAlign w:val="bottom"/>
            <w:hideMark/>
          </w:tcPr>
          <w:p w14:paraId="6D6A2BA1"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286</w:t>
            </w:r>
          </w:p>
        </w:tc>
        <w:tc>
          <w:tcPr>
            <w:tcW w:w="1513" w:type="dxa"/>
            <w:tcBorders>
              <w:top w:val="nil"/>
              <w:left w:val="nil"/>
              <w:bottom w:val="single" w:sz="4" w:space="0" w:color="auto"/>
              <w:right w:val="single" w:sz="4" w:space="0" w:color="auto"/>
            </w:tcBorders>
            <w:shd w:val="clear" w:color="000000" w:fill="FFFFFF"/>
            <w:noWrap/>
            <w:vAlign w:val="bottom"/>
            <w:hideMark/>
          </w:tcPr>
          <w:p w14:paraId="1D18A6D1"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382" w:type="dxa"/>
            <w:tcBorders>
              <w:top w:val="nil"/>
              <w:left w:val="nil"/>
              <w:bottom w:val="single" w:sz="4" w:space="0" w:color="auto"/>
              <w:right w:val="single" w:sz="4" w:space="0" w:color="auto"/>
            </w:tcBorders>
            <w:noWrap/>
            <w:vAlign w:val="bottom"/>
            <w:hideMark/>
          </w:tcPr>
          <w:p w14:paraId="55C465FC"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15</w:t>
            </w:r>
          </w:p>
        </w:tc>
        <w:tc>
          <w:tcPr>
            <w:tcW w:w="987" w:type="dxa"/>
            <w:tcBorders>
              <w:top w:val="nil"/>
              <w:left w:val="nil"/>
              <w:bottom w:val="single" w:sz="4" w:space="0" w:color="auto"/>
              <w:right w:val="single" w:sz="4" w:space="0" w:color="auto"/>
            </w:tcBorders>
            <w:noWrap/>
            <w:vAlign w:val="bottom"/>
            <w:hideMark/>
          </w:tcPr>
          <w:p w14:paraId="6A894804"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303</w:t>
            </w:r>
          </w:p>
        </w:tc>
        <w:tc>
          <w:tcPr>
            <w:tcW w:w="1317" w:type="dxa"/>
            <w:tcBorders>
              <w:top w:val="nil"/>
              <w:left w:val="nil"/>
              <w:bottom w:val="single" w:sz="4" w:space="0" w:color="auto"/>
              <w:right w:val="single" w:sz="4" w:space="0" w:color="auto"/>
            </w:tcBorders>
            <w:noWrap/>
            <w:vAlign w:val="bottom"/>
            <w:hideMark/>
          </w:tcPr>
          <w:p w14:paraId="2F9CA8A1"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3.7%</w:t>
            </w:r>
          </w:p>
        </w:tc>
      </w:tr>
      <w:tr w:rsidR="00FE0BF1" w:rsidRPr="00FE0BF1" w14:paraId="36B8B44A" w14:textId="77777777" w:rsidTr="00657E09">
        <w:trPr>
          <w:trHeight w:val="310"/>
        </w:trPr>
        <w:tc>
          <w:tcPr>
            <w:tcW w:w="2161" w:type="dxa"/>
            <w:tcBorders>
              <w:top w:val="nil"/>
              <w:left w:val="single" w:sz="4" w:space="0" w:color="auto"/>
              <w:bottom w:val="single" w:sz="4" w:space="0" w:color="auto"/>
              <w:right w:val="single" w:sz="4" w:space="0" w:color="auto"/>
            </w:tcBorders>
            <w:vAlign w:val="bottom"/>
            <w:hideMark/>
          </w:tcPr>
          <w:p w14:paraId="575B7A4C"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Jacksdale</w:t>
            </w:r>
          </w:p>
        </w:tc>
        <w:tc>
          <w:tcPr>
            <w:tcW w:w="1439" w:type="dxa"/>
            <w:tcBorders>
              <w:top w:val="nil"/>
              <w:left w:val="nil"/>
              <w:bottom w:val="single" w:sz="4" w:space="0" w:color="auto"/>
              <w:right w:val="single" w:sz="4" w:space="0" w:color="auto"/>
            </w:tcBorders>
            <w:vAlign w:val="bottom"/>
            <w:hideMark/>
          </w:tcPr>
          <w:p w14:paraId="6B6FA028"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403" w:type="dxa"/>
            <w:tcBorders>
              <w:top w:val="nil"/>
              <w:left w:val="nil"/>
              <w:bottom w:val="single" w:sz="4" w:space="0" w:color="auto"/>
              <w:right w:val="single" w:sz="4" w:space="0" w:color="auto"/>
            </w:tcBorders>
            <w:noWrap/>
            <w:vAlign w:val="bottom"/>
            <w:hideMark/>
          </w:tcPr>
          <w:p w14:paraId="3460039C"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86</w:t>
            </w:r>
          </w:p>
        </w:tc>
        <w:tc>
          <w:tcPr>
            <w:tcW w:w="1513" w:type="dxa"/>
            <w:tcBorders>
              <w:top w:val="nil"/>
              <w:left w:val="nil"/>
              <w:bottom w:val="single" w:sz="4" w:space="0" w:color="auto"/>
              <w:right w:val="single" w:sz="4" w:space="0" w:color="auto"/>
            </w:tcBorders>
            <w:shd w:val="clear" w:color="000000" w:fill="FFFFFF"/>
            <w:noWrap/>
            <w:vAlign w:val="bottom"/>
            <w:hideMark/>
          </w:tcPr>
          <w:p w14:paraId="627752DC"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382" w:type="dxa"/>
            <w:tcBorders>
              <w:top w:val="nil"/>
              <w:left w:val="nil"/>
              <w:bottom w:val="single" w:sz="4" w:space="0" w:color="auto"/>
              <w:right w:val="single" w:sz="4" w:space="0" w:color="auto"/>
            </w:tcBorders>
            <w:noWrap/>
            <w:vAlign w:val="bottom"/>
            <w:hideMark/>
          </w:tcPr>
          <w:p w14:paraId="16B29DF0"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84</w:t>
            </w:r>
          </w:p>
        </w:tc>
        <w:tc>
          <w:tcPr>
            <w:tcW w:w="987" w:type="dxa"/>
            <w:tcBorders>
              <w:top w:val="nil"/>
              <w:left w:val="nil"/>
              <w:bottom w:val="single" w:sz="4" w:space="0" w:color="auto"/>
              <w:right w:val="single" w:sz="4" w:space="0" w:color="auto"/>
            </w:tcBorders>
            <w:noWrap/>
            <w:vAlign w:val="bottom"/>
            <w:hideMark/>
          </w:tcPr>
          <w:p w14:paraId="5D61B5C2"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170</w:t>
            </w:r>
          </w:p>
        </w:tc>
        <w:tc>
          <w:tcPr>
            <w:tcW w:w="1317" w:type="dxa"/>
            <w:tcBorders>
              <w:top w:val="nil"/>
              <w:left w:val="nil"/>
              <w:bottom w:val="single" w:sz="4" w:space="0" w:color="auto"/>
              <w:right w:val="single" w:sz="4" w:space="0" w:color="auto"/>
            </w:tcBorders>
            <w:noWrap/>
            <w:vAlign w:val="bottom"/>
            <w:hideMark/>
          </w:tcPr>
          <w:p w14:paraId="0886CED0"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2.1%</w:t>
            </w:r>
          </w:p>
        </w:tc>
      </w:tr>
      <w:tr w:rsidR="00FE0BF1" w:rsidRPr="00FE0BF1" w14:paraId="63D0F59B" w14:textId="77777777" w:rsidTr="00657E09">
        <w:trPr>
          <w:trHeight w:val="310"/>
        </w:trPr>
        <w:tc>
          <w:tcPr>
            <w:tcW w:w="2161" w:type="dxa"/>
            <w:tcBorders>
              <w:top w:val="nil"/>
              <w:left w:val="single" w:sz="4" w:space="0" w:color="auto"/>
              <w:bottom w:val="single" w:sz="4" w:space="0" w:color="auto"/>
              <w:right w:val="single" w:sz="4" w:space="0" w:color="auto"/>
            </w:tcBorders>
            <w:vAlign w:val="bottom"/>
            <w:hideMark/>
          </w:tcPr>
          <w:p w14:paraId="66E95399"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Underwood</w:t>
            </w:r>
          </w:p>
        </w:tc>
        <w:tc>
          <w:tcPr>
            <w:tcW w:w="1439" w:type="dxa"/>
            <w:tcBorders>
              <w:top w:val="nil"/>
              <w:left w:val="nil"/>
              <w:bottom w:val="single" w:sz="4" w:space="0" w:color="auto"/>
              <w:right w:val="single" w:sz="4" w:space="0" w:color="auto"/>
            </w:tcBorders>
            <w:vAlign w:val="bottom"/>
            <w:hideMark/>
          </w:tcPr>
          <w:p w14:paraId="2038F0D2"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3</w:t>
            </w:r>
          </w:p>
        </w:tc>
        <w:tc>
          <w:tcPr>
            <w:tcW w:w="1403" w:type="dxa"/>
            <w:tcBorders>
              <w:top w:val="nil"/>
              <w:left w:val="nil"/>
              <w:bottom w:val="single" w:sz="4" w:space="0" w:color="auto"/>
              <w:right w:val="single" w:sz="4" w:space="0" w:color="auto"/>
            </w:tcBorders>
            <w:noWrap/>
            <w:vAlign w:val="bottom"/>
            <w:hideMark/>
          </w:tcPr>
          <w:p w14:paraId="437B72C5"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62</w:t>
            </w:r>
          </w:p>
        </w:tc>
        <w:tc>
          <w:tcPr>
            <w:tcW w:w="1513" w:type="dxa"/>
            <w:tcBorders>
              <w:top w:val="nil"/>
              <w:left w:val="nil"/>
              <w:bottom w:val="single" w:sz="4" w:space="0" w:color="auto"/>
              <w:right w:val="single" w:sz="4" w:space="0" w:color="auto"/>
            </w:tcBorders>
            <w:shd w:val="clear" w:color="000000" w:fill="FFFFFF"/>
            <w:noWrap/>
            <w:vAlign w:val="bottom"/>
            <w:hideMark/>
          </w:tcPr>
          <w:p w14:paraId="71EEB82B"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382" w:type="dxa"/>
            <w:tcBorders>
              <w:top w:val="nil"/>
              <w:left w:val="nil"/>
              <w:bottom w:val="single" w:sz="4" w:space="0" w:color="auto"/>
              <w:right w:val="single" w:sz="4" w:space="0" w:color="auto"/>
            </w:tcBorders>
            <w:noWrap/>
            <w:vAlign w:val="bottom"/>
            <w:hideMark/>
          </w:tcPr>
          <w:p w14:paraId="6E1C4A32"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10</w:t>
            </w:r>
          </w:p>
        </w:tc>
        <w:tc>
          <w:tcPr>
            <w:tcW w:w="987" w:type="dxa"/>
            <w:tcBorders>
              <w:top w:val="nil"/>
              <w:left w:val="nil"/>
              <w:bottom w:val="single" w:sz="4" w:space="0" w:color="auto"/>
              <w:right w:val="single" w:sz="4" w:space="0" w:color="auto"/>
            </w:tcBorders>
            <w:noWrap/>
            <w:vAlign w:val="bottom"/>
            <w:hideMark/>
          </w:tcPr>
          <w:p w14:paraId="4E5754AD"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75</w:t>
            </w:r>
          </w:p>
        </w:tc>
        <w:tc>
          <w:tcPr>
            <w:tcW w:w="1317" w:type="dxa"/>
            <w:tcBorders>
              <w:top w:val="nil"/>
              <w:left w:val="nil"/>
              <w:bottom w:val="single" w:sz="4" w:space="0" w:color="auto"/>
              <w:right w:val="single" w:sz="4" w:space="0" w:color="auto"/>
            </w:tcBorders>
            <w:noWrap/>
            <w:vAlign w:val="bottom"/>
            <w:hideMark/>
          </w:tcPr>
          <w:p w14:paraId="07585C13"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0.9%</w:t>
            </w:r>
          </w:p>
        </w:tc>
      </w:tr>
      <w:tr w:rsidR="00FE0BF1" w:rsidRPr="00FE0BF1" w14:paraId="19549AE9" w14:textId="77777777" w:rsidTr="00657E09">
        <w:trPr>
          <w:trHeight w:val="310"/>
        </w:trPr>
        <w:tc>
          <w:tcPr>
            <w:tcW w:w="2161" w:type="dxa"/>
            <w:tcBorders>
              <w:top w:val="nil"/>
              <w:left w:val="single" w:sz="4" w:space="0" w:color="auto"/>
              <w:bottom w:val="single" w:sz="4" w:space="0" w:color="auto"/>
              <w:right w:val="single" w:sz="4" w:space="0" w:color="auto"/>
            </w:tcBorders>
            <w:vAlign w:val="bottom"/>
            <w:hideMark/>
          </w:tcPr>
          <w:p w14:paraId="626B17B2"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Annesley/Newstead</w:t>
            </w:r>
          </w:p>
        </w:tc>
        <w:tc>
          <w:tcPr>
            <w:tcW w:w="1439" w:type="dxa"/>
            <w:tcBorders>
              <w:top w:val="nil"/>
              <w:left w:val="nil"/>
              <w:bottom w:val="single" w:sz="4" w:space="0" w:color="auto"/>
              <w:right w:val="single" w:sz="4" w:space="0" w:color="auto"/>
            </w:tcBorders>
            <w:vAlign w:val="bottom"/>
            <w:hideMark/>
          </w:tcPr>
          <w:p w14:paraId="4178E014"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403" w:type="dxa"/>
            <w:tcBorders>
              <w:top w:val="nil"/>
              <w:left w:val="nil"/>
              <w:bottom w:val="single" w:sz="4" w:space="0" w:color="auto"/>
              <w:right w:val="single" w:sz="4" w:space="0" w:color="auto"/>
            </w:tcBorders>
            <w:noWrap/>
            <w:vAlign w:val="bottom"/>
            <w:hideMark/>
          </w:tcPr>
          <w:p w14:paraId="553945FE"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47</w:t>
            </w:r>
          </w:p>
        </w:tc>
        <w:tc>
          <w:tcPr>
            <w:tcW w:w="1513" w:type="dxa"/>
            <w:tcBorders>
              <w:top w:val="nil"/>
              <w:left w:val="nil"/>
              <w:bottom w:val="single" w:sz="4" w:space="0" w:color="auto"/>
              <w:right w:val="single" w:sz="4" w:space="0" w:color="auto"/>
            </w:tcBorders>
            <w:shd w:val="clear" w:color="000000" w:fill="FFFFFF"/>
            <w:noWrap/>
            <w:vAlign w:val="bottom"/>
            <w:hideMark/>
          </w:tcPr>
          <w:p w14:paraId="113EFC3D"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382" w:type="dxa"/>
            <w:tcBorders>
              <w:top w:val="nil"/>
              <w:left w:val="nil"/>
              <w:bottom w:val="single" w:sz="4" w:space="0" w:color="auto"/>
              <w:right w:val="single" w:sz="4" w:space="0" w:color="auto"/>
            </w:tcBorders>
            <w:noWrap/>
            <w:vAlign w:val="bottom"/>
            <w:hideMark/>
          </w:tcPr>
          <w:p w14:paraId="385F7745"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8</w:t>
            </w:r>
          </w:p>
        </w:tc>
        <w:tc>
          <w:tcPr>
            <w:tcW w:w="987" w:type="dxa"/>
            <w:tcBorders>
              <w:top w:val="nil"/>
              <w:left w:val="nil"/>
              <w:bottom w:val="single" w:sz="4" w:space="0" w:color="auto"/>
              <w:right w:val="single" w:sz="4" w:space="0" w:color="auto"/>
            </w:tcBorders>
            <w:noWrap/>
            <w:vAlign w:val="bottom"/>
            <w:hideMark/>
          </w:tcPr>
          <w:p w14:paraId="416F5401"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55</w:t>
            </w:r>
          </w:p>
        </w:tc>
        <w:tc>
          <w:tcPr>
            <w:tcW w:w="1317" w:type="dxa"/>
            <w:tcBorders>
              <w:top w:val="nil"/>
              <w:left w:val="nil"/>
              <w:bottom w:val="single" w:sz="4" w:space="0" w:color="auto"/>
              <w:right w:val="single" w:sz="4" w:space="0" w:color="auto"/>
            </w:tcBorders>
            <w:noWrap/>
            <w:vAlign w:val="bottom"/>
            <w:hideMark/>
          </w:tcPr>
          <w:p w14:paraId="66F67E35"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0.7%</w:t>
            </w:r>
          </w:p>
        </w:tc>
      </w:tr>
      <w:tr w:rsidR="00FE0BF1" w:rsidRPr="00FE0BF1" w14:paraId="0787DC0A" w14:textId="77777777" w:rsidTr="00657E09">
        <w:trPr>
          <w:trHeight w:val="310"/>
        </w:trPr>
        <w:tc>
          <w:tcPr>
            <w:tcW w:w="2161" w:type="dxa"/>
            <w:tcBorders>
              <w:top w:val="nil"/>
              <w:left w:val="single" w:sz="4" w:space="0" w:color="auto"/>
              <w:bottom w:val="single" w:sz="4" w:space="0" w:color="auto"/>
              <w:right w:val="single" w:sz="4" w:space="0" w:color="auto"/>
            </w:tcBorders>
            <w:vAlign w:val="bottom"/>
            <w:hideMark/>
          </w:tcPr>
          <w:p w14:paraId="5DC7A673"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Bestwood Village</w:t>
            </w:r>
          </w:p>
        </w:tc>
        <w:tc>
          <w:tcPr>
            <w:tcW w:w="1439" w:type="dxa"/>
            <w:tcBorders>
              <w:top w:val="nil"/>
              <w:left w:val="nil"/>
              <w:bottom w:val="single" w:sz="4" w:space="0" w:color="auto"/>
              <w:right w:val="single" w:sz="4" w:space="0" w:color="auto"/>
            </w:tcBorders>
            <w:vAlign w:val="bottom"/>
            <w:hideMark/>
          </w:tcPr>
          <w:p w14:paraId="4F496065"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403" w:type="dxa"/>
            <w:tcBorders>
              <w:top w:val="nil"/>
              <w:left w:val="nil"/>
              <w:bottom w:val="single" w:sz="4" w:space="0" w:color="auto"/>
              <w:right w:val="single" w:sz="4" w:space="0" w:color="auto"/>
            </w:tcBorders>
            <w:noWrap/>
            <w:vAlign w:val="bottom"/>
            <w:hideMark/>
          </w:tcPr>
          <w:p w14:paraId="4D03DBA1"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513" w:type="dxa"/>
            <w:tcBorders>
              <w:top w:val="nil"/>
              <w:left w:val="nil"/>
              <w:bottom w:val="single" w:sz="4" w:space="0" w:color="auto"/>
              <w:right w:val="single" w:sz="4" w:space="0" w:color="auto"/>
            </w:tcBorders>
            <w:shd w:val="clear" w:color="000000" w:fill="FFFFFF"/>
            <w:noWrap/>
            <w:vAlign w:val="bottom"/>
            <w:hideMark/>
          </w:tcPr>
          <w:p w14:paraId="280DA0A2"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382" w:type="dxa"/>
            <w:tcBorders>
              <w:top w:val="nil"/>
              <w:left w:val="nil"/>
              <w:bottom w:val="single" w:sz="4" w:space="0" w:color="auto"/>
              <w:right w:val="single" w:sz="4" w:space="0" w:color="auto"/>
            </w:tcBorders>
            <w:noWrap/>
            <w:vAlign w:val="bottom"/>
            <w:hideMark/>
          </w:tcPr>
          <w:p w14:paraId="2DD824F8"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987" w:type="dxa"/>
            <w:tcBorders>
              <w:top w:val="nil"/>
              <w:left w:val="nil"/>
              <w:bottom w:val="single" w:sz="4" w:space="0" w:color="auto"/>
              <w:right w:val="single" w:sz="4" w:space="0" w:color="auto"/>
            </w:tcBorders>
            <w:noWrap/>
            <w:vAlign w:val="bottom"/>
            <w:hideMark/>
          </w:tcPr>
          <w:p w14:paraId="580F07D2"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317" w:type="dxa"/>
            <w:tcBorders>
              <w:top w:val="nil"/>
              <w:left w:val="nil"/>
              <w:bottom w:val="single" w:sz="4" w:space="0" w:color="auto"/>
              <w:right w:val="single" w:sz="4" w:space="0" w:color="auto"/>
            </w:tcBorders>
            <w:noWrap/>
            <w:vAlign w:val="bottom"/>
            <w:hideMark/>
          </w:tcPr>
          <w:p w14:paraId="53ABF94D"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0.0%</w:t>
            </w:r>
          </w:p>
        </w:tc>
      </w:tr>
      <w:tr w:rsidR="00FE0BF1" w:rsidRPr="00FE0BF1" w14:paraId="64395EB2" w14:textId="77777777" w:rsidTr="00657E09">
        <w:trPr>
          <w:trHeight w:val="310"/>
        </w:trPr>
        <w:tc>
          <w:tcPr>
            <w:tcW w:w="2161" w:type="dxa"/>
            <w:tcBorders>
              <w:top w:val="nil"/>
              <w:left w:val="single" w:sz="4" w:space="0" w:color="auto"/>
              <w:bottom w:val="single" w:sz="4" w:space="0" w:color="auto"/>
              <w:right w:val="single" w:sz="4" w:space="0" w:color="auto"/>
            </w:tcBorders>
            <w:vAlign w:val="bottom"/>
            <w:hideMark/>
          </w:tcPr>
          <w:p w14:paraId="02110FAD"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Brinsley</w:t>
            </w:r>
          </w:p>
        </w:tc>
        <w:tc>
          <w:tcPr>
            <w:tcW w:w="1439" w:type="dxa"/>
            <w:tcBorders>
              <w:top w:val="nil"/>
              <w:left w:val="nil"/>
              <w:bottom w:val="single" w:sz="4" w:space="0" w:color="auto"/>
              <w:right w:val="single" w:sz="4" w:space="0" w:color="auto"/>
            </w:tcBorders>
            <w:vAlign w:val="bottom"/>
            <w:hideMark/>
          </w:tcPr>
          <w:p w14:paraId="6393217C"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403" w:type="dxa"/>
            <w:tcBorders>
              <w:top w:val="nil"/>
              <w:left w:val="nil"/>
              <w:bottom w:val="single" w:sz="4" w:space="0" w:color="auto"/>
              <w:right w:val="single" w:sz="4" w:space="0" w:color="auto"/>
            </w:tcBorders>
            <w:noWrap/>
            <w:vAlign w:val="bottom"/>
            <w:hideMark/>
          </w:tcPr>
          <w:p w14:paraId="1E787063"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42</w:t>
            </w:r>
          </w:p>
        </w:tc>
        <w:tc>
          <w:tcPr>
            <w:tcW w:w="1513" w:type="dxa"/>
            <w:tcBorders>
              <w:top w:val="nil"/>
              <w:left w:val="nil"/>
              <w:bottom w:val="single" w:sz="4" w:space="0" w:color="auto"/>
              <w:right w:val="single" w:sz="4" w:space="0" w:color="auto"/>
            </w:tcBorders>
            <w:shd w:val="clear" w:color="000000" w:fill="FFFFFF"/>
            <w:noWrap/>
            <w:vAlign w:val="bottom"/>
            <w:hideMark/>
          </w:tcPr>
          <w:p w14:paraId="0D7C4462"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382" w:type="dxa"/>
            <w:tcBorders>
              <w:top w:val="nil"/>
              <w:left w:val="nil"/>
              <w:bottom w:val="single" w:sz="4" w:space="0" w:color="auto"/>
              <w:right w:val="single" w:sz="4" w:space="0" w:color="auto"/>
            </w:tcBorders>
            <w:noWrap/>
            <w:vAlign w:val="bottom"/>
            <w:hideMark/>
          </w:tcPr>
          <w:p w14:paraId="735822D7"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987" w:type="dxa"/>
            <w:tcBorders>
              <w:top w:val="nil"/>
              <w:left w:val="nil"/>
              <w:bottom w:val="single" w:sz="4" w:space="0" w:color="auto"/>
              <w:right w:val="single" w:sz="4" w:space="0" w:color="auto"/>
            </w:tcBorders>
            <w:noWrap/>
            <w:vAlign w:val="bottom"/>
            <w:hideMark/>
          </w:tcPr>
          <w:p w14:paraId="173D77A3"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42</w:t>
            </w:r>
          </w:p>
        </w:tc>
        <w:tc>
          <w:tcPr>
            <w:tcW w:w="1317" w:type="dxa"/>
            <w:tcBorders>
              <w:top w:val="nil"/>
              <w:left w:val="nil"/>
              <w:bottom w:val="single" w:sz="4" w:space="0" w:color="auto"/>
              <w:right w:val="single" w:sz="4" w:space="0" w:color="auto"/>
            </w:tcBorders>
            <w:noWrap/>
            <w:vAlign w:val="bottom"/>
            <w:hideMark/>
          </w:tcPr>
          <w:p w14:paraId="2C23607D"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0.5%</w:t>
            </w:r>
          </w:p>
        </w:tc>
      </w:tr>
      <w:tr w:rsidR="00FE0BF1" w:rsidRPr="00FE0BF1" w14:paraId="55B9F0EF" w14:textId="77777777" w:rsidTr="00657E09">
        <w:trPr>
          <w:trHeight w:val="310"/>
        </w:trPr>
        <w:tc>
          <w:tcPr>
            <w:tcW w:w="2161" w:type="dxa"/>
            <w:tcBorders>
              <w:top w:val="nil"/>
              <w:left w:val="single" w:sz="4" w:space="0" w:color="auto"/>
              <w:bottom w:val="single" w:sz="4" w:space="0" w:color="auto"/>
              <w:right w:val="single" w:sz="4" w:space="0" w:color="auto"/>
            </w:tcBorders>
            <w:vAlign w:val="bottom"/>
            <w:hideMark/>
          </w:tcPr>
          <w:p w14:paraId="07F2B0DA"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Fackley</w:t>
            </w:r>
          </w:p>
        </w:tc>
        <w:tc>
          <w:tcPr>
            <w:tcW w:w="1439" w:type="dxa"/>
            <w:tcBorders>
              <w:top w:val="nil"/>
              <w:left w:val="nil"/>
              <w:bottom w:val="single" w:sz="4" w:space="0" w:color="auto"/>
              <w:right w:val="single" w:sz="4" w:space="0" w:color="auto"/>
            </w:tcBorders>
            <w:vAlign w:val="bottom"/>
            <w:hideMark/>
          </w:tcPr>
          <w:p w14:paraId="04775B0A"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403" w:type="dxa"/>
            <w:tcBorders>
              <w:top w:val="nil"/>
              <w:left w:val="nil"/>
              <w:bottom w:val="single" w:sz="4" w:space="0" w:color="auto"/>
              <w:right w:val="single" w:sz="4" w:space="0" w:color="auto"/>
            </w:tcBorders>
            <w:shd w:val="clear" w:color="000000" w:fill="FFFFFF"/>
            <w:noWrap/>
            <w:vAlign w:val="bottom"/>
            <w:hideMark/>
          </w:tcPr>
          <w:p w14:paraId="71EC38D1"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26</w:t>
            </w:r>
          </w:p>
        </w:tc>
        <w:tc>
          <w:tcPr>
            <w:tcW w:w="1513" w:type="dxa"/>
            <w:tcBorders>
              <w:top w:val="nil"/>
              <w:left w:val="nil"/>
              <w:bottom w:val="single" w:sz="4" w:space="0" w:color="auto"/>
              <w:right w:val="single" w:sz="4" w:space="0" w:color="auto"/>
            </w:tcBorders>
            <w:shd w:val="clear" w:color="000000" w:fill="FFFFFF"/>
            <w:noWrap/>
            <w:vAlign w:val="bottom"/>
            <w:hideMark/>
          </w:tcPr>
          <w:p w14:paraId="0E4C8DE2"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382" w:type="dxa"/>
            <w:tcBorders>
              <w:top w:val="nil"/>
              <w:left w:val="nil"/>
              <w:bottom w:val="single" w:sz="4" w:space="0" w:color="auto"/>
              <w:right w:val="single" w:sz="4" w:space="0" w:color="auto"/>
            </w:tcBorders>
            <w:noWrap/>
            <w:vAlign w:val="bottom"/>
            <w:hideMark/>
          </w:tcPr>
          <w:p w14:paraId="29EBD691"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124</w:t>
            </w:r>
          </w:p>
        </w:tc>
        <w:tc>
          <w:tcPr>
            <w:tcW w:w="987" w:type="dxa"/>
            <w:tcBorders>
              <w:top w:val="nil"/>
              <w:left w:val="nil"/>
              <w:bottom w:val="single" w:sz="4" w:space="0" w:color="auto"/>
              <w:right w:val="single" w:sz="4" w:space="0" w:color="auto"/>
            </w:tcBorders>
            <w:noWrap/>
            <w:vAlign w:val="bottom"/>
            <w:hideMark/>
          </w:tcPr>
          <w:p w14:paraId="57934CBF"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150</w:t>
            </w:r>
          </w:p>
        </w:tc>
        <w:tc>
          <w:tcPr>
            <w:tcW w:w="1317" w:type="dxa"/>
            <w:tcBorders>
              <w:top w:val="nil"/>
              <w:left w:val="nil"/>
              <w:bottom w:val="single" w:sz="4" w:space="0" w:color="auto"/>
              <w:right w:val="single" w:sz="4" w:space="0" w:color="auto"/>
            </w:tcBorders>
            <w:noWrap/>
            <w:vAlign w:val="bottom"/>
            <w:hideMark/>
          </w:tcPr>
          <w:p w14:paraId="48F40D95"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1.8%</w:t>
            </w:r>
          </w:p>
        </w:tc>
      </w:tr>
      <w:tr w:rsidR="00FE0BF1" w:rsidRPr="00FE0BF1" w14:paraId="1D981366" w14:textId="77777777" w:rsidTr="00657E09">
        <w:trPr>
          <w:trHeight w:val="358"/>
        </w:trPr>
        <w:tc>
          <w:tcPr>
            <w:tcW w:w="2161" w:type="dxa"/>
            <w:tcBorders>
              <w:top w:val="nil"/>
              <w:left w:val="single" w:sz="4" w:space="0" w:color="auto"/>
              <w:bottom w:val="single" w:sz="4" w:space="0" w:color="auto"/>
              <w:right w:val="single" w:sz="4" w:space="0" w:color="auto"/>
            </w:tcBorders>
            <w:vAlign w:val="bottom"/>
            <w:hideMark/>
          </w:tcPr>
          <w:p w14:paraId="595CD890" w14:textId="77777777" w:rsidR="00E5314E" w:rsidRPr="00FE02E6" w:rsidRDefault="00E5314E" w:rsidP="00AB5245">
            <w:pPr>
              <w:spacing w:after="0" w:line="240" w:lineRule="auto"/>
              <w:jc w:val="lef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Total</w:t>
            </w:r>
          </w:p>
        </w:tc>
        <w:tc>
          <w:tcPr>
            <w:tcW w:w="1439" w:type="dxa"/>
            <w:tcBorders>
              <w:top w:val="nil"/>
              <w:left w:val="nil"/>
              <w:bottom w:val="single" w:sz="4" w:space="0" w:color="auto"/>
              <w:right w:val="single" w:sz="4" w:space="0" w:color="auto"/>
            </w:tcBorders>
            <w:vAlign w:val="bottom"/>
            <w:hideMark/>
          </w:tcPr>
          <w:p w14:paraId="59ED010D" w14:textId="77777777" w:rsidR="00E5314E" w:rsidRPr="00FE02E6" w:rsidRDefault="00E5314E" w:rsidP="00AB5245">
            <w:pPr>
              <w:spacing w:after="0" w:line="240" w:lineRule="auto"/>
              <w:jc w:val="righ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5</w:t>
            </w:r>
          </w:p>
        </w:tc>
        <w:tc>
          <w:tcPr>
            <w:tcW w:w="1403" w:type="dxa"/>
            <w:tcBorders>
              <w:top w:val="nil"/>
              <w:left w:val="nil"/>
              <w:bottom w:val="single" w:sz="4" w:space="0" w:color="auto"/>
              <w:right w:val="single" w:sz="4" w:space="0" w:color="auto"/>
            </w:tcBorders>
            <w:noWrap/>
            <w:vAlign w:val="bottom"/>
            <w:hideMark/>
          </w:tcPr>
          <w:p w14:paraId="744E2969" w14:textId="77777777" w:rsidR="00E5314E" w:rsidRPr="00FE02E6" w:rsidRDefault="00E5314E" w:rsidP="00AB5245">
            <w:pPr>
              <w:spacing w:after="0" w:line="240" w:lineRule="auto"/>
              <w:jc w:val="righ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549</w:t>
            </w:r>
          </w:p>
        </w:tc>
        <w:tc>
          <w:tcPr>
            <w:tcW w:w="1513" w:type="dxa"/>
            <w:tcBorders>
              <w:top w:val="nil"/>
              <w:left w:val="nil"/>
              <w:bottom w:val="single" w:sz="4" w:space="0" w:color="auto"/>
              <w:right w:val="single" w:sz="4" w:space="0" w:color="auto"/>
            </w:tcBorders>
            <w:noWrap/>
            <w:vAlign w:val="bottom"/>
            <w:hideMark/>
          </w:tcPr>
          <w:p w14:paraId="75978B3D" w14:textId="77777777" w:rsidR="00E5314E" w:rsidRPr="00FE02E6" w:rsidRDefault="00E5314E" w:rsidP="00AB5245">
            <w:pPr>
              <w:spacing w:after="0" w:line="240" w:lineRule="auto"/>
              <w:jc w:val="righ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0</w:t>
            </w:r>
          </w:p>
        </w:tc>
        <w:tc>
          <w:tcPr>
            <w:tcW w:w="1382" w:type="dxa"/>
            <w:tcBorders>
              <w:top w:val="nil"/>
              <w:left w:val="nil"/>
              <w:bottom w:val="single" w:sz="4" w:space="0" w:color="auto"/>
              <w:right w:val="single" w:sz="4" w:space="0" w:color="auto"/>
            </w:tcBorders>
            <w:noWrap/>
            <w:vAlign w:val="bottom"/>
            <w:hideMark/>
          </w:tcPr>
          <w:p w14:paraId="51C5AB27" w14:textId="77777777" w:rsidR="00E5314E" w:rsidRPr="00FE02E6" w:rsidRDefault="00E5314E" w:rsidP="00AB5245">
            <w:pPr>
              <w:spacing w:after="0" w:line="240" w:lineRule="auto"/>
              <w:jc w:val="righ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241</w:t>
            </w:r>
          </w:p>
        </w:tc>
        <w:tc>
          <w:tcPr>
            <w:tcW w:w="987" w:type="dxa"/>
            <w:tcBorders>
              <w:top w:val="nil"/>
              <w:left w:val="nil"/>
              <w:bottom w:val="single" w:sz="4" w:space="0" w:color="auto"/>
              <w:right w:val="single" w:sz="4" w:space="0" w:color="auto"/>
            </w:tcBorders>
            <w:noWrap/>
            <w:vAlign w:val="bottom"/>
            <w:hideMark/>
          </w:tcPr>
          <w:p w14:paraId="2743EB15" w14:textId="77777777" w:rsidR="00E5314E" w:rsidRPr="00FE02E6" w:rsidRDefault="00E5314E" w:rsidP="00AB5245">
            <w:pPr>
              <w:spacing w:after="0" w:line="240" w:lineRule="auto"/>
              <w:jc w:val="righ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795</w:t>
            </w:r>
          </w:p>
        </w:tc>
        <w:tc>
          <w:tcPr>
            <w:tcW w:w="1317" w:type="dxa"/>
            <w:tcBorders>
              <w:top w:val="nil"/>
              <w:left w:val="nil"/>
              <w:bottom w:val="single" w:sz="4" w:space="0" w:color="auto"/>
              <w:right w:val="single" w:sz="4" w:space="0" w:color="auto"/>
            </w:tcBorders>
            <w:noWrap/>
            <w:vAlign w:val="bottom"/>
            <w:hideMark/>
          </w:tcPr>
          <w:p w14:paraId="739E5E64" w14:textId="77777777" w:rsidR="00E5314E" w:rsidRPr="00FE02E6" w:rsidRDefault="00E5314E" w:rsidP="00AB5245">
            <w:pPr>
              <w:spacing w:after="0" w:line="240" w:lineRule="auto"/>
              <w:jc w:val="righ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10%</w:t>
            </w:r>
          </w:p>
        </w:tc>
      </w:tr>
      <w:tr w:rsidR="00FE0BF1" w:rsidRPr="00FE0BF1" w14:paraId="797E361F" w14:textId="77777777" w:rsidTr="00657E09">
        <w:trPr>
          <w:trHeight w:val="499"/>
        </w:trPr>
        <w:tc>
          <w:tcPr>
            <w:tcW w:w="2161" w:type="dxa"/>
            <w:tcBorders>
              <w:top w:val="nil"/>
              <w:left w:val="single" w:sz="4" w:space="0" w:color="auto"/>
              <w:bottom w:val="single" w:sz="4" w:space="0" w:color="auto"/>
              <w:right w:val="single" w:sz="4" w:space="0" w:color="auto"/>
            </w:tcBorders>
            <w:vAlign w:val="bottom"/>
            <w:hideMark/>
          </w:tcPr>
          <w:p w14:paraId="6E2CE746" w14:textId="77777777" w:rsidR="00E5314E" w:rsidRPr="00FE02E6" w:rsidRDefault="00E5314E" w:rsidP="00AB5245">
            <w:pPr>
              <w:spacing w:after="0" w:line="240" w:lineRule="auto"/>
              <w:jc w:val="lef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Remainder of District</w:t>
            </w:r>
          </w:p>
        </w:tc>
        <w:tc>
          <w:tcPr>
            <w:tcW w:w="1439" w:type="dxa"/>
            <w:tcBorders>
              <w:top w:val="nil"/>
              <w:left w:val="nil"/>
              <w:bottom w:val="single" w:sz="4" w:space="0" w:color="auto"/>
              <w:right w:val="single" w:sz="4" w:space="0" w:color="auto"/>
            </w:tcBorders>
            <w:vAlign w:val="bottom"/>
            <w:hideMark/>
          </w:tcPr>
          <w:p w14:paraId="4BB1639D"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 </w:t>
            </w:r>
          </w:p>
        </w:tc>
        <w:tc>
          <w:tcPr>
            <w:tcW w:w="1403" w:type="dxa"/>
            <w:tcBorders>
              <w:top w:val="nil"/>
              <w:left w:val="nil"/>
              <w:bottom w:val="single" w:sz="4" w:space="0" w:color="auto"/>
              <w:right w:val="single" w:sz="4" w:space="0" w:color="auto"/>
            </w:tcBorders>
            <w:noWrap/>
            <w:vAlign w:val="bottom"/>
            <w:hideMark/>
          </w:tcPr>
          <w:p w14:paraId="6F474930" w14:textId="77777777" w:rsidR="00E5314E" w:rsidRPr="00FE02E6" w:rsidRDefault="00E5314E" w:rsidP="00AB5245">
            <w:pPr>
              <w:spacing w:after="0" w:line="240" w:lineRule="auto"/>
              <w:jc w:val="lef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 </w:t>
            </w:r>
          </w:p>
        </w:tc>
        <w:tc>
          <w:tcPr>
            <w:tcW w:w="1513" w:type="dxa"/>
            <w:tcBorders>
              <w:top w:val="nil"/>
              <w:left w:val="nil"/>
              <w:bottom w:val="single" w:sz="4" w:space="0" w:color="auto"/>
              <w:right w:val="single" w:sz="4" w:space="0" w:color="auto"/>
            </w:tcBorders>
            <w:noWrap/>
            <w:vAlign w:val="bottom"/>
            <w:hideMark/>
          </w:tcPr>
          <w:p w14:paraId="1CCF9766" w14:textId="77777777" w:rsidR="00E5314E" w:rsidRPr="00FE02E6" w:rsidRDefault="00E5314E" w:rsidP="00AB5245">
            <w:pPr>
              <w:spacing w:after="0" w:line="240" w:lineRule="auto"/>
              <w:jc w:val="lef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 </w:t>
            </w:r>
          </w:p>
        </w:tc>
        <w:tc>
          <w:tcPr>
            <w:tcW w:w="1382" w:type="dxa"/>
            <w:tcBorders>
              <w:top w:val="nil"/>
              <w:left w:val="nil"/>
              <w:bottom w:val="single" w:sz="4" w:space="0" w:color="auto"/>
              <w:right w:val="single" w:sz="4" w:space="0" w:color="auto"/>
            </w:tcBorders>
            <w:noWrap/>
            <w:vAlign w:val="bottom"/>
            <w:hideMark/>
          </w:tcPr>
          <w:p w14:paraId="62EFD954" w14:textId="77777777" w:rsidR="00E5314E" w:rsidRPr="00FE02E6" w:rsidRDefault="00E5314E" w:rsidP="00AB5245">
            <w:pPr>
              <w:spacing w:after="0" w:line="240" w:lineRule="auto"/>
              <w:jc w:val="lef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 </w:t>
            </w:r>
          </w:p>
        </w:tc>
        <w:tc>
          <w:tcPr>
            <w:tcW w:w="987" w:type="dxa"/>
            <w:tcBorders>
              <w:top w:val="nil"/>
              <w:left w:val="nil"/>
              <w:bottom w:val="single" w:sz="4" w:space="0" w:color="auto"/>
              <w:right w:val="single" w:sz="4" w:space="0" w:color="auto"/>
            </w:tcBorders>
            <w:noWrap/>
            <w:vAlign w:val="bottom"/>
            <w:hideMark/>
          </w:tcPr>
          <w:p w14:paraId="26714AFA" w14:textId="77777777" w:rsidR="00E5314E" w:rsidRPr="00FE02E6" w:rsidRDefault="00E5314E" w:rsidP="00AB5245">
            <w:pPr>
              <w:spacing w:after="0" w:line="240" w:lineRule="auto"/>
              <w:jc w:val="lef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 </w:t>
            </w:r>
          </w:p>
        </w:tc>
        <w:tc>
          <w:tcPr>
            <w:tcW w:w="1317" w:type="dxa"/>
            <w:tcBorders>
              <w:top w:val="nil"/>
              <w:left w:val="nil"/>
              <w:bottom w:val="single" w:sz="4" w:space="0" w:color="auto"/>
              <w:right w:val="single" w:sz="4" w:space="0" w:color="auto"/>
            </w:tcBorders>
            <w:noWrap/>
            <w:vAlign w:val="bottom"/>
            <w:hideMark/>
          </w:tcPr>
          <w:p w14:paraId="63561C07" w14:textId="77777777" w:rsidR="00E5314E" w:rsidRPr="00FE02E6" w:rsidRDefault="00E5314E" w:rsidP="00AB5245">
            <w:pPr>
              <w:spacing w:after="0" w:line="240" w:lineRule="auto"/>
              <w:jc w:val="lef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 </w:t>
            </w:r>
          </w:p>
        </w:tc>
      </w:tr>
      <w:tr w:rsidR="00FE0BF1" w:rsidRPr="00FE0BF1" w14:paraId="0EC29E94" w14:textId="77777777" w:rsidTr="00657E09">
        <w:trPr>
          <w:trHeight w:val="440"/>
        </w:trPr>
        <w:tc>
          <w:tcPr>
            <w:tcW w:w="2161" w:type="dxa"/>
            <w:tcBorders>
              <w:top w:val="nil"/>
              <w:left w:val="single" w:sz="4" w:space="0" w:color="auto"/>
              <w:bottom w:val="single" w:sz="4" w:space="0" w:color="auto"/>
              <w:right w:val="single" w:sz="4" w:space="0" w:color="auto"/>
            </w:tcBorders>
            <w:vAlign w:val="bottom"/>
            <w:hideMark/>
          </w:tcPr>
          <w:p w14:paraId="79EF2D95"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South</w:t>
            </w:r>
            <w:r w:rsidRPr="00FE0BF1">
              <w:rPr>
                <w:rFonts w:eastAsia="Times New Roman" w:cs="Arial"/>
                <w:color w:val="A02B93" w:themeColor="accent5"/>
                <w:sz w:val="22"/>
                <w:lang w:eastAsia="en-GB"/>
              </w:rPr>
              <w:t>-</w:t>
            </w:r>
            <w:r w:rsidRPr="00FE02E6">
              <w:rPr>
                <w:rFonts w:eastAsia="Times New Roman" w:cs="Arial"/>
                <w:color w:val="A02B93" w:themeColor="accent5"/>
                <w:sz w:val="22"/>
                <w:lang w:eastAsia="en-GB"/>
              </w:rPr>
              <w:t>east of Sutton</w:t>
            </w:r>
          </w:p>
        </w:tc>
        <w:tc>
          <w:tcPr>
            <w:tcW w:w="1439" w:type="dxa"/>
            <w:tcBorders>
              <w:top w:val="nil"/>
              <w:left w:val="nil"/>
              <w:bottom w:val="single" w:sz="4" w:space="0" w:color="auto"/>
              <w:right w:val="single" w:sz="4" w:space="0" w:color="auto"/>
            </w:tcBorders>
            <w:vAlign w:val="bottom"/>
            <w:hideMark/>
          </w:tcPr>
          <w:p w14:paraId="67B4A3BD"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4</w:t>
            </w:r>
          </w:p>
        </w:tc>
        <w:tc>
          <w:tcPr>
            <w:tcW w:w="1403" w:type="dxa"/>
            <w:tcBorders>
              <w:top w:val="nil"/>
              <w:left w:val="nil"/>
              <w:bottom w:val="single" w:sz="4" w:space="0" w:color="auto"/>
              <w:right w:val="single" w:sz="4" w:space="0" w:color="auto"/>
            </w:tcBorders>
            <w:shd w:val="clear" w:color="000000" w:fill="FFFFFF"/>
            <w:noWrap/>
            <w:vAlign w:val="bottom"/>
            <w:hideMark/>
          </w:tcPr>
          <w:p w14:paraId="17FA782F"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513" w:type="dxa"/>
            <w:tcBorders>
              <w:top w:val="nil"/>
              <w:left w:val="nil"/>
              <w:bottom w:val="single" w:sz="4" w:space="0" w:color="auto"/>
              <w:right w:val="single" w:sz="4" w:space="0" w:color="auto"/>
            </w:tcBorders>
            <w:shd w:val="clear" w:color="000000" w:fill="FFFFFF"/>
            <w:noWrap/>
            <w:vAlign w:val="bottom"/>
            <w:hideMark/>
          </w:tcPr>
          <w:p w14:paraId="7EE15379"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382" w:type="dxa"/>
            <w:tcBorders>
              <w:top w:val="nil"/>
              <w:left w:val="nil"/>
              <w:bottom w:val="single" w:sz="4" w:space="0" w:color="auto"/>
              <w:right w:val="single" w:sz="4" w:space="0" w:color="auto"/>
            </w:tcBorders>
            <w:shd w:val="clear" w:color="000000" w:fill="FFFFFF"/>
            <w:noWrap/>
            <w:vAlign w:val="bottom"/>
            <w:hideMark/>
          </w:tcPr>
          <w:p w14:paraId="254C5633"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18</w:t>
            </w:r>
          </w:p>
        </w:tc>
        <w:tc>
          <w:tcPr>
            <w:tcW w:w="987" w:type="dxa"/>
            <w:tcBorders>
              <w:top w:val="nil"/>
              <w:left w:val="nil"/>
              <w:bottom w:val="single" w:sz="4" w:space="0" w:color="auto"/>
              <w:right w:val="single" w:sz="4" w:space="0" w:color="auto"/>
            </w:tcBorders>
            <w:noWrap/>
            <w:vAlign w:val="bottom"/>
            <w:hideMark/>
          </w:tcPr>
          <w:p w14:paraId="7C93A523"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22</w:t>
            </w:r>
          </w:p>
        </w:tc>
        <w:tc>
          <w:tcPr>
            <w:tcW w:w="1317" w:type="dxa"/>
            <w:tcBorders>
              <w:top w:val="nil"/>
              <w:left w:val="nil"/>
              <w:bottom w:val="single" w:sz="4" w:space="0" w:color="auto"/>
              <w:right w:val="single" w:sz="4" w:space="0" w:color="auto"/>
            </w:tcBorders>
            <w:noWrap/>
            <w:vAlign w:val="bottom"/>
            <w:hideMark/>
          </w:tcPr>
          <w:p w14:paraId="47331BE9"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0.3%</w:t>
            </w:r>
          </w:p>
        </w:tc>
      </w:tr>
      <w:tr w:rsidR="00FE0BF1" w:rsidRPr="00FE0BF1" w14:paraId="42AB0AF4" w14:textId="77777777" w:rsidTr="00657E09">
        <w:trPr>
          <w:trHeight w:val="310"/>
        </w:trPr>
        <w:tc>
          <w:tcPr>
            <w:tcW w:w="2161" w:type="dxa"/>
            <w:tcBorders>
              <w:top w:val="nil"/>
              <w:left w:val="single" w:sz="4" w:space="0" w:color="auto"/>
              <w:bottom w:val="single" w:sz="4" w:space="0" w:color="auto"/>
              <w:right w:val="single" w:sz="4" w:space="0" w:color="auto"/>
            </w:tcBorders>
            <w:vAlign w:val="bottom"/>
            <w:hideMark/>
          </w:tcPr>
          <w:p w14:paraId="5B4A3A94"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 xml:space="preserve">North of Sutton </w:t>
            </w:r>
          </w:p>
        </w:tc>
        <w:tc>
          <w:tcPr>
            <w:tcW w:w="1439" w:type="dxa"/>
            <w:tcBorders>
              <w:top w:val="nil"/>
              <w:left w:val="nil"/>
              <w:bottom w:val="single" w:sz="4" w:space="0" w:color="auto"/>
              <w:right w:val="single" w:sz="4" w:space="0" w:color="auto"/>
            </w:tcBorders>
            <w:vAlign w:val="bottom"/>
            <w:hideMark/>
          </w:tcPr>
          <w:p w14:paraId="49B61D0D"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7</w:t>
            </w:r>
          </w:p>
        </w:tc>
        <w:tc>
          <w:tcPr>
            <w:tcW w:w="1403" w:type="dxa"/>
            <w:tcBorders>
              <w:top w:val="nil"/>
              <w:left w:val="nil"/>
              <w:bottom w:val="single" w:sz="4" w:space="0" w:color="auto"/>
              <w:right w:val="single" w:sz="4" w:space="0" w:color="auto"/>
            </w:tcBorders>
            <w:shd w:val="clear" w:color="000000" w:fill="FFFFFF"/>
            <w:noWrap/>
            <w:vAlign w:val="bottom"/>
            <w:hideMark/>
          </w:tcPr>
          <w:p w14:paraId="6A855B07"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513" w:type="dxa"/>
            <w:tcBorders>
              <w:top w:val="nil"/>
              <w:left w:val="nil"/>
              <w:bottom w:val="single" w:sz="4" w:space="0" w:color="auto"/>
              <w:right w:val="single" w:sz="4" w:space="0" w:color="auto"/>
            </w:tcBorders>
            <w:noWrap/>
            <w:vAlign w:val="bottom"/>
            <w:hideMark/>
          </w:tcPr>
          <w:p w14:paraId="19021D8C"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90</w:t>
            </w:r>
          </w:p>
        </w:tc>
        <w:tc>
          <w:tcPr>
            <w:tcW w:w="1382" w:type="dxa"/>
            <w:tcBorders>
              <w:top w:val="nil"/>
              <w:left w:val="nil"/>
              <w:bottom w:val="single" w:sz="4" w:space="0" w:color="auto"/>
              <w:right w:val="single" w:sz="4" w:space="0" w:color="auto"/>
            </w:tcBorders>
            <w:shd w:val="clear" w:color="000000" w:fill="FFFFFF"/>
            <w:noWrap/>
            <w:vAlign w:val="bottom"/>
            <w:hideMark/>
          </w:tcPr>
          <w:p w14:paraId="01343CF5"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32</w:t>
            </w:r>
          </w:p>
        </w:tc>
        <w:tc>
          <w:tcPr>
            <w:tcW w:w="987" w:type="dxa"/>
            <w:tcBorders>
              <w:top w:val="nil"/>
              <w:left w:val="nil"/>
              <w:bottom w:val="single" w:sz="4" w:space="0" w:color="auto"/>
              <w:right w:val="single" w:sz="4" w:space="0" w:color="auto"/>
            </w:tcBorders>
            <w:noWrap/>
            <w:vAlign w:val="bottom"/>
            <w:hideMark/>
          </w:tcPr>
          <w:p w14:paraId="4C134637"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129</w:t>
            </w:r>
          </w:p>
        </w:tc>
        <w:tc>
          <w:tcPr>
            <w:tcW w:w="1317" w:type="dxa"/>
            <w:tcBorders>
              <w:top w:val="nil"/>
              <w:left w:val="nil"/>
              <w:bottom w:val="single" w:sz="4" w:space="0" w:color="auto"/>
              <w:right w:val="single" w:sz="4" w:space="0" w:color="auto"/>
            </w:tcBorders>
            <w:noWrap/>
            <w:vAlign w:val="bottom"/>
            <w:hideMark/>
          </w:tcPr>
          <w:p w14:paraId="1A798333"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1.6%</w:t>
            </w:r>
          </w:p>
        </w:tc>
      </w:tr>
      <w:tr w:rsidR="00FE0BF1" w:rsidRPr="00FE0BF1" w14:paraId="392E2889" w14:textId="77777777" w:rsidTr="00657E09">
        <w:trPr>
          <w:trHeight w:val="310"/>
        </w:trPr>
        <w:tc>
          <w:tcPr>
            <w:tcW w:w="2161" w:type="dxa"/>
            <w:tcBorders>
              <w:top w:val="nil"/>
              <w:left w:val="single" w:sz="4" w:space="0" w:color="auto"/>
              <w:bottom w:val="single" w:sz="4" w:space="0" w:color="auto"/>
              <w:right w:val="single" w:sz="4" w:space="0" w:color="auto"/>
            </w:tcBorders>
            <w:vAlign w:val="bottom"/>
            <w:hideMark/>
          </w:tcPr>
          <w:p w14:paraId="36CFFACC"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 xml:space="preserve">West of Kirkby </w:t>
            </w:r>
          </w:p>
        </w:tc>
        <w:tc>
          <w:tcPr>
            <w:tcW w:w="1439" w:type="dxa"/>
            <w:tcBorders>
              <w:top w:val="nil"/>
              <w:left w:val="nil"/>
              <w:bottom w:val="single" w:sz="4" w:space="0" w:color="auto"/>
              <w:right w:val="single" w:sz="4" w:space="0" w:color="auto"/>
            </w:tcBorders>
            <w:vAlign w:val="bottom"/>
            <w:hideMark/>
          </w:tcPr>
          <w:p w14:paraId="63D53AE0"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3</w:t>
            </w:r>
          </w:p>
        </w:tc>
        <w:tc>
          <w:tcPr>
            <w:tcW w:w="1403" w:type="dxa"/>
            <w:tcBorders>
              <w:top w:val="nil"/>
              <w:left w:val="nil"/>
              <w:bottom w:val="single" w:sz="4" w:space="0" w:color="auto"/>
              <w:right w:val="single" w:sz="4" w:space="0" w:color="auto"/>
            </w:tcBorders>
            <w:noWrap/>
            <w:vAlign w:val="bottom"/>
            <w:hideMark/>
          </w:tcPr>
          <w:p w14:paraId="06408A41"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513" w:type="dxa"/>
            <w:tcBorders>
              <w:top w:val="nil"/>
              <w:left w:val="nil"/>
              <w:bottom w:val="single" w:sz="4" w:space="0" w:color="auto"/>
              <w:right w:val="single" w:sz="4" w:space="0" w:color="auto"/>
            </w:tcBorders>
            <w:noWrap/>
            <w:vAlign w:val="bottom"/>
            <w:hideMark/>
          </w:tcPr>
          <w:p w14:paraId="7504A226"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382" w:type="dxa"/>
            <w:tcBorders>
              <w:top w:val="nil"/>
              <w:left w:val="nil"/>
              <w:bottom w:val="single" w:sz="4" w:space="0" w:color="auto"/>
              <w:right w:val="single" w:sz="4" w:space="0" w:color="auto"/>
            </w:tcBorders>
            <w:shd w:val="clear" w:color="000000" w:fill="FFFFFF"/>
            <w:noWrap/>
            <w:vAlign w:val="bottom"/>
            <w:hideMark/>
          </w:tcPr>
          <w:p w14:paraId="4DCD7108"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1</w:t>
            </w:r>
          </w:p>
        </w:tc>
        <w:tc>
          <w:tcPr>
            <w:tcW w:w="987" w:type="dxa"/>
            <w:tcBorders>
              <w:top w:val="nil"/>
              <w:left w:val="nil"/>
              <w:bottom w:val="single" w:sz="4" w:space="0" w:color="auto"/>
              <w:right w:val="single" w:sz="4" w:space="0" w:color="auto"/>
            </w:tcBorders>
            <w:noWrap/>
            <w:vAlign w:val="bottom"/>
            <w:hideMark/>
          </w:tcPr>
          <w:p w14:paraId="5D762907"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4</w:t>
            </w:r>
          </w:p>
        </w:tc>
        <w:tc>
          <w:tcPr>
            <w:tcW w:w="1317" w:type="dxa"/>
            <w:tcBorders>
              <w:top w:val="nil"/>
              <w:left w:val="nil"/>
              <w:bottom w:val="single" w:sz="4" w:space="0" w:color="auto"/>
              <w:right w:val="single" w:sz="4" w:space="0" w:color="auto"/>
            </w:tcBorders>
            <w:noWrap/>
            <w:vAlign w:val="bottom"/>
            <w:hideMark/>
          </w:tcPr>
          <w:p w14:paraId="1910EBAE"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0.0%</w:t>
            </w:r>
          </w:p>
        </w:tc>
      </w:tr>
      <w:tr w:rsidR="00FE0BF1" w:rsidRPr="00FE0BF1" w14:paraId="5BD7146E" w14:textId="77777777" w:rsidTr="00657E09">
        <w:trPr>
          <w:trHeight w:val="310"/>
        </w:trPr>
        <w:tc>
          <w:tcPr>
            <w:tcW w:w="2161" w:type="dxa"/>
            <w:tcBorders>
              <w:top w:val="nil"/>
              <w:left w:val="single" w:sz="4" w:space="0" w:color="auto"/>
              <w:bottom w:val="single" w:sz="4" w:space="0" w:color="auto"/>
              <w:right w:val="single" w:sz="4" w:space="0" w:color="auto"/>
            </w:tcBorders>
            <w:vAlign w:val="bottom"/>
            <w:hideMark/>
          </w:tcPr>
          <w:p w14:paraId="3AD5DDB2"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 xml:space="preserve">East of Kirkby </w:t>
            </w:r>
          </w:p>
        </w:tc>
        <w:tc>
          <w:tcPr>
            <w:tcW w:w="1439" w:type="dxa"/>
            <w:tcBorders>
              <w:top w:val="nil"/>
              <w:left w:val="nil"/>
              <w:bottom w:val="single" w:sz="4" w:space="0" w:color="auto"/>
              <w:right w:val="single" w:sz="4" w:space="0" w:color="auto"/>
            </w:tcBorders>
            <w:vAlign w:val="bottom"/>
            <w:hideMark/>
          </w:tcPr>
          <w:p w14:paraId="39A6CBE8"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2</w:t>
            </w:r>
          </w:p>
        </w:tc>
        <w:tc>
          <w:tcPr>
            <w:tcW w:w="1403" w:type="dxa"/>
            <w:tcBorders>
              <w:top w:val="nil"/>
              <w:left w:val="nil"/>
              <w:bottom w:val="single" w:sz="4" w:space="0" w:color="auto"/>
              <w:right w:val="single" w:sz="4" w:space="0" w:color="auto"/>
            </w:tcBorders>
            <w:noWrap/>
            <w:vAlign w:val="bottom"/>
            <w:hideMark/>
          </w:tcPr>
          <w:p w14:paraId="4EE95FBE"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513" w:type="dxa"/>
            <w:tcBorders>
              <w:top w:val="nil"/>
              <w:left w:val="nil"/>
              <w:bottom w:val="single" w:sz="4" w:space="0" w:color="auto"/>
              <w:right w:val="single" w:sz="4" w:space="0" w:color="auto"/>
            </w:tcBorders>
            <w:noWrap/>
            <w:vAlign w:val="bottom"/>
            <w:hideMark/>
          </w:tcPr>
          <w:p w14:paraId="6A0ADB68"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382" w:type="dxa"/>
            <w:tcBorders>
              <w:top w:val="nil"/>
              <w:left w:val="nil"/>
              <w:bottom w:val="single" w:sz="4" w:space="0" w:color="auto"/>
              <w:right w:val="single" w:sz="4" w:space="0" w:color="auto"/>
            </w:tcBorders>
            <w:shd w:val="clear" w:color="000000" w:fill="FFFFFF"/>
            <w:noWrap/>
            <w:vAlign w:val="bottom"/>
            <w:hideMark/>
          </w:tcPr>
          <w:p w14:paraId="3D900763"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1</w:t>
            </w:r>
          </w:p>
        </w:tc>
        <w:tc>
          <w:tcPr>
            <w:tcW w:w="987" w:type="dxa"/>
            <w:tcBorders>
              <w:top w:val="nil"/>
              <w:left w:val="nil"/>
              <w:bottom w:val="single" w:sz="4" w:space="0" w:color="auto"/>
              <w:right w:val="single" w:sz="4" w:space="0" w:color="auto"/>
            </w:tcBorders>
            <w:noWrap/>
            <w:vAlign w:val="bottom"/>
            <w:hideMark/>
          </w:tcPr>
          <w:p w14:paraId="59783C4D"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3</w:t>
            </w:r>
          </w:p>
        </w:tc>
        <w:tc>
          <w:tcPr>
            <w:tcW w:w="1317" w:type="dxa"/>
            <w:tcBorders>
              <w:top w:val="nil"/>
              <w:left w:val="nil"/>
              <w:bottom w:val="single" w:sz="4" w:space="0" w:color="auto"/>
              <w:right w:val="single" w:sz="4" w:space="0" w:color="auto"/>
            </w:tcBorders>
            <w:noWrap/>
            <w:vAlign w:val="bottom"/>
            <w:hideMark/>
          </w:tcPr>
          <w:p w14:paraId="74AE3FEB"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0.0%</w:t>
            </w:r>
          </w:p>
        </w:tc>
      </w:tr>
      <w:tr w:rsidR="00FE0BF1" w:rsidRPr="00FE0BF1" w14:paraId="246DFE44" w14:textId="77777777" w:rsidTr="00657E09">
        <w:trPr>
          <w:trHeight w:val="310"/>
        </w:trPr>
        <w:tc>
          <w:tcPr>
            <w:tcW w:w="2161" w:type="dxa"/>
            <w:tcBorders>
              <w:top w:val="nil"/>
              <w:left w:val="single" w:sz="4" w:space="0" w:color="auto"/>
              <w:bottom w:val="single" w:sz="4" w:space="0" w:color="auto"/>
              <w:right w:val="single" w:sz="4" w:space="0" w:color="auto"/>
            </w:tcBorders>
            <w:vAlign w:val="bottom"/>
            <w:hideMark/>
          </w:tcPr>
          <w:p w14:paraId="653795C0"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 xml:space="preserve">South of Kirkby </w:t>
            </w:r>
          </w:p>
        </w:tc>
        <w:tc>
          <w:tcPr>
            <w:tcW w:w="1439" w:type="dxa"/>
            <w:tcBorders>
              <w:top w:val="nil"/>
              <w:left w:val="nil"/>
              <w:bottom w:val="single" w:sz="4" w:space="0" w:color="auto"/>
              <w:right w:val="single" w:sz="4" w:space="0" w:color="auto"/>
            </w:tcBorders>
            <w:vAlign w:val="bottom"/>
            <w:hideMark/>
          </w:tcPr>
          <w:p w14:paraId="2078E621"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403" w:type="dxa"/>
            <w:tcBorders>
              <w:top w:val="nil"/>
              <w:left w:val="nil"/>
              <w:bottom w:val="single" w:sz="4" w:space="0" w:color="auto"/>
              <w:right w:val="single" w:sz="4" w:space="0" w:color="auto"/>
            </w:tcBorders>
            <w:vAlign w:val="bottom"/>
            <w:hideMark/>
          </w:tcPr>
          <w:p w14:paraId="592151BC"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513" w:type="dxa"/>
            <w:tcBorders>
              <w:top w:val="nil"/>
              <w:left w:val="nil"/>
              <w:bottom w:val="single" w:sz="4" w:space="0" w:color="auto"/>
              <w:right w:val="single" w:sz="4" w:space="0" w:color="auto"/>
            </w:tcBorders>
            <w:vAlign w:val="bottom"/>
            <w:hideMark/>
          </w:tcPr>
          <w:p w14:paraId="6E4979A7"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382" w:type="dxa"/>
            <w:tcBorders>
              <w:top w:val="nil"/>
              <w:left w:val="nil"/>
              <w:bottom w:val="single" w:sz="4" w:space="0" w:color="auto"/>
              <w:right w:val="single" w:sz="4" w:space="0" w:color="auto"/>
            </w:tcBorders>
            <w:shd w:val="clear" w:color="000000" w:fill="FFFFFF"/>
            <w:noWrap/>
            <w:vAlign w:val="bottom"/>
            <w:hideMark/>
          </w:tcPr>
          <w:p w14:paraId="13CCEC23"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1</w:t>
            </w:r>
          </w:p>
        </w:tc>
        <w:tc>
          <w:tcPr>
            <w:tcW w:w="987" w:type="dxa"/>
            <w:tcBorders>
              <w:top w:val="nil"/>
              <w:left w:val="nil"/>
              <w:bottom w:val="single" w:sz="4" w:space="0" w:color="auto"/>
              <w:right w:val="single" w:sz="4" w:space="0" w:color="auto"/>
            </w:tcBorders>
            <w:noWrap/>
            <w:vAlign w:val="bottom"/>
            <w:hideMark/>
          </w:tcPr>
          <w:p w14:paraId="378BC6EB"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1</w:t>
            </w:r>
          </w:p>
        </w:tc>
        <w:tc>
          <w:tcPr>
            <w:tcW w:w="1317" w:type="dxa"/>
            <w:tcBorders>
              <w:top w:val="nil"/>
              <w:left w:val="nil"/>
              <w:bottom w:val="single" w:sz="4" w:space="0" w:color="auto"/>
              <w:right w:val="single" w:sz="4" w:space="0" w:color="auto"/>
            </w:tcBorders>
            <w:noWrap/>
            <w:vAlign w:val="bottom"/>
            <w:hideMark/>
          </w:tcPr>
          <w:p w14:paraId="085AF4CC"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0.0%</w:t>
            </w:r>
          </w:p>
        </w:tc>
      </w:tr>
      <w:tr w:rsidR="00FE0BF1" w:rsidRPr="00FE0BF1" w14:paraId="378EFBF6" w14:textId="77777777" w:rsidTr="00657E09">
        <w:trPr>
          <w:trHeight w:val="310"/>
        </w:trPr>
        <w:tc>
          <w:tcPr>
            <w:tcW w:w="2161" w:type="dxa"/>
            <w:tcBorders>
              <w:top w:val="nil"/>
              <w:left w:val="single" w:sz="4" w:space="0" w:color="auto"/>
              <w:bottom w:val="single" w:sz="4" w:space="0" w:color="auto"/>
              <w:right w:val="single" w:sz="4" w:space="0" w:color="auto"/>
            </w:tcBorders>
            <w:vAlign w:val="bottom"/>
            <w:hideMark/>
          </w:tcPr>
          <w:p w14:paraId="2AC04D79"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East of Annesley</w:t>
            </w:r>
          </w:p>
        </w:tc>
        <w:tc>
          <w:tcPr>
            <w:tcW w:w="1439" w:type="dxa"/>
            <w:tcBorders>
              <w:top w:val="nil"/>
              <w:left w:val="nil"/>
              <w:bottom w:val="single" w:sz="4" w:space="0" w:color="auto"/>
              <w:right w:val="single" w:sz="4" w:space="0" w:color="auto"/>
            </w:tcBorders>
            <w:vAlign w:val="bottom"/>
            <w:hideMark/>
          </w:tcPr>
          <w:p w14:paraId="2E68DB79"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403" w:type="dxa"/>
            <w:tcBorders>
              <w:top w:val="nil"/>
              <w:left w:val="nil"/>
              <w:bottom w:val="single" w:sz="4" w:space="0" w:color="auto"/>
              <w:right w:val="single" w:sz="4" w:space="0" w:color="auto"/>
            </w:tcBorders>
            <w:vAlign w:val="bottom"/>
            <w:hideMark/>
          </w:tcPr>
          <w:p w14:paraId="07B8737F"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513" w:type="dxa"/>
            <w:tcBorders>
              <w:top w:val="nil"/>
              <w:left w:val="nil"/>
              <w:bottom w:val="single" w:sz="4" w:space="0" w:color="auto"/>
              <w:right w:val="single" w:sz="4" w:space="0" w:color="auto"/>
            </w:tcBorders>
            <w:vAlign w:val="bottom"/>
            <w:hideMark/>
          </w:tcPr>
          <w:p w14:paraId="4A338E00"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382" w:type="dxa"/>
            <w:tcBorders>
              <w:top w:val="nil"/>
              <w:left w:val="nil"/>
              <w:bottom w:val="single" w:sz="4" w:space="0" w:color="auto"/>
              <w:right w:val="single" w:sz="4" w:space="0" w:color="auto"/>
            </w:tcBorders>
            <w:shd w:val="clear" w:color="000000" w:fill="FFFFFF"/>
            <w:noWrap/>
            <w:vAlign w:val="bottom"/>
            <w:hideMark/>
          </w:tcPr>
          <w:p w14:paraId="36DB7F0D"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1</w:t>
            </w:r>
          </w:p>
        </w:tc>
        <w:tc>
          <w:tcPr>
            <w:tcW w:w="987" w:type="dxa"/>
            <w:tcBorders>
              <w:top w:val="nil"/>
              <w:left w:val="nil"/>
              <w:bottom w:val="single" w:sz="4" w:space="0" w:color="auto"/>
              <w:right w:val="single" w:sz="4" w:space="0" w:color="auto"/>
            </w:tcBorders>
            <w:noWrap/>
            <w:vAlign w:val="bottom"/>
            <w:hideMark/>
          </w:tcPr>
          <w:p w14:paraId="1DA5E287"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1</w:t>
            </w:r>
          </w:p>
        </w:tc>
        <w:tc>
          <w:tcPr>
            <w:tcW w:w="1317" w:type="dxa"/>
            <w:tcBorders>
              <w:top w:val="nil"/>
              <w:left w:val="nil"/>
              <w:bottom w:val="single" w:sz="4" w:space="0" w:color="auto"/>
              <w:right w:val="single" w:sz="4" w:space="0" w:color="auto"/>
            </w:tcBorders>
            <w:noWrap/>
            <w:vAlign w:val="bottom"/>
            <w:hideMark/>
          </w:tcPr>
          <w:p w14:paraId="7FF00F7C"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0.0%</w:t>
            </w:r>
          </w:p>
        </w:tc>
      </w:tr>
      <w:tr w:rsidR="00FE0BF1" w:rsidRPr="00FE0BF1" w14:paraId="4A07D4A5" w14:textId="77777777" w:rsidTr="00657E09">
        <w:trPr>
          <w:trHeight w:val="310"/>
        </w:trPr>
        <w:tc>
          <w:tcPr>
            <w:tcW w:w="2161" w:type="dxa"/>
            <w:tcBorders>
              <w:top w:val="nil"/>
              <w:left w:val="single" w:sz="4" w:space="0" w:color="auto"/>
              <w:bottom w:val="single" w:sz="4" w:space="0" w:color="auto"/>
              <w:right w:val="single" w:sz="4" w:space="0" w:color="auto"/>
            </w:tcBorders>
            <w:vAlign w:val="bottom"/>
            <w:hideMark/>
          </w:tcPr>
          <w:p w14:paraId="0364E636"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 xml:space="preserve">Jubilee </w:t>
            </w:r>
          </w:p>
        </w:tc>
        <w:tc>
          <w:tcPr>
            <w:tcW w:w="1439" w:type="dxa"/>
            <w:tcBorders>
              <w:top w:val="nil"/>
              <w:left w:val="nil"/>
              <w:bottom w:val="single" w:sz="4" w:space="0" w:color="auto"/>
              <w:right w:val="single" w:sz="4" w:space="0" w:color="auto"/>
            </w:tcBorders>
            <w:vAlign w:val="bottom"/>
            <w:hideMark/>
          </w:tcPr>
          <w:p w14:paraId="50E050ED"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403" w:type="dxa"/>
            <w:tcBorders>
              <w:top w:val="nil"/>
              <w:left w:val="nil"/>
              <w:bottom w:val="single" w:sz="4" w:space="0" w:color="auto"/>
              <w:right w:val="single" w:sz="4" w:space="0" w:color="auto"/>
            </w:tcBorders>
            <w:vAlign w:val="bottom"/>
            <w:hideMark/>
          </w:tcPr>
          <w:p w14:paraId="488D6D7D"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513" w:type="dxa"/>
            <w:tcBorders>
              <w:top w:val="nil"/>
              <w:left w:val="nil"/>
              <w:bottom w:val="single" w:sz="4" w:space="0" w:color="auto"/>
              <w:right w:val="single" w:sz="4" w:space="0" w:color="auto"/>
            </w:tcBorders>
            <w:vAlign w:val="bottom"/>
            <w:hideMark/>
          </w:tcPr>
          <w:p w14:paraId="74AE22A2"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382" w:type="dxa"/>
            <w:tcBorders>
              <w:top w:val="nil"/>
              <w:left w:val="nil"/>
              <w:bottom w:val="single" w:sz="4" w:space="0" w:color="auto"/>
              <w:right w:val="single" w:sz="4" w:space="0" w:color="auto"/>
            </w:tcBorders>
            <w:shd w:val="clear" w:color="000000" w:fill="FFFFFF"/>
            <w:noWrap/>
            <w:vAlign w:val="bottom"/>
            <w:hideMark/>
          </w:tcPr>
          <w:p w14:paraId="577392F7"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9</w:t>
            </w:r>
          </w:p>
        </w:tc>
        <w:tc>
          <w:tcPr>
            <w:tcW w:w="987" w:type="dxa"/>
            <w:tcBorders>
              <w:top w:val="nil"/>
              <w:left w:val="nil"/>
              <w:bottom w:val="single" w:sz="4" w:space="0" w:color="auto"/>
              <w:right w:val="single" w:sz="4" w:space="0" w:color="auto"/>
            </w:tcBorders>
            <w:noWrap/>
            <w:vAlign w:val="bottom"/>
            <w:hideMark/>
          </w:tcPr>
          <w:p w14:paraId="07DA0026"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9</w:t>
            </w:r>
          </w:p>
        </w:tc>
        <w:tc>
          <w:tcPr>
            <w:tcW w:w="1317" w:type="dxa"/>
            <w:tcBorders>
              <w:top w:val="nil"/>
              <w:left w:val="nil"/>
              <w:bottom w:val="single" w:sz="4" w:space="0" w:color="auto"/>
              <w:right w:val="single" w:sz="4" w:space="0" w:color="auto"/>
            </w:tcBorders>
            <w:noWrap/>
            <w:vAlign w:val="bottom"/>
            <w:hideMark/>
          </w:tcPr>
          <w:p w14:paraId="5144734B"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0.1%</w:t>
            </w:r>
          </w:p>
        </w:tc>
      </w:tr>
      <w:tr w:rsidR="00FE0BF1" w:rsidRPr="00FE0BF1" w14:paraId="024CE5BD" w14:textId="77777777" w:rsidTr="00657E09">
        <w:trPr>
          <w:trHeight w:val="310"/>
        </w:trPr>
        <w:tc>
          <w:tcPr>
            <w:tcW w:w="2161" w:type="dxa"/>
            <w:tcBorders>
              <w:top w:val="nil"/>
              <w:left w:val="single" w:sz="4" w:space="0" w:color="auto"/>
              <w:bottom w:val="single" w:sz="4" w:space="0" w:color="auto"/>
              <w:right w:val="single" w:sz="4" w:space="0" w:color="auto"/>
            </w:tcBorders>
            <w:vAlign w:val="bottom"/>
            <w:hideMark/>
          </w:tcPr>
          <w:p w14:paraId="297593F6"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 xml:space="preserve">Noth of Selston </w:t>
            </w:r>
          </w:p>
        </w:tc>
        <w:tc>
          <w:tcPr>
            <w:tcW w:w="1439" w:type="dxa"/>
            <w:tcBorders>
              <w:top w:val="nil"/>
              <w:left w:val="nil"/>
              <w:bottom w:val="single" w:sz="4" w:space="0" w:color="auto"/>
              <w:right w:val="single" w:sz="4" w:space="0" w:color="auto"/>
            </w:tcBorders>
            <w:vAlign w:val="bottom"/>
            <w:hideMark/>
          </w:tcPr>
          <w:p w14:paraId="1EBA0BED"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1</w:t>
            </w:r>
          </w:p>
        </w:tc>
        <w:tc>
          <w:tcPr>
            <w:tcW w:w="1403" w:type="dxa"/>
            <w:tcBorders>
              <w:top w:val="nil"/>
              <w:left w:val="nil"/>
              <w:bottom w:val="single" w:sz="4" w:space="0" w:color="auto"/>
              <w:right w:val="single" w:sz="4" w:space="0" w:color="auto"/>
            </w:tcBorders>
            <w:noWrap/>
            <w:vAlign w:val="bottom"/>
            <w:hideMark/>
          </w:tcPr>
          <w:p w14:paraId="6268487B"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513" w:type="dxa"/>
            <w:tcBorders>
              <w:top w:val="nil"/>
              <w:left w:val="nil"/>
              <w:bottom w:val="single" w:sz="4" w:space="0" w:color="auto"/>
              <w:right w:val="single" w:sz="4" w:space="0" w:color="auto"/>
            </w:tcBorders>
            <w:noWrap/>
            <w:vAlign w:val="bottom"/>
            <w:hideMark/>
          </w:tcPr>
          <w:p w14:paraId="55B1782A"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382" w:type="dxa"/>
            <w:tcBorders>
              <w:top w:val="nil"/>
              <w:left w:val="nil"/>
              <w:bottom w:val="single" w:sz="4" w:space="0" w:color="auto"/>
              <w:right w:val="single" w:sz="4" w:space="0" w:color="auto"/>
            </w:tcBorders>
            <w:shd w:val="clear" w:color="000000" w:fill="FFFFFF"/>
            <w:noWrap/>
            <w:vAlign w:val="bottom"/>
            <w:hideMark/>
          </w:tcPr>
          <w:p w14:paraId="145BC92A"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3</w:t>
            </w:r>
          </w:p>
        </w:tc>
        <w:tc>
          <w:tcPr>
            <w:tcW w:w="987" w:type="dxa"/>
            <w:tcBorders>
              <w:top w:val="nil"/>
              <w:left w:val="nil"/>
              <w:bottom w:val="single" w:sz="4" w:space="0" w:color="auto"/>
              <w:right w:val="single" w:sz="4" w:space="0" w:color="auto"/>
            </w:tcBorders>
            <w:noWrap/>
            <w:vAlign w:val="bottom"/>
            <w:hideMark/>
          </w:tcPr>
          <w:p w14:paraId="204104EF"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4</w:t>
            </w:r>
          </w:p>
        </w:tc>
        <w:tc>
          <w:tcPr>
            <w:tcW w:w="1317" w:type="dxa"/>
            <w:tcBorders>
              <w:top w:val="nil"/>
              <w:left w:val="nil"/>
              <w:bottom w:val="single" w:sz="4" w:space="0" w:color="auto"/>
              <w:right w:val="single" w:sz="4" w:space="0" w:color="auto"/>
            </w:tcBorders>
            <w:noWrap/>
            <w:vAlign w:val="bottom"/>
            <w:hideMark/>
          </w:tcPr>
          <w:p w14:paraId="796712E5"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0.0%</w:t>
            </w:r>
          </w:p>
        </w:tc>
      </w:tr>
      <w:tr w:rsidR="00FE0BF1" w:rsidRPr="00FE0BF1" w14:paraId="07A54EDB" w14:textId="77777777" w:rsidTr="00657E09">
        <w:trPr>
          <w:trHeight w:val="310"/>
        </w:trPr>
        <w:tc>
          <w:tcPr>
            <w:tcW w:w="2161" w:type="dxa"/>
            <w:tcBorders>
              <w:top w:val="nil"/>
              <w:left w:val="single" w:sz="4" w:space="0" w:color="auto"/>
              <w:bottom w:val="single" w:sz="4" w:space="0" w:color="auto"/>
              <w:right w:val="single" w:sz="4" w:space="0" w:color="auto"/>
            </w:tcBorders>
            <w:vAlign w:val="bottom"/>
            <w:hideMark/>
          </w:tcPr>
          <w:p w14:paraId="5B163197"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 xml:space="preserve">North of Jacksdale </w:t>
            </w:r>
          </w:p>
        </w:tc>
        <w:tc>
          <w:tcPr>
            <w:tcW w:w="1439" w:type="dxa"/>
            <w:tcBorders>
              <w:top w:val="nil"/>
              <w:left w:val="nil"/>
              <w:bottom w:val="single" w:sz="4" w:space="0" w:color="auto"/>
              <w:right w:val="single" w:sz="4" w:space="0" w:color="auto"/>
            </w:tcBorders>
            <w:vAlign w:val="bottom"/>
            <w:hideMark/>
          </w:tcPr>
          <w:p w14:paraId="7D7954F5"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403" w:type="dxa"/>
            <w:tcBorders>
              <w:top w:val="nil"/>
              <w:left w:val="nil"/>
              <w:bottom w:val="single" w:sz="4" w:space="0" w:color="auto"/>
              <w:right w:val="single" w:sz="4" w:space="0" w:color="auto"/>
            </w:tcBorders>
            <w:noWrap/>
            <w:vAlign w:val="bottom"/>
            <w:hideMark/>
          </w:tcPr>
          <w:p w14:paraId="32BD2973"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513" w:type="dxa"/>
            <w:tcBorders>
              <w:top w:val="nil"/>
              <w:left w:val="nil"/>
              <w:bottom w:val="single" w:sz="4" w:space="0" w:color="auto"/>
              <w:right w:val="single" w:sz="4" w:space="0" w:color="auto"/>
            </w:tcBorders>
            <w:noWrap/>
            <w:vAlign w:val="bottom"/>
            <w:hideMark/>
          </w:tcPr>
          <w:p w14:paraId="1DEBF0BA"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382" w:type="dxa"/>
            <w:tcBorders>
              <w:top w:val="nil"/>
              <w:left w:val="nil"/>
              <w:bottom w:val="single" w:sz="4" w:space="0" w:color="auto"/>
              <w:right w:val="single" w:sz="4" w:space="0" w:color="auto"/>
            </w:tcBorders>
            <w:shd w:val="clear" w:color="000000" w:fill="FFFFFF"/>
            <w:noWrap/>
            <w:vAlign w:val="bottom"/>
            <w:hideMark/>
          </w:tcPr>
          <w:p w14:paraId="7F7EE223"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987" w:type="dxa"/>
            <w:tcBorders>
              <w:top w:val="nil"/>
              <w:left w:val="nil"/>
              <w:bottom w:val="single" w:sz="4" w:space="0" w:color="auto"/>
              <w:right w:val="single" w:sz="4" w:space="0" w:color="auto"/>
            </w:tcBorders>
            <w:noWrap/>
            <w:vAlign w:val="bottom"/>
            <w:hideMark/>
          </w:tcPr>
          <w:p w14:paraId="41B65F5C"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317" w:type="dxa"/>
            <w:tcBorders>
              <w:top w:val="nil"/>
              <w:left w:val="nil"/>
              <w:bottom w:val="single" w:sz="4" w:space="0" w:color="auto"/>
              <w:right w:val="single" w:sz="4" w:space="0" w:color="auto"/>
            </w:tcBorders>
            <w:noWrap/>
            <w:vAlign w:val="bottom"/>
            <w:hideMark/>
          </w:tcPr>
          <w:p w14:paraId="0C753600"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0.0%</w:t>
            </w:r>
          </w:p>
        </w:tc>
      </w:tr>
      <w:tr w:rsidR="00FE0BF1" w:rsidRPr="00FE0BF1" w14:paraId="15E5E469" w14:textId="77777777" w:rsidTr="00657E09">
        <w:trPr>
          <w:trHeight w:val="310"/>
        </w:trPr>
        <w:tc>
          <w:tcPr>
            <w:tcW w:w="2161" w:type="dxa"/>
            <w:tcBorders>
              <w:top w:val="nil"/>
              <w:left w:val="single" w:sz="4" w:space="0" w:color="auto"/>
              <w:bottom w:val="single" w:sz="4" w:space="0" w:color="auto"/>
              <w:right w:val="single" w:sz="4" w:space="0" w:color="auto"/>
            </w:tcBorders>
            <w:vAlign w:val="bottom"/>
            <w:hideMark/>
          </w:tcPr>
          <w:p w14:paraId="6BCEEB84"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 xml:space="preserve">East of Jacksdale </w:t>
            </w:r>
          </w:p>
        </w:tc>
        <w:tc>
          <w:tcPr>
            <w:tcW w:w="1439" w:type="dxa"/>
            <w:tcBorders>
              <w:top w:val="nil"/>
              <w:left w:val="nil"/>
              <w:bottom w:val="single" w:sz="4" w:space="0" w:color="auto"/>
              <w:right w:val="single" w:sz="4" w:space="0" w:color="auto"/>
            </w:tcBorders>
            <w:vAlign w:val="bottom"/>
            <w:hideMark/>
          </w:tcPr>
          <w:p w14:paraId="7C2E1D7D"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2</w:t>
            </w:r>
          </w:p>
        </w:tc>
        <w:tc>
          <w:tcPr>
            <w:tcW w:w="1403" w:type="dxa"/>
            <w:tcBorders>
              <w:top w:val="nil"/>
              <w:left w:val="nil"/>
              <w:bottom w:val="single" w:sz="4" w:space="0" w:color="auto"/>
              <w:right w:val="single" w:sz="4" w:space="0" w:color="auto"/>
            </w:tcBorders>
            <w:noWrap/>
            <w:vAlign w:val="bottom"/>
            <w:hideMark/>
          </w:tcPr>
          <w:p w14:paraId="102E2C0A"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513" w:type="dxa"/>
            <w:tcBorders>
              <w:top w:val="nil"/>
              <w:left w:val="nil"/>
              <w:bottom w:val="single" w:sz="4" w:space="0" w:color="auto"/>
              <w:right w:val="single" w:sz="4" w:space="0" w:color="auto"/>
            </w:tcBorders>
            <w:noWrap/>
            <w:vAlign w:val="bottom"/>
            <w:hideMark/>
          </w:tcPr>
          <w:p w14:paraId="565C3733"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382" w:type="dxa"/>
            <w:tcBorders>
              <w:top w:val="nil"/>
              <w:left w:val="nil"/>
              <w:bottom w:val="single" w:sz="4" w:space="0" w:color="auto"/>
              <w:right w:val="single" w:sz="4" w:space="0" w:color="auto"/>
            </w:tcBorders>
            <w:shd w:val="clear" w:color="000000" w:fill="FFFFFF"/>
            <w:noWrap/>
            <w:vAlign w:val="bottom"/>
            <w:hideMark/>
          </w:tcPr>
          <w:p w14:paraId="2ABE88E1"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3</w:t>
            </w:r>
          </w:p>
        </w:tc>
        <w:tc>
          <w:tcPr>
            <w:tcW w:w="987" w:type="dxa"/>
            <w:tcBorders>
              <w:top w:val="nil"/>
              <w:left w:val="nil"/>
              <w:bottom w:val="single" w:sz="4" w:space="0" w:color="auto"/>
              <w:right w:val="single" w:sz="4" w:space="0" w:color="auto"/>
            </w:tcBorders>
            <w:noWrap/>
            <w:vAlign w:val="bottom"/>
            <w:hideMark/>
          </w:tcPr>
          <w:p w14:paraId="6A95E20C"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5</w:t>
            </w:r>
          </w:p>
        </w:tc>
        <w:tc>
          <w:tcPr>
            <w:tcW w:w="1317" w:type="dxa"/>
            <w:tcBorders>
              <w:top w:val="nil"/>
              <w:left w:val="nil"/>
              <w:bottom w:val="single" w:sz="4" w:space="0" w:color="auto"/>
              <w:right w:val="single" w:sz="4" w:space="0" w:color="auto"/>
            </w:tcBorders>
            <w:noWrap/>
            <w:vAlign w:val="bottom"/>
            <w:hideMark/>
          </w:tcPr>
          <w:p w14:paraId="130DDD0D"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0.1%</w:t>
            </w:r>
          </w:p>
        </w:tc>
      </w:tr>
      <w:tr w:rsidR="00FE0BF1" w:rsidRPr="00FE0BF1" w14:paraId="56F2F89C" w14:textId="77777777" w:rsidTr="00657E09">
        <w:trPr>
          <w:trHeight w:val="310"/>
        </w:trPr>
        <w:tc>
          <w:tcPr>
            <w:tcW w:w="2161" w:type="dxa"/>
            <w:tcBorders>
              <w:top w:val="nil"/>
              <w:left w:val="single" w:sz="4" w:space="0" w:color="auto"/>
              <w:bottom w:val="single" w:sz="4" w:space="0" w:color="auto"/>
              <w:right w:val="single" w:sz="4" w:space="0" w:color="auto"/>
            </w:tcBorders>
            <w:vAlign w:val="bottom"/>
            <w:hideMark/>
          </w:tcPr>
          <w:p w14:paraId="2F785BD3"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 xml:space="preserve">Bagthorpe </w:t>
            </w:r>
          </w:p>
        </w:tc>
        <w:tc>
          <w:tcPr>
            <w:tcW w:w="1439" w:type="dxa"/>
            <w:tcBorders>
              <w:top w:val="nil"/>
              <w:left w:val="nil"/>
              <w:bottom w:val="single" w:sz="4" w:space="0" w:color="auto"/>
              <w:right w:val="single" w:sz="4" w:space="0" w:color="auto"/>
            </w:tcBorders>
            <w:vAlign w:val="bottom"/>
            <w:hideMark/>
          </w:tcPr>
          <w:p w14:paraId="376772AA"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403" w:type="dxa"/>
            <w:tcBorders>
              <w:top w:val="nil"/>
              <w:left w:val="nil"/>
              <w:bottom w:val="single" w:sz="4" w:space="0" w:color="auto"/>
              <w:right w:val="single" w:sz="4" w:space="0" w:color="auto"/>
            </w:tcBorders>
            <w:noWrap/>
            <w:vAlign w:val="bottom"/>
            <w:hideMark/>
          </w:tcPr>
          <w:p w14:paraId="16A6A267"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513" w:type="dxa"/>
            <w:tcBorders>
              <w:top w:val="nil"/>
              <w:left w:val="nil"/>
              <w:bottom w:val="single" w:sz="4" w:space="0" w:color="auto"/>
              <w:right w:val="single" w:sz="4" w:space="0" w:color="auto"/>
            </w:tcBorders>
            <w:noWrap/>
            <w:vAlign w:val="bottom"/>
            <w:hideMark/>
          </w:tcPr>
          <w:p w14:paraId="11B0F734"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382" w:type="dxa"/>
            <w:tcBorders>
              <w:top w:val="nil"/>
              <w:left w:val="nil"/>
              <w:bottom w:val="single" w:sz="4" w:space="0" w:color="auto"/>
              <w:right w:val="single" w:sz="4" w:space="0" w:color="auto"/>
            </w:tcBorders>
            <w:shd w:val="clear" w:color="000000" w:fill="FFFFFF"/>
            <w:noWrap/>
            <w:vAlign w:val="bottom"/>
            <w:hideMark/>
          </w:tcPr>
          <w:p w14:paraId="4D0838B1"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1</w:t>
            </w:r>
          </w:p>
        </w:tc>
        <w:tc>
          <w:tcPr>
            <w:tcW w:w="987" w:type="dxa"/>
            <w:tcBorders>
              <w:top w:val="nil"/>
              <w:left w:val="nil"/>
              <w:bottom w:val="single" w:sz="4" w:space="0" w:color="auto"/>
              <w:right w:val="single" w:sz="4" w:space="0" w:color="auto"/>
            </w:tcBorders>
            <w:noWrap/>
            <w:vAlign w:val="bottom"/>
            <w:hideMark/>
          </w:tcPr>
          <w:p w14:paraId="4F73BDFC"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1</w:t>
            </w:r>
          </w:p>
        </w:tc>
        <w:tc>
          <w:tcPr>
            <w:tcW w:w="1317" w:type="dxa"/>
            <w:tcBorders>
              <w:top w:val="nil"/>
              <w:left w:val="nil"/>
              <w:bottom w:val="single" w:sz="4" w:space="0" w:color="auto"/>
              <w:right w:val="single" w:sz="4" w:space="0" w:color="auto"/>
            </w:tcBorders>
            <w:noWrap/>
            <w:vAlign w:val="bottom"/>
            <w:hideMark/>
          </w:tcPr>
          <w:p w14:paraId="264C44AA"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0.0%</w:t>
            </w:r>
          </w:p>
        </w:tc>
      </w:tr>
      <w:tr w:rsidR="00FE0BF1" w:rsidRPr="00FE0BF1" w14:paraId="4DE91C15" w14:textId="77777777" w:rsidTr="00657E09">
        <w:trPr>
          <w:trHeight w:val="310"/>
        </w:trPr>
        <w:tc>
          <w:tcPr>
            <w:tcW w:w="2161" w:type="dxa"/>
            <w:tcBorders>
              <w:top w:val="nil"/>
              <w:left w:val="single" w:sz="4" w:space="0" w:color="auto"/>
              <w:bottom w:val="single" w:sz="4" w:space="0" w:color="auto"/>
              <w:right w:val="single" w:sz="4" w:space="0" w:color="auto"/>
            </w:tcBorders>
            <w:vAlign w:val="bottom"/>
            <w:hideMark/>
          </w:tcPr>
          <w:p w14:paraId="4238641F" w14:textId="77777777" w:rsidR="00E5314E" w:rsidRPr="00FE02E6" w:rsidRDefault="00E5314E" w:rsidP="00AB5245">
            <w:pPr>
              <w:spacing w:after="0" w:line="240" w:lineRule="auto"/>
              <w:jc w:val="left"/>
              <w:rPr>
                <w:rFonts w:eastAsia="Times New Roman" w:cs="Arial"/>
                <w:color w:val="A02B93" w:themeColor="accent5"/>
                <w:sz w:val="22"/>
                <w:lang w:eastAsia="en-GB"/>
              </w:rPr>
            </w:pPr>
            <w:r w:rsidRPr="00FE02E6">
              <w:rPr>
                <w:rFonts w:eastAsia="Times New Roman" w:cs="Arial"/>
                <w:color w:val="A02B93" w:themeColor="accent5"/>
                <w:sz w:val="22"/>
                <w:lang w:eastAsia="en-GB"/>
              </w:rPr>
              <w:t xml:space="preserve">South of Underwood </w:t>
            </w:r>
          </w:p>
        </w:tc>
        <w:tc>
          <w:tcPr>
            <w:tcW w:w="1439" w:type="dxa"/>
            <w:tcBorders>
              <w:top w:val="nil"/>
              <w:left w:val="nil"/>
              <w:bottom w:val="single" w:sz="4" w:space="0" w:color="auto"/>
              <w:right w:val="single" w:sz="4" w:space="0" w:color="auto"/>
            </w:tcBorders>
            <w:vAlign w:val="bottom"/>
            <w:hideMark/>
          </w:tcPr>
          <w:p w14:paraId="0865BEE0"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3</w:t>
            </w:r>
          </w:p>
        </w:tc>
        <w:tc>
          <w:tcPr>
            <w:tcW w:w="1403" w:type="dxa"/>
            <w:tcBorders>
              <w:top w:val="nil"/>
              <w:left w:val="nil"/>
              <w:bottom w:val="single" w:sz="4" w:space="0" w:color="auto"/>
              <w:right w:val="single" w:sz="4" w:space="0" w:color="auto"/>
            </w:tcBorders>
            <w:noWrap/>
            <w:vAlign w:val="bottom"/>
            <w:hideMark/>
          </w:tcPr>
          <w:p w14:paraId="42584109"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513" w:type="dxa"/>
            <w:tcBorders>
              <w:top w:val="nil"/>
              <w:left w:val="nil"/>
              <w:bottom w:val="single" w:sz="4" w:space="0" w:color="auto"/>
              <w:right w:val="single" w:sz="4" w:space="0" w:color="auto"/>
            </w:tcBorders>
            <w:noWrap/>
            <w:vAlign w:val="bottom"/>
            <w:hideMark/>
          </w:tcPr>
          <w:p w14:paraId="4EC3CFCF"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w:t>
            </w:r>
          </w:p>
        </w:tc>
        <w:tc>
          <w:tcPr>
            <w:tcW w:w="1382" w:type="dxa"/>
            <w:tcBorders>
              <w:top w:val="nil"/>
              <w:left w:val="nil"/>
              <w:bottom w:val="single" w:sz="4" w:space="0" w:color="auto"/>
              <w:right w:val="single" w:sz="4" w:space="0" w:color="auto"/>
            </w:tcBorders>
            <w:shd w:val="clear" w:color="000000" w:fill="FFFFFF"/>
            <w:noWrap/>
            <w:vAlign w:val="bottom"/>
            <w:hideMark/>
          </w:tcPr>
          <w:p w14:paraId="4908145C"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4</w:t>
            </w:r>
          </w:p>
        </w:tc>
        <w:tc>
          <w:tcPr>
            <w:tcW w:w="987" w:type="dxa"/>
            <w:tcBorders>
              <w:top w:val="nil"/>
              <w:left w:val="nil"/>
              <w:bottom w:val="single" w:sz="4" w:space="0" w:color="auto"/>
              <w:right w:val="single" w:sz="4" w:space="0" w:color="auto"/>
            </w:tcBorders>
            <w:noWrap/>
            <w:vAlign w:val="bottom"/>
            <w:hideMark/>
          </w:tcPr>
          <w:p w14:paraId="5601F74B"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7</w:t>
            </w:r>
          </w:p>
        </w:tc>
        <w:tc>
          <w:tcPr>
            <w:tcW w:w="1317" w:type="dxa"/>
            <w:tcBorders>
              <w:top w:val="nil"/>
              <w:left w:val="nil"/>
              <w:bottom w:val="single" w:sz="4" w:space="0" w:color="auto"/>
              <w:right w:val="single" w:sz="4" w:space="0" w:color="auto"/>
            </w:tcBorders>
            <w:noWrap/>
            <w:vAlign w:val="bottom"/>
            <w:hideMark/>
          </w:tcPr>
          <w:p w14:paraId="2478EB57" w14:textId="77777777" w:rsidR="00E5314E" w:rsidRPr="00FE02E6" w:rsidRDefault="00E5314E" w:rsidP="00AB5245">
            <w:pPr>
              <w:spacing w:after="0" w:line="240" w:lineRule="auto"/>
              <w:jc w:val="right"/>
              <w:rPr>
                <w:rFonts w:eastAsia="Times New Roman" w:cs="Arial"/>
                <w:color w:val="A02B93" w:themeColor="accent5"/>
                <w:sz w:val="22"/>
                <w:lang w:eastAsia="en-GB"/>
              </w:rPr>
            </w:pPr>
            <w:r w:rsidRPr="00FE02E6">
              <w:rPr>
                <w:rFonts w:eastAsia="Times New Roman" w:cs="Arial"/>
                <w:color w:val="A02B93" w:themeColor="accent5"/>
                <w:sz w:val="22"/>
                <w:lang w:eastAsia="en-GB"/>
              </w:rPr>
              <w:t>0.1%</w:t>
            </w:r>
          </w:p>
        </w:tc>
      </w:tr>
      <w:tr w:rsidR="00FE0BF1" w:rsidRPr="00FE0BF1" w14:paraId="65274348" w14:textId="77777777" w:rsidTr="00657E09">
        <w:trPr>
          <w:trHeight w:val="203"/>
        </w:trPr>
        <w:tc>
          <w:tcPr>
            <w:tcW w:w="2161" w:type="dxa"/>
            <w:tcBorders>
              <w:top w:val="nil"/>
              <w:left w:val="single" w:sz="4" w:space="0" w:color="auto"/>
              <w:bottom w:val="single" w:sz="4" w:space="0" w:color="auto"/>
              <w:right w:val="single" w:sz="4" w:space="0" w:color="auto"/>
            </w:tcBorders>
            <w:vAlign w:val="bottom"/>
            <w:hideMark/>
          </w:tcPr>
          <w:p w14:paraId="02E7234E" w14:textId="77777777" w:rsidR="00E5314E" w:rsidRPr="00FE02E6" w:rsidRDefault="00E5314E" w:rsidP="00AB5245">
            <w:pPr>
              <w:spacing w:after="0" w:line="240" w:lineRule="auto"/>
              <w:jc w:val="lef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 xml:space="preserve">Total </w:t>
            </w:r>
          </w:p>
        </w:tc>
        <w:tc>
          <w:tcPr>
            <w:tcW w:w="1439" w:type="dxa"/>
            <w:tcBorders>
              <w:top w:val="nil"/>
              <w:left w:val="nil"/>
              <w:bottom w:val="single" w:sz="4" w:space="0" w:color="auto"/>
              <w:right w:val="single" w:sz="4" w:space="0" w:color="auto"/>
            </w:tcBorders>
            <w:vAlign w:val="bottom"/>
            <w:hideMark/>
          </w:tcPr>
          <w:p w14:paraId="78421A5C" w14:textId="77777777" w:rsidR="00E5314E" w:rsidRPr="00FE02E6" w:rsidRDefault="00E5314E" w:rsidP="00AB5245">
            <w:pPr>
              <w:spacing w:after="0" w:line="240" w:lineRule="auto"/>
              <w:jc w:val="righ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22</w:t>
            </w:r>
          </w:p>
        </w:tc>
        <w:tc>
          <w:tcPr>
            <w:tcW w:w="1403" w:type="dxa"/>
            <w:tcBorders>
              <w:top w:val="nil"/>
              <w:left w:val="nil"/>
              <w:bottom w:val="single" w:sz="4" w:space="0" w:color="auto"/>
              <w:right w:val="single" w:sz="4" w:space="0" w:color="auto"/>
            </w:tcBorders>
            <w:noWrap/>
            <w:vAlign w:val="bottom"/>
            <w:hideMark/>
          </w:tcPr>
          <w:p w14:paraId="1AFA3004" w14:textId="77777777" w:rsidR="00E5314E" w:rsidRPr="00FE02E6" w:rsidRDefault="00E5314E" w:rsidP="00AB5245">
            <w:pPr>
              <w:spacing w:after="0" w:line="240" w:lineRule="auto"/>
              <w:jc w:val="righ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0</w:t>
            </w:r>
          </w:p>
        </w:tc>
        <w:tc>
          <w:tcPr>
            <w:tcW w:w="1513" w:type="dxa"/>
            <w:tcBorders>
              <w:top w:val="nil"/>
              <w:left w:val="nil"/>
              <w:bottom w:val="single" w:sz="4" w:space="0" w:color="auto"/>
              <w:right w:val="single" w:sz="4" w:space="0" w:color="auto"/>
            </w:tcBorders>
            <w:noWrap/>
            <w:vAlign w:val="bottom"/>
            <w:hideMark/>
          </w:tcPr>
          <w:p w14:paraId="0B10C5EC" w14:textId="77777777" w:rsidR="00E5314E" w:rsidRPr="00FE02E6" w:rsidRDefault="00E5314E" w:rsidP="00AB5245">
            <w:pPr>
              <w:spacing w:after="0" w:line="240" w:lineRule="auto"/>
              <w:jc w:val="righ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90</w:t>
            </w:r>
          </w:p>
        </w:tc>
        <w:tc>
          <w:tcPr>
            <w:tcW w:w="1382" w:type="dxa"/>
            <w:tcBorders>
              <w:top w:val="nil"/>
              <w:left w:val="nil"/>
              <w:bottom w:val="single" w:sz="4" w:space="0" w:color="auto"/>
              <w:right w:val="single" w:sz="4" w:space="0" w:color="auto"/>
            </w:tcBorders>
            <w:noWrap/>
            <w:vAlign w:val="bottom"/>
            <w:hideMark/>
          </w:tcPr>
          <w:p w14:paraId="1D85B89E" w14:textId="77777777" w:rsidR="00E5314E" w:rsidRPr="00FE02E6" w:rsidRDefault="00E5314E" w:rsidP="00AB5245">
            <w:pPr>
              <w:spacing w:after="0" w:line="240" w:lineRule="auto"/>
              <w:jc w:val="righ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74</w:t>
            </w:r>
          </w:p>
        </w:tc>
        <w:tc>
          <w:tcPr>
            <w:tcW w:w="987" w:type="dxa"/>
            <w:tcBorders>
              <w:top w:val="nil"/>
              <w:left w:val="nil"/>
              <w:bottom w:val="single" w:sz="4" w:space="0" w:color="auto"/>
              <w:right w:val="single" w:sz="4" w:space="0" w:color="auto"/>
            </w:tcBorders>
            <w:noWrap/>
            <w:vAlign w:val="bottom"/>
            <w:hideMark/>
          </w:tcPr>
          <w:p w14:paraId="2E083C9F" w14:textId="77777777" w:rsidR="00E5314E" w:rsidRPr="00FE02E6" w:rsidRDefault="00E5314E" w:rsidP="00AB5245">
            <w:pPr>
              <w:spacing w:after="0" w:line="240" w:lineRule="auto"/>
              <w:jc w:val="righ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186</w:t>
            </w:r>
          </w:p>
        </w:tc>
        <w:tc>
          <w:tcPr>
            <w:tcW w:w="1317" w:type="dxa"/>
            <w:tcBorders>
              <w:top w:val="nil"/>
              <w:left w:val="nil"/>
              <w:bottom w:val="single" w:sz="4" w:space="0" w:color="auto"/>
              <w:right w:val="single" w:sz="4" w:space="0" w:color="auto"/>
            </w:tcBorders>
            <w:noWrap/>
            <w:vAlign w:val="bottom"/>
            <w:hideMark/>
          </w:tcPr>
          <w:p w14:paraId="0D0A7495" w14:textId="77777777" w:rsidR="00E5314E" w:rsidRPr="00FE02E6" w:rsidRDefault="00E5314E" w:rsidP="00AB5245">
            <w:pPr>
              <w:spacing w:after="0" w:line="240" w:lineRule="auto"/>
              <w:jc w:val="righ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2%</w:t>
            </w:r>
          </w:p>
        </w:tc>
      </w:tr>
      <w:tr w:rsidR="00FE0BF1" w:rsidRPr="00FE0BF1" w14:paraId="759374F2" w14:textId="77777777" w:rsidTr="00657E09">
        <w:trPr>
          <w:trHeight w:val="433"/>
        </w:trPr>
        <w:tc>
          <w:tcPr>
            <w:tcW w:w="2161" w:type="dxa"/>
            <w:tcBorders>
              <w:top w:val="nil"/>
              <w:left w:val="single" w:sz="4" w:space="0" w:color="auto"/>
              <w:bottom w:val="single" w:sz="4" w:space="0" w:color="auto"/>
              <w:right w:val="single" w:sz="4" w:space="0" w:color="auto"/>
            </w:tcBorders>
            <w:vAlign w:val="bottom"/>
            <w:hideMark/>
          </w:tcPr>
          <w:p w14:paraId="2E4D021D" w14:textId="77777777" w:rsidR="00E5314E" w:rsidRPr="00FE02E6" w:rsidRDefault="00E5314E" w:rsidP="00AB5245">
            <w:pPr>
              <w:spacing w:after="0" w:line="240" w:lineRule="auto"/>
              <w:jc w:val="left"/>
              <w:rPr>
                <w:rFonts w:eastAsia="Times New Roman" w:cs="Arial"/>
                <w:b/>
                <w:bCs/>
                <w:color w:val="A02B93" w:themeColor="accent5"/>
                <w:sz w:val="22"/>
                <w:lang w:eastAsia="en-GB"/>
              </w:rPr>
            </w:pPr>
            <w:r w:rsidRPr="00FE0BF1">
              <w:rPr>
                <w:rFonts w:eastAsia="Times New Roman" w:cs="Arial"/>
                <w:b/>
                <w:bCs/>
                <w:color w:val="A02B93" w:themeColor="accent5"/>
                <w:sz w:val="22"/>
                <w:lang w:eastAsia="en-GB"/>
              </w:rPr>
              <w:t xml:space="preserve">DISTRICT </w:t>
            </w:r>
            <w:r w:rsidRPr="00FE02E6">
              <w:rPr>
                <w:rFonts w:eastAsia="Times New Roman" w:cs="Arial"/>
                <w:b/>
                <w:bCs/>
                <w:color w:val="A02B93" w:themeColor="accent5"/>
                <w:sz w:val="22"/>
                <w:lang w:eastAsia="en-GB"/>
              </w:rPr>
              <w:t>TOTAL</w:t>
            </w:r>
          </w:p>
        </w:tc>
        <w:tc>
          <w:tcPr>
            <w:tcW w:w="1439" w:type="dxa"/>
            <w:tcBorders>
              <w:top w:val="nil"/>
              <w:left w:val="nil"/>
              <w:bottom w:val="single" w:sz="4" w:space="0" w:color="auto"/>
              <w:right w:val="single" w:sz="4" w:space="0" w:color="auto"/>
            </w:tcBorders>
            <w:noWrap/>
            <w:vAlign w:val="bottom"/>
            <w:hideMark/>
          </w:tcPr>
          <w:p w14:paraId="5B56EE05" w14:textId="77777777" w:rsidR="00E5314E" w:rsidRPr="00FE02E6" w:rsidRDefault="00E5314E" w:rsidP="00AB5245">
            <w:pPr>
              <w:spacing w:after="0" w:line="240" w:lineRule="auto"/>
              <w:jc w:val="righ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907</w:t>
            </w:r>
          </w:p>
        </w:tc>
        <w:tc>
          <w:tcPr>
            <w:tcW w:w="1403" w:type="dxa"/>
            <w:tcBorders>
              <w:top w:val="nil"/>
              <w:left w:val="nil"/>
              <w:bottom w:val="single" w:sz="4" w:space="0" w:color="auto"/>
              <w:right w:val="single" w:sz="4" w:space="0" w:color="auto"/>
            </w:tcBorders>
            <w:noWrap/>
            <w:vAlign w:val="bottom"/>
            <w:hideMark/>
          </w:tcPr>
          <w:p w14:paraId="30F62DB4" w14:textId="77777777" w:rsidR="00E5314E" w:rsidRPr="00FE02E6" w:rsidRDefault="00E5314E" w:rsidP="00AB5245">
            <w:pPr>
              <w:spacing w:after="0" w:line="240" w:lineRule="auto"/>
              <w:jc w:val="righ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3801</w:t>
            </w:r>
          </w:p>
        </w:tc>
        <w:tc>
          <w:tcPr>
            <w:tcW w:w="1513" w:type="dxa"/>
            <w:tcBorders>
              <w:top w:val="nil"/>
              <w:left w:val="nil"/>
              <w:bottom w:val="single" w:sz="4" w:space="0" w:color="auto"/>
              <w:right w:val="single" w:sz="4" w:space="0" w:color="auto"/>
            </w:tcBorders>
            <w:noWrap/>
            <w:vAlign w:val="bottom"/>
            <w:hideMark/>
          </w:tcPr>
          <w:p w14:paraId="6F441DD7" w14:textId="77777777" w:rsidR="00E5314E" w:rsidRPr="00FE02E6" w:rsidRDefault="00E5314E" w:rsidP="00AB5245">
            <w:pPr>
              <w:spacing w:after="0" w:line="240" w:lineRule="auto"/>
              <w:jc w:val="righ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834</w:t>
            </w:r>
          </w:p>
        </w:tc>
        <w:tc>
          <w:tcPr>
            <w:tcW w:w="1382" w:type="dxa"/>
            <w:tcBorders>
              <w:top w:val="nil"/>
              <w:left w:val="nil"/>
              <w:bottom w:val="single" w:sz="4" w:space="0" w:color="auto"/>
              <w:right w:val="single" w:sz="4" w:space="0" w:color="auto"/>
            </w:tcBorders>
            <w:noWrap/>
            <w:vAlign w:val="bottom"/>
            <w:hideMark/>
          </w:tcPr>
          <w:p w14:paraId="2339BDF0" w14:textId="77777777" w:rsidR="00E5314E" w:rsidRPr="00FE02E6" w:rsidRDefault="00E5314E" w:rsidP="00AB5245">
            <w:pPr>
              <w:spacing w:after="0" w:line="240" w:lineRule="auto"/>
              <w:jc w:val="righ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2580</w:t>
            </w:r>
          </w:p>
        </w:tc>
        <w:tc>
          <w:tcPr>
            <w:tcW w:w="987" w:type="dxa"/>
            <w:tcBorders>
              <w:top w:val="nil"/>
              <w:left w:val="nil"/>
              <w:bottom w:val="single" w:sz="4" w:space="0" w:color="auto"/>
              <w:right w:val="single" w:sz="4" w:space="0" w:color="auto"/>
            </w:tcBorders>
            <w:noWrap/>
            <w:vAlign w:val="bottom"/>
            <w:hideMark/>
          </w:tcPr>
          <w:p w14:paraId="79386B56" w14:textId="77777777" w:rsidR="00E5314E" w:rsidRPr="00FE02E6" w:rsidRDefault="00E5314E" w:rsidP="00AB5245">
            <w:pPr>
              <w:spacing w:after="0" w:line="240" w:lineRule="auto"/>
              <w:jc w:val="righ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8122</w:t>
            </w:r>
          </w:p>
        </w:tc>
        <w:tc>
          <w:tcPr>
            <w:tcW w:w="1317" w:type="dxa"/>
            <w:tcBorders>
              <w:top w:val="nil"/>
              <w:left w:val="nil"/>
              <w:bottom w:val="single" w:sz="4" w:space="0" w:color="auto"/>
              <w:right w:val="single" w:sz="4" w:space="0" w:color="auto"/>
            </w:tcBorders>
            <w:noWrap/>
            <w:vAlign w:val="bottom"/>
            <w:hideMark/>
          </w:tcPr>
          <w:p w14:paraId="047AC991" w14:textId="77777777" w:rsidR="00E5314E" w:rsidRPr="00FE02E6" w:rsidRDefault="00E5314E" w:rsidP="00AB5245">
            <w:pPr>
              <w:spacing w:after="0" w:line="240" w:lineRule="auto"/>
              <w:jc w:val="right"/>
              <w:rPr>
                <w:rFonts w:eastAsia="Times New Roman" w:cs="Arial"/>
                <w:b/>
                <w:bCs/>
                <w:color w:val="A02B93" w:themeColor="accent5"/>
                <w:sz w:val="22"/>
                <w:lang w:eastAsia="en-GB"/>
              </w:rPr>
            </w:pPr>
            <w:r w:rsidRPr="00FE02E6">
              <w:rPr>
                <w:rFonts w:eastAsia="Times New Roman" w:cs="Arial"/>
                <w:b/>
                <w:bCs/>
                <w:color w:val="A02B93" w:themeColor="accent5"/>
                <w:sz w:val="22"/>
                <w:lang w:eastAsia="en-GB"/>
              </w:rPr>
              <w:t>100%</w:t>
            </w:r>
          </w:p>
        </w:tc>
      </w:tr>
    </w:tbl>
    <w:p w14:paraId="5D2C7F41" w14:textId="6292A7DA" w:rsidR="00BC3D24" w:rsidRPr="00FE0BF1" w:rsidRDefault="00E5314E" w:rsidP="00B71B1A">
      <w:pPr>
        <w:spacing w:after="0" w:line="240" w:lineRule="auto"/>
        <w:ind w:left="720" w:hanging="720"/>
        <w:jc w:val="left"/>
        <w:rPr>
          <w:color w:val="A02B93" w:themeColor="accent5"/>
          <w:sz w:val="22"/>
        </w:rPr>
      </w:pPr>
      <w:r w:rsidRPr="00FE0BF1">
        <w:rPr>
          <w:color w:val="A02B93" w:themeColor="accent5"/>
          <w:sz w:val="22"/>
          <w:vertAlign w:val="superscript"/>
        </w:rPr>
        <w:t>#</w:t>
      </w:r>
      <w:r w:rsidRPr="00FE0BF1">
        <w:rPr>
          <w:color w:val="A02B93" w:themeColor="accent5"/>
          <w:sz w:val="22"/>
        </w:rPr>
        <w:t xml:space="preserve"> Including delivery from 3 large sites where s106 was signed post June 2025</w:t>
      </w:r>
      <w:r w:rsidR="00BC3D24" w:rsidRPr="00FE0BF1">
        <w:rPr>
          <w:color w:val="A02B93" w:themeColor="accent5"/>
          <w:sz w:val="22"/>
        </w:rPr>
        <w:br w:type="page"/>
      </w:r>
    </w:p>
    <w:p w14:paraId="7ADBF000" w14:textId="77777777" w:rsidR="00BC3D24" w:rsidRPr="00FE0BF1" w:rsidRDefault="00BC3D24" w:rsidP="00220732">
      <w:pPr>
        <w:pStyle w:val="Heading2"/>
        <w:rPr>
          <w:color w:val="A02B93" w:themeColor="accent5"/>
        </w:rPr>
      </w:pPr>
      <w:r w:rsidRPr="00FE0BF1">
        <w:rPr>
          <w:color w:val="A02B93" w:themeColor="accent5"/>
        </w:rPr>
        <w:lastRenderedPageBreak/>
        <w:t>Appendix B</w:t>
      </w:r>
    </w:p>
    <w:p w14:paraId="6764535D" w14:textId="77777777" w:rsidR="00BC3D24" w:rsidRPr="00FE0BF1" w:rsidRDefault="00BC3D24" w:rsidP="00BC3D24">
      <w:pPr>
        <w:spacing w:after="0" w:line="240" w:lineRule="auto"/>
        <w:jc w:val="left"/>
        <w:rPr>
          <w:b/>
          <w:bCs/>
          <w:color w:val="A02B93" w:themeColor="accent5"/>
        </w:rPr>
      </w:pPr>
    </w:p>
    <w:p w14:paraId="0F1AD49B" w14:textId="0DF36201" w:rsidR="00BC3D24" w:rsidRPr="00FE0BF1" w:rsidRDefault="00BC3D24" w:rsidP="00BC3D24">
      <w:pPr>
        <w:spacing w:after="0" w:line="240" w:lineRule="auto"/>
        <w:jc w:val="left"/>
        <w:rPr>
          <w:b/>
          <w:bCs/>
          <w:color w:val="A02B93" w:themeColor="accent5"/>
        </w:rPr>
      </w:pPr>
      <w:r w:rsidRPr="00FE0BF1">
        <w:rPr>
          <w:b/>
          <w:bCs/>
          <w:color w:val="A02B93" w:themeColor="accent5"/>
        </w:rPr>
        <w:t>Distribution of New Housing by Geographical Area</w:t>
      </w:r>
      <w:r w:rsidR="00657E09">
        <w:rPr>
          <w:b/>
          <w:bCs/>
          <w:color w:val="A02B93" w:themeColor="accent5"/>
        </w:rPr>
        <w:t xml:space="preserve"> (Dwellings):</w:t>
      </w:r>
      <w:r w:rsidRPr="00FE0BF1">
        <w:rPr>
          <w:b/>
          <w:bCs/>
          <w:color w:val="A02B93" w:themeColor="accent5"/>
        </w:rPr>
        <w:t xml:space="preserve"> October 2025 Update</w:t>
      </w:r>
    </w:p>
    <w:p w14:paraId="74DC4238" w14:textId="77777777" w:rsidR="00BC3D24" w:rsidRPr="00FE0BF1" w:rsidRDefault="00BC3D24" w:rsidP="00BC3D24">
      <w:pPr>
        <w:spacing w:after="0" w:line="240" w:lineRule="auto"/>
        <w:jc w:val="left"/>
        <w:rPr>
          <w:b/>
          <w:bCs/>
          <w:color w:val="A02B93" w:themeColor="accent5"/>
        </w:rPr>
      </w:pPr>
    </w:p>
    <w:tbl>
      <w:tblPr>
        <w:tblW w:w="9995" w:type="dxa"/>
        <w:tblLayout w:type="fixed"/>
        <w:tblLook w:val="04A0" w:firstRow="1" w:lastRow="0" w:firstColumn="1" w:lastColumn="0" w:noHBand="0" w:noVBand="1"/>
      </w:tblPr>
      <w:tblGrid>
        <w:gridCol w:w="1622"/>
        <w:gridCol w:w="1549"/>
        <w:gridCol w:w="1476"/>
        <w:gridCol w:w="1390"/>
        <w:gridCol w:w="1096"/>
        <w:gridCol w:w="1509"/>
        <w:gridCol w:w="1353"/>
      </w:tblGrid>
      <w:tr w:rsidR="00FE0BF1" w:rsidRPr="00FE0BF1" w14:paraId="10252EE6" w14:textId="77777777" w:rsidTr="00AB5245">
        <w:trPr>
          <w:trHeight w:val="1550"/>
        </w:trPr>
        <w:tc>
          <w:tcPr>
            <w:tcW w:w="1622" w:type="dxa"/>
            <w:tcBorders>
              <w:top w:val="single" w:sz="4" w:space="0" w:color="auto"/>
              <w:left w:val="single" w:sz="4" w:space="0" w:color="auto"/>
              <w:bottom w:val="single" w:sz="4" w:space="0" w:color="auto"/>
              <w:right w:val="single" w:sz="4" w:space="0" w:color="auto"/>
            </w:tcBorders>
            <w:shd w:val="clear" w:color="000000" w:fill="D9D9D9"/>
            <w:hideMark/>
          </w:tcPr>
          <w:p w14:paraId="135AF8AE" w14:textId="77777777" w:rsidR="00BC3D24" w:rsidRPr="00BC3D24" w:rsidRDefault="00BC3D24" w:rsidP="00AB5245">
            <w:pPr>
              <w:spacing w:after="0" w:line="240" w:lineRule="auto"/>
              <w:jc w:val="center"/>
              <w:rPr>
                <w:rFonts w:eastAsia="Times New Roman" w:cs="Arial"/>
                <w:b/>
                <w:bCs/>
                <w:color w:val="A02B93" w:themeColor="accent5"/>
                <w:sz w:val="22"/>
                <w:lang w:eastAsia="en-GB"/>
              </w:rPr>
            </w:pPr>
            <w:r w:rsidRPr="00BC3D24">
              <w:rPr>
                <w:rFonts w:eastAsia="Times New Roman" w:cs="Arial"/>
                <w:b/>
                <w:bCs/>
                <w:color w:val="A02B93" w:themeColor="accent5"/>
                <w:sz w:val="22"/>
                <w:lang w:eastAsia="en-GB"/>
              </w:rPr>
              <w:t>Geographical Area</w:t>
            </w:r>
          </w:p>
        </w:tc>
        <w:tc>
          <w:tcPr>
            <w:tcW w:w="1549" w:type="dxa"/>
            <w:tcBorders>
              <w:top w:val="single" w:sz="4" w:space="0" w:color="auto"/>
              <w:left w:val="nil"/>
              <w:bottom w:val="single" w:sz="4" w:space="0" w:color="auto"/>
              <w:right w:val="single" w:sz="4" w:space="0" w:color="auto"/>
            </w:tcBorders>
            <w:shd w:val="clear" w:color="000000" w:fill="D9D9D9"/>
            <w:hideMark/>
          </w:tcPr>
          <w:p w14:paraId="2402F1CC" w14:textId="77777777" w:rsidR="00BC3D24" w:rsidRPr="00BC3D24" w:rsidRDefault="00BC3D24" w:rsidP="00AB5245">
            <w:pPr>
              <w:spacing w:after="0" w:line="240" w:lineRule="auto"/>
              <w:jc w:val="center"/>
              <w:rPr>
                <w:rFonts w:eastAsia="Times New Roman" w:cs="Arial"/>
                <w:b/>
                <w:bCs/>
                <w:color w:val="A02B93" w:themeColor="accent5"/>
                <w:sz w:val="22"/>
                <w:lang w:eastAsia="en-GB"/>
              </w:rPr>
            </w:pPr>
            <w:r w:rsidRPr="00BC3D24">
              <w:rPr>
                <w:rFonts w:eastAsia="Times New Roman" w:cs="Arial"/>
                <w:b/>
                <w:bCs/>
                <w:color w:val="A02B93" w:themeColor="accent5"/>
                <w:sz w:val="22"/>
                <w:lang w:eastAsia="en-GB"/>
              </w:rPr>
              <w:t>Net Housing Completions 2023-2025</w:t>
            </w:r>
          </w:p>
        </w:tc>
        <w:tc>
          <w:tcPr>
            <w:tcW w:w="1476" w:type="dxa"/>
            <w:tcBorders>
              <w:top w:val="single" w:sz="4" w:space="0" w:color="auto"/>
              <w:left w:val="nil"/>
              <w:bottom w:val="single" w:sz="4" w:space="0" w:color="auto"/>
              <w:right w:val="single" w:sz="4" w:space="0" w:color="auto"/>
            </w:tcBorders>
            <w:shd w:val="clear" w:color="000000" w:fill="D9D9D9"/>
            <w:hideMark/>
          </w:tcPr>
          <w:p w14:paraId="2002D6A2" w14:textId="77777777" w:rsidR="00BC3D24" w:rsidRPr="00BC3D24" w:rsidRDefault="00BC3D24" w:rsidP="00AB5245">
            <w:pPr>
              <w:spacing w:after="0" w:line="240" w:lineRule="auto"/>
              <w:jc w:val="center"/>
              <w:rPr>
                <w:rFonts w:eastAsia="Times New Roman" w:cs="Arial"/>
                <w:b/>
                <w:bCs/>
                <w:color w:val="A02B93" w:themeColor="accent5"/>
                <w:sz w:val="22"/>
                <w:lang w:eastAsia="en-GB"/>
              </w:rPr>
            </w:pPr>
            <w:r w:rsidRPr="00BC3D24">
              <w:rPr>
                <w:rFonts w:eastAsia="Times New Roman" w:cs="Arial"/>
                <w:b/>
                <w:bCs/>
                <w:color w:val="A02B93" w:themeColor="accent5"/>
                <w:sz w:val="22"/>
                <w:lang w:eastAsia="en-GB"/>
              </w:rPr>
              <w:t>Housing Sites with planning permission*</w:t>
            </w:r>
          </w:p>
        </w:tc>
        <w:tc>
          <w:tcPr>
            <w:tcW w:w="1390" w:type="dxa"/>
            <w:tcBorders>
              <w:top w:val="single" w:sz="4" w:space="0" w:color="auto"/>
              <w:left w:val="nil"/>
              <w:bottom w:val="single" w:sz="4" w:space="0" w:color="auto"/>
              <w:right w:val="single" w:sz="4" w:space="0" w:color="auto"/>
            </w:tcBorders>
            <w:shd w:val="clear" w:color="000000" w:fill="D9D9D9"/>
            <w:hideMark/>
          </w:tcPr>
          <w:p w14:paraId="27F0CF2F" w14:textId="77777777" w:rsidR="00BC3D24" w:rsidRPr="00BC3D24" w:rsidRDefault="00BC3D24" w:rsidP="00AB5245">
            <w:pPr>
              <w:spacing w:after="0" w:line="240" w:lineRule="auto"/>
              <w:jc w:val="center"/>
              <w:rPr>
                <w:rFonts w:eastAsia="Times New Roman" w:cs="Arial"/>
                <w:b/>
                <w:bCs/>
                <w:color w:val="A02B93" w:themeColor="accent5"/>
                <w:sz w:val="22"/>
                <w:lang w:eastAsia="en-GB"/>
              </w:rPr>
            </w:pPr>
            <w:r w:rsidRPr="00BC3D24">
              <w:rPr>
                <w:rFonts w:eastAsia="Times New Roman" w:cs="Arial"/>
                <w:b/>
                <w:bCs/>
                <w:color w:val="A02B93" w:themeColor="accent5"/>
                <w:sz w:val="22"/>
                <w:lang w:eastAsia="en-GB"/>
              </w:rPr>
              <w:t xml:space="preserve">Housing Sites without planning permission </w:t>
            </w:r>
          </w:p>
        </w:tc>
        <w:tc>
          <w:tcPr>
            <w:tcW w:w="1096" w:type="dxa"/>
            <w:tcBorders>
              <w:top w:val="single" w:sz="4" w:space="0" w:color="auto"/>
              <w:left w:val="nil"/>
              <w:bottom w:val="single" w:sz="4" w:space="0" w:color="auto"/>
              <w:right w:val="single" w:sz="4" w:space="0" w:color="auto"/>
            </w:tcBorders>
            <w:shd w:val="clear" w:color="000000" w:fill="D9D9D9"/>
            <w:hideMark/>
          </w:tcPr>
          <w:p w14:paraId="5C48F8BE" w14:textId="77777777" w:rsidR="00BC3D24" w:rsidRPr="00BC3D24" w:rsidRDefault="00BC3D24" w:rsidP="00AB5245">
            <w:pPr>
              <w:spacing w:after="0" w:line="240" w:lineRule="auto"/>
              <w:jc w:val="center"/>
              <w:rPr>
                <w:rFonts w:eastAsia="Times New Roman" w:cs="Arial"/>
                <w:b/>
                <w:bCs/>
                <w:color w:val="A02B93" w:themeColor="accent5"/>
                <w:sz w:val="22"/>
                <w:lang w:eastAsia="en-GB"/>
              </w:rPr>
            </w:pPr>
            <w:r w:rsidRPr="00BC3D24">
              <w:rPr>
                <w:rFonts w:eastAsia="Times New Roman" w:cs="Arial"/>
                <w:b/>
                <w:bCs/>
                <w:color w:val="A02B93" w:themeColor="accent5"/>
                <w:sz w:val="22"/>
                <w:lang w:eastAsia="en-GB"/>
              </w:rPr>
              <w:t xml:space="preserve">All Housing Sites </w:t>
            </w:r>
          </w:p>
        </w:tc>
        <w:tc>
          <w:tcPr>
            <w:tcW w:w="1509" w:type="dxa"/>
            <w:tcBorders>
              <w:top w:val="single" w:sz="4" w:space="0" w:color="auto"/>
              <w:left w:val="nil"/>
              <w:bottom w:val="single" w:sz="4" w:space="0" w:color="auto"/>
              <w:right w:val="single" w:sz="4" w:space="0" w:color="auto"/>
            </w:tcBorders>
            <w:shd w:val="clear" w:color="000000" w:fill="D9D9D9"/>
            <w:hideMark/>
          </w:tcPr>
          <w:p w14:paraId="767B737A" w14:textId="77777777" w:rsidR="00BC3D24" w:rsidRPr="00BC3D24" w:rsidRDefault="00BC3D24" w:rsidP="00AB5245">
            <w:pPr>
              <w:spacing w:after="0" w:line="240" w:lineRule="auto"/>
              <w:jc w:val="center"/>
              <w:rPr>
                <w:rFonts w:eastAsia="Times New Roman" w:cs="Arial"/>
                <w:b/>
                <w:bCs/>
                <w:color w:val="A02B93" w:themeColor="accent5"/>
                <w:sz w:val="22"/>
                <w:lang w:eastAsia="en-GB"/>
              </w:rPr>
            </w:pPr>
            <w:r w:rsidRPr="00BC3D24">
              <w:rPr>
                <w:rFonts w:eastAsia="Times New Roman" w:cs="Arial"/>
                <w:b/>
                <w:bCs/>
                <w:color w:val="A02B93" w:themeColor="accent5"/>
                <w:sz w:val="22"/>
                <w:lang w:eastAsia="en-GB"/>
              </w:rPr>
              <w:t>Distribution by Area</w:t>
            </w:r>
          </w:p>
        </w:tc>
        <w:tc>
          <w:tcPr>
            <w:tcW w:w="1353" w:type="dxa"/>
            <w:tcBorders>
              <w:top w:val="single" w:sz="4" w:space="0" w:color="auto"/>
              <w:left w:val="nil"/>
              <w:bottom w:val="single" w:sz="4" w:space="0" w:color="auto"/>
              <w:right w:val="single" w:sz="4" w:space="0" w:color="auto"/>
            </w:tcBorders>
            <w:shd w:val="clear" w:color="000000" w:fill="D9D9D9"/>
            <w:hideMark/>
          </w:tcPr>
          <w:p w14:paraId="790A0315" w14:textId="77777777" w:rsidR="00BC3D24" w:rsidRPr="00BC3D24" w:rsidRDefault="00BC3D24" w:rsidP="00AB5245">
            <w:pPr>
              <w:spacing w:after="0" w:line="240" w:lineRule="auto"/>
              <w:jc w:val="center"/>
              <w:rPr>
                <w:rFonts w:eastAsia="Times New Roman" w:cs="Arial"/>
                <w:b/>
                <w:bCs/>
                <w:color w:val="A02B93" w:themeColor="accent5"/>
                <w:sz w:val="22"/>
                <w:lang w:eastAsia="en-GB"/>
              </w:rPr>
            </w:pPr>
            <w:r w:rsidRPr="00BC3D24">
              <w:rPr>
                <w:rFonts w:eastAsia="Times New Roman" w:cs="Arial"/>
                <w:b/>
                <w:bCs/>
                <w:color w:val="A02B93" w:themeColor="accent5"/>
                <w:sz w:val="22"/>
                <w:lang w:eastAsia="en-GB"/>
              </w:rPr>
              <w:t>% Existing Population  (2021 Census)</w:t>
            </w:r>
          </w:p>
        </w:tc>
      </w:tr>
      <w:tr w:rsidR="00FE0BF1" w:rsidRPr="00FE0BF1" w14:paraId="6C95370F" w14:textId="77777777" w:rsidTr="00AB5245">
        <w:trPr>
          <w:trHeight w:val="890"/>
        </w:trPr>
        <w:tc>
          <w:tcPr>
            <w:tcW w:w="1622" w:type="dxa"/>
            <w:tcBorders>
              <w:top w:val="nil"/>
              <w:left w:val="single" w:sz="4" w:space="0" w:color="auto"/>
              <w:bottom w:val="single" w:sz="4" w:space="0" w:color="auto"/>
              <w:right w:val="single" w:sz="4" w:space="0" w:color="auto"/>
            </w:tcBorders>
            <w:vAlign w:val="bottom"/>
            <w:hideMark/>
          </w:tcPr>
          <w:p w14:paraId="7D84E12D" w14:textId="77777777" w:rsidR="00BC3D24" w:rsidRPr="00BC3D24" w:rsidRDefault="00BC3D24" w:rsidP="00AB5245">
            <w:pPr>
              <w:spacing w:after="0" w:line="240" w:lineRule="auto"/>
              <w:jc w:val="left"/>
              <w:rPr>
                <w:rFonts w:eastAsia="Times New Roman" w:cs="Arial"/>
                <w:color w:val="A02B93" w:themeColor="accent5"/>
                <w:sz w:val="22"/>
                <w:lang w:eastAsia="en-GB"/>
              </w:rPr>
            </w:pPr>
            <w:r w:rsidRPr="00BC3D24">
              <w:rPr>
                <w:rFonts w:eastAsia="Times New Roman" w:cs="Arial"/>
                <w:color w:val="A02B93" w:themeColor="accent5"/>
                <w:sz w:val="22"/>
                <w:lang w:eastAsia="en-GB"/>
              </w:rPr>
              <w:t>Northern Towns Area</w:t>
            </w:r>
          </w:p>
        </w:tc>
        <w:tc>
          <w:tcPr>
            <w:tcW w:w="1549" w:type="dxa"/>
            <w:tcBorders>
              <w:top w:val="nil"/>
              <w:left w:val="nil"/>
              <w:bottom w:val="single" w:sz="4" w:space="0" w:color="auto"/>
              <w:right w:val="single" w:sz="4" w:space="0" w:color="auto"/>
            </w:tcBorders>
            <w:vAlign w:val="bottom"/>
            <w:hideMark/>
          </w:tcPr>
          <w:p w14:paraId="6DBF8151" w14:textId="77777777" w:rsidR="00BC3D24" w:rsidRPr="00BC3D24" w:rsidRDefault="00BC3D24" w:rsidP="00AB5245">
            <w:pPr>
              <w:spacing w:after="0" w:line="240" w:lineRule="auto"/>
              <w:jc w:val="right"/>
              <w:rPr>
                <w:rFonts w:eastAsia="Times New Roman" w:cs="Arial"/>
                <w:color w:val="A02B93" w:themeColor="accent5"/>
                <w:sz w:val="22"/>
                <w:lang w:eastAsia="en-GB"/>
              </w:rPr>
            </w:pPr>
            <w:r w:rsidRPr="00BC3D24">
              <w:rPr>
                <w:rFonts w:eastAsia="Times New Roman" w:cs="Arial"/>
                <w:color w:val="A02B93" w:themeColor="accent5"/>
                <w:sz w:val="22"/>
                <w:lang w:eastAsia="en-GB"/>
              </w:rPr>
              <w:t>590</w:t>
            </w:r>
          </w:p>
        </w:tc>
        <w:tc>
          <w:tcPr>
            <w:tcW w:w="1476" w:type="dxa"/>
            <w:tcBorders>
              <w:top w:val="nil"/>
              <w:left w:val="nil"/>
              <w:bottom w:val="single" w:sz="4" w:space="0" w:color="auto"/>
              <w:right w:val="single" w:sz="4" w:space="0" w:color="auto"/>
            </w:tcBorders>
            <w:vAlign w:val="bottom"/>
            <w:hideMark/>
          </w:tcPr>
          <w:p w14:paraId="66D0F7EF" w14:textId="77777777" w:rsidR="00BC3D24" w:rsidRPr="00BC3D24" w:rsidRDefault="00BC3D24" w:rsidP="00AB5245">
            <w:pPr>
              <w:spacing w:after="0" w:line="240" w:lineRule="auto"/>
              <w:jc w:val="right"/>
              <w:rPr>
                <w:rFonts w:eastAsia="Times New Roman" w:cs="Arial"/>
                <w:color w:val="A02B93" w:themeColor="accent5"/>
                <w:sz w:val="22"/>
                <w:lang w:eastAsia="en-GB"/>
              </w:rPr>
            </w:pPr>
            <w:r w:rsidRPr="00BC3D24">
              <w:rPr>
                <w:rFonts w:eastAsia="Times New Roman" w:cs="Arial"/>
                <w:color w:val="A02B93" w:themeColor="accent5"/>
                <w:sz w:val="22"/>
                <w:lang w:eastAsia="en-GB"/>
              </w:rPr>
              <w:t>2249</w:t>
            </w:r>
          </w:p>
        </w:tc>
        <w:tc>
          <w:tcPr>
            <w:tcW w:w="1390" w:type="dxa"/>
            <w:tcBorders>
              <w:top w:val="nil"/>
              <w:left w:val="nil"/>
              <w:bottom w:val="single" w:sz="4" w:space="0" w:color="auto"/>
              <w:right w:val="single" w:sz="4" w:space="0" w:color="auto"/>
            </w:tcBorders>
            <w:vAlign w:val="bottom"/>
            <w:hideMark/>
          </w:tcPr>
          <w:p w14:paraId="79C4813C" w14:textId="77777777" w:rsidR="00BC3D24" w:rsidRPr="00BC3D24" w:rsidRDefault="00BC3D24" w:rsidP="00AB5245">
            <w:pPr>
              <w:spacing w:after="0" w:line="240" w:lineRule="auto"/>
              <w:jc w:val="right"/>
              <w:rPr>
                <w:rFonts w:eastAsia="Times New Roman" w:cs="Arial"/>
                <w:color w:val="A02B93" w:themeColor="accent5"/>
                <w:sz w:val="22"/>
                <w:lang w:eastAsia="en-GB"/>
              </w:rPr>
            </w:pPr>
            <w:r w:rsidRPr="00BC3D24">
              <w:rPr>
                <w:rFonts w:eastAsia="Times New Roman" w:cs="Arial"/>
                <w:color w:val="A02B93" w:themeColor="accent5"/>
                <w:sz w:val="22"/>
                <w:lang w:eastAsia="en-GB"/>
              </w:rPr>
              <w:t>2242</w:t>
            </w:r>
          </w:p>
        </w:tc>
        <w:tc>
          <w:tcPr>
            <w:tcW w:w="1096" w:type="dxa"/>
            <w:tcBorders>
              <w:top w:val="nil"/>
              <w:left w:val="nil"/>
              <w:bottom w:val="single" w:sz="4" w:space="0" w:color="auto"/>
              <w:right w:val="single" w:sz="4" w:space="0" w:color="auto"/>
            </w:tcBorders>
            <w:vAlign w:val="bottom"/>
            <w:hideMark/>
          </w:tcPr>
          <w:p w14:paraId="029ECCD8" w14:textId="77777777" w:rsidR="00BC3D24" w:rsidRPr="00BC3D24" w:rsidRDefault="00BC3D24" w:rsidP="00AB5245">
            <w:pPr>
              <w:spacing w:after="0" w:line="240" w:lineRule="auto"/>
              <w:jc w:val="right"/>
              <w:rPr>
                <w:rFonts w:eastAsia="Times New Roman" w:cs="Arial"/>
                <w:color w:val="A02B93" w:themeColor="accent5"/>
                <w:sz w:val="22"/>
                <w:lang w:eastAsia="en-GB"/>
              </w:rPr>
            </w:pPr>
            <w:r w:rsidRPr="00BC3D24">
              <w:rPr>
                <w:rFonts w:eastAsia="Times New Roman" w:cs="Arial"/>
                <w:color w:val="A02B93" w:themeColor="accent5"/>
                <w:sz w:val="22"/>
                <w:lang w:eastAsia="en-GB"/>
              </w:rPr>
              <w:t>5081</w:t>
            </w:r>
          </w:p>
        </w:tc>
        <w:tc>
          <w:tcPr>
            <w:tcW w:w="1509" w:type="dxa"/>
            <w:tcBorders>
              <w:top w:val="nil"/>
              <w:left w:val="nil"/>
              <w:bottom w:val="single" w:sz="4" w:space="0" w:color="auto"/>
              <w:right w:val="single" w:sz="4" w:space="0" w:color="auto"/>
            </w:tcBorders>
            <w:vAlign w:val="bottom"/>
            <w:hideMark/>
          </w:tcPr>
          <w:p w14:paraId="21251944" w14:textId="77777777" w:rsidR="00BC3D24" w:rsidRPr="00BC3D24" w:rsidRDefault="00BC3D24" w:rsidP="00AB5245">
            <w:pPr>
              <w:spacing w:after="0" w:line="240" w:lineRule="auto"/>
              <w:jc w:val="right"/>
              <w:rPr>
                <w:rFonts w:eastAsia="Times New Roman" w:cs="Arial"/>
                <w:color w:val="A02B93" w:themeColor="accent5"/>
                <w:sz w:val="22"/>
                <w:lang w:eastAsia="en-GB"/>
              </w:rPr>
            </w:pPr>
            <w:r w:rsidRPr="00BC3D24">
              <w:rPr>
                <w:rFonts w:eastAsia="Times New Roman" w:cs="Arial"/>
                <w:color w:val="A02B93" w:themeColor="accent5"/>
                <w:sz w:val="22"/>
                <w:lang w:eastAsia="en-GB"/>
              </w:rPr>
              <w:t>70.3%</w:t>
            </w:r>
          </w:p>
        </w:tc>
        <w:tc>
          <w:tcPr>
            <w:tcW w:w="1353" w:type="dxa"/>
            <w:tcBorders>
              <w:top w:val="nil"/>
              <w:left w:val="nil"/>
              <w:bottom w:val="single" w:sz="4" w:space="0" w:color="auto"/>
              <w:right w:val="single" w:sz="4" w:space="0" w:color="auto"/>
            </w:tcBorders>
            <w:vAlign w:val="bottom"/>
            <w:hideMark/>
          </w:tcPr>
          <w:p w14:paraId="27471249" w14:textId="77777777" w:rsidR="00BC3D24" w:rsidRPr="00BC3D24" w:rsidRDefault="00BC3D24" w:rsidP="00AB5245">
            <w:pPr>
              <w:spacing w:after="0" w:line="240" w:lineRule="auto"/>
              <w:jc w:val="right"/>
              <w:rPr>
                <w:rFonts w:eastAsia="Times New Roman" w:cs="Arial"/>
                <w:color w:val="A02B93" w:themeColor="accent5"/>
                <w:sz w:val="22"/>
                <w:lang w:eastAsia="en-GB"/>
              </w:rPr>
            </w:pPr>
            <w:r w:rsidRPr="00BC3D24">
              <w:rPr>
                <w:rFonts w:eastAsia="Times New Roman" w:cs="Arial"/>
                <w:color w:val="A02B93" w:themeColor="accent5"/>
                <w:sz w:val="22"/>
                <w:lang w:eastAsia="en-GB"/>
              </w:rPr>
              <w:t>61.1%</w:t>
            </w:r>
          </w:p>
        </w:tc>
      </w:tr>
      <w:tr w:rsidR="00FE0BF1" w:rsidRPr="00FE0BF1" w14:paraId="7B0EFFFC" w14:textId="77777777" w:rsidTr="00AB5245">
        <w:trPr>
          <w:trHeight w:val="1240"/>
        </w:trPr>
        <w:tc>
          <w:tcPr>
            <w:tcW w:w="1622" w:type="dxa"/>
            <w:tcBorders>
              <w:top w:val="nil"/>
              <w:left w:val="single" w:sz="4" w:space="0" w:color="auto"/>
              <w:bottom w:val="single" w:sz="4" w:space="0" w:color="auto"/>
              <w:right w:val="single" w:sz="4" w:space="0" w:color="auto"/>
            </w:tcBorders>
            <w:vAlign w:val="bottom"/>
            <w:hideMark/>
          </w:tcPr>
          <w:p w14:paraId="336E31A9" w14:textId="77777777" w:rsidR="00BC3D24" w:rsidRPr="00BC3D24" w:rsidRDefault="00BC3D24" w:rsidP="00AB5245">
            <w:pPr>
              <w:spacing w:after="0" w:line="240" w:lineRule="auto"/>
              <w:jc w:val="left"/>
              <w:rPr>
                <w:rFonts w:eastAsia="Times New Roman" w:cs="Arial"/>
                <w:color w:val="A02B93" w:themeColor="accent5"/>
                <w:sz w:val="22"/>
                <w:lang w:eastAsia="en-GB"/>
              </w:rPr>
            </w:pPr>
            <w:r w:rsidRPr="00BC3D24">
              <w:rPr>
                <w:rFonts w:eastAsia="Times New Roman" w:cs="Arial"/>
                <w:color w:val="A02B93" w:themeColor="accent5"/>
                <w:sz w:val="22"/>
                <w:lang w:eastAsia="en-GB"/>
              </w:rPr>
              <w:t>Rural Villages west of M1(green belt Constrained)</w:t>
            </w:r>
          </w:p>
        </w:tc>
        <w:tc>
          <w:tcPr>
            <w:tcW w:w="1549" w:type="dxa"/>
            <w:tcBorders>
              <w:top w:val="nil"/>
              <w:left w:val="nil"/>
              <w:bottom w:val="single" w:sz="4" w:space="0" w:color="auto"/>
              <w:right w:val="single" w:sz="4" w:space="0" w:color="auto"/>
            </w:tcBorders>
            <w:vAlign w:val="bottom"/>
            <w:hideMark/>
          </w:tcPr>
          <w:p w14:paraId="2573F9F0" w14:textId="77777777" w:rsidR="00BC3D24" w:rsidRPr="00BC3D24" w:rsidRDefault="00BC3D24" w:rsidP="00AB5245">
            <w:pPr>
              <w:spacing w:after="0" w:line="240" w:lineRule="auto"/>
              <w:jc w:val="right"/>
              <w:rPr>
                <w:rFonts w:eastAsia="Times New Roman" w:cs="Arial"/>
                <w:color w:val="A02B93" w:themeColor="accent5"/>
                <w:sz w:val="22"/>
                <w:lang w:eastAsia="en-GB"/>
              </w:rPr>
            </w:pPr>
            <w:r w:rsidRPr="00BC3D24">
              <w:rPr>
                <w:rFonts w:eastAsia="Times New Roman" w:cs="Arial"/>
                <w:color w:val="A02B93" w:themeColor="accent5"/>
                <w:sz w:val="22"/>
                <w:lang w:eastAsia="en-GB"/>
              </w:rPr>
              <w:t>11</w:t>
            </w:r>
          </w:p>
        </w:tc>
        <w:tc>
          <w:tcPr>
            <w:tcW w:w="1476" w:type="dxa"/>
            <w:tcBorders>
              <w:top w:val="nil"/>
              <w:left w:val="nil"/>
              <w:bottom w:val="single" w:sz="4" w:space="0" w:color="auto"/>
              <w:right w:val="single" w:sz="4" w:space="0" w:color="auto"/>
            </w:tcBorders>
            <w:vAlign w:val="bottom"/>
            <w:hideMark/>
          </w:tcPr>
          <w:p w14:paraId="6D4821FC" w14:textId="77777777" w:rsidR="00BC3D24" w:rsidRPr="00BC3D24" w:rsidRDefault="00BC3D24" w:rsidP="00AB5245">
            <w:pPr>
              <w:spacing w:after="0" w:line="240" w:lineRule="auto"/>
              <w:jc w:val="right"/>
              <w:rPr>
                <w:rFonts w:eastAsia="Times New Roman" w:cs="Arial"/>
                <w:color w:val="A02B93" w:themeColor="accent5"/>
                <w:sz w:val="22"/>
                <w:lang w:eastAsia="en-GB"/>
              </w:rPr>
            </w:pPr>
            <w:r w:rsidRPr="00BC3D24">
              <w:rPr>
                <w:rFonts w:eastAsia="Times New Roman" w:cs="Arial"/>
                <w:color w:val="A02B93" w:themeColor="accent5"/>
                <w:sz w:val="22"/>
                <w:lang w:eastAsia="en-GB"/>
              </w:rPr>
              <w:t>129</w:t>
            </w:r>
          </w:p>
        </w:tc>
        <w:tc>
          <w:tcPr>
            <w:tcW w:w="1390" w:type="dxa"/>
            <w:tcBorders>
              <w:top w:val="nil"/>
              <w:left w:val="nil"/>
              <w:bottom w:val="single" w:sz="4" w:space="0" w:color="auto"/>
              <w:right w:val="single" w:sz="4" w:space="0" w:color="auto"/>
            </w:tcBorders>
            <w:vAlign w:val="bottom"/>
            <w:hideMark/>
          </w:tcPr>
          <w:p w14:paraId="034CAA6D" w14:textId="77777777" w:rsidR="00BC3D24" w:rsidRPr="00BC3D24" w:rsidRDefault="00BC3D24" w:rsidP="00AB5245">
            <w:pPr>
              <w:spacing w:after="0" w:line="240" w:lineRule="auto"/>
              <w:jc w:val="right"/>
              <w:rPr>
                <w:rFonts w:eastAsia="Times New Roman" w:cs="Arial"/>
                <w:color w:val="A02B93" w:themeColor="accent5"/>
                <w:sz w:val="22"/>
                <w:lang w:eastAsia="en-GB"/>
              </w:rPr>
            </w:pPr>
            <w:r w:rsidRPr="00BC3D24">
              <w:rPr>
                <w:rFonts w:eastAsia="Times New Roman" w:cs="Arial"/>
                <w:color w:val="A02B93" w:themeColor="accent5"/>
                <w:sz w:val="22"/>
                <w:lang w:eastAsia="en-GB"/>
              </w:rPr>
              <w:t>476</w:t>
            </w:r>
          </w:p>
        </w:tc>
        <w:tc>
          <w:tcPr>
            <w:tcW w:w="1096" w:type="dxa"/>
            <w:tcBorders>
              <w:top w:val="nil"/>
              <w:left w:val="nil"/>
              <w:bottom w:val="single" w:sz="4" w:space="0" w:color="auto"/>
              <w:right w:val="single" w:sz="4" w:space="0" w:color="auto"/>
            </w:tcBorders>
            <w:vAlign w:val="bottom"/>
            <w:hideMark/>
          </w:tcPr>
          <w:p w14:paraId="2F32BE0A" w14:textId="77777777" w:rsidR="00BC3D24" w:rsidRPr="00BC3D24" w:rsidRDefault="00BC3D24" w:rsidP="00AB5245">
            <w:pPr>
              <w:spacing w:after="0" w:line="240" w:lineRule="auto"/>
              <w:jc w:val="right"/>
              <w:rPr>
                <w:rFonts w:eastAsia="Times New Roman" w:cs="Arial"/>
                <w:color w:val="A02B93" w:themeColor="accent5"/>
                <w:sz w:val="22"/>
                <w:lang w:eastAsia="en-GB"/>
              </w:rPr>
            </w:pPr>
            <w:r w:rsidRPr="00BC3D24">
              <w:rPr>
                <w:rFonts w:eastAsia="Times New Roman" w:cs="Arial"/>
                <w:color w:val="A02B93" w:themeColor="accent5"/>
                <w:sz w:val="22"/>
                <w:lang w:eastAsia="en-GB"/>
              </w:rPr>
              <w:t>616</w:t>
            </w:r>
          </w:p>
        </w:tc>
        <w:tc>
          <w:tcPr>
            <w:tcW w:w="1509" w:type="dxa"/>
            <w:tcBorders>
              <w:top w:val="nil"/>
              <w:left w:val="nil"/>
              <w:bottom w:val="single" w:sz="4" w:space="0" w:color="auto"/>
              <w:right w:val="single" w:sz="4" w:space="0" w:color="auto"/>
            </w:tcBorders>
            <w:vAlign w:val="bottom"/>
            <w:hideMark/>
          </w:tcPr>
          <w:p w14:paraId="48B14014" w14:textId="77777777" w:rsidR="00BC3D24" w:rsidRPr="00BC3D24" w:rsidRDefault="00BC3D24" w:rsidP="00AB5245">
            <w:pPr>
              <w:spacing w:after="0" w:line="240" w:lineRule="auto"/>
              <w:jc w:val="right"/>
              <w:rPr>
                <w:rFonts w:eastAsia="Times New Roman" w:cs="Arial"/>
                <w:color w:val="A02B93" w:themeColor="accent5"/>
                <w:sz w:val="22"/>
                <w:lang w:eastAsia="en-GB"/>
              </w:rPr>
            </w:pPr>
            <w:r w:rsidRPr="00BC3D24">
              <w:rPr>
                <w:rFonts w:eastAsia="Times New Roman" w:cs="Arial"/>
                <w:color w:val="A02B93" w:themeColor="accent5"/>
                <w:sz w:val="22"/>
                <w:lang w:eastAsia="en-GB"/>
              </w:rPr>
              <w:t>8.5%</w:t>
            </w:r>
          </w:p>
        </w:tc>
        <w:tc>
          <w:tcPr>
            <w:tcW w:w="1353" w:type="dxa"/>
            <w:tcBorders>
              <w:top w:val="nil"/>
              <w:left w:val="nil"/>
              <w:bottom w:val="single" w:sz="4" w:space="0" w:color="auto"/>
              <w:right w:val="single" w:sz="4" w:space="0" w:color="auto"/>
            </w:tcBorders>
            <w:vAlign w:val="bottom"/>
            <w:hideMark/>
          </w:tcPr>
          <w:p w14:paraId="52F423D2" w14:textId="77777777" w:rsidR="00BC3D24" w:rsidRPr="00BC3D24" w:rsidRDefault="00BC3D24" w:rsidP="00AB5245">
            <w:pPr>
              <w:spacing w:after="0" w:line="240" w:lineRule="auto"/>
              <w:jc w:val="right"/>
              <w:rPr>
                <w:rFonts w:eastAsia="Times New Roman" w:cs="Arial"/>
                <w:color w:val="A02B93" w:themeColor="accent5"/>
                <w:sz w:val="22"/>
                <w:lang w:eastAsia="en-GB"/>
              </w:rPr>
            </w:pPr>
            <w:r w:rsidRPr="00BC3D24">
              <w:rPr>
                <w:rFonts w:eastAsia="Times New Roman" w:cs="Arial"/>
                <w:color w:val="A02B93" w:themeColor="accent5"/>
                <w:sz w:val="22"/>
                <w:lang w:eastAsia="en-GB"/>
              </w:rPr>
              <w:t>10.1%</w:t>
            </w:r>
          </w:p>
        </w:tc>
      </w:tr>
      <w:tr w:rsidR="00FE0BF1" w:rsidRPr="00FE0BF1" w14:paraId="21F4D5C9" w14:textId="77777777" w:rsidTr="00AB5245">
        <w:trPr>
          <w:trHeight w:val="960"/>
        </w:trPr>
        <w:tc>
          <w:tcPr>
            <w:tcW w:w="1622" w:type="dxa"/>
            <w:tcBorders>
              <w:top w:val="nil"/>
              <w:left w:val="single" w:sz="4" w:space="0" w:color="auto"/>
              <w:bottom w:val="single" w:sz="4" w:space="0" w:color="auto"/>
              <w:right w:val="single" w:sz="4" w:space="0" w:color="auto"/>
            </w:tcBorders>
            <w:vAlign w:val="bottom"/>
            <w:hideMark/>
          </w:tcPr>
          <w:p w14:paraId="097F5871" w14:textId="77777777" w:rsidR="00BC3D24" w:rsidRPr="00BC3D24" w:rsidRDefault="00BC3D24" w:rsidP="00AB5245">
            <w:pPr>
              <w:spacing w:after="0" w:line="240" w:lineRule="auto"/>
              <w:jc w:val="left"/>
              <w:rPr>
                <w:rFonts w:eastAsia="Times New Roman" w:cs="Arial"/>
                <w:color w:val="A02B93" w:themeColor="accent5"/>
                <w:sz w:val="22"/>
                <w:lang w:eastAsia="en-GB"/>
              </w:rPr>
            </w:pPr>
            <w:r w:rsidRPr="00BC3D24">
              <w:rPr>
                <w:rFonts w:eastAsia="Times New Roman" w:cs="Arial"/>
                <w:color w:val="A02B93" w:themeColor="accent5"/>
                <w:sz w:val="22"/>
                <w:lang w:eastAsia="en-GB"/>
              </w:rPr>
              <w:t>Southern  Town Area (green belt constrained)</w:t>
            </w:r>
          </w:p>
        </w:tc>
        <w:tc>
          <w:tcPr>
            <w:tcW w:w="1549" w:type="dxa"/>
            <w:tcBorders>
              <w:top w:val="nil"/>
              <w:left w:val="nil"/>
              <w:bottom w:val="single" w:sz="4" w:space="0" w:color="auto"/>
              <w:right w:val="single" w:sz="4" w:space="0" w:color="auto"/>
            </w:tcBorders>
            <w:vAlign w:val="bottom"/>
            <w:hideMark/>
          </w:tcPr>
          <w:p w14:paraId="75709E1F" w14:textId="77777777" w:rsidR="00BC3D24" w:rsidRPr="00BC3D24" w:rsidRDefault="00BC3D24" w:rsidP="00AB5245">
            <w:pPr>
              <w:spacing w:after="0" w:line="240" w:lineRule="auto"/>
              <w:jc w:val="right"/>
              <w:rPr>
                <w:rFonts w:eastAsia="Times New Roman" w:cs="Arial"/>
                <w:color w:val="A02B93" w:themeColor="accent5"/>
                <w:sz w:val="22"/>
                <w:lang w:eastAsia="en-GB"/>
              </w:rPr>
            </w:pPr>
            <w:r w:rsidRPr="00BC3D24">
              <w:rPr>
                <w:rFonts w:eastAsia="Times New Roman" w:cs="Arial"/>
                <w:color w:val="A02B93" w:themeColor="accent5"/>
                <w:sz w:val="22"/>
                <w:lang w:eastAsia="en-GB"/>
              </w:rPr>
              <w:t>306</w:t>
            </w:r>
          </w:p>
        </w:tc>
        <w:tc>
          <w:tcPr>
            <w:tcW w:w="1476" w:type="dxa"/>
            <w:tcBorders>
              <w:top w:val="nil"/>
              <w:left w:val="nil"/>
              <w:bottom w:val="single" w:sz="4" w:space="0" w:color="auto"/>
              <w:right w:val="single" w:sz="4" w:space="0" w:color="auto"/>
            </w:tcBorders>
            <w:vAlign w:val="bottom"/>
            <w:hideMark/>
          </w:tcPr>
          <w:p w14:paraId="7C6EF881" w14:textId="77777777" w:rsidR="00BC3D24" w:rsidRPr="00BC3D24" w:rsidRDefault="00BC3D24" w:rsidP="00AB5245">
            <w:pPr>
              <w:spacing w:after="0" w:line="240" w:lineRule="auto"/>
              <w:jc w:val="right"/>
              <w:rPr>
                <w:rFonts w:eastAsia="Times New Roman" w:cs="Arial"/>
                <w:color w:val="A02B93" w:themeColor="accent5"/>
                <w:sz w:val="22"/>
                <w:lang w:eastAsia="en-GB"/>
              </w:rPr>
            </w:pPr>
            <w:r w:rsidRPr="00BC3D24">
              <w:rPr>
                <w:rFonts w:eastAsia="Times New Roman" w:cs="Arial"/>
                <w:color w:val="A02B93" w:themeColor="accent5"/>
                <w:sz w:val="22"/>
                <w:lang w:eastAsia="en-GB"/>
              </w:rPr>
              <w:t>461</w:t>
            </w:r>
          </w:p>
        </w:tc>
        <w:tc>
          <w:tcPr>
            <w:tcW w:w="1390" w:type="dxa"/>
            <w:tcBorders>
              <w:top w:val="nil"/>
              <w:left w:val="nil"/>
              <w:bottom w:val="single" w:sz="4" w:space="0" w:color="auto"/>
              <w:right w:val="single" w:sz="4" w:space="0" w:color="auto"/>
            </w:tcBorders>
            <w:vAlign w:val="bottom"/>
            <w:hideMark/>
          </w:tcPr>
          <w:p w14:paraId="484066C5" w14:textId="77777777" w:rsidR="00BC3D24" w:rsidRPr="00BC3D24" w:rsidRDefault="00BC3D24" w:rsidP="00AB5245">
            <w:pPr>
              <w:spacing w:after="0" w:line="240" w:lineRule="auto"/>
              <w:jc w:val="right"/>
              <w:rPr>
                <w:rFonts w:eastAsia="Times New Roman" w:cs="Arial"/>
                <w:color w:val="A02B93" w:themeColor="accent5"/>
                <w:sz w:val="22"/>
                <w:lang w:eastAsia="en-GB"/>
              </w:rPr>
            </w:pPr>
            <w:r w:rsidRPr="00BC3D24">
              <w:rPr>
                <w:rFonts w:eastAsia="Times New Roman" w:cs="Arial"/>
                <w:color w:val="A02B93" w:themeColor="accent5"/>
                <w:sz w:val="22"/>
                <w:lang w:eastAsia="en-GB"/>
              </w:rPr>
              <w:t>759</w:t>
            </w:r>
          </w:p>
        </w:tc>
        <w:tc>
          <w:tcPr>
            <w:tcW w:w="1096" w:type="dxa"/>
            <w:tcBorders>
              <w:top w:val="nil"/>
              <w:left w:val="nil"/>
              <w:bottom w:val="single" w:sz="4" w:space="0" w:color="auto"/>
              <w:right w:val="single" w:sz="4" w:space="0" w:color="auto"/>
            </w:tcBorders>
            <w:vAlign w:val="bottom"/>
            <w:hideMark/>
          </w:tcPr>
          <w:p w14:paraId="69B381C9" w14:textId="77777777" w:rsidR="00BC3D24" w:rsidRPr="00BC3D24" w:rsidRDefault="00BC3D24" w:rsidP="00AB5245">
            <w:pPr>
              <w:spacing w:after="0" w:line="240" w:lineRule="auto"/>
              <w:jc w:val="right"/>
              <w:rPr>
                <w:rFonts w:eastAsia="Times New Roman" w:cs="Arial"/>
                <w:color w:val="A02B93" w:themeColor="accent5"/>
                <w:sz w:val="22"/>
                <w:lang w:eastAsia="en-GB"/>
              </w:rPr>
            </w:pPr>
            <w:r w:rsidRPr="00BC3D24">
              <w:rPr>
                <w:rFonts w:eastAsia="Times New Roman" w:cs="Arial"/>
                <w:color w:val="A02B93" w:themeColor="accent5"/>
                <w:sz w:val="22"/>
                <w:lang w:eastAsia="en-GB"/>
              </w:rPr>
              <w:t>1526</w:t>
            </w:r>
          </w:p>
        </w:tc>
        <w:tc>
          <w:tcPr>
            <w:tcW w:w="1509" w:type="dxa"/>
            <w:tcBorders>
              <w:top w:val="nil"/>
              <w:left w:val="nil"/>
              <w:bottom w:val="single" w:sz="4" w:space="0" w:color="auto"/>
              <w:right w:val="single" w:sz="4" w:space="0" w:color="auto"/>
            </w:tcBorders>
            <w:vAlign w:val="bottom"/>
            <w:hideMark/>
          </w:tcPr>
          <w:p w14:paraId="2686DD47" w14:textId="77777777" w:rsidR="00BC3D24" w:rsidRPr="00BC3D24" w:rsidRDefault="00BC3D24" w:rsidP="00AB5245">
            <w:pPr>
              <w:spacing w:after="0" w:line="240" w:lineRule="auto"/>
              <w:jc w:val="right"/>
              <w:rPr>
                <w:rFonts w:eastAsia="Times New Roman" w:cs="Arial"/>
                <w:color w:val="A02B93" w:themeColor="accent5"/>
                <w:sz w:val="22"/>
                <w:lang w:eastAsia="en-GB"/>
              </w:rPr>
            </w:pPr>
            <w:r w:rsidRPr="00BC3D24">
              <w:rPr>
                <w:rFonts w:eastAsia="Times New Roman" w:cs="Arial"/>
                <w:color w:val="A02B93" w:themeColor="accent5"/>
                <w:sz w:val="22"/>
                <w:lang w:eastAsia="en-GB"/>
              </w:rPr>
              <w:t>21.1%</w:t>
            </w:r>
          </w:p>
        </w:tc>
        <w:tc>
          <w:tcPr>
            <w:tcW w:w="1353" w:type="dxa"/>
            <w:tcBorders>
              <w:top w:val="nil"/>
              <w:left w:val="nil"/>
              <w:bottom w:val="single" w:sz="4" w:space="0" w:color="auto"/>
              <w:right w:val="single" w:sz="4" w:space="0" w:color="auto"/>
            </w:tcBorders>
            <w:vAlign w:val="bottom"/>
            <w:hideMark/>
          </w:tcPr>
          <w:p w14:paraId="1EE3BDCB" w14:textId="77777777" w:rsidR="00BC3D24" w:rsidRPr="00BC3D24" w:rsidRDefault="00BC3D24" w:rsidP="00AB5245">
            <w:pPr>
              <w:spacing w:after="0" w:line="240" w:lineRule="auto"/>
              <w:jc w:val="right"/>
              <w:rPr>
                <w:rFonts w:eastAsia="Times New Roman" w:cs="Arial"/>
                <w:color w:val="A02B93" w:themeColor="accent5"/>
                <w:sz w:val="22"/>
                <w:lang w:eastAsia="en-GB"/>
              </w:rPr>
            </w:pPr>
            <w:r w:rsidRPr="00BC3D24">
              <w:rPr>
                <w:rFonts w:eastAsia="Times New Roman" w:cs="Arial"/>
                <w:color w:val="A02B93" w:themeColor="accent5"/>
                <w:sz w:val="22"/>
                <w:lang w:eastAsia="en-GB"/>
              </w:rPr>
              <w:t>28.8%</w:t>
            </w:r>
          </w:p>
        </w:tc>
      </w:tr>
      <w:tr w:rsidR="00FE0BF1" w:rsidRPr="00FE0BF1" w14:paraId="10240DE5" w14:textId="77777777" w:rsidTr="00AB5245">
        <w:trPr>
          <w:trHeight w:val="720"/>
        </w:trPr>
        <w:tc>
          <w:tcPr>
            <w:tcW w:w="1622" w:type="dxa"/>
            <w:tcBorders>
              <w:top w:val="nil"/>
              <w:left w:val="single" w:sz="4" w:space="0" w:color="auto"/>
              <w:bottom w:val="single" w:sz="4" w:space="0" w:color="auto"/>
              <w:right w:val="single" w:sz="4" w:space="0" w:color="auto"/>
            </w:tcBorders>
            <w:vAlign w:val="bottom"/>
            <w:hideMark/>
          </w:tcPr>
          <w:p w14:paraId="48BA4CF8" w14:textId="77777777" w:rsidR="00BC3D24" w:rsidRPr="00BC3D24" w:rsidRDefault="00BC3D24" w:rsidP="00AB5245">
            <w:pPr>
              <w:spacing w:after="0" w:line="240" w:lineRule="auto"/>
              <w:jc w:val="left"/>
              <w:rPr>
                <w:rFonts w:eastAsia="Times New Roman" w:cs="Arial"/>
                <w:b/>
                <w:bCs/>
                <w:color w:val="A02B93" w:themeColor="accent5"/>
                <w:sz w:val="22"/>
                <w:lang w:eastAsia="en-GB"/>
              </w:rPr>
            </w:pPr>
            <w:r w:rsidRPr="00BC3D24">
              <w:rPr>
                <w:rFonts w:eastAsia="Times New Roman" w:cs="Arial"/>
                <w:b/>
                <w:bCs/>
                <w:color w:val="A02B93" w:themeColor="accent5"/>
                <w:sz w:val="22"/>
                <w:lang w:eastAsia="en-GB"/>
              </w:rPr>
              <w:t>Ashfield District Total</w:t>
            </w:r>
          </w:p>
        </w:tc>
        <w:tc>
          <w:tcPr>
            <w:tcW w:w="1549" w:type="dxa"/>
            <w:tcBorders>
              <w:top w:val="nil"/>
              <w:left w:val="nil"/>
              <w:bottom w:val="single" w:sz="4" w:space="0" w:color="auto"/>
              <w:right w:val="single" w:sz="4" w:space="0" w:color="auto"/>
            </w:tcBorders>
            <w:vAlign w:val="bottom"/>
            <w:hideMark/>
          </w:tcPr>
          <w:p w14:paraId="2E27B4D7" w14:textId="77777777" w:rsidR="00BC3D24" w:rsidRPr="00BC3D24" w:rsidRDefault="00BC3D24" w:rsidP="00AB5245">
            <w:pPr>
              <w:spacing w:after="0" w:line="240" w:lineRule="auto"/>
              <w:jc w:val="right"/>
              <w:rPr>
                <w:rFonts w:eastAsia="Times New Roman" w:cs="Arial"/>
                <w:b/>
                <w:bCs/>
                <w:color w:val="A02B93" w:themeColor="accent5"/>
                <w:sz w:val="22"/>
                <w:lang w:eastAsia="en-GB"/>
              </w:rPr>
            </w:pPr>
            <w:r w:rsidRPr="00BC3D24">
              <w:rPr>
                <w:rFonts w:eastAsia="Times New Roman" w:cs="Arial"/>
                <w:b/>
                <w:bCs/>
                <w:color w:val="A02B93" w:themeColor="accent5"/>
                <w:sz w:val="22"/>
                <w:lang w:eastAsia="en-GB"/>
              </w:rPr>
              <w:t>907</w:t>
            </w:r>
          </w:p>
        </w:tc>
        <w:tc>
          <w:tcPr>
            <w:tcW w:w="1476" w:type="dxa"/>
            <w:tcBorders>
              <w:top w:val="nil"/>
              <w:left w:val="nil"/>
              <w:bottom w:val="single" w:sz="4" w:space="0" w:color="auto"/>
              <w:right w:val="single" w:sz="4" w:space="0" w:color="auto"/>
            </w:tcBorders>
            <w:vAlign w:val="bottom"/>
            <w:hideMark/>
          </w:tcPr>
          <w:p w14:paraId="4451616A" w14:textId="77777777" w:rsidR="00BC3D24" w:rsidRPr="00BC3D24" w:rsidRDefault="00BC3D24" w:rsidP="00AB5245">
            <w:pPr>
              <w:spacing w:after="0" w:line="240" w:lineRule="auto"/>
              <w:jc w:val="right"/>
              <w:rPr>
                <w:rFonts w:eastAsia="Times New Roman" w:cs="Arial"/>
                <w:b/>
                <w:bCs/>
                <w:color w:val="A02B93" w:themeColor="accent5"/>
                <w:sz w:val="22"/>
                <w:lang w:eastAsia="en-GB"/>
              </w:rPr>
            </w:pPr>
            <w:r w:rsidRPr="00BC3D24">
              <w:rPr>
                <w:rFonts w:eastAsia="Times New Roman" w:cs="Arial"/>
                <w:b/>
                <w:bCs/>
                <w:color w:val="A02B93" w:themeColor="accent5"/>
                <w:sz w:val="22"/>
                <w:lang w:eastAsia="en-GB"/>
              </w:rPr>
              <w:t>2839</w:t>
            </w:r>
          </w:p>
        </w:tc>
        <w:tc>
          <w:tcPr>
            <w:tcW w:w="1390" w:type="dxa"/>
            <w:tcBorders>
              <w:top w:val="nil"/>
              <w:left w:val="nil"/>
              <w:bottom w:val="single" w:sz="4" w:space="0" w:color="auto"/>
              <w:right w:val="single" w:sz="4" w:space="0" w:color="auto"/>
            </w:tcBorders>
            <w:vAlign w:val="bottom"/>
            <w:hideMark/>
          </w:tcPr>
          <w:p w14:paraId="0112FA06" w14:textId="77777777" w:rsidR="00BC3D24" w:rsidRPr="00BC3D24" w:rsidRDefault="00BC3D24" w:rsidP="00AB5245">
            <w:pPr>
              <w:spacing w:after="0" w:line="240" w:lineRule="auto"/>
              <w:jc w:val="right"/>
              <w:rPr>
                <w:rFonts w:eastAsia="Times New Roman" w:cs="Arial"/>
                <w:b/>
                <w:bCs/>
                <w:color w:val="A02B93" w:themeColor="accent5"/>
                <w:sz w:val="22"/>
                <w:lang w:eastAsia="en-GB"/>
              </w:rPr>
            </w:pPr>
            <w:r w:rsidRPr="00BC3D24">
              <w:rPr>
                <w:rFonts w:eastAsia="Times New Roman" w:cs="Arial"/>
                <w:b/>
                <w:bCs/>
                <w:color w:val="A02B93" w:themeColor="accent5"/>
                <w:sz w:val="22"/>
                <w:lang w:eastAsia="en-GB"/>
              </w:rPr>
              <w:t>3477</w:t>
            </w:r>
          </w:p>
        </w:tc>
        <w:tc>
          <w:tcPr>
            <w:tcW w:w="1096" w:type="dxa"/>
            <w:tcBorders>
              <w:top w:val="nil"/>
              <w:left w:val="nil"/>
              <w:bottom w:val="single" w:sz="4" w:space="0" w:color="auto"/>
              <w:right w:val="single" w:sz="4" w:space="0" w:color="auto"/>
            </w:tcBorders>
            <w:vAlign w:val="bottom"/>
            <w:hideMark/>
          </w:tcPr>
          <w:p w14:paraId="500E7BD7" w14:textId="77777777" w:rsidR="00BC3D24" w:rsidRPr="00BC3D24" w:rsidRDefault="00BC3D24" w:rsidP="00AB5245">
            <w:pPr>
              <w:spacing w:after="0" w:line="240" w:lineRule="auto"/>
              <w:jc w:val="right"/>
              <w:rPr>
                <w:rFonts w:eastAsia="Times New Roman" w:cs="Arial"/>
                <w:b/>
                <w:bCs/>
                <w:color w:val="A02B93" w:themeColor="accent5"/>
                <w:sz w:val="22"/>
                <w:lang w:eastAsia="en-GB"/>
              </w:rPr>
            </w:pPr>
            <w:r w:rsidRPr="00BC3D24">
              <w:rPr>
                <w:rFonts w:eastAsia="Times New Roman" w:cs="Arial"/>
                <w:b/>
                <w:bCs/>
                <w:color w:val="A02B93" w:themeColor="accent5"/>
                <w:sz w:val="22"/>
                <w:lang w:eastAsia="en-GB"/>
              </w:rPr>
              <w:t>7223</w:t>
            </w:r>
          </w:p>
        </w:tc>
        <w:tc>
          <w:tcPr>
            <w:tcW w:w="1509" w:type="dxa"/>
            <w:tcBorders>
              <w:top w:val="nil"/>
              <w:left w:val="nil"/>
              <w:bottom w:val="single" w:sz="4" w:space="0" w:color="auto"/>
              <w:right w:val="single" w:sz="4" w:space="0" w:color="auto"/>
            </w:tcBorders>
            <w:vAlign w:val="bottom"/>
            <w:hideMark/>
          </w:tcPr>
          <w:p w14:paraId="56B1C1C5" w14:textId="77777777" w:rsidR="00BC3D24" w:rsidRPr="00BC3D24" w:rsidRDefault="00BC3D24" w:rsidP="00AB5245">
            <w:pPr>
              <w:spacing w:after="0" w:line="240" w:lineRule="auto"/>
              <w:jc w:val="right"/>
              <w:rPr>
                <w:rFonts w:eastAsia="Times New Roman" w:cs="Arial"/>
                <w:b/>
                <w:bCs/>
                <w:color w:val="A02B93" w:themeColor="accent5"/>
                <w:sz w:val="22"/>
                <w:lang w:eastAsia="en-GB"/>
              </w:rPr>
            </w:pPr>
            <w:r w:rsidRPr="00BC3D24">
              <w:rPr>
                <w:rFonts w:eastAsia="Times New Roman" w:cs="Arial"/>
                <w:b/>
                <w:bCs/>
                <w:color w:val="A02B93" w:themeColor="accent5"/>
                <w:sz w:val="22"/>
                <w:lang w:eastAsia="en-GB"/>
              </w:rPr>
              <w:t>100.0%</w:t>
            </w:r>
          </w:p>
        </w:tc>
        <w:tc>
          <w:tcPr>
            <w:tcW w:w="1353" w:type="dxa"/>
            <w:tcBorders>
              <w:top w:val="nil"/>
              <w:left w:val="nil"/>
              <w:bottom w:val="single" w:sz="4" w:space="0" w:color="auto"/>
              <w:right w:val="single" w:sz="4" w:space="0" w:color="auto"/>
            </w:tcBorders>
            <w:vAlign w:val="bottom"/>
            <w:hideMark/>
          </w:tcPr>
          <w:p w14:paraId="7C637FA0" w14:textId="77777777" w:rsidR="00BC3D24" w:rsidRPr="00BC3D24" w:rsidRDefault="00BC3D24" w:rsidP="00AB5245">
            <w:pPr>
              <w:spacing w:after="0" w:line="240" w:lineRule="auto"/>
              <w:jc w:val="right"/>
              <w:rPr>
                <w:rFonts w:eastAsia="Times New Roman" w:cs="Arial"/>
                <w:b/>
                <w:bCs/>
                <w:color w:val="A02B93" w:themeColor="accent5"/>
                <w:sz w:val="22"/>
                <w:lang w:eastAsia="en-GB"/>
              </w:rPr>
            </w:pPr>
            <w:r w:rsidRPr="00BC3D24">
              <w:rPr>
                <w:rFonts w:eastAsia="Times New Roman" w:cs="Arial"/>
                <w:b/>
                <w:bCs/>
                <w:color w:val="A02B93" w:themeColor="accent5"/>
                <w:sz w:val="22"/>
                <w:lang w:eastAsia="en-GB"/>
              </w:rPr>
              <w:t>100.0%</w:t>
            </w:r>
          </w:p>
        </w:tc>
      </w:tr>
    </w:tbl>
    <w:p w14:paraId="71B18BB0" w14:textId="77777777" w:rsidR="00E5314E" w:rsidRPr="00FE0BF1" w:rsidRDefault="00E5314E" w:rsidP="00E5314E">
      <w:pPr>
        <w:spacing w:after="0" w:line="240" w:lineRule="auto"/>
        <w:ind w:left="720" w:hanging="720"/>
        <w:jc w:val="left"/>
        <w:rPr>
          <w:color w:val="A02B93" w:themeColor="accent5"/>
          <w:sz w:val="22"/>
        </w:rPr>
      </w:pPr>
    </w:p>
    <w:p w14:paraId="573C9F63" w14:textId="77777777" w:rsidR="00BC3D24" w:rsidRPr="00FE0BF1" w:rsidRDefault="00BC3D24" w:rsidP="00E5314E">
      <w:pPr>
        <w:spacing w:after="0" w:line="240" w:lineRule="auto"/>
        <w:ind w:left="720" w:hanging="720"/>
        <w:jc w:val="left"/>
        <w:rPr>
          <w:color w:val="A02B93" w:themeColor="accent5"/>
          <w:sz w:val="22"/>
        </w:rPr>
      </w:pPr>
    </w:p>
    <w:sectPr w:rsidR="00BC3D24" w:rsidRPr="00FE0BF1" w:rsidSect="00A424A2">
      <w:footerReference w:type="default" r:id="rId11"/>
      <w:pgSz w:w="11906" w:h="16838"/>
      <w:pgMar w:top="1440" w:right="1077" w:bottom="1440"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F77E8" w14:textId="77777777" w:rsidR="00B67B42" w:rsidRDefault="00B67B42" w:rsidP="000C657D">
      <w:pPr>
        <w:spacing w:after="0" w:line="240" w:lineRule="auto"/>
      </w:pPr>
      <w:r>
        <w:separator/>
      </w:r>
    </w:p>
  </w:endnote>
  <w:endnote w:type="continuationSeparator" w:id="0">
    <w:p w14:paraId="4F77208E" w14:textId="77777777" w:rsidR="00B67B42" w:rsidRDefault="00B67B42" w:rsidP="000C6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546767"/>
      <w:docPartObj>
        <w:docPartGallery w:val="Page Numbers (Bottom of Page)"/>
        <w:docPartUnique/>
      </w:docPartObj>
    </w:sdtPr>
    <w:sdtEndPr>
      <w:rPr>
        <w:color w:val="747474" w:themeColor="background2" w:themeShade="80"/>
        <w:spacing w:val="60"/>
      </w:rPr>
    </w:sdtEndPr>
    <w:sdtContent>
      <w:p w14:paraId="5EE10B34" w14:textId="57BAC245" w:rsidR="00A424A2" w:rsidRDefault="00A424A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ED4F53">
          <w:rPr>
            <w:color w:val="747474" w:themeColor="background2" w:themeShade="80"/>
            <w:spacing w:val="60"/>
          </w:rPr>
          <w:t>Page</w:t>
        </w:r>
      </w:p>
    </w:sdtContent>
  </w:sdt>
  <w:p w14:paraId="3E579AD4" w14:textId="77777777" w:rsidR="00A424A2" w:rsidRDefault="00A42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38843" w14:textId="77777777" w:rsidR="00B67B42" w:rsidRDefault="00B67B42" w:rsidP="000C657D">
      <w:pPr>
        <w:spacing w:after="0" w:line="240" w:lineRule="auto"/>
      </w:pPr>
      <w:r>
        <w:separator/>
      </w:r>
    </w:p>
  </w:footnote>
  <w:footnote w:type="continuationSeparator" w:id="0">
    <w:p w14:paraId="4D24C88E" w14:textId="77777777" w:rsidR="00B67B42" w:rsidRDefault="00B67B42" w:rsidP="000C657D">
      <w:pPr>
        <w:spacing w:after="0" w:line="240" w:lineRule="auto"/>
      </w:pPr>
      <w:r>
        <w:continuationSeparator/>
      </w:r>
    </w:p>
  </w:footnote>
  <w:footnote w:id="1">
    <w:p w14:paraId="7293AC43" w14:textId="77777777" w:rsidR="00CD104A" w:rsidRDefault="00CD104A" w:rsidP="00CD104A">
      <w:pPr>
        <w:pStyle w:val="FootnoteText"/>
      </w:pPr>
      <w:r>
        <w:rPr>
          <w:rStyle w:val="FootnoteReference"/>
        </w:rPr>
        <w:footnoteRef/>
      </w:r>
      <w:r>
        <w:t xml:space="preserve"> Planning Practice Guidance Housing and Economic Needs Assessment</w:t>
      </w:r>
    </w:p>
  </w:footnote>
  <w:footnote w:id="2">
    <w:p w14:paraId="26446AD2" w14:textId="77777777" w:rsidR="00CD104A" w:rsidRDefault="00CD104A" w:rsidP="00CD104A">
      <w:pPr>
        <w:pStyle w:val="FootnoteText"/>
      </w:pPr>
      <w:r>
        <w:rPr>
          <w:rStyle w:val="FootnoteReference"/>
        </w:rPr>
        <w:footnoteRef/>
      </w:r>
      <w:r>
        <w:t xml:space="preserve"> Generally defined as units over 9,290 sqm or 100,000 </w:t>
      </w:r>
      <w:r>
        <w:t>sq ft. in size</w:t>
      </w:r>
    </w:p>
  </w:footnote>
  <w:footnote w:id="3">
    <w:p w14:paraId="3A4EE3E0" w14:textId="521E5E4A" w:rsidR="00CD693B" w:rsidRDefault="00CD693B">
      <w:pPr>
        <w:pStyle w:val="FootnoteText"/>
      </w:pPr>
      <w:r>
        <w:rPr>
          <w:rStyle w:val="FootnoteReference"/>
        </w:rPr>
        <w:footnoteRef/>
      </w:r>
      <w:r>
        <w:t xml:space="preserve"> A site is considered achievable for development where there is a</w:t>
      </w:r>
      <w:r>
        <w:rPr>
          <w:spacing w:val="1"/>
        </w:rPr>
        <w:t xml:space="preserve"> </w:t>
      </w:r>
      <w:r>
        <w:t>reasonable prospect that the particular type of development will be</w:t>
      </w:r>
      <w:r>
        <w:rPr>
          <w:spacing w:val="1"/>
        </w:rPr>
        <w:t xml:space="preserve"> </w:t>
      </w:r>
      <w:r>
        <w:t>developed on the site at a particular point in time. This is essentially a</w:t>
      </w:r>
      <w:r>
        <w:rPr>
          <w:spacing w:val="1"/>
        </w:rPr>
        <w:t xml:space="preserve"> </w:t>
      </w:r>
      <w:r>
        <w:t>judgement about the economic viability of a site, and the capacity of the</w:t>
      </w:r>
      <w:r>
        <w:rPr>
          <w:spacing w:val="-64"/>
        </w:rPr>
        <w:t xml:space="preserve"> </w:t>
      </w:r>
      <w:r>
        <w:t>developer</w:t>
      </w:r>
      <w:r>
        <w:rPr>
          <w:spacing w:val="-3"/>
        </w:rPr>
        <w:t xml:space="preserve"> </w:t>
      </w:r>
      <w:r>
        <w:t>to complete</w:t>
      </w:r>
      <w:r>
        <w:rPr>
          <w:spacing w:val="-3"/>
        </w:rPr>
        <w:t xml:space="preserve"> </w:t>
      </w:r>
      <w:r>
        <w:t>and let or</w:t>
      </w:r>
      <w:r>
        <w:rPr>
          <w:spacing w:val="-3"/>
        </w:rPr>
        <w:t xml:space="preserve"> </w:t>
      </w:r>
      <w:r>
        <w:t>sell</w:t>
      </w:r>
      <w:r>
        <w:rPr>
          <w:spacing w:val="-1"/>
        </w:rPr>
        <w:t xml:space="preserve"> </w:t>
      </w:r>
      <w:r>
        <w:t>the</w:t>
      </w:r>
      <w:r>
        <w:rPr>
          <w:spacing w:val="-2"/>
        </w:rPr>
        <w:t xml:space="preserve"> </w:t>
      </w:r>
      <w:r>
        <w:t>site</w:t>
      </w:r>
      <w:r>
        <w:rPr>
          <w:spacing w:val="-3"/>
        </w:rPr>
        <w:t xml:space="preserve"> </w:t>
      </w:r>
      <w:r>
        <w:t>over</w:t>
      </w:r>
      <w:r>
        <w:rPr>
          <w:spacing w:val="-2"/>
        </w:rPr>
        <w:t xml:space="preserve"> </w:t>
      </w:r>
      <w:r>
        <w:t>a certain</w:t>
      </w:r>
      <w:r>
        <w:rPr>
          <w:spacing w:val="-3"/>
        </w:rPr>
        <w:t xml:space="preserve"> </w:t>
      </w:r>
      <w:r>
        <w:t xml:space="preserve">period. </w:t>
      </w:r>
      <w:r w:rsidR="003F5869">
        <w:t>(</w:t>
      </w:r>
      <w:r>
        <w:t>Housing &amp; Economic Land Availability Assessment Planning Practice Guidance (para.20)</w:t>
      </w:r>
      <w:r w:rsidR="003F5869">
        <w:t>)</w:t>
      </w:r>
    </w:p>
  </w:footnote>
  <w:footnote w:id="4">
    <w:p w14:paraId="796CCAC1" w14:textId="721429D3" w:rsidR="00CD693B" w:rsidRPr="00CD693B" w:rsidRDefault="00CD693B" w:rsidP="00CD693B">
      <w:pPr>
        <w:widowControl w:val="0"/>
        <w:tabs>
          <w:tab w:val="left" w:pos="960"/>
          <w:tab w:val="left" w:pos="8789"/>
        </w:tabs>
        <w:autoSpaceDE w:val="0"/>
        <w:autoSpaceDN w:val="0"/>
        <w:spacing w:after="0" w:line="240" w:lineRule="auto"/>
        <w:ind w:right="935"/>
        <w:jc w:val="left"/>
        <w:rPr>
          <w:rFonts w:asciiTheme="minorHAnsi" w:hAnsiTheme="minorHAnsi"/>
          <w:sz w:val="20"/>
          <w:szCs w:val="20"/>
        </w:rPr>
      </w:pPr>
      <w:r w:rsidRPr="00CD693B">
        <w:rPr>
          <w:rStyle w:val="FootnoteReference"/>
          <w:rFonts w:asciiTheme="minorHAnsi" w:hAnsiTheme="minorHAnsi"/>
          <w:sz w:val="20"/>
          <w:szCs w:val="20"/>
        </w:rPr>
        <w:footnoteRef/>
      </w:r>
      <w:r w:rsidRPr="00CD693B">
        <w:rPr>
          <w:rFonts w:asciiTheme="minorHAnsi" w:hAnsiTheme="minorHAnsi"/>
          <w:sz w:val="20"/>
          <w:szCs w:val="20"/>
        </w:rPr>
        <w:t xml:space="preserve"> </w:t>
      </w:r>
      <w:r>
        <w:rPr>
          <w:rFonts w:asciiTheme="minorHAnsi" w:hAnsiTheme="minorHAnsi"/>
          <w:sz w:val="20"/>
          <w:szCs w:val="20"/>
        </w:rPr>
        <w:t>T</w:t>
      </w:r>
      <w:r w:rsidRPr="00CD693B">
        <w:rPr>
          <w:rFonts w:asciiTheme="minorHAnsi" w:hAnsiTheme="minorHAnsi"/>
          <w:sz w:val="20"/>
          <w:szCs w:val="20"/>
        </w:rPr>
        <w:t>o be considered developable</w:t>
      </w:r>
      <w:r>
        <w:rPr>
          <w:rFonts w:asciiTheme="minorHAnsi" w:hAnsiTheme="minorHAnsi"/>
          <w:sz w:val="20"/>
          <w:szCs w:val="20"/>
        </w:rPr>
        <w:t xml:space="preserve">, sites </w:t>
      </w:r>
      <w:r w:rsidRPr="00CD693B">
        <w:rPr>
          <w:rFonts w:asciiTheme="minorHAnsi" w:hAnsiTheme="minorHAnsi"/>
          <w:sz w:val="20"/>
          <w:szCs w:val="20"/>
        </w:rPr>
        <w:t>should be in a suitable location for</w:t>
      </w:r>
      <w:r w:rsidRPr="00CD693B">
        <w:rPr>
          <w:rFonts w:asciiTheme="minorHAnsi" w:hAnsiTheme="minorHAnsi"/>
          <w:spacing w:val="1"/>
          <w:sz w:val="20"/>
          <w:szCs w:val="20"/>
        </w:rPr>
        <w:t xml:space="preserve"> </w:t>
      </w:r>
      <w:r>
        <w:rPr>
          <w:rFonts w:asciiTheme="minorHAnsi" w:hAnsiTheme="minorHAnsi"/>
          <w:spacing w:val="1"/>
          <w:sz w:val="20"/>
          <w:szCs w:val="20"/>
        </w:rPr>
        <w:t xml:space="preserve">housing </w:t>
      </w:r>
      <w:r w:rsidRPr="00CD693B">
        <w:rPr>
          <w:rFonts w:asciiTheme="minorHAnsi" w:hAnsiTheme="minorHAnsi"/>
          <w:sz w:val="20"/>
          <w:szCs w:val="20"/>
        </w:rPr>
        <w:t xml:space="preserve">development </w:t>
      </w:r>
      <w:r>
        <w:rPr>
          <w:rFonts w:asciiTheme="minorHAnsi" w:hAnsiTheme="minorHAnsi"/>
          <w:sz w:val="20"/>
          <w:szCs w:val="20"/>
        </w:rPr>
        <w:t>with a reason</w:t>
      </w:r>
      <w:r w:rsidRPr="00CD693B">
        <w:rPr>
          <w:rFonts w:asciiTheme="minorHAnsi" w:hAnsiTheme="minorHAnsi"/>
          <w:sz w:val="20"/>
          <w:szCs w:val="20"/>
        </w:rPr>
        <w:t>able prospect that the</w:t>
      </w:r>
      <w:r>
        <w:rPr>
          <w:rFonts w:asciiTheme="minorHAnsi" w:hAnsiTheme="minorHAnsi"/>
          <w:sz w:val="20"/>
          <w:szCs w:val="20"/>
        </w:rPr>
        <w:t xml:space="preserve">y will be </w:t>
      </w:r>
      <w:r w:rsidRPr="00CD693B">
        <w:rPr>
          <w:rFonts w:asciiTheme="minorHAnsi" w:hAnsiTheme="minorHAnsi"/>
          <w:sz w:val="20"/>
          <w:szCs w:val="20"/>
        </w:rPr>
        <w:t>available and could be viably developed at the point envisaged. (NPPF, Annex</w:t>
      </w:r>
      <w:r>
        <w:rPr>
          <w:rFonts w:asciiTheme="minorHAnsi" w:hAnsiTheme="minorHAnsi"/>
          <w:sz w:val="20"/>
          <w:szCs w:val="20"/>
        </w:rPr>
        <w:t xml:space="preserve"> </w:t>
      </w:r>
      <w:r w:rsidRPr="00CD693B">
        <w:rPr>
          <w:rFonts w:asciiTheme="minorHAnsi" w:hAnsiTheme="minorHAnsi"/>
          <w:spacing w:val="-64"/>
          <w:sz w:val="20"/>
          <w:szCs w:val="20"/>
        </w:rPr>
        <w:t xml:space="preserve"> </w:t>
      </w:r>
      <w:r w:rsidRPr="00CD693B">
        <w:rPr>
          <w:rFonts w:asciiTheme="minorHAnsi" w:hAnsiTheme="minorHAnsi"/>
          <w:sz w:val="20"/>
          <w:szCs w:val="20"/>
        </w:rPr>
        <w:t>2: Glossary)</w:t>
      </w:r>
    </w:p>
    <w:p w14:paraId="3EAE719B" w14:textId="5DAB4C71" w:rsidR="00CD693B" w:rsidRPr="00CD693B" w:rsidRDefault="00CD693B" w:rsidP="00CD693B">
      <w:pPr>
        <w:pStyle w:val="FootnoteText"/>
        <w:tabs>
          <w:tab w:val="left" w:pos="8789"/>
        </w:tab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2F6803"/>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2553261"/>
    <w:multiLevelType w:val="hybridMultilevel"/>
    <w:tmpl w:val="4BC2D9AE"/>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 w15:restartNumberingAfterBreak="0">
    <w:nsid w:val="049565E1"/>
    <w:multiLevelType w:val="hybridMultilevel"/>
    <w:tmpl w:val="7A707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5D85CE3"/>
    <w:multiLevelType w:val="multilevel"/>
    <w:tmpl w:val="533A4172"/>
    <w:lvl w:ilvl="0">
      <w:start w:val="1"/>
      <w:numFmt w:val="decimal"/>
      <w:lvlText w:val="%1"/>
      <w:lvlJc w:val="left"/>
      <w:pPr>
        <w:ind w:left="570" w:hanging="570"/>
      </w:pPr>
    </w:lvl>
    <w:lvl w:ilvl="1">
      <w:start w:val="1"/>
      <w:numFmt w:val="decimal"/>
      <w:lvlText w:val="%1.%2"/>
      <w:lvlJc w:val="left"/>
      <w:pPr>
        <w:ind w:left="570" w:hanging="570"/>
      </w:pPr>
      <w:rPr>
        <w:color w:val="auto"/>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47F030E"/>
    <w:multiLevelType w:val="hybridMultilevel"/>
    <w:tmpl w:val="AD5E89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85B1BF7"/>
    <w:multiLevelType w:val="multilevel"/>
    <w:tmpl w:val="40127972"/>
    <w:lvl w:ilvl="0">
      <w:start w:val="3"/>
      <w:numFmt w:val="decimal"/>
      <w:lvlText w:val="%1"/>
      <w:lvlJc w:val="left"/>
      <w:pPr>
        <w:ind w:left="460" w:hanging="460"/>
      </w:pPr>
    </w:lvl>
    <w:lvl w:ilvl="1">
      <w:start w:val="86"/>
      <w:numFmt w:val="decimal"/>
      <w:lvlText w:val="%1.%2"/>
      <w:lvlJc w:val="left"/>
      <w:pPr>
        <w:ind w:left="460" w:hanging="460"/>
      </w:pPr>
      <w:rPr>
        <w:rFonts w:ascii="Arial" w:hAnsi="Arial" w:cs="Arial" w:hint="default"/>
        <w:b w:val="0"/>
        <w:bCs w:val="0"/>
        <w:strike w:val="0"/>
        <w:dstrike w:val="0"/>
        <w:color w:val="auto"/>
        <w:u w:val="none"/>
        <w:effect w:val="none"/>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8720557"/>
    <w:multiLevelType w:val="multilevel"/>
    <w:tmpl w:val="7D66283C"/>
    <w:lvl w:ilvl="0">
      <w:start w:val="1"/>
      <w:numFmt w:val="decimal"/>
      <w:lvlText w:val="%1"/>
      <w:lvlJc w:val="left"/>
      <w:pPr>
        <w:tabs>
          <w:tab w:val="num" w:pos="525"/>
        </w:tabs>
        <w:ind w:left="525" w:hanging="525"/>
      </w:pPr>
    </w:lvl>
    <w:lvl w:ilvl="1">
      <w:start w:val="1"/>
      <w:numFmt w:val="decimal"/>
      <w:lvlText w:val="8.%2"/>
      <w:lvlJc w:val="left"/>
      <w:pPr>
        <w:tabs>
          <w:tab w:val="num" w:pos="525"/>
        </w:tabs>
        <w:ind w:left="525" w:hanging="525"/>
      </w:pPr>
      <w:rPr>
        <w:sz w:val="24"/>
        <w:szCs w:val="28"/>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 w15:restartNumberingAfterBreak="0">
    <w:nsid w:val="18982BEE"/>
    <w:multiLevelType w:val="hybridMultilevel"/>
    <w:tmpl w:val="0338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34703"/>
    <w:multiLevelType w:val="hybridMultilevel"/>
    <w:tmpl w:val="1D8254C6"/>
    <w:lvl w:ilvl="0" w:tplc="9A5C4D82">
      <w:start w:val="1"/>
      <w:numFmt w:val="bullet"/>
      <w:pStyle w:val="WDBullets"/>
      <w:lvlText w:val="l"/>
      <w:lvlJc w:val="left"/>
      <w:pPr>
        <w:ind w:left="1211" w:hanging="360"/>
      </w:pPr>
      <w:rPr>
        <w:rFonts w:ascii="Wingdings" w:hAnsi="Wingdings" w:hint="default"/>
        <w:color w:val="0E2841" w:themeColor="text2"/>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C8367512">
      <w:numFmt w:val="bullet"/>
      <w:lvlText w:val="•"/>
      <w:lvlJc w:val="left"/>
      <w:pPr>
        <w:ind w:left="3240" w:hanging="720"/>
      </w:pPr>
      <w:rPr>
        <w:rFonts w:ascii="Segoe UI" w:eastAsia="Calibri" w:hAnsi="Segoe UI" w:cs="Segoe UI"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23475"/>
    <w:multiLevelType w:val="hybridMultilevel"/>
    <w:tmpl w:val="61AA2C62"/>
    <w:lvl w:ilvl="0" w:tplc="08090001">
      <w:start w:val="1"/>
      <w:numFmt w:val="bullet"/>
      <w:lvlText w:val=""/>
      <w:lvlJc w:val="left"/>
      <w:pPr>
        <w:ind w:left="1316" w:hanging="360"/>
      </w:pPr>
      <w:rPr>
        <w:rFonts w:ascii="Symbol" w:hAnsi="Symbol" w:hint="default"/>
      </w:rPr>
    </w:lvl>
    <w:lvl w:ilvl="1" w:tplc="08090003">
      <w:start w:val="1"/>
      <w:numFmt w:val="bullet"/>
      <w:lvlText w:val="o"/>
      <w:lvlJc w:val="left"/>
      <w:pPr>
        <w:ind w:left="2036" w:hanging="360"/>
      </w:pPr>
      <w:rPr>
        <w:rFonts w:ascii="Courier New" w:hAnsi="Courier New" w:cs="Courier New" w:hint="default"/>
      </w:rPr>
    </w:lvl>
    <w:lvl w:ilvl="2" w:tplc="08090005">
      <w:start w:val="1"/>
      <w:numFmt w:val="bullet"/>
      <w:lvlText w:val=""/>
      <w:lvlJc w:val="left"/>
      <w:pPr>
        <w:ind w:left="2756" w:hanging="360"/>
      </w:pPr>
      <w:rPr>
        <w:rFonts w:ascii="Wingdings" w:hAnsi="Wingdings" w:hint="default"/>
      </w:rPr>
    </w:lvl>
    <w:lvl w:ilvl="3" w:tplc="08090001">
      <w:start w:val="1"/>
      <w:numFmt w:val="bullet"/>
      <w:lvlText w:val=""/>
      <w:lvlJc w:val="left"/>
      <w:pPr>
        <w:ind w:left="3476" w:hanging="360"/>
      </w:pPr>
      <w:rPr>
        <w:rFonts w:ascii="Symbol" w:hAnsi="Symbol" w:hint="default"/>
      </w:rPr>
    </w:lvl>
    <w:lvl w:ilvl="4" w:tplc="08090003">
      <w:start w:val="1"/>
      <w:numFmt w:val="bullet"/>
      <w:lvlText w:val="o"/>
      <w:lvlJc w:val="left"/>
      <w:pPr>
        <w:ind w:left="4196" w:hanging="360"/>
      </w:pPr>
      <w:rPr>
        <w:rFonts w:ascii="Courier New" w:hAnsi="Courier New" w:cs="Courier New" w:hint="default"/>
      </w:rPr>
    </w:lvl>
    <w:lvl w:ilvl="5" w:tplc="08090005">
      <w:start w:val="1"/>
      <w:numFmt w:val="bullet"/>
      <w:lvlText w:val=""/>
      <w:lvlJc w:val="left"/>
      <w:pPr>
        <w:ind w:left="4916" w:hanging="360"/>
      </w:pPr>
      <w:rPr>
        <w:rFonts w:ascii="Wingdings" w:hAnsi="Wingdings" w:hint="default"/>
      </w:rPr>
    </w:lvl>
    <w:lvl w:ilvl="6" w:tplc="08090001">
      <w:start w:val="1"/>
      <w:numFmt w:val="bullet"/>
      <w:lvlText w:val=""/>
      <w:lvlJc w:val="left"/>
      <w:pPr>
        <w:ind w:left="5636" w:hanging="360"/>
      </w:pPr>
      <w:rPr>
        <w:rFonts w:ascii="Symbol" w:hAnsi="Symbol" w:hint="default"/>
      </w:rPr>
    </w:lvl>
    <w:lvl w:ilvl="7" w:tplc="08090003">
      <w:start w:val="1"/>
      <w:numFmt w:val="bullet"/>
      <w:lvlText w:val="o"/>
      <w:lvlJc w:val="left"/>
      <w:pPr>
        <w:ind w:left="6356" w:hanging="360"/>
      </w:pPr>
      <w:rPr>
        <w:rFonts w:ascii="Courier New" w:hAnsi="Courier New" w:cs="Courier New" w:hint="default"/>
      </w:rPr>
    </w:lvl>
    <w:lvl w:ilvl="8" w:tplc="08090005">
      <w:start w:val="1"/>
      <w:numFmt w:val="bullet"/>
      <w:lvlText w:val=""/>
      <w:lvlJc w:val="left"/>
      <w:pPr>
        <w:ind w:left="7076" w:hanging="360"/>
      </w:pPr>
      <w:rPr>
        <w:rFonts w:ascii="Wingdings" w:hAnsi="Wingdings" w:hint="default"/>
      </w:rPr>
    </w:lvl>
  </w:abstractNum>
  <w:abstractNum w:abstractNumId="10" w15:restartNumberingAfterBreak="0">
    <w:nsid w:val="1CED5C43"/>
    <w:multiLevelType w:val="hybridMultilevel"/>
    <w:tmpl w:val="81225FC6"/>
    <w:lvl w:ilvl="0" w:tplc="8654A5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D64189"/>
    <w:multiLevelType w:val="multilevel"/>
    <w:tmpl w:val="338AC1B6"/>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bCs w:val="0"/>
        <w:i w:val="0"/>
        <w:iCs w:val="0"/>
        <w:color w:val="auto"/>
        <w:sz w:val="24"/>
        <w:szCs w:val="24"/>
      </w:rPr>
    </w:lvl>
    <w:lvl w:ilvl="2">
      <w:start w:val="1"/>
      <w:numFmt w:val="bullet"/>
      <w:lvlText w:val=""/>
      <w:lvlJc w:val="left"/>
      <w:pPr>
        <w:ind w:left="1080" w:hanging="360"/>
      </w:pPr>
      <w:rPr>
        <w:rFonts w:ascii="Symbol" w:hAnsi="Symbol"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242061A"/>
    <w:multiLevelType w:val="multilevel"/>
    <w:tmpl w:val="40E64CE6"/>
    <w:lvl w:ilvl="0">
      <w:start w:val="3"/>
      <w:numFmt w:val="decimal"/>
      <w:lvlText w:val="%1"/>
      <w:lvlJc w:val="left"/>
      <w:pPr>
        <w:ind w:left="360" w:hanging="360"/>
      </w:pPr>
    </w:lvl>
    <w:lvl w:ilvl="1">
      <w:start w:val="4"/>
      <w:numFmt w:val="decimal"/>
      <w:lvlText w:val="%1.%2"/>
      <w:lvlJc w:val="left"/>
      <w:pPr>
        <w:ind w:left="360" w:hanging="360"/>
      </w:pPr>
      <w:rPr>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2354089C"/>
    <w:multiLevelType w:val="hybridMultilevel"/>
    <w:tmpl w:val="33F0CD88"/>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4" w15:restartNumberingAfterBreak="0">
    <w:nsid w:val="2FC4389B"/>
    <w:multiLevelType w:val="multilevel"/>
    <w:tmpl w:val="687E2FEA"/>
    <w:styleLink w:val="AMEC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sz w:val="28"/>
      </w:rPr>
    </w:lvl>
    <w:lvl w:ilvl="2">
      <w:start w:val="1"/>
      <w:numFmt w:val="decimal"/>
      <w:lvlText w:val="%1.%2.%3"/>
      <w:lvlJc w:val="left"/>
      <w:pPr>
        <w:ind w:left="851" w:hanging="851"/>
      </w:pPr>
      <w:rPr>
        <w:rFonts w:hint="default"/>
        <w:sz w:val="12"/>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5" w15:restartNumberingAfterBreak="0">
    <w:nsid w:val="31B81DF6"/>
    <w:multiLevelType w:val="multilevel"/>
    <w:tmpl w:val="4D4263EA"/>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11C51C"/>
    <w:multiLevelType w:val="hybridMultilevel"/>
    <w:tmpl w:val="0DC972CC"/>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15:restartNumberingAfterBreak="0">
    <w:nsid w:val="3B6843BE"/>
    <w:multiLevelType w:val="hybridMultilevel"/>
    <w:tmpl w:val="C058A734"/>
    <w:lvl w:ilvl="0" w:tplc="048E3E2E">
      <w:start w:val="143"/>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F97343"/>
    <w:multiLevelType w:val="hybridMultilevel"/>
    <w:tmpl w:val="45FEA76C"/>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9" w15:restartNumberingAfterBreak="0">
    <w:nsid w:val="408A3F9F"/>
    <w:multiLevelType w:val="multilevel"/>
    <w:tmpl w:val="536E37B6"/>
    <w:lvl w:ilvl="0">
      <w:start w:val="3"/>
      <w:numFmt w:val="decimal"/>
      <w:lvlText w:val="%1"/>
      <w:lvlJc w:val="left"/>
      <w:pPr>
        <w:ind w:left="360" w:hanging="360"/>
      </w:pPr>
    </w:lvl>
    <w:lvl w:ilvl="1">
      <w:start w:val="1"/>
      <w:numFmt w:val="decimal"/>
      <w:lvlText w:val="%1.%2"/>
      <w:lvlJc w:val="left"/>
      <w:pPr>
        <w:ind w:left="928" w:hanging="360"/>
      </w:pPr>
      <w:rPr>
        <w:rFonts w:ascii="Arial" w:hAnsi="Arial" w:cs="Arial" w:hint="default"/>
        <w:b w:val="0"/>
        <w:bCs w:val="0"/>
        <w:i w:val="0"/>
        <w:iCs w:val="0"/>
        <w:color w:val="auto"/>
        <w:sz w:val="24"/>
        <w:szCs w:val="24"/>
      </w:rPr>
    </w:lvl>
    <w:lvl w:ilvl="2">
      <w:start w:val="1"/>
      <w:numFmt w:val="decimal"/>
      <w:lvlText w:val="%3)"/>
      <w:lvlJc w:val="left"/>
      <w:pPr>
        <w:ind w:left="1080" w:hanging="36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0" w15:restartNumberingAfterBreak="0">
    <w:nsid w:val="47426243"/>
    <w:multiLevelType w:val="multilevel"/>
    <w:tmpl w:val="E3109B9E"/>
    <w:lvl w:ilvl="0">
      <w:start w:val="6"/>
      <w:numFmt w:val="decimal"/>
      <w:lvlText w:val="%1"/>
      <w:lvlJc w:val="left"/>
      <w:pPr>
        <w:ind w:left="960" w:hanging="720"/>
      </w:pPr>
      <w:rPr>
        <w:lang w:val="en-GB" w:eastAsia="en-US" w:bidi="ar-SA"/>
      </w:rPr>
    </w:lvl>
    <w:lvl w:ilvl="1">
      <w:start w:val="1"/>
      <w:numFmt w:val="decimal"/>
      <w:lvlText w:val="%1.%2"/>
      <w:lvlJc w:val="left"/>
      <w:pPr>
        <w:ind w:left="960" w:hanging="720"/>
      </w:pPr>
      <w:rPr>
        <w:rFonts w:ascii="Arial" w:eastAsia="Arial" w:hAnsi="Arial" w:cs="Arial" w:hint="default"/>
        <w:b w:val="0"/>
        <w:bCs w:val="0"/>
        <w:i w:val="0"/>
        <w:iCs w:val="0"/>
        <w:w w:val="99"/>
        <w:sz w:val="24"/>
        <w:szCs w:val="24"/>
        <w:lang w:val="en-GB" w:eastAsia="en-US" w:bidi="ar-SA"/>
      </w:rPr>
    </w:lvl>
    <w:lvl w:ilvl="2">
      <w:start w:val="1"/>
      <w:numFmt w:val="lowerLetter"/>
      <w:lvlText w:val="%3)"/>
      <w:lvlJc w:val="left"/>
      <w:pPr>
        <w:ind w:left="1797" w:hanging="281"/>
      </w:pPr>
      <w:rPr>
        <w:rFonts w:ascii="Arial" w:eastAsia="Arial" w:hAnsi="Arial" w:cs="Arial" w:hint="default"/>
        <w:b w:val="0"/>
        <w:bCs w:val="0"/>
        <w:i w:val="0"/>
        <w:iCs w:val="0"/>
        <w:w w:val="99"/>
        <w:sz w:val="24"/>
        <w:szCs w:val="24"/>
        <w:lang w:val="en-GB" w:eastAsia="en-US" w:bidi="ar-SA"/>
      </w:rPr>
    </w:lvl>
    <w:lvl w:ilvl="3">
      <w:numFmt w:val="bullet"/>
      <w:lvlText w:val="•"/>
      <w:lvlJc w:val="left"/>
      <w:pPr>
        <w:ind w:left="3672" w:hanging="281"/>
      </w:pPr>
      <w:rPr>
        <w:lang w:val="en-GB" w:eastAsia="en-US" w:bidi="ar-SA"/>
      </w:rPr>
    </w:lvl>
    <w:lvl w:ilvl="4">
      <w:numFmt w:val="bullet"/>
      <w:lvlText w:val="•"/>
      <w:lvlJc w:val="left"/>
      <w:pPr>
        <w:ind w:left="4608" w:hanging="281"/>
      </w:pPr>
      <w:rPr>
        <w:lang w:val="en-GB" w:eastAsia="en-US" w:bidi="ar-SA"/>
      </w:rPr>
    </w:lvl>
    <w:lvl w:ilvl="5">
      <w:numFmt w:val="bullet"/>
      <w:lvlText w:val="•"/>
      <w:lvlJc w:val="left"/>
      <w:pPr>
        <w:ind w:left="5545" w:hanging="281"/>
      </w:pPr>
      <w:rPr>
        <w:lang w:val="en-GB" w:eastAsia="en-US" w:bidi="ar-SA"/>
      </w:rPr>
    </w:lvl>
    <w:lvl w:ilvl="6">
      <w:numFmt w:val="bullet"/>
      <w:lvlText w:val="•"/>
      <w:lvlJc w:val="left"/>
      <w:pPr>
        <w:ind w:left="6481" w:hanging="281"/>
      </w:pPr>
      <w:rPr>
        <w:lang w:val="en-GB" w:eastAsia="en-US" w:bidi="ar-SA"/>
      </w:rPr>
    </w:lvl>
    <w:lvl w:ilvl="7">
      <w:numFmt w:val="bullet"/>
      <w:lvlText w:val="•"/>
      <w:lvlJc w:val="left"/>
      <w:pPr>
        <w:ind w:left="7417" w:hanging="281"/>
      </w:pPr>
      <w:rPr>
        <w:lang w:val="en-GB" w:eastAsia="en-US" w:bidi="ar-SA"/>
      </w:rPr>
    </w:lvl>
    <w:lvl w:ilvl="8">
      <w:numFmt w:val="bullet"/>
      <w:lvlText w:val="•"/>
      <w:lvlJc w:val="left"/>
      <w:pPr>
        <w:ind w:left="8353" w:hanging="281"/>
      </w:pPr>
      <w:rPr>
        <w:lang w:val="en-GB" w:eastAsia="en-US" w:bidi="ar-SA"/>
      </w:rPr>
    </w:lvl>
  </w:abstractNum>
  <w:abstractNum w:abstractNumId="21" w15:restartNumberingAfterBreak="0">
    <w:nsid w:val="4892471D"/>
    <w:multiLevelType w:val="multilevel"/>
    <w:tmpl w:val="C1E26E0C"/>
    <w:lvl w:ilvl="0">
      <w:start w:val="3"/>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18522D"/>
    <w:multiLevelType w:val="multilevel"/>
    <w:tmpl w:val="9808F98C"/>
    <w:lvl w:ilvl="0">
      <w:start w:val="3"/>
      <w:numFmt w:val="decimal"/>
      <w:lvlText w:val="%1"/>
      <w:lvlJc w:val="left"/>
      <w:pPr>
        <w:ind w:left="660" w:hanging="660"/>
      </w:pPr>
      <w:rPr>
        <w:rFonts w:hint="default"/>
      </w:rPr>
    </w:lvl>
    <w:lvl w:ilvl="1">
      <w:start w:val="18"/>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2C0996"/>
    <w:multiLevelType w:val="hybridMultilevel"/>
    <w:tmpl w:val="A4F4CB30"/>
    <w:lvl w:ilvl="0" w:tplc="08090017">
      <w:start w:val="1"/>
      <w:numFmt w:val="lowerLetter"/>
      <w:lvlText w:val="%1)"/>
      <w:lvlJc w:val="left"/>
      <w:pPr>
        <w:ind w:left="1425" w:hanging="360"/>
      </w:p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24" w15:restartNumberingAfterBreak="0">
    <w:nsid w:val="6CF11BB7"/>
    <w:multiLevelType w:val="multilevel"/>
    <w:tmpl w:val="D696BE36"/>
    <w:lvl w:ilvl="0">
      <w:start w:val="3"/>
      <w:numFmt w:val="decimal"/>
      <w:lvlText w:val="%1"/>
      <w:lvlJc w:val="left"/>
      <w:pPr>
        <w:ind w:left="530" w:hanging="530"/>
      </w:pPr>
      <w:rPr>
        <w:rFonts w:hint="default"/>
      </w:rPr>
    </w:lvl>
    <w:lvl w:ilvl="1">
      <w:start w:val="8"/>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0EC54A4"/>
    <w:multiLevelType w:val="hybridMultilevel"/>
    <w:tmpl w:val="5688117C"/>
    <w:lvl w:ilvl="0" w:tplc="C48A98E6">
      <w:start w:val="1"/>
      <w:numFmt w:val="bullet"/>
      <w:pStyle w:val="WDBullets2"/>
      <w:lvlText w:val=""/>
      <w:lvlJc w:val="left"/>
      <w:pPr>
        <w:ind w:left="1494" w:hanging="360"/>
      </w:pPr>
      <w:rPr>
        <w:rFonts w:ascii="Wingdings 3" w:hAnsi="Wingdings 3" w:hint="default"/>
        <w:color w:val="0E2841" w:themeColor="text2"/>
        <w:sz w:val="16"/>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71A465C1"/>
    <w:multiLevelType w:val="hybridMultilevel"/>
    <w:tmpl w:val="4EB015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71E415EF"/>
    <w:multiLevelType w:val="hybridMultilevel"/>
    <w:tmpl w:val="A29229E8"/>
    <w:lvl w:ilvl="0" w:tplc="3A9E1D62">
      <w:start w:val="143"/>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E533A8"/>
    <w:multiLevelType w:val="multilevel"/>
    <w:tmpl w:val="338AC1B6"/>
    <w:lvl w:ilvl="0">
      <w:start w:val="5"/>
      <w:numFmt w:val="decimal"/>
      <w:lvlText w:val="%1"/>
      <w:lvlJc w:val="left"/>
      <w:pPr>
        <w:ind w:left="360" w:hanging="360"/>
      </w:pPr>
    </w:lvl>
    <w:lvl w:ilvl="1">
      <w:start w:val="1"/>
      <w:numFmt w:val="decimal"/>
      <w:lvlText w:val="%1.%2"/>
      <w:lvlJc w:val="left"/>
      <w:pPr>
        <w:ind w:left="928" w:hanging="360"/>
      </w:pPr>
      <w:rPr>
        <w:rFonts w:ascii="Arial" w:hAnsi="Arial" w:cs="Arial" w:hint="default"/>
        <w:b w:val="0"/>
        <w:bCs w:val="0"/>
        <w:i w:val="0"/>
        <w:iCs w:val="0"/>
        <w:color w:val="auto"/>
        <w:sz w:val="24"/>
        <w:szCs w:val="24"/>
      </w:rPr>
    </w:lvl>
    <w:lvl w:ilvl="2">
      <w:start w:val="1"/>
      <w:numFmt w:val="bullet"/>
      <w:lvlText w:val=""/>
      <w:lvlJc w:val="left"/>
      <w:pPr>
        <w:ind w:left="1080" w:hanging="360"/>
      </w:pPr>
      <w:rPr>
        <w:rFonts w:ascii="Symbol" w:hAnsi="Symbol" w:hint="default"/>
        <w:color w:val="auto"/>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9" w15:restartNumberingAfterBreak="0">
    <w:nsid w:val="720D1D68"/>
    <w:multiLevelType w:val="hybridMultilevel"/>
    <w:tmpl w:val="DA56A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502726"/>
    <w:multiLevelType w:val="hybridMultilevel"/>
    <w:tmpl w:val="EC52C4EA"/>
    <w:lvl w:ilvl="0" w:tplc="76BC7444">
      <w:start w:val="143"/>
      <w:numFmt w:val="decimal"/>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3DB69E1"/>
    <w:multiLevelType w:val="hybridMultilevel"/>
    <w:tmpl w:val="715AF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AA0CAB"/>
    <w:multiLevelType w:val="multilevel"/>
    <w:tmpl w:val="710EB066"/>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52841523">
    <w:abstractNumId w:val="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1666551">
    <w:abstractNumId w:val="14"/>
  </w:num>
  <w:num w:numId="3" w16cid:durableId="1682007087">
    <w:abstractNumId w:val="8"/>
  </w:num>
  <w:num w:numId="4" w16cid:durableId="631401984">
    <w:abstractNumId w:val="25"/>
  </w:num>
  <w:num w:numId="5" w16cid:durableId="20241591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2538474">
    <w:abstractNumId w:val="2"/>
  </w:num>
  <w:num w:numId="7" w16cid:durableId="176272370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9528200">
    <w:abstractNumId w:val="2"/>
  </w:num>
  <w:num w:numId="9" w16cid:durableId="554853809">
    <w:abstractNumId w:val="29"/>
  </w:num>
  <w:num w:numId="10" w16cid:durableId="629286187">
    <w:abstractNumId w:val="7"/>
  </w:num>
  <w:num w:numId="11" w16cid:durableId="1544754276">
    <w:abstractNumId w:val="11"/>
  </w:num>
  <w:num w:numId="12" w16cid:durableId="1877087163">
    <w:abstractNumId w:val="19"/>
  </w:num>
  <w:num w:numId="13" w16cid:durableId="1784154596">
    <w:abstractNumId w:val="3"/>
  </w:num>
  <w:num w:numId="14" w16cid:durableId="792789873">
    <w:abstractNumId w:val="1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3549247">
    <w:abstractNumId w:val="5"/>
    <w:lvlOverride w:ilvl="0">
      <w:startOverride w:val="3"/>
    </w:lvlOverride>
    <w:lvlOverride w:ilvl="1">
      <w:startOverride w:val="8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7467246">
    <w:abstractNumId w:val="24"/>
  </w:num>
  <w:num w:numId="17" w16cid:durableId="413168852">
    <w:abstractNumId w:val="21"/>
  </w:num>
  <w:num w:numId="18" w16cid:durableId="231473755">
    <w:abstractNumId w:val="4"/>
  </w:num>
  <w:num w:numId="19" w16cid:durableId="34086179">
    <w:abstractNumId w:val="1"/>
  </w:num>
  <w:num w:numId="20" w16cid:durableId="270434253">
    <w:abstractNumId w:val="18"/>
  </w:num>
  <w:num w:numId="21" w16cid:durableId="900871221">
    <w:abstractNumId w:val="13"/>
  </w:num>
  <w:num w:numId="22" w16cid:durableId="1757899618">
    <w:abstractNumId w:val="28"/>
    <w:lvlOverride w:ilvl="0">
      <w:startOverride w:val="5"/>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1084919">
    <w:abstractNumId w:val="32"/>
  </w:num>
  <w:num w:numId="24" w16cid:durableId="1928342919">
    <w:abstractNumId w:val="16"/>
  </w:num>
  <w:num w:numId="25" w16cid:durableId="1097284970">
    <w:abstractNumId w:val="20"/>
    <w:lvlOverride w:ilvl="0">
      <w:startOverride w:val="6"/>
    </w:lvlOverride>
    <w:lvlOverride w:ilvl="1">
      <w:startOverride w:val="1"/>
    </w:lvlOverride>
    <w:lvlOverride w:ilvl="2">
      <w:startOverride w:val="1"/>
    </w:lvlOverride>
    <w:lvlOverride w:ilvl="3"/>
    <w:lvlOverride w:ilvl="4"/>
    <w:lvlOverride w:ilvl="5"/>
    <w:lvlOverride w:ilvl="6"/>
    <w:lvlOverride w:ilvl="7"/>
    <w:lvlOverride w:ilvl="8"/>
  </w:num>
  <w:num w:numId="26" w16cid:durableId="818962297">
    <w:abstractNumId w:val="15"/>
  </w:num>
  <w:num w:numId="27" w16cid:durableId="1369531771">
    <w:abstractNumId w:val="31"/>
  </w:num>
  <w:num w:numId="28" w16cid:durableId="1538471683">
    <w:abstractNumId w:val="0"/>
  </w:num>
  <w:num w:numId="29" w16cid:durableId="354116219">
    <w:abstractNumId w:val="9"/>
  </w:num>
  <w:num w:numId="30" w16cid:durableId="756944501">
    <w:abstractNumId w:val="28"/>
    <w:lvlOverride w:ilvl="0">
      <w:startOverride w:val="5"/>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9645994">
    <w:abstractNumId w:val="10"/>
  </w:num>
  <w:num w:numId="32" w16cid:durableId="517307900">
    <w:abstractNumId w:val="26"/>
  </w:num>
  <w:num w:numId="33" w16cid:durableId="433137464">
    <w:abstractNumId w:val="22"/>
  </w:num>
  <w:num w:numId="34" w16cid:durableId="322900603">
    <w:abstractNumId w:val="27"/>
  </w:num>
  <w:num w:numId="35" w16cid:durableId="370148923">
    <w:abstractNumId w:val="30"/>
  </w:num>
  <w:num w:numId="36" w16cid:durableId="2144694102">
    <w:abstractNumId w:val="17"/>
  </w:num>
  <w:num w:numId="37" w16cid:durableId="13764618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AA"/>
    <w:rsid w:val="00004D6B"/>
    <w:rsid w:val="00014DF2"/>
    <w:rsid w:val="000463C0"/>
    <w:rsid w:val="00047435"/>
    <w:rsid w:val="000517C6"/>
    <w:rsid w:val="000534EF"/>
    <w:rsid w:val="000704BB"/>
    <w:rsid w:val="00077C2D"/>
    <w:rsid w:val="00083106"/>
    <w:rsid w:val="000861F4"/>
    <w:rsid w:val="00092F5F"/>
    <w:rsid w:val="000944B4"/>
    <w:rsid w:val="000B13EB"/>
    <w:rsid w:val="000C657D"/>
    <w:rsid w:val="000C666C"/>
    <w:rsid w:val="00101EE0"/>
    <w:rsid w:val="001070FE"/>
    <w:rsid w:val="001249EF"/>
    <w:rsid w:val="001437E6"/>
    <w:rsid w:val="00144974"/>
    <w:rsid w:val="00146AFF"/>
    <w:rsid w:val="00150C3C"/>
    <w:rsid w:val="00153C0B"/>
    <w:rsid w:val="0016145C"/>
    <w:rsid w:val="00175137"/>
    <w:rsid w:val="001A5653"/>
    <w:rsid w:val="001C153D"/>
    <w:rsid w:val="001C4B8F"/>
    <w:rsid w:val="001C5817"/>
    <w:rsid w:val="001D517B"/>
    <w:rsid w:val="001E1473"/>
    <w:rsid w:val="00220732"/>
    <w:rsid w:val="00226DE3"/>
    <w:rsid w:val="00232FFD"/>
    <w:rsid w:val="00237A9E"/>
    <w:rsid w:val="00246C64"/>
    <w:rsid w:val="0025168A"/>
    <w:rsid w:val="00251ED0"/>
    <w:rsid w:val="002540F9"/>
    <w:rsid w:val="00270EB9"/>
    <w:rsid w:val="00276AB0"/>
    <w:rsid w:val="002771AD"/>
    <w:rsid w:val="00286736"/>
    <w:rsid w:val="00295206"/>
    <w:rsid w:val="002B20A3"/>
    <w:rsid w:val="002E3745"/>
    <w:rsid w:val="002E4946"/>
    <w:rsid w:val="002F5309"/>
    <w:rsid w:val="00310F01"/>
    <w:rsid w:val="00325C34"/>
    <w:rsid w:val="00325DA9"/>
    <w:rsid w:val="00353039"/>
    <w:rsid w:val="00366DD7"/>
    <w:rsid w:val="00371D8B"/>
    <w:rsid w:val="003A041E"/>
    <w:rsid w:val="003A1825"/>
    <w:rsid w:val="003A214C"/>
    <w:rsid w:val="003A66CA"/>
    <w:rsid w:val="003E07B9"/>
    <w:rsid w:val="003E0887"/>
    <w:rsid w:val="003F5869"/>
    <w:rsid w:val="003F7E97"/>
    <w:rsid w:val="00402164"/>
    <w:rsid w:val="004032CB"/>
    <w:rsid w:val="00436BD0"/>
    <w:rsid w:val="004450EF"/>
    <w:rsid w:val="004A0C42"/>
    <w:rsid w:val="004A5B20"/>
    <w:rsid w:val="004B00F6"/>
    <w:rsid w:val="004B0372"/>
    <w:rsid w:val="004B7709"/>
    <w:rsid w:val="004C1243"/>
    <w:rsid w:val="005062A4"/>
    <w:rsid w:val="00512776"/>
    <w:rsid w:val="0052384D"/>
    <w:rsid w:val="0054364F"/>
    <w:rsid w:val="00550310"/>
    <w:rsid w:val="0055393E"/>
    <w:rsid w:val="00556367"/>
    <w:rsid w:val="0056137F"/>
    <w:rsid w:val="0057218A"/>
    <w:rsid w:val="00585BD2"/>
    <w:rsid w:val="005B2EE3"/>
    <w:rsid w:val="005B2FA0"/>
    <w:rsid w:val="005C3DAF"/>
    <w:rsid w:val="005C5B55"/>
    <w:rsid w:val="005E0F12"/>
    <w:rsid w:val="005E5263"/>
    <w:rsid w:val="006029EB"/>
    <w:rsid w:val="00606A3A"/>
    <w:rsid w:val="006214C2"/>
    <w:rsid w:val="00627DF7"/>
    <w:rsid w:val="00631B79"/>
    <w:rsid w:val="00640BB8"/>
    <w:rsid w:val="00657E09"/>
    <w:rsid w:val="006627B1"/>
    <w:rsid w:val="006B4D8F"/>
    <w:rsid w:val="006D45D0"/>
    <w:rsid w:val="006F1C7D"/>
    <w:rsid w:val="006F77BB"/>
    <w:rsid w:val="007037B0"/>
    <w:rsid w:val="00704EC1"/>
    <w:rsid w:val="00733ABD"/>
    <w:rsid w:val="007412F6"/>
    <w:rsid w:val="007B0774"/>
    <w:rsid w:val="007C1870"/>
    <w:rsid w:val="007C69DC"/>
    <w:rsid w:val="007C74EA"/>
    <w:rsid w:val="007D4182"/>
    <w:rsid w:val="007F0830"/>
    <w:rsid w:val="007F0C08"/>
    <w:rsid w:val="00826F6E"/>
    <w:rsid w:val="00827B77"/>
    <w:rsid w:val="00833DA7"/>
    <w:rsid w:val="008364B0"/>
    <w:rsid w:val="008443CB"/>
    <w:rsid w:val="0084476D"/>
    <w:rsid w:val="008461FA"/>
    <w:rsid w:val="008655AA"/>
    <w:rsid w:val="00866296"/>
    <w:rsid w:val="00882EC0"/>
    <w:rsid w:val="00890B7B"/>
    <w:rsid w:val="008B19D0"/>
    <w:rsid w:val="008C1460"/>
    <w:rsid w:val="008C464E"/>
    <w:rsid w:val="008C56EA"/>
    <w:rsid w:val="008C7468"/>
    <w:rsid w:val="008D4DFB"/>
    <w:rsid w:val="008E2065"/>
    <w:rsid w:val="008E53A2"/>
    <w:rsid w:val="00901445"/>
    <w:rsid w:val="00910E6E"/>
    <w:rsid w:val="0094390B"/>
    <w:rsid w:val="00994E48"/>
    <w:rsid w:val="009A72F1"/>
    <w:rsid w:val="009A7CFB"/>
    <w:rsid w:val="009B1B52"/>
    <w:rsid w:val="009C25A3"/>
    <w:rsid w:val="009C3CD7"/>
    <w:rsid w:val="009C6F35"/>
    <w:rsid w:val="00A10DF8"/>
    <w:rsid w:val="00A229A1"/>
    <w:rsid w:val="00A2408B"/>
    <w:rsid w:val="00A30F40"/>
    <w:rsid w:val="00A35408"/>
    <w:rsid w:val="00A424A2"/>
    <w:rsid w:val="00A57594"/>
    <w:rsid w:val="00A73FBF"/>
    <w:rsid w:val="00A875A8"/>
    <w:rsid w:val="00A90756"/>
    <w:rsid w:val="00AA307F"/>
    <w:rsid w:val="00AF7E0C"/>
    <w:rsid w:val="00B10B53"/>
    <w:rsid w:val="00B26ECC"/>
    <w:rsid w:val="00B35D7A"/>
    <w:rsid w:val="00B36FCF"/>
    <w:rsid w:val="00B37BBD"/>
    <w:rsid w:val="00B37C2D"/>
    <w:rsid w:val="00B401C2"/>
    <w:rsid w:val="00B45554"/>
    <w:rsid w:val="00B67B42"/>
    <w:rsid w:val="00B71B1A"/>
    <w:rsid w:val="00B807D6"/>
    <w:rsid w:val="00B85DEA"/>
    <w:rsid w:val="00BA3850"/>
    <w:rsid w:val="00BA3B17"/>
    <w:rsid w:val="00BB2460"/>
    <w:rsid w:val="00BB520C"/>
    <w:rsid w:val="00BC3D24"/>
    <w:rsid w:val="00BC5A58"/>
    <w:rsid w:val="00BD3DEC"/>
    <w:rsid w:val="00BD4241"/>
    <w:rsid w:val="00BE7888"/>
    <w:rsid w:val="00C02F62"/>
    <w:rsid w:val="00C044FC"/>
    <w:rsid w:val="00C05527"/>
    <w:rsid w:val="00C10C37"/>
    <w:rsid w:val="00C232FF"/>
    <w:rsid w:val="00C46DBA"/>
    <w:rsid w:val="00C57EE1"/>
    <w:rsid w:val="00C63847"/>
    <w:rsid w:val="00C715B3"/>
    <w:rsid w:val="00C83B74"/>
    <w:rsid w:val="00CA579E"/>
    <w:rsid w:val="00CB1452"/>
    <w:rsid w:val="00CC78AE"/>
    <w:rsid w:val="00CD104A"/>
    <w:rsid w:val="00CD5AF8"/>
    <w:rsid w:val="00CD693B"/>
    <w:rsid w:val="00CE72AE"/>
    <w:rsid w:val="00D16BE7"/>
    <w:rsid w:val="00D2267D"/>
    <w:rsid w:val="00D54C0F"/>
    <w:rsid w:val="00D60AEB"/>
    <w:rsid w:val="00D7057A"/>
    <w:rsid w:val="00D9193B"/>
    <w:rsid w:val="00D9558C"/>
    <w:rsid w:val="00D974AB"/>
    <w:rsid w:val="00DA1917"/>
    <w:rsid w:val="00DA427F"/>
    <w:rsid w:val="00DB1F70"/>
    <w:rsid w:val="00DC40C2"/>
    <w:rsid w:val="00DD064F"/>
    <w:rsid w:val="00DD4FCA"/>
    <w:rsid w:val="00DD75D3"/>
    <w:rsid w:val="00DF18EB"/>
    <w:rsid w:val="00E024A5"/>
    <w:rsid w:val="00E272BD"/>
    <w:rsid w:val="00E45488"/>
    <w:rsid w:val="00E5314E"/>
    <w:rsid w:val="00E61595"/>
    <w:rsid w:val="00E72CEB"/>
    <w:rsid w:val="00EA78BB"/>
    <w:rsid w:val="00EB1123"/>
    <w:rsid w:val="00EB7CD9"/>
    <w:rsid w:val="00EC021B"/>
    <w:rsid w:val="00ED0688"/>
    <w:rsid w:val="00ED4F53"/>
    <w:rsid w:val="00ED4FD0"/>
    <w:rsid w:val="00F3385F"/>
    <w:rsid w:val="00F431CF"/>
    <w:rsid w:val="00F44426"/>
    <w:rsid w:val="00F45863"/>
    <w:rsid w:val="00F71B85"/>
    <w:rsid w:val="00F876CB"/>
    <w:rsid w:val="00FA525B"/>
    <w:rsid w:val="00FA779E"/>
    <w:rsid w:val="00FC4B2A"/>
    <w:rsid w:val="00FD7820"/>
    <w:rsid w:val="00FE02E6"/>
    <w:rsid w:val="00FE0BF1"/>
    <w:rsid w:val="00FE5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195CE"/>
  <w15:chartTrackingRefBased/>
  <w15:docId w15:val="{9114E89B-D17E-4AB4-A51A-561FE6E3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241"/>
    <w:rPr>
      <w:rFonts w:ascii="Arial" w:hAnsi="Arial"/>
      <w:kern w:val="0"/>
      <w:sz w:val="24"/>
      <w14:ligatures w14:val="none"/>
    </w:rPr>
  </w:style>
  <w:style w:type="paragraph" w:styleId="Heading1">
    <w:name w:val="heading 1"/>
    <w:aliases w:val="Lev 1,Do Not Use,Chapter,Chapter head,L1,CH,. (1.0),Chapter Hdg,Section,Heading 1 - chapter,Numbered 1,Hoofdstuk,Section Heading,H1,H11,H12,chapter heading,Oscar Faber 1,Heading 1 Char1,Heading 1 Char Char,chapter heading Char Char,Chapter1"/>
    <w:basedOn w:val="Normal"/>
    <w:next w:val="Normal"/>
    <w:link w:val="Heading1Char"/>
    <w:uiPriority w:val="9"/>
    <w:qFormat/>
    <w:rsid w:val="00A2408B"/>
    <w:pPr>
      <w:keepNext/>
      <w:keepLines/>
      <w:spacing w:before="320" w:after="40"/>
      <w:jc w:val="center"/>
      <w:outlineLvl w:val="0"/>
    </w:pPr>
    <w:rPr>
      <w:rFonts w:eastAsiaTheme="majorEastAsia" w:cstheme="majorBidi"/>
      <w:b/>
      <w:bCs/>
      <w:spacing w:val="4"/>
      <w:sz w:val="36"/>
      <w:szCs w:val="36"/>
    </w:rPr>
  </w:style>
  <w:style w:type="paragraph" w:styleId="Heading2">
    <w:name w:val="heading 2"/>
    <w:aliases w:val="Lev 2,Letter Level 1,Section head,L2,SH,. (1.1),Para Nos,Paragraph,Heading 2 - section,Numbered 2,Para ,Oscar Faber 2,Subheading,IntMemo Level 1,h2,Bijlage,Reset numbering,Major,Para,H2,H21,H22,level 1 subhead,Section1,Section2,Section3"/>
    <w:basedOn w:val="Normal"/>
    <w:next w:val="Normal"/>
    <w:link w:val="Heading2Char"/>
    <w:uiPriority w:val="9"/>
    <w:unhideWhenUsed/>
    <w:qFormat/>
    <w:rsid w:val="00BD4241"/>
    <w:pPr>
      <w:keepNext/>
      <w:keepLines/>
      <w:spacing w:before="120"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B401C2"/>
    <w:pPr>
      <w:jc w:val="left"/>
      <w:outlineLvl w:val="2"/>
    </w:pPr>
    <w:rPr>
      <w:b/>
      <w:bCs/>
      <w:i/>
      <w:iCs/>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paragraph" w:styleId="Heading7">
    <w:name w:val="heading 7"/>
    <w:aliases w:val="Do Not Use 7,Appendix 2,Legal Level 1.1.,L7,. [(1)],Ignore,Ignore!,RSK-H7,RSK-H71,RSK-H72,level 2 bullets"/>
    <w:basedOn w:val="Normal"/>
    <w:next w:val="Normal"/>
    <w:link w:val="Heading7Char"/>
    <w:uiPriority w:val="9"/>
    <w:unhideWhenUsed/>
    <w:qFormat/>
    <w:rsid w:val="008655A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aliases w:val="Do Not Use 8,Appendix 3,Legal Level 1.1.1.,L8,. [(a)],Ignore me,Ignore!!,RSKH8,RSKH81,RSKH82"/>
    <w:basedOn w:val="Normal"/>
    <w:next w:val="Normal"/>
    <w:link w:val="Heading8Char"/>
    <w:uiPriority w:val="9"/>
    <w:unhideWhenUsed/>
    <w:qFormat/>
    <w:rsid w:val="008655A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aliases w:val="Do Not Use 9,Appendix 4,Legal Level 1.1.1.1.,L9,. [(iii)],Table header,Table header1,Table header2,Table header11,Table header3,Table header12,Ignore this,Ignore!!!,RSK-H9,RSK-H91,RSK-H92"/>
    <w:basedOn w:val="Normal"/>
    <w:next w:val="Normal"/>
    <w:link w:val="Heading9Char"/>
    <w:uiPriority w:val="9"/>
    <w:unhideWhenUsed/>
    <w:qFormat/>
    <w:rsid w:val="008655A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 1 Char,Do Not Use Char,Chapter Char,Chapter head Char,L1 Char,CH Char,. (1.0) Char,Chapter Hdg Char,Section Char,Heading 1 - chapter Char,Numbered 1 Char,Hoofdstuk Char,Section Heading Char,H1 Char,H11 Char,H12 Char,Oscar Faber 1 Char"/>
    <w:basedOn w:val="DefaultParagraphFont"/>
    <w:link w:val="Heading1"/>
    <w:uiPriority w:val="9"/>
    <w:rsid w:val="00A2408B"/>
    <w:rPr>
      <w:rFonts w:ascii="Arial" w:eastAsiaTheme="majorEastAsia" w:hAnsi="Arial" w:cstheme="majorBidi"/>
      <w:b/>
      <w:bCs/>
      <w:spacing w:val="4"/>
      <w:kern w:val="0"/>
      <w:sz w:val="36"/>
      <w:szCs w:val="36"/>
      <w14:ligatures w14:val="none"/>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aliases w:val="Lev 2 Char,Letter Level 1 Char,Section head Char,L2 Char,SH Char,. (1.1) Char,Para Nos Char,Paragraph Char,Heading 2 - section Char,Numbered 2 Char,Para  Char,Oscar Faber 2 Char,Subheading Char,IntMemo Level 1 Char,h2 Char,Bijlage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B401C2"/>
    <w:rPr>
      <w:rFonts w:ascii="Arial" w:hAnsi="Arial"/>
      <w:b/>
      <w:bCs/>
      <w:i/>
      <w:iCs/>
      <w:kern w:val="0"/>
      <w:sz w:val="24"/>
      <w14:ligatures w14:val="none"/>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aliases w:val="Paragraph 1"/>
    <w:basedOn w:val="Normal"/>
    <w:link w:val="ListParagraphChar"/>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aliases w:val="Do Not Use 7 Char,Appendix 2 Char,Legal Level 1.1. Char,L7 Char,. [(1)] Char,Ignore Char,Ignore! Char,RSK-H7 Char,RSK-H71 Char,RSK-H72 Char,level 2 bullets Char"/>
    <w:basedOn w:val="DefaultParagraphFont"/>
    <w:link w:val="Heading7"/>
    <w:uiPriority w:val="9"/>
    <w:semiHidden/>
    <w:rsid w:val="008655AA"/>
    <w:rPr>
      <w:rFonts w:eastAsiaTheme="majorEastAsia" w:cstheme="majorBidi"/>
      <w:color w:val="595959" w:themeColor="text1" w:themeTint="A6"/>
      <w:kern w:val="0"/>
      <w:sz w:val="24"/>
      <w14:ligatures w14:val="none"/>
    </w:rPr>
  </w:style>
  <w:style w:type="character" w:customStyle="1" w:styleId="Heading8Char">
    <w:name w:val="Heading 8 Char"/>
    <w:aliases w:val="Do Not Use 8 Char,Appendix 3 Char,Legal Level 1.1.1. Char,L8 Char,. [(a)] Char,Ignore me Char,Ignore!! Char,RSKH8 Char,RSKH81 Char,RSKH82 Char"/>
    <w:basedOn w:val="DefaultParagraphFont"/>
    <w:link w:val="Heading8"/>
    <w:uiPriority w:val="9"/>
    <w:semiHidden/>
    <w:rsid w:val="008655AA"/>
    <w:rPr>
      <w:rFonts w:eastAsiaTheme="majorEastAsia" w:cstheme="majorBidi"/>
      <w:i/>
      <w:iCs/>
      <w:color w:val="272727" w:themeColor="text1" w:themeTint="D8"/>
      <w:kern w:val="0"/>
      <w:sz w:val="24"/>
      <w14:ligatures w14:val="none"/>
    </w:rPr>
  </w:style>
  <w:style w:type="character" w:customStyle="1" w:styleId="Heading9Char">
    <w:name w:val="Heading 9 Char"/>
    <w:aliases w:val="Do Not Use 9 Char,Appendix 4 Char,Legal Level 1.1.1.1. Char,L9 Char,. [(iii)] Char,Table header Char,Table header1 Char,Table header2 Char,Table header11 Char,Table header3 Char,Table header12 Char,Ignore this Char,Ignore!!! Char"/>
    <w:basedOn w:val="DefaultParagraphFont"/>
    <w:link w:val="Heading9"/>
    <w:uiPriority w:val="9"/>
    <w:semiHidden/>
    <w:rsid w:val="008655AA"/>
    <w:rPr>
      <w:rFonts w:eastAsiaTheme="majorEastAsia" w:cstheme="majorBidi"/>
      <w:color w:val="272727" w:themeColor="text1" w:themeTint="D8"/>
      <w:kern w:val="0"/>
      <w:sz w:val="24"/>
      <w14:ligatures w14:val="none"/>
    </w:rPr>
  </w:style>
  <w:style w:type="table" w:styleId="TableGrid">
    <w:name w:val="Table Grid"/>
    <w:basedOn w:val="TableNormal"/>
    <w:uiPriority w:val="39"/>
    <w:rsid w:val="00F71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1B85"/>
    <w:rPr>
      <w:color w:val="467886" w:themeColor="hyperlink"/>
      <w:u w:val="single"/>
    </w:rPr>
  </w:style>
  <w:style w:type="paragraph" w:styleId="FootnoteText">
    <w:name w:val="footnote text"/>
    <w:basedOn w:val="Normal"/>
    <w:link w:val="FootnoteTextChar"/>
    <w:uiPriority w:val="99"/>
    <w:semiHidden/>
    <w:unhideWhenUsed/>
    <w:rsid w:val="000C657D"/>
    <w:pPr>
      <w:spacing w:after="0"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0C657D"/>
    <w:rPr>
      <w:kern w:val="0"/>
      <w:sz w:val="20"/>
      <w:szCs w:val="20"/>
      <w14:ligatures w14:val="none"/>
    </w:rPr>
  </w:style>
  <w:style w:type="character" w:customStyle="1" w:styleId="ListParagraphChar">
    <w:name w:val="List Paragraph Char"/>
    <w:aliases w:val="Paragraph 1 Char"/>
    <w:link w:val="ListParagraph"/>
    <w:uiPriority w:val="34"/>
    <w:locked/>
    <w:rsid w:val="000C657D"/>
    <w:rPr>
      <w:rFonts w:ascii="Arial" w:hAnsi="Arial"/>
      <w:kern w:val="0"/>
      <w:sz w:val="24"/>
      <w14:ligatures w14:val="none"/>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FR"/>
    <w:basedOn w:val="DefaultParagraphFont"/>
    <w:uiPriority w:val="99"/>
    <w:unhideWhenUsed/>
    <w:qFormat/>
    <w:rsid w:val="000C657D"/>
    <w:rPr>
      <w:vertAlign w:val="superscript"/>
    </w:rPr>
  </w:style>
  <w:style w:type="character" w:styleId="FollowedHyperlink">
    <w:name w:val="FollowedHyperlink"/>
    <w:basedOn w:val="DefaultParagraphFont"/>
    <w:uiPriority w:val="99"/>
    <w:semiHidden/>
    <w:unhideWhenUsed/>
    <w:rsid w:val="000C657D"/>
    <w:rPr>
      <w:color w:val="96607D" w:themeColor="followedHyperlink"/>
      <w:u w:val="single"/>
    </w:rPr>
  </w:style>
  <w:style w:type="numbering" w:customStyle="1" w:styleId="AMECHeadings">
    <w:name w:val="AMEC_Headings"/>
    <w:uiPriority w:val="99"/>
    <w:rsid w:val="007F0830"/>
    <w:pPr>
      <w:numPr>
        <w:numId w:val="2"/>
      </w:numPr>
    </w:pPr>
  </w:style>
  <w:style w:type="paragraph" w:customStyle="1" w:styleId="WDBodyNumbered">
    <w:name w:val="WD Body Numbered"/>
    <w:aliases w:val="Paranums,AFW Body Numbered"/>
    <w:basedOn w:val="Normal"/>
    <w:qFormat/>
    <w:rsid w:val="007F0830"/>
    <w:pPr>
      <w:spacing w:line="240" w:lineRule="atLeast"/>
      <w:ind w:left="851" w:hanging="851"/>
      <w:jc w:val="left"/>
    </w:pPr>
    <w:rPr>
      <w:rFonts w:ascii="Segoe UI" w:hAnsi="Segoe UI"/>
      <w:color w:val="000000"/>
      <w:sz w:val="22"/>
    </w:rPr>
  </w:style>
  <w:style w:type="paragraph" w:customStyle="1" w:styleId="WDBullets">
    <w:name w:val="WD Bullets"/>
    <w:aliases w:val="Bullets 1,AFW Bullets,AFW Bullets B+W"/>
    <w:basedOn w:val="Normal"/>
    <w:qFormat/>
    <w:rsid w:val="007F0830"/>
    <w:pPr>
      <w:numPr>
        <w:numId w:val="3"/>
      </w:numPr>
      <w:spacing w:line="240" w:lineRule="atLeast"/>
      <w:jc w:val="left"/>
    </w:pPr>
    <w:rPr>
      <w:rFonts w:ascii="Segoe UI" w:hAnsi="Segoe UI"/>
      <w:color w:val="000000"/>
      <w:sz w:val="22"/>
    </w:rPr>
  </w:style>
  <w:style w:type="paragraph" w:customStyle="1" w:styleId="WDBullets2">
    <w:name w:val="WD Bullets 2"/>
    <w:aliases w:val="Bullets 2,AFW Bullets 2,AFW Bullets 2 B+W"/>
    <w:basedOn w:val="WDBullets"/>
    <w:qFormat/>
    <w:rsid w:val="00083106"/>
    <w:pPr>
      <w:numPr>
        <w:numId w:val="4"/>
      </w:numPr>
    </w:pPr>
  </w:style>
  <w:style w:type="paragraph" w:customStyle="1" w:styleId="Default">
    <w:name w:val="Default"/>
    <w:rsid w:val="008461FA"/>
    <w:pPr>
      <w:autoSpaceDE w:val="0"/>
      <w:autoSpaceDN w:val="0"/>
      <w:adjustRightInd w:val="0"/>
      <w:spacing w:after="0" w:line="240" w:lineRule="auto"/>
      <w:jc w:val="left"/>
    </w:pPr>
    <w:rPr>
      <w:rFonts w:ascii="Arial" w:hAnsi="Arial" w:cs="Arial"/>
      <w:color w:val="000000"/>
      <w:kern w:val="0"/>
      <w:sz w:val="24"/>
      <w:szCs w:val="24"/>
      <w14:ligatures w14:val="none"/>
    </w:rPr>
  </w:style>
  <w:style w:type="paragraph" w:customStyle="1" w:styleId="CM33">
    <w:name w:val="CM33"/>
    <w:basedOn w:val="Default"/>
    <w:next w:val="Default"/>
    <w:uiPriority w:val="99"/>
    <w:rsid w:val="008461FA"/>
    <w:rPr>
      <w:color w:val="auto"/>
    </w:rPr>
  </w:style>
  <w:style w:type="paragraph" w:customStyle="1" w:styleId="CM44">
    <w:name w:val="CM44"/>
    <w:basedOn w:val="Default"/>
    <w:next w:val="Default"/>
    <w:uiPriority w:val="99"/>
    <w:rsid w:val="008461FA"/>
    <w:rPr>
      <w:color w:val="auto"/>
    </w:rPr>
  </w:style>
  <w:style w:type="paragraph" w:customStyle="1" w:styleId="CM41">
    <w:name w:val="CM41"/>
    <w:basedOn w:val="Normal"/>
    <w:next w:val="Normal"/>
    <w:uiPriority w:val="99"/>
    <w:rsid w:val="001C5817"/>
    <w:pPr>
      <w:autoSpaceDE w:val="0"/>
      <w:autoSpaceDN w:val="0"/>
      <w:adjustRightInd w:val="0"/>
      <w:spacing w:after="0" w:line="240" w:lineRule="auto"/>
      <w:jc w:val="left"/>
    </w:pPr>
    <w:rPr>
      <w:rFonts w:cs="Arial"/>
      <w:szCs w:val="24"/>
    </w:rPr>
  </w:style>
  <w:style w:type="table" w:customStyle="1" w:styleId="ReportTable1">
    <w:name w:val="Report Table1"/>
    <w:basedOn w:val="TableNormal"/>
    <w:next w:val="TableGrid"/>
    <w:rsid w:val="00CD104A"/>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2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4A2"/>
    <w:rPr>
      <w:rFonts w:ascii="Arial" w:hAnsi="Arial"/>
      <w:kern w:val="0"/>
      <w:sz w:val="24"/>
      <w14:ligatures w14:val="none"/>
    </w:rPr>
  </w:style>
  <w:style w:type="paragraph" w:styleId="Footer">
    <w:name w:val="footer"/>
    <w:basedOn w:val="Normal"/>
    <w:link w:val="FooterChar"/>
    <w:uiPriority w:val="99"/>
    <w:unhideWhenUsed/>
    <w:rsid w:val="00A424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4A2"/>
    <w:rPr>
      <w:rFonts w:ascii="Arial" w:hAnsi="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8184">
      <w:bodyDiv w:val="1"/>
      <w:marLeft w:val="0"/>
      <w:marRight w:val="0"/>
      <w:marTop w:val="0"/>
      <w:marBottom w:val="0"/>
      <w:divBdr>
        <w:top w:val="none" w:sz="0" w:space="0" w:color="auto"/>
        <w:left w:val="none" w:sz="0" w:space="0" w:color="auto"/>
        <w:bottom w:val="none" w:sz="0" w:space="0" w:color="auto"/>
        <w:right w:val="none" w:sz="0" w:space="0" w:color="auto"/>
      </w:divBdr>
    </w:div>
    <w:div w:id="56588274">
      <w:bodyDiv w:val="1"/>
      <w:marLeft w:val="0"/>
      <w:marRight w:val="0"/>
      <w:marTop w:val="0"/>
      <w:marBottom w:val="0"/>
      <w:divBdr>
        <w:top w:val="none" w:sz="0" w:space="0" w:color="auto"/>
        <w:left w:val="none" w:sz="0" w:space="0" w:color="auto"/>
        <w:bottom w:val="none" w:sz="0" w:space="0" w:color="auto"/>
        <w:right w:val="none" w:sz="0" w:space="0" w:color="auto"/>
      </w:divBdr>
    </w:div>
    <w:div w:id="68844917">
      <w:bodyDiv w:val="1"/>
      <w:marLeft w:val="0"/>
      <w:marRight w:val="0"/>
      <w:marTop w:val="0"/>
      <w:marBottom w:val="0"/>
      <w:divBdr>
        <w:top w:val="none" w:sz="0" w:space="0" w:color="auto"/>
        <w:left w:val="none" w:sz="0" w:space="0" w:color="auto"/>
        <w:bottom w:val="none" w:sz="0" w:space="0" w:color="auto"/>
        <w:right w:val="none" w:sz="0" w:space="0" w:color="auto"/>
      </w:divBdr>
    </w:div>
    <w:div w:id="81072929">
      <w:bodyDiv w:val="1"/>
      <w:marLeft w:val="0"/>
      <w:marRight w:val="0"/>
      <w:marTop w:val="0"/>
      <w:marBottom w:val="0"/>
      <w:divBdr>
        <w:top w:val="none" w:sz="0" w:space="0" w:color="auto"/>
        <w:left w:val="none" w:sz="0" w:space="0" w:color="auto"/>
        <w:bottom w:val="none" w:sz="0" w:space="0" w:color="auto"/>
        <w:right w:val="none" w:sz="0" w:space="0" w:color="auto"/>
      </w:divBdr>
    </w:div>
    <w:div w:id="146677209">
      <w:bodyDiv w:val="1"/>
      <w:marLeft w:val="0"/>
      <w:marRight w:val="0"/>
      <w:marTop w:val="0"/>
      <w:marBottom w:val="0"/>
      <w:divBdr>
        <w:top w:val="none" w:sz="0" w:space="0" w:color="auto"/>
        <w:left w:val="none" w:sz="0" w:space="0" w:color="auto"/>
        <w:bottom w:val="none" w:sz="0" w:space="0" w:color="auto"/>
        <w:right w:val="none" w:sz="0" w:space="0" w:color="auto"/>
      </w:divBdr>
    </w:div>
    <w:div w:id="163516828">
      <w:bodyDiv w:val="1"/>
      <w:marLeft w:val="0"/>
      <w:marRight w:val="0"/>
      <w:marTop w:val="0"/>
      <w:marBottom w:val="0"/>
      <w:divBdr>
        <w:top w:val="none" w:sz="0" w:space="0" w:color="auto"/>
        <w:left w:val="none" w:sz="0" w:space="0" w:color="auto"/>
        <w:bottom w:val="none" w:sz="0" w:space="0" w:color="auto"/>
        <w:right w:val="none" w:sz="0" w:space="0" w:color="auto"/>
      </w:divBdr>
    </w:div>
    <w:div w:id="613828498">
      <w:bodyDiv w:val="1"/>
      <w:marLeft w:val="0"/>
      <w:marRight w:val="0"/>
      <w:marTop w:val="0"/>
      <w:marBottom w:val="0"/>
      <w:divBdr>
        <w:top w:val="none" w:sz="0" w:space="0" w:color="auto"/>
        <w:left w:val="none" w:sz="0" w:space="0" w:color="auto"/>
        <w:bottom w:val="none" w:sz="0" w:space="0" w:color="auto"/>
        <w:right w:val="none" w:sz="0" w:space="0" w:color="auto"/>
      </w:divBdr>
    </w:div>
    <w:div w:id="735934261">
      <w:bodyDiv w:val="1"/>
      <w:marLeft w:val="0"/>
      <w:marRight w:val="0"/>
      <w:marTop w:val="0"/>
      <w:marBottom w:val="0"/>
      <w:divBdr>
        <w:top w:val="none" w:sz="0" w:space="0" w:color="auto"/>
        <w:left w:val="none" w:sz="0" w:space="0" w:color="auto"/>
        <w:bottom w:val="none" w:sz="0" w:space="0" w:color="auto"/>
        <w:right w:val="none" w:sz="0" w:space="0" w:color="auto"/>
      </w:divBdr>
    </w:div>
    <w:div w:id="784887554">
      <w:bodyDiv w:val="1"/>
      <w:marLeft w:val="0"/>
      <w:marRight w:val="0"/>
      <w:marTop w:val="0"/>
      <w:marBottom w:val="0"/>
      <w:divBdr>
        <w:top w:val="none" w:sz="0" w:space="0" w:color="auto"/>
        <w:left w:val="none" w:sz="0" w:space="0" w:color="auto"/>
        <w:bottom w:val="none" w:sz="0" w:space="0" w:color="auto"/>
        <w:right w:val="none" w:sz="0" w:space="0" w:color="auto"/>
      </w:divBdr>
    </w:div>
    <w:div w:id="798886420">
      <w:bodyDiv w:val="1"/>
      <w:marLeft w:val="0"/>
      <w:marRight w:val="0"/>
      <w:marTop w:val="0"/>
      <w:marBottom w:val="0"/>
      <w:divBdr>
        <w:top w:val="none" w:sz="0" w:space="0" w:color="auto"/>
        <w:left w:val="none" w:sz="0" w:space="0" w:color="auto"/>
        <w:bottom w:val="none" w:sz="0" w:space="0" w:color="auto"/>
        <w:right w:val="none" w:sz="0" w:space="0" w:color="auto"/>
      </w:divBdr>
    </w:div>
    <w:div w:id="972104599">
      <w:bodyDiv w:val="1"/>
      <w:marLeft w:val="0"/>
      <w:marRight w:val="0"/>
      <w:marTop w:val="0"/>
      <w:marBottom w:val="0"/>
      <w:divBdr>
        <w:top w:val="none" w:sz="0" w:space="0" w:color="auto"/>
        <w:left w:val="none" w:sz="0" w:space="0" w:color="auto"/>
        <w:bottom w:val="none" w:sz="0" w:space="0" w:color="auto"/>
        <w:right w:val="none" w:sz="0" w:space="0" w:color="auto"/>
      </w:divBdr>
    </w:div>
    <w:div w:id="1015233673">
      <w:bodyDiv w:val="1"/>
      <w:marLeft w:val="0"/>
      <w:marRight w:val="0"/>
      <w:marTop w:val="0"/>
      <w:marBottom w:val="0"/>
      <w:divBdr>
        <w:top w:val="none" w:sz="0" w:space="0" w:color="auto"/>
        <w:left w:val="none" w:sz="0" w:space="0" w:color="auto"/>
        <w:bottom w:val="none" w:sz="0" w:space="0" w:color="auto"/>
        <w:right w:val="none" w:sz="0" w:space="0" w:color="auto"/>
      </w:divBdr>
    </w:div>
    <w:div w:id="1048453573">
      <w:bodyDiv w:val="1"/>
      <w:marLeft w:val="0"/>
      <w:marRight w:val="0"/>
      <w:marTop w:val="0"/>
      <w:marBottom w:val="0"/>
      <w:divBdr>
        <w:top w:val="none" w:sz="0" w:space="0" w:color="auto"/>
        <w:left w:val="none" w:sz="0" w:space="0" w:color="auto"/>
        <w:bottom w:val="none" w:sz="0" w:space="0" w:color="auto"/>
        <w:right w:val="none" w:sz="0" w:space="0" w:color="auto"/>
      </w:divBdr>
    </w:div>
    <w:div w:id="1061177258">
      <w:bodyDiv w:val="1"/>
      <w:marLeft w:val="0"/>
      <w:marRight w:val="0"/>
      <w:marTop w:val="0"/>
      <w:marBottom w:val="0"/>
      <w:divBdr>
        <w:top w:val="none" w:sz="0" w:space="0" w:color="auto"/>
        <w:left w:val="none" w:sz="0" w:space="0" w:color="auto"/>
        <w:bottom w:val="none" w:sz="0" w:space="0" w:color="auto"/>
        <w:right w:val="none" w:sz="0" w:space="0" w:color="auto"/>
      </w:divBdr>
    </w:div>
    <w:div w:id="1073308904">
      <w:bodyDiv w:val="1"/>
      <w:marLeft w:val="0"/>
      <w:marRight w:val="0"/>
      <w:marTop w:val="0"/>
      <w:marBottom w:val="0"/>
      <w:divBdr>
        <w:top w:val="none" w:sz="0" w:space="0" w:color="auto"/>
        <w:left w:val="none" w:sz="0" w:space="0" w:color="auto"/>
        <w:bottom w:val="none" w:sz="0" w:space="0" w:color="auto"/>
        <w:right w:val="none" w:sz="0" w:space="0" w:color="auto"/>
      </w:divBdr>
    </w:div>
    <w:div w:id="1104378771">
      <w:bodyDiv w:val="1"/>
      <w:marLeft w:val="0"/>
      <w:marRight w:val="0"/>
      <w:marTop w:val="0"/>
      <w:marBottom w:val="0"/>
      <w:divBdr>
        <w:top w:val="none" w:sz="0" w:space="0" w:color="auto"/>
        <w:left w:val="none" w:sz="0" w:space="0" w:color="auto"/>
        <w:bottom w:val="none" w:sz="0" w:space="0" w:color="auto"/>
        <w:right w:val="none" w:sz="0" w:space="0" w:color="auto"/>
      </w:divBdr>
    </w:div>
    <w:div w:id="1153645730">
      <w:bodyDiv w:val="1"/>
      <w:marLeft w:val="0"/>
      <w:marRight w:val="0"/>
      <w:marTop w:val="0"/>
      <w:marBottom w:val="0"/>
      <w:divBdr>
        <w:top w:val="none" w:sz="0" w:space="0" w:color="auto"/>
        <w:left w:val="none" w:sz="0" w:space="0" w:color="auto"/>
        <w:bottom w:val="none" w:sz="0" w:space="0" w:color="auto"/>
        <w:right w:val="none" w:sz="0" w:space="0" w:color="auto"/>
      </w:divBdr>
    </w:div>
    <w:div w:id="1167592950">
      <w:bodyDiv w:val="1"/>
      <w:marLeft w:val="0"/>
      <w:marRight w:val="0"/>
      <w:marTop w:val="0"/>
      <w:marBottom w:val="0"/>
      <w:divBdr>
        <w:top w:val="none" w:sz="0" w:space="0" w:color="auto"/>
        <w:left w:val="none" w:sz="0" w:space="0" w:color="auto"/>
        <w:bottom w:val="none" w:sz="0" w:space="0" w:color="auto"/>
        <w:right w:val="none" w:sz="0" w:space="0" w:color="auto"/>
      </w:divBdr>
    </w:div>
    <w:div w:id="1200119401">
      <w:bodyDiv w:val="1"/>
      <w:marLeft w:val="0"/>
      <w:marRight w:val="0"/>
      <w:marTop w:val="0"/>
      <w:marBottom w:val="0"/>
      <w:divBdr>
        <w:top w:val="none" w:sz="0" w:space="0" w:color="auto"/>
        <w:left w:val="none" w:sz="0" w:space="0" w:color="auto"/>
        <w:bottom w:val="none" w:sz="0" w:space="0" w:color="auto"/>
        <w:right w:val="none" w:sz="0" w:space="0" w:color="auto"/>
      </w:divBdr>
    </w:div>
    <w:div w:id="1248462561">
      <w:bodyDiv w:val="1"/>
      <w:marLeft w:val="0"/>
      <w:marRight w:val="0"/>
      <w:marTop w:val="0"/>
      <w:marBottom w:val="0"/>
      <w:divBdr>
        <w:top w:val="none" w:sz="0" w:space="0" w:color="auto"/>
        <w:left w:val="none" w:sz="0" w:space="0" w:color="auto"/>
        <w:bottom w:val="none" w:sz="0" w:space="0" w:color="auto"/>
        <w:right w:val="none" w:sz="0" w:space="0" w:color="auto"/>
      </w:divBdr>
    </w:div>
    <w:div w:id="1253392150">
      <w:bodyDiv w:val="1"/>
      <w:marLeft w:val="0"/>
      <w:marRight w:val="0"/>
      <w:marTop w:val="0"/>
      <w:marBottom w:val="0"/>
      <w:divBdr>
        <w:top w:val="none" w:sz="0" w:space="0" w:color="auto"/>
        <w:left w:val="none" w:sz="0" w:space="0" w:color="auto"/>
        <w:bottom w:val="none" w:sz="0" w:space="0" w:color="auto"/>
        <w:right w:val="none" w:sz="0" w:space="0" w:color="auto"/>
      </w:divBdr>
    </w:div>
    <w:div w:id="1290356707">
      <w:bodyDiv w:val="1"/>
      <w:marLeft w:val="0"/>
      <w:marRight w:val="0"/>
      <w:marTop w:val="0"/>
      <w:marBottom w:val="0"/>
      <w:divBdr>
        <w:top w:val="none" w:sz="0" w:space="0" w:color="auto"/>
        <w:left w:val="none" w:sz="0" w:space="0" w:color="auto"/>
        <w:bottom w:val="none" w:sz="0" w:space="0" w:color="auto"/>
        <w:right w:val="none" w:sz="0" w:space="0" w:color="auto"/>
      </w:divBdr>
    </w:div>
    <w:div w:id="1311716218">
      <w:bodyDiv w:val="1"/>
      <w:marLeft w:val="0"/>
      <w:marRight w:val="0"/>
      <w:marTop w:val="0"/>
      <w:marBottom w:val="0"/>
      <w:divBdr>
        <w:top w:val="none" w:sz="0" w:space="0" w:color="auto"/>
        <w:left w:val="none" w:sz="0" w:space="0" w:color="auto"/>
        <w:bottom w:val="none" w:sz="0" w:space="0" w:color="auto"/>
        <w:right w:val="none" w:sz="0" w:space="0" w:color="auto"/>
      </w:divBdr>
    </w:div>
    <w:div w:id="1419979913">
      <w:bodyDiv w:val="1"/>
      <w:marLeft w:val="0"/>
      <w:marRight w:val="0"/>
      <w:marTop w:val="0"/>
      <w:marBottom w:val="0"/>
      <w:divBdr>
        <w:top w:val="none" w:sz="0" w:space="0" w:color="auto"/>
        <w:left w:val="none" w:sz="0" w:space="0" w:color="auto"/>
        <w:bottom w:val="none" w:sz="0" w:space="0" w:color="auto"/>
        <w:right w:val="none" w:sz="0" w:space="0" w:color="auto"/>
      </w:divBdr>
    </w:div>
    <w:div w:id="1495301177">
      <w:bodyDiv w:val="1"/>
      <w:marLeft w:val="0"/>
      <w:marRight w:val="0"/>
      <w:marTop w:val="0"/>
      <w:marBottom w:val="0"/>
      <w:divBdr>
        <w:top w:val="none" w:sz="0" w:space="0" w:color="auto"/>
        <w:left w:val="none" w:sz="0" w:space="0" w:color="auto"/>
        <w:bottom w:val="none" w:sz="0" w:space="0" w:color="auto"/>
        <w:right w:val="none" w:sz="0" w:space="0" w:color="auto"/>
      </w:divBdr>
    </w:div>
    <w:div w:id="1522472506">
      <w:bodyDiv w:val="1"/>
      <w:marLeft w:val="0"/>
      <w:marRight w:val="0"/>
      <w:marTop w:val="0"/>
      <w:marBottom w:val="0"/>
      <w:divBdr>
        <w:top w:val="none" w:sz="0" w:space="0" w:color="auto"/>
        <w:left w:val="none" w:sz="0" w:space="0" w:color="auto"/>
        <w:bottom w:val="none" w:sz="0" w:space="0" w:color="auto"/>
        <w:right w:val="none" w:sz="0" w:space="0" w:color="auto"/>
      </w:divBdr>
    </w:div>
    <w:div w:id="1564415408">
      <w:bodyDiv w:val="1"/>
      <w:marLeft w:val="0"/>
      <w:marRight w:val="0"/>
      <w:marTop w:val="0"/>
      <w:marBottom w:val="0"/>
      <w:divBdr>
        <w:top w:val="none" w:sz="0" w:space="0" w:color="auto"/>
        <w:left w:val="none" w:sz="0" w:space="0" w:color="auto"/>
        <w:bottom w:val="none" w:sz="0" w:space="0" w:color="auto"/>
        <w:right w:val="none" w:sz="0" w:space="0" w:color="auto"/>
      </w:divBdr>
    </w:div>
    <w:div w:id="1578326272">
      <w:bodyDiv w:val="1"/>
      <w:marLeft w:val="0"/>
      <w:marRight w:val="0"/>
      <w:marTop w:val="0"/>
      <w:marBottom w:val="0"/>
      <w:divBdr>
        <w:top w:val="none" w:sz="0" w:space="0" w:color="auto"/>
        <w:left w:val="none" w:sz="0" w:space="0" w:color="auto"/>
        <w:bottom w:val="none" w:sz="0" w:space="0" w:color="auto"/>
        <w:right w:val="none" w:sz="0" w:space="0" w:color="auto"/>
      </w:divBdr>
    </w:div>
    <w:div w:id="1605109354">
      <w:bodyDiv w:val="1"/>
      <w:marLeft w:val="0"/>
      <w:marRight w:val="0"/>
      <w:marTop w:val="0"/>
      <w:marBottom w:val="0"/>
      <w:divBdr>
        <w:top w:val="none" w:sz="0" w:space="0" w:color="auto"/>
        <w:left w:val="none" w:sz="0" w:space="0" w:color="auto"/>
        <w:bottom w:val="none" w:sz="0" w:space="0" w:color="auto"/>
        <w:right w:val="none" w:sz="0" w:space="0" w:color="auto"/>
      </w:divBdr>
    </w:div>
    <w:div w:id="1755005340">
      <w:bodyDiv w:val="1"/>
      <w:marLeft w:val="0"/>
      <w:marRight w:val="0"/>
      <w:marTop w:val="0"/>
      <w:marBottom w:val="0"/>
      <w:divBdr>
        <w:top w:val="none" w:sz="0" w:space="0" w:color="auto"/>
        <w:left w:val="none" w:sz="0" w:space="0" w:color="auto"/>
        <w:bottom w:val="none" w:sz="0" w:space="0" w:color="auto"/>
        <w:right w:val="none" w:sz="0" w:space="0" w:color="auto"/>
      </w:divBdr>
    </w:div>
    <w:div w:id="1769883573">
      <w:bodyDiv w:val="1"/>
      <w:marLeft w:val="0"/>
      <w:marRight w:val="0"/>
      <w:marTop w:val="0"/>
      <w:marBottom w:val="0"/>
      <w:divBdr>
        <w:top w:val="none" w:sz="0" w:space="0" w:color="auto"/>
        <w:left w:val="none" w:sz="0" w:space="0" w:color="auto"/>
        <w:bottom w:val="none" w:sz="0" w:space="0" w:color="auto"/>
        <w:right w:val="none" w:sz="0" w:space="0" w:color="auto"/>
      </w:divBdr>
    </w:div>
    <w:div w:id="1888301790">
      <w:bodyDiv w:val="1"/>
      <w:marLeft w:val="0"/>
      <w:marRight w:val="0"/>
      <w:marTop w:val="0"/>
      <w:marBottom w:val="0"/>
      <w:divBdr>
        <w:top w:val="none" w:sz="0" w:space="0" w:color="auto"/>
        <w:left w:val="none" w:sz="0" w:space="0" w:color="auto"/>
        <w:bottom w:val="none" w:sz="0" w:space="0" w:color="auto"/>
        <w:right w:val="none" w:sz="0" w:space="0" w:color="auto"/>
      </w:divBdr>
    </w:div>
    <w:div w:id="211821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shfield.gov.uk/media/ilbp4kww/ins03a-ashfield-local-plan-inspectors-matters-issues-and-questions-addendum-july-2025.pdf" TargetMode="External"/><Relationship Id="rId4" Type="http://schemas.openxmlformats.org/officeDocument/2006/relationships/settings" Target="settings.xml"/><Relationship Id="rId9" Type="http://schemas.openxmlformats.org/officeDocument/2006/relationships/hyperlink" Target="https://www.ashfield.gov.uk/local-plan-examination/examination-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9CF9F-0EFE-4EBA-9F50-E94328B15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22</Pages>
  <Words>7191</Words>
  <Characters>40995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Lisa.Furness</dc:creator>
  <cp:keywords/>
  <dc:description/>
  <cp:lastModifiedBy>Darius.Walker</cp:lastModifiedBy>
  <cp:revision>44</cp:revision>
  <cp:lastPrinted>2025-10-31T11:00:00Z</cp:lastPrinted>
  <dcterms:created xsi:type="dcterms:W3CDTF">2025-10-22T14:26:00Z</dcterms:created>
  <dcterms:modified xsi:type="dcterms:W3CDTF">2025-11-03T14:25:00Z</dcterms:modified>
</cp:coreProperties>
</file>