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3F3A" w14:textId="51FF0AF0" w:rsidR="00240054" w:rsidRDefault="00240054" w:rsidP="00240054">
      <w:pPr>
        <w:jc w:val="center"/>
      </w:pPr>
      <w:r>
        <w:rPr>
          <w:noProof/>
        </w:rPr>
        <w:drawing>
          <wp:inline distT="0" distB="0" distL="0" distR="0" wp14:anchorId="7467C18B" wp14:editId="682AF6BD">
            <wp:extent cx="2571750" cy="1062797"/>
            <wp:effectExtent l="0" t="0" r="0" b="4445"/>
            <wp:docPr id="7697676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67686"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1105" cy="1074928"/>
                    </a:xfrm>
                    <a:prstGeom prst="rect">
                      <a:avLst/>
                    </a:prstGeom>
                    <a:noFill/>
                  </pic:spPr>
                </pic:pic>
              </a:graphicData>
            </a:graphic>
          </wp:inline>
        </w:drawing>
      </w:r>
    </w:p>
    <w:p w14:paraId="68A2A74E" w14:textId="77777777" w:rsidR="00240054" w:rsidRDefault="00240054" w:rsidP="00240054"/>
    <w:p w14:paraId="6DFB2B33" w14:textId="77777777" w:rsidR="00240054" w:rsidRDefault="00240054" w:rsidP="00A2408B">
      <w:pPr>
        <w:pStyle w:val="Heading1"/>
      </w:pPr>
    </w:p>
    <w:p w14:paraId="4400D2B1" w14:textId="42F9388C" w:rsidR="008655AA" w:rsidRPr="00A2408B" w:rsidRDefault="008655AA" w:rsidP="00A2408B">
      <w:pPr>
        <w:pStyle w:val="Heading1"/>
      </w:pPr>
      <w:r w:rsidRPr="00A2408B">
        <w:t>Ashfield District Local Plan Examination</w:t>
      </w:r>
    </w:p>
    <w:p w14:paraId="15C3907B" w14:textId="6E9FA4BE" w:rsidR="00733ABD" w:rsidRPr="00A2408B" w:rsidRDefault="008655AA" w:rsidP="00A2408B">
      <w:pPr>
        <w:pStyle w:val="Heading1"/>
      </w:pPr>
      <w:r w:rsidRPr="00A2408B">
        <w:t>Matters, Issues and Questions identified by the Inspectors</w:t>
      </w:r>
      <w:r w:rsidRPr="00A2408B">
        <w:cr/>
      </w:r>
    </w:p>
    <w:p w14:paraId="3572868F" w14:textId="77777777" w:rsidR="008655AA" w:rsidRPr="00A2408B" w:rsidRDefault="008655AA" w:rsidP="00240054"/>
    <w:p w14:paraId="0BCB4F01" w14:textId="77777777" w:rsidR="008655AA" w:rsidRPr="00A2408B" w:rsidRDefault="008655AA" w:rsidP="00240054"/>
    <w:p w14:paraId="0FBA1F2D" w14:textId="386BE433" w:rsidR="008655AA" w:rsidRPr="00A2408B" w:rsidRDefault="008655AA" w:rsidP="00A2408B">
      <w:pPr>
        <w:pStyle w:val="Heading1"/>
      </w:pPr>
      <w:r w:rsidRPr="00A2408B">
        <w:t xml:space="preserve">Matter </w:t>
      </w:r>
      <w:r w:rsidR="005B2FA0">
        <w:t>2</w:t>
      </w:r>
      <w:r w:rsidRPr="00A2408B">
        <w:t>:</w:t>
      </w:r>
    </w:p>
    <w:p w14:paraId="20F39015" w14:textId="77777777" w:rsidR="00BD749E" w:rsidRDefault="005B2FA0" w:rsidP="00A2408B">
      <w:pPr>
        <w:pStyle w:val="Heading1"/>
      </w:pPr>
      <w:r w:rsidRPr="005B2FA0">
        <w:t>Meeting Ashfield’s Housing Needs</w:t>
      </w:r>
    </w:p>
    <w:p w14:paraId="32DBEF2A" w14:textId="665A144A" w:rsidR="008655AA" w:rsidRPr="00A2408B" w:rsidRDefault="00BD749E" w:rsidP="00A2408B">
      <w:pPr>
        <w:pStyle w:val="Heading1"/>
      </w:pPr>
      <w:r>
        <w:t>Version 2</w:t>
      </w:r>
      <w:r w:rsidR="005B2FA0">
        <w:t xml:space="preserve"> </w:t>
      </w:r>
    </w:p>
    <w:p w14:paraId="1D349B7B" w14:textId="77777777" w:rsidR="008655AA" w:rsidRDefault="008655AA" w:rsidP="008655AA"/>
    <w:p w14:paraId="28B6BD24" w14:textId="77777777" w:rsidR="008655AA" w:rsidRDefault="008655AA" w:rsidP="008655AA"/>
    <w:p w14:paraId="07561316" w14:textId="77777777" w:rsidR="00F55B40" w:rsidRDefault="00F55B40" w:rsidP="008655AA"/>
    <w:p w14:paraId="4A112A87" w14:textId="77777777" w:rsidR="00F55B40" w:rsidRDefault="00F55B40" w:rsidP="008655AA"/>
    <w:p w14:paraId="06B88405" w14:textId="77777777" w:rsidR="00F55B40" w:rsidRDefault="00F55B40" w:rsidP="008655AA"/>
    <w:p w14:paraId="35066866" w14:textId="77777777" w:rsidR="00F55B40" w:rsidRDefault="00F55B40" w:rsidP="008655AA"/>
    <w:p w14:paraId="16124711" w14:textId="77777777" w:rsidR="00F55B40" w:rsidRDefault="00F55B40" w:rsidP="008655AA"/>
    <w:p w14:paraId="7DBD669F" w14:textId="77777777" w:rsidR="00F55B40" w:rsidRDefault="00F55B40" w:rsidP="008655AA"/>
    <w:p w14:paraId="180425C0" w14:textId="77777777" w:rsidR="00F55B40" w:rsidRDefault="00F55B40" w:rsidP="008655AA"/>
    <w:p w14:paraId="2ACD7548" w14:textId="77777777" w:rsidR="00F55B40" w:rsidRDefault="00F55B40" w:rsidP="008655AA"/>
    <w:p w14:paraId="3D30D867" w14:textId="4A65A9F7" w:rsidR="00F55B40" w:rsidRPr="00F55B40" w:rsidRDefault="00F55B40" w:rsidP="00F55B40">
      <w:pPr>
        <w:jc w:val="center"/>
        <w:rPr>
          <w:b/>
          <w:bCs/>
          <w:sz w:val="36"/>
          <w:szCs w:val="36"/>
        </w:rPr>
        <w:sectPr w:rsidR="00F55B40" w:rsidRPr="00F55B40" w:rsidSect="00A2408B">
          <w:pgSz w:w="11906" w:h="16838"/>
          <w:pgMar w:top="1440" w:right="2880" w:bottom="1440" w:left="2880"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bookmarkStart w:id="0" w:name="_Hlk180070057"/>
      <w:r w:rsidRPr="00F55B40">
        <w:rPr>
          <w:b/>
          <w:bCs/>
          <w:sz w:val="36"/>
          <w:szCs w:val="36"/>
        </w:rPr>
        <w:t>October 202</w:t>
      </w:r>
      <w:r w:rsidR="00BD749E">
        <w:rPr>
          <w:b/>
          <w:bCs/>
          <w:sz w:val="36"/>
          <w:szCs w:val="36"/>
        </w:rPr>
        <w:t>5</w:t>
      </w:r>
    </w:p>
    <w:bookmarkEnd w:id="0"/>
    <w:p w14:paraId="472A2964" w14:textId="77777777" w:rsidR="00F733BD" w:rsidRPr="00B3397C" w:rsidRDefault="00F733BD" w:rsidP="00F733BD">
      <w:pPr>
        <w:spacing w:after="120"/>
        <w:rPr>
          <w:b/>
          <w:bCs/>
          <w:sz w:val="28"/>
          <w:szCs w:val="28"/>
        </w:rPr>
      </w:pPr>
      <w:r w:rsidRPr="00B3397C">
        <w:rPr>
          <w:b/>
          <w:bCs/>
          <w:sz w:val="28"/>
          <w:szCs w:val="28"/>
        </w:rPr>
        <w:lastRenderedPageBreak/>
        <w:t xml:space="preserve">Ashfield District Council’s response to Inspectors’ Document INS03 </w:t>
      </w:r>
    </w:p>
    <w:p w14:paraId="3782C881" w14:textId="77777777" w:rsidR="00F733BD" w:rsidRDefault="00F733BD" w:rsidP="00F733BD">
      <w:pPr>
        <w:spacing w:after="120"/>
      </w:pPr>
    </w:p>
    <w:p w14:paraId="2F52DB46" w14:textId="43B48EE9" w:rsidR="00F733BD" w:rsidRDefault="00F733BD" w:rsidP="00176C07">
      <w:pPr>
        <w:spacing w:after="120"/>
        <w:jc w:val="left"/>
      </w:pPr>
      <w:r>
        <w:t xml:space="preserve">This document is Ashfield District Council’s response to the Matter, Issues and Questions (MIQs) identified for examination by Inspectors Mr. Philip Mileham and Mr Graham Wyatt of the Planning Inspectorate, as published on the </w:t>
      </w:r>
      <w:proofErr w:type="gramStart"/>
      <w:r>
        <w:t>30th</w:t>
      </w:r>
      <w:proofErr w:type="gramEnd"/>
      <w:r>
        <w:t xml:space="preserve"> September 2024.  This is one of twelve separate papers produced to address the specific matters and issues identified on the front page.</w:t>
      </w:r>
    </w:p>
    <w:p w14:paraId="6200897F" w14:textId="77777777" w:rsidR="00176C07" w:rsidRDefault="00176C07" w:rsidP="00176C07">
      <w:pPr>
        <w:spacing w:after="120"/>
        <w:jc w:val="left"/>
      </w:pPr>
    </w:p>
    <w:p w14:paraId="18B2E12D" w14:textId="151F049C" w:rsidR="00F733BD" w:rsidRDefault="00F733BD" w:rsidP="00176C07">
      <w:pPr>
        <w:spacing w:after="120"/>
        <w:jc w:val="left"/>
      </w:pPr>
      <w:r>
        <w:t xml:space="preserve">Each response paper includes a number of references to specific evidence which has been relied upon in answering the MIQs. These reference numbers (shown as </w:t>
      </w:r>
      <w:r w:rsidRPr="0007232D">
        <w:rPr>
          <w:b/>
          <w:bCs/>
        </w:rPr>
        <w:t>[XXXX]</w:t>
      </w:r>
      <w:r>
        <w:t xml:space="preserve">) relate directly to the Examination Library website, where all evidence is published: </w:t>
      </w:r>
      <w:hyperlink r:id="rId9" w:history="1">
        <w:r w:rsidRPr="00AF25C4">
          <w:rPr>
            <w:rStyle w:val="Hyperlink"/>
          </w:rPr>
          <w:t>https://www.ashfield.gov.uk/local-plan-examination/examination-library/</w:t>
        </w:r>
      </w:hyperlink>
    </w:p>
    <w:p w14:paraId="21753F89" w14:textId="77777777" w:rsidR="00F733BD" w:rsidRDefault="00F733BD" w:rsidP="00176C07">
      <w:pPr>
        <w:spacing w:after="120" w:line="240" w:lineRule="auto"/>
        <w:jc w:val="left"/>
        <w:rPr>
          <w:b/>
          <w:bCs/>
        </w:rPr>
      </w:pPr>
    </w:p>
    <w:p w14:paraId="656EDAF0" w14:textId="77777777" w:rsidR="00F733BD" w:rsidRDefault="00F733BD" w:rsidP="00176C07">
      <w:pPr>
        <w:jc w:val="left"/>
      </w:pPr>
      <w:r>
        <w:t xml:space="preserve">The Inspectors’ questions are shown below in </w:t>
      </w:r>
      <w:r w:rsidRPr="00222B10">
        <w:rPr>
          <w:b/>
          <w:bCs/>
          <w:i/>
          <w:iCs/>
        </w:rPr>
        <w:t>bold italics</w:t>
      </w:r>
      <w:r>
        <w:t xml:space="preserve">. </w:t>
      </w:r>
    </w:p>
    <w:p w14:paraId="68D2093E" w14:textId="77777777" w:rsidR="00F733BD" w:rsidRDefault="00F733BD" w:rsidP="00176C07">
      <w:pPr>
        <w:jc w:val="left"/>
      </w:pPr>
      <w:r>
        <w:t>The council’s responses are shown in normal typeface below the Inspector’s questions.</w:t>
      </w:r>
    </w:p>
    <w:tbl>
      <w:tblPr>
        <w:tblStyle w:val="TableGrid"/>
        <w:tblW w:w="0" w:type="auto"/>
        <w:tblLook w:val="04A0" w:firstRow="1" w:lastRow="0" w:firstColumn="1" w:lastColumn="0" w:noHBand="0" w:noVBand="1"/>
      </w:tblPr>
      <w:tblGrid>
        <w:gridCol w:w="9742"/>
      </w:tblGrid>
      <w:tr w:rsidR="00F733BD" w14:paraId="65866C0A" w14:textId="77777777" w:rsidTr="00523BDD">
        <w:trPr>
          <w:trHeight w:val="475"/>
        </w:trPr>
        <w:tc>
          <w:tcPr>
            <w:tcW w:w="9742" w:type="dxa"/>
            <w:shd w:val="clear" w:color="auto" w:fill="D9D9D9" w:themeFill="background1" w:themeFillShade="D9"/>
          </w:tcPr>
          <w:p w14:paraId="5CB98A7B" w14:textId="77777777" w:rsidR="00F733BD" w:rsidRPr="007F0DDA" w:rsidRDefault="00F733BD" w:rsidP="00176C07">
            <w:pPr>
              <w:spacing w:after="160"/>
              <w:jc w:val="left"/>
              <w:rPr>
                <w:sz w:val="16"/>
                <w:szCs w:val="16"/>
              </w:rPr>
            </w:pPr>
          </w:p>
          <w:p w14:paraId="55026D4B" w14:textId="59E4A9E3" w:rsidR="00F733BD" w:rsidRDefault="00176C07" w:rsidP="00176C07">
            <w:pPr>
              <w:spacing w:after="160"/>
              <w:jc w:val="left"/>
            </w:pPr>
            <w:r w:rsidRPr="00176C07">
              <w:t>Proposed</w:t>
            </w:r>
            <w:r w:rsidR="00F733BD" w:rsidRPr="00176C07">
              <w:t xml:space="preserve"> Modifications</w:t>
            </w:r>
            <w:r w:rsidR="00F733BD">
              <w:t xml:space="preserve"> arising from the Inspectors’ MIQs are set out in grey tint boxes.</w:t>
            </w:r>
          </w:p>
          <w:p w14:paraId="5927C391" w14:textId="77777777" w:rsidR="00F733BD" w:rsidRPr="007F0DDA" w:rsidRDefault="00F733BD" w:rsidP="00176C07">
            <w:pPr>
              <w:spacing w:after="160"/>
              <w:jc w:val="left"/>
              <w:rPr>
                <w:sz w:val="16"/>
                <w:szCs w:val="16"/>
              </w:rPr>
            </w:pPr>
          </w:p>
        </w:tc>
      </w:tr>
    </w:tbl>
    <w:p w14:paraId="70EB97B8" w14:textId="77777777" w:rsidR="00F733BD" w:rsidRDefault="00F733BD" w:rsidP="00F733BD"/>
    <w:p w14:paraId="6B03E0ED" w14:textId="77777777" w:rsidR="00643A80" w:rsidRDefault="00643A80" w:rsidP="00F733BD"/>
    <w:p w14:paraId="3783E40E" w14:textId="4511FD2F" w:rsidR="00BD749E" w:rsidRPr="00C02F62" w:rsidRDefault="00BD749E" w:rsidP="00BD749E">
      <w:pPr>
        <w:jc w:val="left"/>
        <w:rPr>
          <w:rFonts w:cs="Arial"/>
          <w:color w:val="A02B93" w:themeColor="accent5"/>
        </w:rPr>
      </w:pPr>
      <w:r w:rsidRPr="00C02F62">
        <w:rPr>
          <w:rFonts w:cs="Arial"/>
          <w:color w:val="A02B93" w:themeColor="accent5"/>
        </w:rPr>
        <w:t>This paper updates the Hearing Statement [HS</w:t>
      </w:r>
      <w:r w:rsidR="00221578">
        <w:rPr>
          <w:rFonts w:cs="Arial"/>
          <w:color w:val="A02B93" w:themeColor="accent5"/>
        </w:rPr>
        <w:t>2</w:t>
      </w:r>
      <w:r w:rsidRPr="00C02F62">
        <w:rPr>
          <w:rFonts w:cs="Arial"/>
          <w:color w:val="A02B93" w:themeColor="accent5"/>
        </w:rPr>
        <w:t xml:space="preserve">.1] previously submitted by the Council in respect of Matter </w:t>
      </w:r>
      <w:r w:rsidR="00221578">
        <w:rPr>
          <w:rFonts w:cs="Arial"/>
          <w:color w:val="A02B93" w:themeColor="accent5"/>
        </w:rPr>
        <w:t>2</w:t>
      </w:r>
      <w:r w:rsidRPr="00C02F62">
        <w:rPr>
          <w:rFonts w:cs="Arial"/>
          <w:color w:val="A02B93" w:themeColor="accent5"/>
        </w:rPr>
        <w:t xml:space="preserve">. It incorporates the additional questions posed by the inspectors under </w:t>
      </w:r>
      <w:hyperlink r:id="rId10" w:history="1">
        <w:r w:rsidRPr="00C02F62">
          <w:rPr>
            <w:rStyle w:val="Hyperlink"/>
            <w:rFonts w:cs="Arial"/>
            <w:color w:val="A02B93" w:themeColor="accent5"/>
          </w:rPr>
          <w:t>https://www.ashfield.gov.uk/media/ilbp4kww/ins03a-ashfield-local-plan-inspectors-matters-issues-and-questions-addendum-july-2025.pdf</w:t>
        </w:r>
      </w:hyperlink>
      <w:r w:rsidRPr="00C02F62">
        <w:rPr>
          <w:rFonts w:cs="Arial"/>
          <w:color w:val="A02B93" w:themeColor="accent5"/>
        </w:rPr>
        <w:t xml:space="preserve"> and sets out the Council’s response in purple text. </w:t>
      </w:r>
    </w:p>
    <w:p w14:paraId="59D0AC8D" w14:textId="41825A15" w:rsidR="00BD749E" w:rsidRPr="00C02F62" w:rsidRDefault="00BD749E" w:rsidP="00BD749E">
      <w:pPr>
        <w:rPr>
          <w:color w:val="A02B93" w:themeColor="accent5"/>
        </w:rPr>
      </w:pPr>
      <w:r w:rsidRPr="00C02F62">
        <w:rPr>
          <w:rFonts w:cs="Arial"/>
          <w:color w:val="A02B93" w:themeColor="accent5"/>
        </w:rPr>
        <w:t xml:space="preserve">Please note that brackets have also been added into the Inspectors’ new MIQ references, e.g., </w:t>
      </w:r>
      <w:r>
        <w:rPr>
          <w:rFonts w:cs="Arial"/>
          <w:color w:val="A02B93" w:themeColor="accent5"/>
        </w:rPr>
        <w:t>2.7(.1</w:t>
      </w:r>
      <w:r w:rsidRPr="00C02F62">
        <w:rPr>
          <w:rFonts w:cs="Arial"/>
          <w:color w:val="A02B93" w:themeColor="accent5"/>
        </w:rPr>
        <w:t>), in order to differentiate them from the Council’s existing paragraph numbering.</w:t>
      </w:r>
    </w:p>
    <w:p w14:paraId="3578714B" w14:textId="77777777" w:rsidR="00BD749E" w:rsidRPr="00C02F62" w:rsidRDefault="00BD749E" w:rsidP="00BD749E">
      <w:pPr>
        <w:rPr>
          <w:color w:val="A02B93" w:themeColor="accent5"/>
        </w:rPr>
      </w:pPr>
    </w:p>
    <w:p w14:paraId="2567F58E" w14:textId="77777777" w:rsidR="00F733BD" w:rsidRDefault="00F733BD">
      <w:pPr>
        <w:rPr>
          <w:rFonts w:eastAsiaTheme="majorEastAsia" w:cstheme="majorBidi"/>
          <w:b/>
          <w:bCs/>
          <w:sz w:val="28"/>
          <w:szCs w:val="28"/>
        </w:rPr>
      </w:pPr>
      <w:r>
        <w:br w:type="page"/>
      </w:r>
    </w:p>
    <w:p w14:paraId="6CAE730A" w14:textId="47EB3548" w:rsidR="005B2FA0" w:rsidRDefault="005B2FA0" w:rsidP="00F46F28">
      <w:pPr>
        <w:pStyle w:val="Heading2"/>
        <w:jc w:val="left"/>
      </w:pPr>
      <w:r>
        <w:lastRenderedPageBreak/>
        <w:t>Issue 1: Whether the Local Plan has been positively prepared and whether it is justified, effective and consistent with national policy in relation to meeting housing needs.</w:t>
      </w:r>
    </w:p>
    <w:p w14:paraId="47FBFA89" w14:textId="77777777" w:rsidR="00D54C0F" w:rsidRDefault="00D54C0F" w:rsidP="00F46F28">
      <w:pPr>
        <w:jc w:val="left"/>
        <w:rPr>
          <w:b/>
          <w:bCs/>
        </w:rPr>
      </w:pPr>
    </w:p>
    <w:p w14:paraId="34DE440F" w14:textId="77777777" w:rsidR="00B7192E" w:rsidRPr="00BF114B" w:rsidRDefault="005B2FA0" w:rsidP="00BF114B">
      <w:pPr>
        <w:rPr>
          <w:b/>
          <w:bCs/>
        </w:rPr>
      </w:pPr>
      <w:r w:rsidRPr="00BF114B">
        <w:rPr>
          <w:b/>
          <w:bCs/>
        </w:rPr>
        <w:t xml:space="preserve">Relevant </w:t>
      </w:r>
      <w:r w:rsidR="00F46F28" w:rsidRPr="00BF114B">
        <w:rPr>
          <w:b/>
          <w:bCs/>
        </w:rPr>
        <w:t>P</w:t>
      </w:r>
      <w:r w:rsidRPr="00BF114B">
        <w:rPr>
          <w:b/>
          <w:bCs/>
        </w:rPr>
        <w:t>olicies</w:t>
      </w:r>
      <w:r w:rsidR="00B7192E" w:rsidRPr="00BF114B">
        <w:rPr>
          <w:b/>
          <w:bCs/>
        </w:rPr>
        <w:t>:</w:t>
      </w:r>
    </w:p>
    <w:p w14:paraId="1A969EE0" w14:textId="731420C5" w:rsidR="00B7192E" w:rsidRPr="00BF114B" w:rsidRDefault="005B2FA0" w:rsidP="00BF114B">
      <w:pPr>
        <w:rPr>
          <w:b/>
          <w:bCs/>
        </w:rPr>
      </w:pPr>
      <w:r w:rsidRPr="00BF114B">
        <w:rPr>
          <w:b/>
          <w:bCs/>
        </w:rPr>
        <w:t>S1</w:t>
      </w:r>
      <w:r w:rsidR="00B7192E" w:rsidRPr="00BF114B">
        <w:rPr>
          <w:b/>
          <w:bCs/>
        </w:rPr>
        <w:t xml:space="preserve"> - </w:t>
      </w:r>
      <w:r w:rsidR="000D7D14" w:rsidRPr="00BF114B">
        <w:rPr>
          <w:b/>
          <w:bCs/>
        </w:rPr>
        <w:t>Spatial Strategy to Deliver the Vision</w:t>
      </w:r>
    </w:p>
    <w:p w14:paraId="5E9397A4" w14:textId="20E12211" w:rsidR="00B7192E" w:rsidRPr="00BF114B" w:rsidRDefault="005B2FA0" w:rsidP="00BF114B">
      <w:pPr>
        <w:rPr>
          <w:b/>
          <w:bCs/>
        </w:rPr>
      </w:pPr>
      <w:r w:rsidRPr="00BF114B">
        <w:rPr>
          <w:b/>
          <w:bCs/>
        </w:rPr>
        <w:t>S7</w:t>
      </w:r>
      <w:r w:rsidR="0066178F">
        <w:rPr>
          <w:b/>
          <w:bCs/>
        </w:rPr>
        <w:t xml:space="preserve"> </w:t>
      </w:r>
      <w:r w:rsidR="00B7192E" w:rsidRPr="00BF114B">
        <w:rPr>
          <w:b/>
          <w:bCs/>
        </w:rPr>
        <w:t>-</w:t>
      </w:r>
      <w:r w:rsidR="0066178F" w:rsidRPr="0066178F">
        <w:t xml:space="preserve"> </w:t>
      </w:r>
      <w:r w:rsidR="0066178F" w:rsidRPr="0066178F">
        <w:rPr>
          <w:b/>
          <w:bCs/>
        </w:rPr>
        <w:t>Meeting Future Housing Provision</w:t>
      </w:r>
    </w:p>
    <w:p w14:paraId="27FA1936" w14:textId="21B8A1CF" w:rsidR="00B7192E" w:rsidRPr="00BF114B" w:rsidRDefault="005B2FA0" w:rsidP="00BF114B">
      <w:pPr>
        <w:rPr>
          <w:b/>
          <w:bCs/>
        </w:rPr>
      </w:pPr>
      <w:r w:rsidRPr="00BF114B">
        <w:rPr>
          <w:b/>
          <w:bCs/>
        </w:rPr>
        <w:t>H2</w:t>
      </w:r>
      <w:r w:rsidR="00B7192E" w:rsidRPr="00BF114B">
        <w:rPr>
          <w:b/>
          <w:bCs/>
        </w:rPr>
        <w:t xml:space="preserve"> - </w:t>
      </w:r>
      <w:r w:rsidR="00E22628" w:rsidRPr="00236F84">
        <w:rPr>
          <w:b/>
          <w:bCs/>
        </w:rPr>
        <w:t>Provision for Gypsies, Travellers and Travelling Showpeople</w:t>
      </w:r>
    </w:p>
    <w:p w14:paraId="7E961325" w14:textId="42FB170F" w:rsidR="00B7192E" w:rsidRPr="00BF114B" w:rsidRDefault="005B2FA0" w:rsidP="00BF114B">
      <w:pPr>
        <w:rPr>
          <w:b/>
          <w:bCs/>
        </w:rPr>
      </w:pPr>
      <w:r w:rsidRPr="00BF114B">
        <w:rPr>
          <w:b/>
          <w:bCs/>
        </w:rPr>
        <w:t>H2a</w:t>
      </w:r>
      <w:r w:rsidR="00B7192E" w:rsidRPr="00BF114B">
        <w:rPr>
          <w:b/>
          <w:bCs/>
        </w:rPr>
        <w:t xml:space="preserve"> - </w:t>
      </w:r>
      <w:r w:rsidR="00E22628" w:rsidRPr="00E22628">
        <w:rPr>
          <w:b/>
          <w:bCs/>
        </w:rPr>
        <w:t>Gypsy, Traveller and Travelling Showpeople Site Allocations</w:t>
      </w:r>
    </w:p>
    <w:p w14:paraId="79D23FC2" w14:textId="5D07B36B" w:rsidR="00B7192E" w:rsidRPr="00BF114B" w:rsidRDefault="00B7192E" w:rsidP="00BF114B">
      <w:pPr>
        <w:rPr>
          <w:b/>
          <w:bCs/>
        </w:rPr>
      </w:pPr>
      <w:r w:rsidRPr="00BF114B">
        <w:rPr>
          <w:b/>
          <w:bCs/>
        </w:rPr>
        <w:t>H</w:t>
      </w:r>
      <w:r w:rsidR="005B2FA0" w:rsidRPr="00BF114B">
        <w:rPr>
          <w:b/>
          <w:bCs/>
        </w:rPr>
        <w:t>3</w:t>
      </w:r>
      <w:r w:rsidRPr="00BF114B">
        <w:rPr>
          <w:b/>
          <w:bCs/>
        </w:rPr>
        <w:t xml:space="preserve"> - </w:t>
      </w:r>
      <w:r w:rsidR="001A30C3" w:rsidRPr="009E34A6">
        <w:rPr>
          <w:rFonts w:eastAsia="Arial"/>
          <w:b/>
          <w:bCs/>
          <w:spacing w:val="-1"/>
        </w:rPr>
        <w:t>Affordable Housing</w:t>
      </w:r>
    </w:p>
    <w:p w14:paraId="54E6BEFD" w14:textId="6F29630A" w:rsidR="00B7192E" w:rsidRPr="00BF114B" w:rsidRDefault="005B2FA0" w:rsidP="00BF114B">
      <w:pPr>
        <w:rPr>
          <w:b/>
          <w:bCs/>
        </w:rPr>
      </w:pPr>
      <w:r w:rsidRPr="00BF114B">
        <w:rPr>
          <w:b/>
          <w:bCs/>
        </w:rPr>
        <w:t>H</w:t>
      </w:r>
      <w:r w:rsidR="007B327E" w:rsidRPr="00BF114B">
        <w:rPr>
          <w:b/>
          <w:bCs/>
        </w:rPr>
        <w:t>4</w:t>
      </w:r>
      <w:r w:rsidR="00B7192E" w:rsidRPr="00BF114B">
        <w:rPr>
          <w:b/>
          <w:bCs/>
        </w:rPr>
        <w:t xml:space="preserve"> -</w:t>
      </w:r>
      <w:r w:rsidR="001A30C3">
        <w:rPr>
          <w:b/>
          <w:bCs/>
        </w:rPr>
        <w:t xml:space="preserve"> </w:t>
      </w:r>
      <w:r w:rsidR="001A30C3" w:rsidRPr="001A30C3">
        <w:rPr>
          <w:b/>
          <w:bCs/>
        </w:rPr>
        <w:t>Rural Exceptions Sites</w:t>
      </w:r>
    </w:p>
    <w:p w14:paraId="39C59811" w14:textId="3C037ABB" w:rsidR="00B7192E" w:rsidRPr="00BF114B" w:rsidRDefault="005B2FA0" w:rsidP="00BF114B">
      <w:pPr>
        <w:rPr>
          <w:b/>
          <w:bCs/>
        </w:rPr>
      </w:pPr>
      <w:r w:rsidRPr="00BF114B">
        <w:rPr>
          <w:b/>
          <w:bCs/>
        </w:rPr>
        <w:t>H5</w:t>
      </w:r>
      <w:r w:rsidR="00B7192E" w:rsidRPr="00BF114B">
        <w:rPr>
          <w:b/>
          <w:bCs/>
        </w:rPr>
        <w:t xml:space="preserve"> -</w:t>
      </w:r>
      <w:r w:rsidR="0049526F">
        <w:rPr>
          <w:b/>
          <w:bCs/>
        </w:rPr>
        <w:t xml:space="preserve"> </w:t>
      </w:r>
      <w:r w:rsidR="0049526F" w:rsidRPr="0049526F">
        <w:rPr>
          <w:b/>
          <w:bCs/>
        </w:rPr>
        <w:t>Public Open Space in New Residential Developments</w:t>
      </w:r>
    </w:p>
    <w:p w14:paraId="5E8B7942" w14:textId="77777777" w:rsidR="0049526F" w:rsidRDefault="005B2FA0" w:rsidP="0049526F">
      <w:pPr>
        <w:jc w:val="left"/>
        <w:rPr>
          <w:b/>
          <w:bCs/>
        </w:rPr>
      </w:pPr>
      <w:r w:rsidRPr="00BF114B">
        <w:rPr>
          <w:b/>
          <w:bCs/>
        </w:rPr>
        <w:t>H6</w:t>
      </w:r>
      <w:r w:rsidR="00B7192E" w:rsidRPr="00BF114B">
        <w:rPr>
          <w:b/>
          <w:bCs/>
        </w:rPr>
        <w:t xml:space="preserve"> -</w:t>
      </w:r>
      <w:r w:rsidR="0049526F">
        <w:rPr>
          <w:b/>
          <w:bCs/>
        </w:rPr>
        <w:t xml:space="preserve"> </w:t>
      </w:r>
      <w:r w:rsidR="0049526F" w:rsidRPr="00041502">
        <w:rPr>
          <w:b/>
          <w:bCs/>
        </w:rPr>
        <w:t>Housing Mix</w:t>
      </w:r>
    </w:p>
    <w:p w14:paraId="05F514A5" w14:textId="6611C7B2" w:rsidR="00B7192E" w:rsidRPr="00BF114B" w:rsidRDefault="005B2FA0" w:rsidP="00BF114B">
      <w:pPr>
        <w:rPr>
          <w:b/>
          <w:bCs/>
        </w:rPr>
      </w:pPr>
      <w:r w:rsidRPr="00BF114B">
        <w:rPr>
          <w:b/>
          <w:bCs/>
        </w:rPr>
        <w:t>H7</w:t>
      </w:r>
      <w:r w:rsidR="00B7192E" w:rsidRPr="00BF114B">
        <w:rPr>
          <w:b/>
          <w:bCs/>
        </w:rPr>
        <w:t xml:space="preserve"> - </w:t>
      </w:r>
      <w:r w:rsidR="0049526F" w:rsidRPr="0049526F">
        <w:rPr>
          <w:b/>
          <w:bCs/>
        </w:rPr>
        <w:t>Housing Density</w:t>
      </w:r>
    </w:p>
    <w:p w14:paraId="6D3B850B" w14:textId="515E9E56" w:rsidR="005B2FA0" w:rsidRPr="00BF114B" w:rsidRDefault="005B2FA0" w:rsidP="00BF114B">
      <w:pPr>
        <w:rPr>
          <w:b/>
          <w:bCs/>
        </w:rPr>
      </w:pPr>
      <w:r w:rsidRPr="00BF114B">
        <w:rPr>
          <w:b/>
          <w:bCs/>
        </w:rPr>
        <w:t>H8</w:t>
      </w:r>
      <w:r w:rsidR="00B7192E" w:rsidRPr="00BF114B">
        <w:rPr>
          <w:b/>
          <w:bCs/>
        </w:rPr>
        <w:t xml:space="preserve"> -</w:t>
      </w:r>
      <w:r w:rsidR="0049526F">
        <w:rPr>
          <w:b/>
          <w:bCs/>
        </w:rPr>
        <w:t xml:space="preserve"> </w:t>
      </w:r>
      <w:r w:rsidR="0049526F" w:rsidRPr="009D305A">
        <w:rPr>
          <w:rFonts w:cs="Arial"/>
          <w:b/>
          <w:bCs/>
          <w:szCs w:val="24"/>
        </w:rPr>
        <w:t>Houses in Multiple Occupation, Flats and Bedsits</w:t>
      </w:r>
    </w:p>
    <w:p w14:paraId="398BE97E" w14:textId="77777777" w:rsidR="00D54C0F" w:rsidRDefault="00D54C0F" w:rsidP="00F46F28">
      <w:pPr>
        <w:jc w:val="left"/>
        <w:rPr>
          <w:b/>
          <w:bCs/>
        </w:rPr>
      </w:pPr>
    </w:p>
    <w:p w14:paraId="4919CB6F" w14:textId="0F185FD0" w:rsidR="005B2FA0" w:rsidRPr="000122FC" w:rsidRDefault="005B2FA0" w:rsidP="000122FC">
      <w:pPr>
        <w:pStyle w:val="Heading3"/>
      </w:pPr>
      <w:r w:rsidRPr="000122FC">
        <w:t>2.1</w:t>
      </w:r>
      <w:r w:rsidR="000122FC" w:rsidRPr="000122FC">
        <w:tab/>
      </w:r>
      <w:r w:rsidRPr="000122FC">
        <w:t>Has the calculation of Local Housing Need (LHN) (446 dwellings per annum) been</w:t>
      </w:r>
      <w:r w:rsidR="003D1036" w:rsidRPr="000122FC">
        <w:t xml:space="preserve"> </w:t>
      </w:r>
      <w:r w:rsidRPr="000122FC">
        <w:t>undertaken correctly?</w:t>
      </w:r>
    </w:p>
    <w:p w14:paraId="65B4B95D" w14:textId="77777777" w:rsidR="003D1036" w:rsidRPr="00156B97" w:rsidRDefault="003D1036" w:rsidP="00F46F28">
      <w:pPr>
        <w:jc w:val="left"/>
        <w:rPr>
          <w:u w:val="single"/>
        </w:rPr>
      </w:pPr>
      <w:r w:rsidRPr="00156B97">
        <w:rPr>
          <w:u w:val="single"/>
        </w:rPr>
        <w:t>Council’s response</w:t>
      </w:r>
    </w:p>
    <w:p w14:paraId="0F3CF8FA" w14:textId="549CE4E0" w:rsidR="00E44181" w:rsidRDefault="00F733BD" w:rsidP="00E44181">
      <w:pPr>
        <w:pStyle w:val="ListParagraph"/>
        <w:numPr>
          <w:ilvl w:val="2"/>
          <w:numId w:val="11"/>
        </w:numPr>
        <w:jc w:val="left"/>
      </w:pPr>
      <w:r>
        <w:t>Yes.</w:t>
      </w:r>
      <w:r w:rsidR="00D222C0">
        <w:t xml:space="preserve"> Paragraph </w:t>
      </w:r>
      <w:r w:rsidR="00D222C0" w:rsidRPr="00D222C0">
        <w:t>3.61</w:t>
      </w:r>
      <w:r w:rsidR="00D222C0">
        <w:t xml:space="preserve"> of the submitted Local Plan [SD.01] identifies</w:t>
      </w:r>
      <w:r w:rsidR="00D222C0" w:rsidRPr="00D222C0">
        <w:t xml:space="preserve"> </w:t>
      </w:r>
      <w:r w:rsidR="00D222C0">
        <w:t>that t</w:t>
      </w:r>
      <w:r w:rsidR="00D222C0" w:rsidRPr="00D222C0">
        <w:t>he Local Housing Need (LHN) for Ashfield District</w:t>
      </w:r>
      <w:r w:rsidR="00A81218">
        <w:t xml:space="preserve"> is</w:t>
      </w:r>
      <w:r w:rsidR="00D222C0" w:rsidRPr="00D222C0">
        <w:t xml:space="preserve"> based on th</w:t>
      </w:r>
      <w:r w:rsidR="00D222C0">
        <w:t>e</w:t>
      </w:r>
      <w:r w:rsidR="00D222C0" w:rsidRPr="00D222C0">
        <w:t xml:space="preserve"> standard methodology</w:t>
      </w:r>
      <w:r w:rsidR="00D222C0">
        <w:t xml:space="preserve"> </w:t>
      </w:r>
      <w:r w:rsidR="00A81218">
        <w:t xml:space="preserve">for assessing housing need as </w:t>
      </w:r>
      <w:r w:rsidR="00D222C0">
        <w:t xml:space="preserve">set out in planning </w:t>
      </w:r>
      <w:r w:rsidR="00A81218">
        <w:t xml:space="preserve">practice </w:t>
      </w:r>
      <w:r w:rsidR="00D222C0">
        <w:t>guidance</w:t>
      </w:r>
      <w:r w:rsidR="00A81218">
        <w:t>. This was</w:t>
      </w:r>
      <w:r w:rsidR="00D222C0" w:rsidRPr="00D222C0">
        <w:t xml:space="preserve"> 446 dwellings per annum (dpa) as of April 2023.</w:t>
      </w:r>
      <w:r w:rsidR="00D222C0">
        <w:t xml:space="preserve"> The calculation for this is included in </w:t>
      </w:r>
      <w:r w:rsidR="00F67E3B">
        <w:t xml:space="preserve">Section 4 of Background </w:t>
      </w:r>
      <w:r w:rsidR="00A81218">
        <w:t>P</w:t>
      </w:r>
      <w:r w:rsidR="00F67E3B">
        <w:t>aper 2: Housing [BP.02].</w:t>
      </w:r>
    </w:p>
    <w:p w14:paraId="5FDD708B" w14:textId="77777777" w:rsidR="00E44181" w:rsidRDefault="00E44181" w:rsidP="00E44181">
      <w:pPr>
        <w:pStyle w:val="ListParagraph"/>
        <w:jc w:val="left"/>
      </w:pPr>
    </w:p>
    <w:p w14:paraId="503E36A1" w14:textId="203DCFB3" w:rsidR="00E44181" w:rsidRPr="00E44181" w:rsidRDefault="0028465B" w:rsidP="00E44181">
      <w:pPr>
        <w:pStyle w:val="ListParagraph"/>
        <w:numPr>
          <w:ilvl w:val="2"/>
          <w:numId w:val="11"/>
        </w:numPr>
        <w:jc w:val="left"/>
      </w:pPr>
      <w:r w:rsidRPr="00E44181">
        <w:rPr>
          <w:szCs w:val="24"/>
        </w:rPr>
        <w:t>T</w:t>
      </w:r>
      <w:r w:rsidR="00C9445D" w:rsidRPr="00E44181">
        <w:rPr>
          <w:szCs w:val="24"/>
        </w:rPr>
        <w:t xml:space="preserve">he LHN generated </w:t>
      </w:r>
      <w:r w:rsidR="00A81218">
        <w:rPr>
          <w:szCs w:val="24"/>
        </w:rPr>
        <w:t>by</w:t>
      </w:r>
      <w:r w:rsidR="00C9445D" w:rsidRPr="00E44181">
        <w:rPr>
          <w:szCs w:val="24"/>
        </w:rPr>
        <w:t xml:space="preserve"> the standard method can change </w:t>
      </w:r>
      <w:r w:rsidR="00EA275D">
        <w:rPr>
          <w:szCs w:val="24"/>
        </w:rPr>
        <w:t>annually</w:t>
      </w:r>
      <w:r w:rsidR="00C9445D" w:rsidRPr="00E44181">
        <w:rPr>
          <w:szCs w:val="24"/>
        </w:rPr>
        <w:t xml:space="preserve">, however, </w:t>
      </w:r>
      <w:r w:rsidRPr="00E44181">
        <w:rPr>
          <w:szCs w:val="24"/>
        </w:rPr>
        <w:t>for</w:t>
      </w:r>
      <w:r w:rsidR="00C9445D" w:rsidRPr="00E44181">
        <w:rPr>
          <w:szCs w:val="24"/>
        </w:rPr>
        <w:t xml:space="preserve"> Ashfield the outcome for 2024 has remained the same as in 2023 despite a change in the inputted variables.</w:t>
      </w:r>
      <w:r w:rsidRPr="00E44181">
        <w:rPr>
          <w:rFonts w:eastAsia="Calibri" w:cs="Arial"/>
          <w:color w:val="0B0C0C"/>
        </w:rPr>
        <w:t xml:space="preserve"> In addition, </w:t>
      </w:r>
      <w:bookmarkStart w:id="1" w:name="_Hlk166661508"/>
      <w:r w:rsidR="00A81218">
        <w:rPr>
          <w:rFonts w:eastAsia="Calibri" w:cs="Arial"/>
          <w:color w:val="0B0C0C"/>
        </w:rPr>
        <w:t>the PPG</w:t>
      </w:r>
      <w:r w:rsidRPr="00E44181">
        <w:rPr>
          <w:rFonts w:eastAsia="Calibri" w:cs="Arial"/>
          <w:color w:val="0B0C0C"/>
        </w:rPr>
        <w:t xml:space="preserve"> (ID: 2a-008-20190220) sets out that </w:t>
      </w:r>
      <w:bookmarkEnd w:id="1"/>
      <w:r w:rsidRPr="00E44181">
        <w:rPr>
          <w:rFonts w:eastAsia="Calibri" w:cs="Arial"/>
          <w:color w:val="0B0C0C"/>
        </w:rPr>
        <w:t>local housing need calculated using the standard method may be relied upon for a period of 2 years from the time that a plan is submitted to the Planning Inspectorate for examination (in Ashfield’s case this was April 2024).</w:t>
      </w:r>
      <w:bookmarkStart w:id="2" w:name="_Hlk179888287"/>
    </w:p>
    <w:p w14:paraId="70A71A56" w14:textId="77777777" w:rsidR="00E44181" w:rsidRDefault="00E44181" w:rsidP="00E44181">
      <w:pPr>
        <w:pStyle w:val="ListParagraph"/>
      </w:pPr>
    </w:p>
    <w:p w14:paraId="40167846" w14:textId="72E1FF60" w:rsidR="00C9445D" w:rsidRPr="00AA7D4E" w:rsidRDefault="0028465B" w:rsidP="00E44181">
      <w:pPr>
        <w:pStyle w:val="ListParagraph"/>
        <w:numPr>
          <w:ilvl w:val="2"/>
          <w:numId w:val="11"/>
        </w:numPr>
        <w:jc w:val="left"/>
      </w:pPr>
      <w:r w:rsidRPr="00F27985">
        <w:rPr>
          <w:szCs w:val="24"/>
        </w:rPr>
        <w:t xml:space="preserve">A Housing </w:t>
      </w:r>
      <w:r w:rsidR="00462D86" w:rsidRPr="00F27985">
        <w:rPr>
          <w:szCs w:val="24"/>
        </w:rPr>
        <w:t xml:space="preserve">Land Supply </w:t>
      </w:r>
      <w:r w:rsidRPr="00F27985">
        <w:rPr>
          <w:szCs w:val="24"/>
        </w:rPr>
        <w:t xml:space="preserve">Position </w:t>
      </w:r>
      <w:r w:rsidRPr="007772DE">
        <w:rPr>
          <w:szCs w:val="24"/>
        </w:rPr>
        <w:t>Statement [</w:t>
      </w:r>
      <w:r w:rsidR="00E73A6B" w:rsidRPr="007772DE">
        <w:rPr>
          <w:szCs w:val="24"/>
        </w:rPr>
        <w:t>ADC.</w:t>
      </w:r>
      <w:r w:rsidR="007772DE" w:rsidRPr="007772DE">
        <w:rPr>
          <w:szCs w:val="24"/>
        </w:rPr>
        <w:t>04</w:t>
      </w:r>
      <w:r w:rsidRPr="007772DE">
        <w:rPr>
          <w:szCs w:val="24"/>
        </w:rPr>
        <w:t>]</w:t>
      </w:r>
      <w:r w:rsidRPr="00E44181">
        <w:rPr>
          <w:szCs w:val="24"/>
        </w:rPr>
        <w:t xml:space="preserve"> </w:t>
      </w:r>
      <w:bookmarkEnd w:id="2"/>
      <w:r w:rsidRPr="00E44181">
        <w:rPr>
          <w:szCs w:val="24"/>
        </w:rPr>
        <w:t>has been prepared to provide up to date evidence in respect of housing supply in support of the submitted Ashfield Local Plan 2023-2040.</w:t>
      </w:r>
      <w:r w:rsidR="00C9445D" w:rsidRPr="00E44181">
        <w:rPr>
          <w:szCs w:val="24"/>
        </w:rPr>
        <w:t xml:space="preserve"> The latest </w:t>
      </w:r>
      <w:r w:rsidRPr="00E44181">
        <w:rPr>
          <w:szCs w:val="24"/>
        </w:rPr>
        <w:t xml:space="preserve">LHN </w:t>
      </w:r>
      <w:r w:rsidR="00C9445D" w:rsidRPr="00E44181">
        <w:rPr>
          <w:szCs w:val="24"/>
        </w:rPr>
        <w:t xml:space="preserve">calculation is included </w:t>
      </w:r>
      <w:r w:rsidRPr="00E44181">
        <w:rPr>
          <w:szCs w:val="24"/>
        </w:rPr>
        <w:t xml:space="preserve">in full </w:t>
      </w:r>
      <w:r w:rsidR="00C9445D" w:rsidRPr="00E44181">
        <w:rPr>
          <w:szCs w:val="24"/>
        </w:rPr>
        <w:t xml:space="preserve">at Appendix </w:t>
      </w:r>
      <w:r w:rsidR="00CE4489" w:rsidRPr="00E44181">
        <w:rPr>
          <w:szCs w:val="24"/>
        </w:rPr>
        <w:t>1</w:t>
      </w:r>
      <w:r w:rsidR="00C9445D" w:rsidRPr="00E44181">
        <w:rPr>
          <w:szCs w:val="24"/>
        </w:rPr>
        <w:t xml:space="preserve"> </w:t>
      </w:r>
      <w:r w:rsidRPr="00E44181">
        <w:rPr>
          <w:szCs w:val="24"/>
        </w:rPr>
        <w:t>of this document.</w:t>
      </w:r>
    </w:p>
    <w:p w14:paraId="533D624B" w14:textId="77777777" w:rsidR="00AA7D4E" w:rsidRDefault="00AA7D4E" w:rsidP="00AA7D4E">
      <w:pPr>
        <w:pStyle w:val="ListParagraph"/>
      </w:pPr>
    </w:p>
    <w:p w14:paraId="3A7E89DC" w14:textId="6829D66F" w:rsidR="005B2FA0" w:rsidRPr="003D1036" w:rsidRDefault="005B2FA0" w:rsidP="000122FC">
      <w:pPr>
        <w:pStyle w:val="Heading3"/>
      </w:pPr>
      <w:r w:rsidRPr="003D1036">
        <w:lastRenderedPageBreak/>
        <w:t>2.2</w:t>
      </w:r>
      <w:r w:rsidR="000122FC">
        <w:tab/>
      </w:r>
      <w:r w:rsidRPr="003D1036">
        <w:t>Has the correct median workplace-based affordability ratio been used to undertake</w:t>
      </w:r>
      <w:r w:rsidR="003D1036">
        <w:t xml:space="preserve"> </w:t>
      </w:r>
      <w:r w:rsidRPr="003D1036">
        <w:t>the</w:t>
      </w:r>
      <w:r w:rsidR="003D1036">
        <w:t xml:space="preserve"> </w:t>
      </w:r>
      <w:r w:rsidRPr="003D1036">
        <w:t>LHN calculation having regard to the date of submission of the Plan?</w:t>
      </w:r>
    </w:p>
    <w:p w14:paraId="61381FE4" w14:textId="77777777" w:rsidR="003D1036" w:rsidRDefault="003D1036" w:rsidP="00F46F28">
      <w:pPr>
        <w:jc w:val="left"/>
        <w:rPr>
          <w:u w:val="single"/>
        </w:rPr>
      </w:pPr>
      <w:r w:rsidRPr="00156B97">
        <w:rPr>
          <w:u w:val="single"/>
        </w:rPr>
        <w:t>Council’s response</w:t>
      </w:r>
    </w:p>
    <w:p w14:paraId="4E35B193" w14:textId="1DDDBAD3" w:rsidR="00053DBD" w:rsidRPr="006B10D6" w:rsidRDefault="00053DBD" w:rsidP="006B10D6">
      <w:pPr>
        <w:pStyle w:val="ListParagraph"/>
        <w:numPr>
          <w:ilvl w:val="2"/>
          <w:numId w:val="13"/>
        </w:numPr>
        <w:jc w:val="left"/>
        <w:rPr>
          <w:rFonts w:cs="Arial"/>
          <w:szCs w:val="24"/>
        </w:rPr>
      </w:pPr>
      <w:r w:rsidRPr="00053DBD">
        <w:t>Yes</w:t>
      </w:r>
      <w:r>
        <w:t>.</w:t>
      </w:r>
      <w:r w:rsidR="00D3401E">
        <w:t xml:space="preserve"> As set out above, the position at point of submission was based on the most up to date LHN calculation at that time. </w:t>
      </w:r>
      <w:r w:rsidR="00D3401E" w:rsidRPr="006B10D6">
        <w:rPr>
          <w:rFonts w:cs="Arial"/>
          <w:szCs w:val="24"/>
        </w:rPr>
        <w:t>This used the ‘</w:t>
      </w:r>
      <w:bookmarkStart w:id="3" w:name="_Hlk179887719"/>
      <w:r w:rsidR="00D3401E" w:rsidRPr="006B10D6">
        <w:rPr>
          <w:rFonts w:cs="Arial"/>
          <w:i/>
          <w:szCs w:val="24"/>
        </w:rPr>
        <w:t xml:space="preserve">median </w:t>
      </w:r>
      <w:proofErr w:type="gramStart"/>
      <w:r w:rsidR="00D3401E" w:rsidRPr="006B10D6">
        <w:rPr>
          <w:rFonts w:cs="Arial"/>
          <w:i/>
          <w:szCs w:val="24"/>
        </w:rPr>
        <w:t>workplace based</w:t>
      </w:r>
      <w:proofErr w:type="gramEnd"/>
      <w:r w:rsidR="00D3401E" w:rsidRPr="006B10D6">
        <w:rPr>
          <w:rFonts w:cs="Arial"/>
          <w:i/>
          <w:szCs w:val="24"/>
        </w:rPr>
        <w:t xml:space="preserve"> affordability ratio</w:t>
      </w:r>
      <w:bookmarkEnd w:id="3"/>
      <w:r w:rsidR="00D3401E" w:rsidRPr="006B10D6">
        <w:rPr>
          <w:rFonts w:cs="Arial"/>
          <w:i/>
          <w:szCs w:val="24"/>
        </w:rPr>
        <w:t xml:space="preserve">’ </w:t>
      </w:r>
      <w:r w:rsidR="00D3401E" w:rsidRPr="006B10D6">
        <w:rPr>
          <w:rFonts w:cs="Arial"/>
          <w:szCs w:val="24"/>
        </w:rPr>
        <w:t xml:space="preserve">as published by the ONS (Table 5c) of </w:t>
      </w:r>
      <w:r w:rsidR="00D3401E" w:rsidRPr="006B10D6">
        <w:rPr>
          <w:rFonts w:cs="Arial"/>
          <w:b/>
          <w:bCs/>
          <w:szCs w:val="24"/>
        </w:rPr>
        <w:t>5.73</w:t>
      </w:r>
      <w:r w:rsidR="00D3401E" w:rsidRPr="006B10D6">
        <w:rPr>
          <w:rFonts w:cs="Arial"/>
          <w:szCs w:val="24"/>
        </w:rPr>
        <w:t xml:space="preserve"> (2022 ratio published </w:t>
      </w:r>
      <w:r w:rsidR="00031CD5" w:rsidRPr="006B10D6">
        <w:rPr>
          <w:rFonts w:cs="Arial"/>
          <w:szCs w:val="24"/>
        </w:rPr>
        <w:t>22</w:t>
      </w:r>
      <w:r w:rsidR="00031CD5" w:rsidRPr="006B10D6">
        <w:rPr>
          <w:rFonts w:cs="Arial"/>
          <w:szCs w:val="24"/>
          <w:vertAlign w:val="superscript"/>
        </w:rPr>
        <w:t>nd</w:t>
      </w:r>
      <w:r w:rsidR="00031CD5" w:rsidRPr="006B10D6">
        <w:rPr>
          <w:rFonts w:cs="Arial"/>
          <w:szCs w:val="24"/>
        </w:rPr>
        <w:t xml:space="preserve"> </w:t>
      </w:r>
      <w:r w:rsidR="00D3401E" w:rsidRPr="006B10D6">
        <w:rPr>
          <w:rFonts w:cs="Arial"/>
          <w:szCs w:val="24"/>
        </w:rPr>
        <w:t>March 2023).</w:t>
      </w:r>
      <w:r w:rsidR="00031CD5" w:rsidRPr="006B10D6">
        <w:rPr>
          <w:rFonts w:cs="Arial"/>
          <w:szCs w:val="24"/>
        </w:rPr>
        <w:t xml:space="preserve"> This </w:t>
      </w:r>
      <w:r w:rsidR="00CE4489" w:rsidRPr="006B10D6">
        <w:rPr>
          <w:rFonts w:cs="Arial"/>
          <w:szCs w:val="24"/>
        </w:rPr>
        <w:t xml:space="preserve">ONS </w:t>
      </w:r>
      <w:r w:rsidR="00031CD5" w:rsidRPr="006B10D6">
        <w:rPr>
          <w:rFonts w:cs="Arial"/>
          <w:szCs w:val="24"/>
        </w:rPr>
        <w:t xml:space="preserve">dataset was </w:t>
      </w:r>
      <w:r w:rsidR="00EA275D">
        <w:rPr>
          <w:rFonts w:cs="Arial"/>
          <w:szCs w:val="24"/>
        </w:rPr>
        <w:t>update</w:t>
      </w:r>
      <w:r w:rsidR="00031CD5" w:rsidRPr="006B10D6">
        <w:rPr>
          <w:rFonts w:cs="Arial"/>
          <w:szCs w:val="24"/>
        </w:rPr>
        <w:t>d on 3</w:t>
      </w:r>
      <w:r w:rsidR="00031CD5" w:rsidRPr="006B10D6">
        <w:rPr>
          <w:rFonts w:cs="Arial"/>
          <w:szCs w:val="24"/>
          <w:vertAlign w:val="superscript"/>
        </w:rPr>
        <w:t>rd</w:t>
      </w:r>
      <w:r w:rsidR="00031CD5" w:rsidRPr="006B10D6">
        <w:rPr>
          <w:rFonts w:cs="Arial"/>
          <w:szCs w:val="24"/>
        </w:rPr>
        <w:t xml:space="preserve"> April 2023, however, the ratio for Ashfield remained unchanged</w:t>
      </w:r>
      <w:r w:rsidR="00CE4489" w:rsidRPr="006B10D6">
        <w:rPr>
          <w:rFonts w:cs="Arial"/>
          <w:szCs w:val="24"/>
        </w:rPr>
        <w:t xml:space="preserve"> at that time</w:t>
      </w:r>
      <w:r w:rsidR="00031CD5" w:rsidRPr="006B10D6">
        <w:rPr>
          <w:rFonts w:cs="Arial"/>
          <w:szCs w:val="24"/>
        </w:rPr>
        <w:t>.</w:t>
      </w:r>
    </w:p>
    <w:p w14:paraId="1745B29D" w14:textId="77777777" w:rsidR="00E44181" w:rsidRDefault="00E44181" w:rsidP="00E44181">
      <w:pPr>
        <w:ind w:left="720" w:hanging="720"/>
        <w:jc w:val="left"/>
      </w:pPr>
      <w:r>
        <w:t>2.2.2</w:t>
      </w:r>
      <w:r>
        <w:tab/>
      </w:r>
      <w:r w:rsidR="00031CD5">
        <w:t xml:space="preserve">The latest </w:t>
      </w:r>
      <w:r w:rsidR="00031CD5" w:rsidRPr="00031CD5">
        <w:t xml:space="preserve">median </w:t>
      </w:r>
      <w:proofErr w:type="gramStart"/>
      <w:r w:rsidR="00031CD5" w:rsidRPr="00031CD5">
        <w:t>workplace based</w:t>
      </w:r>
      <w:proofErr w:type="gramEnd"/>
      <w:r w:rsidR="00031CD5" w:rsidRPr="00031CD5">
        <w:t xml:space="preserve"> affordability ratio</w:t>
      </w:r>
      <w:r w:rsidR="00031CD5">
        <w:t xml:space="preserve"> dataset </w:t>
      </w:r>
      <w:r w:rsidR="0025677D">
        <w:t xml:space="preserve">(2023) </w:t>
      </w:r>
      <w:r w:rsidR="00031CD5">
        <w:t>was published on 25</w:t>
      </w:r>
      <w:r w:rsidR="00031CD5" w:rsidRPr="00031CD5">
        <w:rPr>
          <w:vertAlign w:val="superscript"/>
        </w:rPr>
        <w:t>th</w:t>
      </w:r>
      <w:r w:rsidR="00031CD5">
        <w:t xml:space="preserve"> March 2024, after the Regulation 19 consultation period. As such this could not practically be taken into account prior to submission of the Local Plan for Examination in April 2024.</w:t>
      </w:r>
    </w:p>
    <w:p w14:paraId="41833AF2" w14:textId="7935BF67" w:rsidR="005B2FA0" w:rsidRPr="003D1036" w:rsidRDefault="00E44181" w:rsidP="00E44181">
      <w:pPr>
        <w:ind w:left="720" w:hanging="720"/>
        <w:jc w:val="left"/>
      </w:pPr>
      <w:r>
        <w:t>2.2.3</w:t>
      </w:r>
      <w:r>
        <w:tab/>
      </w:r>
      <w:r w:rsidR="0025677D">
        <w:t xml:space="preserve">However, the Council have since undertaken an assessment to understand what the LHN would be with </w:t>
      </w:r>
      <w:proofErr w:type="gramStart"/>
      <w:r w:rsidR="0025677D">
        <w:t>at</w:t>
      </w:r>
      <w:proofErr w:type="gramEnd"/>
      <w:r w:rsidR="0025677D">
        <w:t xml:space="preserve"> April 2024</w:t>
      </w:r>
      <w:r w:rsidR="00340B37">
        <w:t>. This uses</w:t>
      </w:r>
      <w:r w:rsidR="0025677D">
        <w:t xml:space="preserve"> the most up to date </w:t>
      </w:r>
      <w:proofErr w:type="gramStart"/>
      <w:r w:rsidR="0025677D">
        <w:t>10 year</w:t>
      </w:r>
      <w:proofErr w:type="gramEnd"/>
      <w:r w:rsidR="0025677D">
        <w:t xml:space="preserve"> household growth period </w:t>
      </w:r>
      <w:r w:rsidR="00340B37" w:rsidRPr="00340B37">
        <w:t>(</w:t>
      </w:r>
      <w:r w:rsidR="00340B37">
        <w:t xml:space="preserve">PPG states that </w:t>
      </w:r>
      <w:r w:rsidR="00340B37" w:rsidRPr="00340B37">
        <w:t>this should be 10 consecutive years, with the current year being used as the starting point)</w:t>
      </w:r>
      <w:r w:rsidR="00340B37">
        <w:t xml:space="preserve">, </w:t>
      </w:r>
      <w:r w:rsidR="0025677D">
        <w:t>alongside the most recent</w:t>
      </w:r>
      <w:r w:rsidR="001C6AB1">
        <w:t>ly published affordability</w:t>
      </w:r>
      <w:r w:rsidR="0025677D">
        <w:t xml:space="preserve"> ratio</w:t>
      </w:r>
      <w:r w:rsidR="00340B37">
        <w:t xml:space="preserve"> of </w:t>
      </w:r>
      <w:r w:rsidR="00340B37" w:rsidRPr="001C6AB1">
        <w:rPr>
          <w:b/>
          <w:bCs/>
        </w:rPr>
        <w:t>6.15</w:t>
      </w:r>
      <w:r w:rsidR="0025677D">
        <w:t xml:space="preserve">. This </w:t>
      </w:r>
      <w:r w:rsidR="00340B37">
        <w:t xml:space="preserve">calculation </w:t>
      </w:r>
      <w:r w:rsidR="0025677D">
        <w:t xml:space="preserve">is included in Appendix </w:t>
      </w:r>
      <w:r w:rsidR="00CE4489">
        <w:t>1</w:t>
      </w:r>
      <w:r w:rsidR="0025677D">
        <w:t xml:space="preserve"> of the </w:t>
      </w:r>
      <w:r w:rsidR="0025677D" w:rsidRPr="00F27985">
        <w:rPr>
          <w:szCs w:val="24"/>
        </w:rPr>
        <w:t xml:space="preserve">Housing </w:t>
      </w:r>
      <w:r w:rsidR="00E856F6" w:rsidRPr="00F27985">
        <w:rPr>
          <w:szCs w:val="24"/>
        </w:rPr>
        <w:t xml:space="preserve">Land Supply </w:t>
      </w:r>
      <w:r w:rsidR="0025677D" w:rsidRPr="00F27985">
        <w:rPr>
          <w:szCs w:val="24"/>
        </w:rPr>
        <w:t xml:space="preserve">Position Statement </w:t>
      </w:r>
      <w:r w:rsidR="0025677D" w:rsidRPr="007772DE">
        <w:rPr>
          <w:szCs w:val="24"/>
        </w:rPr>
        <w:t>[</w:t>
      </w:r>
      <w:r w:rsidR="00E73A6B" w:rsidRPr="007772DE">
        <w:rPr>
          <w:szCs w:val="24"/>
        </w:rPr>
        <w:t>ADC.</w:t>
      </w:r>
      <w:r w:rsidR="007772DE" w:rsidRPr="007772DE">
        <w:rPr>
          <w:szCs w:val="24"/>
        </w:rPr>
        <w:t>04</w:t>
      </w:r>
      <w:r w:rsidR="0025677D" w:rsidRPr="007772DE">
        <w:rPr>
          <w:szCs w:val="24"/>
        </w:rPr>
        <w:t>]</w:t>
      </w:r>
      <w:r w:rsidR="0025677D">
        <w:rPr>
          <w:szCs w:val="24"/>
        </w:rPr>
        <w:t xml:space="preserve"> and illustrates that the</w:t>
      </w:r>
      <w:r w:rsidR="00EA275D">
        <w:rPr>
          <w:szCs w:val="24"/>
        </w:rPr>
        <w:t xml:space="preserve"> current</w:t>
      </w:r>
      <w:r w:rsidR="0025677D">
        <w:rPr>
          <w:szCs w:val="24"/>
        </w:rPr>
        <w:t xml:space="preserve"> LHN for Ashfield remains at 446 dwellings per annum</w:t>
      </w:r>
      <w:r w:rsidR="00340B37">
        <w:rPr>
          <w:szCs w:val="24"/>
        </w:rPr>
        <w:t>, despite changes to the inputted data</w:t>
      </w:r>
      <w:r w:rsidR="0025677D">
        <w:rPr>
          <w:szCs w:val="24"/>
        </w:rPr>
        <w:t>.</w:t>
      </w:r>
    </w:p>
    <w:p w14:paraId="08842CDD" w14:textId="77777777" w:rsidR="005617E9" w:rsidRPr="005617E9" w:rsidRDefault="005617E9" w:rsidP="005617E9"/>
    <w:p w14:paraId="092ACBAD" w14:textId="49BA3B5D" w:rsidR="005B2FA0" w:rsidRPr="003D1036" w:rsidRDefault="005B2FA0" w:rsidP="00EF0764">
      <w:pPr>
        <w:pStyle w:val="Heading3"/>
      </w:pPr>
      <w:r w:rsidRPr="003D1036">
        <w:t>2.3</w:t>
      </w:r>
      <w:r w:rsidR="00EF0764">
        <w:tab/>
      </w:r>
      <w:r w:rsidRPr="003D1036">
        <w:t>Are there any exceptional circumstances which justify an alternative approach to</w:t>
      </w:r>
      <w:r w:rsidR="003D1036">
        <w:t xml:space="preserve"> </w:t>
      </w:r>
      <w:r w:rsidRPr="003D1036">
        <w:t>using</w:t>
      </w:r>
      <w:r w:rsidR="003D1036">
        <w:t xml:space="preserve"> </w:t>
      </w:r>
      <w:r w:rsidRPr="003D1036">
        <w:t>the standard method? If so, what are they, and what should the housing</w:t>
      </w:r>
      <w:r w:rsidR="003D1036">
        <w:t xml:space="preserve"> </w:t>
      </w:r>
      <w:r w:rsidRPr="003D1036">
        <w:t>requirement</w:t>
      </w:r>
      <w:r w:rsidR="003D1036">
        <w:t xml:space="preserve"> </w:t>
      </w:r>
      <w:r w:rsidRPr="003D1036">
        <w:t>be?</w:t>
      </w:r>
    </w:p>
    <w:p w14:paraId="412C5860" w14:textId="77777777" w:rsidR="003D1036" w:rsidRPr="00156B97" w:rsidRDefault="003D1036" w:rsidP="00F46F28">
      <w:pPr>
        <w:jc w:val="left"/>
        <w:rPr>
          <w:u w:val="single"/>
        </w:rPr>
      </w:pPr>
      <w:r w:rsidRPr="00156B97">
        <w:rPr>
          <w:u w:val="single"/>
        </w:rPr>
        <w:t>Council’s response</w:t>
      </w:r>
    </w:p>
    <w:p w14:paraId="4446581B" w14:textId="791CF8E9" w:rsidR="00962B9B" w:rsidRPr="003D1036" w:rsidRDefault="00E44181" w:rsidP="00E44181">
      <w:pPr>
        <w:ind w:left="720" w:hanging="720"/>
        <w:jc w:val="left"/>
      </w:pPr>
      <w:r>
        <w:t>2.3.</w:t>
      </w:r>
      <w:r w:rsidR="00822AE1">
        <w:t>1</w:t>
      </w:r>
      <w:r>
        <w:tab/>
      </w:r>
      <w:r w:rsidR="00822AE1">
        <w:t xml:space="preserve">No - </w:t>
      </w:r>
      <w:r w:rsidR="00962B9B">
        <w:t xml:space="preserve">Whilst the Council do consider that the District has numerous </w:t>
      </w:r>
      <w:r w:rsidR="00B769E6">
        <w:t xml:space="preserve">local </w:t>
      </w:r>
      <w:r w:rsidR="00962B9B">
        <w:t xml:space="preserve">constraints to </w:t>
      </w:r>
      <w:r w:rsidR="00B769E6">
        <w:t xml:space="preserve">the scale of </w:t>
      </w:r>
      <w:r w:rsidR="00962B9B">
        <w:t xml:space="preserve">development </w:t>
      </w:r>
      <w:r w:rsidR="00B769E6">
        <w:t xml:space="preserve">which could reasonably be </w:t>
      </w:r>
      <w:r w:rsidR="00EA47B4">
        <w:t>accommodated</w:t>
      </w:r>
      <w:r w:rsidR="00B769E6">
        <w:t xml:space="preserve"> </w:t>
      </w:r>
      <w:r w:rsidR="005C0592">
        <w:t>– these</w:t>
      </w:r>
      <w:r w:rsidR="00962B9B">
        <w:t xml:space="preserve"> are discussed in Background Paper 1: </w:t>
      </w:r>
      <w:r w:rsidR="00C622AE">
        <w:t xml:space="preserve">Spatial Strategy and Site Selection [BP.01] and also </w:t>
      </w:r>
      <w:r w:rsidR="00B769E6">
        <w:t>the Analysis of Constraints for the District of Ashfield</w:t>
      </w:r>
      <w:r w:rsidR="00C622AE">
        <w:t xml:space="preserve"> [BP.05]</w:t>
      </w:r>
      <w:r w:rsidR="00B769E6">
        <w:t xml:space="preserve"> – it is not considered that there are exceptional circumstances to deviate from </w:t>
      </w:r>
      <w:r w:rsidR="00822AE1">
        <w:t>the standard method</w:t>
      </w:r>
      <w:r w:rsidR="00B769E6">
        <w:t xml:space="preserve">. </w:t>
      </w:r>
    </w:p>
    <w:p w14:paraId="7BC87FB2" w14:textId="77777777" w:rsidR="00822009" w:rsidRDefault="00822009" w:rsidP="00F46F28">
      <w:pPr>
        <w:jc w:val="left"/>
        <w:rPr>
          <w:b/>
          <w:bCs/>
          <w:i/>
          <w:iCs/>
        </w:rPr>
      </w:pPr>
    </w:p>
    <w:p w14:paraId="0CF45270" w14:textId="6DE04291" w:rsidR="005B2FA0" w:rsidRPr="003B6FEE" w:rsidRDefault="005B2FA0" w:rsidP="00EF0764">
      <w:pPr>
        <w:pStyle w:val="Heading3"/>
        <w:rPr>
          <w:color w:val="FF0000"/>
        </w:rPr>
      </w:pPr>
      <w:r w:rsidRPr="003D1036">
        <w:t xml:space="preserve">2.4 </w:t>
      </w:r>
      <w:r w:rsidR="00EF0764">
        <w:tab/>
      </w:r>
      <w:r w:rsidRPr="003D1036">
        <w:t>Is the plan positively prepared in light of the under-identification of homes over the</w:t>
      </w:r>
      <w:r w:rsidR="003D1036">
        <w:t xml:space="preserve"> </w:t>
      </w:r>
      <w:r w:rsidRPr="003D1036">
        <w:t>full</w:t>
      </w:r>
      <w:r w:rsidR="003D1036">
        <w:t xml:space="preserve"> </w:t>
      </w:r>
      <w:r w:rsidRPr="003D1036">
        <w:t>Plan period compared with the requirement under the standard method (</w:t>
      </w:r>
      <w:r w:rsidRPr="0094675C">
        <w:t>6,825</w:t>
      </w:r>
      <w:r w:rsidR="003D1036">
        <w:t xml:space="preserve"> </w:t>
      </w:r>
      <w:r w:rsidRPr="003D1036">
        <w:t>compared to the LHN of 7,582)?</w:t>
      </w:r>
      <w:r w:rsidR="00996FCF">
        <w:t xml:space="preserve"> </w:t>
      </w:r>
      <w:r w:rsidR="002715E5">
        <w:t xml:space="preserve"> </w:t>
      </w:r>
    </w:p>
    <w:p w14:paraId="5D473FF4" w14:textId="77777777" w:rsidR="003D1036" w:rsidRPr="00156B97" w:rsidRDefault="003D1036" w:rsidP="00F46F28">
      <w:pPr>
        <w:jc w:val="left"/>
        <w:rPr>
          <w:u w:val="single"/>
        </w:rPr>
      </w:pPr>
      <w:r w:rsidRPr="00156B97">
        <w:rPr>
          <w:u w:val="single"/>
        </w:rPr>
        <w:t>Council’s response</w:t>
      </w:r>
    </w:p>
    <w:p w14:paraId="6968F4F4" w14:textId="10804473" w:rsidR="007D6F72" w:rsidRPr="003B4312" w:rsidRDefault="00FF29FC" w:rsidP="00FF29FC">
      <w:pPr>
        <w:ind w:left="720" w:hanging="720"/>
        <w:jc w:val="left"/>
      </w:pPr>
      <w:r>
        <w:t>2.4.1</w:t>
      </w:r>
      <w:r>
        <w:tab/>
      </w:r>
      <w:r w:rsidR="00277F9E">
        <w:t>Yes</w:t>
      </w:r>
      <w:r>
        <w:t xml:space="preserve"> -</w:t>
      </w:r>
      <w:r w:rsidR="00277F9E">
        <w:t xml:space="preserve"> </w:t>
      </w:r>
      <w:r w:rsidR="007D6F72" w:rsidRPr="003B4312">
        <w:t xml:space="preserve">NPPF </w:t>
      </w:r>
      <w:r w:rsidR="00C86D52" w:rsidRPr="003B4312">
        <w:t xml:space="preserve">paragraph </w:t>
      </w:r>
      <w:r w:rsidR="007D6F72" w:rsidRPr="003B4312">
        <w:t xml:space="preserve">22 requires strategic policies to look ahead over a minimum of 15 years post adoption, as such Policy S7 sets a minimum figure of 7582 dwellings over the entire </w:t>
      </w:r>
      <w:r w:rsidR="005D1C0C" w:rsidRPr="003B4312">
        <w:t>17-year</w:t>
      </w:r>
      <w:r w:rsidR="00C86D52" w:rsidRPr="003B4312">
        <w:t xml:space="preserve"> </w:t>
      </w:r>
      <w:r w:rsidR="007D6F72" w:rsidRPr="003B4312">
        <w:t xml:space="preserve">Plan period. </w:t>
      </w:r>
      <w:r w:rsidR="00543FAC">
        <w:t>Local Plan paragraph 3.63</w:t>
      </w:r>
      <w:r w:rsidR="007D6F72" w:rsidRPr="003B4312">
        <w:t xml:space="preserve"> acknowledge</w:t>
      </w:r>
      <w:r w:rsidR="00543FAC">
        <w:t>s</w:t>
      </w:r>
      <w:r w:rsidR="007D6F72" w:rsidRPr="003B4312">
        <w:t xml:space="preserve"> that the proposed allocations (in Policy H1) together with small site supply </w:t>
      </w:r>
      <w:r w:rsidR="00C86D52" w:rsidRPr="003B4312">
        <w:t xml:space="preserve">(as calculated </w:t>
      </w:r>
      <w:proofErr w:type="gramStart"/>
      <w:r w:rsidR="00C86D52" w:rsidRPr="003B4312">
        <w:t>at</w:t>
      </w:r>
      <w:proofErr w:type="gramEnd"/>
      <w:r w:rsidR="00C86D52" w:rsidRPr="003B4312">
        <w:t xml:space="preserve"> April 2023) </w:t>
      </w:r>
      <w:r w:rsidR="007D6F72" w:rsidRPr="003B4312">
        <w:t xml:space="preserve">will provide for approximately 13 years’ worth of </w:t>
      </w:r>
      <w:r w:rsidR="007D6F72" w:rsidRPr="003B4312">
        <w:lastRenderedPageBreak/>
        <w:t>housing supply post adoption. This is consistent with NPPF paragraph 68 which requires policies to identify a sufficient supply and mix of sites, (taking into account their availability, suitability and likely economic viability), with specific, deliverable sites for years one to five of the plan period, and specific, developable sites or broad locations for growth, for years 6-10 and, where possible, for years 11-15 of the plan.</w:t>
      </w:r>
    </w:p>
    <w:p w14:paraId="1DB8F246" w14:textId="734313A7" w:rsidR="00FF29FC" w:rsidRDefault="00FF29FC" w:rsidP="00FF29FC">
      <w:pPr>
        <w:ind w:left="720" w:hanging="720"/>
      </w:pPr>
      <w:r>
        <w:t>2.4.2</w:t>
      </w:r>
      <w:r>
        <w:tab/>
      </w:r>
      <w:r w:rsidR="00C86D52">
        <w:t xml:space="preserve">However, </w:t>
      </w:r>
      <w:bookmarkStart w:id="4" w:name="_Hlk180071971"/>
      <w:r w:rsidR="00C86D52">
        <w:t>t</w:t>
      </w:r>
      <w:r w:rsidR="00C86D52" w:rsidRPr="006B39F4">
        <w:t xml:space="preserve">he </w:t>
      </w:r>
      <w:r w:rsidR="00C86D52">
        <w:t xml:space="preserve">Council have prepared a Housing </w:t>
      </w:r>
      <w:r w:rsidR="00462D86">
        <w:t xml:space="preserve">Land Supply </w:t>
      </w:r>
      <w:r w:rsidR="00C86D52">
        <w:t>Position Statement</w:t>
      </w:r>
      <w:r w:rsidR="00462D86">
        <w:t>, October 2024</w:t>
      </w:r>
      <w:r w:rsidR="00C86D52">
        <w:t xml:space="preserve"> [</w:t>
      </w:r>
      <w:r w:rsidR="004058E6">
        <w:t>ADC.</w:t>
      </w:r>
      <w:r w:rsidR="007772DE">
        <w:t>04</w:t>
      </w:r>
      <w:r w:rsidR="00C86D52">
        <w:t xml:space="preserve">] </w:t>
      </w:r>
      <w:bookmarkEnd w:id="4"/>
      <w:r w:rsidR="00C86D52">
        <w:t xml:space="preserve">which draws on the most up to date information in respect of housing supply and delivery in the district. This illustrates that the deficit over the full </w:t>
      </w:r>
      <w:r w:rsidR="005D1C0C">
        <w:t>17-year</w:t>
      </w:r>
      <w:r w:rsidR="00C86D52">
        <w:t xml:space="preserve"> plan period currently estimated to be -237 dwellings (equivalent of just over 6 months).</w:t>
      </w:r>
    </w:p>
    <w:p w14:paraId="347CB481" w14:textId="7D5DAE7E" w:rsidR="00FF29FC" w:rsidRDefault="00FF29FC" w:rsidP="00FF29FC">
      <w:pPr>
        <w:ind w:left="720" w:hanging="720"/>
      </w:pPr>
      <w:r>
        <w:t>2.4.3</w:t>
      </w:r>
      <w:r>
        <w:tab/>
      </w:r>
      <w:r w:rsidR="008545A0" w:rsidRPr="008545A0">
        <w:t xml:space="preserve">In </w:t>
      </w:r>
      <w:r w:rsidR="00F832D9">
        <w:t>addition</w:t>
      </w:r>
      <w:r w:rsidR="00944D84">
        <w:t>,</w:t>
      </w:r>
      <w:r w:rsidR="008545A0" w:rsidRPr="008545A0">
        <w:t xml:space="preserve"> </w:t>
      </w:r>
      <w:r w:rsidR="00F832D9">
        <w:t>it is anticipated that some larger windfall sites (of 10 or more dwellings) are likely to come forward within the Plan period, adding to the supply identified through allocation and unallocated small sites, although this element is not relied upon in the overall calculation undertaken by the Council.</w:t>
      </w:r>
      <w:r w:rsidR="00EA47B4">
        <w:t xml:space="preserve"> It is therefore </w:t>
      </w:r>
      <w:r w:rsidR="008545A0" w:rsidRPr="008545A0">
        <w:t xml:space="preserve">expected that actual delivery </w:t>
      </w:r>
      <w:r w:rsidR="00EA47B4">
        <w:t xml:space="preserve">could in reality </w:t>
      </w:r>
      <w:r w:rsidR="008545A0" w:rsidRPr="008545A0">
        <w:t>meet the</w:t>
      </w:r>
      <w:r w:rsidR="00EA47B4">
        <w:t xml:space="preserve"> total identified</w:t>
      </w:r>
      <w:r w:rsidR="008545A0" w:rsidRPr="008545A0">
        <w:t xml:space="preserve"> level of need over the entire plan period.  </w:t>
      </w:r>
    </w:p>
    <w:p w14:paraId="3076135A" w14:textId="1DBDAC65" w:rsidR="00FF29FC" w:rsidRDefault="00FF29FC" w:rsidP="00FF29FC">
      <w:pPr>
        <w:ind w:left="720" w:hanging="720"/>
        <w:jc w:val="left"/>
      </w:pPr>
      <w:r>
        <w:t>2.4.4</w:t>
      </w:r>
      <w:r>
        <w:tab/>
      </w:r>
      <w:r w:rsidR="008545A0">
        <w:t>Ashfield District is relatively small geographically (</w:t>
      </w:r>
      <w:r w:rsidR="004058E6">
        <w:t>10.956</w:t>
      </w:r>
      <w:r w:rsidR="008545A0">
        <w:t xml:space="preserve"> Ha) and has limited areas of open countryside separating the 3 towns and 3 large villages.  There is very little scope for brownfield development and many other constraints (including Green Belt) impacting greenfield sites.</w:t>
      </w:r>
      <w:r w:rsidR="00EA47B4">
        <w:t xml:space="preserve"> </w:t>
      </w:r>
      <w:r w:rsidR="00EA47B4" w:rsidRPr="00C86D52">
        <w:t xml:space="preserve">At </w:t>
      </w:r>
      <w:r w:rsidR="00EA47B4">
        <w:t xml:space="preserve">the point of </w:t>
      </w:r>
      <w:r w:rsidR="00F27985">
        <w:t>submission,</w:t>
      </w:r>
      <w:r w:rsidR="00EA47B4">
        <w:t xml:space="preserve"> it was not possible to identify specific developable sites </w:t>
      </w:r>
      <w:r w:rsidR="00EA47B4" w:rsidRPr="00F27985">
        <w:t>or broad locations for growth for</w:t>
      </w:r>
      <w:r w:rsidR="00EA47B4">
        <w:t xml:space="preserve"> years 11-15 of the Plan </w:t>
      </w:r>
      <w:r w:rsidR="002949F6">
        <w:t>(</w:t>
      </w:r>
      <w:r w:rsidR="00EA47B4">
        <w:t>post adoption</w:t>
      </w:r>
      <w:r w:rsidR="002949F6">
        <w:t>)</w:t>
      </w:r>
      <w:r w:rsidR="00EA47B4">
        <w:t xml:space="preserve"> whilst delivering the Council's vision and subsequent spatial strategy.</w:t>
      </w:r>
      <w:r w:rsidR="00543FAC" w:rsidRPr="00543FAC">
        <w:t xml:space="preserve"> </w:t>
      </w:r>
      <w:r w:rsidR="00543FAC">
        <w:t>S</w:t>
      </w:r>
      <w:r w:rsidR="00543FAC" w:rsidRPr="003B4312">
        <w:t>ection 10 of Background Paper 1 [BP.01</w:t>
      </w:r>
      <w:r w:rsidR="00543FAC" w:rsidRPr="00543FAC">
        <w:t>]</w:t>
      </w:r>
      <w:r w:rsidR="00543FAC" w:rsidRPr="00543FAC">
        <w:rPr>
          <w:rFonts w:cs="Arial"/>
          <w:szCs w:val="24"/>
        </w:rPr>
        <w:t xml:space="preserve"> discusses why the approach taken to site allocation is considered to be sound in more detail.</w:t>
      </w:r>
    </w:p>
    <w:p w14:paraId="00E24BB1" w14:textId="3164B813" w:rsidR="008545A0" w:rsidRPr="00FF29FC" w:rsidRDefault="00FF29FC" w:rsidP="00FF29FC">
      <w:pPr>
        <w:ind w:left="720" w:hanging="720"/>
        <w:jc w:val="left"/>
      </w:pPr>
      <w:r>
        <w:t>2.4.5</w:t>
      </w:r>
      <w:r>
        <w:tab/>
      </w:r>
      <w:r w:rsidR="00543FAC">
        <w:t xml:space="preserve">The Council considers </w:t>
      </w:r>
      <w:r w:rsidR="00A90E11">
        <w:t xml:space="preserve">it </w:t>
      </w:r>
      <w:r w:rsidR="008545A0">
        <w:t xml:space="preserve">pragmatic </w:t>
      </w:r>
      <w:r w:rsidR="00A90E11">
        <w:t>to</w:t>
      </w:r>
      <w:r w:rsidR="008545A0">
        <w:t xml:space="preserve"> address the housing need and supply through regular </w:t>
      </w:r>
      <w:r w:rsidR="00C86D52">
        <w:t>reviews of policies in the local plan</w:t>
      </w:r>
      <w:r w:rsidR="00C86D52" w:rsidRPr="00C86D52">
        <w:t>, at least every 5 years,</w:t>
      </w:r>
      <w:r w:rsidR="008545A0" w:rsidRPr="00C86D52">
        <w:t xml:space="preserve"> </w:t>
      </w:r>
      <w:r w:rsidR="00F3497D">
        <w:t>(</w:t>
      </w:r>
      <w:r w:rsidR="008545A0" w:rsidRPr="00C86D52">
        <w:t>as required by NPPF para.33</w:t>
      </w:r>
      <w:r w:rsidR="00F3497D">
        <w:t>)</w:t>
      </w:r>
      <w:r w:rsidR="008545A0" w:rsidRPr="00C86D52">
        <w:t xml:space="preserve">, whist conforming with NPPF para. 68. </w:t>
      </w:r>
      <w:r w:rsidR="00C86D52" w:rsidRPr="00C86D52">
        <w:t xml:space="preserve">Reviews would take into account </w:t>
      </w:r>
      <w:r w:rsidR="00A90E11">
        <w:t xml:space="preserve">any </w:t>
      </w:r>
      <w:r w:rsidR="00C86D52" w:rsidRPr="00C86D52">
        <w:t xml:space="preserve">changing circumstances affecting the area, or any relevant changes in national policy. </w:t>
      </w:r>
      <w:r w:rsidR="002949F6">
        <w:t>The council’s c</w:t>
      </w:r>
      <w:r w:rsidR="00F3497D">
        <w:t>ommitment to this aspect is included in the Local Plan at paragraph 3.64.</w:t>
      </w:r>
    </w:p>
    <w:p w14:paraId="5A60ABC6" w14:textId="77777777" w:rsidR="00833039" w:rsidRPr="00833039" w:rsidRDefault="00833039" w:rsidP="00833039">
      <w:pPr>
        <w:pStyle w:val="ListParagraph"/>
        <w:jc w:val="left"/>
        <w:rPr>
          <w:rFonts w:cs="Arial"/>
          <w:color w:val="FF0000"/>
          <w:szCs w:val="24"/>
        </w:rPr>
      </w:pPr>
    </w:p>
    <w:p w14:paraId="208D956B" w14:textId="6021E398" w:rsidR="005B2FA0" w:rsidRPr="00BA5B93" w:rsidRDefault="003626FF" w:rsidP="00C13C2C">
      <w:pPr>
        <w:pStyle w:val="Heading3"/>
      </w:pPr>
      <w:r>
        <w:t>2.5</w:t>
      </w:r>
      <w:r w:rsidR="00C13C2C">
        <w:tab/>
      </w:r>
      <w:r w:rsidR="005B2FA0" w:rsidRPr="00BA5B93">
        <w:t>The plan identified a shortfall in housing allocations over the full plan period but</w:t>
      </w:r>
      <w:r w:rsidR="003D1036" w:rsidRPr="00BA5B93">
        <w:t xml:space="preserve"> </w:t>
      </w:r>
      <w:r w:rsidR="005B2FA0" w:rsidRPr="00BA5B93">
        <w:t>nonetheless proposes the release of a number of sites from the Green Belt. Is this</w:t>
      </w:r>
      <w:r w:rsidR="003D1036" w:rsidRPr="00BA5B93">
        <w:t xml:space="preserve"> </w:t>
      </w:r>
      <w:r w:rsidR="005B2FA0" w:rsidRPr="00BA5B93">
        <w:t>approach consistent with paragraph 143</w:t>
      </w:r>
      <w:r w:rsidR="00BA5B93">
        <w:t>€</w:t>
      </w:r>
      <w:r w:rsidR="005B2FA0" w:rsidRPr="00BA5B93">
        <w:t xml:space="preserve"> of the Framework which indicates that</w:t>
      </w:r>
      <w:r w:rsidR="003D1036" w:rsidRPr="00BA5B93">
        <w:t xml:space="preserve"> </w:t>
      </w:r>
      <w:r w:rsidR="005B2FA0" w:rsidRPr="00BA5B93">
        <w:t>when defining Green Belt boundaries, plans should be able to demonstrate that Green</w:t>
      </w:r>
      <w:r w:rsidR="003D1036" w:rsidRPr="00BA5B93">
        <w:t xml:space="preserve"> </w:t>
      </w:r>
      <w:r w:rsidR="005B2FA0" w:rsidRPr="00BA5B93">
        <w:t>Belt boundaries will not need to be altered at the end of the plan period?</w:t>
      </w:r>
    </w:p>
    <w:p w14:paraId="116D4EC2" w14:textId="77777777" w:rsidR="003D1036" w:rsidRPr="00156B97" w:rsidRDefault="003D1036" w:rsidP="00F46F28">
      <w:pPr>
        <w:jc w:val="left"/>
        <w:rPr>
          <w:u w:val="single"/>
        </w:rPr>
      </w:pPr>
      <w:r w:rsidRPr="00156B97">
        <w:rPr>
          <w:u w:val="single"/>
        </w:rPr>
        <w:t>Council’s response</w:t>
      </w:r>
    </w:p>
    <w:p w14:paraId="0B490506" w14:textId="33391FAD" w:rsidR="005B4352" w:rsidRDefault="006B10D6" w:rsidP="006B10D6">
      <w:pPr>
        <w:ind w:left="720" w:hanging="720"/>
        <w:jc w:val="left"/>
      </w:pPr>
      <w:r>
        <w:t>2.5.1</w:t>
      </w:r>
      <w:r>
        <w:tab/>
      </w:r>
      <w:r w:rsidR="008545A0" w:rsidRPr="00F3497D">
        <w:t xml:space="preserve">The </w:t>
      </w:r>
      <w:r w:rsidR="005B4352" w:rsidRPr="00F3497D">
        <w:t>Council</w:t>
      </w:r>
      <w:r w:rsidR="008545A0" w:rsidRPr="00F3497D">
        <w:t xml:space="preserve"> </w:t>
      </w:r>
      <w:r w:rsidR="005B4352" w:rsidRPr="00F3497D">
        <w:t>consider</w:t>
      </w:r>
      <w:r w:rsidR="008545A0" w:rsidRPr="00F3497D">
        <w:t xml:space="preserve"> that Green </w:t>
      </w:r>
      <w:r w:rsidR="00644B8F">
        <w:t>B</w:t>
      </w:r>
      <w:r w:rsidR="008545A0" w:rsidRPr="00F3497D">
        <w:t xml:space="preserve">elt release is </w:t>
      </w:r>
      <w:r w:rsidR="005B4352" w:rsidRPr="00F3497D">
        <w:t>necessary</w:t>
      </w:r>
      <w:r w:rsidR="008545A0" w:rsidRPr="00F3497D">
        <w:t xml:space="preserve"> to deliver growth in </w:t>
      </w:r>
      <w:r w:rsidR="005B4352" w:rsidRPr="00F3497D">
        <w:t>appropriate</w:t>
      </w:r>
      <w:r w:rsidR="008545A0" w:rsidRPr="00F3497D">
        <w:t xml:space="preserve"> locations and to achieve the Vision through the preferred spatial strategy. Sites have been selected according to the methodology set out in </w:t>
      </w:r>
      <w:r w:rsidR="00F3497D" w:rsidRPr="00F3497D">
        <w:t>[</w:t>
      </w:r>
      <w:r w:rsidR="008545A0" w:rsidRPr="00F3497D">
        <w:t>BP</w:t>
      </w:r>
      <w:r w:rsidR="00F3497D" w:rsidRPr="00F3497D">
        <w:t>.0</w:t>
      </w:r>
      <w:r w:rsidR="008545A0" w:rsidRPr="00F3497D">
        <w:t>1</w:t>
      </w:r>
      <w:r w:rsidR="00AF3E55" w:rsidRPr="00F3497D">
        <w:t>] and</w:t>
      </w:r>
      <w:r w:rsidR="008545A0" w:rsidRPr="00F3497D">
        <w:t xml:space="preserve"> aim to deliver proportionate growth in sustainable locations to serve existing settlements whilst minimising impact on the Green </w:t>
      </w:r>
      <w:r w:rsidR="00FD008C">
        <w:t>B</w:t>
      </w:r>
      <w:r w:rsidR="008545A0" w:rsidRPr="00F3497D">
        <w:t xml:space="preserve">elt. </w:t>
      </w:r>
    </w:p>
    <w:p w14:paraId="65084EA0" w14:textId="3D5DA21F" w:rsidR="00FD008C" w:rsidRDefault="006B10D6" w:rsidP="006B10D6">
      <w:pPr>
        <w:ind w:left="720" w:hanging="720"/>
        <w:jc w:val="left"/>
      </w:pPr>
      <w:r>
        <w:lastRenderedPageBreak/>
        <w:t>2.5.2</w:t>
      </w:r>
      <w:r>
        <w:tab/>
      </w:r>
      <w:r w:rsidR="00FD008C">
        <w:t xml:space="preserve">The Council </w:t>
      </w:r>
      <w:r w:rsidR="00F42420">
        <w:t>considers</w:t>
      </w:r>
      <w:r w:rsidR="00FD008C">
        <w:t xml:space="preserve"> that proposed changes to the green belt present long term strong defensible boundaries</w:t>
      </w:r>
      <w:r w:rsidR="00F42420">
        <w:t xml:space="preserve">. Taking account of the settlement hierarchy in </w:t>
      </w:r>
      <w:r w:rsidR="005354D6">
        <w:t>S</w:t>
      </w:r>
      <w:r w:rsidR="00F42420">
        <w:t xml:space="preserve">trategic </w:t>
      </w:r>
      <w:r w:rsidR="005354D6">
        <w:t>P</w:t>
      </w:r>
      <w:r w:rsidR="00F42420">
        <w:t xml:space="preserve">olicy S1, the only ‘Level A’ settlement wholly constrained by Green </w:t>
      </w:r>
      <w:r w:rsidR="00F92A43">
        <w:t>B</w:t>
      </w:r>
      <w:r w:rsidR="00F42420">
        <w:t>elt in Ashfield is the town of Hucknall. It should be noted that this settlement is located on the District’s bo</w:t>
      </w:r>
      <w:r w:rsidR="005354D6">
        <w:t>undary</w:t>
      </w:r>
      <w:r w:rsidR="00F42420">
        <w:t xml:space="preserve"> with </w:t>
      </w:r>
      <w:bookmarkStart w:id="5" w:name="_Hlk180748901"/>
      <w:r w:rsidR="00F42420">
        <w:t>Gedling Borough</w:t>
      </w:r>
      <w:r w:rsidR="00F92A43">
        <w:t>. Gedling Borough Council</w:t>
      </w:r>
      <w:r w:rsidR="00F42420">
        <w:t xml:space="preserve"> ha</w:t>
      </w:r>
      <w:r w:rsidR="00F92A43">
        <w:t>ve</w:t>
      </w:r>
      <w:r w:rsidR="00F42420">
        <w:t xml:space="preserve"> allocated a significant sized site </w:t>
      </w:r>
      <w:r w:rsidR="00AF3E55">
        <w:t>for 805 dwellings</w:t>
      </w:r>
      <w:r w:rsidR="00F42420">
        <w:t xml:space="preserve"> to the north of </w:t>
      </w:r>
      <w:r w:rsidR="00AF3E55">
        <w:t>Hucknall and</w:t>
      </w:r>
      <w:r w:rsidR="00F42420">
        <w:t xml:space="preserve"> are proposing additional allocation o</w:t>
      </w:r>
      <w:r w:rsidR="00F92A43">
        <w:t>n</w:t>
      </w:r>
      <w:r w:rsidR="00F42420">
        <w:t xml:space="preserve"> existing ‘white land’ in this location to accommodate </w:t>
      </w:r>
      <w:r w:rsidR="00AF3E55">
        <w:t>a further 640 dwellings</w:t>
      </w:r>
      <w:r w:rsidR="00F42420">
        <w:t>.</w:t>
      </w:r>
    </w:p>
    <w:bookmarkEnd w:id="5"/>
    <w:p w14:paraId="276AA818" w14:textId="17415F56" w:rsidR="00F92A43" w:rsidRPr="00F3497D" w:rsidRDefault="006B10D6" w:rsidP="006B10D6">
      <w:pPr>
        <w:ind w:left="720" w:hanging="720"/>
        <w:jc w:val="left"/>
      </w:pPr>
      <w:r>
        <w:t>2.5.3</w:t>
      </w:r>
      <w:r>
        <w:tab/>
      </w:r>
      <w:r w:rsidR="00F25800">
        <w:t>Future d</w:t>
      </w:r>
      <w:r w:rsidR="00F92A43">
        <w:t>evelopment requirements beyond the Plan period are un</w:t>
      </w:r>
      <w:r w:rsidR="00F25800">
        <w:t>certain</w:t>
      </w:r>
      <w:r w:rsidR="00F92A43">
        <w:t xml:space="preserve">, and wholesale Green Belt release at this stage is considered inappropriate.  It should </w:t>
      </w:r>
      <w:r w:rsidR="00F25800">
        <w:t xml:space="preserve">also </w:t>
      </w:r>
      <w:r w:rsidR="00F92A43">
        <w:t xml:space="preserve">be noted that the remaining </w:t>
      </w:r>
      <w:r w:rsidR="00F25800">
        <w:t>‘L</w:t>
      </w:r>
      <w:r w:rsidR="00F92A43">
        <w:t>evel A</w:t>
      </w:r>
      <w:r w:rsidR="00F25800">
        <w:t>’</w:t>
      </w:r>
      <w:r w:rsidR="00F92A43">
        <w:t xml:space="preserve"> settlement</w:t>
      </w:r>
      <w:r w:rsidR="005354D6">
        <w:t>s</w:t>
      </w:r>
      <w:r w:rsidR="00F92A43">
        <w:t xml:space="preserve"> of Sutton and Kirkby are not wholly constrained by Green Belt, </w:t>
      </w:r>
      <w:r w:rsidR="00644B8F">
        <w:t>albeit having other constraints to development.</w:t>
      </w:r>
    </w:p>
    <w:p w14:paraId="06CFDF45" w14:textId="77777777" w:rsidR="005617E9" w:rsidRDefault="006B10D6" w:rsidP="006B10D6">
      <w:pPr>
        <w:ind w:left="720" w:hanging="720"/>
        <w:jc w:val="left"/>
      </w:pPr>
      <w:r>
        <w:t>2.5.4</w:t>
      </w:r>
      <w:r>
        <w:tab/>
      </w:r>
      <w:r w:rsidR="005B4352" w:rsidRPr="00F3497D">
        <w:t xml:space="preserve">As set out in the response to </w:t>
      </w:r>
      <w:r w:rsidR="00FD008C">
        <w:t>Q</w:t>
      </w:r>
      <w:r w:rsidR="005B4352" w:rsidRPr="00F3497D">
        <w:t>u.2.4, it is anticipated that the full housing need could be met by the end of the plan period, despite the site allocations and small housing commitments currently falling slightly short of this target.</w:t>
      </w:r>
      <w:r w:rsidR="008545A0" w:rsidRPr="00F3497D">
        <w:t xml:space="preserve">    </w:t>
      </w:r>
    </w:p>
    <w:p w14:paraId="04C996D4" w14:textId="26F4578F" w:rsidR="005B2FA0" w:rsidRPr="00F3497D" w:rsidRDefault="008545A0" w:rsidP="006B10D6">
      <w:pPr>
        <w:ind w:left="720" w:hanging="720"/>
        <w:jc w:val="left"/>
      </w:pPr>
      <w:r w:rsidRPr="00F3497D">
        <w:t xml:space="preserve"> </w:t>
      </w:r>
    </w:p>
    <w:p w14:paraId="7ABCE411" w14:textId="55032A37" w:rsidR="005B2FA0" w:rsidRPr="000D111C" w:rsidRDefault="005B2FA0" w:rsidP="00C13C2C">
      <w:pPr>
        <w:pStyle w:val="Heading3"/>
      </w:pPr>
      <w:bookmarkStart w:id="6" w:name="_Hlk179977770"/>
      <w:r w:rsidRPr="000D111C">
        <w:t>2.6</w:t>
      </w:r>
      <w:r w:rsidR="00C13C2C">
        <w:tab/>
      </w:r>
      <w:r w:rsidRPr="000D111C">
        <w:t>How has the SA considered the under-allocation of housing compared to the</w:t>
      </w:r>
      <w:r w:rsidR="003D1036" w:rsidRPr="000D111C">
        <w:t xml:space="preserve"> h</w:t>
      </w:r>
      <w:r w:rsidRPr="000D111C">
        <w:t>ousing</w:t>
      </w:r>
      <w:r w:rsidR="003D1036" w:rsidRPr="000D111C">
        <w:t xml:space="preserve"> </w:t>
      </w:r>
      <w:r w:rsidRPr="000D111C">
        <w:t>requirement over the full plan period?</w:t>
      </w:r>
    </w:p>
    <w:bookmarkEnd w:id="6"/>
    <w:p w14:paraId="29731729" w14:textId="77777777" w:rsidR="003D1036" w:rsidRPr="000D111C" w:rsidRDefault="003D1036" w:rsidP="00F46F28">
      <w:pPr>
        <w:jc w:val="left"/>
        <w:rPr>
          <w:u w:val="single"/>
        </w:rPr>
      </w:pPr>
      <w:r w:rsidRPr="000D111C">
        <w:rPr>
          <w:u w:val="single"/>
        </w:rPr>
        <w:t>Council’s response</w:t>
      </w:r>
    </w:p>
    <w:p w14:paraId="02C81A20" w14:textId="5AD500B6" w:rsidR="00195C23" w:rsidRPr="00195C23" w:rsidRDefault="006B10D6" w:rsidP="005D05B3">
      <w:pPr>
        <w:ind w:left="720" w:hanging="720"/>
        <w:jc w:val="left"/>
        <w:rPr>
          <w:rFonts w:cs="Arial"/>
          <w:kern w:val="2"/>
          <w:szCs w:val="24"/>
          <w14:ligatures w14:val="standardContextual"/>
        </w:rPr>
      </w:pPr>
      <w:r w:rsidRPr="007772DE">
        <w:t>2.6.1</w:t>
      </w:r>
      <w:r w:rsidRPr="007772DE">
        <w:tab/>
      </w:r>
      <w:r w:rsidR="00195C23" w:rsidRPr="007772DE">
        <w:rPr>
          <w:rFonts w:cs="Arial"/>
          <w:kern w:val="2"/>
          <w:szCs w:val="24"/>
          <w14:ligatures w14:val="standardContextual"/>
        </w:rPr>
        <w:t>T</w:t>
      </w:r>
      <w:r w:rsidR="00195C23" w:rsidRPr="00195C23">
        <w:rPr>
          <w:rFonts w:cs="Arial"/>
          <w:kern w:val="2"/>
          <w:szCs w:val="24"/>
          <w14:ligatures w14:val="standardContextual"/>
        </w:rPr>
        <w:t xml:space="preserve">he Regulation 19 Pre-Submission SA Report </w:t>
      </w:r>
      <w:r w:rsidR="00EF4CBA">
        <w:rPr>
          <w:rFonts w:cs="Arial"/>
          <w:kern w:val="2"/>
          <w:szCs w:val="24"/>
          <w14:ligatures w14:val="standardContextual"/>
        </w:rPr>
        <w:t>[</w:t>
      </w:r>
      <w:r w:rsidR="00195C23" w:rsidRPr="00195C23">
        <w:rPr>
          <w:rFonts w:cs="Arial"/>
          <w:kern w:val="2"/>
          <w:szCs w:val="24"/>
          <w14:ligatures w14:val="standardContextual"/>
        </w:rPr>
        <w:t>SD.03</w:t>
      </w:r>
      <w:r w:rsidR="00EF4CBA">
        <w:rPr>
          <w:rFonts w:cs="Arial"/>
          <w:kern w:val="2"/>
          <w:szCs w:val="24"/>
          <w14:ligatures w14:val="standardContextual"/>
        </w:rPr>
        <w:t>]</w:t>
      </w:r>
      <w:r w:rsidR="00195C23" w:rsidRPr="00195C23">
        <w:rPr>
          <w:rFonts w:cs="Arial"/>
          <w:kern w:val="2"/>
          <w:szCs w:val="24"/>
          <w14:ligatures w14:val="standardContextual"/>
        </w:rPr>
        <w:t xml:space="preserve"> has been developed consistent with best practice guidance</w:t>
      </w:r>
      <w:r w:rsidR="00195C23" w:rsidRPr="00195C23">
        <w:rPr>
          <w:rFonts w:cs="Arial"/>
          <w:kern w:val="2"/>
          <w:szCs w:val="24"/>
          <w:vertAlign w:val="superscript"/>
          <w14:ligatures w14:val="standardContextual"/>
        </w:rPr>
        <w:footnoteReference w:id="1"/>
      </w:r>
      <w:r w:rsidR="00195C23" w:rsidRPr="00195C23">
        <w:rPr>
          <w:rFonts w:cs="Arial"/>
          <w:kern w:val="2"/>
          <w:szCs w:val="24"/>
          <w14:ligatures w14:val="standardContextual"/>
        </w:rPr>
        <w:t xml:space="preserve"> and in accordance with the SEA Regulations</w:t>
      </w:r>
      <w:r w:rsidR="00195C23" w:rsidRPr="00195C23">
        <w:rPr>
          <w:rFonts w:cs="Arial"/>
          <w:kern w:val="2"/>
          <w:szCs w:val="24"/>
          <w:vertAlign w:val="superscript"/>
          <w14:ligatures w14:val="standardContextual"/>
        </w:rPr>
        <w:footnoteReference w:id="2"/>
      </w:r>
      <w:r w:rsidR="00195C23" w:rsidRPr="00195C23">
        <w:rPr>
          <w:rFonts w:cs="Arial"/>
          <w:kern w:val="2"/>
          <w:szCs w:val="24"/>
          <w14:ligatures w14:val="standardContextual"/>
        </w:rPr>
        <w:t xml:space="preserve"> as outlined in response to Matter 1 questions 1.15-1.18. This includes noting any difficulties encountered, including uncertainties and assumptions (Section 4.5 of SD.03). </w:t>
      </w:r>
    </w:p>
    <w:p w14:paraId="519EE7CF" w14:textId="6621FA39" w:rsidR="00195C23" w:rsidRPr="00195C23" w:rsidRDefault="00C964B7" w:rsidP="00C964B7">
      <w:pPr>
        <w:spacing w:line="259" w:lineRule="auto"/>
        <w:ind w:left="720" w:hanging="720"/>
        <w:jc w:val="left"/>
        <w:rPr>
          <w:rFonts w:cs="Arial"/>
          <w:kern w:val="2"/>
          <w:szCs w:val="24"/>
          <w14:ligatures w14:val="standardContextual"/>
        </w:rPr>
      </w:pPr>
      <w:r>
        <w:rPr>
          <w:rFonts w:cs="Arial"/>
          <w:kern w:val="2"/>
          <w:szCs w:val="24"/>
          <w14:ligatures w14:val="standardContextual"/>
        </w:rPr>
        <w:t>2.6.2</w:t>
      </w:r>
      <w:r>
        <w:rPr>
          <w:rFonts w:cs="Arial"/>
          <w:kern w:val="2"/>
          <w:szCs w:val="24"/>
          <w14:ligatures w14:val="standardContextual"/>
        </w:rPr>
        <w:tab/>
      </w:r>
      <w:r w:rsidR="00195C23" w:rsidRPr="00195C23">
        <w:rPr>
          <w:rFonts w:cs="Arial"/>
          <w:kern w:val="2"/>
          <w:szCs w:val="24"/>
          <w14:ligatures w14:val="standardContextual"/>
        </w:rPr>
        <w:t xml:space="preserve">Table 3.1 ‘Key Sustainability Issues’ of the SA Report </w:t>
      </w:r>
      <w:r w:rsidR="00EF4CBA">
        <w:rPr>
          <w:rFonts w:cs="Arial"/>
          <w:kern w:val="2"/>
          <w:szCs w:val="24"/>
          <w14:ligatures w14:val="standardContextual"/>
        </w:rPr>
        <w:t>[</w:t>
      </w:r>
      <w:r w:rsidR="00195C23" w:rsidRPr="00195C23">
        <w:rPr>
          <w:rFonts w:cs="Arial"/>
          <w:kern w:val="2"/>
          <w:szCs w:val="24"/>
          <w14:ligatures w14:val="standardContextual"/>
        </w:rPr>
        <w:t>SD.03</w:t>
      </w:r>
      <w:r w:rsidR="00EF4CBA">
        <w:rPr>
          <w:rFonts w:cs="Arial"/>
          <w:kern w:val="2"/>
          <w:szCs w:val="24"/>
          <w14:ligatures w14:val="standardContextual"/>
        </w:rPr>
        <w:t>]</w:t>
      </w:r>
      <w:r w:rsidR="00195C23" w:rsidRPr="00195C23">
        <w:rPr>
          <w:rFonts w:cs="Arial"/>
          <w:kern w:val="2"/>
          <w:szCs w:val="24"/>
          <w14:ligatures w14:val="standardContextual"/>
        </w:rPr>
        <w:t xml:space="preserve"> identifies the issue of “</w:t>
      </w:r>
      <w:r w:rsidR="00195C23" w:rsidRPr="00195C23">
        <w:rPr>
          <w:rFonts w:cs="Arial"/>
          <w:i/>
          <w:iCs/>
          <w:kern w:val="2"/>
          <w:szCs w:val="24"/>
          <w14:ligatures w14:val="standardContextual"/>
        </w:rPr>
        <w:t>not meeting the housing need identified by the NPPF Standard Method</w:t>
      </w:r>
      <w:r w:rsidR="00195C23" w:rsidRPr="00195C23">
        <w:rPr>
          <w:rFonts w:cs="Arial"/>
          <w:kern w:val="2"/>
          <w:szCs w:val="24"/>
          <w14:ligatures w14:val="standardContextual"/>
        </w:rPr>
        <w:t xml:space="preserve">”.  </w:t>
      </w:r>
    </w:p>
    <w:p w14:paraId="582FD428" w14:textId="0B795D3D" w:rsidR="00195C23" w:rsidRPr="00195C23" w:rsidRDefault="00C964B7" w:rsidP="00C964B7">
      <w:pPr>
        <w:spacing w:line="259" w:lineRule="auto"/>
        <w:ind w:left="720" w:hanging="720"/>
        <w:jc w:val="left"/>
        <w:rPr>
          <w:rFonts w:cs="Arial"/>
          <w:kern w:val="2"/>
          <w:szCs w:val="24"/>
          <w14:ligatures w14:val="standardContextual"/>
        </w:rPr>
      </w:pPr>
      <w:r>
        <w:rPr>
          <w:rFonts w:cs="Arial"/>
          <w:kern w:val="2"/>
          <w:szCs w:val="24"/>
          <w14:ligatures w14:val="standardContextual"/>
        </w:rPr>
        <w:t>2.6.3</w:t>
      </w:r>
      <w:r>
        <w:rPr>
          <w:rFonts w:cs="Arial"/>
          <w:kern w:val="2"/>
          <w:szCs w:val="24"/>
          <w14:ligatures w14:val="standardContextual"/>
        </w:rPr>
        <w:tab/>
      </w:r>
      <w:r w:rsidR="00195C23" w:rsidRPr="00195C23">
        <w:rPr>
          <w:rFonts w:cs="Arial"/>
          <w:kern w:val="2"/>
          <w:szCs w:val="24"/>
          <w14:ligatures w14:val="standardContextual"/>
        </w:rPr>
        <w:t xml:space="preserve">The housing requirement of 446 dpa (and higher reasonable alternative figure) is appraised in Section 5.3 of the SA Report </w:t>
      </w:r>
      <w:r w:rsidR="00EF4CBA">
        <w:rPr>
          <w:rFonts w:cs="Arial"/>
          <w:kern w:val="2"/>
          <w:szCs w:val="24"/>
          <w14:ligatures w14:val="standardContextual"/>
        </w:rPr>
        <w:t>[</w:t>
      </w:r>
      <w:r w:rsidR="00195C23" w:rsidRPr="00195C23">
        <w:rPr>
          <w:rFonts w:cs="Arial"/>
          <w:kern w:val="2"/>
          <w:szCs w:val="24"/>
          <w14:ligatures w14:val="standardContextual"/>
        </w:rPr>
        <w:t>SD.03</w:t>
      </w:r>
      <w:r w:rsidR="00EF4CBA">
        <w:rPr>
          <w:rFonts w:cs="Arial"/>
          <w:kern w:val="2"/>
          <w:szCs w:val="24"/>
          <w14:ligatures w14:val="standardContextual"/>
        </w:rPr>
        <w:t>]</w:t>
      </w:r>
      <w:r w:rsidR="00195C23" w:rsidRPr="00195C23">
        <w:rPr>
          <w:rFonts w:cs="Arial"/>
          <w:kern w:val="2"/>
          <w:szCs w:val="24"/>
          <w14:ligatures w14:val="standardContextual"/>
        </w:rPr>
        <w:t xml:space="preserve"> with detailed appraisal in Appendix E </w:t>
      </w:r>
      <w:r w:rsidR="00EF4CBA">
        <w:rPr>
          <w:rFonts w:cs="Arial"/>
          <w:kern w:val="2"/>
          <w:szCs w:val="24"/>
          <w14:ligatures w14:val="standardContextual"/>
        </w:rPr>
        <w:t>[</w:t>
      </w:r>
      <w:r w:rsidR="00195C23" w:rsidRPr="00195C23">
        <w:rPr>
          <w:rFonts w:cs="Arial"/>
          <w:kern w:val="2"/>
          <w:szCs w:val="24"/>
          <w14:ligatures w14:val="standardContextual"/>
        </w:rPr>
        <w:t>SD.03f</w:t>
      </w:r>
      <w:r w:rsidR="00EF4CBA">
        <w:rPr>
          <w:rFonts w:cs="Arial"/>
          <w:kern w:val="2"/>
          <w:szCs w:val="24"/>
          <w14:ligatures w14:val="standardContextual"/>
        </w:rPr>
        <w:t>]</w:t>
      </w:r>
      <w:r w:rsidR="00195C23" w:rsidRPr="00195C23">
        <w:rPr>
          <w:rFonts w:cs="Arial"/>
          <w:kern w:val="2"/>
          <w:szCs w:val="24"/>
          <w14:ligatures w14:val="standardContextual"/>
        </w:rPr>
        <w:t xml:space="preserve">.  The issue of undersupply is noted in the commentary against SA Objective 1 (Housing) in SD.03f and is given as part of the justification for not selecting the reasonable alternative to the housing requirement (paragraph </w:t>
      </w:r>
      <w:r w:rsidR="008D2603" w:rsidRPr="00E57800">
        <w:rPr>
          <w:rFonts w:cs="Arial"/>
          <w:kern w:val="2"/>
          <w:szCs w:val="24"/>
          <w14:ligatures w14:val="standardContextual"/>
        </w:rPr>
        <w:t>5.3.14</w:t>
      </w:r>
      <w:r w:rsidR="008D2603">
        <w:rPr>
          <w:rFonts w:cs="Arial"/>
          <w:kern w:val="2"/>
          <w:szCs w:val="24"/>
          <w14:ligatures w14:val="standardContextual"/>
        </w:rPr>
        <w:t xml:space="preserve"> - </w:t>
      </w:r>
      <w:r w:rsidR="00195C23" w:rsidRPr="00195C23">
        <w:rPr>
          <w:rFonts w:cs="Arial"/>
          <w:kern w:val="2"/>
          <w:szCs w:val="24"/>
          <w14:ligatures w14:val="standardContextual"/>
        </w:rPr>
        <w:t xml:space="preserve">5.3.15 of the SA Report SD.03).   </w:t>
      </w:r>
    </w:p>
    <w:p w14:paraId="3DEAD8D9" w14:textId="5667D3CC" w:rsidR="00195C23" w:rsidRPr="00195C23" w:rsidRDefault="00C964B7" w:rsidP="00EF4CBA">
      <w:pPr>
        <w:spacing w:line="259" w:lineRule="auto"/>
        <w:ind w:left="720" w:hanging="720"/>
        <w:jc w:val="left"/>
        <w:rPr>
          <w:rFonts w:cs="Arial"/>
          <w:kern w:val="2"/>
          <w:szCs w:val="24"/>
          <w14:ligatures w14:val="standardContextual"/>
        </w:rPr>
      </w:pPr>
      <w:r>
        <w:rPr>
          <w:rFonts w:cs="Arial"/>
          <w:kern w:val="2"/>
          <w:szCs w:val="24"/>
          <w14:ligatures w14:val="standardContextual"/>
        </w:rPr>
        <w:t>2.6.4</w:t>
      </w:r>
      <w:r>
        <w:rPr>
          <w:rFonts w:cs="Arial"/>
          <w:kern w:val="2"/>
          <w:szCs w:val="24"/>
          <w14:ligatures w14:val="standardContextual"/>
        </w:rPr>
        <w:tab/>
      </w:r>
      <w:r w:rsidR="00195C23" w:rsidRPr="00195C23">
        <w:rPr>
          <w:rFonts w:cs="Arial"/>
          <w:kern w:val="2"/>
          <w:szCs w:val="24"/>
          <w14:ligatures w14:val="standardContextual"/>
        </w:rPr>
        <w:t xml:space="preserve">The assessment of the spatial strategy in Section 5.5 of the SA Report </w:t>
      </w:r>
      <w:r w:rsidR="00EF4CBA">
        <w:rPr>
          <w:rFonts w:cs="Arial"/>
          <w:kern w:val="2"/>
          <w:szCs w:val="24"/>
          <w14:ligatures w14:val="standardContextual"/>
        </w:rPr>
        <w:t>[</w:t>
      </w:r>
      <w:r w:rsidR="00195C23" w:rsidRPr="00195C23">
        <w:rPr>
          <w:rFonts w:cs="Arial"/>
          <w:kern w:val="2"/>
          <w:szCs w:val="24"/>
          <w14:ligatures w14:val="standardContextual"/>
        </w:rPr>
        <w:t>SD.03</w:t>
      </w:r>
      <w:r w:rsidR="00EF4CBA">
        <w:rPr>
          <w:rFonts w:cs="Arial"/>
          <w:kern w:val="2"/>
          <w:szCs w:val="24"/>
          <w14:ligatures w14:val="standardContextual"/>
        </w:rPr>
        <w:t>]</w:t>
      </w:r>
      <w:r w:rsidR="00195C23" w:rsidRPr="00195C23">
        <w:rPr>
          <w:rFonts w:cs="Arial"/>
          <w:kern w:val="2"/>
          <w:szCs w:val="24"/>
          <w14:ligatures w14:val="standardContextual"/>
        </w:rPr>
        <w:t xml:space="preserve"> and Appendix G </w:t>
      </w:r>
      <w:r w:rsidR="00EF4CBA">
        <w:rPr>
          <w:rFonts w:cs="Arial"/>
          <w:kern w:val="2"/>
          <w:szCs w:val="24"/>
          <w14:ligatures w14:val="standardContextual"/>
        </w:rPr>
        <w:t>[</w:t>
      </w:r>
      <w:r w:rsidR="00195C23" w:rsidRPr="00195C23">
        <w:rPr>
          <w:rFonts w:cs="Arial"/>
          <w:kern w:val="2"/>
          <w:szCs w:val="24"/>
          <w14:ligatures w14:val="standardContextual"/>
        </w:rPr>
        <w:t>SD.03h</w:t>
      </w:r>
      <w:r w:rsidR="00EF4CBA">
        <w:rPr>
          <w:rFonts w:cs="Arial"/>
          <w:kern w:val="2"/>
          <w:szCs w:val="24"/>
          <w14:ligatures w14:val="standardContextual"/>
        </w:rPr>
        <w:t>]</w:t>
      </w:r>
      <w:r w:rsidR="00195C23" w:rsidRPr="00195C23">
        <w:rPr>
          <w:rFonts w:cs="Arial"/>
          <w:kern w:val="2"/>
          <w:szCs w:val="24"/>
          <w14:ligatures w14:val="standardContextual"/>
        </w:rPr>
        <w:t xml:space="preserve"> identifies significant positive effects with some uncertainty with regards to SA Objective 1 (Housing). Paragraph 5.5.6 of SD.03 notes that the “</w:t>
      </w:r>
      <w:r w:rsidR="00195C23" w:rsidRPr="00195C23">
        <w:rPr>
          <w:rFonts w:cs="Arial"/>
          <w:i/>
          <w:iCs/>
          <w:kern w:val="2"/>
          <w:szCs w:val="24"/>
          <w14:ligatures w14:val="standardContextual"/>
        </w:rPr>
        <w:t>option would meet housing need over the plan period but there would be lower flexibility for any additional needs or changes in future housing demand requirements</w:t>
      </w:r>
      <w:r w:rsidR="00195C23" w:rsidRPr="00195C23">
        <w:rPr>
          <w:rFonts w:cs="Arial"/>
          <w:kern w:val="2"/>
          <w:szCs w:val="24"/>
          <w14:ligatures w14:val="standardContextual"/>
        </w:rPr>
        <w:t xml:space="preserve">”.  The risk of not meeting the housing need is given as a justification for not selecting some of </w:t>
      </w:r>
      <w:r w:rsidR="00195C23" w:rsidRPr="00195C23">
        <w:rPr>
          <w:rFonts w:cs="Arial"/>
          <w:kern w:val="2"/>
          <w:szCs w:val="24"/>
          <w14:ligatures w14:val="standardContextual"/>
        </w:rPr>
        <w:lastRenderedPageBreak/>
        <w:t>the reasonable alternatives to the spatial strategy (Table 5.5, Option 8 and 9 of the SA Report, SD.03).</w:t>
      </w:r>
    </w:p>
    <w:p w14:paraId="758DE042" w14:textId="5FAE342B" w:rsidR="00195C23" w:rsidRPr="00195C23" w:rsidRDefault="00EF4CBA" w:rsidP="00EF4CBA">
      <w:pPr>
        <w:spacing w:line="259" w:lineRule="auto"/>
        <w:ind w:left="720" w:hanging="720"/>
        <w:jc w:val="left"/>
        <w:rPr>
          <w:rFonts w:cs="Arial"/>
          <w:kern w:val="2"/>
          <w:szCs w:val="24"/>
          <w14:ligatures w14:val="standardContextual"/>
        </w:rPr>
      </w:pPr>
      <w:r>
        <w:rPr>
          <w:rFonts w:cs="Arial"/>
          <w:kern w:val="2"/>
          <w:szCs w:val="24"/>
          <w14:ligatures w14:val="standardContextual"/>
        </w:rPr>
        <w:t>2.6.4</w:t>
      </w:r>
      <w:r>
        <w:rPr>
          <w:rFonts w:cs="Arial"/>
          <w:kern w:val="2"/>
          <w:szCs w:val="24"/>
          <w14:ligatures w14:val="standardContextual"/>
        </w:rPr>
        <w:tab/>
      </w:r>
      <w:r w:rsidR="00195C23" w:rsidRPr="00195C23">
        <w:rPr>
          <w:rFonts w:cs="Arial"/>
          <w:kern w:val="2"/>
          <w:szCs w:val="24"/>
          <w14:ligatures w14:val="standardContextual"/>
        </w:rPr>
        <w:t xml:space="preserve">In setting out the Council’s reasoning for the choice of spatial strategy, SA Report </w:t>
      </w:r>
      <w:r>
        <w:rPr>
          <w:rFonts w:cs="Arial"/>
          <w:kern w:val="2"/>
          <w:szCs w:val="24"/>
          <w14:ligatures w14:val="standardContextual"/>
        </w:rPr>
        <w:t>[</w:t>
      </w:r>
      <w:r w:rsidR="00195C23" w:rsidRPr="00195C23">
        <w:rPr>
          <w:rFonts w:cs="Arial"/>
          <w:kern w:val="2"/>
          <w:szCs w:val="24"/>
          <w14:ligatures w14:val="standardContextual"/>
        </w:rPr>
        <w:t>SD.03</w:t>
      </w:r>
      <w:r>
        <w:rPr>
          <w:rFonts w:cs="Arial"/>
          <w:kern w:val="2"/>
          <w:szCs w:val="24"/>
          <w14:ligatures w14:val="standardContextual"/>
        </w:rPr>
        <w:t>]</w:t>
      </w:r>
      <w:r w:rsidR="00195C23" w:rsidRPr="00195C23">
        <w:rPr>
          <w:rFonts w:cs="Arial"/>
          <w:kern w:val="2"/>
          <w:szCs w:val="24"/>
          <w14:ligatures w14:val="standardContextual"/>
        </w:rPr>
        <w:t xml:space="preserve"> paragraph 5.5.80 notes that “</w:t>
      </w:r>
      <w:r w:rsidR="00195C23" w:rsidRPr="00195C23">
        <w:rPr>
          <w:rFonts w:cs="Arial"/>
          <w:i/>
          <w:iCs/>
          <w:kern w:val="2"/>
          <w:szCs w:val="24"/>
          <w14:ligatures w14:val="standardContextual"/>
        </w:rPr>
        <w:t>the Council’s Cabinet resolved to take forward an amended scenario that sought to reduce the impact on the Green Belt and meet housing need. It agreed: to reflect the standard method of housing need; [and] to provide a minimum of a 10-year housing supply</w:t>
      </w:r>
      <w:r w:rsidR="00195C23" w:rsidRPr="00195C23">
        <w:rPr>
          <w:rFonts w:cs="Arial"/>
          <w:kern w:val="2"/>
          <w:szCs w:val="24"/>
          <w14:ligatures w14:val="standardContextual"/>
        </w:rPr>
        <w:t>.” Paragraph 5.5.83 of SD.03 also notes “</w:t>
      </w:r>
      <w:r w:rsidR="00195C23" w:rsidRPr="00195C23">
        <w:rPr>
          <w:rFonts w:cs="Arial"/>
          <w:i/>
          <w:iCs/>
          <w:kern w:val="2"/>
          <w:szCs w:val="24"/>
          <w14:ligatures w14:val="standardContextual"/>
        </w:rPr>
        <w:t>The [preferred] strategy would enable sites to be identified consistent with NPPF paragraph 68 which requires policies to identify a sufficient supply and mix of sites, (taking into account their availability, suitability and likely economic viability), with specific, deliverable sites for years one to five of the plan period, and specific, developable sites or broad locations for growth, for years 6-10 and, where possible, for years 11-15 of the plan.”</w:t>
      </w:r>
    </w:p>
    <w:p w14:paraId="5EE1459A" w14:textId="1A685218" w:rsidR="00195C23" w:rsidRPr="00195C23" w:rsidRDefault="00EF4CBA" w:rsidP="00EF4CBA">
      <w:pPr>
        <w:spacing w:line="259" w:lineRule="auto"/>
        <w:ind w:left="720" w:hanging="720"/>
        <w:jc w:val="left"/>
        <w:rPr>
          <w:rFonts w:cs="Arial"/>
          <w:kern w:val="2"/>
          <w:szCs w:val="24"/>
          <w14:ligatures w14:val="standardContextual"/>
        </w:rPr>
      </w:pPr>
      <w:r>
        <w:rPr>
          <w:rFonts w:cs="Arial"/>
          <w:kern w:val="2"/>
          <w:szCs w:val="24"/>
          <w14:ligatures w14:val="standardContextual"/>
        </w:rPr>
        <w:t>2.6.5</w:t>
      </w:r>
      <w:r>
        <w:rPr>
          <w:rFonts w:cs="Arial"/>
          <w:kern w:val="2"/>
          <w:szCs w:val="24"/>
          <w14:ligatures w14:val="standardContextual"/>
        </w:rPr>
        <w:tab/>
      </w:r>
      <w:r w:rsidR="00195C23" w:rsidRPr="00195C23">
        <w:rPr>
          <w:rFonts w:cs="Arial"/>
          <w:kern w:val="2"/>
          <w:szCs w:val="24"/>
          <w14:ligatures w14:val="standardContextual"/>
        </w:rPr>
        <w:t xml:space="preserve">The proposed housing allocations (appraised in Section 5.6 of the SA Report </w:t>
      </w:r>
      <w:r w:rsidR="00445D88">
        <w:rPr>
          <w:rFonts w:cs="Arial"/>
          <w:kern w:val="2"/>
          <w:szCs w:val="24"/>
          <w14:ligatures w14:val="standardContextual"/>
        </w:rPr>
        <w:t>[</w:t>
      </w:r>
      <w:r w:rsidR="00195C23" w:rsidRPr="00195C23">
        <w:rPr>
          <w:rFonts w:cs="Arial"/>
          <w:kern w:val="2"/>
          <w:szCs w:val="24"/>
          <w14:ligatures w14:val="standardContextual"/>
        </w:rPr>
        <w:t>SD.03</w:t>
      </w:r>
      <w:r w:rsidR="00445D88">
        <w:rPr>
          <w:rFonts w:cs="Arial"/>
          <w:kern w:val="2"/>
          <w:szCs w:val="24"/>
          <w14:ligatures w14:val="standardContextual"/>
        </w:rPr>
        <w:t>]</w:t>
      </w:r>
      <w:r w:rsidR="00195C23" w:rsidRPr="00195C23">
        <w:rPr>
          <w:rFonts w:cs="Arial"/>
          <w:kern w:val="2"/>
          <w:szCs w:val="24"/>
          <w14:ligatures w14:val="standardContextual"/>
        </w:rPr>
        <w:t xml:space="preserve"> and Appendix H </w:t>
      </w:r>
      <w:r w:rsidR="00445D88">
        <w:rPr>
          <w:rFonts w:cs="Arial"/>
          <w:kern w:val="2"/>
          <w:szCs w:val="24"/>
          <w14:ligatures w14:val="standardContextual"/>
        </w:rPr>
        <w:t>[</w:t>
      </w:r>
      <w:r w:rsidR="00195C23" w:rsidRPr="00195C23">
        <w:rPr>
          <w:rFonts w:cs="Arial"/>
          <w:kern w:val="2"/>
          <w:szCs w:val="24"/>
          <w14:ligatures w14:val="standardContextual"/>
        </w:rPr>
        <w:t>SD.03i</w:t>
      </w:r>
      <w:r w:rsidR="00445D88">
        <w:rPr>
          <w:rFonts w:cs="Arial"/>
          <w:kern w:val="2"/>
          <w:szCs w:val="24"/>
          <w14:ligatures w14:val="standardContextual"/>
        </w:rPr>
        <w:t>]</w:t>
      </w:r>
      <w:r w:rsidR="00195C23" w:rsidRPr="00195C23">
        <w:rPr>
          <w:rFonts w:cs="Arial"/>
          <w:kern w:val="2"/>
          <w:szCs w:val="24"/>
          <w14:ligatures w14:val="standardContextual"/>
        </w:rPr>
        <w:t>) are sites that deliver the spatial strategy identified.</w:t>
      </w:r>
    </w:p>
    <w:p w14:paraId="03380814" w14:textId="76D84A36" w:rsidR="00195C23" w:rsidRPr="00195C23" w:rsidRDefault="00445D88" w:rsidP="00445D88">
      <w:pPr>
        <w:spacing w:line="259" w:lineRule="auto"/>
        <w:ind w:left="720" w:hanging="720"/>
        <w:jc w:val="left"/>
        <w:rPr>
          <w:rFonts w:cs="Arial"/>
          <w:kern w:val="2"/>
          <w:szCs w:val="24"/>
          <w14:ligatures w14:val="standardContextual"/>
        </w:rPr>
      </w:pPr>
      <w:r>
        <w:rPr>
          <w:rFonts w:cs="Arial"/>
          <w:kern w:val="2"/>
          <w:szCs w:val="24"/>
          <w14:ligatures w14:val="standardContextual"/>
        </w:rPr>
        <w:t>2.6.6</w:t>
      </w:r>
      <w:r>
        <w:rPr>
          <w:rFonts w:cs="Arial"/>
          <w:kern w:val="2"/>
          <w:szCs w:val="24"/>
          <w14:ligatures w14:val="standardContextual"/>
        </w:rPr>
        <w:tab/>
      </w:r>
      <w:r w:rsidR="00195C23" w:rsidRPr="00195C23">
        <w:rPr>
          <w:rFonts w:cs="Arial"/>
          <w:kern w:val="2"/>
          <w:szCs w:val="24"/>
          <w14:ligatures w14:val="standardContextual"/>
        </w:rPr>
        <w:t xml:space="preserve">Section 5.7 of the SA Report </w:t>
      </w:r>
      <w:r>
        <w:rPr>
          <w:rFonts w:cs="Arial"/>
          <w:kern w:val="2"/>
          <w:szCs w:val="24"/>
          <w14:ligatures w14:val="standardContextual"/>
        </w:rPr>
        <w:t>[</w:t>
      </w:r>
      <w:r w:rsidR="00195C23" w:rsidRPr="00195C23">
        <w:rPr>
          <w:rFonts w:cs="Arial"/>
          <w:kern w:val="2"/>
          <w:szCs w:val="24"/>
          <w14:ligatures w14:val="standardContextual"/>
        </w:rPr>
        <w:t>SD.03</w:t>
      </w:r>
      <w:r>
        <w:rPr>
          <w:rFonts w:cs="Arial"/>
          <w:kern w:val="2"/>
          <w:szCs w:val="24"/>
          <w14:ligatures w14:val="standardContextual"/>
        </w:rPr>
        <w:t>]</w:t>
      </w:r>
      <w:r w:rsidR="00195C23" w:rsidRPr="00195C23">
        <w:rPr>
          <w:rFonts w:cs="Arial"/>
          <w:kern w:val="2"/>
          <w:szCs w:val="24"/>
          <w14:ligatures w14:val="standardContextual"/>
        </w:rPr>
        <w:t xml:space="preserve"> sets out the appraisal of the Local Plan policies with detailed appraisal in Appendix I (SD.03j) and Appendix J (SD.03k). </w:t>
      </w:r>
    </w:p>
    <w:p w14:paraId="179AA6A8" w14:textId="2EEE0E41" w:rsidR="00195C23" w:rsidRPr="00195C23" w:rsidRDefault="00873862" w:rsidP="00873862">
      <w:pPr>
        <w:spacing w:line="259" w:lineRule="auto"/>
        <w:ind w:left="720" w:hanging="720"/>
        <w:jc w:val="left"/>
        <w:rPr>
          <w:rFonts w:cs="Arial"/>
          <w:kern w:val="2"/>
          <w:szCs w:val="24"/>
          <w14:ligatures w14:val="standardContextual"/>
        </w:rPr>
      </w:pPr>
      <w:r>
        <w:rPr>
          <w:rFonts w:cs="Arial"/>
          <w:kern w:val="2"/>
          <w:szCs w:val="24"/>
          <w14:ligatures w14:val="standardContextual"/>
        </w:rPr>
        <w:t>2.6.7</w:t>
      </w:r>
      <w:r>
        <w:rPr>
          <w:rFonts w:cs="Arial"/>
          <w:kern w:val="2"/>
          <w:szCs w:val="24"/>
          <w14:ligatures w14:val="standardContextual"/>
        </w:rPr>
        <w:tab/>
      </w:r>
      <w:r w:rsidR="00195C23" w:rsidRPr="00195C23">
        <w:rPr>
          <w:rFonts w:cs="Arial"/>
          <w:kern w:val="2"/>
          <w:szCs w:val="24"/>
          <w14:ligatures w14:val="standardContextual"/>
        </w:rPr>
        <w:t xml:space="preserve">The appraisal is based on the policy wording and underlying assumption that the policy will be implemented, in line with the assumptions set out in Section 4.5 of the SA Report </w:t>
      </w:r>
      <w:r w:rsidR="00794152">
        <w:rPr>
          <w:rFonts w:cs="Arial"/>
          <w:kern w:val="2"/>
          <w:szCs w:val="24"/>
          <w14:ligatures w14:val="standardContextual"/>
        </w:rPr>
        <w:t>[</w:t>
      </w:r>
      <w:r w:rsidR="00195C23" w:rsidRPr="00195C23">
        <w:rPr>
          <w:rFonts w:cs="Arial"/>
          <w:kern w:val="2"/>
          <w:szCs w:val="24"/>
          <w14:ligatures w14:val="standardContextual"/>
        </w:rPr>
        <w:t>SD.03</w:t>
      </w:r>
      <w:r w:rsidR="00794152">
        <w:rPr>
          <w:rFonts w:cs="Arial"/>
          <w:kern w:val="2"/>
          <w:szCs w:val="24"/>
          <w14:ligatures w14:val="standardContextual"/>
        </w:rPr>
        <w:t>]</w:t>
      </w:r>
      <w:r w:rsidR="00195C23" w:rsidRPr="00195C23">
        <w:rPr>
          <w:rFonts w:cs="Arial"/>
          <w:kern w:val="2"/>
          <w:szCs w:val="24"/>
          <w14:ligatures w14:val="standardContextual"/>
        </w:rPr>
        <w:t xml:space="preserve"> (including “</w:t>
      </w:r>
      <w:r w:rsidR="00195C23" w:rsidRPr="00195C23">
        <w:rPr>
          <w:rFonts w:cs="Arial"/>
          <w:i/>
          <w:iCs/>
          <w:kern w:val="2"/>
          <w:szCs w:val="24"/>
          <w14:ligatures w14:val="standardContextual"/>
        </w:rPr>
        <w:t>there will be consistent policy implementation</w:t>
      </w:r>
      <w:r w:rsidR="00195C23" w:rsidRPr="00195C23">
        <w:rPr>
          <w:rFonts w:cs="Arial"/>
          <w:kern w:val="2"/>
          <w:szCs w:val="24"/>
          <w14:ligatures w14:val="standardContextual"/>
        </w:rPr>
        <w:t>”, paragraph 4.5.2 final bullet point).  Policy S7: Meeting Future Housing Provision articulates that “</w:t>
      </w:r>
      <w:r w:rsidR="00195C23" w:rsidRPr="00195C23">
        <w:rPr>
          <w:rFonts w:cs="Arial"/>
          <w:i/>
          <w:iCs/>
          <w:kern w:val="2"/>
          <w:szCs w:val="24"/>
          <w14:ligatures w14:val="standardContextual"/>
        </w:rPr>
        <w:t>a minimum of 7,582 new dwellings will be delivered within the period 2023 to 2040, dispersed across the District in accordance with the Council’s spatial strategy for growth</w:t>
      </w:r>
      <w:r w:rsidR="00195C23" w:rsidRPr="00195C23">
        <w:rPr>
          <w:rFonts w:cs="Arial"/>
          <w:kern w:val="2"/>
          <w:szCs w:val="24"/>
          <w14:ligatures w14:val="standardContextual"/>
        </w:rPr>
        <w:t xml:space="preserve">”. The policy is therefore assessed as having significant positive effects against SA Objective 1 (Housing) in Section 5.7 of the SA Report (SD.03) and Appendix I (SD.03j). This assessment reflects that the policy wording clearly sets out that the Local Housing Need (LHN) figure of 446 dwellings per annum (dpa), identified for the district following the application of the standard methodology, is the </w:t>
      </w:r>
      <w:r w:rsidR="00195C23" w:rsidRPr="00195C23">
        <w:rPr>
          <w:rFonts w:cs="Arial"/>
          <w:i/>
          <w:iCs/>
          <w:kern w:val="2"/>
          <w:szCs w:val="24"/>
          <w14:ligatures w14:val="standardContextual"/>
        </w:rPr>
        <w:t>minimum</w:t>
      </w:r>
      <w:r w:rsidR="00195C23" w:rsidRPr="00195C23">
        <w:rPr>
          <w:rFonts w:cs="Arial"/>
          <w:kern w:val="2"/>
          <w:szCs w:val="24"/>
          <w14:ligatures w14:val="standardContextual"/>
        </w:rPr>
        <w:t xml:space="preserve"> quantum of dwellings to be delivered in the plan period. With regards to housing supply, it is noted that Local Plan </w:t>
      </w:r>
      <w:r w:rsidR="00B87389">
        <w:rPr>
          <w:rFonts w:cs="Arial"/>
          <w:kern w:val="2"/>
          <w:szCs w:val="24"/>
          <w14:ligatures w14:val="standardContextual"/>
        </w:rPr>
        <w:t>[</w:t>
      </w:r>
      <w:r w:rsidR="00195C23" w:rsidRPr="00195C23">
        <w:rPr>
          <w:rFonts w:cs="Arial"/>
          <w:kern w:val="2"/>
          <w:szCs w:val="24"/>
          <w14:ligatures w14:val="standardContextual"/>
        </w:rPr>
        <w:t>SD.01</w:t>
      </w:r>
      <w:r w:rsidR="00B87389">
        <w:rPr>
          <w:rFonts w:cs="Arial"/>
          <w:kern w:val="2"/>
          <w:szCs w:val="24"/>
          <w14:ligatures w14:val="standardContextual"/>
        </w:rPr>
        <w:t>]</w:t>
      </w:r>
      <w:r w:rsidR="00195C23" w:rsidRPr="00195C23">
        <w:rPr>
          <w:rFonts w:cs="Arial"/>
          <w:kern w:val="2"/>
          <w:szCs w:val="24"/>
          <w14:ligatures w14:val="standardContextual"/>
        </w:rPr>
        <w:t xml:space="preserve"> explanatory text at paragraph 3.6.4 identifies that “</w:t>
      </w:r>
      <w:r w:rsidR="00195C23" w:rsidRPr="00195C23">
        <w:rPr>
          <w:rFonts w:cs="Arial"/>
          <w:i/>
          <w:iCs/>
          <w:kern w:val="2"/>
          <w:szCs w:val="24"/>
          <w14:ligatures w14:val="standardContextual"/>
        </w:rPr>
        <w:t>the supply of land for future housing will be kept under review</w:t>
      </w:r>
      <w:r w:rsidR="00195C23" w:rsidRPr="00195C23">
        <w:rPr>
          <w:rFonts w:cs="Arial"/>
          <w:kern w:val="2"/>
          <w:szCs w:val="24"/>
          <w14:ligatures w14:val="standardContextual"/>
        </w:rPr>
        <w:t>”.</w:t>
      </w:r>
    </w:p>
    <w:p w14:paraId="22F84823" w14:textId="42DB63C2" w:rsidR="00195C23" w:rsidRDefault="00B87389" w:rsidP="00B87389">
      <w:pPr>
        <w:spacing w:line="259" w:lineRule="auto"/>
        <w:ind w:left="720" w:hanging="720"/>
        <w:jc w:val="left"/>
        <w:rPr>
          <w:rFonts w:cs="Arial"/>
          <w:kern w:val="2"/>
          <w:szCs w:val="24"/>
          <w14:ligatures w14:val="standardContextual"/>
        </w:rPr>
      </w:pPr>
      <w:r>
        <w:rPr>
          <w:rFonts w:cs="Arial"/>
          <w:kern w:val="2"/>
          <w:szCs w:val="24"/>
          <w14:ligatures w14:val="standardContextual"/>
        </w:rPr>
        <w:t>2.6.8</w:t>
      </w:r>
      <w:r>
        <w:rPr>
          <w:rFonts w:cs="Arial"/>
          <w:kern w:val="2"/>
          <w:szCs w:val="24"/>
          <w14:ligatures w14:val="standardContextual"/>
        </w:rPr>
        <w:tab/>
      </w:r>
      <w:r w:rsidR="00195C23" w:rsidRPr="00195C23">
        <w:rPr>
          <w:rFonts w:cs="Arial"/>
          <w:kern w:val="2"/>
          <w:szCs w:val="24"/>
          <w14:ligatures w14:val="standardContextual"/>
        </w:rPr>
        <w:t>The SA has identified the historic issues associated with the undersupply of housing and has considered the extent to which preferred and reasonable alternative options for the housing requirement and spatial strategy could meet housing needs.  The SA has appraised the policies in the Local Plan on the positive presumption that the policies will be implemented as worded. Therefore, the risk of not meeting the housing requirement outlined in the wording of Policy S7 (e.g. that an under supply of housing is not addressed and resolved during the lifetime of the plan) has not in this instance, been fully explored. If the Inspectors wish to request that the SA specifically considers the under supply of housing against the requirement in Policy S7, this could be explored through a future iteration of the SA as established in case law</w:t>
      </w:r>
      <w:r w:rsidR="00195C23" w:rsidRPr="00195C23">
        <w:rPr>
          <w:rFonts w:cs="Arial"/>
          <w:kern w:val="2"/>
          <w:szCs w:val="24"/>
          <w:vertAlign w:val="superscript"/>
          <w14:ligatures w14:val="standardContextual"/>
        </w:rPr>
        <w:footnoteReference w:id="3"/>
      </w:r>
      <w:r w:rsidR="00195C23" w:rsidRPr="00195C23">
        <w:rPr>
          <w:rFonts w:cs="Arial"/>
          <w:kern w:val="2"/>
          <w:szCs w:val="24"/>
          <w14:ligatures w14:val="standardContextual"/>
        </w:rPr>
        <w:t>.</w:t>
      </w:r>
    </w:p>
    <w:p w14:paraId="68A3BB40" w14:textId="4156F861" w:rsidR="005B2FA0" w:rsidRPr="0094675C" w:rsidRDefault="005B2FA0" w:rsidP="00C13C2C">
      <w:pPr>
        <w:pStyle w:val="Heading3"/>
      </w:pPr>
      <w:r w:rsidRPr="00D57A23">
        <w:lastRenderedPageBreak/>
        <w:t>2.7</w:t>
      </w:r>
      <w:r w:rsidR="000122FC">
        <w:tab/>
      </w:r>
      <w:r w:rsidRPr="00D57A23">
        <w:t xml:space="preserve"> Do the Council’s latest Housing Delivery Test results have implications for the </w:t>
      </w:r>
      <w:r w:rsidRPr="0094675C">
        <w:t>housing</w:t>
      </w:r>
      <w:r w:rsidR="003D1036" w:rsidRPr="0094675C">
        <w:t xml:space="preserve"> </w:t>
      </w:r>
      <w:r w:rsidRPr="0094675C">
        <w:t>delivery and trajectory expectations in the submitted plan?</w:t>
      </w:r>
    </w:p>
    <w:p w14:paraId="3F4C3997" w14:textId="77777777" w:rsidR="003D1036" w:rsidRPr="0094675C" w:rsidRDefault="003D1036" w:rsidP="00F46F28">
      <w:pPr>
        <w:jc w:val="left"/>
        <w:rPr>
          <w:u w:val="single"/>
        </w:rPr>
      </w:pPr>
      <w:r w:rsidRPr="0094675C">
        <w:rPr>
          <w:u w:val="single"/>
        </w:rPr>
        <w:t>Council’s response</w:t>
      </w:r>
    </w:p>
    <w:p w14:paraId="2969919F" w14:textId="7049DBBE" w:rsidR="00E25F03" w:rsidRPr="0094675C" w:rsidRDefault="006B10D6" w:rsidP="006B10D6">
      <w:pPr>
        <w:ind w:left="720" w:hanging="720"/>
        <w:jc w:val="left"/>
        <w:rPr>
          <w:strike/>
        </w:rPr>
      </w:pPr>
      <w:r w:rsidRPr="0094675C">
        <w:rPr>
          <w:strike/>
        </w:rPr>
        <w:t>2.7.1</w:t>
      </w:r>
      <w:r w:rsidRPr="0094675C">
        <w:rPr>
          <w:strike/>
        </w:rPr>
        <w:tab/>
      </w:r>
      <w:r w:rsidR="00815A3C" w:rsidRPr="0094675C">
        <w:rPr>
          <w:strike/>
        </w:rPr>
        <w:t>The Council’s Housing Land Supply Position Statement, October 2024 [</w:t>
      </w:r>
      <w:r w:rsidR="004058E6" w:rsidRPr="0094675C">
        <w:rPr>
          <w:strike/>
        </w:rPr>
        <w:t>ADC.</w:t>
      </w:r>
      <w:r w:rsidR="007772DE" w:rsidRPr="0094675C">
        <w:rPr>
          <w:strike/>
        </w:rPr>
        <w:t>04</w:t>
      </w:r>
      <w:r w:rsidR="00815A3C" w:rsidRPr="0094675C">
        <w:rPr>
          <w:strike/>
        </w:rPr>
        <w:t xml:space="preserve">] updates the housing delivery trajectories and </w:t>
      </w:r>
      <w:r w:rsidR="00E73A6B" w:rsidRPr="0094675C">
        <w:rPr>
          <w:strike/>
        </w:rPr>
        <w:t>Five-Year</w:t>
      </w:r>
      <w:r w:rsidR="00815A3C" w:rsidRPr="0094675C">
        <w:rPr>
          <w:strike/>
        </w:rPr>
        <w:t xml:space="preserve"> </w:t>
      </w:r>
      <w:r w:rsidR="004762CC" w:rsidRPr="0094675C">
        <w:rPr>
          <w:strike/>
        </w:rPr>
        <w:t>H</w:t>
      </w:r>
      <w:r w:rsidR="00815A3C" w:rsidRPr="0094675C">
        <w:rPr>
          <w:strike/>
        </w:rPr>
        <w:t xml:space="preserve">ousing Land </w:t>
      </w:r>
      <w:r w:rsidR="004762CC" w:rsidRPr="0094675C">
        <w:rPr>
          <w:strike/>
        </w:rPr>
        <w:t>S</w:t>
      </w:r>
      <w:r w:rsidR="00815A3C" w:rsidRPr="0094675C">
        <w:rPr>
          <w:strike/>
        </w:rPr>
        <w:t xml:space="preserve">upply </w:t>
      </w:r>
      <w:r w:rsidR="004762CC" w:rsidRPr="0094675C">
        <w:rPr>
          <w:strike/>
        </w:rPr>
        <w:t xml:space="preserve">(5YHLS) </w:t>
      </w:r>
      <w:r w:rsidR="00815A3C" w:rsidRPr="0094675C">
        <w:rPr>
          <w:strike/>
        </w:rPr>
        <w:t>contained within Appendix 2 of the submitted Local Plan</w:t>
      </w:r>
      <w:r w:rsidR="009070F6" w:rsidRPr="0094675C">
        <w:rPr>
          <w:strike/>
        </w:rPr>
        <w:t xml:space="preserve">. </w:t>
      </w:r>
    </w:p>
    <w:p w14:paraId="70E24D46" w14:textId="55B93F06" w:rsidR="004762CC" w:rsidRPr="0094675C" w:rsidRDefault="006B10D6" w:rsidP="006B10D6">
      <w:pPr>
        <w:ind w:left="720" w:hanging="720"/>
        <w:jc w:val="left"/>
        <w:rPr>
          <w:strike/>
        </w:rPr>
      </w:pPr>
      <w:bookmarkStart w:id="7" w:name="_Hlk180076949"/>
      <w:r w:rsidRPr="0094675C">
        <w:rPr>
          <w:strike/>
        </w:rPr>
        <w:t>2.7.2</w:t>
      </w:r>
      <w:r w:rsidRPr="0094675C">
        <w:rPr>
          <w:strike/>
        </w:rPr>
        <w:tab/>
      </w:r>
      <w:r w:rsidR="00E25F03" w:rsidRPr="0094675C">
        <w:rPr>
          <w:strike/>
        </w:rPr>
        <w:t>The 2022 HDT results (published 19</w:t>
      </w:r>
      <w:r w:rsidR="00E25F03" w:rsidRPr="0094675C">
        <w:rPr>
          <w:strike/>
          <w:vertAlign w:val="superscript"/>
        </w:rPr>
        <w:t>th</w:t>
      </w:r>
      <w:r w:rsidR="00E25F03" w:rsidRPr="0094675C">
        <w:rPr>
          <w:strike/>
        </w:rPr>
        <w:t xml:space="preserve"> December 2023) show that Ashfield District has failed the HDT in this accounting period with a measurement of 74%. </w:t>
      </w:r>
      <w:proofErr w:type="gramStart"/>
      <w:r w:rsidR="00E25F03" w:rsidRPr="0094675C">
        <w:rPr>
          <w:strike/>
        </w:rPr>
        <w:t>As a consequence of</w:t>
      </w:r>
      <w:proofErr w:type="gramEnd"/>
      <w:r w:rsidR="00E25F03" w:rsidRPr="0094675C">
        <w:rPr>
          <w:strike/>
        </w:rPr>
        <w:t xml:space="preserve"> this, </w:t>
      </w:r>
      <w:r w:rsidR="00E25F03" w:rsidRPr="0094675C">
        <w:rPr>
          <w:rFonts w:cs="Arial"/>
          <w:strike/>
        </w:rPr>
        <w:t xml:space="preserve">an additional 20% buffer is included in the </w:t>
      </w:r>
      <w:proofErr w:type="gramStart"/>
      <w:r w:rsidR="00E25F03" w:rsidRPr="0094675C">
        <w:rPr>
          <w:rFonts w:cs="Arial"/>
          <w:strike/>
        </w:rPr>
        <w:t>5 year</w:t>
      </w:r>
      <w:proofErr w:type="gramEnd"/>
      <w:r w:rsidR="00E25F03" w:rsidRPr="0094675C">
        <w:rPr>
          <w:rFonts w:cs="Arial"/>
          <w:strike/>
        </w:rPr>
        <w:t xml:space="preserve"> housing land supply calculation, consistent with</w:t>
      </w:r>
      <w:r w:rsidR="00E25F03" w:rsidRPr="0094675C">
        <w:rPr>
          <w:strike/>
        </w:rPr>
        <w:t xml:space="preserve"> </w:t>
      </w:r>
      <w:r w:rsidR="00261E90" w:rsidRPr="0094675C">
        <w:rPr>
          <w:strike/>
        </w:rPr>
        <w:t xml:space="preserve">NPPF </w:t>
      </w:r>
      <w:r w:rsidR="004762CC" w:rsidRPr="0094675C">
        <w:rPr>
          <w:strike/>
        </w:rPr>
        <w:t>para.</w:t>
      </w:r>
      <w:r w:rsidR="00261E90" w:rsidRPr="0094675C">
        <w:rPr>
          <w:strike/>
        </w:rPr>
        <w:t xml:space="preserve"> 79 b)</w:t>
      </w:r>
      <w:r w:rsidR="004762CC" w:rsidRPr="0094675C">
        <w:rPr>
          <w:strike/>
        </w:rPr>
        <w:t xml:space="preserve"> which states</w:t>
      </w:r>
      <w:r w:rsidR="00D60CCD" w:rsidRPr="0094675C">
        <w:rPr>
          <w:strike/>
        </w:rPr>
        <w:t xml:space="preserve"> </w:t>
      </w:r>
      <w:r w:rsidR="00261E90" w:rsidRPr="0094675C">
        <w:rPr>
          <w:strike/>
        </w:rPr>
        <w:t>“where delivery falls below 85% of the requirement over the previous three years, the authority should include a buffer of 20% to their identified supply of specific deliverable sites</w:t>
      </w:r>
      <w:r w:rsidR="004762CC" w:rsidRPr="0094675C">
        <w:rPr>
          <w:strike/>
        </w:rPr>
        <w:t>”</w:t>
      </w:r>
      <w:r w:rsidR="00D60CCD" w:rsidRPr="0094675C">
        <w:rPr>
          <w:strike/>
        </w:rPr>
        <w:t>.</w:t>
      </w:r>
    </w:p>
    <w:p w14:paraId="04CBD0B7" w14:textId="2D368D09" w:rsidR="00AC50A3" w:rsidRPr="0094675C" w:rsidRDefault="006B10D6" w:rsidP="006B10D6">
      <w:pPr>
        <w:ind w:left="720" w:hanging="720"/>
        <w:jc w:val="left"/>
        <w:rPr>
          <w:strike/>
        </w:rPr>
      </w:pPr>
      <w:r w:rsidRPr="0094675C">
        <w:rPr>
          <w:strike/>
        </w:rPr>
        <w:t>2.7.3</w:t>
      </w:r>
      <w:r w:rsidRPr="0094675C">
        <w:rPr>
          <w:strike/>
        </w:rPr>
        <w:tab/>
      </w:r>
      <w:r w:rsidR="004762CC" w:rsidRPr="0094675C">
        <w:rPr>
          <w:strike/>
        </w:rPr>
        <w:t xml:space="preserve">NPPF para. 77 makes clear that this additional 20% buffer constitutes supply moved forward from later in the plan period, i.e., it does not result in an additional 20% above the entire quantum of development planned for. </w:t>
      </w:r>
    </w:p>
    <w:p w14:paraId="028AD536" w14:textId="23E3D3A2" w:rsidR="00A84B00" w:rsidRPr="0094675C" w:rsidRDefault="006B10D6" w:rsidP="006B10D6">
      <w:pPr>
        <w:ind w:left="720" w:hanging="720"/>
        <w:jc w:val="left"/>
        <w:rPr>
          <w:strike/>
        </w:rPr>
      </w:pPr>
      <w:r w:rsidRPr="0094675C">
        <w:rPr>
          <w:strike/>
        </w:rPr>
        <w:t>2.7.4</w:t>
      </w:r>
      <w:r w:rsidRPr="0094675C">
        <w:rPr>
          <w:strike/>
        </w:rPr>
        <w:tab/>
      </w:r>
      <w:r w:rsidR="00AC50A3" w:rsidRPr="0094675C">
        <w:rPr>
          <w:strike/>
        </w:rPr>
        <w:t xml:space="preserve">This </w:t>
      </w:r>
      <w:r w:rsidR="00D60CCD" w:rsidRPr="0094675C">
        <w:rPr>
          <w:strike/>
        </w:rPr>
        <w:t xml:space="preserve">buffer </w:t>
      </w:r>
      <w:r w:rsidR="00AC50A3" w:rsidRPr="0094675C">
        <w:rPr>
          <w:strike/>
        </w:rPr>
        <w:t>is taken into account in the updated 5YHLS calculation for the position post Local Plan adoption, which also includes an assumption for under delivery in year 2024/2025</w:t>
      </w:r>
      <w:r w:rsidR="007D54CB" w:rsidRPr="0094675C">
        <w:rPr>
          <w:strike/>
        </w:rPr>
        <w:t>, based on the housing trajectory</w:t>
      </w:r>
      <w:r w:rsidR="00AC50A3" w:rsidRPr="0094675C">
        <w:rPr>
          <w:strike/>
        </w:rPr>
        <w:t>. Th</w:t>
      </w:r>
      <w:r w:rsidR="007D54CB" w:rsidRPr="0094675C">
        <w:rPr>
          <w:strike/>
        </w:rPr>
        <w:t>e</w:t>
      </w:r>
      <w:r w:rsidR="00AC50A3" w:rsidRPr="0094675C">
        <w:rPr>
          <w:strike/>
        </w:rPr>
        <w:t xml:space="preserve"> table is replicated below for convenience and illustrates that the Council can demonstrate a 5YHLS at anticipated point of adoption.</w:t>
      </w:r>
    </w:p>
    <w:tbl>
      <w:tblPr>
        <w:tblW w:w="8930" w:type="dxa"/>
        <w:tblInd w:w="704" w:type="dxa"/>
        <w:tblLayout w:type="fixed"/>
        <w:tblLook w:val="04A0" w:firstRow="1" w:lastRow="0" w:firstColumn="1" w:lastColumn="0" w:noHBand="0" w:noVBand="1"/>
      </w:tblPr>
      <w:tblGrid>
        <w:gridCol w:w="7513"/>
        <w:gridCol w:w="1417"/>
      </w:tblGrid>
      <w:tr w:rsidR="00A84B00" w:rsidRPr="0094675C" w14:paraId="13F00AF5" w14:textId="77777777" w:rsidTr="00015784">
        <w:trPr>
          <w:trHeight w:val="327"/>
        </w:trPr>
        <w:tc>
          <w:tcPr>
            <w:tcW w:w="7513" w:type="dxa"/>
            <w:tcBorders>
              <w:top w:val="single" w:sz="4" w:space="0" w:color="auto"/>
              <w:left w:val="single" w:sz="4" w:space="0" w:color="auto"/>
              <w:bottom w:val="single" w:sz="4" w:space="0" w:color="auto"/>
              <w:right w:val="single" w:sz="4" w:space="0" w:color="auto"/>
            </w:tcBorders>
            <w:shd w:val="clear" w:color="000000" w:fill="DDEBF7"/>
            <w:hideMark/>
          </w:tcPr>
          <w:bookmarkEnd w:id="7"/>
          <w:p w14:paraId="1B875BED" w14:textId="77777777" w:rsidR="00A84B00" w:rsidRPr="0094675C" w:rsidRDefault="00A84B00" w:rsidP="006F7399">
            <w:pPr>
              <w:spacing w:after="0" w:line="240" w:lineRule="auto"/>
              <w:jc w:val="left"/>
              <w:rPr>
                <w:rFonts w:eastAsia="Times New Roman" w:cs="Arial"/>
                <w:b/>
                <w:bCs/>
                <w:strike/>
                <w:sz w:val="22"/>
                <w:lang w:eastAsia="en-GB"/>
              </w:rPr>
            </w:pPr>
            <w:r w:rsidRPr="0094675C">
              <w:rPr>
                <w:rFonts w:eastAsia="Times New Roman" w:cs="Arial"/>
                <w:b/>
                <w:bCs/>
                <w:strike/>
                <w:sz w:val="22"/>
                <w:lang w:eastAsia="en-GB"/>
              </w:rPr>
              <w:t>Five Year Housing Requirement</w:t>
            </w:r>
          </w:p>
        </w:tc>
        <w:tc>
          <w:tcPr>
            <w:tcW w:w="1417" w:type="dxa"/>
            <w:tcBorders>
              <w:top w:val="single" w:sz="4" w:space="0" w:color="auto"/>
              <w:left w:val="nil"/>
              <w:bottom w:val="single" w:sz="4" w:space="0" w:color="auto"/>
              <w:right w:val="single" w:sz="4" w:space="0" w:color="auto"/>
            </w:tcBorders>
            <w:shd w:val="clear" w:color="000000" w:fill="DDEBF7"/>
            <w:noWrap/>
            <w:hideMark/>
          </w:tcPr>
          <w:p w14:paraId="32DE4454" w14:textId="77777777" w:rsidR="00A84B00" w:rsidRPr="0094675C" w:rsidRDefault="00A84B00" w:rsidP="006F7399">
            <w:pPr>
              <w:spacing w:after="0" w:line="240" w:lineRule="auto"/>
              <w:jc w:val="right"/>
              <w:rPr>
                <w:rFonts w:eastAsia="Times New Roman" w:cs="Arial"/>
                <w:b/>
                <w:bCs/>
                <w:strike/>
                <w:sz w:val="22"/>
                <w:lang w:eastAsia="en-GB"/>
              </w:rPr>
            </w:pPr>
            <w:r w:rsidRPr="0094675C">
              <w:rPr>
                <w:rFonts w:eastAsia="Times New Roman" w:cs="Arial"/>
                <w:b/>
                <w:bCs/>
                <w:strike/>
                <w:sz w:val="22"/>
                <w:lang w:eastAsia="en-GB"/>
              </w:rPr>
              <w:t>Dwellings</w:t>
            </w:r>
          </w:p>
        </w:tc>
      </w:tr>
      <w:tr w:rsidR="00A84B00" w:rsidRPr="0094675C" w14:paraId="3337D4CA" w14:textId="77777777" w:rsidTr="007772DE">
        <w:trPr>
          <w:trHeight w:val="280"/>
        </w:trPr>
        <w:tc>
          <w:tcPr>
            <w:tcW w:w="7513" w:type="dxa"/>
            <w:tcBorders>
              <w:top w:val="nil"/>
              <w:left w:val="single" w:sz="4" w:space="0" w:color="auto"/>
              <w:bottom w:val="single" w:sz="4" w:space="0" w:color="auto"/>
              <w:right w:val="single" w:sz="4" w:space="0" w:color="auto"/>
            </w:tcBorders>
            <w:shd w:val="clear" w:color="000000" w:fill="DDEBF7"/>
            <w:hideMark/>
          </w:tcPr>
          <w:p w14:paraId="7AE11492" w14:textId="77777777" w:rsidR="00A84B00" w:rsidRPr="0094675C" w:rsidRDefault="00A84B00" w:rsidP="006F7399">
            <w:pPr>
              <w:spacing w:after="0" w:line="240" w:lineRule="auto"/>
              <w:jc w:val="left"/>
              <w:rPr>
                <w:rFonts w:eastAsia="Times New Roman" w:cs="Arial"/>
                <w:strike/>
                <w:sz w:val="22"/>
                <w:lang w:eastAsia="en-GB"/>
              </w:rPr>
            </w:pPr>
            <w:r w:rsidRPr="0094675C">
              <w:rPr>
                <w:rFonts w:eastAsia="Times New Roman" w:cs="Arial"/>
                <w:strike/>
                <w:sz w:val="22"/>
                <w:lang w:eastAsia="en-GB"/>
              </w:rPr>
              <w:t>Local Housing Need* @ 446 dpa x 5 years</w:t>
            </w:r>
          </w:p>
        </w:tc>
        <w:tc>
          <w:tcPr>
            <w:tcW w:w="1417" w:type="dxa"/>
            <w:tcBorders>
              <w:top w:val="nil"/>
              <w:left w:val="nil"/>
              <w:bottom w:val="single" w:sz="4" w:space="0" w:color="auto"/>
              <w:right w:val="single" w:sz="4" w:space="0" w:color="auto"/>
            </w:tcBorders>
            <w:shd w:val="clear" w:color="000000" w:fill="DDEBF7"/>
            <w:noWrap/>
            <w:hideMark/>
          </w:tcPr>
          <w:p w14:paraId="27DF0E64" w14:textId="77777777" w:rsidR="00A84B00" w:rsidRPr="0094675C" w:rsidRDefault="00A84B00" w:rsidP="006F7399">
            <w:pPr>
              <w:spacing w:after="0" w:line="240" w:lineRule="auto"/>
              <w:jc w:val="right"/>
              <w:rPr>
                <w:rFonts w:eastAsia="Times New Roman" w:cs="Arial"/>
                <w:strike/>
                <w:sz w:val="22"/>
                <w:lang w:eastAsia="en-GB"/>
              </w:rPr>
            </w:pPr>
            <w:r w:rsidRPr="0094675C">
              <w:rPr>
                <w:rFonts w:eastAsia="Times New Roman" w:cs="Arial"/>
                <w:strike/>
                <w:sz w:val="22"/>
                <w:lang w:eastAsia="en-GB"/>
              </w:rPr>
              <w:t>2230</w:t>
            </w:r>
          </w:p>
        </w:tc>
      </w:tr>
      <w:tr w:rsidR="00A84B00" w:rsidRPr="0094675C" w14:paraId="2D35B141" w14:textId="77777777" w:rsidTr="007772DE">
        <w:trPr>
          <w:trHeight w:val="280"/>
        </w:trPr>
        <w:tc>
          <w:tcPr>
            <w:tcW w:w="7513" w:type="dxa"/>
            <w:tcBorders>
              <w:top w:val="nil"/>
              <w:left w:val="single" w:sz="4" w:space="0" w:color="auto"/>
              <w:bottom w:val="single" w:sz="4" w:space="0" w:color="auto"/>
              <w:right w:val="single" w:sz="4" w:space="0" w:color="auto"/>
            </w:tcBorders>
            <w:shd w:val="clear" w:color="000000" w:fill="DDEBF7"/>
            <w:hideMark/>
          </w:tcPr>
          <w:p w14:paraId="7FEB27A4" w14:textId="77777777" w:rsidR="00A84B00" w:rsidRPr="0094675C" w:rsidRDefault="00A84B00" w:rsidP="006F7399">
            <w:pPr>
              <w:spacing w:after="0" w:line="240" w:lineRule="auto"/>
              <w:jc w:val="left"/>
              <w:rPr>
                <w:rFonts w:eastAsia="Times New Roman" w:cs="Arial"/>
                <w:strike/>
                <w:sz w:val="22"/>
                <w:lang w:eastAsia="en-GB"/>
              </w:rPr>
            </w:pPr>
            <w:r w:rsidRPr="0094675C">
              <w:rPr>
                <w:rFonts w:eastAsia="Times New Roman" w:cs="Arial"/>
                <w:strike/>
                <w:sz w:val="22"/>
                <w:lang w:eastAsia="en-GB"/>
              </w:rPr>
              <w:t>Add 20% buffer</w:t>
            </w:r>
          </w:p>
        </w:tc>
        <w:tc>
          <w:tcPr>
            <w:tcW w:w="1417" w:type="dxa"/>
            <w:tcBorders>
              <w:top w:val="nil"/>
              <w:left w:val="nil"/>
              <w:bottom w:val="single" w:sz="4" w:space="0" w:color="auto"/>
              <w:right w:val="single" w:sz="4" w:space="0" w:color="auto"/>
            </w:tcBorders>
            <w:shd w:val="clear" w:color="000000" w:fill="DDEBF7"/>
            <w:noWrap/>
            <w:hideMark/>
          </w:tcPr>
          <w:p w14:paraId="7B5CABBF" w14:textId="77777777" w:rsidR="00A84B00" w:rsidRPr="008971BA" w:rsidRDefault="00A84B00" w:rsidP="006F7399">
            <w:pPr>
              <w:spacing w:after="0" w:line="240" w:lineRule="auto"/>
              <w:jc w:val="right"/>
              <w:rPr>
                <w:rFonts w:eastAsia="Times New Roman" w:cs="Arial"/>
                <w:strike/>
                <w:sz w:val="22"/>
                <w:lang w:eastAsia="en-GB"/>
              </w:rPr>
            </w:pPr>
            <w:r w:rsidRPr="008971BA">
              <w:rPr>
                <w:rFonts w:eastAsia="Times New Roman" w:cs="Arial"/>
                <w:strike/>
                <w:sz w:val="22"/>
                <w:lang w:eastAsia="en-GB"/>
              </w:rPr>
              <w:t>446</w:t>
            </w:r>
          </w:p>
        </w:tc>
      </w:tr>
      <w:tr w:rsidR="00A84B00" w:rsidRPr="0094675C" w14:paraId="02CB925A" w14:textId="77777777" w:rsidTr="007772DE">
        <w:trPr>
          <w:trHeight w:val="280"/>
        </w:trPr>
        <w:tc>
          <w:tcPr>
            <w:tcW w:w="7513" w:type="dxa"/>
            <w:tcBorders>
              <w:top w:val="nil"/>
              <w:left w:val="single" w:sz="4" w:space="0" w:color="auto"/>
              <w:bottom w:val="single" w:sz="4" w:space="0" w:color="auto"/>
              <w:right w:val="single" w:sz="4" w:space="0" w:color="auto"/>
            </w:tcBorders>
            <w:shd w:val="clear" w:color="000000" w:fill="DDEBF7"/>
            <w:hideMark/>
          </w:tcPr>
          <w:p w14:paraId="7FDDCF9E" w14:textId="77777777" w:rsidR="00A84B00" w:rsidRPr="0094675C" w:rsidRDefault="00A84B00" w:rsidP="006F7399">
            <w:pPr>
              <w:spacing w:after="0" w:line="240" w:lineRule="auto"/>
              <w:jc w:val="left"/>
              <w:rPr>
                <w:rFonts w:eastAsia="Times New Roman" w:cs="Arial"/>
                <w:strike/>
                <w:sz w:val="22"/>
                <w:lang w:eastAsia="en-GB"/>
              </w:rPr>
            </w:pPr>
            <w:r w:rsidRPr="0094675C">
              <w:rPr>
                <w:rFonts w:eastAsia="Times New Roman" w:cs="Arial"/>
                <w:strike/>
                <w:sz w:val="22"/>
                <w:lang w:eastAsia="en-GB"/>
              </w:rPr>
              <w:t>Under delivery year 2023 to 2025 (actual plus assumed)</w:t>
            </w:r>
          </w:p>
        </w:tc>
        <w:tc>
          <w:tcPr>
            <w:tcW w:w="1417" w:type="dxa"/>
            <w:tcBorders>
              <w:top w:val="nil"/>
              <w:left w:val="nil"/>
              <w:bottom w:val="single" w:sz="4" w:space="0" w:color="auto"/>
              <w:right w:val="single" w:sz="4" w:space="0" w:color="auto"/>
            </w:tcBorders>
            <w:shd w:val="clear" w:color="000000" w:fill="DDEBF7"/>
            <w:noWrap/>
            <w:hideMark/>
          </w:tcPr>
          <w:p w14:paraId="7B72EBC3" w14:textId="77777777" w:rsidR="00A84B00" w:rsidRPr="008971BA" w:rsidRDefault="00A84B00" w:rsidP="006F7399">
            <w:pPr>
              <w:spacing w:after="0" w:line="240" w:lineRule="auto"/>
              <w:jc w:val="right"/>
              <w:rPr>
                <w:rFonts w:eastAsia="Times New Roman" w:cs="Arial"/>
                <w:strike/>
                <w:sz w:val="22"/>
                <w:lang w:eastAsia="en-GB"/>
              </w:rPr>
            </w:pPr>
            <w:r w:rsidRPr="008971BA">
              <w:rPr>
                <w:rFonts w:eastAsia="Times New Roman" w:cs="Arial"/>
                <w:strike/>
                <w:sz w:val="22"/>
                <w:lang w:eastAsia="en-GB"/>
              </w:rPr>
              <w:t>-37</w:t>
            </w:r>
          </w:p>
        </w:tc>
      </w:tr>
      <w:tr w:rsidR="00A84B00" w:rsidRPr="0094675C" w14:paraId="3B9F7D4D" w14:textId="77777777" w:rsidTr="007772DE">
        <w:trPr>
          <w:trHeight w:val="280"/>
        </w:trPr>
        <w:tc>
          <w:tcPr>
            <w:tcW w:w="7513" w:type="dxa"/>
            <w:tcBorders>
              <w:top w:val="nil"/>
              <w:left w:val="single" w:sz="4" w:space="0" w:color="auto"/>
              <w:bottom w:val="single" w:sz="4" w:space="0" w:color="auto"/>
              <w:right w:val="single" w:sz="4" w:space="0" w:color="auto"/>
            </w:tcBorders>
            <w:shd w:val="clear" w:color="000000" w:fill="DDEBF7"/>
            <w:hideMark/>
          </w:tcPr>
          <w:p w14:paraId="56BA3992" w14:textId="77777777" w:rsidR="00A84B00" w:rsidRPr="0094675C" w:rsidRDefault="00A84B00" w:rsidP="006F7399">
            <w:pPr>
              <w:spacing w:after="0" w:line="240" w:lineRule="auto"/>
              <w:jc w:val="left"/>
              <w:rPr>
                <w:rFonts w:eastAsia="Times New Roman" w:cs="Arial"/>
                <w:b/>
                <w:bCs/>
                <w:strike/>
                <w:sz w:val="22"/>
                <w:lang w:eastAsia="en-GB"/>
              </w:rPr>
            </w:pPr>
            <w:r w:rsidRPr="0094675C">
              <w:rPr>
                <w:rFonts w:eastAsia="Times New Roman" w:cs="Arial"/>
                <w:b/>
                <w:bCs/>
                <w:strike/>
                <w:sz w:val="22"/>
                <w:lang w:eastAsia="en-GB"/>
              </w:rPr>
              <w:t xml:space="preserve">Total </w:t>
            </w:r>
            <w:proofErr w:type="gramStart"/>
            <w:r w:rsidRPr="0094675C">
              <w:rPr>
                <w:rFonts w:eastAsia="Times New Roman" w:cs="Arial"/>
                <w:b/>
                <w:bCs/>
                <w:strike/>
                <w:sz w:val="22"/>
                <w:lang w:eastAsia="en-GB"/>
              </w:rPr>
              <w:t>5 year</w:t>
            </w:r>
            <w:proofErr w:type="gramEnd"/>
            <w:r w:rsidRPr="0094675C">
              <w:rPr>
                <w:rFonts w:eastAsia="Times New Roman" w:cs="Arial"/>
                <w:b/>
                <w:bCs/>
                <w:strike/>
                <w:sz w:val="22"/>
                <w:lang w:eastAsia="en-GB"/>
              </w:rPr>
              <w:t xml:space="preserve"> requirement including buffer</w:t>
            </w:r>
          </w:p>
        </w:tc>
        <w:tc>
          <w:tcPr>
            <w:tcW w:w="1417" w:type="dxa"/>
            <w:tcBorders>
              <w:top w:val="nil"/>
              <w:left w:val="nil"/>
              <w:bottom w:val="single" w:sz="4" w:space="0" w:color="auto"/>
              <w:right w:val="single" w:sz="4" w:space="0" w:color="auto"/>
            </w:tcBorders>
            <w:shd w:val="clear" w:color="000000" w:fill="DDEBF7"/>
            <w:noWrap/>
            <w:hideMark/>
          </w:tcPr>
          <w:p w14:paraId="413F7CB2" w14:textId="4949DA1F" w:rsidR="00A84B00" w:rsidRPr="008971BA" w:rsidRDefault="00A84B00" w:rsidP="006F7399">
            <w:pPr>
              <w:spacing w:after="0" w:line="240" w:lineRule="auto"/>
              <w:jc w:val="right"/>
              <w:rPr>
                <w:rFonts w:eastAsia="Times New Roman" w:cs="Arial"/>
                <w:b/>
                <w:bCs/>
                <w:strike/>
                <w:sz w:val="22"/>
                <w:lang w:eastAsia="en-GB"/>
              </w:rPr>
            </w:pPr>
            <w:r w:rsidRPr="008971BA">
              <w:rPr>
                <w:rFonts w:eastAsia="Times New Roman" w:cs="Arial"/>
                <w:b/>
                <w:bCs/>
                <w:strike/>
                <w:sz w:val="22"/>
                <w:lang w:eastAsia="en-GB"/>
              </w:rPr>
              <w:t>2639</w:t>
            </w:r>
            <w:r w:rsidR="00D556A2" w:rsidRPr="008971BA">
              <w:rPr>
                <w:rFonts w:eastAsia="Times New Roman" w:cs="Arial"/>
                <w:b/>
                <w:bCs/>
                <w:strike/>
                <w:sz w:val="22"/>
                <w:lang w:eastAsia="en-GB"/>
              </w:rPr>
              <w:t xml:space="preserve"> 2713</w:t>
            </w:r>
          </w:p>
        </w:tc>
      </w:tr>
      <w:tr w:rsidR="00A84B00" w:rsidRPr="0094675C" w14:paraId="51B636E3" w14:textId="77777777" w:rsidTr="007772DE">
        <w:trPr>
          <w:trHeight w:val="437"/>
        </w:trPr>
        <w:tc>
          <w:tcPr>
            <w:tcW w:w="7513" w:type="dxa"/>
            <w:tcBorders>
              <w:top w:val="nil"/>
              <w:left w:val="single" w:sz="4" w:space="0" w:color="auto"/>
              <w:bottom w:val="single" w:sz="4" w:space="0" w:color="auto"/>
              <w:right w:val="single" w:sz="4" w:space="0" w:color="auto"/>
            </w:tcBorders>
            <w:shd w:val="clear" w:color="000000" w:fill="DDEBF7"/>
            <w:hideMark/>
          </w:tcPr>
          <w:p w14:paraId="7096B522" w14:textId="77777777" w:rsidR="00A84B00" w:rsidRPr="0094675C" w:rsidRDefault="00A84B00" w:rsidP="006F7399">
            <w:pPr>
              <w:spacing w:after="0" w:line="240" w:lineRule="auto"/>
              <w:jc w:val="left"/>
              <w:rPr>
                <w:rFonts w:eastAsia="Times New Roman" w:cs="Arial"/>
                <w:b/>
                <w:bCs/>
                <w:strike/>
                <w:sz w:val="22"/>
                <w:lang w:eastAsia="en-GB"/>
              </w:rPr>
            </w:pPr>
            <w:r w:rsidRPr="0094675C">
              <w:rPr>
                <w:rFonts w:eastAsia="Times New Roman" w:cs="Arial"/>
                <w:b/>
                <w:bCs/>
                <w:strike/>
                <w:sz w:val="22"/>
                <w:lang w:eastAsia="en-GB"/>
              </w:rPr>
              <w:t>Annual requirement including buffer</w:t>
            </w:r>
          </w:p>
        </w:tc>
        <w:tc>
          <w:tcPr>
            <w:tcW w:w="1417" w:type="dxa"/>
            <w:tcBorders>
              <w:top w:val="nil"/>
              <w:left w:val="nil"/>
              <w:bottom w:val="single" w:sz="4" w:space="0" w:color="auto"/>
              <w:right w:val="single" w:sz="4" w:space="0" w:color="auto"/>
            </w:tcBorders>
            <w:shd w:val="clear" w:color="000000" w:fill="DDEBF7"/>
            <w:noWrap/>
            <w:hideMark/>
          </w:tcPr>
          <w:p w14:paraId="60AFC21A" w14:textId="710A6654" w:rsidR="00A84B00" w:rsidRPr="008971BA" w:rsidRDefault="00A84B00" w:rsidP="006F7399">
            <w:pPr>
              <w:spacing w:after="0" w:line="240" w:lineRule="auto"/>
              <w:jc w:val="right"/>
              <w:rPr>
                <w:rFonts w:eastAsia="Times New Roman" w:cs="Arial"/>
                <w:b/>
                <w:bCs/>
                <w:strike/>
                <w:sz w:val="22"/>
                <w:lang w:eastAsia="en-GB"/>
              </w:rPr>
            </w:pPr>
            <w:r w:rsidRPr="008971BA">
              <w:rPr>
                <w:rFonts w:eastAsia="Times New Roman" w:cs="Arial"/>
                <w:b/>
                <w:bCs/>
                <w:strike/>
                <w:sz w:val="22"/>
                <w:lang w:eastAsia="en-GB"/>
              </w:rPr>
              <w:t>528</w:t>
            </w:r>
            <w:r w:rsidR="00D556A2" w:rsidRPr="008971BA">
              <w:rPr>
                <w:rFonts w:eastAsia="Times New Roman" w:cs="Arial"/>
                <w:b/>
                <w:bCs/>
                <w:strike/>
                <w:sz w:val="22"/>
                <w:lang w:eastAsia="en-GB"/>
              </w:rPr>
              <w:t xml:space="preserve"> 543</w:t>
            </w:r>
          </w:p>
        </w:tc>
      </w:tr>
      <w:tr w:rsidR="00A84B00" w:rsidRPr="0094675C" w14:paraId="051E5B8B" w14:textId="77777777" w:rsidTr="00015784">
        <w:trPr>
          <w:trHeight w:val="369"/>
        </w:trPr>
        <w:tc>
          <w:tcPr>
            <w:tcW w:w="7513" w:type="dxa"/>
            <w:tcBorders>
              <w:top w:val="nil"/>
              <w:left w:val="single" w:sz="4" w:space="0" w:color="auto"/>
              <w:bottom w:val="single" w:sz="4" w:space="0" w:color="auto"/>
              <w:right w:val="single" w:sz="4" w:space="0" w:color="auto"/>
            </w:tcBorders>
            <w:shd w:val="clear" w:color="000000" w:fill="BDD7EE"/>
            <w:hideMark/>
          </w:tcPr>
          <w:p w14:paraId="56647B54" w14:textId="77777777" w:rsidR="00A84B00" w:rsidRPr="0094675C" w:rsidRDefault="00A84B00" w:rsidP="006F7399">
            <w:pPr>
              <w:spacing w:after="0" w:line="240" w:lineRule="auto"/>
              <w:jc w:val="left"/>
              <w:rPr>
                <w:rFonts w:eastAsia="Times New Roman" w:cs="Arial"/>
                <w:b/>
                <w:bCs/>
                <w:strike/>
                <w:sz w:val="22"/>
                <w:lang w:eastAsia="en-GB"/>
              </w:rPr>
            </w:pPr>
            <w:r w:rsidRPr="0094675C">
              <w:rPr>
                <w:rFonts w:eastAsia="Times New Roman" w:cs="Arial"/>
                <w:b/>
                <w:bCs/>
                <w:strike/>
                <w:sz w:val="22"/>
                <w:lang w:eastAsia="en-GB"/>
              </w:rPr>
              <w:t>Supply at April 2025</w:t>
            </w:r>
          </w:p>
        </w:tc>
        <w:tc>
          <w:tcPr>
            <w:tcW w:w="1417" w:type="dxa"/>
            <w:tcBorders>
              <w:top w:val="nil"/>
              <w:left w:val="nil"/>
              <w:bottom w:val="single" w:sz="4" w:space="0" w:color="auto"/>
              <w:right w:val="single" w:sz="4" w:space="0" w:color="auto"/>
            </w:tcBorders>
            <w:shd w:val="clear" w:color="000000" w:fill="BDD7EE"/>
            <w:noWrap/>
            <w:hideMark/>
          </w:tcPr>
          <w:p w14:paraId="67DC2FB0" w14:textId="77777777" w:rsidR="00A84B00" w:rsidRPr="008971BA" w:rsidRDefault="00A84B00" w:rsidP="006F7399">
            <w:pPr>
              <w:spacing w:after="0" w:line="240" w:lineRule="auto"/>
              <w:jc w:val="right"/>
              <w:rPr>
                <w:rFonts w:eastAsia="Times New Roman" w:cs="Arial"/>
                <w:b/>
                <w:bCs/>
                <w:strike/>
                <w:sz w:val="22"/>
                <w:lang w:eastAsia="en-GB"/>
              </w:rPr>
            </w:pPr>
            <w:r w:rsidRPr="008971BA">
              <w:rPr>
                <w:rFonts w:eastAsia="Times New Roman" w:cs="Arial"/>
                <w:b/>
                <w:bCs/>
                <w:strike/>
                <w:sz w:val="22"/>
                <w:lang w:eastAsia="en-GB"/>
              </w:rPr>
              <w:t>Dwellings</w:t>
            </w:r>
          </w:p>
        </w:tc>
      </w:tr>
      <w:tr w:rsidR="00A84B00" w:rsidRPr="0094675C" w14:paraId="417EEB95" w14:textId="77777777" w:rsidTr="007772DE">
        <w:trPr>
          <w:trHeight w:val="280"/>
        </w:trPr>
        <w:tc>
          <w:tcPr>
            <w:tcW w:w="7513" w:type="dxa"/>
            <w:tcBorders>
              <w:top w:val="nil"/>
              <w:left w:val="single" w:sz="4" w:space="0" w:color="auto"/>
              <w:bottom w:val="single" w:sz="4" w:space="0" w:color="auto"/>
              <w:right w:val="single" w:sz="4" w:space="0" w:color="auto"/>
            </w:tcBorders>
            <w:shd w:val="clear" w:color="000000" w:fill="BDD7EE"/>
            <w:hideMark/>
          </w:tcPr>
          <w:p w14:paraId="78AA867C" w14:textId="77777777" w:rsidR="00A84B00" w:rsidRPr="0094675C" w:rsidRDefault="00A84B00" w:rsidP="006F7399">
            <w:pPr>
              <w:spacing w:after="0" w:line="240" w:lineRule="auto"/>
              <w:jc w:val="left"/>
              <w:rPr>
                <w:rFonts w:eastAsia="Times New Roman" w:cs="Arial"/>
                <w:strike/>
                <w:sz w:val="22"/>
                <w:lang w:eastAsia="en-GB"/>
              </w:rPr>
            </w:pPr>
            <w:r w:rsidRPr="0094675C">
              <w:rPr>
                <w:rFonts w:eastAsia="Times New Roman" w:cs="Arial"/>
                <w:strike/>
                <w:sz w:val="22"/>
                <w:lang w:eastAsia="en-GB"/>
              </w:rPr>
              <w:t>Supply from large sites without planning permission</w:t>
            </w:r>
          </w:p>
        </w:tc>
        <w:tc>
          <w:tcPr>
            <w:tcW w:w="1417" w:type="dxa"/>
            <w:tcBorders>
              <w:top w:val="nil"/>
              <w:left w:val="nil"/>
              <w:bottom w:val="single" w:sz="4" w:space="0" w:color="auto"/>
              <w:right w:val="single" w:sz="4" w:space="0" w:color="auto"/>
            </w:tcBorders>
            <w:shd w:val="clear" w:color="000000" w:fill="BDD7EE"/>
            <w:noWrap/>
            <w:hideMark/>
          </w:tcPr>
          <w:p w14:paraId="40F63C95" w14:textId="77777777" w:rsidR="00A84B00" w:rsidRPr="008971BA" w:rsidRDefault="00A84B00" w:rsidP="006F7399">
            <w:pPr>
              <w:spacing w:after="0" w:line="240" w:lineRule="auto"/>
              <w:jc w:val="right"/>
              <w:rPr>
                <w:rFonts w:eastAsia="Times New Roman" w:cs="Arial"/>
                <w:strike/>
                <w:sz w:val="22"/>
                <w:lang w:eastAsia="en-GB"/>
              </w:rPr>
            </w:pPr>
            <w:r w:rsidRPr="008971BA">
              <w:rPr>
                <w:rFonts w:eastAsia="Times New Roman" w:cs="Arial"/>
                <w:strike/>
                <w:sz w:val="22"/>
                <w:lang w:eastAsia="en-GB"/>
              </w:rPr>
              <w:t>845</w:t>
            </w:r>
          </w:p>
        </w:tc>
      </w:tr>
      <w:tr w:rsidR="00A84B00" w:rsidRPr="0094675C" w14:paraId="7F1DB682" w14:textId="77777777" w:rsidTr="007772DE">
        <w:trPr>
          <w:trHeight w:val="280"/>
        </w:trPr>
        <w:tc>
          <w:tcPr>
            <w:tcW w:w="7513" w:type="dxa"/>
            <w:tcBorders>
              <w:top w:val="nil"/>
              <w:left w:val="single" w:sz="4" w:space="0" w:color="auto"/>
              <w:bottom w:val="single" w:sz="4" w:space="0" w:color="auto"/>
              <w:right w:val="single" w:sz="4" w:space="0" w:color="auto"/>
            </w:tcBorders>
            <w:shd w:val="clear" w:color="000000" w:fill="BDD7EE"/>
            <w:hideMark/>
          </w:tcPr>
          <w:p w14:paraId="3D208999" w14:textId="77777777" w:rsidR="00A84B00" w:rsidRPr="0094675C" w:rsidRDefault="00A84B00" w:rsidP="006F7399">
            <w:pPr>
              <w:spacing w:after="0" w:line="240" w:lineRule="auto"/>
              <w:jc w:val="left"/>
              <w:rPr>
                <w:rFonts w:eastAsia="Times New Roman" w:cs="Arial"/>
                <w:strike/>
                <w:sz w:val="22"/>
                <w:lang w:eastAsia="en-GB"/>
              </w:rPr>
            </w:pPr>
            <w:r w:rsidRPr="0094675C">
              <w:rPr>
                <w:rFonts w:eastAsia="Times New Roman" w:cs="Arial"/>
                <w:strike/>
                <w:sz w:val="22"/>
                <w:lang w:eastAsia="en-GB"/>
              </w:rPr>
              <w:t>Planning permissions deliverable within 5 years (2025-2030)</w:t>
            </w:r>
          </w:p>
        </w:tc>
        <w:tc>
          <w:tcPr>
            <w:tcW w:w="1417" w:type="dxa"/>
            <w:tcBorders>
              <w:top w:val="nil"/>
              <w:left w:val="nil"/>
              <w:bottom w:val="single" w:sz="4" w:space="0" w:color="auto"/>
              <w:right w:val="single" w:sz="4" w:space="0" w:color="auto"/>
            </w:tcBorders>
            <w:shd w:val="clear" w:color="000000" w:fill="BDD7EE"/>
            <w:noWrap/>
            <w:hideMark/>
          </w:tcPr>
          <w:p w14:paraId="244B7D96" w14:textId="77777777" w:rsidR="00A84B00" w:rsidRPr="008971BA" w:rsidRDefault="00A84B00" w:rsidP="006F7399">
            <w:pPr>
              <w:spacing w:after="0" w:line="240" w:lineRule="auto"/>
              <w:jc w:val="right"/>
              <w:rPr>
                <w:rFonts w:eastAsia="Times New Roman" w:cs="Arial"/>
                <w:strike/>
                <w:sz w:val="22"/>
                <w:lang w:eastAsia="en-GB"/>
              </w:rPr>
            </w:pPr>
            <w:r w:rsidRPr="008971BA">
              <w:rPr>
                <w:rFonts w:eastAsia="Times New Roman" w:cs="Arial"/>
                <w:strike/>
                <w:sz w:val="22"/>
                <w:lang w:eastAsia="en-GB"/>
              </w:rPr>
              <w:t>1806</w:t>
            </w:r>
          </w:p>
        </w:tc>
      </w:tr>
      <w:tr w:rsidR="00A84B00" w:rsidRPr="0094675C" w14:paraId="6A9DB3AD" w14:textId="77777777" w:rsidTr="007772DE">
        <w:trPr>
          <w:trHeight w:val="330"/>
        </w:trPr>
        <w:tc>
          <w:tcPr>
            <w:tcW w:w="7513" w:type="dxa"/>
            <w:tcBorders>
              <w:top w:val="nil"/>
              <w:left w:val="single" w:sz="4" w:space="0" w:color="auto"/>
              <w:bottom w:val="single" w:sz="4" w:space="0" w:color="auto"/>
              <w:right w:val="single" w:sz="4" w:space="0" w:color="auto"/>
            </w:tcBorders>
            <w:shd w:val="clear" w:color="000000" w:fill="BDD7EE"/>
            <w:hideMark/>
          </w:tcPr>
          <w:p w14:paraId="31EFA352" w14:textId="77777777" w:rsidR="00A84B00" w:rsidRPr="0094675C" w:rsidRDefault="00A84B00" w:rsidP="006F7399">
            <w:pPr>
              <w:spacing w:after="0" w:line="240" w:lineRule="auto"/>
              <w:jc w:val="left"/>
              <w:rPr>
                <w:rFonts w:eastAsia="Times New Roman" w:cs="Arial"/>
                <w:strike/>
                <w:sz w:val="22"/>
                <w:lang w:eastAsia="en-GB"/>
              </w:rPr>
            </w:pPr>
            <w:r w:rsidRPr="0094675C">
              <w:rPr>
                <w:rFonts w:eastAsia="Times New Roman" w:cs="Arial"/>
                <w:strike/>
                <w:sz w:val="22"/>
                <w:lang w:eastAsia="en-GB"/>
              </w:rPr>
              <w:t>Discount applied to permissions based on historic lapse rate</w:t>
            </w:r>
          </w:p>
        </w:tc>
        <w:tc>
          <w:tcPr>
            <w:tcW w:w="1417" w:type="dxa"/>
            <w:tcBorders>
              <w:top w:val="nil"/>
              <w:left w:val="nil"/>
              <w:bottom w:val="single" w:sz="4" w:space="0" w:color="auto"/>
              <w:right w:val="single" w:sz="4" w:space="0" w:color="auto"/>
            </w:tcBorders>
            <w:shd w:val="clear" w:color="000000" w:fill="BDD7EE"/>
            <w:noWrap/>
            <w:hideMark/>
          </w:tcPr>
          <w:p w14:paraId="515951A3" w14:textId="77777777" w:rsidR="00A84B00" w:rsidRPr="008971BA" w:rsidRDefault="00A84B00" w:rsidP="006F7399">
            <w:pPr>
              <w:spacing w:after="0" w:line="240" w:lineRule="auto"/>
              <w:jc w:val="right"/>
              <w:rPr>
                <w:rFonts w:eastAsia="Times New Roman" w:cs="Arial"/>
                <w:strike/>
                <w:sz w:val="22"/>
                <w:lang w:eastAsia="en-GB"/>
              </w:rPr>
            </w:pPr>
            <w:r w:rsidRPr="008971BA">
              <w:rPr>
                <w:rFonts w:eastAsia="Times New Roman" w:cs="Arial"/>
                <w:strike/>
                <w:sz w:val="22"/>
                <w:lang w:eastAsia="en-GB"/>
              </w:rPr>
              <w:t>-105</w:t>
            </w:r>
          </w:p>
        </w:tc>
      </w:tr>
      <w:tr w:rsidR="00A84B00" w:rsidRPr="0094675C" w14:paraId="1EF91EDD" w14:textId="77777777" w:rsidTr="007772DE">
        <w:trPr>
          <w:trHeight w:val="280"/>
        </w:trPr>
        <w:tc>
          <w:tcPr>
            <w:tcW w:w="7513" w:type="dxa"/>
            <w:tcBorders>
              <w:top w:val="nil"/>
              <w:left w:val="single" w:sz="4" w:space="0" w:color="auto"/>
              <w:bottom w:val="single" w:sz="4" w:space="0" w:color="auto"/>
              <w:right w:val="single" w:sz="4" w:space="0" w:color="auto"/>
            </w:tcBorders>
            <w:shd w:val="clear" w:color="000000" w:fill="BDD7EE"/>
            <w:hideMark/>
          </w:tcPr>
          <w:p w14:paraId="3F02EF68" w14:textId="77777777" w:rsidR="00A84B00" w:rsidRPr="0094675C" w:rsidRDefault="00A84B00" w:rsidP="006F7399">
            <w:pPr>
              <w:spacing w:after="0" w:line="240" w:lineRule="auto"/>
              <w:jc w:val="left"/>
              <w:rPr>
                <w:rFonts w:eastAsia="Times New Roman" w:cs="Arial"/>
                <w:strike/>
                <w:sz w:val="22"/>
                <w:lang w:eastAsia="en-GB"/>
              </w:rPr>
            </w:pPr>
            <w:r w:rsidRPr="0094675C">
              <w:rPr>
                <w:rFonts w:eastAsia="Times New Roman" w:cs="Arial"/>
                <w:strike/>
                <w:sz w:val="22"/>
                <w:lang w:eastAsia="en-GB"/>
              </w:rPr>
              <w:t>Permitted Development deliverable within 5 years</w:t>
            </w:r>
          </w:p>
        </w:tc>
        <w:tc>
          <w:tcPr>
            <w:tcW w:w="1417" w:type="dxa"/>
            <w:tcBorders>
              <w:top w:val="nil"/>
              <w:left w:val="nil"/>
              <w:bottom w:val="single" w:sz="4" w:space="0" w:color="auto"/>
              <w:right w:val="single" w:sz="4" w:space="0" w:color="auto"/>
            </w:tcBorders>
            <w:shd w:val="clear" w:color="000000" w:fill="BDD7EE"/>
            <w:noWrap/>
            <w:hideMark/>
          </w:tcPr>
          <w:p w14:paraId="6EA73069" w14:textId="77777777" w:rsidR="00A84B00" w:rsidRPr="008971BA" w:rsidRDefault="00A84B00" w:rsidP="006F7399">
            <w:pPr>
              <w:spacing w:after="0" w:line="240" w:lineRule="auto"/>
              <w:jc w:val="right"/>
              <w:rPr>
                <w:rFonts w:eastAsia="Times New Roman" w:cs="Arial"/>
                <w:strike/>
                <w:sz w:val="22"/>
                <w:lang w:eastAsia="en-GB"/>
              </w:rPr>
            </w:pPr>
            <w:r w:rsidRPr="008971BA">
              <w:rPr>
                <w:rFonts w:eastAsia="Times New Roman" w:cs="Arial"/>
                <w:strike/>
                <w:sz w:val="22"/>
                <w:lang w:eastAsia="en-GB"/>
              </w:rPr>
              <w:t>1</w:t>
            </w:r>
          </w:p>
        </w:tc>
      </w:tr>
      <w:tr w:rsidR="00A84B00" w:rsidRPr="0094675C" w14:paraId="71A9A6BA" w14:textId="77777777" w:rsidTr="007772DE">
        <w:trPr>
          <w:trHeight w:val="330"/>
        </w:trPr>
        <w:tc>
          <w:tcPr>
            <w:tcW w:w="7513" w:type="dxa"/>
            <w:tcBorders>
              <w:top w:val="nil"/>
              <w:left w:val="single" w:sz="4" w:space="0" w:color="auto"/>
              <w:bottom w:val="single" w:sz="4" w:space="0" w:color="auto"/>
              <w:right w:val="single" w:sz="4" w:space="0" w:color="auto"/>
            </w:tcBorders>
            <w:shd w:val="clear" w:color="000000" w:fill="BDD7EE"/>
            <w:hideMark/>
          </w:tcPr>
          <w:p w14:paraId="5621BB5B" w14:textId="77777777" w:rsidR="00A84B00" w:rsidRPr="0094675C" w:rsidRDefault="00A84B00" w:rsidP="006F7399">
            <w:pPr>
              <w:spacing w:after="0" w:line="240" w:lineRule="auto"/>
              <w:jc w:val="left"/>
              <w:rPr>
                <w:rFonts w:eastAsia="Times New Roman" w:cs="Arial"/>
                <w:strike/>
                <w:sz w:val="22"/>
                <w:lang w:eastAsia="en-GB"/>
              </w:rPr>
            </w:pPr>
            <w:r w:rsidRPr="0094675C">
              <w:rPr>
                <w:rFonts w:eastAsia="Times New Roman" w:cs="Arial"/>
                <w:strike/>
                <w:sz w:val="22"/>
                <w:lang w:eastAsia="en-GB"/>
              </w:rPr>
              <w:t>Residential Institutions (C2) deliverable within 5 years</w:t>
            </w:r>
            <w:r w:rsidRPr="0094675C">
              <w:rPr>
                <w:rFonts w:eastAsia="Times New Roman" w:cs="Arial"/>
                <w:strike/>
                <w:sz w:val="22"/>
                <w:vertAlign w:val="superscript"/>
                <w:lang w:eastAsia="en-GB"/>
              </w:rPr>
              <w:t>#</w:t>
            </w:r>
          </w:p>
        </w:tc>
        <w:tc>
          <w:tcPr>
            <w:tcW w:w="1417" w:type="dxa"/>
            <w:tcBorders>
              <w:top w:val="nil"/>
              <w:left w:val="nil"/>
              <w:bottom w:val="single" w:sz="4" w:space="0" w:color="auto"/>
              <w:right w:val="single" w:sz="4" w:space="0" w:color="auto"/>
            </w:tcBorders>
            <w:shd w:val="clear" w:color="000000" w:fill="BDD7EE"/>
            <w:noWrap/>
            <w:hideMark/>
          </w:tcPr>
          <w:p w14:paraId="671D7F4D" w14:textId="77777777" w:rsidR="00A84B00" w:rsidRPr="008971BA" w:rsidRDefault="00A84B00" w:rsidP="006F7399">
            <w:pPr>
              <w:spacing w:after="0" w:line="240" w:lineRule="auto"/>
              <w:jc w:val="right"/>
              <w:rPr>
                <w:rFonts w:eastAsia="Times New Roman" w:cs="Arial"/>
                <w:strike/>
                <w:sz w:val="22"/>
                <w:lang w:eastAsia="en-GB"/>
              </w:rPr>
            </w:pPr>
            <w:r w:rsidRPr="008971BA">
              <w:rPr>
                <w:rFonts w:eastAsia="Times New Roman" w:cs="Arial"/>
                <w:strike/>
                <w:sz w:val="22"/>
                <w:lang w:eastAsia="en-GB"/>
              </w:rPr>
              <w:t>48</w:t>
            </w:r>
          </w:p>
        </w:tc>
      </w:tr>
      <w:tr w:rsidR="00A84B00" w:rsidRPr="0094675C" w14:paraId="5A3CD40A" w14:textId="77777777" w:rsidTr="007772DE">
        <w:trPr>
          <w:trHeight w:val="280"/>
        </w:trPr>
        <w:tc>
          <w:tcPr>
            <w:tcW w:w="7513" w:type="dxa"/>
            <w:tcBorders>
              <w:top w:val="nil"/>
              <w:left w:val="single" w:sz="4" w:space="0" w:color="auto"/>
              <w:bottom w:val="single" w:sz="4" w:space="0" w:color="auto"/>
              <w:right w:val="single" w:sz="4" w:space="0" w:color="auto"/>
            </w:tcBorders>
            <w:shd w:val="clear" w:color="000000" w:fill="BDD7EE"/>
            <w:hideMark/>
          </w:tcPr>
          <w:p w14:paraId="146E3425" w14:textId="77777777" w:rsidR="00A84B00" w:rsidRPr="0094675C" w:rsidRDefault="00A84B00" w:rsidP="006F7399">
            <w:pPr>
              <w:spacing w:after="0" w:line="240" w:lineRule="auto"/>
              <w:jc w:val="left"/>
              <w:rPr>
                <w:rFonts w:eastAsia="Times New Roman" w:cs="Arial"/>
                <w:strike/>
                <w:sz w:val="22"/>
                <w:lang w:eastAsia="en-GB"/>
              </w:rPr>
            </w:pPr>
            <w:r w:rsidRPr="0094675C">
              <w:rPr>
                <w:rFonts w:eastAsia="Times New Roman" w:cs="Arial"/>
                <w:strike/>
                <w:sz w:val="22"/>
                <w:lang w:eastAsia="en-GB"/>
              </w:rPr>
              <w:t>Small site windfall allowance (2027 to 2030)</w:t>
            </w:r>
          </w:p>
        </w:tc>
        <w:tc>
          <w:tcPr>
            <w:tcW w:w="1417" w:type="dxa"/>
            <w:tcBorders>
              <w:top w:val="nil"/>
              <w:left w:val="nil"/>
              <w:bottom w:val="single" w:sz="4" w:space="0" w:color="auto"/>
              <w:right w:val="single" w:sz="4" w:space="0" w:color="auto"/>
            </w:tcBorders>
            <w:shd w:val="clear" w:color="000000" w:fill="BDD7EE"/>
            <w:noWrap/>
            <w:hideMark/>
          </w:tcPr>
          <w:p w14:paraId="62D32B9B" w14:textId="77777777" w:rsidR="00A84B00" w:rsidRPr="008971BA" w:rsidRDefault="00A84B00" w:rsidP="006F7399">
            <w:pPr>
              <w:spacing w:after="0" w:line="240" w:lineRule="auto"/>
              <w:jc w:val="right"/>
              <w:rPr>
                <w:rFonts w:eastAsia="Times New Roman" w:cs="Arial"/>
                <w:strike/>
                <w:sz w:val="22"/>
                <w:lang w:eastAsia="en-GB"/>
              </w:rPr>
            </w:pPr>
            <w:r w:rsidRPr="008971BA">
              <w:rPr>
                <w:rFonts w:eastAsia="Times New Roman" w:cs="Arial"/>
                <w:strike/>
                <w:sz w:val="22"/>
                <w:lang w:eastAsia="en-GB"/>
              </w:rPr>
              <w:t>273</w:t>
            </w:r>
          </w:p>
        </w:tc>
      </w:tr>
      <w:tr w:rsidR="00A84B00" w:rsidRPr="0094675C" w14:paraId="1D81F45C" w14:textId="77777777" w:rsidTr="007772DE">
        <w:trPr>
          <w:trHeight w:val="674"/>
        </w:trPr>
        <w:tc>
          <w:tcPr>
            <w:tcW w:w="7513" w:type="dxa"/>
            <w:tcBorders>
              <w:top w:val="nil"/>
              <w:left w:val="single" w:sz="4" w:space="0" w:color="auto"/>
              <w:bottom w:val="single" w:sz="4" w:space="0" w:color="auto"/>
              <w:right w:val="single" w:sz="4" w:space="0" w:color="auto"/>
            </w:tcBorders>
            <w:shd w:val="clear" w:color="000000" w:fill="BDD7EE"/>
            <w:hideMark/>
          </w:tcPr>
          <w:p w14:paraId="6A9F71B3" w14:textId="77777777" w:rsidR="00A84B00" w:rsidRPr="0094675C" w:rsidRDefault="00A84B00" w:rsidP="006F7399">
            <w:pPr>
              <w:spacing w:after="0" w:line="240" w:lineRule="auto"/>
              <w:jc w:val="left"/>
              <w:rPr>
                <w:rFonts w:eastAsia="Times New Roman" w:cs="Arial"/>
                <w:b/>
                <w:bCs/>
                <w:strike/>
                <w:sz w:val="22"/>
                <w:lang w:eastAsia="en-GB"/>
              </w:rPr>
            </w:pPr>
            <w:r w:rsidRPr="0094675C">
              <w:rPr>
                <w:rFonts w:eastAsia="Times New Roman" w:cs="Arial"/>
                <w:b/>
                <w:bCs/>
                <w:strike/>
                <w:sz w:val="22"/>
                <w:lang w:eastAsia="en-GB"/>
              </w:rPr>
              <w:t xml:space="preserve">Total amount of housing available and deliverable for the </w:t>
            </w:r>
            <w:proofErr w:type="gramStart"/>
            <w:r w:rsidRPr="0094675C">
              <w:rPr>
                <w:rFonts w:eastAsia="Times New Roman" w:cs="Arial"/>
                <w:b/>
                <w:bCs/>
                <w:strike/>
                <w:sz w:val="22"/>
                <w:lang w:eastAsia="en-GB"/>
              </w:rPr>
              <w:t>5 year</w:t>
            </w:r>
            <w:proofErr w:type="gramEnd"/>
            <w:r w:rsidRPr="0094675C">
              <w:rPr>
                <w:rFonts w:eastAsia="Times New Roman" w:cs="Arial"/>
                <w:b/>
                <w:bCs/>
                <w:strike/>
                <w:sz w:val="22"/>
                <w:lang w:eastAsia="en-GB"/>
              </w:rPr>
              <w:t xml:space="preserve"> period post adoption</w:t>
            </w:r>
          </w:p>
        </w:tc>
        <w:tc>
          <w:tcPr>
            <w:tcW w:w="1417" w:type="dxa"/>
            <w:tcBorders>
              <w:top w:val="nil"/>
              <w:left w:val="nil"/>
              <w:bottom w:val="single" w:sz="4" w:space="0" w:color="auto"/>
              <w:right w:val="single" w:sz="4" w:space="0" w:color="auto"/>
            </w:tcBorders>
            <w:shd w:val="clear" w:color="000000" w:fill="BDD7EE"/>
            <w:noWrap/>
            <w:hideMark/>
          </w:tcPr>
          <w:p w14:paraId="01D9D9B7" w14:textId="77777777" w:rsidR="00A84B00" w:rsidRPr="008971BA" w:rsidRDefault="00A84B00" w:rsidP="006F7399">
            <w:pPr>
              <w:spacing w:after="0" w:line="240" w:lineRule="auto"/>
              <w:jc w:val="right"/>
              <w:rPr>
                <w:rFonts w:eastAsia="Times New Roman" w:cs="Arial"/>
                <w:b/>
                <w:bCs/>
                <w:strike/>
                <w:sz w:val="22"/>
                <w:lang w:eastAsia="en-GB"/>
              </w:rPr>
            </w:pPr>
            <w:r w:rsidRPr="008971BA">
              <w:rPr>
                <w:rFonts w:eastAsia="Times New Roman" w:cs="Arial"/>
                <w:b/>
                <w:bCs/>
                <w:strike/>
                <w:sz w:val="22"/>
                <w:lang w:eastAsia="en-GB"/>
              </w:rPr>
              <w:t>2868</w:t>
            </w:r>
          </w:p>
        </w:tc>
      </w:tr>
      <w:tr w:rsidR="00A84B00" w:rsidRPr="0094675C" w14:paraId="3C156310" w14:textId="77777777" w:rsidTr="007772DE">
        <w:trPr>
          <w:trHeight w:val="560"/>
        </w:trPr>
        <w:tc>
          <w:tcPr>
            <w:tcW w:w="7513" w:type="dxa"/>
            <w:tcBorders>
              <w:top w:val="nil"/>
              <w:left w:val="single" w:sz="4" w:space="0" w:color="auto"/>
              <w:bottom w:val="single" w:sz="4" w:space="0" w:color="auto"/>
              <w:right w:val="single" w:sz="4" w:space="0" w:color="auto"/>
            </w:tcBorders>
            <w:shd w:val="clear" w:color="000000" w:fill="D9D9D9"/>
            <w:hideMark/>
          </w:tcPr>
          <w:p w14:paraId="1D882DB7" w14:textId="77777777" w:rsidR="00A84B00" w:rsidRPr="0094675C" w:rsidRDefault="00A84B00" w:rsidP="006F7399">
            <w:pPr>
              <w:spacing w:after="0" w:line="240" w:lineRule="auto"/>
              <w:jc w:val="left"/>
              <w:rPr>
                <w:rFonts w:eastAsia="Times New Roman" w:cs="Arial"/>
                <w:b/>
                <w:bCs/>
                <w:strike/>
                <w:sz w:val="22"/>
                <w:lang w:eastAsia="en-GB"/>
              </w:rPr>
            </w:pPr>
            <w:r w:rsidRPr="0094675C">
              <w:rPr>
                <w:rFonts w:eastAsia="Times New Roman" w:cs="Arial"/>
                <w:b/>
                <w:bCs/>
                <w:strike/>
                <w:sz w:val="22"/>
                <w:lang w:eastAsia="en-GB"/>
              </w:rPr>
              <w:t xml:space="preserve">Calculation of </w:t>
            </w:r>
            <w:proofErr w:type="gramStart"/>
            <w:r w:rsidRPr="0094675C">
              <w:rPr>
                <w:rFonts w:eastAsia="Times New Roman" w:cs="Arial"/>
                <w:b/>
                <w:bCs/>
                <w:strike/>
                <w:sz w:val="22"/>
                <w:lang w:eastAsia="en-GB"/>
              </w:rPr>
              <w:t>5 year</w:t>
            </w:r>
            <w:proofErr w:type="gramEnd"/>
            <w:r w:rsidRPr="0094675C">
              <w:rPr>
                <w:rFonts w:eastAsia="Times New Roman" w:cs="Arial"/>
                <w:b/>
                <w:bCs/>
                <w:strike/>
                <w:sz w:val="22"/>
                <w:lang w:eastAsia="en-GB"/>
              </w:rPr>
              <w:t xml:space="preserve"> housing land supply</w:t>
            </w:r>
          </w:p>
        </w:tc>
        <w:tc>
          <w:tcPr>
            <w:tcW w:w="1417" w:type="dxa"/>
            <w:tcBorders>
              <w:top w:val="nil"/>
              <w:left w:val="nil"/>
              <w:bottom w:val="single" w:sz="4" w:space="0" w:color="auto"/>
              <w:right w:val="single" w:sz="4" w:space="0" w:color="auto"/>
            </w:tcBorders>
            <w:shd w:val="clear" w:color="000000" w:fill="D9D9D9"/>
            <w:hideMark/>
          </w:tcPr>
          <w:p w14:paraId="0C4E8A1E" w14:textId="77777777" w:rsidR="00A84B00" w:rsidRPr="008971BA" w:rsidRDefault="00A84B00" w:rsidP="006F7399">
            <w:pPr>
              <w:spacing w:after="0" w:line="240" w:lineRule="auto"/>
              <w:jc w:val="right"/>
              <w:rPr>
                <w:rFonts w:eastAsia="Times New Roman" w:cs="Arial"/>
                <w:b/>
                <w:bCs/>
                <w:strike/>
                <w:sz w:val="22"/>
                <w:lang w:eastAsia="en-GB"/>
              </w:rPr>
            </w:pPr>
            <w:r w:rsidRPr="008971BA">
              <w:rPr>
                <w:rFonts w:eastAsia="Times New Roman" w:cs="Arial"/>
                <w:b/>
                <w:bCs/>
                <w:strike/>
                <w:sz w:val="22"/>
                <w:lang w:eastAsia="en-GB"/>
              </w:rPr>
              <w:t>Dwellings/ Years</w:t>
            </w:r>
          </w:p>
        </w:tc>
      </w:tr>
      <w:tr w:rsidR="00A84B00" w:rsidRPr="0094675C" w14:paraId="3E104938" w14:textId="77777777" w:rsidTr="007772DE">
        <w:trPr>
          <w:trHeight w:val="280"/>
        </w:trPr>
        <w:tc>
          <w:tcPr>
            <w:tcW w:w="7513" w:type="dxa"/>
            <w:tcBorders>
              <w:top w:val="nil"/>
              <w:left w:val="single" w:sz="4" w:space="0" w:color="auto"/>
              <w:bottom w:val="single" w:sz="4" w:space="0" w:color="auto"/>
              <w:right w:val="single" w:sz="4" w:space="0" w:color="auto"/>
            </w:tcBorders>
            <w:shd w:val="clear" w:color="000000" w:fill="D9D9D9"/>
            <w:hideMark/>
          </w:tcPr>
          <w:p w14:paraId="1B861F34" w14:textId="77777777" w:rsidR="00A84B00" w:rsidRPr="0094675C" w:rsidRDefault="00A84B00" w:rsidP="006F7399">
            <w:pPr>
              <w:spacing w:after="0" w:line="240" w:lineRule="auto"/>
              <w:jc w:val="left"/>
              <w:rPr>
                <w:rFonts w:eastAsia="Times New Roman" w:cs="Arial"/>
                <w:strike/>
                <w:sz w:val="22"/>
                <w:lang w:eastAsia="en-GB"/>
              </w:rPr>
            </w:pPr>
            <w:r w:rsidRPr="0094675C">
              <w:rPr>
                <w:rFonts w:eastAsia="Times New Roman" w:cs="Arial"/>
                <w:strike/>
                <w:sz w:val="22"/>
                <w:lang w:eastAsia="en-GB"/>
              </w:rPr>
              <w:t xml:space="preserve">Deliverable sites for the </w:t>
            </w:r>
            <w:proofErr w:type="gramStart"/>
            <w:r w:rsidRPr="0094675C">
              <w:rPr>
                <w:rFonts w:eastAsia="Times New Roman" w:cs="Arial"/>
                <w:strike/>
                <w:sz w:val="22"/>
                <w:lang w:eastAsia="en-GB"/>
              </w:rPr>
              <w:t>5 year</w:t>
            </w:r>
            <w:proofErr w:type="gramEnd"/>
            <w:r w:rsidRPr="0094675C">
              <w:rPr>
                <w:rFonts w:eastAsia="Times New Roman" w:cs="Arial"/>
                <w:strike/>
                <w:sz w:val="22"/>
                <w:lang w:eastAsia="en-GB"/>
              </w:rPr>
              <w:t xml:space="preserve"> period</w:t>
            </w:r>
          </w:p>
        </w:tc>
        <w:tc>
          <w:tcPr>
            <w:tcW w:w="1417" w:type="dxa"/>
            <w:tcBorders>
              <w:top w:val="nil"/>
              <w:left w:val="nil"/>
              <w:bottom w:val="single" w:sz="4" w:space="0" w:color="auto"/>
              <w:right w:val="single" w:sz="4" w:space="0" w:color="auto"/>
            </w:tcBorders>
            <w:shd w:val="clear" w:color="000000" w:fill="D9D9D9"/>
            <w:noWrap/>
            <w:hideMark/>
          </w:tcPr>
          <w:p w14:paraId="0367BED3" w14:textId="77777777" w:rsidR="00A84B00" w:rsidRPr="008971BA" w:rsidRDefault="00A84B00" w:rsidP="006F7399">
            <w:pPr>
              <w:spacing w:after="0" w:line="240" w:lineRule="auto"/>
              <w:jc w:val="right"/>
              <w:rPr>
                <w:rFonts w:eastAsia="Times New Roman" w:cs="Arial"/>
                <w:strike/>
                <w:sz w:val="22"/>
                <w:lang w:eastAsia="en-GB"/>
              </w:rPr>
            </w:pPr>
            <w:r w:rsidRPr="008971BA">
              <w:rPr>
                <w:rFonts w:eastAsia="Times New Roman" w:cs="Arial"/>
                <w:strike/>
                <w:sz w:val="22"/>
                <w:lang w:eastAsia="en-GB"/>
              </w:rPr>
              <w:t>2868</w:t>
            </w:r>
          </w:p>
        </w:tc>
      </w:tr>
      <w:tr w:rsidR="00A84B00" w:rsidRPr="0094675C" w14:paraId="703963E4" w14:textId="77777777" w:rsidTr="007772DE">
        <w:trPr>
          <w:trHeight w:val="280"/>
        </w:trPr>
        <w:tc>
          <w:tcPr>
            <w:tcW w:w="7513" w:type="dxa"/>
            <w:tcBorders>
              <w:top w:val="nil"/>
              <w:left w:val="single" w:sz="4" w:space="0" w:color="auto"/>
              <w:bottom w:val="single" w:sz="4" w:space="0" w:color="auto"/>
              <w:right w:val="single" w:sz="4" w:space="0" w:color="auto"/>
            </w:tcBorders>
            <w:shd w:val="clear" w:color="000000" w:fill="D9D9D9"/>
            <w:hideMark/>
          </w:tcPr>
          <w:p w14:paraId="11D5B566" w14:textId="77777777" w:rsidR="00A84B00" w:rsidRPr="0094675C" w:rsidRDefault="00A84B00" w:rsidP="006F7399">
            <w:pPr>
              <w:spacing w:after="0" w:line="240" w:lineRule="auto"/>
              <w:jc w:val="left"/>
              <w:rPr>
                <w:rFonts w:eastAsia="Times New Roman" w:cs="Arial"/>
                <w:strike/>
                <w:sz w:val="22"/>
                <w:lang w:eastAsia="en-GB"/>
              </w:rPr>
            </w:pPr>
            <w:r w:rsidRPr="0094675C">
              <w:rPr>
                <w:rFonts w:eastAsia="Times New Roman" w:cs="Arial"/>
                <w:strike/>
                <w:sz w:val="22"/>
                <w:lang w:eastAsia="en-GB"/>
              </w:rPr>
              <w:t>Divided by annual requirement for next 5 years</w:t>
            </w:r>
          </w:p>
        </w:tc>
        <w:tc>
          <w:tcPr>
            <w:tcW w:w="1417" w:type="dxa"/>
            <w:tcBorders>
              <w:top w:val="nil"/>
              <w:left w:val="nil"/>
              <w:bottom w:val="single" w:sz="4" w:space="0" w:color="auto"/>
              <w:right w:val="single" w:sz="4" w:space="0" w:color="auto"/>
            </w:tcBorders>
            <w:shd w:val="clear" w:color="000000" w:fill="D9D9D9"/>
            <w:noWrap/>
            <w:hideMark/>
          </w:tcPr>
          <w:p w14:paraId="4E9CCB8B" w14:textId="08E2B1FC" w:rsidR="00A84B00" w:rsidRPr="008971BA" w:rsidRDefault="00A84B00" w:rsidP="006F7399">
            <w:pPr>
              <w:spacing w:after="0" w:line="240" w:lineRule="auto"/>
              <w:jc w:val="right"/>
              <w:rPr>
                <w:rFonts w:eastAsia="Times New Roman" w:cs="Arial"/>
                <w:strike/>
                <w:sz w:val="22"/>
                <w:lang w:eastAsia="en-GB"/>
              </w:rPr>
            </w:pPr>
            <w:r w:rsidRPr="008971BA">
              <w:rPr>
                <w:rFonts w:eastAsia="Times New Roman" w:cs="Arial"/>
                <w:strike/>
                <w:sz w:val="22"/>
                <w:lang w:eastAsia="en-GB"/>
              </w:rPr>
              <w:t>528</w:t>
            </w:r>
            <w:r w:rsidR="00464D10" w:rsidRPr="008971BA">
              <w:rPr>
                <w:rFonts w:eastAsia="Times New Roman" w:cs="Arial"/>
                <w:strike/>
                <w:sz w:val="22"/>
                <w:lang w:eastAsia="en-GB"/>
              </w:rPr>
              <w:t xml:space="preserve"> 543</w:t>
            </w:r>
          </w:p>
        </w:tc>
      </w:tr>
      <w:tr w:rsidR="00A84B00" w:rsidRPr="0094675C" w14:paraId="6B0A14BB" w14:textId="77777777" w:rsidTr="007772DE">
        <w:trPr>
          <w:trHeight w:val="403"/>
        </w:trPr>
        <w:tc>
          <w:tcPr>
            <w:tcW w:w="7513" w:type="dxa"/>
            <w:tcBorders>
              <w:top w:val="nil"/>
              <w:left w:val="single" w:sz="4" w:space="0" w:color="auto"/>
              <w:bottom w:val="single" w:sz="4" w:space="0" w:color="auto"/>
              <w:right w:val="single" w:sz="4" w:space="0" w:color="auto"/>
            </w:tcBorders>
            <w:shd w:val="clear" w:color="000000" w:fill="D9D9D9"/>
            <w:hideMark/>
          </w:tcPr>
          <w:p w14:paraId="64BA1E35" w14:textId="77777777" w:rsidR="00A84B00" w:rsidRPr="0094675C" w:rsidRDefault="00A84B00" w:rsidP="006F7399">
            <w:pPr>
              <w:spacing w:after="0" w:line="240" w:lineRule="auto"/>
              <w:jc w:val="left"/>
              <w:rPr>
                <w:rFonts w:eastAsia="Times New Roman" w:cs="Arial"/>
                <w:strike/>
                <w:sz w:val="22"/>
                <w:lang w:eastAsia="en-GB"/>
              </w:rPr>
            </w:pPr>
            <w:r w:rsidRPr="0094675C">
              <w:rPr>
                <w:rFonts w:eastAsia="Times New Roman" w:cs="Arial"/>
                <w:strike/>
                <w:sz w:val="22"/>
                <w:lang w:eastAsia="en-GB"/>
              </w:rPr>
              <w:t>Equates in years to</w:t>
            </w:r>
          </w:p>
        </w:tc>
        <w:tc>
          <w:tcPr>
            <w:tcW w:w="1417" w:type="dxa"/>
            <w:tcBorders>
              <w:top w:val="nil"/>
              <w:left w:val="nil"/>
              <w:bottom w:val="single" w:sz="4" w:space="0" w:color="auto"/>
              <w:right w:val="single" w:sz="4" w:space="0" w:color="auto"/>
            </w:tcBorders>
            <w:shd w:val="clear" w:color="000000" w:fill="D9D9D9"/>
            <w:noWrap/>
            <w:hideMark/>
          </w:tcPr>
          <w:p w14:paraId="5325C52C" w14:textId="6A8E57D0" w:rsidR="00A84B00" w:rsidRPr="008971BA" w:rsidRDefault="00A84B00" w:rsidP="006F7399">
            <w:pPr>
              <w:spacing w:after="0" w:line="240" w:lineRule="auto"/>
              <w:jc w:val="right"/>
              <w:rPr>
                <w:rFonts w:eastAsia="Times New Roman" w:cs="Arial"/>
                <w:b/>
                <w:bCs/>
                <w:strike/>
                <w:sz w:val="22"/>
                <w:lang w:eastAsia="en-GB"/>
              </w:rPr>
            </w:pPr>
            <w:r w:rsidRPr="008971BA">
              <w:rPr>
                <w:rFonts w:eastAsia="Times New Roman" w:cs="Arial"/>
                <w:b/>
                <w:bCs/>
                <w:strike/>
                <w:sz w:val="22"/>
                <w:lang w:eastAsia="en-GB"/>
              </w:rPr>
              <w:t>5.43</w:t>
            </w:r>
            <w:r w:rsidR="00464D10" w:rsidRPr="008971BA">
              <w:rPr>
                <w:rFonts w:eastAsia="Times New Roman" w:cs="Arial"/>
                <w:b/>
                <w:bCs/>
                <w:strike/>
                <w:sz w:val="22"/>
                <w:lang w:eastAsia="en-GB"/>
              </w:rPr>
              <w:t xml:space="preserve"> 5.29</w:t>
            </w:r>
          </w:p>
        </w:tc>
      </w:tr>
      <w:tr w:rsidR="00A84B00" w:rsidRPr="0094675C" w14:paraId="0BBEE222" w14:textId="77777777" w:rsidTr="007772DE">
        <w:trPr>
          <w:trHeight w:val="423"/>
        </w:trPr>
        <w:tc>
          <w:tcPr>
            <w:tcW w:w="7513" w:type="dxa"/>
            <w:tcBorders>
              <w:top w:val="nil"/>
              <w:left w:val="single" w:sz="4" w:space="0" w:color="auto"/>
              <w:bottom w:val="single" w:sz="4" w:space="0" w:color="auto"/>
              <w:right w:val="single" w:sz="4" w:space="0" w:color="auto"/>
            </w:tcBorders>
            <w:shd w:val="clear" w:color="000000" w:fill="D9D9D9"/>
            <w:hideMark/>
          </w:tcPr>
          <w:p w14:paraId="7CCA2B69" w14:textId="77777777" w:rsidR="00A84B00" w:rsidRPr="0094675C" w:rsidRDefault="00A84B00" w:rsidP="006F7399">
            <w:pPr>
              <w:spacing w:after="0" w:line="240" w:lineRule="auto"/>
              <w:jc w:val="left"/>
              <w:rPr>
                <w:rFonts w:eastAsia="Times New Roman" w:cs="Arial"/>
                <w:strike/>
                <w:sz w:val="22"/>
                <w:lang w:eastAsia="en-GB"/>
              </w:rPr>
            </w:pPr>
            <w:r w:rsidRPr="0094675C">
              <w:rPr>
                <w:rFonts w:eastAsia="Times New Roman" w:cs="Arial"/>
                <w:strike/>
                <w:sz w:val="22"/>
                <w:lang w:eastAsia="en-GB"/>
              </w:rPr>
              <w:t>Oversupply (+) or undersupply (-) of deliverable dwellings</w:t>
            </w:r>
          </w:p>
        </w:tc>
        <w:tc>
          <w:tcPr>
            <w:tcW w:w="1417" w:type="dxa"/>
            <w:tcBorders>
              <w:top w:val="nil"/>
              <w:left w:val="nil"/>
              <w:bottom w:val="single" w:sz="4" w:space="0" w:color="auto"/>
              <w:right w:val="single" w:sz="4" w:space="0" w:color="auto"/>
            </w:tcBorders>
            <w:shd w:val="clear" w:color="000000" w:fill="D9D9D9"/>
            <w:noWrap/>
            <w:hideMark/>
          </w:tcPr>
          <w:p w14:paraId="72F0677C" w14:textId="20A373EB" w:rsidR="00A84B00" w:rsidRPr="008971BA" w:rsidRDefault="00A84B00" w:rsidP="006F7399">
            <w:pPr>
              <w:spacing w:after="0" w:line="240" w:lineRule="auto"/>
              <w:jc w:val="right"/>
              <w:rPr>
                <w:rFonts w:eastAsia="Times New Roman" w:cs="Arial"/>
                <w:b/>
                <w:bCs/>
                <w:strike/>
                <w:sz w:val="22"/>
                <w:lang w:eastAsia="en-GB"/>
              </w:rPr>
            </w:pPr>
            <w:r w:rsidRPr="008971BA">
              <w:rPr>
                <w:rFonts w:eastAsia="Times New Roman" w:cs="Arial"/>
                <w:b/>
                <w:bCs/>
                <w:strike/>
                <w:sz w:val="22"/>
                <w:lang w:eastAsia="en-GB"/>
              </w:rPr>
              <w:t>+229</w:t>
            </w:r>
            <w:r w:rsidR="00464D10" w:rsidRPr="008971BA">
              <w:rPr>
                <w:rFonts w:eastAsia="Times New Roman" w:cs="Arial"/>
                <w:b/>
                <w:bCs/>
                <w:strike/>
                <w:sz w:val="22"/>
                <w:lang w:eastAsia="en-GB"/>
              </w:rPr>
              <w:t xml:space="preserve"> 155</w:t>
            </w:r>
          </w:p>
        </w:tc>
      </w:tr>
    </w:tbl>
    <w:p w14:paraId="1C7C4DBD" w14:textId="77777777" w:rsidR="000F516E" w:rsidRDefault="000F516E"/>
    <w:p w14:paraId="3CC79849" w14:textId="761C4C95" w:rsidR="004240EC" w:rsidRDefault="008971BA" w:rsidP="004D10A4">
      <w:pPr>
        <w:ind w:left="720" w:hanging="720"/>
        <w:jc w:val="left"/>
        <w:rPr>
          <w:color w:val="A02B93" w:themeColor="accent5"/>
        </w:rPr>
      </w:pPr>
      <w:r w:rsidRPr="008971BA">
        <w:rPr>
          <w:color w:val="A02B93" w:themeColor="accent5"/>
        </w:rPr>
        <w:lastRenderedPageBreak/>
        <w:t>2.7.1</w:t>
      </w:r>
      <w:r w:rsidRPr="008971BA">
        <w:rPr>
          <w:color w:val="A02B93" w:themeColor="accent5"/>
        </w:rPr>
        <w:tab/>
      </w:r>
      <w:r w:rsidR="004240EC">
        <w:rPr>
          <w:color w:val="A02B93" w:themeColor="accent5"/>
        </w:rPr>
        <w:t xml:space="preserve">The latest Housing Delivery Test results were published in December 2024 and indicate an improving picture for Ashfield at 86%. As a consequence, the NPPF requirement to apply a 20% buffer in the 5 </w:t>
      </w:r>
      <w:r w:rsidR="004D10A4">
        <w:rPr>
          <w:color w:val="A02B93" w:themeColor="accent5"/>
        </w:rPr>
        <w:t>Y</w:t>
      </w:r>
      <w:r w:rsidR="004240EC">
        <w:rPr>
          <w:color w:val="A02B93" w:themeColor="accent5"/>
        </w:rPr>
        <w:t xml:space="preserve">ear </w:t>
      </w:r>
      <w:r w:rsidR="004D10A4">
        <w:rPr>
          <w:color w:val="A02B93" w:themeColor="accent5"/>
        </w:rPr>
        <w:t>H</w:t>
      </w:r>
      <w:r w:rsidR="004240EC">
        <w:rPr>
          <w:color w:val="A02B93" w:themeColor="accent5"/>
        </w:rPr>
        <w:t xml:space="preserve">ousing </w:t>
      </w:r>
      <w:r w:rsidR="004D10A4">
        <w:rPr>
          <w:color w:val="A02B93" w:themeColor="accent5"/>
        </w:rPr>
        <w:t>Land S</w:t>
      </w:r>
      <w:r w:rsidR="004240EC">
        <w:rPr>
          <w:color w:val="A02B93" w:themeColor="accent5"/>
        </w:rPr>
        <w:t xml:space="preserve">upply (moved forward from later in the Plan period) no longer </w:t>
      </w:r>
      <w:r w:rsidR="004D10A4">
        <w:rPr>
          <w:color w:val="A02B93" w:themeColor="accent5"/>
        </w:rPr>
        <w:t>applies and</w:t>
      </w:r>
      <w:r w:rsidR="004240EC">
        <w:rPr>
          <w:color w:val="A02B93" w:themeColor="accent5"/>
        </w:rPr>
        <w:t xml:space="preserve"> instead reverts to the standard 5% buffer. </w:t>
      </w:r>
    </w:p>
    <w:p w14:paraId="70F6761D" w14:textId="6658CF9E" w:rsidR="004D10A4" w:rsidRDefault="004240EC" w:rsidP="004D10A4">
      <w:pPr>
        <w:ind w:left="720" w:hanging="720"/>
        <w:jc w:val="left"/>
        <w:rPr>
          <w:color w:val="A02B93" w:themeColor="accent5"/>
        </w:rPr>
      </w:pPr>
      <w:r>
        <w:rPr>
          <w:color w:val="A02B93" w:themeColor="accent5"/>
        </w:rPr>
        <w:t>2.7.2</w:t>
      </w:r>
      <w:r w:rsidR="00AB0367">
        <w:rPr>
          <w:color w:val="A02B93" w:themeColor="accent5"/>
        </w:rPr>
        <w:tab/>
      </w:r>
      <w:r w:rsidR="004D10A4">
        <w:rPr>
          <w:color w:val="A02B93" w:themeColor="accent5"/>
        </w:rPr>
        <w:t>It is also important to note that the position in respect of housing completions, commitments and proposed allocations has changed over the two years since the Local Plan [SD.01] was prepared. As such, the Council have revised the calculations in respect of the 5YHLS</w:t>
      </w:r>
      <w:r w:rsidR="00CF0B7D">
        <w:rPr>
          <w:color w:val="A02B93" w:themeColor="accent5"/>
        </w:rPr>
        <w:t>,</w:t>
      </w:r>
      <w:r w:rsidR="004D10A4">
        <w:rPr>
          <w:color w:val="A02B93" w:themeColor="accent5"/>
        </w:rPr>
        <w:t xml:space="preserve"> trajectories</w:t>
      </w:r>
      <w:r w:rsidR="00CF0B7D">
        <w:rPr>
          <w:color w:val="A02B93" w:themeColor="accent5"/>
        </w:rPr>
        <w:t xml:space="preserve"> and overall </w:t>
      </w:r>
      <w:r w:rsidR="00AB0367">
        <w:rPr>
          <w:color w:val="A02B93" w:themeColor="accent5"/>
        </w:rPr>
        <w:t>housing supply</w:t>
      </w:r>
      <w:r w:rsidR="00CF0B7D">
        <w:rPr>
          <w:color w:val="A02B93" w:themeColor="accent5"/>
        </w:rPr>
        <w:t xml:space="preserve"> (see response at para. 2.7.7)</w:t>
      </w:r>
      <w:r w:rsidR="004D10A4">
        <w:rPr>
          <w:color w:val="A02B93" w:themeColor="accent5"/>
        </w:rPr>
        <w:t xml:space="preserve"> to present the most up to date position.</w:t>
      </w:r>
    </w:p>
    <w:p w14:paraId="26FBCBCD" w14:textId="5D6CFC22" w:rsidR="008971BA" w:rsidRDefault="004D10A4" w:rsidP="004D10A4">
      <w:pPr>
        <w:ind w:left="720" w:hanging="720"/>
        <w:jc w:val="left"/>
        <w:rPr>
          <w:color w:val="A02B93" w:themeColor="accent5"/>
        </w:rPr>
      </w:pPr>
      <w:r>
        <w:rPr>
          <w:color w:val="A02B93" w:themeColor="accent5"/>
        </w:rPr>
        <w:t xml:space="preserve"> 2.7.3</w:t>
      </w:r>
      <w:r>
        <w:rPr>
          <w:color w:val="A02B93" w:themeColor="accent5"/>
        </w:rPr>
        <w:tab/>
      </w:r>
      <w:r w:rsidR="00CF0B7D">
        <w:rPr>
          <w:color w:val="A02B93" w:themeColor="accent5"/>
        </w:rPr>
        <w:t>Notably, t</w:t>
      </w:r>
      <w:r>
        <w:rPr>
          <w:color w:val="A02B93" w:themeColor="accent5"/>
        </w:rPr>
        <w:t xml:space="preserve">he Housing Land Monitoring Report 2025 [ADC.13] </w:t>
      </w:r>
      <w:r w:rsidR="008971BA" w:rsidRPr="008971BA">
        <w:rPr>
          <w:color w:val="A02B93" w:themeColor="accent5"/>
        </w:rPr>
        <w:t xml:space="preserve">illustrates </w:t>
      </w:r>
      <w:r>
        <w:rPr>
          <w:color w:val="A02B93" w:themeColor="accent5"/>
        </w:rPr>
        <w:t xml:space="preserve">that there was </w:t>
      </w:r>
      <w:r w:rsidR="008971BA" w:rsidRPr="008971BA">
        <w:rPr>
          <w:color w:val="A02B93" w:themeColor="accent5"/>
        </w:rPr>
        <w:t xml:space="preserve">no </w:t>
      </w:r>
      <w:r>
        <w:rPr>
          <w:color w:val="A02B93" w:themeColor="accent5"/>
        </w:rPr>
        <w:t>u</w:t>
      </w:r>
      <w:r w:rsidR="008971BA" w:rsidRPr="008971BA">
        <w:rPr>
          <w:color w:val="A02B93" w:themeColor="accent5"/>
        </w:rPr>
        <w:t xml:space="preserve">nder </w:t>
      </w:r>
      <w:r>
        <w:rPr>
          <w:color w:val="A02B93" w:themeColor="accent5"/>
        </w:rPr>
        <w:t>delivery</w:t>
      </w:r>
      <w:r w:rsidR="008971BA" w:rsidRPr="008971BA">
        <w:rPr>
          <w:color w:val="A02B93" w:themeColor="accent5"/>
        </w:rPr>
        <w:t xml:space="preserve"> </w:t>
      </w:r>
      <w:r>
        <w:rPr>
          <w:color w:val="A02B93" w:themeColor="accent5"/>
        </w:rPr>
        <w:t xml:space="preserve">for the period 2023-2025 </w:t>
      </w:r>
      <w:r w:rsidR="008971BA" w:rsidRPr="008971BA">
        <w:rPr>
          <w:color w:val="A02B93" w:themeColor="accent5"/>
        </w:rPr>
        <w:t>(previously assumed based on trajectory estimates).</w:t>
      </w:r>
    </w:p>
    <w:p w14:paraId="0FE12E8E" w14:textId="22669928" w:rsidR="00CF0B7D" w:rsidRDefault="00CF0B7D" w:rsidP="004D10A4">
      <w:pPr>
        <w:ind w:left="720" w:hanging="720"/>
        <w:jc w:val="left"/>
        <w:rPr>
          <w:color w:val="A02B93" w:themeColor="accent5"/>
        </w:rPr>
      </w:pPr>
      <w:r>
        <w:rPr>
          <w:color w:val="A02B93" w:themeColor="accent5"/>
        </w:rPr>
        <w:t>2.7.4</w:t>
      </w:r>
      <w:r>
        <w:rPr>
          <w:color w:val="A02B93" w:themeColor="accent5"/>
        </w:rPr>
        <w:tab/>
        <w:t>The 5YHLS is discussed further at Matter 9 (Qu. 9.7).</w:t>
      </w:r>
    </w:p>
    <w:p w14:paraId="130F9A14" w14:textId="77777777" w:rsidR="004240EC" w:rsidRPr="008971BA" w:rsidRDefault="004240EC" w:rsidP="008971BA">
      <w:pPr>
        <w:ind w:left="720" w:hanging="720"/>
        <w:rPr>
          <w:color w:val="A02B93" w:themeColor="accent5"/>
        </w:rPr>
      </w:pPr>
    </w:p>
    <w:p w14:paraId="74BC501B" w14:textId="529BE2C1" w:rsidR="000122FC" w:rsidRPr="00053C77" w:rsidRDefault="000122FC" w:rsidP="00C13C2C">
      <w:pPr>
        <w:pStyle w:val="Heading3"/>
        <w:rPr>
          <w:rFonts w:eastAsiaTheme="majorEastAsia" w:cstheme="majorBidi"/>
          <w:color w:val="A02B93" w:themeColor="accent5"/>
          <w:sz w:val="28"/>
          <w:szCs w:val="28"/>
        </w:rPr>
      </w:pPr>
      <w:r w:rsidRPr="00053C77">
        <w:rPr>
          <w:color w:val="A02B93" w:themeColor="accent5"/>
        </w:rPr>
        <w:t>2.7(.1) Would the proposed additional sites put forward by the Council provide sufficient capacity to address the housing shortfall over the plan period?</w:t>
      </w:r>
    </w:p>
    <w:p w14:paraId="72EAF6E1" w14:textId="77777777" w:rsidR="00A32EA0" w:rsidRPr="00053C77" w:rsidRDefault="00E1633E" w:rsidP="00A32EA0">
      <w:pPr>
        <w:pStyle w:val="ListParagraph"/>
        <w:numPr>
          <w:ilvl w:val="1"/>
          <w:numId w:val="0"/>
        </w:numPr>
        <w:ind w:left="709" w:hanging="709"/>
        <w:jc w:val="left"/>
        <w:rPr>
          <w:rFonts w:ascii="Helvetica" w:hAnsi="Helvetica" w:cs="Helvetica"/>
          <w:color w:val="A02B93" w:themeColor="accent5"/>
          <w:szCs w:val="24"/>
          <w14:ligatures w14:val="standardContextual"/>
        </w:rPr>
      </w:pPr>
      <w:r w:rsidRPr="00053C77">
        <w:rPr>
          <w:color w:val="A02B93" w:themeColor="accent5"/>
        </w:rPr>
        <w:t>2.7.5</w:t>
      </w:r>
      <w:r w:rsidRPr="00053C77">
        <w:rPr>
          <w:color w:val="A02B93" w:themeColor="accent5"/>
        </w:rPr>
        <w:tab/>
        <w:t>Yes</w:t>
      </w:r>
      <w:r w:rsidR="00A32EA0" w:rsidRPr="00053C77">
        <w:rPr>
          <w:color w:val="A02B93" w:themeColor="accent5"/>
        </w:rPr>
        <w:t>.</w:t>
      </w:r>
      <w:r w:rsidR="00A32EA0" w:rsidRPr="00053C77">
        <w:rPr>
          <w:rFonts w:ascii="Helvetica" w:hAnsi="Helvetica" w:cs="Helvetica"/>
          <w:color w:val="A02B93" w:themeColor="accent5"/>
          <w:szCs w:val="24"/>
          <w14:ligatures w14:val="standardContextual"/>
        </w:rPr>
        <w:t xml:space="preserve"> The Inspector’s interim findings referred to the overall supply of housing in the submitted Local Plan 2023-2040. This identified a shortfall of 882 dwellings against an identified need figure of 7582 dwellings and was based on the most up to date housing monitoring data (April 2023) alongside new proposed sites at the point of submission.</w:t>
      </w:r>
    </w:p>
    <w:p w14:paraId="23367549" w14:textId="77777777" w:rsidR="00A32EA0" w:rsidRPr="00053C77" w:rsidRDefault="00A32EA0" w:rsidP="00A32EA0">
      <w:pPr>
        <w:pStyle w:val="ListParagraph"/>
        <w:numPr>
          <w:ilvl w:val="1"/>
          <w:numId w:val="0"/>
        </w:numPr>
        <w:ind w:left="709" w:hanging="709"/>
        <w:jc w:val="left"/>
        <w:rPr>
          <w:rFonts w:ascii="Helvetica" w:hAnsi="Helvetica" w:cs="Helvetica"/>
          <w:color w:val="A02B93" w:themeColor="accent5"/>
          <w:szCs w:val="24"/>
          <w14:ligatures w14:val="standardContextual"/>
        </w:rPr>
      </w:pPr>
    </w:p>
    <w:p w14:paraId="01F0A347" w14:textId="77777777" w:rsidR="00A32EA0" w:rsidRPr="00053C77" w:rsidRDefault="00A32EA0" w:rsidP="00A32EA0">
      <w:pPr>
        <w:pStyle w:val="ListParagraph"/>
        <w:numPr>
          <w:ilvl w:val="1"/>
          <w:numId w:val="0"/>
        </w:numPr>
        <w:ind w:left="709" w:hanging="709"/>
        <w:jc w:val="left"/>
        <w:rPr>
          <w:rFonts w:ascii="Helvetica" w:hAnsi="Helvetica" w:cs="Helvetica"/>
          <w:color w:val="A02B93" w:themeColor="accent5"/>
          <w:szCs w:val="24"/>
          <w14:ligatures w14:val="standardContextual"/>
        </w:rPr>
      </w:pPr>
      <w:r w:rsidRPr="00053C77">
        <w:rPr>
          <w:rFonts w:ascii="Helvetica" w:hAnsi="Helvetica" w:cs="Helvetica"/>
          <w:color w:val="A02B93" w:themeColor="accent5"/>
          <w:szCs w:val="24"/>
          <w14:ligatures w14:val="standardContextual"/>
        </w:rPr>
        <w:t>2.7.6</w:t>
      </w:r>
      <w:r w:rsidRPr="00053C77">
        <w:rPr>
          <w:rFonts w:ascii="Helvetica" w:hAnsi="Helvetica" w:cs="Helvetica"/>
          <w:color w:val="A02B93" w:themeColor="accent5"/>
          <w:szCs w:val="24"/>
          <w14:ligatures w14:val="standardContextual"/>
        </w:rPr>
        <w:tab/>
        <w:t>In addition to the inclusion of the 13 new proposed housing allocations, it is important to note that up to date information for housing monitoring is published annually, with a base date of 1st April each year. As such, the most recent publicly available information is dated April 2025 and includes any completions, changes to yield, or new permissions since April 2023.</w:t>
      </w:r>
    </w:p>
    <w:p w14:paraId="31F41F13" w14:textId="77777777" w:rsidR="00A32EA0" w:rsidRPr="00053C77" w:rsidRDefault="00A32EA0" w:rsidP="00A32EA0">
      <w:pPr>
        <w:pStyle w:val="ListParagraph"/>
        <w:numPr>
          <w:ilvl w:val="1"/>
          <w:numId w:val="0"/>
        </w:numPr>
        <w:ind w:left="709" w:hanging="709"/>
        <w:jc w:val="left"/>
        <w:rPr>
          <w:rFonts w:ascii="Helvetica" w:hAnsi="Helvetica" w:cs="Helvetica"/>
          <w:color w:val="A02B93" w:themeColor="accent5"/>
          <w:szCs w:val="24"/>
          <w14:ligatures w14:val="standardContextual"/>
        </w:rPr>
      </w:pPr>
    </w:p>
    <w:p w14:paraId="5D4B5118" w14:textId="43B01A7D" w:rsidR="006E0AD6" w:rsidRPr="00053C77" w:rsidRDefault="00A32EA0" w:rsidP="00A32EA0">
      <w:pPr>
        <w:pStyle w:val="ListParagraph"/>
        <w:numPr>
          <w:ilvl w:val="1"/>
          <w:numId w:val="0"/>
        </w:numPr>
        <w:ind w:left="709" w:hanging="709"/>
        <w:jc w:val="left"/>
        <w:rPr>
          <w:rFonts w:ascii="Helvetica" w:hAnsi="Helvetica" w:cs="Helvetica"/>
          <w:color w:val="A02B93" w:themeColor="accent5"/>
          <w:szCs w:val="24"/>
          <w14:ligatures w14:val="standardContextual"/>
        </w:rPr>
      </w:pPr>
      <w:r w:rsidRPr="00053C77">
        <w:rPr>
          <w:rFonts w:ascii="Helvetica" w:hAnsi="Helvetica" w:cs="Helvetica"/>
          <w:color w:val="A02B93" w:themeColor="accent5"/>
          <w:szCs w:val="24"/>
          <w14:ligatures w14:val="standardContextual"/>
        </w:rPr>
        <w:t>2.7.7</w:t>
      </w:r>
      <w:r w:rsidRPr="00053C77">
        <w:rPr>
          <w:rFonts w:ascii="Helvetica" w:hAnsi="Helvetica" w:cs="Helvetica"/>
          <w:color w:val="A02B93" w:themeColor="accent5"/>
          <w:szCs w:val="24"/>
          <w14:ligatures w14:val="standardContextual"/>
        </w:rPr>
        <w:tab/>
        <w:t>The housing allocations have subsequently been revised accordingly to give a more accurate position in respect of future housing supply. This also includes any changes to yields on non-permissioned sites where additional information has been received by the Council</w:t>
      </w:r>
      <w:r w:rsidR="006E0AD6" w:rsidRPr="00053C77">
        <w:rPr>
          <w:rFonts w:ascii="Helvetica" w:hAnsi="Helvetica" w:cs="Helvetica"/>
          <w:color w:val="A02B93" w:themeColor="accent5"/>
          <w:szCs w:val="24"/>
          <w14:ligatures w14:val="standardContextual"/>
        </w:rPr>
        <w:t>, and where any s106 agreement has been signed since 1</w:t>
      </w:r>
      <w:r w:rsidR="006E0AD6" w:rsidRPr="00053C77">
        <w:rPr>
          <w:rFonts w:ascii="Helvetica" w:hAnsi="Helvetica" w:cs="Helvetica"/>
          <w:color w:val="A02B93" w:themeColor="accent5"/>
          <w:szCs w:val="24"/>
          <w:vertAlign w:val="superscript"/>
          <w14:ligatures w14:val="standardContextual"/>
        </w:rPr>
        <w:t>St</w:t>
      </w:r>
      <w:r w:rsidR="006E0AD6" w:rsidRPr="00053C77">
        <w:rPr>
          <w:rFonts w:ascii="Helvetica" w:hAnsi="Helvetica" w:cs="Helvetica"/>
          <w:color w:val="A02B93" w:themeColor="accent5"/>
          <w:szCs w:val="24"/>
          <w14:ligatures w14:val="standardContextual"/>
        </w:rPr>
        <w:t xml:space="preserve"> April 2025. The table below illustrates the most up to date position in respect of housing requirement and supply over the Local Plan period. This </w:t>
      </w:r>
      <w:r w:rsidR="006326D9" w:rsidRPr="00053C77">
        <w:rPr>
          <w:rFonts w:ascii="Helvetica" w:hAnsi="Helvetica" w:cs="Helvetica"/>
          <w:color w:val="A02B93" w:themeColor="accent5"/>
          <w:szCs w:val="24"/>
          <w14:ligatures w14:val="standardContextual"/>
        </w:rPr>
        <w:t>supersedes</w:t>
      </w:r>
      <w:r w:rsidR="006E0AD6" w:rsidRPr="00053C77">
        <w:rPr>
          <w:rFonts w:ascii="Helvetica" w:hAnsi="Helvetica" w:cs="Helvetica"/>
          <w:color w:val="A02B93" w:themeColor="accent5"/>
          <w:szCs w:val="24"/>
          <w14:ligatures w14:val="standardContextual"/>
        </w:rPr>
        <w:t xml:space="preserve"> Table </w:t>
      </w:r>
      <w:r w:rsidR="00B21AF6" w:rsidRPr="00053C77">
        <w:rPr>
          <w:rFonts w:ascii="Helvetica" w:hAnsi="Helvetica" w:cs="Helvetica"/>
          <w:color w:val="A02B93" w:themeColor="accent5"/>
          <w:szCs w:val="24"/>
          <w14:ligatures w14:val="standardContextual"/>
        </w:rPr>
        <w:t>2 in the submitted Local Plan, and Table B in the Housing Land Supply Position Statement</w:t>
      </w:r>
      <w:r w:rsidR="006326D9" w:rsidRPr="00053C77">
        <w:rPr>
          <w:rFonts w:ascii="Helvetica" w:hAnsi="Helvetica" w:cs="Helvetica"/>
          <w:color w:val="A02B93" w:themeColor="accent5"/>
          <w:szCs w:val="24"/>
          <w14:ligatures w14:val="standardContextual"/>
        </w:rPr>
        <w:t>.</w:t>
      </w:r>
    </w:p>
    <w:p w14:paraId="2EEDF4F8" w14:textId="7821D3DC" w:rsidR="00AB0367" w:rsidRDefault="00AB0367">
      <w:pPr>
        <w:rPr>
          <w:rFonts w:ascii="Helvetica" w:hAnsi="Helvetica" w:cs="Helvetica"/>
          <w:color w:val="A02B93" w:themeColor="accent5"/>
          <w:szCs w:val="24"/>
          <w14:ligatures w14:val="standardContextual"/>
        </w:rPr>
      </w:pPr>
      <w:r>
        <w:rPr>
          <w:rFonts w:ascii="Helvetica" w:hAnsi="Helvetica" w:cs="Helvetica"/>
          <w:color w:val="A02B93" w:themeColor="accent5"/>
          <w:szCs w:val="24"/>
          <w14:ligatures w14:val="standardContextual"/>
        </w:rPr>
        <w:br w:type="page"/>
      </w:r>
    </w:p>
    <w:tbl>
      <w:tblPr>
        <w:tblW w:w="9200" w:type="dxa"/>
        <w:tblInd w:w="567" w:type="dxa"/>
        <w:tblLook w:val="04A0" w:firstRow="1" w:lastRow="0" w:firstColumn="1" w:lastColumn="0" w:noHBand="0" w:noVBand="1"/>
      </w:tblPr>
      <w:tblGrid>
        <w:gridCol w:w="7840"/>
        <w:gridCol w:w="1360"/>
      </w:tblGrid>
      <w:tr w:rsidR="00053C77" w:rsidRPr="00053C77" w14:paraId="30BBE9C6" w14:textId="77777777" w:rsidTr="006E0AD6">
        <w:trPr>
          <w:trHeight w:val="672"/>
        </w:trPr>
        <w:tc>
          <w:tcPr>
            <w:tcW w:w="7840" w:type="dxa"/>
            <w:tcBorders>
              <w:top w:val="nil"/>
              <w:left w:val="nil"/>
              <w:bottom w:val="nil"/>
              <w:right w:val="nil"/>
            </w:tcBorders>
            <w:noWrap/>
            <w:vAlign w:val="center"/>
            <w:hideMark/>
          </w:tcPr>
          <w:p w14:paraId="75F7FF53" w14:textId="342FC889" w:rsidR="006E0AD6" w:rsidRPr="00053C77" w:rsidRDefault="006E0AD6" w:rsidP="006E0AD6">
            <w:pPr>
              <w:spacing w:after="0" w:line="240" w:lineRule="auto"/>
              <w:ind w:hanging="113"/>
              <w:jc w:val="left"/>
              <w:rPr>
                <w:rFonts w:eastAsia="Times New Roman" w:cs="Arial"/>
                <w:b/>
                <w:bCs/>
                <w:color w:val="A02B93" w:themeColor="accent5"/>
                <w:szCs w:val="24"/>
                <w:lang w:eastAsia="en-GB"/>
              </w:rPr>
            </w:pPr>
            <w:r w:rsidRPr="00053C77">
              <w:rPr>
                <w:rFonts w:eastAsia="Times New Roman" w:cs="Arial"/>
                <w:b/>
                <w:bCs/>
                <w:color w:val="A02B93" w:themeColor="accent5"/>
                <w:szCs w:val="24"/>
                <w:lang w:eastAsia="en-GB"/>
              </w:rPr>
              <w:lastRenderedPageBreak/>
              <w:t>Dwelling Requirement and Provision 2023-2040 (Reg 22 LP)</w:t>
            </w:r>
          </w:p>
        </w:tc>
        <w:tc>
          <w:tcPr>
            <w:tcW w:w="1360" w:type="dxa"/>
            <w:tcBorders>
              <w:top w:val="nil"/>
              <w:left w:val="nil"/>
              <w:bottom w:val="nil"/>
              <w:right w:val="nil"/>
            </w:tcBorders>
            <w:noWrap/>
            <w:vAlign w:val="bottom"/>
            <w:hideMark/>
          </w:tcPr>
          <w:p w14:paraId="460B0B43" w14:textId="77777777" w:rsidR="006E0AD6" w:rsidRPr="00053C77" w:rsidRDefault="006E0AD6" w:rsidP="006E0AD6">
            <w:pPr>
              <w:spacing w:after="0" w:line="240" w:lineRule="auto"/>
              <w:jc w:val="left"/>
              <w:rPr>
                <w:rFonts w:eastAsia="Times New Roman" w:cs="Arial"/>
                <w:b/>
                <w:bCs/>
                <w:color w:val="A02B93" w:themeColor="accent5"/>
                <w:szCs w:val="24"/>
                <w:lang w:eastAsia="en-GB"/>
              </w:rPr>
            </w:pPr>
          </w:p>
        </w:tc>
      </w:tr>
      <w:tr w:rsidR="00053C77" w:rsidRPr="00053C77" w14:paraId="1C7A2D58" w14:textId="77777777" w:rsidTr="006E0AD6">
        <w:trPr>
          <w:trHeight w:val="315"/>
        </w:trPr>
        <w:tc>
          <w:tcPr>
            <w:tcW w:w="78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42201" w14:textId="77777777" w:rsidR="006E0AD6" w:rsidRPr="00053C77" w:rsidRDefault="006E0AD6" w:rsidP="006E0AD6">
            <w:pPr>
              <w:spacing w:after="0" w:line="240" w:lineRule="auto"/>
              <w:jc w:val="left"/>
              <w:rPr>
                <w:rFonts w:eastAsia="Times New Roman" w:cs="Arial"/>
                <w:b/>
                <w:bCs/>
                <w:color w:val="A02B93" w:themeColor="accent5"/>
                <w:szCs w:val="24"/>
                <w:lang w:eastAsia="en-GB"/>
              </w:rPr>
            </w:pPr>
            <w:r w:rsidRPr="00053C77">
              <w:rPr>
                <w:rFonts w:eastAsia="Times New Roman" w:cs="Arial"/>
                <w:b/>
                <w:bCs/>
                <w:color w:val="A02B93" w:themeColor="accent5"/>
                <w:szCs w:val="24"/>
                <w:lang w:eastAsia="en-GB"/>
              </w:rPr>
              <w:t>Housing Requirement</w:t>
            </w:r>
          </w:p>
        </w:tc>
        <w:tc>
          <w:tcPr>
            <w:tcW w:w="1360" w:type="dxa"/>
            <w:tcBorders>
              <w:top w:val="single" w:sz="4" w:space="0" w:color="auto"/>
              <w:left w:val="nil"/>
              <w:bottom w:val="single" w:sz="4" w:space="0" w:color="auto"/>
              <w:right w:val="single" w:sz="4" w:space="0" w:color="auto"/>
            </w:tcBorders>
            <w:shd w:val="clear" w:color="000000" w:fill="D9D9D9"/>
            <w:vAlign w:val="center"/>
            <w:hideMark/>
          </w:tcPr>
          <w:p w14:paraId="1D99485F" w14:textId="77777777" w:rsidR="006E0AD6" w:rsidRPr="00053C77" w:rsidRDefault="006E0AD6" w:rsidP="006E0AD6">
            <w:pPr>
              <w:spacing w:after="0" w:line="240" w:lineRule="auto"/>
              <w:jc w:val="left"/>
              <w:rPr>
                <w:rFonts w:eastAsia="Times New Roman" w:cs="Arial"/>
                <w:b/>
                <w:bCs/>
                <w:color w:val="A02B93" w:themeColor="accent5"/>
                <w:szCs w:val="24"/>
                <w:lang w:eastAsia="en-GB"/>
              </w:rPr>
            </w:pPr>
            <w:r w:rsidRPr="00053C77">
              <w:rPr>
                <w:rFonts w:eastAsia="Times New Roman" w:cs="Arial"/>
                <w:b/>
                <w:bCs/>
                <w:color w:val="A02B93" w:themeColor="accent5"/>
                <w:szCs w:val="24"/>
                <w:lang w:eastAsia="en-GB"/>
              </w:rPr>
              <w:t>Dwellings</w:t>
            </w:r>
          </w:p>
        </w:tc>
      </w:tr>
      <w:tr w:rsidR="00053C77" w:rsidRPr="00053C77" w14:paraId="14C9A555" w14:textId="77777777" w:rsidTr="006E0AD6">
        <w:trPr>
          <w:trHeight w:val="600"/>
        </w:trPr>
        <w:tc>
          <w:tcPr>
            <w:tcW w:w="7840" w:type="dxa"/>
            <w:tcBorders>
              <w:top w:val="nil"/>
              <w:left w:val="single" w:sz="4" w:space="0" w:color="auto"/>
              <w:bottom w:val="single" w:sz="4" w:space="0" w:color="auto"/>
              <w:right w:val="single" w:sz="4" w:space="0" w:color="auto"/>
            </w:tcBorders>
            <w:shd w:val="clear" w:color="000000" w:fill="D9D9D9"/>
            <w:vAlign w:val="center"/>
            <w:hideMark/>
          </w:tcPr>
          <w:p w14:paraId="162A51BA" w14:textId="77777777" w:rsidR="006E0AD6" w:rsidRPr="00053C77" w:rsidRDefault="006E0AD6" w:rsidP="006E0AD6">
            <w:pPr>
              <w:spacing w:after="0" w:line="240" w:lineRule="auto"/>
              <w:jc w:val="left"/>
              <w:rPr>
                <w:rFonts w:eastAsia="Times New Roman" w:cs="Arial"/>
                <w:color w:val="A02B93" w:themeColor="accent5"/>
                <w:szCs w:val="24"/>
                <w:lang w:eastAsia="en-GB"/>
              </w:rPr>
            </w:pPr>
            <w:r w:rsidRPr="00053C77">
              <w:rPr>
                <w:rFonts w:eastAsia="Times New Roman" w:cs="Arial"/>
                <w:color w:val="A02B93" w:themeColor="accent5"/>
                <w:szCs w:val="24"/>
                <w:lang w:eastAsia="en-GB"/>
              </w:rPr>
              <w:t>Annual Local Housing Need based on Standard Methodology at April 2024</w:t>
            </w:r>
          </w:p>
        </w:tc>
        <w:tc>
          <w:tcPr>
            <w:tcW w:w="1360" w:type="dxa"/>
            <w:tcBorders>
              <w:top w:val="nil"/>
              <w:left w:val="nil"/>
              <w:bottom w:val="single" w:sz="4" w:space="0" w:color="auto"/>
              <w:right w:val="single" w:sz="4" w:space="0" w:color="auto"/>
            </w:tcBorders>
            <w:shd w:val="clear" w:color="000000" w:fill="D9D9D9"/>
            <w:vAlign w:val="center"/>
            <w:hideMark/>
          </w:tcPr>
          <w:p w14:paraId="708E0E5B" w14:textId="77777777" w:rsidR="006E0AD6" w:rsidRPr="00053C77" w:rsidRDefault="006E0AD6" w:rsidP="006E0AD6">
            <w:pPr>
              <w:spacing w:after="0" w:line="240" w:lineRule="auto"/>
              <w:jc w:val="right"/>
              <w:rPr>
                <w:rFonts w:eastAsia="Times New Roman" w:cs="Arial"/>
                <w:color w:val="A02B93" w:themeColor="accent5"/>
                <w:szCs w:val="24"/>
                <w:lang w:eastAsia="en-GB"/>
              </w:rPr>
            </w:pPr>
            <w:r w:rsidRPr="00053C77">
              <w:rPr>
                <w:rFonts w:eastAsia="Times New Roman" w:cs="Arial"/>
                <w:color w:val="A02B93" w:themeColor="accent5"/>
                <w:szCs w:val="24"/>
                <w:lang w:eastAsia="en-GB"/>
              </w:rPr>
              <w:t>446</w:t>
            </w:r>
          </w:p>
        </w:tc>
      </w:tr>
      <w:tr w:rsidR="00053C77" w:rsidRPr="00053C77" w14:paraId="2E0E45DD" w14:textId="77777777" w:rsidTr="006E0AD6">
        <w:trPr>
          <w:trHeight w:val="300"/>
        </w:trPr>
        <w:tc>
          <w:tcPr>
            <w:tcW w:w="7840" w:type="dxa"/>
            <w:tcBorders>
              <w:top w:val="nil"/>
              <w:left w:val="single" w:sz="4" w:space="0" w:color="auto"/>
              <w:bottom w:val="single" w:sz="4" w:space="0" w:color="auto"/>
              <w:right w:val="single" w:sz="4" w:space="0" w:color="auto"/>
            </w:tcBorders>
            <w:shd w:val="clear" w:color="000000" w:fill="D9D9D9"/>
            <w:vAlign w:val="center"/>
            <w:hideMark/>
          </w:tcPr>
          <w:p w14:paraId="16D8737D" w14:textId="77777777" w:rsidR="006E0AD6" w:rsidRPr="00053C77" w:rsidRDefault="006E0AD6" w:rsidP="006E0AD6">
            <w:pPr>
              <w:spacing w:after="0" w:line="240" w:lineRule="auto"/>
              <w:jc w:val="left"/>
              <w:rPr>
                <w:rFonts w:eastAsia="Times New Roman" w:cs="Arial"/>
                <w:color w:val="A02B93" w:themeColor="accent5"/>
                <w:szCs w:val="24"/>
                <w:lang w:eastAsia="en-GB"/>
              </w:rPr>
            </w:pPr>
            <w:r w:rsidRPr="00053C77">
              <w:rPr>
                <w:rFonts w:eastAsia="Times New Roman" w:cs="Arial"/>
                <w:color w:val="A02B93" w:themeColor="accent5"/>
                <w:szCs w:val="24"/>
                <w:lang w:eastAsia="en-GB"/>
              </w:rPr>
              <w:t>Houses needed to meet requirement, 1/4/2023 to 31/4/2040</w:t>
            </w:r>
          </w:p>
        </w:tc>
        <w:tc>
          <w:tcPr>
            <w:tcW w:w="1360" w:type="dxa"/>
            <w:tcBorders>
              <w:top w:val="nil"/>
              <w:left w:val="nil"/>
              <w:bottom w:val="single" w:sz="4" w:space="0" w:color="auto"/>
              <w:right w:val="single" w:sz="4" w:space="0" w:color="auto"/>
            </w:tcBorders>
            <w:shd w:val="clear" w:color="000000" w:fill="D9D9D9"/>
            <w:vAlign w:val="center"/>
            <w:hideMark/>
          </w:tcPr>
          <w:p w14:paraId="08D35270" w14:textId="77777777" w:rsidR="006E0AD6" w:rsidRPr="00053C77" w:rsidRDefault="006E0AD6" w:rsidP="006E0AD6">
            <w:pPr>
              <w:spacing w:after="0" w:line="240" w:lineRule="auto"/>
              <w:jc w:val="right"/>
              <w:rPr>
                <w:rFonts w:eastAsia="Times New Roman" w:cs="Arial"/>
                <w:color w:val="A02B93" w:themeColor="accent5"/>
                <w:szCs w:val="24"/>
                <w:lang w:eastAsia="en-GB"/>
              </w:rPr>
            </w:pPr>
            <w:r w:rsidRPr="00053C77">
              <w:rPr>
                <w:rFonts w:eastAsia="Times New Roman" w:cs="Arial"/>
                <w:color w:val="A02B93" w:themeColor="accent5"/>
                <w:szCs w:val="24"/>
                <w:lang w:eastAsia="en-GB"/>
              </w:rPr>
              <w:t>7582</w:t>
            </w:r>
          </w:p>
        </w:tc>
      </w:tr>
      <w:tr w:rsidR="00053C77" w:rsidRPr="00053C77" w14:paraId="22B229B0" w14:textId="77777777" w:rsidTr="006E0AD6">
        <w:trPr>
          <w:trHeight w:val="300"/>
        </w:trPr>
        <w:tc>
          <w:tcPr>
            <w:tcW w:w="7840" w:type="dxa"/>
            <w:tcBorders>
              <w:top w:val="nil"/>
              <w:left w:val="single" w:sz="4" w:space="0" w:color="auto"/>
              <w:bottom w:val="single" w:sz="4" w:space="0" w:color="auto"/>
              <w:right w:val="single" w:sz="4" w:space="0" w:color="auto"/>
            </w:tcBorders>
            <w:shd w:val="clear" w:color="000000" w:fill="D9D9D9"/>
            <w:vAlign w:val="center"/>
            <w:hideMark/>
          </w:tcPr>
          <w:p w14:paraId="749B0B72" w14:textId="77777777" w:rsidR="006E0AD6" w:rsidRPr="00053C77" w:rsidRDefault="006E0AD6" w:rsidP="006E0AD6">
            <w:pPr>
              <w:spacing w:after="0" w:line="240" w:lineRule="auto"/>
              <w:jc w:val="left"/>
              <w:rPr>
                <w:rFonts w:eastAsia="Times New Roman" w:cs="Arial"/>
                <w:color w:val="A02B93" w:themeColor="accent5"/>
                <w:szCs w:val="24"/>
                <w:lang w:eastAsia="en-GB"/>
              </w:rPr>
            </w:pPr>
            <w:r w:rsidRPr="00053C77">
              <w:rPr>
                <w:rFonts w:eastAsia="Times New Roman" w:cs="Arial"/>
                <w:color w:val="A02B93" w:themeColor="accent5"/>
                <w:szCs w:val="24"/>
                <w:lang w:eastAsia="en-GB"/>
              </w:rPr>
              <w:t>Net Homes delivered* 1/4/2023 to 31/3/2025</w:t>
            </w:r>
          </w:p>
        </w:tc>
        <w:tc>
          <w:tcPr>
            <w:tcW w:w="1360" w:type="dxa"/>
            <w:tcBorders>
              <w:top w:val="nil"/>
              <w:left w:val="nil"/>
              <w:bottom w:val="single" w:sz="4" w:space="0" w:color="auto"/>
              <w:right w:val="single" w:sz="4" w:space="0" w:color="auto"/>
            </w:tcBorders>
            <w:shd w:val="clear" w:color="000000" w:fill="D9D9D9"/>
            <w:vAlign w:val="center"/>
            <w:hideMark/>
          </w:tcPr>
          <w:p w14:paraId="7B12FE49" w14:textId="77777777" w:rsidR="006E0AD6" w:rsidRPr="00053C77" w:rsidRDefault="006E0AD6" w:rsidP="006E0AD6">
            <w:pPr>
              <w:spacing w:after="0" w:line="240" w:lineRule="auto"/>
              <w:jc w:val="right"/>
              <w:rPr>
                <w:rFonts w:eastAsia="Times New Roman" w:cs="Arial"/>
                <w:color w:val="A02B93" w:themeColor="accent5"/>
                <w:szCs w:val="24"/>
                <w:lang w:eastAsia="en-GB"/>
              </w:rPr>
            </w:pPr>
            <w:r w:rsidRPr="00053C77">
              <w:rPr>
                <w:rFonts w:eastAsia="Times New Roman" w:cs="Arial"/>
                <w:color w:val="A02B93" w:themeColor="accent5"/>
                <w:szCs w:val="24"/>
                <w:lang w:eastAsia="en-GB"/>
              </w:rPr>
              <w:t>907</w:t>
            </w:r>
          </w:p>
        </w:tc>
      </w:tr>
      <w:tr w:rsidR="00053C77" w:rsidRPr="00053C77" w14:paraId="354BBBD3" w14:textId="77777777" w:rsidTr="006E0AD6">
        <w:trPr>
          <w:trHeight w:val="315"/>
        </w:trPr>
        <w:tc>
          <w:tcPr>
            <w:tcW w:w="7840" w:type="dxa"/>
            <w:tcBorders>
              <w:top w:val="nil"/>
              <w:left w:val="single" w:sz="4" w:space="0" w:color="auto"/>
              <w:bottom w:val="single" w:sz="4" w:space="0" w:color="auto"/>
              <w:right w:val="single" w:sz="4" w:space="0" w:color="auto"/>
            </w:tcBorders>
            <w:shd w:val="clear" w:color="000000" w:fill="D9D9D9"/>
            <w:vAlign w:val="center"/>
            <w:hideMark/>
          </w:tcPr>
          <w:p w14:paraId="27F5FF75" w14:textId="77777777" w:rsidR="006E0AD6" w:rsidRPr="00053C77" w:rsidRDefault="006E0AD6" w:rsidP="006E0AD6">
            <w:pPr>
              <w:spacing w:after="0" w:line="240" w:lineRule="auto"/>
              <w:jc w:val="left"/>
              <w:rPr>
                <w:rFonts w:eastAsia="Times New Roman" w:cs="Arial"/>
                <w:color w:val="A02B93" w:themeColor="accent5"/>
                <w:szCs w:val="24"/>
                <w:lang w:eastAsia="en-GB"/>
              </w:rPr>
            </w:pPr>
            <w:r w:rsidRPr="00053C77">
              <w:rPr>
                <w:rFonts w:eastAsia="Times New Roman" w:cs="Arial"/>
                <w:color w:val="A02B93" w:themeColor="accent5"/>
                <w:szCs w:val="24"/>
                <w:lang w:eastAsia="en-GB"/>
              </w:rPr>
              <w:t>Houses needed to meet requirement, 1/4/2025 to 31/4/2040</w:t>
            </w:r>
          </w:p>
        </w:tc>
        <w:tc>
          <w:tcPr>
            <w:tcW w:w="1360" w:type="dxa"/>
            <w:tcBorders>
              <w:top w:val="nil"/>
              <w:left w:val="nil"/>
              <w:bottom w:val="single" w:sz="4" w:space="0" w:color="auto"/>
              <w:right w:val="single" w:sz="4" w:space="0" w:color="auto"/>
            </w:tcBorders>
            <w:shd w:val="clear" w:color="000000" w:fill="D9D9D9"/>
            <w:vAlign w:val="center"/>
            <w:hideMark/>
          </w:tcPr>
          <w:p w14:paraId="23560006" w14:textId="77777777" w:rsidR="006E0AD6" w:rsidRPr="00053C77" w:rsidRDefault="006E0AD6" w:rsidP="006E0AD6">
            <w:pPr>
              <w:spacing w:after="0" w:line="240" w:lineRule="auto"/>
              <w:jc w:val="right"/>
              <w:rPr>
                <w:rFonts w:eastAsia="Times New Roman" w:cs="Arial"/>
                <w:b/>
                <w:bCs/>
                <w:color w:val="A02B93" w:themeColor="accent5"/>
                <w:szCs w:val="24"/>
                <w:lang w:eastAsia="en-GB"/>
              </w:rPr>
            </w:pPr>
            <w:r w:rsidRPr="00053C77">
              <w:rPr>
                <w:rFonts w:eastAsia="Times New Roman" w:cs="Arial"/>
                <w:b/>
                <w:bCs/>
                <w:color w:val="A02B93" w:themeColor="accent5"/>
                <w:szCs w:val="24"/>
                <w:lang w:eastAsia="en-GB"/>
              </w:rPr>
              <w:t>6675</w:t>
            </w:r>
          </w:p>
        </w:tc>
      </w:tr>
      <w:tr w:rsidR="00053C77" w:rsidRPr="00053C77" w14:paraId="56195858" w14:textId="77777777" w:rsidTr="006E0AD6">
        <w:trPr>
          <w:trHeight w:val="300"/>
        </w:trPr>
        <w:tc>
          <w:tcPr>
            <w:tcW w:w="7840" w:type="dxa"/>
            <w:tcBorders>
              <w:top w:val="nil"/>
              <w:left w:val="nil"/>
              <w:bottom w:val="nil"/>
              <w:right w:val="nil"/>
            </w:tcBorders>
            <w:noWrap/>
            <w:vAlign w:val="center"/>
            <w:hideMark/>
          </w:tcPr>
          <w:p w14:paraId="357158BB" w14:textId="77777777" w:rsidR="006E0AD6" w:rsidRPr="00053C77" w:rsidRDefault="006E0AD6" w:rsidP="006E0AD6">
            <w:pPr>
              <w:spacing w:after="0" w:line="240" w:lineRule="auto"/>
              <w:jc w:val="right"/>
              <w:rPr>
                <w:rFonts w:eastAsia="Times New Roman" w:cs="Arial"/>
                <w:b/>
                <w:bCs/>
                <w:color w:val="A02B93" w:themeColor="accent5"/>
                <w:szCs w:val="24"/>
                <w:lang w:eastAsia="en-GB"/>
              </w:rPr>
            </w:pPr>
          </w:p>
        </w:tc>
        <w:tc>
          <w:tcPr>
            <w:tcW w:w="1360" w:type="dxa"/>
            <w:tcBorders>
              <w:top w:val="nil"/>
              <w:left w:val="nil"/>
              <w:bottom w:val="nil"/>
              <w:right w:val="nil"/>
            </w:tcBorders>
            <w:noWrap/>
            <w:vAlign w:val="bottom"/>
            <w:hideMark/>
          </w:tcPr>
          <w:p w14:paraId="5865D7EC" w14:textId="77777777" w:rsidR="006E0AD6" w:rsidRPr="00053C77" w:rsidRDefault="006E0AD6" w:rsidP="006E0AD6">
            <w:pPr>
              <w:spacing w:after="0" w:line="240" w:lineRule="auto"/>
              <w:rPr>
                <w:rFonts w:ascii="Times New Roman" w:eastAsia="Times New Roman" w:hAnsi="Times New Roman" w:cs="Times New Roman"/>
                <w:color w:val="A02B93" w:themeColor="accent5"/>
                <w:sz w:val="20"/>
                <w:szCs w:val="20"/>
                <w:lang w:eastAsia="en-GB"/>
              </w:rPr>
            </w:pPr>
          </w:p>
        </w:tc>
      </w:tr>
      <w:tr w:rsidR="00053C77" w:rsidRPr="00053C77" w14:paraId="3E4BD016" w14:textId="77777777" w:rsidTr="00CD7E3F">
        <w:trPr>
          <w:trHeight w:val="315"/>
        </w:trPr>
        <w:tc>
          <w:tcPr>
            <w:tcW w:w="784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55EF91E" w14:textId="77777777" w:rsidR="006E0AD6" w:rsidRPr="00053C77" w:rsidRDefault="006E0AD6" w:rsidP="006E0AD6">
            <w:pPr>
              <w:spacing w:after="0" w:line="240" w:lineRule="auto"/>
              <w:jc w:val="left"/>
              <w:rPr>
                <w:rFonts w:eastAsia="Times New Roman" w:cs="Arial"/>
                <w:b/>
                <w:bCs/>
                <w:color w:val="A02B93" w:themeColor="accent5"/>
                <w:szCs w:val="24"/>
                <w:lang w:eastAsia="en-GB"/>
              </w:rPr>
            </w:pPr>
            <w:r w:rsidRPr="00053C77">
              <w:rPr>
                <w:rFonts w:eastAsia="Times New Roman" w:cs="Arial"/>
                <w:b/>
                <w:bCs/>
                <w:color w:val="A02B93" w:themeColor="accent5"/>
                <w:szCs w:val="24"/>
                <w:lang w:eastAsia="en-GB"/>
              </w:rPr>
              <w:t>Future Supply Source</w:t>
            </w:r>
          </w:p>
        </w:tc>
        <w:tc>
          <w:tcPr>
            <w:tcW w:w="1360" w:type="dxa"/>
            <w:tcBorders>
              <w:top w:val="single" w:sz="4" w:space="0" w:color="auto"/>
              <w:left w:val="nil"/>
              <w:bottom w:val="single" w:sz="4" w:space="0" w:color="auto"/>
              <w:right w:val="single" w:sz="4" w:space="0" w:color="auto"/>
            </w:tcBorders>
            <w:shd w:val="clear" w:color="auto" w:fill="DAE9F7" w:themeFill="text2" w:themeFillTint="1A"/>
            <w:vAlign w:val="center"/>
            <w:hideMark/>
          </w:tcPr>
          <w:p w14:paraId="4787C2DF" w14:textId="77777777" w:rsidR="006E0AD6" w:rsidRPr="00053C77" w:rsidRDefault="006E0AD6" w:rsidP="006E0AD6">
            <w:pPr>
              <w:spacing w:after="0" w:line="240" w:lineRule="auto"/>
              <w:jc w:val="left"/>
              <w:rPr>
                <w:rFonts w:eastAsia="Times New Roman" w:cs="Arial"/>
                <w:b/>
                <w:bCs/>
                <w:color w:val="A02B93" w:themeColor="accent5"/>
                <w:szCs w:val="24"/>
                <w:lang w:eastAsia="en-GB"/>
              </w:rPr>
            </w:pPr>
            <w:r w:rsidRPr="00053C77">
              <w:rPr>
                <w:rFonts w:eastAsia="Times New Roman" w:cs="Arial"/>
                <w:b/>
                <w:bCs/>
                <w:color w:val="A02B93" w:themeColor="accent5"/>
                <w:szCs w:val="24"/>
                <w:lang w:eastAsia="en-GB"/>
              </w:rPr>
              <w:t>Dwellings</w:t>
            </w:r>
          </w:p>
        </w:tc>
      </w:tr>
      <w:tr w:rsidR="00053C77" w:rsidRPr="00053C77" w14:paraId="37005492" w14:textId="77777777" w:rsidTr="00CD7E3F">
        <w:trPr>
          <w:trHeight w:val="499"/>
        </w:trPr>
        <w:tc>
          <w:tcPr>
            <w:tcW w:w="7840"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7D7AA51E" w14:textId="77777777" w:rsidR="006E0AD6" w:rsidRPr="00053C77" w:rsidRDefault="006E0AD6" w:rsidP="006E0AD6">
            <w:pPr>
              <w:spacing w:after="0" w:line="240" w:lineRule="auto"/>
              <w:jc w:val="left"/>
              <w:rPr>
                <w:rFonts w:eastAsia="Times New Roman" w:cs="Arial"/>
                <w:color w:val="A02B93" w:themeColor="accent5"/>
                <w:szCs w:val="24"/>
                <w:lang w:eastAsia="en-GB"/>
              </w:rPr>
            </w:pPr>
            <w:r w:rsidRPr="00053C77">
              <w:rPr>
                <w:rFonts w:eastAsia="Times New Roman" w:cs="Arial"/>
                <w:color w:val="A02B93" w:themeColor="accent5"/>
                <w:szCs w:val="24"/>
                <w:lang w:eastAsia="en-GB"/>
              </w:rPr>
              <w:t xml:space="preserve">Houses deliverable on </w:t>
            </w:r>
            <w:r w:rsidRPr="00053C77">
              <w:rPr>
                <w:rFonts w:eastAsia="Times New Roman" w:cs="Arial"/>
                <w:b/>
                <w:bCs/>
                <w:color w:val="A02B93" w:themeColor="accent5"/>
                <w:szCs w:val="24"/>
                <w:lang w:eastAsia="en-GB"/>
              </w:rPr>
              <w:t>small sites</w:t>
            </w:r>
            <w:r w:rsidRPr="00053C77">
              <w:rPr>
                <w:rFonts w:eastAsia="Times New Roman" w:cs="Arial"/>
                <w:color w:val="A02B93" w:themeColor="accent5"/>
                <w:szCs w:val="24"/>
                <w:lang w:eastAsia="en-GB"/>
              </w:rPr>
              <w:t>, 1/4/2025 to 31/3/2040</w:t>
            </w:r>
          </w:p>
        </w:tc>
        <w:tc>
          <w:tcPr>
            <w:tcW w:w="1360" w:type="dxa"/>
            <w:tcBorders>
              <w:top w:val="nil"/>
              <w:left w:val="nil"/>
              <w:bottom w:val="single" w:sz="4" w:space="0" w:color="auto"/>
              <w:right w:val="single" w:sz="4" w:space="0" w:color="auto"/>
            </w:tcBorders>
            <w:shd w:val="clear" w:color="auto" w:fill="DAE9F7" w:themeFill="text2" w:themeFillTint="1A"/>
            <w:vAlign w:val="center"/>
            <w:hideMark/>
          </w:tcPr>
          <w:p w14:paraId="651D7AE3" w14:textId="77777777" w:rsidR="006E0AD6" w:rsidRPr="00053C77" w:rsidRDefault="006E0AD6" w:rsidP="006E0AD6">
            <w:pPr>
              <w:spacing w:after="0" w:line="240" w:lineRule="auto"/>
              <w:jc w:val="left"/>
              <w:rPr>
                <w:rFonts w:eastAsia="Times New Roman" w:cs="Arial"/>
                <w:color w:val="A02B93" w:themeColor="accent5"/>
                <w:szCs w:val="24"/>
                <w:lang w:eastAsia="en-GB"/>
              </w:rPr>
            </w:pPr>
            <w:r w:rsidRPr="00053C77">
              <w:rPr>
                <w:rFonts w:eastAsia="Times New Roman" w:cs="Arial"/>
                <w:color w:val="A02B93" w:themeColor="accent5"/>
                <w:szCs w:val="24"/>
                <w:lang w:eastAsia="en-GB"/>
              </w:rPr>
              <w:t xml:space="preserve"> </w:t>
            </w:r>
          </w:p>
        </w:tc>
      </w:tr>
      <w:tr w:rsidR="00053C77" w:rsidRPr="00053C77" w14:paraId="437CBF43" w14:textId="77777777" w:rsidTr="00CD7E3F">
        <w:trPr>
          <w:trHeight w:val="600"/>
        </w:trPr>
        <w:tc>
          <w:tcPr>
            <w:tcW w:w="7840"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22B9336B" w14:textId="77777777" w:rsidR="006E0AD6" w:rsidRPr="00053C77" w:rsidRDefault="006E0AD6" w:rsidP="006E0AD6">
            <w:pPr>
              <w:spacing w:after="0" w:line="240" w:lineRule="auto"/>
              <w:jc w:val="left"/>
              <w:rPr>
                <w:rFonts w:eastAsia="Times New Roman" w:cs="Arial"/>
                <w:color w:val="A02B93" w:themeColor="accent5"/>
                <w:szCs w:val="24"/>
                <w:lang w:eastAsia="en-GB"/>
              </w:rPr>
            </w:pPr>
            <w:r w:rsidRPr="00053C77">
              <w:rPr>
                <w:rFonts w:eastAsia="Times New Roman" w:cs="Arial"/>
                <w:color w:val="A02B93" w:themeColor="accent5"/>
                <w:szCs w:val="24"/>
                <w:lang w:eastAsia="en-GB"/>
              </w:rPr>
              <w:t>·</w:t>
            </w:r>
            <w:r w:rsidRPr="00053C77">
              <w:rPr>
                <w:rFonts w:eastAsia="Times New Roman" w:cs="Arial"/>
                <w:color w:val="A02B93" w:themeColor="accent5"/>
                <w:sz w:val="14"/>
                <w:szCs w:val="14"/>
                <w:lang w:eastAsia="en-GB"/>
              </w:rPr>
              <w:t xml:space="preserve">       </w:t>
            </w:r>
            <w:r w:rsidRPr="00053C77">
              <w:rPr>
                <w:rFonts w:eastAsia="Times New Roman" w:cs="Arial"/>
                <w:color w:val="A02B93" w:themeColor="accent5"/>
                <w:szCs w:val="24"/>
                <w:lang w:eastAsia="en-GB"/>
              </w:rPr>
              <w:t xml:space="preserve">With planning permission (including new build, net conversions and change of use) </w:t>
            </w:r>
            <w:proofErr w:type="gramStart"/>
            <w:r w:rsidRPr="00053C77">
              <w:rPr>
                <w:rFonts w:eastAsia="Times New Roman" w:cs="Arial"/>
                <w:color w:val="A02B93" w:themeColor="accent5"/>
                <w:szCs w:val="24"/>
                <w:lang w:eastAsia="en-GB"/>
              </w:rPr>
              <w:t>at</w:t>
            </w:r>
            <w:proofErr w:type="gramEnd"/>
            <w:r w:rsidRPr="00053C77">
              <w:rPr>
                <w:rFonts w:eastAsia="Times New Roman" w:cs="Arial"/>
                <w:color w:val="A02B93" w:themeColor="accent5"/>
                <w:szCs w:val="24"/>
                <w:lang w:eastAsia="en-GB"/>
              </w:rPr>
              <w:t xml:space="preserve"> 1st April 2025</w:t>
            </w:r>
          </w:p>
        </w:tc>
        <w:tc>
          <w:tcPr>
            <w:tcW w:w="1360" w:type="dxa"/>
            <w:tcBorders>
              <w:top w:val="nil"/>
              <w:left w:val="nil"/>
              <w:bottom w:val="single" w:sz="4" w:space="0" w:color="auto"/>
              <w:right w:val="single" w:sz="4" w:space="0" w:color="auto"/>
            </w:tcBorders>
            <w:shd w:val="clear" w:color="auto" w:fill="DAE9F7" w:themeFill="text2" w:themeFillTint="1A"/>
            <w:vAlign w:val="center"/>
            <w:hideMark/>
          </w:tcPr>
          <w:p w14:paraId="35F64333" w14:textId="77777777" w:rsidR="006E0AD6" w:rsidRPr="00053C77" w:rsidRDefault="006E0AD6" w:rsidP="006E0AD6">
            <w:pPr>
              <w:spacing w:after="0" w:line="240" w:lineRule="auto"/>
              <w:jc w:val="right"/>
              <w:rPr>
                <w:rFonts w:eastAsia="Times New Roman" w:cs="Arial"/>
                <w:color w:val="A02B93" w:themeColor="accent5"/>
                <w:szCs w:val="24"/>
                <w:lang w:eastAsia="en-GB"/>
              </w:rPr>
            </w:pPr>
            <w:r w:rsidRPr="00053C77">
              <w:rPr>
                <w:rFonts w:eastAsia="Times New Roman" w:cs="Arial"/>
                <w:color w:val="A02B93" w:themeColor="accent5"/>
                <w:szCs w:val="24"/>
                <w:lang w:eastAsia="en-GB"/>
              </w:rPr>
              <w:t>342</w:t>
            </w:r>
          </w:p>
        </w:tc>
      </w:tr>
      <w:tr w:rsidR="00053C77" w:rsidRPr="00053C77" w14:paraId="25D86A9F" w14:textId="77777777" w:rsidTr="00CD7E3F">
        <w:trPr>
          <w:trHeight w:val="600"/>
        </w:trPr>
        <w:tc>
          <w:tcPr>
            <w:tcW w:w="7840"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23C24EF9" w14:textId="77777777" w:rsidR="006E0AD6" w:rsidRPr="00053C77" w:rsidRDefault="006E0AD6" w:rsidP="006E0AD6">
            <w:pPr>
              <w:spacing w:after="0" w:line="240" w:lineRule="auto"/>
              <w:jc w:val="left"/>
              <w:rPr>
                <w:rFonts w:eastAsia="Times New Roman" w:cs="Arial"/>
                <w:color w:val="A02B93" w:themeColor="accent5"/>
                <w:szCs w:val="24"/>
                <w:lang w:eastAsia="en-GB"/>
              </w:rPr>
            </w:pPr>
            <w:r w:rsidRPr="00053C77">
              <w:rPr>
                <w:rFonts w:eastAsia="Times New Roman" w:cs="Arial"/>
                <w:color w:val="A02B93" w:themeColor="accent5"/>
                <w:szCs w:val="24"/>
                <w:lang w:eastAsia="en-GB"/>
              </w:rPr>
              <w:t>·</w:t>
            </w:r>
            <w:r w:rsidRPr="00053C77">
              <w:rPr>
                <w:rFonts w:eastAsia="Times New Roman" w:cs="Arial"/>
                <w:color w:val="A02B93" w:themeColor="accent5"/>
                <w:sz w:val="14"/>
                <w:szCs w:val="14"/>
                <w:lang w:eastAsia="en-GB"/>
              </w:rPr>
              <w:t xml:space="preserve">       </w:t>
            </w:r>
            <w:r w:rsidRPr="00053C77">
              <w:rPr>
                <w:rFonts w:eastAsia="Times New Roman" w:cs="Arial"/>
                <w:color w:val="A02B93" w:themeColor="accent5"/>
                <w:szCs w:val="24"/>
                <w:lang w:eastAsia="en-GB"/>
              </w:rPr>
              <w:t xml:space="preserve">Known permitted development/prior notification schemes not yet implemented </w:t>
            </w:r>
            <w:proofErr w:type="gramStart"/>
            <w:r w:rsidRPr="00053C77">
              <w:rPr>
                <w:rFonts w:eastAsia="Times New Roman" w:cs="Arial"/>
                <w:color w:val="A02B93" w:themeColor="accent5"/>
                <w:szCs w:val="24"/>
                <w:lang w:eastAsia="en-GB"/>
              </w:rPr>
              <w:t>at</w:t>
            </w:r>
            <w:proofErr w:type="gramEnd"/>
            <w:r w:rsidRPr="00053C77">
              <w:rPr>
                <w:rFonts w:eastAsia="Times New Roman" w:cs="Arial"/>
                <w:color w:val="A02B93" w:themeColor="accent5"/>
                <w:szCs w:val="24"/>
                <w:lang w:eastAsia="en-GB"/>
              </w:rPr>
              <w:t xml:space="preserve"> 1st April 2025</w:t>
            </w:r>
          </w:p>
        </w:tc>
        <w:tc>
          <w:tcPr>
            <w:tcW w:w="1360" w:type="dxa"/>
            <w:tcBorders>
              <w:top w:val="nil"/>
              <w:left w:val="nil"/>
              <w:bottom w:val="single" w:sz="4" w:space="0" w:color="auto"/>
              <w:right w:val="single" w:sz="4" w:space="0" w:color="auto"/>
            </w:tcBorders>
            <w:shd w:val="clear" w:color="auto" w:fill="DAE9F7" w:themeFill="text2" w:themeFillTint="1A"/>
            <w:vAlign w:val="center"/>
            <w:hideMark/>
          </w:tcPr>
          <w:p w14:paraId="705C73EE" w14:textId="77777777" w:rsidR="006E0AD6" w:rsidRPr="00053C77" w:rsidRDefault="006E0AD6" w:rsidP="006E0AD6">
            <w:pPr>
              <w:spacing w:after="0" w:line="240" w:lineRule="auto"/>
              <w:jc w:val="right"/>
              <w:rPr>
                <w:rFonts w:eastAsia="Times New Roman" w:cs="Arial"/>
                <w:color w:val="A02B93" w:themeColor="accent5"/>
                <w:szCs w:val="24"/>
                <w:lang w:eastAsia="en-GB"/>
              </w:rPr>
            </w:pPr>
            <w:r w:rsidRPr="00053C77">
              <w:rPr>
                <w:rFonts w:eastAsia="Times New Roman" w:cs="Arial"/>
                <w:color w:val="A02B93" w:themeColor="accent5"/>
                <w:szCs w:val="24"/>
                <w:lang w:eastAsia="en-GB"/>
              </w:rPr>
              <w:t>1</w:t>
            </w:r>
          </w:p>
        </w:tc>
      </w:tr>
      <w:tr w:rsidR="00053C77" w:rsidRPr="00053C77" w14:paraId="0B933AC1" w14:textId="77777777" w:rsidTr="00CD7E3F">
        <w:trPr>
          <w:trHeight w:val="300"/>
        </w:trPr>
        <w:tc>
          <w:tcPr>
            <w:tcW w:w="7840"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7A7F24A8" w14:textId="77777777" w:rsidR="006E0AD6" w:rsidRPr="00053C77" w:rsidRDefault="006E0AD6" w:rsidP="006E0AD6">
            <w:pPr>
              <w:spacing w:after="0" w:line="240" w:lineRule="auto"/>
              <w:jc w:val="left"/>
              <w:rPr>
                <w:rFonts w:eastAsia="Times New Roman" w:cs="Arial"/>
                <w:color w:val="A02B93" w:themeColor="accent5"/>
                <w:szCs w:val="24"/>
                <w:lang w:eastAsia="en-GB"/>
              </w:rPr>
            </w:pPr>
            <w:r w:rsidRPr="00053C77">
              <w:rPr>
                <w:rFonts w:eastAsia="Times New Roman" w:cs="Arial"/>
                <w:color w:val="A02B93" w:themeColor="accent5"/>
                <w:szCs w:val="24"/>
                <w:lang w:eastAsia="en-GB"/>
              </w:rPr>
              <w:t>·</w:t>
            </w:r>
            <w:r w:rsidRPr="00053C77">
              <w:rPr>
                <w:rFonts w:eastAsia="Times New Roman" w:cs="Arial"/>
                <w:color w:val="A02B93" w:themeColor="accent5"/>
                <w:sz w:val="14"/>
                <w:szCs w:val="14"/>
                <w:lang w:eastAsia="en-GB"/>
              </w:rPr>
              <w:t xml:space="preserve">       </w:t>
            </w:r>
            <w:r w:rsidRPr="00053C77">
              <w:rPr>
                <w:rFonts w:eastAsia="Times New Roman" w:cs="Arial"/>
                <w:color w:val="A02B93" w:themeColor="accent5"/>
                <w:szCs w:val="24"/>
                <w:lang w:eastAsia="en-GB"/>
              </w:rPr>
              <w:t>Demolitions and other losses with planning permission at 1/4/25</w:t>
            </w:r>
          </w:p>
        </w:tc>
        <w:tc>
          <w:tcPr>
            <w:tcW w:w="1360" w:type="dxa"/>
            <w:tcBorders>
              <w:top w:val="nil"/>
              <w:left w:val="nil"/>
              <w:bottom w:val="single" w:sz="4" w:space="0" w:color="auto"/>
              <w:right w:val="single" w:sz="4" w:space="0" w:color="auto"/>
            </w:tcBorders>
            <w:shd w:val="clear" w:color="auto" w:fill="DAE9F7" w:themeFill="text2" w:themeFillTint="1A"/>
            <w:vAlign w:val="center"/>
            <w:hideMark/>
          </w:tcPr>
          <w:p w14:paraId="7AAE4B7F" w14:textId="77777777" w:rsidR="006E0AD6" w:rsidRPr="00053C77" w:rsidRDefault="006E0AD6" w:rsidP="006E0AD6">
            <w:pPr>
              <w:spacing w:after="0" w:line="240" w:lineRule="auto"/>
              <w:jc w:val="right"/>
              <w:rPr>
                <w:rFonts w:eastAsia="Times New Roman" w:cs="Arial"/>
                <w:color w:val="A02B93" w:themeColor="accent5"/>
                <w:szCs w:val="24"/>
                <w:lang w:eastAsia="en-GB"/>
              </w:rPr>
            </w:pPr>
            <w:r w:rsidRPr="00053C77">
              <w:rPr>
                <w:rFonts w:eastAsia="Times New Roman" w:cs="Arial"/>
                <w:color w:val="A02B93" w:themeColor="accent5"/>
                <w:szCs w:val="24"/>
                <w:lang w:eastAsia="en-GB"/>
              </w:rPr>
              <w:t>-3</w:t>
            </w:r>
          </w:p>
        </w:tc>
      </w:tr>
      <w:tr w:rsidR="00053C77" w:rsidRPr="00053C77" w14:paraId="44B06020" w14:textId="77777777" w:rsidTr="00CD7E3F">
        <w:trPr>
          <w:trHeight w:val="300"/>
        </w:trPr>
        <w:tc>
          <w:tcPr>
            <w:tcW w:w="7840"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2A41BC15" w14:textId="77777777" w:rsidR="006E0AD6" w:rsidRPr="00053C77" w:rsidRDefault="006E0AD6" w:rsidP="006E0AD6">
            <w:pPr>
              <w:spacing w:after="0" w:line="240" w:lineRule="auto"/>
              <w:jc w:val="left"/>
              <w:rPr>
                <w:rFonts w:eastAsia="Times New Roman" w:cs="Arial"/>
                <w:color w:val="A02B93" w:themeColor="accent5"/>
                <w:szCs w:val="24"/>
                <w:lang w:eastAsia="en-GB"/>
              </w:rPr>
            </w:pPr>
            <w:r w:rsidRPr="00053C77">
              <w:rPr>
                <w:rFonts w:eastAsia="Times New Roman" w:cs="Arial"/>
                <w:color w:val="A02B93" w:themeColor="accent5"/>
                <w:szCs w:val="24"/>
                <w:lang w:eastAsia="en-GB"/>
              </w:rPr>
              <w:t>·</w:t>
            </w:r>
            <w:r w:rsidRPr="00053C77">
              <w:rPr>
                <w:rFonts w:eastAsia="Times New Roman" w:cs="Arial"/>
                <w:color w:val="A02B93" w:themeColor="accent5"/>
                <w:sz w:val="14"/>
                <w:szCs w:val="14"/>
                <w:lang w:eastAsia="en-GB"/>
              </w:rPr>
              <w:t xml:space="preserve">       </w:t>
            </w:r>
            <w:r w:rsidRPr="00053C77">
              <w:rPr>
                <w:rFonts w:eastAsia="Times New Roman" w:cs="Arial"/>
                <w:color w:val="A02B93" w:themeColor="accent5"/>
                <w:szCs w:val="24"/>
                <w:lang w:eastAsia="en-GB"/>
              </w:rPr>
              <w:t>Deduction to account for potential lapsed permissions</w:t>
            </w:r>
          </w:p>
        </w:tc>
        <w:tc>
          <w:tcPr>
            <w:tcW w:w="1360" w:type="dxa"/>
            <w:tcBorders>
              <w:top w:val="nil"/>
              <w:left w:val="nil"/>
              <w:bottom w:val="single" w:sz="4" w:space="0" w:color="auto"/>
              <w:right w:val="single" w:sz="4" w:space="0" w:color="auto"/>
            </w:tcBorders>
            <w:shd w:val="clear" w:color="auto" w:fill="DAE9F7" w:themeFill="text2" w:themeFillTint="1A"/>
            <w:vAlign w:val="center"/>
            <w:hideMark/>
          </w:tcPr>
          <w:p w14:paraId="36D92D6C" w14:textId="77777777" w:rsidR="006E0AD6" w:rsidRPr="00053C77" w:rsidRDefault="006E0AD6" w:rsidP="006E0AD6">
            <w:pPr>
              <w:spacing w:after="0" w:line="240" w:lineRule="auto"/>
              <w:jc w:val="right"/>
              <w:rPr>
                <w:rFonts w:eastAsia="Times New Roman" w:cs="Arial"/>
                <w:color w:val="A02B93" w:themeColor="accent5"/>
                <w:szCs w:val="24"/>
                <w:lang w:eastAsia="en-GB"/>
              </w:rPr>
            </w:pPr>
            <w:r w:rsidRPr="00053C77">
              <w:rPr>
                <w:rFonts w:eastAsia="Times New Roman" w:cs="Arial"/>
                <w:color w:val="A02B93" w:themeColor="accent5"/>
                <w:szCs w:val="24"/>
                <w:lang w:eastAsia="en-GB"/>
              </w:rPr>
              <w:t>-92</w:t>
            </w:r>
          </w:p>
        </w:tc>
      </w:tr>
      <w:tr w:rsidR="00053C77" w:rsidRPr="00053C77" w14:paraId="5E26D8B3" w14:textId="77777777" w:rsidTr="00CD7E3F">
        <w:trPr>
          <w:trHeight w:val="300"/>
        </w:trPr>
        <w:tc>
          <w:tcPr>
            <w:tcW w:w="7840"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3D6487F0" w14:textId="77777777" w:rsidR="006E0AD6" w:rsidRPr="00053C77" w:rsidRDefault="006E0AD6" w:rsidP="006E0AD6">
            <w:pPr>
              <w:spacing w:after="0" w:line="240" w:lineRule="auto"/>
              <w:jc w:val="left"/>
              <w:rPr>
                <w:rFonts w:eastAsia="Times New Roman" w:cs="Arial"/>
                <w:color w:val="A02B93" w:themeColor="accent5"/>
                <w:szCs w:val="24"/>
                <w:lang w:eastAsia="en-GB"/>
              </w:rPr>
            </w:pPr>
            <w:r w:rsidRPr="00053C77">
              <w:rPr>
                <w:rFonts w:eastAsia="Times New Roman" w:cs="Arial"/>
                <w:color w:val="A02B93" w:themeColor="accent5"/>
                <w:szCs w:val="24"/>
                <w:lang w:eastAsia="en-GB"/>
              </w:rPr>
              <w:t>·</w:t>
            </w:r>
            <w:r w:rsidRPr="00053C77">
              <w:rPr>
                <w:rFonts w:eastAsia="Times New Roman" w:cs="Arial"/>
                <w:color w:val="A02B93" w:themeColor="accent5"/>
                <w:sz w:val="14"/>
                <w:szCs w:val="14"/>
                <w:lang w:eastAsia="en-GB"/>
              </w:rPr>
              <w:t xml:space="preserve">       </w:t>
            </w:r>
            <w:r w:rsidRPr="00053C77">
              <w:rPr>
                <w:rFonts w:eastAsia="Times New Roman" w:cs="Arial"/>
                <w:color w:val="A02B93" w:themeColor="accent5"/>
                <w:szCs w:val="24"/>
                <w:lang w:eastAsia="en-GB"/>
              </w:rPr>
              <w:t>Windfall allowance beyond 3 years (91 dpa) - 1/4/2028 to 1/4/2040</w:t>
            </w:r>
          </w:p>
        </w:tc>
        <w:tc>
          <w:tcPr>
            <w:tcW w:w="1360" w:type="dxa"/>
            <w:tcBorders>
              <w:top w:val="nil"/>
              <w:left w:val="nil"/>
              <w:bottom w:val="single" w:sz="4" w:space="0" w:color="auto"/>
              <w:right w:val="single" w:sz="4" w:space="0" w:color="auto"/>
            </w:tcBorders>
            <w:shd w:val="clear" w:color="auto" w:fill="DAE9F7" w:themeFill="text2" w:themeFillTint="1A"/>
            <w:vAlign w:val="center"/>
            <w:hideMark/>
          </w:tcPr>
          <w:p w14:paraId="54BFD3A2" w14:textId="77777777" w:rsidR="006E0AD6" w:rsidRPr="00053C77" w:rsidRDefault="006E0AD6" w:rsidP="006E0AD6">
            <w:pPr>
              <w:spacing w:after="0" w:line="240" w:lineRule="auto"/>
              <w:jc w:val="right"/>
              <w:rPr>
                <w:rFonts w:eastAsia="Times New Roman" w:cs="Arial"/>
                <w:color w:val="A02B93" w:themeColor="accent5"/>
                <w:szCs w:val="24"/>
                <w:lang w:eastAsia="en-GB"/>
              </w:rPr>
            </w:pPr>
            <w:r w:rsidRPr="00053C77">
              <w:rPr>
                <w:rFonts w:eastAsia="Times New Roman" w:cs="Arial"/>
                <w:color w:val="A02B93" w:themeColor="accent5"/>
                <w:szCs w:val="24"/>
                <w:lang w:eastAsia="en-GB"/>
              </w:rPr>
              <w:t>1092</w:t>
            </w:r>
          </w:p>
        </w:tc>
      </w:tr>
      <w:tr w:rsidR="00053C77" w:rsidRPr="00053C77" w14:paraId="487F8816" w14:textId="77777777" w:rsidTr="00CD7E3F">
        <w:trPr>
          <w:trHeight w:val="552"/>
        </w:trPr>
        <w:tc>
          <w:tcPr>
            <w:tcW w:w="7840"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1354259E" w14:textId="77777777" w:rsidR="006E0AD6" w:rsidRPr="00053C77" w:rsidRDefault="006E0AD6" w:rsidP="006E0AD6">
            <w:pPr>
              <w:spacing w:after="0" w:line="240" w:lineRule="auto"/>
              <w:jc w:val="left"/>
              <w:rPr>
                <w:rFonts w:eastAsia="Times New Roman" w:cs="Arial"/>
                <w:color w:val="A02B93" w:themeColor="accent5"/>
                <w:szCs w:val="24"/>
                <w:lang w:eastAsia="en-GB"/>
              </w:rPr>
            </w:pPr>
            <w:r w:rsidRPr="00053C77">
              <w:rPr>
                <w:rFonts w:eastAsia="Times New Roman" w:cs="Arial"/>
                <w:color w:val="A02B93" w:themeColor="accent5"/>
                <w:szCs w:val="24"/>
                <w:lang w:eastAsia="en-GB"/>
              </w:rPr>
              <w:t xml:space="preserve">Houses deliverable on </w:t>
            </w:r>
            <w:r w:rsidRPr="00053C77">
              <w:rPr>
                <w:rFonts w:eastAsia="Times New Roman" w:cs="Arial"/>
                <w:b/>
                <w:bCs/>
                <w:color w:val="A02B93" w:themeColor="accent5"/>
                <w:szCs w:val="24"/>
                <w:lang w:eastAsia="en-GB"/>
              </w:rPr>
              <w:t>large sites</w:t>
            </w:r>
            <w:r w:rsidRPr="00053C77">
              <w:rPr>
                <w:rFonts w:eastAsia="Times New Roman" w:cs="Arial"/>
                <w:color w:val="A02B93" w:themeColor="accent5"/>
                <w:szCs w:val="24"/>
                <w:lang w:eastAsia="en-GB"/>
              </w:rPr>
              <w:t xml:space="preserve"> 1/4/2024 to 31/3/2040</w:t>
            </w:r>
          </w:p>
        </w:tc>
        <w:tc>
          <w:tcPr>
            <w:tcW w:w="1360" w:type="dxa"/>
            <w:tcBorders>
              <w:top w:val="nil"/>
              <w:left w:val="nil"/>
              <w:bottom w:val="single" w:sz="4" w:space="0" w:color="auto"/>
              <w:right w:val="single" w:sz="4" w:space="0" w:color="auto"/>
            </w:tcBorders>
            <w:shd w:val="clear" w:color="auto" w:fill="DAE9F7" w:themeFill="text2" w:themeFillTint="1A"/>
            <w:vAlign w:val="center"/>
            <w:hideMark/>
          </w:tcPr>
          <w:p w14:paraId="1E33E908" w14:textId="77777777" w:rsidR="006E0AD6" w:rsidRPr="00053C77" w:rsidRDefault="006E0AD6" w:rsidP="006E0AD6">
            <w:pPr>
              <w:spacing w:after="0" w:line="240" w:lineRule="auto"/>
              <w:jc w:val="right"/>
              <w:rPr>
                <w:rFonts w:eastAsia="Times New Roman" w:cs="Arial"/>
                <w:color w:val="A02B93" w:themeColor="accent5"/>
                <w:szCs w:val="24"/>
                <w:lang w:eastAsia="en-GB"/>
              </w:rPr>
            </w:pPr>
            <w:r w:rsidRPr="00053C77">
              <w:rPr>
                <w:rFonts w:eastAsia="Times New Roman" w:cs="Arial"/>
                <w:color w:val="A02B93" w:themeColor="accent5"/>
                <w:szCs w:val="24"/>
                <w:lang w:eastAsia="en-GB"/>
              </w:rPr>
              <w:t> </w:t>
            </w:r>
          </w:p>
        </w:tc>
      </w:tr>
      <w:tr w:rsidR="00053C77" w:rsidRPr="00053C77" w14:paraId="4E37BB98" w14:textId="77777777" w:rsidTr="00CD7E3F">
        <w:trPr>
          <w:trHeight w:val="510"/>
        </w:trPr>
        <w:tc>
          <w:tcPr>
            <w:tcW w:w="7840"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5F9485F6" w14:textId="77777777" w:rsidR="006E0AD6" w:rsidRPr="00053C77" w:rsidRDefault="006E0AD6" w:rsidP="006E0AD6">
            <w:pPr>
              <w:spacing w:after="0" w:line="240" w:lineRule="auto"/>
              <w:jc w:val="left"/>
              <w:rPr>
                <w:rFonts w:eastAsia="Times New Roman" w:cs="Arial"/>
                <w:color w:val="A02B93" w:themeColor="accent5"/>
                <w:szCs w:val="24"/>
                <w:lang w:eastAsia="en-GB"/>
              </w:rPr>
            </w:pPr>
            <w:r w:rsidRPr="00053C77">
              <w:rPr>
                <w:rFonts w:eastAsia="Times New Roman" w:cs="Arial"/>
                <w:color w:val="A02B93" w:themeColor="accent5"/>
                <w:szCs w:val="24"/>
                <w:lang w:eastAsia="en-GB"/>
              </w:rPr>
              <w:t>·</w:t>
            </w:r>
            <w:r w:rsidRPr="00053C77">
              <w:rPr>
                <w:rFonts w:eastAsia="Times New Roman" w:cs="Arial"/>
                <w:color w:val="A02B93" w:themeColor="accent5"/>
                <w:sz w:val="14"/>
                <w:szCs w:val="14"/>
                <w:lang w:eastAsia="en-GB"/>
              </w:rPr>
              <w:t xml:space="preserve">       </w:t>
            </w:r>
            <w:r w:rsidRPr="00053C77">
              <w:rPr>
                <w:rFonts w:eastAsia="Times New Roman" w:cs="Arial"/>
                <w:color w:val="A02B93" w:themeColor="accent5"/>
                <w:szCs w:val="24"/>
                <w:lang w:eastAsia="en-GB"/>
              </w:rPr>
              <w:t xml:space="preserve">With planning permission </w:t>
            </w:r>
            <w:proofErr w:type="gramStart"/>
            <w:r w:rsidRPr="00053C77">
              <w:rPr>
                <w:rFonts w:eastAsia="Times New Roman" w:cs="Arial"/>
                <w:color w:val="A02B93" w:themeColor="accent5"/>
                <w:szCs w:val="24"/>
                <w:lang w:eastAsia="en-GB"/>
              </w:rPr>
              <w:t>at</w:t>
            </w:r>
            <w:proofErr w:type="gramEnd"/>
            <w:r w:rsidRPr="00053C77">
              <w:rPr>
                <w:rFonts w:eastAsia="Times New Roman" w:cs="Arial"/>
                <w:color w:val="A02B93" w:themeColor="accent5"/>
                <w:szCs w:val="24"/>
                <w:lang w:eastAsia="en-GB"/>
              </w:rPr>
              <w:t xml:space="preserve"> 1st October 2025</w:t>
            </w:r>
          </w:p>
        </w:tc>
        <w:tc>
          <w:tcPr>
            <w:tcW w:w="1360" w:type="dxa"/>
            <w:tcBorders>
              <w:top w:val="nil"/>
              <w:left w:val="nil"/>
              <w:bottom w:val="single" w:sz="4" w:space="0" w:color="auto"/>
              <w:right w:val="single" w:sz="4" w:space="0" w:color="auto"/>
            </w:tcBorders>
            <w:shd w:val="clear" w:color="auto" w:fill="DAE9F7" w:themeFill="text2" w:themeFillTint="1A"/>
            <w:vAlign w:val="center"/>
            <w:hideMark/>
          </w:tcPr>
          <w:p w14:paraId="5FE423A1" w14:textId="77777777" w:rsidR="006E0AD6" w:rsidRPr="00053C77" w:rsidRDefault="006E0AD6" w:rsidP="006E0AD6">
            <w:pPr>
              <w:spacing w:after="0" w:line="240" w:lineRule="auto"/>
              <w:jc w:val="right"/>
              <w:rPr>
                <w:rFonts w:eastAsia="Times New Roman" w:cs="Arial"/>
                <w:color w:val="A02B93" w:themeColor="accent5"/>
                <w:szCs w:val="24"/>
                <w:lang w:eastAsia="en-GB"/>
              </w:rPr>
            </w:pPr>
            <w:r w:rsidRPr="00053C77">
              <w:rPr>
                <w:rFonts w:eastAsia="Times New Roman" w:cs="Arial"/>
                <w:color w:val="A02B93" w:themeColor="accent5"/>
                <w:szCs w:val="24"/>
                <w:lang w:eastAsia="en-GB"/>
              </w:rPr>
              <w:t>2238</w:t>
            </w:r>
          </w:p>
        </w:tc>
      </w:tr>
      <w:tr w:rsidR="00053C77" w:rsidRPr="00053C77" w14:paraId="3BE03E05" w14:textId="77777777" w:rsidTr="00CD7E3F">
        <w:trPr>
          <w:trHeight w:val="300"/>
        </w:trPr>
        <w:tc>
          <w:tcPr>
            <w:tcW w:w="7840"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4B248378" w14:textId="77777777" w:rsidR="006E0AD6" w:rsidRPr="00053C77" w:rsidRDefault="006E0AD6" w:rsidP="006E0AD6">
            <w:pPr>
              <w:spacing w:after="0" w:line="240" w:lineRule="auto"/>
              <w:jc w:val="left"/>
              <w:rPr>
                <w:rFonts w:eastAsia="Times New Roman" w:cs="Arial"/>
                <w:color w:val="A02B93" w:themeColor="accent5"/>
                <w:szCs w:val="24"/>
                <w:lang w:eastAsia="en-GB"/>
              </w:rPr>
            </w:pPr>
            <w:r w:rsidRPr="00053C77">
              <w:rPr>
                <w:rFonts w:eastAsia="Times New Roman" w:cs="Arial"/>
                <w:color w:val="A02B93" w:themeColor="accent5"/>
                <w:szCs w:val="24"/>
                <w:lang w:eastAsia="en-GB"/>
              </w:rPr>
              <w:t>·</w:t>
            </w:r>
            <w:r w:rsidRPr="00053C77">
              <w:rPr>
                <w:rFonts w:eastAsia="Times New Roman" w:cs="Arial"/>
                <w:color w:val="A02B93" w:themeColor="accent5"/>
                <w:sz w:val="14"/>
                <w:szCs w:val="14"/>
                <w:lang w:eastAsia="en-GB"/>
              </w:rPr>
              <w:t xml:space="preserve">       </w:t>
            </w:r>
            <w:r w:rsidRPr="00053C77">
              <w:rPr>
                <w:rFonts w:eastAsia="Times New Roman" w:cs="Arial"/>
                <w:color w:val="A02B93" w:themeColor="accent5"/>
                <w:szCs w:val="24"/>
                <w:lang w:eastAsia="en-GB"/>
              </w:rPr>
              <w:t>Demolitions and other losses with planning permission at 1/4/25</w:t>
            </w:r>
          </w:p>
        </w:tc>
        <w:tc>
          <w:tcPr>
            <w:tcW w:w="1360" w:type="dxa"/>
            <w:tcBorders>
              <w:top w:val="nil"/>
              <w:left w:val="nil"/>
              <w:bottom w:val="single" w:sz="4" w:space="0" w:color="auto"/>
              <w:right w:val="single" w:sz="4" w:space="0" w:color="auto"/>
            </w:tcBorders>
            <w:shd w:val="clear" w:color="auto" w:fill="DAE9F7" w:themeFill="text2" w:themeFillTint="1A"/>
            <w:vAlign w:val="center"/>
            <w:hideMark/>
          </w:tcPr>
          <w:p w14:paraId="52D476D9" w14:textId="77777777" w:rsidR="006E0AD6" w:rsidRPr="00053C77" w:rsidRDefault="006E0AD6" w:rsidP="006E0AD6">
            <w:pPr>
              <w:spacing w:after="0" w:line="240" w:lineRule="auto"/>
              <w:jc w:val="right"/>
              <w:rPr>
                <w:rFonts w:eastAsia="Times New Roman" w:cs="Arial"/>
                <w:color w:val="A02B93" w:themeColor="accent5"/>
                <w:szCs w:val="24"/>
                <w:lang w:eastAsia="en-GB"/>
              </w:rPr>
            </w:pPr>
            <w:r w:rsidRPr="00053C77">
              <w:rPr>
                <w:rFonts w:eastAsia="Times New Roman" w:cs="Arial"/>
                <w:color w:val="A02B93" w:themeColor="accent5"/>
                <w:szCs w:val="24"/>
                <w:lang w:eastAsia="en-GB"/>
              </w:rPr>
              <w:t>0</w:t>
            </w:r>
          </w:p>
        </w:tc>
      </w:tr>
      <w:tr w:rsidR="00053C77" w:rsidRPr="00053C77" w14:paraId="7E166E9B" w14:textId="77777777" w:rsidTr="00CD7E3F">
        <w:trPr>
          <w:trHeight w:val="300"/>
        </w:trPr>
        <w:tc>
          <w:tcPr>
            <w:tcW w:w="7840"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24B821D5" w14:textId="77777777" w:rsidR="006E0AD6" w:rsidRPr="00053C77" w:rsidRDefault="006E0AD6" w:rsidP="006E0AD6">
            <w:pPr>
              <w:spacing w:after="0" w:line="240" w:lineRule="auto"/>
              <w:jc w:val="left"/>
              <w:rPr>
                <w:rFonts w:eastAsia="Times New Roman" w:cs="Arial"/>
                <w:color w:val="A02B93" w:themeColor="accent5"/>
                <w:szCs w:val="24"/>
                <w:lang w:eastAsia="en-GB"/>
              </w:rPr>
            </w:pPr>
            <w:r w:rsidRPr="00053C77">
              <w:rPr>
                <w:rFonts w:eastAsia="Times New Roman" w:cs="Arial"/>
                <w:color w:val="A02B93" w:themeColor="accent5"/>
                <w:szCs w:val="24"/>
                <w:lang w:eastAsia="en-GB"/>
              </w:rPr>
              <w:t>·</w:t>
            </w:r>
            <w:r w:rsidRPr="00053C77">
              <w:rPr>
                <w:rFonts w:eastAsia="Times New Roman" w:cs="Arial"/>
                <w:color w:val="A02B93" w:themeColor="accent5"/>
                <w:sz w:val="14"/>
                <w:szCs w:val="14"/>
                <w:lang w:eastAsia="en-GB"/>
              </w:rPr>
              <w:t xml:space="preserve">       </w:t>
            </w:r>
            <w:r w:rsidRPr="00053C77">
              <w:rPr>
                <w:rFonts w:eastAsia="Times New Roman" w:cs="Arial"/>
                <w:color w:val="A02B93" w:themeColor="accent5"/>
                <w:szCs w:val="24"/>
                <w:lang w:eastAsia="en-GB"/>
              </w:rPr>
              <w:t>Deduction to account for potential lapsed permissions</w:t>
            </w:r>
          </w:p>
        </w:tc>
        <w:tc>
          <w:tcPr>
            <w:tcW w:w="1360" w:type="dxa"/>
            <w:tcBorders>
              <w:top w:val="nil"/>
              <w:left w:val="nil"/>
              <w:bottom w:val="single" w:sz="4" w:space="0" w:color="auto"/>
              <w:right w:val="single" w:sz="4" w:space="0" w:color="auto"/>
            </w:tcBorders>
            <w:shd w:val="clear" w:color="auto" w:fill="DAE9F7" w:themeFill="text2" w:themeFillTint="1A"/>
            <w:vAlign w:val="center"/>
            <w:hideMark/>
          </w:tcPr>
          <w:p w14:paraId="46F69DF4" w14:textId="77777777" w:rsidR="006E0AD6" w:rsidRPr="00053C77" w:rsidRDefault="006E0AD6" w:rsidP="006E0AD6">
            <w:pPr>
              <w:spacing w:after="0" w:line="240" w:lineRule="auto"/>
              <w:jc w:val="right"/>
              <w:rPr>
                <w:rFonts w:eastAsia="Times New Roman" w:cs="Arial"/>
                <w:color w:val="A02B93" w:themeColor="accent5"/>
                <w:szCs w:val="24"/>
                <w:lang w:eastAsia="en-GB"/>
              </w:rPr>
            </w:pPr>
            <w:r w:rsidRPr="00053C77">
              <w:rPr>
                <w:rFonts w:eastAsia="Times New Roman" w:cs="Arial"/>
                <w:color w:val="A02B93" w:themeColor="accent5"/>
                <w:szCs w:val="24"/>
                <w:lang w:eastAsia="en-GB"/>
              </w:rPr>
              <w:t>-47</w:t>
            </w:r>
          </w:p>
        </w:tc>
      </w:tr>
      <w:tr w:rsidR="00053C77" w:rsidRPr="00053C77" w14:paraId="72D917B1" w14:textId="77777777" w:rsidTr="00CD7E3F">
        <w:trPr>
          <w:trHeight w:val="300"/>
        </w:trPr>
        <w:tc>
          <w:tcPr>
            <w:tcW w:w="7840"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3D9E2FC3" w14:textId="77777777" w:rsidR="006E0AD6" w:rsidRPr="00053C77" w:rsidRDefault="006E0AD6" w:rsidP="006E0AD6">
            <w:pPr>
              <w:spacing w:after="0" w:line="240" w:lineRule="auto"/>
              <w:jc w:val="left"/>
              <w:rPr>
                <w:rFonts w:eastAsia="Times New Roman" w:cs="Arial"/>
                <w:color w:val="A02B93" w:themeColor="accent5"/>
                <w:szCs w:val="24"/>
                <w:lang w:eastAsia="en-GB"/>
              </w:rPr>
            </w:pPr>
            <w:r w:rsidRPr="00053C77">
              <w:rPr>
                <w:rFonts w:eastAsia="Times New Roman" w:cs="Arial"/>
                <w:color w:val="A02B93" w:themeColor="accent5"/>
                <w:szCs w:val="24"/>
                <w:lang w:eastAsia="en-GB"/>
              </w:rPr>
              <w:t>·</w:t>
            </w:r>
            <w:r w:rsidRPr="00053C77">
              <w:rPr>
                <w:rFonts w:eastAsia="Times New Roman" w:cs="Arial"/>
                <w:color w:val="A02B93" w:themeColor="accent5"/>
                <w:sz w:val="14"/>
                <w:szCs w:val="14"/>
                <w:lang w:eastAsia="en-GB"/>
              </w:rPr>
              <w:t xml:space="preserve">       </w:t>
            </w:r>
            <w:r w:rsidRPr="00053C77">
              <w:rPr>
                <w:rFonts w:eastAsia="Times New Roman" w:cs="Arial"/>
                <w:color w:val="A02B93" w:themeColor="accent5"/>
                <w:szCs w:val="24"/>
                <w:lang w:eastAsia="en-GB"/>
              </w:rPr>
              <w:t>Delivery from H1 allocated sites without planning permission</w:t>
            </w:r>
          </w:p>
        </w:tc>
        <w:tc>
          <w:tcPr>
            <w:tcW w:w="1360" w:type="dxa"/>
            <w:tcBorders>
              <w:top w:val="nil"/>
              <w:left w:val="nil"/>
              <w:bottom w:val="single" w:sz="4" w:space="0" w:color="auto"/>
              <w:right w:val="single" w:sz="4" w:space="0" w:color="auto"/>
            </w:tcBorders>
            <w:shd w:val="clear" w:color="auto" w:fill="DAE9F7" w:themeFill="text2" w:themeFillTint="1A"/>
            <w:vAlign w:val="center"/>
            <w:hideMark/>
          </w:tcPr>
          <w:p w14:paraId="789B24A0" w14:textId="77777777" w:rsidR="006E0AD6" w:rsidRPr="00053C77" w:rsidRDefault="006E0AD6" w:rsidP="006E0AD6">
            <w:pPr>
              <w:spacing w:after="0" w:line="240" w:lineRule="auto"/>
              <w:jc w:val="right"/>
              <w:rPr>
                <w:rFonts w:eastAsia="Times New Roman" w:cs="Arial"/>
                <w:color w:val="A02B93" w:themeColor="accent5"/>
                <w:szCs w:val="24"/>
                <w:lang w:eastAsia="en-GB"/>
              </w:rPr>
            </w:pPr>
            <w:r w:rsidRPr="00053C77">
              <w:rPr>
                <w:rFonts w:eastAsia="Times New Roman" w:cs="Arial"/>
                <w:color w:val="A02B93" w:themeColor="accent5"/>
                <w:szCs w:val="24"/>
                <w:lang w:eastAsia="en-GB"/>
              </w:rPr>
              <w:t>3728</w:t>
            </w:r>
          </w:p>
        </w:tc>
      </w:tr>
      <w:tr w:rsidR="00053C77" w:rsidRPr="00053C77" w14:paraId="031E2C76" w14:textId="77777777" w:rsidTr="00CD7E3F">
        <w:trPr>
          <w:trHeight w:val="300"/>
        </w:trPr>
        <w:tc>
          <w:tcPr>
            <w:tcW w:w="7840"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0D6ECE06" w14:textId="77777777" w:rsidR="006E0AD6" w:rsidRPr="00053C77" w:rsidRDefault="006E0AD6" w:rsidP="006E0AD6">
            <w:pPr>
              <w:spacing w:after="0" w:line="240" w:lineRule="auto"/>
              <w:jc w:val="left"/>
              <w:rPr>
                <w:rFonts w:eastAsia="Times New Roman" w:cs="Arial"/>
                <w:color w:val="A02B93" w:themeColor="accent5"/>
                <w:szCs w:val="24"/>
                <w:lang w:eastAsia="en-GB"/>
              </w:rPr>
            </w:pPr>
            <w:r w:rsidRPr="00053C77">
              <w:rPr>
                <w:rFonts w:eastAsia="Times New Roman" w:cs="Arial"/>
                <w:color w:val="A02B93" w:themeColor="accent5"/>
                <w:szCs w:val="24"/>
                <w:lang w:eastAsia="en-GB"/>
              </w:rPr>
              <w:t>Provision from C2 residential institutions (dwelling equivalent) at 1/4/25</w:t>
            </w:r>
          </w:p>
        </w:tc>
        <w:tc>
          <w:tcPr>
            <w:tcW w:w="1360" w:type="dxa"/>
            <w:tcBorders>
              <w:top w:val="nil"/>
              <w:left w:val="nil"/>
              <w:bottom w:val="single" w:sz="4" w:space="0" w:color="auto"/>
              <w:right w:val="single" w:sz="4" w:space="0" w:color="auto"/>
            </w:tcBorders>
            <w:shd w:val="clear" w:color="auto" w:fill="DAE9F7" w:themeFill="text2" w:themeFillTint="1A"/>
            <w:vAlign w:val="center"/>
            <w:hideMark/>
          </w:tcPr>
          <w:p w14:paraId="6EE2853B" w14:textId="77777777" w:rsidR="006E0AD6" w:rsidRPr="00053C77" w:rsidRDefault="006E0AD6" w:rsidP="006E0AD6">
            <w:pPr>
              <w:spacing w:after="0" w:line="240" w:lineRule="auto"/>
              <w:jc w:val="right"/>
              <w:rPr>
                <w:rFonts w:eastAsia="Times New Roman" w:cs="Arial"/>
                <w:color w:val="A02B93" w:themeColor="accent5"/>
                <w:szCs w:val="24"/>
                <w:lang w:eastAsia="en-GB"/>
              </w:rPr>
            </w:pPr>
            <w:r w:rsidRPr="00053C77">
              <w:rPr>
                <w:rFonts w:eastAsia="Times New Roman" w:cs="Arial"/>
                <w:color w:val="A02B93" w:themeColor="accent5"/>
                <w:szCs w:val="24"/>
                <w:lang w:eastAsia="en-GB"/>
              </w:rPr>
              <w:t>7</w:t>
            </w:r>
          </w:p>
        </w:tc>
      </w:tr>
      <w:tr w:rsidR="00053C77" w:rsidRPr="00053C77" w14:paraId="1C9D43E9" w14:textId="77777777" w:rsidTr="00CD7E3F">
        <w:trPr>
          <w:trHeight w:val="315"/>
        </w:trPr>
        <w:tc>
          <w:tcPr>
            <w:tcW w:w="7840"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379C6071" w14:textId="77777777" w:rsidR="006E0AD6" w:rsidRPr="00053C77" w:rsidRDefault="006E0AD6" w:rsidP="006E0AD6">
            <w:pPr>
              <w:spacing w:after="0" w:line="240" w:lineRule="auto"/>
              <w:jc w:val="left"/>
              <w:rPr>
                <w:rFonts w:eastAsia="Times New Roman" w:cs="Arial"/>
                <w:b/>
                <w:bCs/>
                <w:color w:val="A02B93" w:themeColor="accent5"/>
                <w:szCs w:val="24"/>
                <w:lang w:eastAsia="en-GB"/>
              </w:rPr>
            </w:pPr>
            <w:r w:rsidRPr="00053C77">
              <w:rPr>
                <w:rFonts w:eastAsia="Times New Roman" w:cs="Arial"/>
                <w:b/>
                <w:bCs/>
                <w:color w:val="A02B93" w:themeColor="accent5"/>
                <w:szCs w:val="24"/>
                <w:lang w:eastAsia="en-GB"/>
              </w:rPr>
              <w:t>Total housing supply 1/4/2025 to 31/3/2040</w:t>
            </w:r>
            <w:r w:rsidRPr="00053C77">
              <w:rPr>
                <w:rFonts w:eastAsia="Times New Roman" w:cs="Arial"/>
                <w:color w:val="A02B93" w:themeColor="accent5"/>
                <w:szCs w:val="24"/>
                <w:lang w:eastAsia="en-GB"/>
              </w:rPr>
              <w:t xml:space="preserve"> </w:t>
            </w:r>
          </w:p>
        </w:tc>
        <w:tc>
          <w:tcPr>
            <w:tcW w:w="1360" w:type="dxa"/>
            <w:tcBorders>
              <w:top w:val="nil"/>
              <w:left w:val="nil"/>
              <w:bottom w:val="single" w:sz="4" w:space="0" w:color="auto"/>
              <w:right w:val="single" w:sz="4" w:space="0" w:color="auto"/>
            </w:tcBorders>
            <w:shd w:val="clear" w:color="auto" w:fill="DAE9F7" w:themeFill="text2" w:themeFillTint="1A"/>
            <w:vAlign w:val="center"/>
            <w:hideMark/>
          </w:tcPr>
          <w:p w14:paraId="052CA407" w14:textId="77777777" w:rsidR="006E0AD6" w:rsidRPr="00053C77" w:rsidRDefault="006E0AD6" w:rsidP="006E0AD6">
            <w:pPr>
              <w:spacing w:after="0" w:line="240" w:lineRule="auto"/>
              <w:jc w:val="right"/>
              <w:rPr>
                <w:rFonts w:eastAsia="Times New Roman" w:cs="Arial"/>
                <w:b/>
                <w:bCs/>
                <w:color w:val="A02B93" w:themeColor="accent5"/>
                <w:szCs w:val="24"/>
                <w:lang w:eastAsia="en-GB"/>
              </w:rPr>
            </w:pPr>
            <w:r w:rsidRPr="00053C77">
              <w:rPr>
                <w:rFonts w:eastAsia="Times New Roman" w:cs="Arial"/>
                <w:b/>
                <w:bCs/>
                <w:color w:val="A02B93" w:themeColor="accent5"/>
                <w:szCs w:val="24"/>
                <w:lang w:eastAsia="en-GB"/>
              </w:rPr>
              <w:t>7266</w:t>
            </w:r>
          </w:p>
        </w:tc>
      </w:tr>
      <w:tr w:rsidR="00053C77" w:rsidRPr="00053C77" w14:paraId="05EB6C1B" w14:textId="77777777" w:rsidTr="006E0AD6">
        <w:trPr>
          <w:trHeight w:val="300"/>
        </w:trPr>
        <w:tc>
          <w:tcPr>
            <w:tcW w:w="7840" w:type="dxa"/>
            <w:tcBorders>
              <w:top w:val="nil"/>
              <w:left w:val="nil"/>
              <w:bottom w:val="nil"/>
              <w:right w:val="nil"/>
            </w:tcBorders>
            <w:noWrap/>
            <w:vAlign w:val="center"/>
            <w:hideMark/>
          </w:tcPr>
          <w:p w14:paraId="5843114B" w14:textId="77777777" w:rsidR="006E0AD6" w:rsidRPr="00053C77" w:rsidRDefault="006E0AD6" w:rsidP="006E0AD6">
            <w:pPr>
              <w:spacing w:after="0" w:line="240" w:lineRule="auto"/>
              <w:jc w:val="right"/>
              <w:rPr>
                <w:rFonts w:eastAsia="Times New Roman" w:cs="Arial"/>
                <w:b/>
                <w:bCs/>
                <w:color w:val="A02B93" w:themeColor="accent5"/>
                <w:szCs w:val="24"/>
                <w:lang w:eastAsia="en-GB"/>
              </w:rPr>
            </w:pPr>
          </w:p>
        </w:tc>
        <w:tc>
          <w:tcPr>
            <w:tcW w:w="1360" w:type="dxa"/>
            <w:tcBorders>
              <w:top w:val="nil"/>
              <w:left w:val="nil"/>
              <w:bottom w:val="nil"/>
              <w:right w:val="nil"/>
            </w:tcBorders>
            <w:noWrap/>
            <w:vAlign w:val="bottom"/>
            <w:hideMark/>
          </w:tcPr>
          <w:p w14:paraId="1FFB474F" w14:textId="77777777" w:rsidR="006E0AD6" w:rsidRPr="00053C77" w:rsidRDefault="006E0AD6" w:rsidP="006E0AD6">
            <w:pPr>
              <w:spacing w:after="0" w:line="240" w:lineRule="auto"/>
              <w:rPr>
                <w:rFonts w:ascii="Times New Roman" w:eastAsia="Times New Roman" w:hAnsi="Times New Roman" w:cs="Times New Roman"/>
                <w:color w:val="A02B93" w:themeColor="accent5"/>
                <w:sz w:val="20"/>
                <w:szCs w:val="20"/>
                <w:lang w:eastAsia="en-GB"/>
              </w:rPr>
            </w:pPr>
          </w:p>
        </w:tc>
      </w:tr>
      <w:tr w:rsidR="00053C77" w:rsidRPr="00053C77" w14:paraId="0F9FEB87" w14:textId="77777777" w:rsidTr="006E0AD6">
        <w:trPr>
          <w:trHeight w:val="315"/>
        </w:trPr>
        <w:tc>
          <w:tcPr>
            <w:tcW w:w="784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39F0972" w14:textId="77777777" w:rsidR="006E0AD6" w:rsidRPr="00465D76" w:rsidRDefault="006E0AD6" w:rsidP="006E0AD6">
            <w:pPr>
              <w:spacing w:after="0" w:line="240" w:lineRule="auto"/>
              <w:jc w:val="left"/>
              <w:rPr>
                <w:rFonts w:eastAsia="Times New Roman" w:cs="Arial"/>
                <w:b/>
                <w:bCs/>
                <w:color w:val="77206D" w:themeColor="accent5" w:themeShade="BF"/>
                <w:szCs w:val="24"/>
                <w:lang w:eastAsia="en-GB"/>
              </w:rPr>
            </w:pPr>
            <w:r w:rsidRPr="00465D76">
              <w:rPr>
                <w:rFonts w:eastAsia="Times New Roman" w:cs="Arial"/>
                <w:b/>
                <w:bCs/>
                <w:color w:val="77206D" w:themeColor="accent5" w:themeShade="BF"/>
                <w:szCs w:val="24"/>
                <w:lang w:eastAsia="en-GB"/>
              </w:rPr>
              <w:t>Net Under or Over Provision</w:t>
            </w:r>
          </w:p>
        </w:tc>
        <w:tc>
          <w:tcPr>
            <w:tcW w:w="1360" w:type="dxa"/>
            <w:tcBorders>
              <w:top w:val="single" w:sz="4" w:space="0" w:color="auto"/>
              <w:left w:val="nil"/>
              <w:bottom w:val="single" w:sz="4" w:space="0" w:color="auto"/>
              <w:right w:val="single" w:sz="4" w:space="0" w:color="auto"/>
            </w:tcBorders>
            <w:shd w:val="clear" w:color="000000" w:fill="BFBFBF"/>
            <w:vAlign w:val="center"/>
            <w:hideMark/>
          </w:tcPr>
          <w:p w14:paraId="773A38BF" w14:textId="77777777" w:rsidR="006E0AD6" w:rsidRPr="00465D76" w:rsidRDefault="006E0AD6" w:rsidP="006E0AD6">
            <w:pPr>
              <w:spacing w:after="0" w:line="240" w:lineRule="auto"/>
              <w:jc w:val="left"/>
              <w:rPr>
                <w:rFonts w:eastAsia="Times New Roman" w:cs="Arial"/>
                <w:b/>
                <w:bCs/>
                <w:color w:val="77206D" w:themeColor="accent5" w:themeShade="BF"/>
                <w:szCs w:val="24"/>
                <w:lang w:eastAsia="en-GB"/>
              </w:rPr>
            </w:pPr>
            <w:r w:rsidRPr="00465D76">
              <w:rPr>
                <w:rFonts w:eastAsia="Times New Roman" w:cs="Arial"/>
                <w:b/>
                <w:bCs/>
                <w:color w:val="77206D" w:themeColor="accent5" w:themeShade="BF"/>
                <w:szCs w:val="24"/>
                <w:lang w:eastAsia="en-GB"/>
              </w:rPr>
              <w:t>Dwellings</w:t>
            </w:r>
          </w:p>
        </w:tc>
      </w:tr>
      <w:tr w:rsidR="006E0AD6" w:rsidRPr="00053C77" w14:paraId="0CBE6CB0" w14:textId="77777777" w:rsidTr="006E0AD6">
        <w:trPr>
          <w:trHeight w:val="499"/>
        </w:trPr>
        <w:tc>
          <w:tcPr>
            <w:tcW w:w="7840" w:type="dxa"/>
            <w:tcBorders>
              <w:top w:val="nil"/>
              <w:left w:val="single" w:sz="4" w:space="0" w:color="auto"/>
              <w:bottom w:val="single" w:sz="4" w:space="0" w:color="auto"/>
              <w:right w:val="single" w:sz="4" w:space="0" w:color="auto"/>
            </w:tcBorders>
            <w:shd w:val="clear" w:color="000000" w:fill="BFBFBF"/>
            <w:vAlign w:val="center"/>
            <w:hideMark/>
          </w:tcPr>
          <w:p w14:paraId="051B6281" w14:textId="77777777" w:rsidR="006E0AD6" w:rsidRPr="00465D76" w:rsidRDefault="006E0AD6" w:rsidP="006E0AD6">
            <w:pPr>
              <w:spacing w:after="0" w:line="240" w:lineRule="auto"/>
              <w:rPr>
                <w:rFonts w:eastAsia="Times New Roman" w:cs="Arial"/>
                <w:color w:val="77206D" w:themeColor="accent5" w:themeShade="BF"/>
                <w:szCs w:val="24"/>
                <w:lang w:eastAsia="en-GB"/>
              </w:rPr>
            </w:pPr>
            <w:r w:rsidRPr="00465D76">
              <w:rPr>
                <w:rFonts w:eastAsia="Times New Roman" w:cs="Arial"/>
                <w:color w:val="77206D" w:themeColor="accent5" w:themeShade="BF"/>
                <w:szCs w:val="24"/>
                <w:lang w:eastAsia="en-GB"/>
              </w:rPr>
              <w:t>Provision against Local Housing Need 2023 to 2040</w:t>
            </w:r>
          </w:p>
        </w:tc>
        <w:tc>
          <w:tcPr>
            <w:tcW w:w="1360" w:type="dxa"/>
            <w:tcBorders>
              <w:top w:val="nil"/>
              <w:left w:val="nil"/>
              <w:bottom w:val="single" w:sz="4" w:space="0" w:color="auto"/>
              <w:right w:val="single" w:sz="4" w:space="0" w:color="auto"/>
            </w:tcBorders>
            <w:shd w:val="clear" w:color="000000" w:fill="BFBFBF"/>
            <w:vAlign w:val="center"/>
            <w:hideMark/>
          </w:tcPr>
          <w:p w14:paraId="069E94C8" w14:textId="77777777" w:rsidR="006E0AD6" w:rsidRPr="00465D76" w:rsidRDefault="006E0AD6" w:rsidP="006E0AD6">
            <w:pPr>
              <w:spacing w:after="0" w:line="240" w:lineRule="auto"/>
              <w:jc w:val="right"/>
              <w:rPr>
                <w:rFonts w:eastAsia="Times New Roman" w:cs="Arial"/>
                <w:color w:val="77206D" w:themeColor="accent5" w:themeShade="BF"/>
                <w:szCs w:val="24"/>
                <w:lang w:eastAsia="en-GB"/>
              </w:rPr>
            </w:pPr>
            <w:r w:rsidRPr="00465D76">
              <w:rPr>
                <w:rFonts w:eastAsia="Times New Roman" w:cs="Arial"/>
                <w:color w:val="77206D" w:themeColor="accent5" w:themeShade="BF"/>
                <w:szCs w:val="24"/>
                <w:lang w:eastAsia="en-GB"/>
              </w:rPr>
              <w:t>591</w:t>
            </w:r>
          </w:p>
        </w:tc>
      </w:tr>
    </w:tbl>
    <w:p w14:paraId="0F4C7A2D" w14:textId="77777777" w:rsidR="00EC4147" w:rsidRPr="00053C77" w:rsidRDefault="00EC4147" w:rsidP="00A32EA0">
      <w:pPr>
        <w:pStyle w:val="ListParagraph"/>
        <w:numPr>
          <w:ilvl w:val="1"/>
          <w:numId w:val="0"/>
        </w:numPr>
        <w:ind w:left="709" w:hanging="709"/>
        <w:jc w:val="left"/>
        <w:rPr>
          <w:rFonts w:ascii="Helvetica" w:hAnsi="Helvetica" w:cs="Helvetica"/>
          <w:color w:val="A02B93" w:themeColor="accent5"/>
          <w:szCs w:val="24"/>
          <w14:ligatures w14:val="standardContextual"/>
        </w:rPr>
      </w:pPr>
    </w:p>
    <w:p w14:paraId="563C8380" w14:textId="77777777" w:rsidR="00EC4147" w:rsidRPr="00053C77" w:rsidRDefault="00EC4147" w:rsidP="00A32EA0">
      <w:pPr>
        <w:pStyle w:val="ListParagraph"/>
        <w:numPr>
          <w:ilvl w:val="1"/>
          <w:numId w:val="0"/>
        </w:numPr>
        <w:ind w:left="709" w:hanging="709"/>
        <w:jc w:val="left"/>
        <w:rPr>
          <w:rFonts w:ascii="Helvetica" w:hAnsi="Helvetica" w:cs="Helvetica"/>
          <w:color w:val="A02B93" w:themeColor="accent5"/>
          <w:szCs w:val="24"/>
          <w14:ligatures w14:val="standardContextual"/>
        </w:rPr>
      </w:pPr>
    </w:p>
    <w:p w14:paraId="0BF35B52" w14:textId="4AAE3B2F" w:rsidR="00A32EA0" w:rsidRPr="00053C77" w:rsidRDefault="00EC4147" w:rsidP="00A32EA0">
      <w:pPr>
        <w:pStyle w:val="ListParagraph"/>
        <w:numPr>
          <w:ilvl w:val="1"/>
          <w:numId w:val="0"/>
        </w:numPr>
        <w:ind w:left="709" w:hanging="709"/>
        <w:jc w:val="left"/>
        <w:rPr>
          <w:rFonts w:ascii="Helvetica" w:hAnsi="Helvetica" w:cs="Helvetica"/>
          <w:color w:val="A02B93" w:themeColor="accent5"/>
          <w:szCs w:val="24"/>
          <w14:ligatures w14:val="standardContextual"/>
        </w:rPr>
      </w:pPr>
      <w:r w:rsidRPr="00053C77">
        <w:rPr>
          <w:rFonts w:ascii="Helvetica" w:hAnsi="Helvetica" w:cs="Helvetica"/>
          <w:color w:val="A02B93" w:themeColor="accent5"/>
          <w:szCs w:val="24"/>
          <w14:ligatures w14:val="standardContextual"/>
        </w:rPr>
        <w:t xml:space="preserve"> </w:t>
      </w:r>
      <w:r w:rsidR="004B42F4" w:rsidRPr="00053C77">
        <w:rPr>
          <w:rFonts w:ascii="Helvetica" w:hAnsi="Helvetica" w:cs="Helvetica"/>
          <w:color w:val="A02B93" w:themeColor="accent5"/>
          <w:szCs w:val="24"/>
          <w14:ligatures w14:val="standardContextual"/>
        </w:rPr>
        <w:t>2.7.8</w:t>
      </w:r>
      <w:r w:rsidR="004B42F4" w:rsidRPr="00053C77">
        <w:rPr>
          <w:rFonts w:ascii="Helvetica" w:hAnsi="Helvetica" w:cs="Helvetica"/>
          <w:color w:val="A02B93" w:themeColor="accent5"/>
          <w:szCs w:val="24"/>
          <w14:ligatures w14:val="standardContextual"/>
        </w:rPr>
        <w:tab/>
      </w:r>
      <w:r w:rsidRPr="00053C77">
        <w:rPr>
          <w:rFonts w:ascii="Helvetica" w:hAnsi="Helvetica" w:cs="Helvetica"/>
          <w:color w:val="A02B93" w:themeColor="accent5"/>
          <w:szCs w:val="24"/>
          <w14:ligatures w14:val="standardContextual"/>
        </w:rPr>
        <w:t>Including the new sites</w:t>
      </w:r>
      <w:r w:rsidR="00A32EA0" w:rsidRPr="00053C77">
        <w:rPr>
          <w:rFonts w:ascii="Helvetica" w:hAnsi="Helvetica" w:cs="Helvetica"/>
          <w:color w:val="A02B93" w:themeColor="accent5"/>
          <w:szCs w:val="24"/>
          <w14:ligatures w14:val="standardContextual"/>
        </w:rPr>
        <w:t xml:space="preserve"> </w:t>
      </w:r>
      <w:r w:rsidR="004B42F4" w:rsidRPr="00053C77">
        <w:rPr>
          <w:rFonts w:ascii="Helvetica" w:hAnsi="Helvetica" w:cs="Helvetica"/>
          <w:color w:val="A02B93" w:themeColor="accent5"/>
          <w:szCs w:val="24"/>
          <w14:ligatures w14:val="standardContextual"/>
        </w:rPr>
        <w:t xml:space="preserve">and using the most up to date information for completions and commitments results in an </w:t>
      </w:r>
      <w:r w:rsidR="00A32EA0" w:rsidRPr="00053C77">
        <w:rPr>
          <w:rFonts w:ascii="Helvetica" w:hAnsi="Helvetica" w:cs="Helvetica"/>
          <w:color w:val="A02B93" w:themeColor="accent5"/>
          <w:szCs w:val="24"/>
          <w14:ligatures w14:val="standardContextual"/>
        </w:rPr>
        <w:t xml:space="preserve">over provision of </w:t>
      </w:r>
      <w:r w:rsidR="004B42F4" w:rsidRPr="00053C77">
        <w:rPr>
          <w:rFonts w:ascii="Helvetica" w:hAnsi="Helvetica" w:cs="Helvetica"/>
          <w:color w:val="A02B93" w:themeColor="accent5"/>
          <w:szCs w:val="24"/>
          <w14:ligatures w14:val="standardContextual"/>
        </w:rPr>
        <w:t>591</w:t>
      </w:r>
      <w:r w:rsidR="00A32EA0" w:rsidRPr="00053C77">
        <w:rPr>
          <w:rFonts w:ascii="Helvetica" w:hAnsi="Helvetica" w:cs="Helvetica"/>
          <w:color w:val="A02B93" w:themeColor="accent5"/>
          <w:szCs w:val="24"/>
          <w14:ligatures w14:val="standardContextual"/>
        </w:rPr>
        <w:t xml:space="preserve"> dwellings</w:t>
      </w:r>
      <w:r w:rsidR="004B42F4" w:rsidRPr="00053C77">
        <w:rPr>
          <w:rFonts w:ascii="Helvetica" w:hAnsi="Helvetica" w:cs="Helvetica"/>
          <w:color w:val="A02B93" w:themeColor="accent5"/>
          <w:szCs w:val="24"/>
          <w14:ligatures w14:val="standardContextual"/>
        </w:rPr>
        <w:t xml:space="preserve"> over the plan period. This is</w:t>
      </w:r>
      <w:r w:rsidR="00A32EA0" w:rsidRPr="00053C77">
        <w:rPr>
          <w:rFonts w:ascii="Helvetica" w:hAnsi="Helvetica" w:cs="Helvetica"/>
          <w:color w:val="A02B93" w:themeColor="accent5"/>
          <w:szCs w:val="24"/>
          <w14:ligatures w14:val="standardContextual"/>
        </w:rPr>
        <w:t xml:space="preserve"> the equivalent of </w:t>
      </w:r>
      <w:r w:rsidR="004B42F4" w:rsidRPr="00053C77">
        <w:rPr>
          <w:rFonts w:ascii="Helvetica" w:hAnsi="Helvetica" w:cs="Helvetica"/>
          <w:color w:val="A02B93" w:themeColor="accent5"/>
          <w:szCs w:val="24"/>
          <w14:ligatures w14:val="standardContextual"/>
        </w:rPr>
        <w:t>having an 8.9</w:t>
      </w:r>
      <w:r w:rsidR="00A32EA0" w:rsidRPr="00053C77">
        <w:rPr>
          <w:rFonts w:ascii="Helvetica" w:hAnsi="Helvetica" w:cs="Helvetica"/>
          <w:color w:val="A02B93" w:themeColor="accent5"/>
          <w:szCs w:val="24"/>
          <w14:ligatures w14:val="standardContextual"/>
        </w:rPr>
        <w:t>% buffer on the balance of housing need.</w:t>
      </w:r>
    </w:p>
    <w:p w14:paraId="4E259C4C" w14:textId="12030C1E" w:rsidR="000122FC" w:rsidRDefault="000122FC" w:rsidP="00E1633E">
      <w:pPr>
        <w:ind w:left="720" w:hanging="720"/>
        <w:jc w:val="left"/>
      </w:pPr>
    </w:p>
    <w:p w14:paraId="5A302988" w14:textId="401DB13F" w:rsidR="003626FF" w:rsidRDefault="003626FF" w:rsidP="000122FC">
      <w:pPr>
        <w:spacing w:line="259" w:lineRule="auto"/>
        <w:jc w:val="left"/>
        <w:rPr>
          <w:rFonts w:eastAsiaTheme="majorEastAsia" w:cstheme="majorBidi"/>
          <w:b/>
          <w:bCs/>
          <w:sz w:val="28"/>
          <w:szCs w:val="28"/>
        </w:rPr>
      </w:pPr>
      <w:r>
        <w:br w:type="page"/>
      </w:r>
    </w:p>
    <w:p w14:paraId="39654907" w14:textId="2EA7107C" w:rsidR="005B2FA0" w:rsidRDefault="005B2FA0" w:rsidP="00F46F28">
      <w:pPr>
        <w:pStyle w:val="Heading2"/>
        <w:jc w:val="left"/>
      </w:pPr>
      <w:r>
        <w:lastRenderedPageBreak/>
        <w:t>Issue 2: Whether the plan will deliver an appropriate mix of housing to meet the various housing needs over the plan period and whether these are justified, effective and consistent with national policy.</w:t>
      </w:r>
    </w:p>
    <w:p w14:paraId="6BBD8CD2" w14:textId="77777777" w:rsidR="005B2FA0" w:rsidRPr="005B2FA0" w:rsidRDefault="005B2FA0" w:rsidP="00F46F28">
      <w:pPr>
        <w:jc w:val="left"/>
      </w:pPr>
    </w:p>
    <w:p w14:paraId="4C24F261" w14:textId="301F53AC" w:rsidR="005B2FA0" w:rsidRPr="003D1036" w:rsidRDefault="005B2FA0" w:rsidP="005D13C3">
      <w:pPr>
        <w:pStyle w:val="Heading3"/>
      </w:pPr>
      <w:r w:rsidRPr="003D1036">
        <w:t>2.8</w:t>
      </w:r>
      <w:r w:rsidR="005D13C3">
        <w:tab/>
      </w:r>
      <w:r w:rsidRPr="003D1036">
        <w:t>How does the need for affordable housing compare to the housing requirement? Based</w:t>
      </w:r>
      <w:r w:rsidR="003D1036" w:rsidRPr="003D1036">
        <w:t xml:space="preserve"> </w:t>
      </w:r>
      <w:r w:rsidRPr="003D1036">
        <w:t>on the thresholds and requirements in Policy H3, will affordable housing needs be met?</w:t>
      </w:r>
    </w:p>
    <w:p w14:paraId="4E8B21AA" w14:textId="77777777" w:rsidR="003D1036" w:rsidRPr="00156B97" w:rsidRDefault="003D1036" w:rsidP="00F46F28">
      <w:pPr>
        <w:jc w:val="left"/>
        <w:rPr>
          <w:u w:val="single"/>
        </w:rPr>
      </w:pPr>
      <w:r w:rsidRPr="00156B97">
        <w:rPr>
          <w:u w:val="single"/>
        </w:rPr>
        <w:t>Council’s response</w:t>
      </w:r>
    </w:p>
    <w:p w14:paraId="5A7A8BCC" w14:textId="758EC605" w:rsidR="00A64814" w:rsidRDefault="00975CC1" w:rsidP="00975CC1">
      <w:pPr>
        <w:ind w:left="720" w:hanging="720"/>
        <w:jc w:val="left"/>
      </w:pPr>
      <w:r>
        <w:t>2.8.1</w:t>
      </w:r>
      <w:r>
        <w:tab/>
      </w:r>
      <w:r w:rsidR="00F9458E" w:rsidRPr="00F9458E">
        <w:t xml:space="preserve">The </w:t>
      </w:r>
      <w:r w:rsidR="00901DFC">
        <w:t>Greater Nottingham &amp; Ashfield</w:t>
      </w:r>
      <w:r w:rsidR="00F9458E" w:rsidRPr="00F9458E">
        <w:t xml:space="preserve"> Housing Need</w:t>
      </w:r>
      <w:r w:rsidR="00901DFC">
        <w:t>s</w:t>
      </w:r>
      <w:r w:rsidR="00F9458E" w:rsidRPr="00F9458E">
        <w:t xml:space="preserve"> Assessment</w:t>
      </w:r>
      <w:r w:rsidR="00901DFC">
        <w:t xml:space="preserve"> 2020 [SEV.19</w:t>
      </w:r>
      <w:r w:rsidR="00CC19B5">
        <w:t>]</w:t>
      </w:r>
      <w:r w:rsidR="00CC19B5" w:rsidRPr="00F9458E">
        <w:t xml:space="preserve"> identified</w:t>
      </w:r>
      <w:r w:rsidR="00F9458E" w:rsidRPr="00F9458E">
        <w:t xml:space="preserve"> a need in Ashfield for rented accommodation of 237 dwellings per annum</w:t>
      </w:r>
      <w:r w:rsidR="00F9458E">
        <w:t>.</w:t>
      </w:r>
      <w:r w:rsidR="00A64814">
        <w:t xml:space="preserve"> However, it is stressed that the report does not provide an affordable housing target as the amount of affordable housing delivered will be limited to the amount that can viably be provided. </w:t>
      </w:r>
      <w:r w:rsidR="00F25501">
        <w:t>(</w:t>
      </w:r>
      <w:r w:rsidR="00F25501" w:rsidRPr="00F25501">
        <w:t>Note: The Greater Nottingham &amp; Ashfield Housing Needs Assessment Update 2024 [ADC.01] indicates an increase in the need for social/affordable rented homes at 302 dpa.</w:t>
      </w:r>
      <w:r w:rsidR="00F25501">
        <w:t>)</w:t>
      </w:r>
    </w:p>
    <w:p w14:paraId="776CD3BC" w14:textId="49FEC6F7" w:rsidR="00F9458E" w:rsidRDefault="00975CC1" w:rsidP="00975CC1">
      <w:pPr>
        <w:ind w:left="720" w:hanging="720"/>
        <w:jc w:val="left"/>
      </w:pPr>
      <w:r>
        <w:t>2.8.2</w:t>
      </w:r>
      <w:r>
        <w:tab/>
      </w:r>
      <w:r w:rsidR="00F9458E" w:rsidRPr="00F9458E">
        <w:t>What can be provided through private sector development is related to viability and the demand for other infrastructure requirements. The current policy is informed by the Whole Plan Viability Assessment, March 2023</w:t>
      </w:r>
      <w:r w:rsidR="001F1E21">
        <w:t xml:space="preserve"> [SEV.38]</w:t>
      </w:r>
      <w:r w:rsidR="00F9458E" w:rsidRPr="00F9458E">
        <w:t>. After considering various levels of contributions towards infrastructure, the Assessment recommends that affordable housing on greenfield sites of 25% and brownfield sites of 10%, should be taken forward for the whole of the District. The proposed affordable housing requirements reflect a minimum figure as, dependent on the tenure mix or infrastructure contributions, a higher level of affordable housing may be achievable to meet local needs.</w:t>
      </w:r>
    </w:p>
    <w:p w14:paraId="047999B7" w14:textId="4E736FA4" w:rsidR="0073708B" w:rsidRPr="00D8760F" w:rsidRDefault="00975CC1" w:rsidP="0073708B">
      <w:pPr>
        <w:ind w:left="720" w:hanging="720"/>
        <w:jc w:val="left"/>
      </w:pPr>
      <w:r w:rsidRPr="0073708B">
        <w:rPr>
          <w:rFonts w:cs="Arial"/>
          <w:szCs w:val="24"/>
          <w14:ligatures w14:val="standardContextual"/>
        </w:rPr>
        <w:t>2.8.3</w:t>
      </w:r>
      <w:r>
        <w:rPr>
          <w:rFonts w:cs="Arial"/>
          <w:color w:val="FF0000"/>
          <w:szCs w:val="24"/>
          <w14:ligatures w14:val="standardContextual"/>
        </w:rPr>
        <w:tab/>
      </w:r>
      <w:r w:rsidR="0073708B" w:rsidRPr="00D8760F">
        <w:t xml:space="preserve">There is also potential for further provision of affordable housing from sites which could be brought forward under Policy H4 Rural Exceptions. This enables delivery of small sites with 100% affordable housing and could contribute to overall supply, over and above that secured as part of a ‘major’ development under </w:t>
      </w:r>
      <w:r w:rsidR="001F1E21">
        <w:t>P</w:t>
      </w:r>
      <w:r w:rsidR="0073708B" w:rsidRPr="00D8760F">
        <w:t>olicy H3.</w:t>
      </w:r>
    </w:p>
    <w:p w14:paraId="19E02987" w14:textId="00041E9B" w:rsidR="0073708B" w:rsidRPr="0073708B" w:rsidRDefault="0073708B" w:rsidP="0073708B">
      <w:pPr>
        <w:autoSpaceDE w:val="0"/>
        <w:autoSpaceDN w:val="0"/>
        <w:adjustRightInd w:val="0"/>
        <w:spacing w:after="0" w:line="240" w:lineRule="auto"/>
        <w:ind w:left="720" w:hanging="720"/>
        <w:jc w:val="left"/>
      </w:pPr>
      <w:r w:rsidRPr="0073708B">
        <w:rPr>
          <w:rFonts w:cs="Arial"/>
          <w:szCs w:val="24"/>
          <w14:ligatures w14:val="standardContextual"/>
        </w:rPr>
        <w:t>2.8.4</w:t>
      </w:r>
      <w:r w:rsidRPr="0073708B">
        <w:rPr>
          <w:rFonts w:cs="Arial"/>
          <w:szCs w:val="24"/>
          <w14:ligatures w14:val="standardContextual"/>
        </w:rPr>
        <w:tab/>
      </w:r>
      <w:r w:rsidR="00F70878" w:rsidRPr="0073708B">
        <w:rPr>
          <w:rFonts w:cs="Arial"/>
          <w:szCs w:val="24"/>
          <w14:ligatures w14:val="standardContextual"/>
        </w:rPr>
        <w:t>In addition to</w:t>
      </w:r>
      <w:r w:rsidR="00BD09A2" w:rsidRPr="0073708B">
        <w:rPr>
          <w:rFonts w:cs="Arial"/>
          <w:szCs w:val="24"/>
          <w14:ligatures w14:val="standardContextual"/>
        </w:rPr>
        <w:t xml:space="preserve"> </w:t>
      </w:r>
      <w:r w:rsidRPr="0073708B">
        <w:rPr>
          <w:rFonts w:cs="Arial"/>
          <w:szCs w:val="24"/>
          <w14:ligatures w14:val="standardContextual"/>
        </w:rPr>
        <w:t xml:space="preserve">future </w:t>
      </w:r>
      <w:r w:rsidR="00BD09A2" w:rsidRPr="0073708B">
        <w:rPr>
          <w:rFonts w:cs="Arial"/>
          <w:szCs w:val="24"/>
          <w14:ligatures w14:val="standardContextual"/>
        </w:rPr>
        <w:t xml:space="preserve">provision </w:t>
      </w:r>
      <w:r w:rsidRPr="0073708B">
        <w:rPr>
          <w:rFonts w:cs="Arial"/>
          <w:szCs w:val="24"/>
          <w14:ligatures w14:val="standardContextual"/>
        </w:rPr>
        <w:t>under Policies H3 and H4</w:t>
      </w:r>
      <w:r w:rsidR="00BD09A2" w:rsidRPr="0073708B">
        <w:rPr>
          <w:rFonts w:cs="Arial"/>
          <w:szCs w:val="24"/>
          <w14:ligatures w14:val="standardContextual"/>
        </w:rPr>
        <w:t xml:space="preserve">, </w:t>
      </w:r>
      <w:r w:rsidR="00A64814" w:rsidRPr="0073708B">
        <w:t xml:space="preserve">Ashfield </w:t>
      </w:r>
      <w:r w:rsidR="00F70878" w:rsidRPr="0073708B">
        <w:t xml:space="preserve">Council </w:t>
      </w:r>
      <w:r w:rsidR="00A64814" w:rsidRPr="0073708B">
        <w:t>is</w:t>
      </w:r>
      <w:r w:rsidR="00F70878" w:rsidRPr="0073708B">
        <w:t xml:space="preserve"> pro-active and directly intervene</w:t>
      </w:r>
      <w:r w:rsidR="00A64814" w:rsidRPr="0073708B">
        <w:t>s</w:t>
      </w:r>
      <w:r w:rsidR="00F70878" w:rsidRPr="0073708B">
        <w:t xml:space="preserve"> with provision of affordable housing</w:t>
      </w:r>
      <w:r w:rsidRPr="0073708B">
        <w:t>. Since 2022, the Council has delivered a total of 108 new-build homes for Affordable Rent on Council-owned land, delivered in conjunction with Homes England</w:t>
      </w:r>
      <w:r>
        <w:t xml:space="preserve"> and</w:t>
      </w:r>
      <w:r w:rsidRPr="0073708B">
        <w:t xml:space="preserve"> providing a mixture of property types to meet local demand. There are currently a further 21 units on site as </w:t>
      </w:r>
      <w:proofErr w:type="gramStart"/>
      <w:r w:rsidRPr="0073708B">
        <w:t>at</w:t>
      </w:r>
      <w:proofErr w:type="gramEnd"/>
      <w:r w:rsidRPr="0073708B">
        <w:t xml:space="preserve"> October 2024, which are due for completion in 2025.</w:t>
      </w:r>
    </w:p>
    <w:p w14:paraId="4000E35E" w14:textId="77777777" w:rsidR="0073708B" w:rsidRDefault="0073708B" w:rsidP="0073708B">
      <w:pPr>
        <w:autoSpaceDE w:val="0"/>
        <w:autoSpaceDN w:val="0"/>
        <w:adjustRightInd w:val="0"/>
        <w:spacing w:after="0" w:line="240" w:lineRule="auto"/>
        <w:ind w:left="720" w:hanging="720"/>
        <w:jc w:val="left"/>
        <w:rPr>
          <w:rFonts w:cs="Arial"/>
          <w:color w:val="FF0000"/>
          <w:szCs w:val="24"/>
          <w14:ligatures w14:val="standardContextual"/>
        </w:rPr>
      </w:pPr>
    </w:p>
    <w:p w14:paraId="439C0E1F" w14:textId="3FDF66BE" w:rsidR="0073708B" w:rsidRPr="00C52F75" w:rsidRDefault="0073708B" w:rsidP="0073708B">
      <w:pPr>
        <w:autoSpaceDE w:val="0"/>
        <w:autoSpaceDN w:val="0"/>
        <w:adjustRightInd w:val="0"/>
        <w:spacing w:after="0" w:line="240" w:lineRule="auto"/>
        <w:ind w:left="720" w:hanging="720"/>
        <w:jc w:val="left"/>
        <w:rPr>
          <w:rFonts w:cs="Arial"/>
          <w:szCs w:val="24"/>
          <w14:ligatures w14:val="standardContextual"/>
        </w:rPr>
      </w:pPr>
      <w:r w:rsidRPr="00C52F75">
        <w:rPr>
          <w:rFonts w:cs="Arial"/>
          <w:szCs w:val="24"/>
          <w14:ligatures w14:val="standardContextual"/>
        </w:rPr>
        <w:t>2.8.5</w:t>
      </w:r>
      <w:r w:rsidRPr="00C52F75">
        <w:rPr>
          <w:rFonts w:cs="Arial"/>
          <w:szCs w:val="24"/>
          <w14:ligatures w14:val="standardContextual"/>
        </w:rPr>
        <w:tab/>
        <w:t xml:space="preserve">The Council’s new-build programme remains a corporate priority and there is a further site of 40 homes due to start before the end of 2024. Beyond that, officers are actively looking to acquire land and are currently in negotiation with private landowners to secure suitable sites which would provide up to 100 homes for Affordable Rent over the </w:t>
      </w:r>
      <w:r w:rsidR="00C52F75">
        <w:rPr>
          <w:rFonts w:cs="Arial"/>
          <w:szCs w:val="24"/>
          <w14:ligatures w14:val="standardContextual"/>
        </w:rPr>
        <w:t xml:space="preserve">next </w:t>
      </w:r>
      <w:r w:rsidRPr="00C52F75">
        <w:rPr>
          <w:rFonts w:cs="Arial"/>
          <w:szCs w:val="24"/>
          <w14:ligatures w14:val="standardContextual"/>
        </w:rPr>
        <w:t xml:space="preserve">2 to 3 years. </w:t>
      </w:r>
    </w:p>
    <w:p w14:paraId="54D68B36" w14:textId="77777777" w:rsidR="0073708B" w:rsidRPr="0073708B" w:rsidRDefault="0073708B" w:rsidP="0073708B">
      <w:pPr>
        <w:autoSpaceDE w:val="0"/>
        <w:autoSpaceDN w:val="0"/>
        <w:adjustRightInd w:val="0"/>
        <w:spacing w:after="0" w:line="240" w:lineRule="auto"/>
        <w:ind w:left="720" w:hanging="720"/>
        <w:jc w:val="left"/>
        <w:rPr>
          <w:rFonts w:cs="Arial"/>
          <w:color w:val="FF0000"/>
          <w:szCs w:val="24"/>
          <w14:ligatures w14:val="standardContextual"/>
        </w:rPr>
      </w:pPr>
    </w:p>
    <w:p w14:paraId="2349B723" w14:textId="216C2F8A" w:rsidR="0073708B" w:rsidRDefault="00C52F75" w:rsidP="0073708B">
      <w:pPr>
        <w:autoSpaceDE w:val="0"/>
        <w:autoSpaceDN w:val="0"/>
        <w:adjustRightInd w:val="0"/>
        <w:spacing w:after="0" w:line="240" w:lineRule="auto"/>
        <w:ind w:left="720" w:hanging="720"/>
        <w:jc w:val="left"/>
        <w:rPr>
          <w:rFonts w:cs="Arial"/>
          <w:color w:val="FF0000"/>
          <w:szCs w:val="24"/>
          <w14:ligatures w14:val="standardContextual"/>
        </w:rPr>
      </w:pPr>
      <w:r w:rsidRPr="00C52F75">
        <w:rPr>
          <w:rFonts w:cs="Arial"/>
          <w:szCs w:val="24"/>
          <w14:ligatures w14:val="standardContextual"/>
        </w:rPr>
        <w:t>2.8.6</w:t>
      </w:r>
      <w:r w:rsidRPr="00C52F75">
        <w:rPr>
          <w:rFonts w:cs="Arial"/>
          <w:szCs w:val="24"/>
          <w14:ligatures w14:val="standardContextual"/>
        </w:rPr>
        <w:tab/>
      </w:r>
      <w:r w:rsidR="0073708B" w:rsidRPr="00C52F75">
        <w:rPr>
          <w:rFonts w:cs="Arial"/>
          <w:szCs w:val="24"/>
          <w14:ligatures w14:val="standardContextual"/>
        </w:rPr>
        <w:t xml:space="preserve">The purchase of privately owned homes is also a possibility. In the past, the Council received HCA funding to purchase long-term empty and derelict homes from the private sector. These were then refurbished and let to applicants on the housing register. This will not increase the numbers of homes within the </w:t>
      </w:r>
      <w:r w:rsidR="005E3B56" w:rsidRPr="00C52F75">
        <w:rPr>
          <w:rFonts w:cs="Arial"/>
          <w:szCs w:val="24"/>
          <w14:ligatures w14:val="standardContextual"/>
        </w:rPr>
        <w:t>district but</w:t>
      </w:r>
      <w:r w:rsidR="0073708B" w:rsidRPr="00C52F75">
        <w:rPr>
          <w:rFonts w:cs="Arial"/>
          <w:szCs w:val="24"/>
          <w14:ligatures w14:val="standardContextual"/>
        </w:rPr>
        <w:t xml:space="preserve"> does </w:t>
      </w:r>
      <w:r w:rsidR="0073708B" w:rsidRPr="00C52F75">
        <w:rPr>
          <w:rFonts w:cs="Arial"/>
          <w:szCs w:val="24"/>
          <w14:ligatures w14:val="standardContextual"/>
        </w:rPr>
        <w:lastRenderedPageBreak/>
        <w:t>bring them back into use as affordable homes. Officers are also using retained Right to Buy Receipts, and HRA reserves, to purchase ex-Council properties to add to the lettable housing stock. Since the programme began in 2018, 55 such purchases have been completed or are in progress</w:t>
      </w:r>
      <w:r w:rsidR="00E57800">
        <w:rPr>
          <w:rFonts w:cs="Arial"/>
          <w:szCs w:val="24"/>
          <w14:ligatures w14:val="standardContextual"/>
        </w:rPr>
        <w:t>.</w:t>
      </w:r>
    </w:p>
    <w:p w14:paraId="47C53CD7" w14:textId="77777777" w:rsidR="0073708B" w:rsidRDefault="0073708B" w:rsidP="0073708B">
      <w:pPr>
        <w:autoSpaceDE w:val="0"/>
        <w:autoSpaceDN w:val="0"/>
        <w:adjustRightInd w:val="0"/>
        <w:spacing w:after="0" w:line="240" w:lineRule="auto"/>
        <w:ind w:left="720" w:hanging="720"/>
        <w:jc w:val="left"/>
        <w:rPr>
          <w:rFonts w:cs="Arial"/>
          <w:color w:val="FF0000"/>
          <w:szCs w:val="24"/>
          <w14:ligatures w14:val="standardContextual"/>
        </w:rPr>
      </w:pPr>
    </w:p>
    <w:p w14:paraId="71D55599" w14:textId="5C4F998B" w:rsidR="00D8760F" w:rsidRPr="00F25501" w:rsidRDefault="00D8760F" w:rsidP="00D8760F">
      <w:pPr>
        <w:ind w:left="720" w:hanging="720"/>
        <w:jc w:val="left"/>
      </w:pPr>
      <w:r>
        <w:t>2.8.5</w:t>
      </w:r>
      <w:r>
        <w:tab/>
      </w:r>
      <w:r w:rsidRPr="00F25501">
        <w:t>The Council intend to prepare a specific affordable housing trajectory to demonstrate the supply anticipated from allocations and existing permissioned sites.</w:t>
      </w:r>
    </w:p>
    <w:p w14:paraId="3C25100B" w14:textId="554C0687" w:rsidR="00CF35CF" w:rsidRPr="004B04EB" w:rsidRDefault="00E57800" w:rsidP="00E57800">
      <w:pPr>
        <w:ind w:left="720" w:hanging="720"/>
        <w:jc w:val="left"/>
      </w:pPr>
      <w:r w:rsidRPr="004B04EB">
        <w:t>2.8.6</w:t>
      </w:r>
      <w:r>
        <w:rPr>
          <w:color w:val="FF0000"/>
        </w:rPr>
        <w:tab/>
      </w:r>
      <w:r w:rsidR="00CF35CF" w:rsidRPr="004B04EB">
        <w:t>Despite the level of need, it is not considered that this points to any requirement for the Council to increase the Local Plan housing requirement due to affordable needs. The link between affordable need and overall need (of all tenures) is complex and in trying to make a link it must be remembered that many of those picked up as having an affordable need are already in housing (and therefore do not generate a net additional need for a home)</w:t>
      </w:r>
      <w:r w:rsidR="004B04EB" w:rsidRPr="004B04EB">
        <w:t xml:space="preserve"> while others are newly forming households which will already be picked up by the housing need.</w:t>
      </w:r>
    </w:p>
    <w:p w14:paraId="4871E4AB" w14:textId="77777777" w:rsidR="00652106" w:rsidRPr="001C1E6E" w:rsidRDefault="00652106" w:rsidP="00F52777">
      <w:pPr>
        <w:pStyle w:val="ListParagraph"/>
        <w:jc w:val="left"/>
        <w:rPr>
          <w:color w:val="FF0000"/>
        </w:rPr>
      </w:pPr>
    </w:p>
    <w:p w14:paraId="5A9673D4" w14:textId="1A68C44C" w:rsidR="005B2FA0" w:rsidRPr="003D1036" w:rsidRDefault="005B2FA0" w:rsidP="005D13C3">
      <w:pPr>
        <w:pStyle w:val="Heading3"/>
      </w:pPr>
      <w:r w:rsidRPr="003D1036">
        <w:t xml:space="preserve">2.9 </w:t>
      </w:r>
      <w:r w:rsidR="005D13C3">
        <w:tab/>
      </w:r>
      <w:r w:rsidRPr="003D1036">
        <w:t>What is the need for specialist forms of accommodation (e.g. Older persons housing,</w:t>
      </w:r>
      <w:r w:rsidR="003D1036" w:rsidRPr="003D1036">
        <w:t xml:space="preserve"> </w:t>
      </w:r>
      <w:r w:rsidRPr="003D1036">
        <w:t>housing people with disabilities, student accommodation)? How does the submitted</w:t>
      </w:r>
      <w:r w:rsidR="003D1036" w:rsidRPr="003D1036">
        <w:t xml:space="preserve"> </w:t>
      </w:r>
      <w:r w:rsidRPr="003D1036">
        <w:t>plan seek to address these needs?</w:t>
      </w:r>
    </w:p>
    <w:p w14:paraId="30305ECA" w14:textId="77777777" w:rsidR="003D1036" w:rsidRPr="00156B97" w:rsidRDefault="003D1036" w:rsidP="00F46F28">
      <w:pPr>
        <w:jc w:val="left"/>
        <w:rPr>
          <w:u w:val="single"/>
        </w:rPr>
      </w:pPr>
      <w:r w:rsidRPr="00156B97">
        <w:rPr>
          <w:u w:val="single"/>
        </w:rPr>
        <w:t>Council’s response</w:t>
      </w:r>
    </w:p>
    <w:p w14:paraId="6813769E" w14:textId="1D7C3346" w:rsidR="00B54248" w:rsidRPr="006D7258" w:rsidRDefault="00B54248" w:rsidP="00B54248">
      <w:pPr>
        <w:ind w:left="720" w:hanging="720"/>
        <w:jc w:val="left"/>
      </w:pPr>
      <w:r>
        <w:t>2.9.1</w:t>
      </w:r>
      <w:r>
        <w:tab/>
      </w:r>
      <w:r w:rsidRPr="006D7258">
        <w:t xml:space="preserve">The need for specialist housing for older people was set out in Chapter </w:t>
      </w:r>
      <w:r>
        <w:t>6</w:t>
      </w:r>
      <w:r w:rsidRPr="006D7258">
        <w:t xml:space="preserve"> of the Greater Nottingham and Ashfield Housing Needs </w:t>
      </w:r>
      <w:r>
        <w:t>Assessment</w:t>
      </w:r>
      <w:r w:rsidRPr="006D7258">
        <w:t xml:space="preserve"> (</w:t>
      </w:r>
      <w:r>
        <w:t>October 2020</w:t>
      </w:r>
      <w:r w:rsidRPr="006D7258">
        <w:t xml:space="preserve">) </w:t>
      </w:r>
      <w:r>
        <w:t>[SEV.19]</w:t>
      </w:r>
      <w:r w:rsidRPr="006D7258">
        <w:t xml:space="preserve">. As Table </w:t>
      </w:r>
      <w:r>
        <w:t>6.13</w:t>
      </w:r>
      <w:r w:rsidRPr="006D7258">
        <w:t xml:space="preserve"> sets out there is a need for:</w:t>
      </w:r>
    </w:p>
    <w:p w14:paraId="4DBA884E" w14:textId="77777777" w:rsidR="00B54248" w:rsidRPr="006D7258" w:rsidRDefault="00B54248" w:rsidP="00B54248">
      <w:pPr>
        <w:pStyle w:val="ListParagraph"/>
        <w:numPr>
          <w:ilvl w:val="0"/>
          <w:numId w:val="14"/>
        </w:numPr>
        <w:ind w:left="1134" w:hanging="283"/>
        <w:jc w:val="left"/>
      </w:pPr>
      <w:r>
        <w:t>2</w:t>
      </w:r>
      <w:r w:rsidRPr="006D7258">
        <w:t>,</w:t>
      </w:r>
      <w:r>
        <w:t>463</w:t>
      </w:r>
      <w:r w:rsidRPr="006D7258">
        <w:t xml:space="preserve"> units of housing with support (sheltered accommodation) </w:t>
      </w:r>
    </w:p>
    <w:p w14:paraId="080BEA50" w14:textId="77777777" w:rsidR="00B54248" w:rsidRPr="006D7258" w:rsidRDefault="00B54248" w:rsidP="00B54248">
      <w:pPr>
        <w:pStyle w:val="ListParagraph"/>
        <w:numPr>
          <w:ilvl w:val="0"/>
          <w:numId w:val="14"/>
        </w:numPr>
        <w:ind w:left="1134" w:hanging="283"/>
        <w:jc w:val="left"/>
      </w:pPr>
      <w:r w:rsidRPr="006D7258">
        <w:t>9</w:t>
      </w:r>
      <w:r>
        <w:t>48</w:t>
      </w:r>
      <w:r w:rsidRPr="006D7258">
        <w:t xml:space="preserve"> units of housing with care (extra-care) and</w:t>
      </w:r>
    </w:p>
    <w:p w14:paraId="4C28A799" w14:textId="77777777" w:rsidR="00B54248" w:rsidRPr="006D7258" w:rsidRDefault="00B54248" w:rsidP="00B54248">
      <w:pPr>
        <w:pStyle w:val="ListParagraph"/>
        <w:numPr>
          <w:ilvl w:val="0"/>
          <w:numId w:val="14"/>
        </w:numPr>
        <w:ind w:left="1134" w:hanging="283"/>
        <w:jc w:val="left"/>
      </w:pPr>
      <w:r>
        <w:t>Table 6.19 identifies a need for 1,252</w:t>
      </w:r>
      <w:r w:rsidRPr="006D7258">
        <w:t xml:space="preserve"> bedspaces of residential and nursing care</w:t>
      </w:r>
    </w:p>
    <w:p w14:paraId="4BA3D3AE" w14:textId="77777777" w:rsidR="00947A2B" w:rsidRPr="006500CF" w:rsidRDefault="00B54248" w:rsidP="00947A2B">
      <w:pPr>
        <w:ind w:left="720" w:hanging="720"/>
        <w:jc w:val="left"/>
        <w:rPr>
          <w:rFonts w:cs="Arial"/>
        </w:rPr>
      </w:pPr>
      <w:r>
        <w:t>2.9.2</w:t>
      </w:r>
      <w:r>
        <w:tab/>
      </w:r>
      <w:r w:rsidR="00947A2B" w:rsidRPr="00F25501">
        <w:t>The</w:t>
      </w:r>
      <w:r w:rsidR="00947A2B">
        <w:t xml:space="preserve"> latest</w:t>
      </w:r>
      <w:r w:rsidR="00947A2B" w:rsidRPr="00F25501">
        <w:t xml:space="preserve"> Greater Nottingham &amp; Ashfield Housing Needs Assessment Update 2024 [ADC.01] </w:t>
      </w:r>
      <w:r w:rsidR="00947A2B" w:rsidRPr="006500CF">
        <w:rPr>
          <w:rFonts w:cs="Arial"/>
        </w:rPr>
        <w:t>identifies slightly reduced level of need to those set out above, as follows:</w:t>
      </w:r>
    </w:p>
    <w:p w14:paraId="66FC9F96" w14:textId="77777777" w:rsidR="00947A2B" w:rsidRPr="006500CF" w:rsidRDefault="00947A2B" w:rsidP="00947A2B">
      <w:pPr>
        <w:pStyle w:val="ListParagraph"/>
        <w:numPr>
          <w:ilvl w:val="0"/>
          <w:numId w:val="14"/>
        </w:numPr>
        <w:ind w:left="1134" w:hanging="283"/>
        <w:jc w:val="left"/>
      </w:pPr>
      <w:r w:rsidRPr="006500CF">
        <w:t xml:space="preserve">1,617 units of housing with support (sheltered accommodation) </w:t>
      </w:r>
    </w:p>
    <w:p w14:paraId="0483347B" w14:textId="77777777" w:rsidR="00947A2B" w:rsidRPr="006500CF" w:rsidRDefault="00947A2B" w:rsidP="00947A2B">
      <w:pPr>
        <w:pStyle w:val="ListParagraph"/>
        <w:numPr>
          <w:ilvl w:val="0"/>
          <w:numId w:val="14"/>
        </w:numPr>
        <w:ind w:left="1134" w:hanging="283"/>
        <w:jc w:val="left"/>
      </w:pPr>
      <w:r w:rsidRPr="006500CF">
        <w:t>955 units of housing with care (extra-care) and</w:t>
      </w:r>
    </w:p>
    <w:p w14:paraId="3881173E" w14:textId="77777777" w:rsidR="00947A2B" w:rsidRPr="006500CF" w:rsidRDefault="00947A2B" w:rsidP="00947A2B">
      <w:pPr>
        <w:pStyle w:val="ListParagraph"/>
        <w:numPr>
          <w:ilvl w:val="0"/>
          <w:numId w:val="14"/>
        </w:numPr>
        <w:ind w:left="1134" w:hanging="283"/>
        <w:jc w:val="left"/>
      </w:pPr>
      <w:r w:rsidRPr="006500CF">
        <w:t>734 bedspaces of residential and nursing care</w:t>
      </w:r>
    </w:p>
    <w:p w14:paraId="4B658714" w14:textId="77777777" w:rsidR="00947A2B" w:rsidRPr="00947A2B" w:rsidRDefault="00947A2B" w:rsidP="00947A2B">
      <w:pPr>
        <w:ind w:left="720" w:hanging="720"/>
        <w:jc w:val="left"/>
        <w:rPr>
          <w:rFonts w:eastAsia="Arial" w:cs="Arial"/>
          <w:bCs/>
          <w:szCs w:val="24"/>
        </w:rPr>
      </w:pPr>
      <w:r w:rsidRPr="006500CF">
        <w:rPr>
          <w:rFonts w:cs="Arial"/>
        </w:rPr>
        <w:t>2.9.</w:t>
      </w:r>
      <w:r>
        <w:rPr>
          <w:rFonts w:cs="Arial"/>
        </w:rPr>
        <w:t>3</w:t>
      </w:r>
      <w:r w:rsidRPr="006500CF">
        <w:rPr>
          <w:rFonts w:cs="Arial"/>
        </w:rPr>
        <w:tab/>
        <w:t>Strategic Policy S7:2 encourages p</w:t>
      </w:r>
      <w:r w:rsidRPr="006500CF">
        <w:rPr>
          <w:rFonts w:eastAsia="Arial" w:cs="Arial"/>
          <w:bCs/>
          <w:szCs w:val="24"/>
        </w:rPr>
        <w:t xml:space="preserve">roposals for new housing for older people and those with disabilities, including supported and specialist accommodation, where </w:t>
      </w:r>
      <w:r w:rsidRPr="00947A2B">
        <w:rPr>
          <w:rFonts w:eastAsia="Arial" w:cs="Arial"/>
          <w:bCs/>
          <w:szCs w:val="24"/>
        </w:rPr>
        <w:t>they are in suitable locations in line with the role and size of the settlement.</w:t>
      </w:r>
    </w:p>
    <w:p w14:paraId="10FBF724" w14:textId="02300A5B" w:rsidR="00947A2B" w:rsidRPr="00947A2B" w:rsidRDefault="00947A2B" w:rsidP="00947A2B">
      <w:pPr>
        <w:ind w:left="720" w:hanging="720"/>
        <w:jc w:val="left"/>
        <w:rPr>
          <w:rFonts w:cs="Arial"/>
          <w:iCs/>
          <w:szCs w:val="24"/>
        </w:rPr>
      </w:pPr>
      <w:r w:rsidRPr="00947A2B">
        <w:rPr>
          <w:rFonts w:cs="Arial"/>
          <w:szCs w:val="24"/>
        </w:rPr>
        <w:t>2.9.4</w:t>
      </w:r>
      <w:r w:rsidRPr="00947A2B">
        <w:rPr>
          <w:rFonts w:cs="Arial"/>
          <w:szCs w:val="24"/>
        </w:rPr>
        <w:tab/>
        <w:t>Although the analysis</w:t>
      </w:r>
      <w:r w:rsidRPr="00947A2B">
        <w:t xml:space="preserve"> suggests a future need for additional residential and nursing care bedspaces the County Council is seeking to shift away from residential care towards extra-care. Therefore, the findings of additional future need should only be seen as a nominal need rather than an actual need.</w:t>
      </w:r>
      <w:r w:rsidRPr="00947A2B">
        <w:rPr>
          <w:rFonts w:cs="Arial"/>
          <w:iCs/>
          <w:szCs w:val="24"/>
        </w:rPr>
        <w:t xml:space="preserve"> </w:t>
      </w:r>
    </w:p>
    <w:p w14:paraId="2D44D0A2" w14:textId="77777777" w:rsidR="00947A2B" w:rsidRPr="00947A2B" w:rsidRDefault="00947A2B" w:rsidP="00947A2B">
      <w:pPr>
        <w:ind w:left="720" w:hanging="720"/>
        <w:jc w:val="left"/>
        <w:rPr>
          <w:rFonts w:cs="Arial"/>
          <w:iCs/>
          <w:szCs w:val="24"/>
        </w:rPr>
      </w:pPr>
      <w:r w:rsidRPr="00947A2B">
        <w:rPr>
          <w:rFonts w:cs="Arial"/>
          <w:szCs w:val="24"/>
        </w:rPr>
        <w:t>2.9.5</w:t>
      </w:r>
      <w:r w:rsidRPr="00947A2B">
        <w:rPr>
          <w:rFonts w:cs="Arial"/>
          <w:szCs w:val="24"/>
        </w:rPr>
        <w:tab/>
      </w:r>
      <w:r w:rsidRPr="00947A2B">
        <w:rPr>
          <w:rFonts w:cs="Arial"/>
          <w:iCs/>
          <w:szCs w:val="24"/>
        </w:rPr>
        <w:t>The strategic direction of both the Clinical Commissioning Group (CCG) and the County Council is to support people in their own homes for as long as possible rather than placement in a care home. This does not preclude such schemes coming forward through the development management process as older stock would need to be replaced and specialist provision such as dementia care would be desirable.</w:t>
      </w:r>
    </w:p>
    <w:p w14:paraId="4404A54D" w14:textId="77777777" w:rsidR="00947A2B" w:rsidRPr="006D7258" w:rsidRDefault="00947A2B" w:rsidP="00947A2B">
      <w:pPr>
        <w:ind w:left="720" w:hanging="720"/>
        <w:jc w:val="left"/>
      </w:pPr>
      <w:r>
        <w:lastRenderedPageBreak/>
        <w:t xml:space="preserve">2.9.6 </w:t>
      </w:r>
      <w:r>
        <w:tab/>
      </w:r>
      <w:r w:rsidRPr="006D7258">
        <w:t xml:space="preserve">Greater Nottingham and Ashfield Housing Needs </w:t>
      </w:r>
      <w:r>
        <w:t>Assessment</w:t>
      </w:r>
      <w:r w:rsidRPr="006D7258">
        <w:t xml:space="preserve"> (</w:t>
      </w:r>
      <w:r>
        <w:t>October 2020</w:t>
      </w:r>
      <w:r w:rsidRPr="006D7258">
        <w:t xml:space="preserve">) </w:t>
      </w:r>
      <w:r>
        <w:t xml:space="preserve">[SEV.19] </w:t>
      </w:r>
      <w:r w:rsidRPr="006D7258">
        <w:t xml:space="preserve">does not specify a need for those with disabilities but does highlight the aging population (Table </w:t>
      </w:r>
      <w:r>
        <w:t>6.4</w:t>
      </w:r>
      <w:r w:rsidRPr="006D7258">
        <w:t xml:space="preserve">), above average levels of population with a disability (Table </w:t>
      </w:r>
      <w:r>
        <w:t>6.5</w:t>
      </w:r>
      <w:r w:rsidRPr="006D7258">
        <w:t>), a projected increased in those with a disability (</w:t>
      </w:r>
      <w:r>
        <w:t>Tables 6.10 and 6.11</w:t>
      </w:r>
      <w:r w:rsidRPr="006D7258">
        <w:t xml:space="preserve">) and a need for wheelchair-user accommodation (Table </w:t>
      </w:r>
      <w:r>
        <w:t>6.20</w:t>
      </w:r>
      <w:r w:rsidRPr="006D7258">
        <w:t xml:space="preserve">).  </w:t>
      </w:r>
    </w:p>
    <w:p w14:paraId="01465BA2" w14:textId="77777777" w:rsidR="00947A2B" w:rsidRDefault="00947A2B" w:rsidP="00947A2B">
      <w:pPr>
        <w:ind w:left="720" w:hanging="720"/>
        <w:jc w:val="left"/>
      </w:pPr>
      <w:r>
        <w:t>2.9.7</w:t>
      </w:r>
      <w:r>
        <w:tab/>
      </w:r>
      <w:r w:rsidRPr="006D7258">
        <w:t xml:space="preserve">Taking this in the round the report </w:t>
      </w:r>
      <w:r>
        <w:t>states</w:t>
      </w:r>
      <w:r w:rsidRPr="006D7258">
        <w:t xml:space="preserve"> (at Para </w:t>
      </w:r>
      <w:r>
        <w:t>6.30</w:t>
      </w:r>
      <w:r w:rsidRPr="006D7258">
        <w:t xml:space="preserve">), that </w:t>
      </w:r>
      <w:r>
        <w:t xml:space="preserve">this </w:t>
      </w:r>
      <w:r w:rsidRPr="006D7258">
        <w:t>“</w:t>
      </w:r>
      <w:r w:rsidRPr="00494E74">
        <w:rPr>
          <w:rFonts w:cs="Arial"/>
        </w:rPr>
        <w:t>provides clear evidence justifying delivering ‘accessible and adaptable’ homes as defined in Part M4(2)</w:t>
      </w:r>
      <w:r>
        <w:rPr>
          <w:rFonts w:cs="Arial"/>
        </w:rPr>
        <w:t xml:space="preserve"> </w:t>
      </w:r>
      <w:r w:rsidRPr="00494E74">
        <w:rPr>
          <w:rFonts w:cs="Arial"/>
        </w:rPr>
        <w:t>of Building Regulations and, where possible, ‘fully adapted homes’ as defined in Part M4(3) of the same document. The Councils should ensure that the viability of doing so is also tested as part of drawing together its evidence base</w:t>
      </w:r>
      <w:r>
        <w:rPr>
          <w:rFonts w:cs="Arial"/>
        </w:rPr>
        <w:t>.”</w:t>
      </w:r>
    </w:p>
    <w:p w14:paraId="03361578" w14:textId="77777777" w:rsidR="00947A2B" w:rsidRDefault="00947A2B" w:rsidP="00947A2B">
      <w:pPr>
        <w:ind w:left="720" w:hanging="720"/>
        <w:jc w:val="left"/>
        <w:rPr>
          <w:rFonts w:cs="Arial"/>
        </w:rPr>
      </w:pPr>
      <w:r>
        <w:t>2.9.8</w:t>
      </w:r>
      <w:r>
        <w:tab/>
        <w:t xml:space="preserve">The latest Housing Need update [SEV.19a/ADC.01] goes one step further  </w:t>
      </w:r>
      <w:r w:rsidRPr="006D7258">
        <w:t>(at Para 9.53),</w:t>
      </w:r>
      <w:r>
        <w:t xml:space="preserve"> by stating that</w:t>
      </w:r>
      <w:r w:rsidRPr="006D7258">
        <w:t xml:space="preserve"> that “</w:t>
      </w:r>
      <w:r w:rsidRPr="006D7258">
        <w:rPr>
          <w:rFonts w:cs="Arial"/>
        </w:rPr>
        <w:t>all dwellings (in all tenures) to meet the M4(2) standards and around 5% of homes meeting M4(3)(A)</w:t>
      </w:r>
      <w:r>
        <w:rPr>
          <w:rFonts w:cs="Arial"/>
        </w:rPr>
        <w:t xml:space="preserve"> </w:t>
      </w:r>
      <w:r w:rsidRPr="006D7258">
        <w:rPr>
          <w:rFonts w:cs="Arial"/>
        </w:rPr>
        <w:t>(adaptable)</w:t>
      </w:r>
      <w:r>
        <w:rPr>
          <w:rFonts w:cs="Arial"/>
        </w:rPr>
        <w:t xml:space="preserve"> </w:t>
      </w:r>
      <w:r w:rsidRPr="006D7258">
        <w:rPr>
          <w:rFonts w:cs="Arial"/>
        </w:rPr>
        <w:t>– wheelchair user dwellings in the market sector and a higher proportion of around a tenth at M4(3)(B) (accessible) in the affordable sector.”</w:t>
      </w:r>
      <w:r>
        <w:rPr>
          <w:rFonts w:cs="Arial"/>
        </w:rPr>
        <w:t xml:space="preserve">  However, this recognises that viability will impact on the level which is actually delivered.</w:t>
      </w:r>
    </w:p>
    <w:p w14:paraId="4CE2583D" w14:textId="77777777" w:rsidR="00947A2B" w:rsidRPr="002E680C" w:rsidRDefault="00947A2B" w:rsidP="00947A2B">
      <w:pPr>
        <w:ind w:left="720" w:hanging="720"/>
        <w:jc w:val="left"/>
        <w:rPr>
          <w:rFonts w:cs="Arial"/>
          <w:szCs w:val="24"/>
        </w:rPr>
      </w:pPr>
      <w:r w:rsidRPr="002E680C">
        <w:rPr>
          <w:rFonts w:eastAsia="Arial" w:cs="Arial"/>
          <w:bCs/>
          <w:szCs w:val="24"/>
        </w:rPr>
        <w:t>2.9.</w:t>
      </w:r>
      <w:r>
        <w:rPr>
          <w:rFonts w:eastAsia="Arial" w:cs="Arial"/>
          <w:bCs/>
          <w:szCs w:val="24"/>
        </w:rPr>
        <w:t>9</w:t>
      </w:r>
      <w:r w:rsidRPr="002E680C">
        <w:rPr>
          <w:rFonts w:eastAsia="Arial" w:cs="Arial"/>
          <w:bCs/>
          <w:szCs w:val="24"/>
        </w:rPr>
        <w:tab/>
      </w:r>
      <w:r w:rsidRPr="002E680C">
        <w:rPr>
          <w:rFonts w:cs="Arial"/>
          <w:szCs w:val="24"/>
        </w:rPr>
        <w:t>Policy H6:2 sets out that d</w:t>
      </w:r>
      <w:r w:rsidRPr="002E680C">
        <w:t xml:space="preserve">evelopments of 10 or more dwellings will be expected to provide 10% of dwellings that are accessible or easily adaptable for occupation by the elderly or people with disabilities (M4 Category 2). </w:t>
      </w:r>
      <w:r w:rsidRPr="002E680C">
        <w:rPr>
          <w:rFonts w:cs="Arial"/>
          <w:szCs w:val="24"/>
        </w:rPr>
        <w:t>The provision of accessible and easily adaptable dwellings will make a valuable contribution towards meeting the future needs of the elderly or those with disabilities, enabling them to stay in their own home if desired.</w:t>
      </w:r>
    </w:p>
    <w:p w14:paraId="225FF19E" w14:textId="77777777" w:rsidR="00947A2B" w:rsidRPr="006500CF" w:rsidRDefault="00947A2B" w:rsidP="00947A2B">
      <w:pPr>
        <w:ind w:left="720" w:hanging="720"/>
        <w:jc w:val="left"/>
        <w:rPr>
          <w:rFonts w:cs="Arial"/>
        </w:rPr>
      </w:pPr>
      <w:r w:rsidRPr="006500CF">
        <w:rPr>
          <w:rFonts w:cs="Arial"/>
        </w:rPr>
        <w:t>2.9.1</w:t>
      </w:r>
      <w:r>
        <w:rPr>
          <w:rFonts w:cs="Arial"/>
        </w:rPr>
        <w:t>0</w:t>
      </w:r>
      <w:r w:rsidRPr="006500CF">
        <w:rPr>
          <w:rFonts w:cs="Arial"/>
        </w:rPr>
        <w:tab/>
        <w:t xml:space="preserve">Chapter 7 of the 2020 </w:t>
      </w:r>
      <w:r w:rsidRPr="006500CF">
        <w:t xml:space="preserve">Nottingham and Ashfield Housing Needs Assessment [SEV.19] </w:t>
      </w:r>
      <w:r w:rsidRPr="006500CF">
        <w:rPr>
          <w:rFonts w:cs="Arial"/>
        </w:rPr>
        <w:t>examines the need for student accommodation.  This did not show any demand for specialist housing for students in Ashfield.</w:t>
      </w:r>
    </w:p>
    <w:p w14:paraId="09EE7136" w14:textId="77777777" w:rsidR="0014730F" w:rsidRPr="0003082A" w:rsidRDefault="0014730F" w:rsidP="00F52777">
      <w:pPr>
        <w:pStyle w:val="ListParagraph"/>
        <w:jc w:val="left"/>
        <w:rPr>
          <w:color w:val="0070C0"/>
        </w:rPr>
      </w:pPr>
    </w:p>
    <w:p w14:paraId="1906BDEF" w14:textId="6D1C232F" w:rsidR="005B2FA0" w:rsidRPr="003D1036" w:rsidRDefault="005B2FA0" w:rsidP="005D13C3">
      <w:pPr>
        <w:pStyle w:val="Heading3"/>
      </w:pPr>
      <w:r w:rsidRPr="003D1036">
        <w:t xml:space="preserve">2.10 </w:t>
      </w:r>
      <w:r w:rsidR="005D13C3">
        <w:tab/>
      </w:r>
      <w:r w:rsidRPr="003D1036">
        <w:t xml:space="preserve">Are the requirements for affordable housing in Policy H3, including the </w:t>
      </w:r>
      <w:r w:rsidRPr="00725271">
        <w:t>proposed tenure</w:t>
      </w:r>
      <w:r w:rsidR="003D1036" w:rsidRPr="00725271">
        <w:t xml:space="preserve"> </w:t>
      </w:r>
      <w:r w:rsidRPr="00725271">
        <w:t>splits</w:t>
      </w:r>
      <w:r w:rsidRPr="003D1036">
        <w:t xml:space="preserve"> justified? Are the affordable housing percentages justified? </w:t>
      </w:r>
    </w:p>
    <w:p w14:paraId="4AB13809" w14:textId="77777777" w:rsidR="003D1036" w:rsidRPr="00156B97" w:rsidRDefault="003D1036" w:rsidP="00F46F28">
      <w:pPr>
        <w:jc w:val="left"/>
        <w:rPr>
          <w:u w:val="single"/>
        </w:rPr>
      </w:pPr>
      <w:bookmarkStart w:id="8" w:name="_Hlk180508849"/>
      <w:r w:rsidRPr="00156B97">
        <w:rPr>
          <w:u w:val="single"/>
        </w:rPr>
        <w:t>Council’s response</w:t>
      </w:r>
    </w:p>
    <w:bookmarkEnd w:id="8"/>
    <w:p w14:paraId="1B5D8679" w14:textId="6AE6337B" w:rsidR="00B54248" w:rsidRDefault="00CD22F9" w:rsidP="00CD22F9">
      <w:pPr>
        <w:ind w:left="720" w:hanging="720"/>
        <w:jc w:val="left"/>
      </w:pPr>
      <w:r>
        <w:t>2.10.1</w:t>
      </w:r>
      <w:r>
        <w:tab/>
      </w:r>
      <w:r w:rsidR="00B54248">
        <w:t>Yes, t</w:t>
      </w:r>
      <w:r w:rsidR="00B54248" w:rsidRPr="006D7258">
        <w:t xml:space="preserve">he need for </w:t>
      </w:r>
      <w:r w:rsidR="00B54248">
        <w:t>affordable housing</w:t>
      </w:r>
      <w:r w:rsidR="00B54248" w:rsidRPr="006D7258">
        <w:t xml:space="preserve"> was set out in Chapter </w:t>
      </w:r>
      <w:r w:rsidR="00B54248">
        <w:t>5</w:t>
      </w:r>
      <w:r w:rsidR="00B54248" w:rsidRPr="006D7258">
        <w:t xml:space="preserve"> of the Greater Nottingham and Ashfield Housing Needs </w:t>
      </w:r>
      <w:r w:rsidR="00B54248">
        <w:t>Assessment</w:t>
      </w:r>
      <w:r w:rsidR="00B54248" w:rsidRPr="006D7258">
        <w:t xml:space="preserve"> (</w:t>
      </w:r>
      <w:r w:rsidR="00B54248">
        <w:t xml:space="preserve">October </w:t>
      </w:r>
      <w:r w:rsidR="00B54248" w:rsidRPr="006D7258">
        <w:t>202</w:t>
      </w:r>
      <w:r w:rsidR="00B54248">
        <w:t>0</w:t>
      </w:r>
      <w:r w:rsidR="00B54248" w:rsidRPr="006D7258">
        <w:t xml:space="preserve">) </w:t>
      </w:r>
      <w:r w:rsidR="001F1E21">
        <w:t>[</w:t>
      </w:r>
      <w:r w:rsidR="00B54248">
        <w:t>SEV.19</w:t>
      </w:r>
      <w:r w:rsidR="001F1E21">
        <w:t>]</w:t>
      </w:r>
      <w:r w:rsidR="00B54248" w:rsidRPr="006D7258">
        <w:t>.</w:t>
      </w:r>
      <w:r w:rsidR="00B54248">
        <w:t xml:space="preserve">  Table 5.13 shows a net need for 237 affordable homes to rent per annum. Table 5.17 shows a gross need for 85 affordable homes to buy per annum although there is a supply to meet this demand (Table 5.18).</w:t>
      </w:r>
    </w:p>
    <w:p w14:paraId="6DFC94D0" w14:textId="6F00B295" w:rsidR="00B54248" w:rsidRDefault="001F1E21" w:rsidP="001F1E21">
      <w:pPr>
        <w:ind w:left="720" w:hanging="720"/>
        <w:jc w:val="left"/>
      </w:pPr>
      <w:r>
        <w:t>2.1</w:t>
      </w:r>
      <w:r w:rsidR="006E6391">
        <w:t>0.2</w:t>
      </w:r>
      <w:r>
        <w:tab/>
      </w:r>
      <w:r w:rsidR="00B54248">
        <w:t>The chapter concludes at Paragraph 5.104 that there is “</w:t>
      </w:r>
      <w:r w:rsidR="00B54248" w:rsidRPr="00523613">
        <w:t xml:space="preserve">a clear and acute need for rented affordable housing from lower income households, and it is important that a supply of rented affordable housing is maintained to meet the needs of this </w:t>
      </w:r>
      <w:r w:rsidR="00B54248">
        <w:t>group”</w:t>
      </w:r>
    </w:p>
    <w:p w14:paraId="0DE5ECFF" w14:textId="2BA84828" w:rsidR="00B54248" w:rsidRPr="00947A2B" w:rsidRDefault="001F1E21" w:rsidP="001F1E21">
      <w:pPr>
        <w:ind w:left="720" w:hanging="720"/>
        <w:jc w:val="left"/>
      </w:pPr>
      <w:r>
        <w:t>2.1</w:t>
      </w:r>
      <w:r w:rsidR="006E6391">
        <w:t>0.3</w:t>
      </w:r>
      <w:r>
        <w:tab/>
      </w:r>
      <w:r w:rsidR="00B54248">
        <w:t xml:space="preserve">The Housing Need Assessment does not provide a recommended split of tenures although it does provide commentary around what the council should consider when setting a policy.  This includes available funding streams, the viability of different forms of homes and the council’s objectives and priorities in addressing housing </w:t>
      </w:r>
      <w:r w:rsidR="00B54248">
        <w:lastRenderedPageBreak/>
        <w:t>need</w:t>
      </w:r>
      <w:r w:rsidR="00B54248" w:rsidRPr="00947A2B">
        <w:t>.</w:t>
      </w:r>
      <w:r w:rsidR="0092167F" w:rsidRPr="00947A2B">
        <w:t xml:space="preserve"> The current tenure split required by Ashfield Council’s Strategic Housing team is 25% shared ownership, 75% rented.</w:t>
      </w:r>
    </w:p>
    <w:p w14:paraId="48C1A8CF" w14:textId="50B4CB01" w:rsidR="00B54248" w:rsidRDefault="001F1E21" w:rsidP="001F1E21">
      <w:pPr>
        <w:ind w:left="720" w:hanging="720"/>
        <w:jc w:val="left"/>
      </w:pPr>
      <w:r>
        <w:t>2.1</w:t>
      </w:r>
      <w:r w:rsidR="006E6391">
        <w:t>0.4</w:t>
      </w:r>
      <w:r>
        <w:tab/>
      </w:r>
      <w:r w:rsidR="00B54248">
        <w:t xml:space="preserve">Although the level of affordable housing to rent is by far </w:t>
      </w:r>
      <w:proofErr w:type="gramStart"/>
      <w:r w:rsidR="00B54248">
        <w:t>in excess of</w:t>
      </w:r>
      <w:proofErr w:type="gramEnd"/>
      <w:r w:rsidR="00B54248">
        <w:t xml:space="preserve"> affordable housing to </w:t>
      </w:r>
      <w:proofErr w:type="gramStart"/>
      <w:r w:rsidR="00B54248">
        <w:t>buy,  Paragraph</w:t>
      </w:r>
      <w:proofErr w:type="gramEnd"/>
      <w:r w:rsidR="00B54248">
        <w:t xml:space="preserve"> 65 of the September 2023 NPPF states that on major development “</w:t>
      </w:r>
      <w:r w:rsidR="00B54248" w:rsidRPr="006A6252">
        <w:t>at least 10% of the total number of homes to be available for affordable home ownership</w:t>
      </w:r>
      <w:r w:rsidR="00B54248">
        <w:t>.”  This would justify the Council seeking affordable homes to be delivered as Shared Ownership.</w:t>
      </w:r>
    </w:p>
    <w:p w14:paraId="4CFA00AE" w14:textId="77777777" w:rsidR="00D0168D" w:rsidRDefault="00D0168D" w:rsidP="00F46F28">
      <w:pPr>
        <w:jc w:val="left"/>
        <w:rPr>
          <w:b/>
          <w:bCs/>
          <w:i/>
          <w:iCs/>
        </w:rPr>
      </w:pPr>
    </w:p>
    <w:p w14:paraId="5F049C73" w14:textId="30266B95" w:rsidR="004A2EDE" w:rsidRDefault="004A2EDE" w:rsidP="005D13C3">
      <w:pPr>
        <w:pStyle w:val="Heading3"/>
      </w:pPr>
      <w:r w:rsidRPr="003D1036">
        <w:t>Will they be viable?</w:t>
      </w:r>
    </w:p>
    <w:p w14:paraId="55EEFC57" w14:textId="77777777" w:rsidR="004A2EDE" w:rsidRPr="00156B97" w:rsidRDefault="004A2EDE" w:rsidP="004A2EDE">
      <w:pPr>
        <w:jc w:val="left"/>
        <w:rPr>
          <w:u w:val="single"/>
        </w:rPr>
      </w:pPr>
      <w:r w:rsidRPr="00156B97">
        <w:rPr>
          <w:u w:val="single"/>
        </w:rPr>
        <w:t>Council’s response</w:t>
      </w:r>
    </w:p>
    <w:p w14:paraId="1A556267" w14:textId="52FD7A5F" w:rsidR="00D138F0" w:rsidRPr="00D138F0" w:rsidRDefault="00621F4A" w:rsidP="00621F4A">
      <w:pPr>
        <w:ind w:left="720" w:hanging="720"/>
        <w:jc w:val="left"/>
      </w:pPr>
      <w:r>
        <w:t>2.10.2</w:t>
      </w:r>
      <w:r>
        <w:tab/>
      </w:r>
      <w:r w:rsidR="00D138F0" w:rsidRPr="00D138F0">
        <w:t xml:space="preserve">The various housing typologies that were assessed, representing the type of development envisaged to emerge over the Plan period were subjected to a series of Affordable Housing delivery targets ranging from 10-30%.  </w:t>
      </w:r>
      <w:proofErr w:type="gramStart"/>
      <w:r w:rsidR="00D138F0" w:rsidRPr="00D138F0">
        <w:t>Al</w:t>
      </w:r>
      <w:r w:rsidR="004A06E7">
        <w:t>l</w:t>
      </w:r>
      <w:r w:rsidR="00D138F0" w:rsidRPr="00D138F0">
        <w:t xml:space="preserve"> of</w:t>
      </w:r>
      <w:proofErr w:type="gramEnd"/>
      <w:r w:rsidR="00D138F0" w:rsidRPr="00D138F0">
        <w:t xml:space="preserve"> the tests were based on the Affordable Housing tenure mix set out in Policy H3, namely 25% </w:t>
      </w:r>
      <w:proofErr w:type="gramStart"/>
      <w:r w:rsidR="00D138F0" w:rsidRPr="00D138F0">
        <w:t>Low Cost</w:t>
      </w:r>
      <w:proofErr w:type="gramEnd"/>
      <w:r w:rsidR="00D138F0" w:rsidRPr="00D138F0">
        <w:t xml:space="preserve"> Home Ownership (e.g. Shared Ownership), 25% Social Rent and 50% Affordable Rent.</w:t>
      </w:r>
    </w:p>
    <w:p w14:paraId="58ACC91B" w14:textId="16E98DC3" w:rsidR="00D138F0" w:rsidRPr="00D138F0" w:rsidRDefault="00621F4A" w:rsidP="00621F4A">
      <w:pPr>
        <w:ind w:left="720" w:hanging="720"/>
        <w:jc w:val="left"/>
      </w:pPr>
      <w:r>
        <w:t>2.10.3</w:t>
      </w:r>
      <w:r>
        <w:tab/>
      </w:r>
      <w:r w:rsidR="00D138F0" w:rsidRPr="00D138F0">
        <w:t xml:space="preserve">Of the various potential combinations of Affordable Housing delivery and Greenfield/Brownfield sites in the two Housing sub-markets within the </w:t>
      </w:r>
      <w:proofErr w:type="gramStart"/>
      <w:r w:rsidR="00D138F0" w:rsidRPr="00D138F0">
        <w:t>District</w:t>
      </w:r>
      <w:proofErr w:type="gramEnd"/>
      <w:r w:rsidR="00D138F0" w:rsidRPr="00D138F0">
        <w:t xml:space="preserve">, the following test results represented the optimum balance of maximising Affordable Housing delivery whilst maintaining </w:t>
      </w:r>
      <w:proofErr w:type="gramStart"/>
      <w:r w:rsidR="00D138F0" w:rsidRPr="00D138F0">
        <w:t>development  viability</w:t>
      </w:r>
      <w:proofErr w:type="gramEnd"/>
      <w:r w:rsidR="00D138F0" w:rsidRPr="00D138F0">
        <w:t>.  It can be seen that these results demonstrate a significant ‘viability buffer’ in terms of the margin beyond a reasonable return to the developer (taking account of all policy impacts).</w:t>
      </w:r>
    </w:p>
    <w:p w14:paraId="77ABF9C8" w14:textId="77777777" w:rsidR="00D138F0" w:rsidRPr="00D138F0" w:rsidRDefault="00D138F0" w:rsidP="00D138F0">
      <w:pPr>
        <w:jc w:val="left"/>
      </w:pPr>
      <w:r w:rsidRPr="00D138F0">
        <w:rPr>
          <w:noProof/>
        </w:rPr>
        <w:drawing>
          <wp:inline distT="0" distB="0" distL="0" distR="0" wp14:anchorId="2B5AE3C9" wp14:editId="30E90AC7">
            <wp:extent cx="6272066" cy="3562350"/>
            <wp:effectExtent l="0" t="0" r="0" b="0"/>
            <wp:docPr id="489739218" name="Picture 1" descr="Table of viability in different planning contex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739218" name="Picture 1" descr="Table of viability in different planning contexts."/>
                    <pic:cNvPicPr/>
                  </pic:nvPicPr>
                  <pic:blipFill rotWithShape="1">
                    <a:blip r:embed="rId11"/>
                    <a:srcRect l="1819" t="1892" r="1327"/>
                    <a:stretch/>
                  </pic:blipFill>
                  <pic:spPr bwMode="auto">
                    <a:xfrm>
                      <a:off x="0" y="0"/>
                      <a:ext cx="6281163" cy="3567517"/>
                    </a:xfrm>
                    <a:prstGeom prst="rect">
                      <a:avLst/>
                    </a:prstGeom>
                    <a:ln>
                      <a:noFill/>
                    </a:ln>
                    <a:extLst>
                      <a:ext uri="{53640926-AAD7-44D8-BBD7-CCE9431645EC}">
                        <a14:shadowObscured xmlns:a14="http://schemas.microsoft.com/office/drawing/2010/main"/>
                      </a:ext>
                    </a:extLst>
                  </pic:spPr>
                </pic:pic>
              </a:graphicData>
            </a:graphic>
          </wp:inline>
        </w:drawing>
      </w:r>
    </w:p>
    <w:p w14:paraId="1B9A59DB" w14:textId="0BEA9A32" w:rsidR="00D138F0" w:rsidRPr="00D138F0" w:rsidRDefault="00621F4A" w:rsidP="00621F4A">
      <w:pPr>
        <w:ind w:left="720" w:hanging="720"/>
        <w:jc w:val="left"/>
      </w:pPr>
      <w:r>
        <w:t>2.10.4</w:t>
      </w:r>
      <w:r>
        <w:tab/>
      </w:r>
      <w:r w:rsidR="00D138F0" w:rsidRPr="00D138F0">
        <w:t xml:space="preserve">From the above results the following differential delivery target for Brownfield and Greenfield sites was considered appropriate. </w:t>
      </w:r>
    </w:p>
    <w:p w14:paraId="0B75E521" w14:textId="74E9BC86" w:rsidR="00D138F0" w:rsidRPr="00D138F0" w:rsidRDefault="00D138F0" w:rsidP="00621F4A">
      <w:pPr>
        <w:ind w:left="993" w:hanging="284"/>
        <w:jc w:val="left"/>
      </w:pPr>
      <w:r w:rsidRPr="00D138F0">
        <w:lastRenderedPageBreak/>
        <w:t xml:space="preserve">‘1. Affordable housing contributions will be required on new housing developments of 10 or more </w:t>
      </w:r>
      <w:bookmarkStart w:id="9" w:name="_Hlk180139072"/>
      <w:r w:rsidRPr="00D138F0">
        <w:t>dwe</w:t>
      </w:r>
      <w:bookmarkEnd w:id="9"/>
      <w:r w:rsidRPr="00D138F0">
        <w:t>llings or 0.5 ha or more, other than where affordable housing requirements are excluded by national planning policy, as follows:</w:t>
      </w:r>
    </w:p>
    <w:p w14:paraId="44E3C9CD" w14:textId="77777777" w:rsidR="00D138F0" w:rsidRPr="00D138F0" w:rsidRDefault="00D138F0" w:rsidP="00621F4A">
      <w:pPr>
        <w:numPr>
          <w:ilvl w:val="0"/>
          <w:numId w:val="2"/>
        </w:numPr>
        <w:ind w:firstLine="709"/>
        <w:jc w:val="left"/>
      </w:pPr>
      <w:r w:rsidRPr="00D138F0">
        <w:t>A minimum of 25% affordable housing on greenfield sites, and</w:t>
      </w:r>
    </w:p>
    <w:p w14:paraId="71C19AC1" w14:textId="01BAF623" w:rsidR="00D138F0" w:rsidRPr="00D138F0" w:rsidRDefault="00D138F0" w:rsidP="00621F4A">
      <w:pPr>
        <w:numPr>
          <w:ilvl w:val="0"/>
          <w:numId w:val="2"/>
        </w:numPr>
        <w:ind w:firstLine="709"/>
        <w:jc w:val="left"/>
      </w:pPr>
      <w:r w:rsidRPr="00D138F0">
        <w:t>A minimum of 10% affordable housing on brownfield sites’</w:t>
      </w:r>
    </w:p>
    <w:p w14:paraId="708DC866" w14:textId="77777777" w:rsidR="00174AA1" w:rsidRDefault="00174AA1" w:rsidP="00174AA1">
      <w:pPr>
        <w:jc w:val="left"/>
        <w:rPr>
          <w:color w:val="FF0000"/>
          <w:u w:val="single"/>
        </w:rPr>
      </w:pPr>
    </w:p>
    <w:p w14:paraId="32B12F06" w14:textId="0CAB9CAF" w:rsidR="005B2FA0" w:rsidRPr="003D1036" w:rsidRDefault="005B2FA0" w:rsidP="005D13C3">
      <w:pPr>
        <w:pStyle w:val="Heading3"/>
      </w:pPr>
      <w:r w:rsidRPr="003D1036">
        <w:t xml:space="preserve">2.11 </w:t>
      </w:r>
      <w:r w:rsidR="005D13C3">
        <w:tab/>
      </w:r>
      <w:r w:rsidRPr="003D1036">
        <w:t>Are the requirements in Policy H4(1) justified?</w:t>
      </w:r>
    </w:p>
    <w:p w14:paraId="0BBF8425" w14:textId="77777777" w:rsidR="003D1036" w:rsidRPr="00156B97" w:rsidRDefault="003D1036" w:rsidP="00F46F28">
      <w:pPr>
        <w:jc w:val="left"/>
        <w:rPr>
          <w:u w:val="single"/>
        </w:rPr>
      </w:pPr>
      <w:r w:rsidRPr="00156B97">
        <w:rPr>
          <w:u w:val="single"/>
        </w:rPr>
        <w:t>Council’s response</w:t>
      </w:r>
    </w:p>
    <w:p w14:paraId="0AFAE8DD" w14:textId="339E8915" w:rsidR="00060849" w:rsidRDefault="00935F5B" w:rsidP="00060849">
      <w:pPr>
        <w:ind w:left="720" w:hanging="720"/>
        <w:jc w:val="left"/>
      </w:pPr>
      <w:r w:rsidRPr="00060849">
        <w:t>2.11.1</w:t>
      </w:r>
      <w:r w:rsidRPr="00060849">
        <w:tab/>
      </w:r>
      <w:r w:rsidR="00A12FEB">
        <w:t xml:space="preserve">Yes - </w:t>
      </w:r>
      <w:r w:rsidR="00060849" w:rsidRPr="00060849">
        <w:t xml:space="preserve">NPPF </w:t>
      </w:r>
      <w:r w:rsidR="00FB0E44">
        <w:t xml:space="preserve">(Sept. 2023) </w:t>
      </w:r>
      <w:r w:rsidR="00060849" w:rsidRPr="00060849">
        <w:t xml:space="preserve">paragraph </w:t>
      </w:r>
      <w:r w:rsidR="00FB0E44">
        <w:t>78</w:t>
      </w:r>
      <w:r w:rsidR="00060849" w:rsidRPr="00060849">
        <w:t xml:space="preserve"> </w:t>
      </w:r>
      <w:r w:rsidR="00060849">
        <w:t>makes clear that local planning authorities should support opportunities to bring forward rural exception sites that will provide affordable housing to meet identified local needs.</w:t>
      </w:r>
      <w:r w:rsidR="00FB0E44">
        <w:t xml:space="preserve"> Policy H4 aims to support the </w:t>
      </w:r>
      <w:proofErr w:type="gramStart"/>
      <w:r w:rsidR="00FB0E44">
        <w:t>District’s</w:t>
      </w:r>
      <w:proofErr w:type="gramEnd"/>
      <w:r w:rsidR="00FB0E44">
        <w:t xml:space="preserve"> rural areas </w:t>
      </w:r>
      <w:proofErr w:type="gramStart"/>
      <w:r w:rsidR="00FB0E44">
        <w:t>with regard to</w:t>
      </w:r>
      <w:proofErr w:type="gramEnd"/>
      <w:r w:rsidR="00FB0E44">
        <w:t xml:space="preserve"> affordable housing and the Council considers the following requirements justified for the effective delivery of this policy</w:t>
      </w:r>
      <w:r w:rsidR="00A12FEB">
        <w:t>:</w:t>
      </w:r>
    </w:p>
    <w:p w14:paraId="6ABB88BB" w14:textId="64E34223" w:rsidR="00FB0E44" w:rsidRPr="00AB778B" w:rsidRDefault="00FB0E44" w:rsidP="00FB0E44">
      <w:pPr>
        <w:numPr>
          <w:ilvl w:val="0"/>
          <w:numId w:val="15"/>
        </w:numPr>
        <w:autoSpaceDE w:val="0"/>
        <w:autoSpaceDN w:val="0"/>
        <w:adjustRightInd w:val="0"/>
        <w:spacing w:after="0" w:line="276" w:lineRule="auto"/>
        <w:ind w:left="1077" w:hanging="357"/>
        <w:jc w:val="left"/>
        <w:rPr>
          <w:rFonts w:cs="Arial"/>
          <w:bCs/>
          <w:i/>
          <w:iCs/>
          <w:szCs w:val="24"/>
        </w:rPr>
      </w:pPr>
      <w:r w:rsidRPr="00AB778B">
        <w:rPr>
          <w:rFonts w:cs="Arial"/>
          <w:bCs/>
          <w:i/>
          <w:iCs/>
          <w:szCs w:val="24"/>
          <w:lang w:val="en"/>
        </w:rPr>
        <w:t>Development is of a small scale not exceeding 9 dwellings and consisting of 100% affordable housing</w:t>
      </w:r>
      <w:r w:rsidR="00AB778B">
        <w:rPr>
          <w:rFonts w:cs="Arial"/>
          <w:bCs/>
          <w:i/>
          <w:iCs/>
          <w:szCs w:val="24"/>
          <w:lang w:val="en"/>
        </w:rPr>
        <w:t>.</w:t>
      </w:r>
    </w:p>
    <w:p w14:paraId="3CF156C7" w14:textId="54A0889E" w:rsidR="00FB0E44" w:rsidRDefault="00AB778B" w:rsidP="00AB778B">
      <w:pPr>
        <w:pStyle w:val="ListParagraph"/>
        <w:numPr>
          <w:ilvl w:val="0"/>
          <w:numId w:val="16"/>
        </w:numPr>
        <w:autoSpaceDE w:val="0"/>
        <w:autoSpaceDN w:val="0"/>
        <w:adjustRightInd w:val="0"/>
        <w:spacing w:after="0" w:line="276" w:lineRule="auto"/>
        <w:jc w:val="left"/>
        <w:rPr>
          <w:rFonts w:cs="Arial"/>
          <w:bCs/>
          <w:szCs w:val="24"/>
        </w:rPr>
      </w:pPr>
      <w:r w:rsidRPr="00AB778B">
        <w:rPr>
          <w:rFonts w:cs="Arial"/>
          <w:bCs/>
          <w:szCs w:val="24"/>
        </w:rPr>
        <w:t>NPPF definition of rural exceptions sites refers to ‘small’ sites. For the planning policy purposes a small site is taken to be one consisting of less than 10 dwellings.</w:t>
      </w:r>
      <w:r w:rsidR="009F784B">
        <w:rPr>
          <w:rFonts w:cs="Arial"/>
          <w:bCs/>
          <w:szCs w:val="24"/>
        </w:rPr>
        <w:t xml:space="preserve"> This will also serve to minimise the visual impact on existing rural settlements. </w:t>
      </w:r>
    </w:p>
    <w:p w14:paraId="3D8CD99F" w14:textId="77777777" w:rsidR="00AB778B" w:rsidRPr="00AB778B" w:rsidRDefault="00AB778B" w:rsidP="00AB778B">
      <w:pPr>
        <w:pStyle w:val="ListParagraph"/>
        <w:autoSpaceDE w:val="0"/>
        <w:autoSpaceDN w:val="0"/>
        <w:adjustRightInd w:val="0"/>
        <w:spacing w:after="0" w:line="276" w:lineRule="auto"/>
        <w:ind w:left="1437"/>
        <w:jc w:val="left"/>
        <w:rPr>
          <w:rFonts w:cs="Arial"/>
          <w:bCs/>
          <w:szCs w:val="24"/>
        </w:rPr>
      </w:pPr>
    </w:p>
    <w:p w14:paraId="37795257" w14:textId="7D6D238F" w:rsidR="00FB0E44" w:rsidRPr="00AB778B" w:rsidRDefault="00FB0E44" w:rsidP="00FB0E44">
      <w:pPr>
        <w:numPr>
          <w:ilvl w:val="0"/>
          <w:numId w:val="15"/>
        </w:numPr>
        <w:autoSpaceDE w:val="0"/>
        <w:autoSpaceDN w:val="0"/>
        <w:adjustRightInd w:val="0"/>
        <w:spacing w:after="0" w:line="276" w:lineRule="auto"/>
        <w:contextualSpacing/>
        <w:jc w:val="left"/>
        <w:rPr>
          <w:rFonts w:cs="Arial"/>
          <w:bCs/>
          <w:i/>
          <w:iCs/>
          <w:szCs w:val="24"/>
          <w:lang w:val="en"/>
        </w:rPr>
      </w:pPr>
      <w:r w:rsidRPr="00AB778B">
        <w:rPr>
          <w:rFonts w:cs="Arial"/>
          <w:bCs/>
          <w:i/>
          <w:iCs/>
          <w:szCs w:val="24"/>
          <w:lang w:val="en"/>
        </w:rPr>
        <w:t>There is robust evidence of local need for affordable housing for people with a local connection to the area</w:t>
      </w:r>
      <w:r w:rsidR="00AB778B">
        <w:rPr>
          <w:rFonts w:cs="Arial"/>
          <w:bCs/>
          <w:i/>
          <w:iCs/>
          <w:szCs w:val="24"/>
          <w:lang w:val="en"/>
        </w:rPr>
        <w:t>.</w:t>
      </w:r>
    </w:p>
    <w:p w14:paraId="4203581E" w14:textId="628C28B1" w:rsidR="00AB778B" w:rsidRDefault="00AB778B" w:rsidP="00072A75">
      <w:pPr>
        <w:pStyle w:val="ListParagraph"/>
        <w:numPr>
          <w:ilvl w:val="0"/>
          <w:numId w:val="16"/>
        </w:numPr>
        <w:autoSpaceDE w:val="0"/>
        <w:autoSpaceDN w:val="0"/>
        <w:adjustRightInd w:val="0"/>
        <w:spacing w:after="0" w:line="276" w:lineRule="auto"/>
        <w:jc w:val="left"/>
        <w:rPr>
          <w:rFonts w:cs="Arial"/>
          <w:bCs/>
          <w:szCs w:val="24"/>
          <w:lang w:val="en"/>
        </w:rPr>
      </w:pPr>
      <w:r w:rsidRPr="00AB778B">
        <w:rPr>
          <w:rFonts w:cs="Arial"/>
          <w:bCs/>
          <w:szCs w:val="24"/>
          <w:lang w:val="en"/>
        </w:rPr>
        <w:t>Rural exception sites seek to address the needs of the local community by accommodating households who are either current residents or have an existing family or employment connection</w:t>
      </w:r>
      <w:r>
        <w:rPr>
          <w:rFonts w:cs="Arial"/>
          <w:bCs/>
          <w:szCs w:val="24"/>
          <w:lang w:val="en"/>
        </w:rPr>
        <w:t xml:space="preserve"> (NPPFF definition).</w:t>
      </w:r>
      <w:r w:rsidR="00905629">
        <w:rPr>
          <w:rFonts w:cs="Arial"/>
          <w:bCs/>
          <w:szCs w:val="24"/>
          <w:lang w:val="en"/>
        </w:rPr>
        <w:t xml:space="preserve"> Local Plan supporting paragraphs 6.12</w:t>
      </w:r>
      <w:r w:rsidR="00D429EE">
        <w:rPr>
          <w:rFonts w:cs="Arial"/>
          <w:bCs/>
          <w:szCs w:val="24"/>
          <w:lang w:val="en"/>
        </w:rPr>
        <w:t>8</w:t>
      </w:r>
      <w:r w:rsidR="00905629">
        <w:rPr>
          <w:rFonts w:cs="Arial"/>
          <w:bCs/>
          <w:szCs w:val="24"/>
          <w:lang w:val="en"/>
        </w:rPr>
        <w:t>-6.130 expand on how this might be applied.</w:t>
      </w:r>
    </w:p>
    <w:p w14:paraId="207CF948" w14:textId="77777777" w:rsidR="00AB778B" w:rsidRPr="00AB778B" w:rsidRDefault="00AB778B" w:rsidP="00072A75">
      <w:pPr>
        <w:pStyle w:val="ListParagraph"/>
        <w:autoSpaceDE w:val="0"/>
        <w:autoSpaceDN w:val="0"/>
        <w:adjustRightInd w:val="0"/>
        <w:spacing w:after="0" w:line="276" w:lineRule="auto"/>
        <w:ind w:left="1437"/>
        <w:jc w:val="left"/>
        <w:rPr>
          <w:rFonts w:cs="Arial"/>
          <w:bCs/>
          <w:szCs w:val="24"/>
          <w:lang w:val="en"/>
        </w:rPr>
      </w:pPr>
    </w:p>
    <w:p w14:paraId="4458965E" w14:textId="005A728C" w:rsidR="00FB0E44" w:rsidRPr="00D429EE" w:rsidRDefault="00FB0E44" w:rsidP="00072A75">
      <w:pPr>
        <w:numPr>
          <w:ilvl w:val="0"/>
          <w:numId w:val="15"/>
        </w:numPr>
        <w:autoSpaceDE w:val="0"/>
        <w:autoSpaceDN w:val="0"/>
        <w:adjustRightInd w:val="0"/>
        <w:spacing w:after="0" w:line="276" w:lineRule="auto"/>
        <w:contextualSpacing/>
        <w:jc w:val="left"/>
        <w:rPr>
          <w:rFonts w:cs="Arial"/>
          <w:bCs/>
          <w:i/>
          <w:iCs/>
          <w:szCs w:val="24"/>
        </w:rPr>
      </w:pPr>
      <w:r w:rsidRPr="00D429EE">
        <w:rPr>
          <w:rFonts w:cs="Arial"/>
          <w:bCs/>
          <w:i/>
          <w:iCs/>
          <w:szCs w:val="24"/>
        </w:rPr>
        <w:t>The type of housing provided reflects the nature and scale of the identified need</w:t>
      </w:r>
      <w:r w:rsidR="00AB778B" w:rsidRPr="00D429EE">
        <w:rPr>
          <w:rFonts w:cs="Arial"/>
          <w:bCs/>
          <w:i/>
          <w:iCs/>
          <w:szCs w:val="24"/>
        </w:rPr>
        <w:t>.</w:t>
      </w:r>
    </w:p>
    <w:p w14:paraId="1220A3DE" w14:textId="569CE1FB" w:rsidR="00AB778B" w:rsidRDefault="00D429EE" w:rsidP="00072A75">
      <w:pPr>
        <w:pStyle w:val="ListParagraph"/>
        <w:numPr>
          <w:ilvl w:val="0"/>
          <w:numId w:val="16"/>
        </w:numPr>
        <w:autoSpaceDE w:val="0"/>
        <w:autoSpaceDN w:val="0"/>
        <w:adjustRightInd w:val="0"/>
        <w:spacing w:after="0" w:line="276" w:lineRule="auto"/>
        <w:jc w:val="left"/>
        <w:rPr>
          <w:rFonts w:cs="Arial"/>
          <w:bCs/>
          <w:szCs w:val="24"/>
        </w:rPr>
      </w:pPr>
      <w:r>
        <w:rPr>
          <w:rFonts w:cs="Arial"/>
          <w:bCs/>
          <w:szCs w:val="24"/>
        </w:rPr>
        <w:t xml:space="preserve">The Council need to be confident that the provision of any development in areas which would not normally permit housing development will meet a genuine assessed </w:t>
      </w:r>
      <w:r w:rsidR="009F784B">
        <w:rPr>
          <w:rFonts w:cs="Arial"/>
          <w:bCs/>
          <w:szCs w:val="24"/>
        </w:rPr>
        <w:t xml:space="preserve">local </w:t>
      </w:r>
      <w:r>
        <w:rPr>
          <w:rFonts w:cs="Arial"/>
          <w:bCs/>
          <w:szCs w:val="24"/>
        </w:rPr>
        <w:t>need in that area.</w:t>
      </w:r>
    </w:p>
    <w:p w14:paraId="28A24E46" w14:textId="77777777" w:rsidR="00D429EE" w:rsidRPr="00D429EE" w:rsidRDefault="00D429EE" w:rsidP="00072A75">
      <w:pPr>
        <w:pStyle w:val="ListParagraph"/>
        <w:autoSpaceDE w:val="0"/>
        <w:autoSpaceDN w:val="0"/>
        <w:adjustRightInd w:val="0"/>
        <w:spacing w:after="0" w:line="276" w:lineRule="auto"/>
        <w:ind w:left="1437"/>
        <w:jc w:val="left"/>
        <w:rPr>
          <w:rFonts w:cs="Arial"/>
          <w:bCs/>
          <w:szCs w:val="24"/>
        </w:rPr>
      </w:pPr>
    </w:p>
    <w:p w14:paraId="158D67EC" w14:textId="77777777" w:rsidR="00FB0E44" w:rsidRPr="00072A75" w:rsidRDefault="00FB0E44" w:rsidP="00072A75">
      <w:pPr>
        <w:numPr>
          <w:ilvl w:val="0"/>
          <w:numId w:val="15"/>
        </w:numPr>
        <w:autoSpaceDE w:val="0"/>
        <w:autoSpaceDN w:val="0"/>
        <w:adjustRightInd w:val="0"/>
        <w:spacing w:after="0" w:line="276" w:lineRule="auto"/>
        <w:contextualSpacing/>
        <w:jc w:val="left"/>
        <w:rPr>
          <w:rFonts w:cs="Arial"/>
          <w:bCs/>
          <w:i/>
          <w:iCs/>
          <w:szCs w:val="24"/>
          <w:lang w:val="en"/>
        </w:rPr>
      </w:pPr>
      <w:r w:rsidRPr="00072A75">
        <w:rPr>
          <w:rFonts w:cs="Arial"/>
          <w:bCs/>
          <w:i/>
          <w:iCs/>
          <w:szCs w:val="24"/>
        </w:rPr>
        <w:t>Arrangements exist to ensure that the housing will remain affordable in perpetuity</w:t>
      </w:r>
      <w:r w:rsidRPr="00072A75">
        <w:rPr>
          <w:rFonts w:cs="Arial"/>
          <w:bCs/>
          <w:i/>
          <w:iCs/>
          <w:szCs w:val="24"/>
          <w:lang w:val="en"/>
        </w:rPr>
        <w:t>;</w:t>
      </w:r>
    </w:p>
    <w:p w14:paraId="58DF2181" w14:textId="24997677" w:rsidR="00A12FEB" w:rsidRDefault="00072A75" w:rsidP="00072A75">
      <w:pPr>
        <w:pStyle w:val="ListParagraph"/>
        <w:numPr>
          <w:ilvl w:val="0"/>
          <w:numId w:val="16"/>
        </w:numPr>
        <w:autoSpaceDE w:val="0"/>
        <w:autoSpaceDN w:val="0"/>
        <w:adjustRightInd w:val="0"/>
        <w:spacing w:after="0" w:line="276" w:lineRule="auto"/>
        <w:jc w:val="left"/>
        <w:rPr>
          <w:rFonts w:cs="Arial"/>
          <w:bCs/>
          <w:szCs w:val="24"/>
          <w:lang w:val="en"/>
        </w:rPr>
      </w:pPr>
      <w:r w:rsidRPr="00072A75">
        <w:rPr>
          <w:rFonts w:cs="Arial"/>
          <w:bCs/>
          <w:szCs w:val="24"/>
          <w:lang w:val="en"/>
        </w:rPr>
        <w:t xml:space="preserve">The Council will seek to ensure that any affordable housing </w:t>
      </w:r>
      <w:r w:rsidR="005265F8" w:rsidRPr="00072A75">
        <w:rPr>
          <w:rFonts w:cs="Arial"/>
          <w:bCs/>
          <w:szCs w:val="24"/>
          <w:lang w:val="en"/>
        </w:rPr>
        <w:t>provision will</w:t>
      </w:r>
      <w:r w:rsidRPr="00072A75">
        <w:rPr>
          <w:rFonts w:cs="Arial"/>
          <w:bCs/>
          <w:szCs w:val="24"/>
          <w:lang w:val="en"/>
        </w:rPr>
        <w:t xml:space="preserve"> remain at an affordable price and be occupied in perpetuity by those in need of affordable housing</w:t>
      </w:r>
      <w:r>
        <w:rPr>
          <w:rFonts w:cs="Arial"/>
          <w:bCs/>
          <w:szCs w:val="24"/>
          <w:lang w:val="en"/>
        </w:rPr>
        <w:t>. T</w:t>
      </w:r>
      <w:r w:rsidRPr="00072A75">
        <w:rPr>
          <w:rFonts w:cs="Arial"/>
          <w:bCs/>
          <w:szCs w:val="24"/>
          <w:lang w:val="en"/>
        </w:rPr>
        <w:t xml:space="preserve">his includes Rural exceptions developments </w:t>
      </w:r>
      <w:r w:rsidR="00A12FEB" w:rsidRPr="00072A75">
        <w:rPr>
          <w:rFonts w:cs="Arial"/>
          <w:bCs/>
          <w:szCs w:val="24"/>
          <w:lang w:val="en"/>
        </w:rPr>
        <w:t>and</w:t>
      </w:r>
      <w:r w:rsidRPr="00072A75">
        <w:rPr>
          <w:rFonts w:cs="Arial"/>
          <w:bCs/>
          <w:szCs w:val="24"/>
          <w:lang w:val="en"/>
        </w:rPr>
        <w:t xml:space="preserve"> accords with the NPPF definition.</w:t>
      </w:r>
    </w:p>
    <w:p w14:paraId="11097F17" w14:textId="08B9BEF3" w:rsidR="00072A75" w:rsidRPr="00072A75" w:rsidRDefault="00072A75" w:rsidP="00A12FEB">
      <w:pPr>
        <w:pStyle w:val="ListParagraph"/>
        <w:autoSpaceDE w:val="0"/>
        <w:autoSpaceDN w:val="0"/>
        <w:adjustRightInd w:val="0"/>
        <w:spacing w:after="0" w:line="276" w:lineRule="auto"/>
        <w:ind w:left="1437"/>
        <w:jc w:val="left"/>
        <w:rPr>
          <w:rFonts w:cs="Arial"/>
          <w:bCs/>
          <w:szCs w:val="24"/>
          <w:lang w:val="en"/>
        </w:rPr>
      </w:pPr>
      <w:r w:rsidRPr="00072A75">
        <w:rPr>
          <w:rFonts w:cs="Arial"/>
          <w:bCs/>
          <w:szCs w:val="24"/>
          <w:lang w:val="en"/>
        </w:rPr>
        <w:t xml:space="preserve"> </w:t>
      </w:r>
    </w:p>
    <w:p w14:paraId="6CD87F0E" w14:textId="77777777" w:rsidR="00FB0E44" w:rsidRPr="009F784B" w:rsidRDefault="00FB0E44" w:rsidP="00072A75">
      <w:pPr>
        <w:numPr>
          <w:ilvl w:val="0"/>
          <w:numId w:val="15"/>
        </w:numPr>
        <w:spacing w:after="0" w:line="276" w:lineRule="auto"/>
        <w:jc w:val="left"/>
        <w:rPr>
          <w:rFonts w:cs="Arial"/>
          <w:bCs/>
          <w:i/>
          <w:iCs/>
          <w:lang w:val="en"/>
        </w:rPr>
      </w:pPr>
      <w:r w:rsidRPr="009F784B">
        <w:rPr>
          <w:rFonts w:cs="Arial"/>
          <w:bCs/>
          <w:i/>
          <w:iCs/>
          <w:lang w:val="en"/>
        </w:rPr>
        <w:lastRenderedPageBreak/>
        <w:t xml:space="preserve">The development site immediately adjoins rural settlements </w:t>
      </w:r>
      <w:r w:rsidRPr="009F784B">
        <w:rPr>
          <w:rFonts w:cs="Arial"/>
          <w:bCs/>
          <w:i/>
          <w:iCs/>
          <w:szCs w:val="24"/>
          <w:lang w:val="en"/>
        </w:rPr>
        <w:t>and is accessible to services sufficient to support the daily needs of new residents via public transport, walking or cycling.</w:t>
      </w:r>
    </w:p>
    <w:p w14:paraId="4D288EC9" w14:textId="5F8DD0CF" w:rsidR="00060849" w:rsidRDefault="009F784B" w:rsidP="00C001D9">
      <w:pPr>
        <w:pStyle w:val="ListParagraph"/>
        <w:numPr>
          <w:ilvl w:val="0"/>
          <w:numId w:val="16"/>
        </w:numPr>
        <w:spacing w:after="0" w:line="276" w:lineRule="auto"/>
        <w:jc w:val="left"/>
      </w:pPr>
      <w:r w:rsidRPr="009F784B">
        <w:rPr>
          <w:rFonts w:cs="Arial"/>
          <w:szCs w:val="24"/>
        </w:rPr>
        <w:t>In order to minimise visual impact and provide reasonable access to local services and facilities, rural exception sites should be situated within or physically adjoining existing rural settlements</w:t>
      </w:r>
      <w:r>
        <w:rPr>
          <w:rFonts w:cs="Arial"/>
          <w:szCs w:val="24"/>
        </w:rPr>
        <w:t>.</w:t>
      </w:r>
    </w:p>
    <w:p w14:paraId="0C5F94EE" w14:textId="77777777" w:rsidR="005B2FA0" w:rsidRPr="003D1036" w:rsidRDefault="005B2FA0" w:rsidP="00F46F28">
      <w:pPr>
        <w:jc w:val="left"/>
        <w:rPr>
          <w:b/>
          <w:bCs/>
          <w:i/>
          <w:iCs/>
        </w:rPr>
      </w:pPr>
    </w:p>
    <w:p w14:paraId="0749A5D6" w14:textId="7AD65480" w:rsidR="005B2FA0" w:rsidRPr="003D1036" w:rsidRDefault="005B2FA0" w:rsidP="005D13C3">
      <w:pPr>
        <w:pStyle w:val="Heading3"/>
      </w:pPr>
      <w:bookmarkStart w:id="10" w:name="_Hlk179995254"/>
      <w:r w:rsidRPr="003D1036">
        <w:t>2.12</w:t>
      </w:r>
      <w:r w:rsidR="005D13C3">
        <w:tab/>
      </w:r>
      <w:r w:rsidRPr="003D1036">
        <w:t>What is the need for custom and self-build housing in the District? How will this be met</w:t>
      </w:r>
      <w:r w:rsidR="003D1036" w:rsidRPr="003D1036">
        <w:t xml:space="preserve"> </w:t>
      </w:r>
      <w:r w:rsidRPr="003D1036">
        <w:t>over the plan period?</w:t>
      </w:r>
    </w:p>
    <w:p w14:paraId="4D3D2EDF" w14:textId="77777777" w:rsidR="003D1036" w:rsidRPr="00156B97" w:rsidRDefault="003D1036" w:rsidP="00F46F28">
      <w:pPr>
        <w:jc w:val="left"/>
        <w:rPr>
          <w:u w:val="single"/>
        </w:rPr>
      </w:pPr>
      <w:r w:rsidRPr="00156B97">
        <w:rPr>
          <w:u w:val="single"/>
        </w:rPr>
        <w:t>Council’s response</w:t>
      </w:r>
    </w:p>
    <w:p w14:paraId="69E46B78" w14:textId="511E97B9" w:rsidR="00A9081E" w:rsidRDefault="00CC707F" w:rsidP="00AB778B">
      <w:pPr>
        <w:ind w:left="851" w:hanging="851"/>
        <w:jc w:val="left"/>
      </w:pPr>
      <w:r>
        <w:t>2.12.1</w:t>
      </w:r>
      <w:r>
        <w:tab/>
      </w:r>
      <w:r w:rsidR="00B14252">
        <w:t xml:space="preserve">Under its obligations as prescribed by the </w:t>
      </w:r>
      <w:r w:rsidR="00B14252" w:rsidRPr="00B14252">
        <w:t>Self-build and Custom Housebuilding Act 2015 (as amended by the Housing and Planning Act 2016)</w:t>
      </w:r>
      <w:r w:rsidR="00B14252">
        <w:t>, the Council maintains a register of individuals or groups who wish to acquire</w:t>
      </w:r>
      <w:r w:rsidR="00B14252" w:rsidRPr="00B14252">
        <w:t xml:space="preserve"> serviced plots of land to build their own homes in the authority’s area and to have regard to those registers in carrying out </w:t>
      </w:r>
      <w:r w:rsidR="00730FFF">
        <w:t>its functions</w:t>
      </w:r>
      <w:r w:rsidR="00B14252">
        <w:t>.</w:t>
      </w:r>
      <w:r w:rsidR="00B61E12">
        <w:t xml:space="preserve"> The register is updated on a regular basis and is shared with Mansfield District Council as well as Newark and Sherwood District Council</w:t>
      </w:r>
      <w:r w:rsidR="00BA7095">
        <w:t xml:space="preserve"> (both of which fall within the Nottingham Outer Housing Market area </w:t>
      </w:r>
      <w:r w:rsidR="00EB2F95">
        <w:t>with Ashfield District). A</w:t>
      </w:r>
      <w:r w:rsidR="00B61E12">
        <w:t>pplicants may express interest in one or more districts.</w:t>
      </w:r>
    </w:p>
    <w:p w14:paraId="22AC94F5" w14:textId="76D9FAB6" w:rsidR="00B61E12" w:rsidRDefault="00CC707F" w:rsidP="00AB778B">
      <w:pPr>
        <w:ind w:left="851" w:hanging="851"/>
        <w:jc w:val="left"/>
      </w:pPr>
      <w:r>
        <w:t>2.12.2</w:t>
      </w:r>
      <w:r>
        <w:tab/>
      </w:r>
      <w:r w:rsidR="00B61E12">
        <w:t xml:space="preserve">As of </w:t>
      </w:r>
      <w:r w:rsidR="00B61E12" w:rsidRPr="00AD17B9">
        <w:t>October 2024</w:t>
      </w:r>
      <w:r w:rsidR="00B61E12">
        <w:t xml:space="preserve">, the Council’s Custom &amp; Self-build Register, contains a total of </w:t>
      </w:r>
      <w:r w:rsidR="00B61E12" w:rsidRPr="00AD17B9">
        <w:t>68 individuals &amp; 1 group,</w:t>
      </w:r>
      <w:r w:rsidR="00B61E12">
        <w:t xml:space="preserve"> with the following breakdown relevant to Ashfield:</w:t>
      </w:r>
    </w:p>
    <w:p w14:paraId="3AAA4337" w14:textId="1FF320D2" w:rsidR="00CC003C" w:rsidRDefault="00B61E12" w:rsidP="00CC003C">
      <w:pPr>
        <w:pStyle w:val="ListParagraph"/>
        <w:numPr>
          <w:ilvl w:val="0"/>
          <w:numId w:val="7"/>
        </w:numPr>
        <w:jc w:val="left"/>
      </w:pPr>
      <w:r>
        <w:t>Ashfield:</w:t>
      </w:r>
      <w:r>
        <w:tab/>
      </w:r>
      <w:r>
        <w:tab/>
      </w:r>
      <w:r w:rsidR="00AD17B9">
        <w:tab/>
      </w:r>
      <w:r>
        <w:tab/>
        <w:t>7 individuals</w:t>
      </w:r>
    </w:p>
    <w:p w14:paraId="6E0AD44E" w14:textId="1C486263" w:rsidR="00B61E12" w:rsidRDefault="00B61E12" w:rsidP="00CC003C">
      <w:pPr>
        <w:pStyle w:val="ListParagraph"/>
        <w:numPr>
          <w:ilvl w:val="0"/>
          <w:numId w:val="7"/>
        </w:numPr>
        <w:jc w:val="left"/>
      </w:pPr>
      <w:r>
        <w:t>Ashfield or Mansfield:</w:t>
      </w:r>
      <w:r w:rsidR="00AD17B9">
        <w:tab/>
      </w:r>
      <w:r>
        <w:tab/>
        <w:t>1 individual</w:t>
      </w:r>
    </w:p>
    <w:p w14:paraId="28E94611" w14:textId="71D427CC" w:rsidR="00AD17B9" w:rsidRDefault="00AD17B9" w:rsidP="00CC003C">
      <w:pPr>
        <w:pStyle w:val="ListParagraph"/>
        <w:numPr>
          <w:ilvl w:val="0"/>
          <w:numId w:val="7"/>
        </w:numPr>
        <w:jc w:val="left"/>
      </w:pPr>
      <w:r>
        <w:t>Ashfield or Newark &amp; Sherwood:</w:t>
      </w:r>
      <w:r>
        <w:tab/>
        <w:t>1 individual</w:t>
      </w:r>
    </w:p>
    <w:p w14:paraId="09CB8543" w14:textId="0115D3B0" w:rsidR="00AD17B9" w:rsidRDefault="00AD17B9" w:rsidP="00CC003C">
      <w:pPr>
        <w:pStyle w:val="ListParagraph"/>
        <w:numPr>
          <w:ilvl w:val="0"/>
          <w:numId w:val="7"/>
        </w:numPr>
        <w:jc w:val="left"/>
      </w:pPr>
      <w:r>
        <w:t>All three districts:</w:t>
      </w:r>
      <w:r>
        <w:tab/>
      </w:r>
      <w:r>
        <w:tab/>
      </w:r>
      <w:r>
        <w:tab/>
        <w:t>16 individuals</w:t>
      </w:r>
    </w:p>
    <w:p w14:paraId="055CF64B" w14:textId="1AC3B3FE" w:rsidR="00B61E12" w:rsidRDefault="00CC707F" w:rsidP="00AB778B">
      <w:pPr>
        <w:ind w:left="851" w:hanging="851"/>
        <w:jc w:val="left"/>
      </w:pPr>
      <w:r>
        <w:t>2.12.3</w:t>
      </w:r>
      <w:r>
        <w:tab/>
      </w:r>
      <w:r w:rsidR="00B61E12">
        <w:t xml:space="preserve">However, it is also considered to be relevant that there </w:t>
      </w:r>
      <w:r w:rsidR="00906206">
        <w:t xml:space="preserve">are difficulties in using this as an accurate representation of demand, </w:t>
      </w:r>
      <w:r w:rsidR="00906206" w:rsidRPr="00906206">
        <w:t xml:space="preserve">due to potential double counting where parties have expressed an interest from more than one area, </w:t>
      </w:r>
      <w:r w:rsidR="00EB2F95">
        <w:t xml:space="preserve">either </w:t>
      </w:r>
      <w:r w:rsidR="00906206" w:rsidRPr="00906206">
        <w:t xml:space="preserve">within or outside of </w:t>
      </w:r>
      <w:r w:rsidR="00EB2F95">
        <w:t xml:space="preserve">the </w:t>
      </w:r>
      <w:r w:rsidR="00906206" w:rsidRPr="00906206">
        <w:t>HMA.</w:t>
      </w:r>
    </w:p>
    <w:p w14:paraId="1F980CF1" w14:textId="675210EC" w:rsidR="00906206" w:rsidRDefault="00CC707F" w:rsidP="00AB778B">
      <w:pPr>
        <w:ind w:left="851" w:hanging="851"/>
        <w:jc w:val="left"/>
      </w:pPr>
      <w:r>
        <w:t>2.12.4</w:t>
      </w:r>
      <w:r>
        <w:tab/>
      </w:r>
      <w:r w:rsidR="00906206">
        <w:t>Therefore, there is a lack of quantitative evidence which would justify a specific target of custom and self-build housing with the Local Plan, and instead general support is provided with</w:t>
      </w:r>
      <w:r w:rsidR="000B42B9">
        <w:t>in Policy H6</w:t>
      </w:r>
      <w:r w:rsidR="00906206">
        <w:t xml:space="preserve">. </w:t>
      </w:r>
      <w:r w:rsidR="00EB2F95">
        <w:t xml:space="preserve">Future demand </w:t>
      </w:r>
      <w:r w:rsidR="00906206">
        <w:t xml:space="preserve">will </w:t>
      </w:r>
      <w:r w:rsidR="00EB2F95">
        <w:t xml:space="preserve">continue </w:t>
      </w:r>
      <w:r w:rsidR="00906206">
        <w:t>be monitored</w:t>
      </w:r>
      <w:r w:rsidR="00EB2F95">
        <w:t xml:space="preserve"> on a regular basis,</w:t>
      </w:r>
      <w:r w:rsidR="00906206">
        <w:t xml:space="preserve"> and </w:t>
      </w:r>
      <w:r w:rsidR="00EB2F95">
        <w:t xml:space="preserve">the policy </w:t>
      </w:r>
      <w:r w:rsidR="00906206">
        <w:t xml:space="preserve">reviewed </w:t>
      </w:r>
      <w:r w:rsidR="00EB2F95">
        <w:t>in line with NPPF paragraph 33 where</w:t>
      </w:r>
      <w:r w:rsidR="00906206">
        <w:t xml:space="preserve"> necessary.</w:t>
      </w:r>
    </w:p>
    <w:p w14:paraId="60241D36" w14:textId="2AFCF314" w:rsidR="005B2FA0" w:rsidRPr="00DB6955" w:rsidRDefault="00CC707F" w:rsidP="00CC707F">
      <w:pPr>
        <w:ind w:left="720" w:hanging="720"/>
        <w:jc w:val="left"/>
      </w:pPr>
      <w:r>
        <w:t>2.12.5</w:t>
      </w:r>
      <w:r>
        <w:tab/>
      </w:r>
      <w:r w:rsidR="00B9348C">
        <w:t xml:space="preserve">It is expected that </w:t>
      </w:r>
      <w:r w:rsidR="00E86EB5">
        <w:t>self-build</w:t>
      </w:r>
      <w:r w:rsidR="00B9348C">
        <w:t xml:space="preserve"> housing would be </w:t>
      </w:r>
      <w:r w:rsidR="00FA3DC7">
        <w:t xml:space="preserve">primarily </w:t>
      </w:r>
      <w:r w:rsidR="00B9348C">
        <w:t xml:space="preserve">delivered </w:t>
      </w:r>
      <w:r w:rsidR="00FA3DC7">
        <w:t xml:space="preserve">over the plan period </w:t>
      </w:r>
      <w:r w:rsidR="00B9348C">
        <w:t xml:space="preserve">through </w:t>
      </w:r>
      <w:r w:rsidR="00FA3DC7">
        <w:t>the Council’s windfall of small sites, in which individual applicants would seek planning permission for a</w:t>
      </w:r>
      <w:r w:rsidR="00603B98">
        <w:t xml:space="preserve"> dwelling bespoke to their own needs. This would reflect the entries on the register, which indicate those wishing to build their own home vary significantly in the desired plot/dwelling size, location and budget to build.</w:t>
      </w:r>
    </w:p>
    <w:bookmarkEnd w:id="10"/>
    <w:p w14:paraId="6524AB49" w14:textId="77777777" w:rsidR="008C0B5F" w:rsidRDefault="008C0B5F" w:rsidP="00F46F28">
      <w:pPr>
        <w:jc w:val="left"/>
        <w:rPr>
          <w:b/>
          <w:bCs/>
          <w:i/>
          <w:iCs/>
        </w:rPr>
      </w:pPr>
    </w:p>
    <w:p w14:paraId="50126CD8" w14:textId="158DD6BE" w:rsidR="005B2FA0" w:rsidRPr="003D1036" w:rsidRDefault="005B2FA0" w:rsidP="005D13C3">
      <w:pPr>
        <w:pStyle w:val="Heading3"/>
      </w:pPr>
      <w:bookmarkStart w:id="11" w:name="_Hlk180600580"/>
      <w:r w:rsidRPr="003D1036">
        <w:lastRenderedPageBreak/>
        <w:t xml:space="preserve">2.13 </w:t>
      </w:r>
      <w:r w:rsidR="005D13C3">
        <w:tab/>
      </w:r>
      <w:r w:rsidRPr="003D1036">
        <w:t>Are the requirements of Policy H5 justified? What is the evidence for the thresholds set</w:t>
      </w:r>
      <w:r w:rsidR="003D1036" w:rsidRPr="003D1036">
        <w:t xml:space="preserve"> </w:t>
      </w:r>
      <w:r w:rsidRPr="003D1036">
        <w:t>out in the Policy?</w:t>
      </w:r>
    </w:p>
    <w:p w14:paraId="3F3BFA07" w14:textId="77777777" w:rsidR="003D1036" w:rsidRPr="00156B97" w:rsidRDefault="003D1036" w:rsidP="00F46F28">
      <w:pPr>
        <w:jc w:val="left"/>
        <w:rPr>
          <w:u w:val="single"/>
        </w:rPr>
      </w:pPr>
      <w:r w:rsidRPr="00156B97">
        <w:rPr>
          <w:u w:val="single"/>
        </w:rPr>
        <w:t>Council’s response</w:t>
      </w:r>
    </w:p>
    <w:p w14:paraId="3EAB0A30" w14:textId="77777777" w:rsidR="00DA2DE0" w:rsidRDefault="00DA2DE0" w:rsidP="00DA2DE0">
      <w:pPr>
        <w:ind w:left="720" w:hanging="720"/>
        <w:jc w:val="left"/>
      </w:pPr>
      <w:r w:rsidRPr="00DA2DE0">
        <w:t>2.13.1</w:t>
      </w:r>
      <w:r w:rsidRPr="00DA2DE0">
        <w:tab/>
      </w:r>
      <w:r w:rsidR="00621F4A" w:rsidRPr="00DA2DE0">
        <w:t xml:space="preserve">Yes - </w:t>
      </w:r>
      <w:r w:rsidRPr="00DA2DE0">
        <w:t>Provision of Green Infrastructure and public open space plays a vital role in helping to create sustainable communities. Accessible open spaces, sport and recreation facilities are all highly valued assets to Ashfield’s communities and new residential developments should, where appropriate, contribute to open space provision either by the creation of additional areas or the improvement of existing facilities in the locality.</w:t>
      </w:r>
    </w:p>
    <w:p w14:paraId="7EF29420" w14:textId="64E3FDC4" w:rsidR="005B2FA0" w:rsidRDefault="00DA2DE0" w:rsidP="00DA2DE0">
      <w:pPr>
        <w:ind w:left="720" w:hanging="720"/>
        <w:jc w:val="left"/>
      </w:pPr>
      <w:r>
        <w:t>2.13.2</w:t>
      </w:r>
      <w:r>
        <w:tab/>
      </w:r>
      <w:r w:rsidRPr="00DA2DE0">
        <w:t>The Ashfield Public Open Space Strategy</w:t>
      </w:r>
      <w:r>
        <w:t xml:space="preserve"> 2016-2026 [</w:t>
      </w:r>
      <w:r w:rsidR="00256A76">
        <w:t>SEV.16</w:t>
      </w:r>
      <w:r>
        <w:t>]</w:t>
      </w:r>
      <w:r w:rsidRPr="00DA2DE0">
        <w:t xml:space="preserve"> identifies the Council’s aims and objectives for improving the quality and access to open space within the District. It sets out Standards for the provision of informal recreational open space (including parks, amenity green space and green corridors), outdoor sports facilities, play space and natural green space. The Strategy aims to ensure a consistent approach to the planning of open space, enabling the development process to achieve the right type, quantity and quality of open space.</w:t>
      </w:r>
    </w:p>
    <w:p w14:paraId="08BB3B2A" w14:textId="5C4EE839" w:rsidR="00B6243B" w:rsidRPr="00B6243B" w:rsidRDefault="00DA2DE0" w:rsidP="005617E9">
      <w:pPr>
        <w:ind w:left="720" w:hanging="720"/>
        <w:jc w:val="left"/>
        <w:rPr>
          <w:color w:val="FF0000"/>
        </w:rPr>
      </w:pPr>
      <w:r>
        <w:t>2.13.2</w:t>
      </w:r>
      <w:r>
        <w:tab/>
        <w:t>The thresholds set out in policy H5 reflect those in current saved Policy HG6 of the Ashfield Local Plan Review 2002. Implementation of this policy has been successful in delivering</w:t>
      </w:r>
      <w:r w:rsidR="00CE0FEB">
        <w:t xml:space="preserve"> both</w:t>
      </w:r>
      <w:r>
        <w:t xml:space="preserve"> new and improv</w:t>
      </w:r>
      <w:r w:rsidR="00CE0FEB">
        <w:t>ed</w:t>
      </w:r>
      <w:r>
        <w:t xml:space="preserve"> existing open space across the District over the past two decades.</w:t>
      </w:r>
      <w:r w:rsidR="00996FCF">
        <w:t xml:space="preserve"> </w:t>
      </w:r>
    </w:p>
    <w:p w14:paraId="4D133D9B" w14:textId="77777777" w:rsidR="000D369B" w:rsidRPr="003626FF" w:rsidRDefault="000D369B" w:rsidP="003626FF">
      <w:pPr>
        <w:pStyle w:val="ListParagraph"/>
        <w:jc w:val="left"/>
        <w:rPr>
          <w:color w:val="FF0000"/>
        </w:rPr>
      </w:pPr>
    </w:p>
    <w:p w14:paraId="408F63C3" w14:textId="05ADF2BE" w:rsidR="005B2FA0" w:rsidRPr="003D1036" w:rsidRDefault="005B2FA0" w:rsidP="005D13C3">
      <w:pPr>
        <w:pStyle w:val="Heading3"/>
      </w:pPr>
      <w:r w:rsidRPr="003D1036">
        <w:t xml:space="preserve">2.14 </w:t>
      </w:r>
      <w:r w:rsidR="005D13C3">
        <w:tab/>
      </w:r>
      <w:r w:rsidRPr="003D1036">
        <w:t>Is Policy H5(1)(b) sufficiently clear to developers, decision-makers and local</w:t>
      </w:r>
      <w:r w:rsidR="003D1036" w:rsidRPr="003D1036">
        <w:t xml:space="preserve"> </w:t>
      </w:r>
      <w:r w:rsidRPr="003D1036">
        <w:t>communities? Is it justified?</w:t>
      </w:r>
    </w:p>
    <w:p w14:paraId="7AF3B049" w14:textId="77777777" w:rsidR="003D1036" w:rsidRPr="00156B97" w:rsidRDefault="003D1036" w:rsidP="00F46F28">
      <w:pPr>
        <w:jc w:val="left"/>
        <w:rPr>
          <w:u w:val="single"/>
        </w:rPr>
      </w:pPr>
      <w:r w:rsidRPr="00156B97">
        <w:rPr>
          <w:u w:val="single"/>
        </w:rPr>
        <w:t>Council’s response</w:t>
      </w:r>
    </w:p>
    <w:p w14:paraId="318EF951" w14:textId="15B022E5" w:rsidR="00621F4A" w:rsidRPr="00621F4A" w:rsidRDefault="00CE0FEB" w:rsidP="00CE0FEB">
      <w:pPr>
        <w:ind w:left="720" w:hanging="720"/>
        <w:jc w:val="left"/>
      </w:pPr>
      <w:r>
        <w:t>2.14.1</w:t>
      </w:r>
      <w:r>
        <w:tab/>
      </w:r>
      <w:r w:rsidR="00ED43F1" w:rsidRPr="00621F4A">
        <w:t>The requirements of Policy H5(1b) are c</w:t>
      </w:r>
      <w:r w:rsidR="00B8178A" w:rsidRPr="00621F4A">
        <w:t xml:space="preserve">larified in paragraph 6.140 of the </w:t>
      </w:r>
      <w:r w:rsidR="00621F4A" w:rsidRPr="00621F4A">
        <w:t>s</w:t>
      </w:r>
      <w:r w:rsidR="00B8178A" w:rsidRPr="00621F4A">
        <w:t>upporting text</w:t>
      </w:r>
      <w:r w:rsidR="00621F4A" w:rsidRPr="00621F4A">
        <w:t>.</w:t>
      </w:r>
      <w:r>
        <w:t xml:space="preserve"> Please also see response to question 2.13</w:t>
      </w:r>
    </w:p>
    <w:p w14:paraId="134C697C" w14:textId="77777777" w:rsidR="00935D3A" w:rsidRDefault="00935D3A" w:rsidP="00F46F28">
      <w:pPr>
        <w:jc w:val="left"/>
        <w:rPr>
          <w:b/>
          <w:bCs/>
          <w:i/>
          <w:iCs/>
        </w:rPr>
      </w:pPr>
      <w:bookmarkStart w:id="12" w:name="_Hlk179995272"/>
      <w:bookmarkEnd w:id="11"/>
    </w:p>
    <w:p w14:paraId="234298D0" w14:textId="50D3A807" w:rsidR="005B2FA0" w:rsidRDefault="005B2FA0" w:rsidP="005D13C3">
      <w:pPr>
        <w:pStyle w:val="Heading3"/>
      </w:pPr>
      <w:r w:rsidRPr="003D1036">
        <w:t>2.15</w:t>
      </w:r>
      <w:r w:rsidR="005D13C3">
        <w:tab/>
      </w:r>
      <w:r w:rsidRPr="003D1036">
        <w:t xml:space="preserve"> Does Policy H6 accord with paragraph 62 of the Framework in respect of those who</w:t>
      </w:r>
      <w:r w:rsidR="003D1036" w:rsidRPr="003D1036">
        <w:t xml:space="preserve"> </w:t>
      </w:r>
      <w:r w:rsidRPr="003D1036">
        <w:t>wish to commission or build their own homes?</w:t>
      </w:r>
    </w:p>
    <w:p w14:paraId="265FBBE4" w14:textId="40535E2C" w:rsidR="005B2FA0" w:rsidRDefault="003D1036" w:rsidP="00F46F28">
      <w:pPr>
        <w:jc w:val="left"/>
        <w:rPr>
          <w:u w:val="single"/>
        </w:rPr>
      </w:pPr>
      <w:r w:rsidRPr="00156B97">
        <w:rPr>
          <w:u w:val="single"/>
        </w:rPr>
        <w:t>Council’s response</w:t>
      </w:r>
    </w:p>
    <w:bookmarkEnd w:id="12"/>
    <w:p w14:paraId="4F0A89DE" w14:textId="373F762F" w:rsidR="00E86EB5" w:rsidRDefault="00E86EB5" w:rsidP="007B1B84">
      <w:pPr>
        <w:ind w:left="720" w:hanging="720"/>
        <w:jc w:val="left"/>
        <w:rPr>
          <w:kern w:val="2"/>
          <w14:ligatures w14:val="standardContextual"/>
        </w:rPr>
      </w:pPr>
      <w:r>
        <w:rPr>
          <w:kern w:val="2"/>
          <w14:ligatures w14:val="standardContextual"/>
        </w:rPr>
        <w:t>2.15.1</w:t>
      </w:r>
      <w:r>
        <w:rPr>
          <w:kern w:val="2"/>
          <w14:ligatures w14:val="standardContextual"/>
        </w:rPr>
        <w:tab/>
      </w:r>
      <w:r w:rsidRPr="00E86EB5">
        <w:rPr>
          <w:kern w:val="2"/>
          <w14:ligatures w14:val="standardContextual"/>
        </w:rPr>
        <w:t>Yes</w:t>
      </w:r>
      <w:r>
        <w:rPr>
          <w:kern w:val="2"/>
          <w14:ligatures w14:val="standardContextual"/>
        </w:rPr>
        <w:t xml:space="preserve"> -</w:t>
      </w:r>
      <w:r w:rsidRPr="00E86EB5">
        <w:rPr>
          <w:kern w:val="2"/>
          <w14:ligatures w14:val="standardContextual"/>
        </w:rPr>
        <w:t xml:space="preserve"> as noted in the Council’s response to question 2.12, </w:t>
      </w:r>
      <w:r>
        <w:rPr>
          <w:kern w:val="2"/>
          <w14:ligatures w14:val="standardContextual"/>
        </w:rPr>
        <w:t>existing evidence points to a relatively low level of demand when viewed against the quantum of housing need as a whole.</w:t>
      </w:r>
      <w:r w:rsidRPr="00E86EB5">
        <w:rPr>
          <w:kern w:val="2"/>
          <w14:ligatures w14:val="standardContextual"/>
        </w:rPr>
        <w:t xml:space="preserve"> </w:t>
      </w:r>
      <w:r w:rsidR="007765AA">
        <w:rPr>
          <w:kern w:val="2"/>
          <w14:ligatures w14:val="standardContextual"/>
        </w:rPr>
        <w:t>It</w:t>
      </w:r>
      <w:r>
        <w:rPr>
          <w:kern w:val="2"/>
          <w14:ligatures w14:val="standardContextual"/>
        </w:rPr>
        <w:t xml:space="preserve"> is not considered sufficient to </w:t>
      </w:r>
      <w:r w:rsidRPr="00E86EB5">
        <w:rPr>
          <w:kern w:val="2"/>
          <w14:ligatures w14:val="standardContextual"/>
        </w:rPr>
        <w:t xml:space="preserve">justify a specific </w:t>
      </w:r>
      <w:r>
        <w:rPr>
          <w:kern w:val="2"/>
          <w14:ligatures w14:val="standardContextual"/>
        </w:rPr>
        <w:t>requirement for</w:t>
      </w:r>
      <w:r w:rsidRPr="00E86EB5">
        <w:rPr>
          <w:kern w:val="2"/>
          <w14:ligatures w14:val="standardContextual"/>
        </w:rPr>
        <w:t xml:space="preserve"> custom and self-build housing</w:t>
      </w:r>
      <w:r w:rsidR="007765AA">
        <w:rPr>
          <w:kern w:val="2"/>
          <w14:ligatures w14:val="standardContextual"/>
        </w:rPr>
        <w:t xml:space="preserve"> at this time.</w:t>
      </w:r>
    </w:p>
    <w:p w14:paraId="331301B0" w14:textId="4F3AE387" w:rsidR="00E86EB5" w:rsidRDefault="00E86EB5" w:rsidP="007B1B84">
      <w:pPr>
        <w:ind w:left="720" w:hanging="720"/>
        <w:jc w:val="left"/>
        <w:rPr>
          <w:kern w:val="2"/>
          <w14:ligatures w14:val="standardContextual"/>
        </w:rPr>
      </w:pPr>
      <w:r>
        <w:rPr>
          <w:kern w:val="2"/>
          <w14:ligatures w14:val="standardContextual"/>
        </w:rPr>
        <w:t>2.15.2</w:t>
      </w:r>
      <w:r>
        <w:rPr>
          <w:kern w:val="2"/>
          <w14:ligatures w14:val="standardContextual"/>
        </w:rPr>
        <w:tab/>
        <w:t xml:space="preserve">Policy H6 </w:t>
      </w:r>
      <w:r w:rsidRPr="00E86EB5">
        <w:rPr>
          <w:kern w:val="2"/>
          <w14:ligatures w14:val="standardContextual"/>
        </w:rPr>
        <w:t>give</w:t>
      </w:r>
      <w:r>
        <w:rPr>
          <w:kern w:val="2"/>
          <w14:ligatures w14:val="standardContextual"/>
        </w:rPr>
        <w:t>s</w:t>
      </w:r>
      <w:r w:rsidRPr="00E86EB5">
        <w:rPr>
          <w:kern w:val="2"/>
          <w14:ligatures w14:val="standardContextual"/>
        </w:rPr>
        <w:t xml:space="preserve"> general support </w:t>
      </w:r>
      <w:r>
        <w:rPr>
          <w:kern w:val="2"/>
          <w14:ligatures w14:val="standardContextual"/>
        </w:rPr>
        <w:t>at</w:t>
      </w:r>
      <w:r w:rsidRPr="00E86EB5">
        <w:rPr>
          <w:kern w:val="2"/>
          <w14:ligatures w14:val="standardContextual"/>
        </w:rPr>
        <w:t xml:space="preserve"> </w:t>
      </w:r>
      <w:r>
        <w:rPr>
          <w:kern w:val="2"/>
          <w14:ligatures w14:val="standardContextual"/>
        </w:rPr>
        <w:t>point 3</w:t>
      </w:r>
      <w:r w:rsidRPr="00E86EB5">
        <w:rPr>
          <w:kern w:val="2"/>
          <w14:ligatures w14:val="standardContextual"/>
        </w:rPr>
        <w:t xml:space="preserve"> </w:t>
      </w:r>
      <w:r>
        <w:rPr>
          <w:kern w:val="2"/>
          <w14:ligatures w14:val="standardContextual"/>
        </w:rPr>
        <w:t>for such proposals</w:t>
      </w:r>
      <w:r w:rsidR="004232F4">
        <w:rPr>
          <w:kern w:val="2"/>
          <w14:ligatures w14:val="standardContextual"/>
        </w:rPr>
        <w:t>.</w:t>
      </w:r>
      <w:r>
        <w:rPr>
          <w:kern w:val="2"/>
          <w14:ligatures w14:val="standardContextual"/>
        </w:rPr>
        <w:t xml:space="preserve"> </w:t>
      </w:r>
      <w:r w:rsidR="004232F4">
        <w:rPr>
          <w:kern w:val="2"/>
          <w14:ligatures w14:val="standardContextual"/>
        </w:rPr>
        <w:t>Supporting text in Local Plan paragraph 6.162</w:t>
      </w:r>
      <w:r w:rsidR="007B1B84">
        <w:rPr>
          <w:kern w:val="2"/>
          <w14:ligatures w14:val="standardContextual"/>
        </w:rPr>
        <w:t xml:space="preserve"> states “</w:t>
      </w:r>
      <w:r w:rsidR="007B1B84" w:rsidRPr="007B1B84">
        <w:rPr>
          <w:kern w:val="2"/>
          <w14:ligatures w14:val="standardContextual"/>
        </w:rPr>
        <w:t>Should demand exceed that which it is possible to accommodate through either voluntary measures or through Council owned sites, an SPD may be required setting out how development sites outside of the Council control can contribute to meeting established demand in line with government policy.</w:t>
      </w:r>
      <w:r w:rsidR="007B1B84">
        <w:rPr>
          <w:kern w:val="2"/>
          <w14:ligatures w14:val="standardContextual"/>
        </w:rPr>
        <w:t xml:space="preserve">” Given the direction of travel in respect of the use of SPDs, a modification is proposed to instead refer to </w:t>
      </w:r>
      <w:r w:rsidRPr="00E86EB5">
        <w:rPr>
          <w:kern w:val="2"/>
          <w14:ligatures w14:val="standardContextual"/>
        </w:rPr>
        <w:t>review</w:t>
      </w:r>
      <w:r w:rsidR="007B1B84">
        <w:rPr>
          <w:kern w:val="2"/>
          <w14:ligatures w14:val="standardContextual"/>
        </w:rPr>
        <w:t>ing the policy</w:t>
      </w:r>
      <w:r w:rsidRPr="00E86EB5">
        <w:rPr>
          <w:kern w:val="2"/>
          <w14:ligatures w14:val="standardContextual"/>
        </w:rPr>
        <w:t xml:space="preserve"> in line with paragraph 33 of the Framework</w:t>
      </w:r>
      <w:bookmarkStart w:id="13" w:name="_Hlk180595186"/>
      <w:r w:rsidR="007B1B84">
        <w:rPr>
          <w:kern w:val="2"/>
          <w14:ligatures w14:val="standardContextual"/>
        </w:rPr>
        <w:t>.</w:t>
      </w:r>
    </w:p>
    <w:bookmarkEnd w:id="13"/>
    <w:p w14:paraId="706A8C9B" w14:textId="77777777" w:rsidR="00E86EB5" w:rsidRPr="00E86EB5" w:rsidRDefault="00E86EB5" w:rsidP="00E86EB5">
      <w:pPr>
        <w:rPr>
          <w:kern w:val="2"/>
          <w14:ligatures w14:val="standardContextual"/>
        </w:rPr>
      </w:pPr>
    </w:p>
    <w:tbl>
      <w:tblPr>
        <w:tblStyle w:val="TableGrid"/>
        <w:tblW w:w="9072" w:type="dxa"/>
        <w:tblInd w:w="704" w:type="dxa"/>
        <w:shd w:val="clear" w:color="auto" w:fill="D9D9D9" w:themeFill="background1" w:themeFillShade="D9"/>
        <w:tblLook w:val="04A0" w:firstRow="1" w:lastRow="0" w:firstColumn="1" w:lastColumn="0" w:noHBand="0" w:noVBand="1"/>
      </w:tblPr>
      <w:tblGrid>
        <w:gridCol w:w="9072"/>
      </w:tblGrid>
      <w:tr w:rsidR="00E86EB5" w:rsidRPr="00E86EB5" w14:paraId="12384CFD" w14:textId="77777777" w:rsidTr="00474FDA">
        <w:tc>
          <w:tcPr>
            <w:tcW w:w="9072" w:type="dxa"/>
            <w:shd w:val="clear" w:color="auto" w:fill="D9D9D9" w:themeFill="background1" w:themeFillShade="D9"/>
          </w:tcPr>
          <w:p w14:paraId="02A41464" w14:textId="2C23C455" w:rsidR="00E86EB5" w:rsidRPr="00474FDA" w:rsidRDefault="00E86EB5" w:rsidP="00E86EB5">
            <w:pPr>
              <w:spacing w:after="160" w:line="252" w:lineRule="auto"/>
              <w:jc w:val="left"/>
              <w:rPr>
                <w:b/>
                <w:bCs/>
                <w:kern w:val="2"/>
                <w14:ligatures w14:val="standardContextual"/>
              </w:rPr>
            </w:pPr>
            <w:r w:rsidRPr="00474FDA">
              <w:rPr>
                <w:b/>
                <w:bCs/>
                <w:kern w:val="2"/>
                <w14:ligatures w14:val="standardContextual"/>
              </w:rPr>
              <w:t>P</w:t>
            </w:r>
            <w:r w:rsidR="00947A2B" w:rsidRPr="00474FDA">
              <w:rPr>
                <w:b/>
                <w:bCs/>
                <w:kern w:val="2"/>
                <w14:ligatures w14:val="standardContextual"/>
              </w:rPr>
              <w:t>roposed</w:t>
            </w:r>
            <w:r w:rsidRPr="00474FDA">
              <w:rPr>
                <w:b/>
                <w:bCs/>
                <w:kern w:val="2"/>
                <w14:ligatures w14:val="standardContextual"/>
              </w:rPr>
              <w:t xml:space="preserve"> </w:t>
            </w:r>
            <w:r w:rsidR="00DE6336" w:rsidRPr="00474FDA">
              <w:rPr>
                <w:b/>
                <w:bCs/>
                <w:kern w:val="2"/>
                <w14:ligatures w14:val="standardContextual"/>
              </w:rPr>
              <w:t xml:space="preserve">Modification </w:t>
            </w:r>
          </w:p>
          <w:p w14:paraId="34CC3811" w14:textId="77777777" w:rsidR="007765AA" w:rsidRPr="00474FDA" w:rsidRDefault="007765AA" w:rsidP="007765AA">
            <w:pPr>
              <w:spacing w:after="160" w:line="252" w:lineRule="auto"/>
              <w:jc w:val="left"/>
              <w:rPr>
                <w:kern w:val="2"/>
                <w14:ligatures w14:val="standardContextual"/>
              </w:rPr>
            </w:pPr>
            <w:r w:rsidRPr="00474FDA">
              <w:rPr>
                <w:kern w:val="2"/>
                <w14:ligatures w14:val="standardContextual"/>
              </w:rPr>
              <w:t>Amend in paragraph 6.162 as follows:</w:t>
            </w:r>
          </w:p>
          <w:p w14:paraId="33670505" w14:textId="1E59728D" w:rsidR="007765AA" w:rsidRPr="00474FDA" w:rsidRDefault="007765AA" w:rsidP="007765AA">
            <w:pPr>
              <w:spacing w:after="160" w:line="252" w:lineRule="auto"/>
              <w:jc w:val="left"/>
              <w:rPr>
                <w:rFonts w:cs="Arial"/>
                <w:strike/>
                <w:szCs w:val="24"/>
              </w:rPr>
            </w:pPr>
            <w:r w:rsidRPr="00474FDA">
              <w:rPr>
                <w:rFonts w:eastAsia="Calibri" w:cs="Arial"/>
                <w:szCs w:val="24"/>
              </w:rPr>
              <w:t xml:space="preserve">The level of demand for such sites is monitored against small sites coming forward through the planning application process in an annual monitoring report. </w:t>
            </w:r>
            <w:r w:rsidRPr="00474FDA">
              <w:rPr>
                <w:rFonts w:eastAsia="Calibri" w:cs="Arial"/>
                <w:color w:val="005EAC"/>
                <w:szCs w:val="24"/>
              </w:rPr>
              <w:t xml:space="preserve">This policy will be reviewed at least every 5 years </w:t>
            </w:r>
            <w:r w:rsidR="002A3029" w:rsidRPr="00474FDA">
              <w:rPr>
                <w:rFonts w:eastAsia="Calibri" w:cs="Arial"/>
                <w:color w:val="005EAC"/>
                <w:szCs w:val="24"/>
              </w:rPr>
              <w:t xml:space="preserve">(in line with NPPF paragraph 33) </w:t>
            </w:r>
            <w:r w:rsidRPr="00474FDA">
              <w:rPr>
                <w:rFonts w:eastAsia="Calibri" w:cs="Arial"/>
                <w:color w:val="005EAC"/>
                <w:szCs w:val="24"/>
              </w:rPr>
              <w:t xml:space="preserve">and updated </w:t>
            </w:r>
            <w:r w:rsidR="002A3029" w:rsidRPr="00474FDA">
              <w:rPr>
                <w:rFonts w:eastAsia="Calibri" w:cs="Arial"/>
                <w:color w:val="005EAC"/>
                <w:szCs w:val="24"/>
              </w:rPr>
              <w:t>s</w:t>
            </w:r>
            <w:r w:rsidRPr="00474FDA">
              <w:rPr>
                <w:rFonts w:eastAsia="Calibri" w:cs="Arial"/>
                <w:szCs w:val="24"/>
              </w:rPr>
              <w:t>hould demand exceed that which it is possible to accommodate through either voluntary measures or through Council owned sites</w:t>
            </w:r>
            <w:r w:rsidR="002A3029" w:rsidRPr="00474FDA">
              <w:rPr>
                <w:rFonts w:eastAsia="Calibri" w:cs="Arial"/>
                <w:szCs w:val="24"/>
              </w:rPr>
              <w:t xml:space="preserve">. </w:t>
            </w:r>
            <w:r w:rsidRPr="00474FDA">
              <w:rPr>
                <w:rFonts w:eastAsia="Calibri" w:cs="Arial"/>
                <w:strike/>
                <w:szCs w:val="24"/>
              </w:rPr>
              <w:t xml:space="preserve"> an SPD may be required setting out how development sites outside of the Council control can contribute to meeting established demand in line with government policy</w:t>
            </w:r>
            <w:r w:rsidRPr="00474FDA">
              <w:rPr>
                <w:rFonts w:eastAsia="Calibri" w:cs="Arial"/>
                <w:szCs w:val="24"/>
              </w:rPr>
              <w:t xml:space="preserve">. </w:t>
            </w:r>
          </w:p>
        </w:tc>
      </w:tr>
    </w:tbl>
    <w:p w14:paraId="2D7BDDD2" w14:textId="77777777" w:rsidR="003626FF" w:rsidRDefault="003626FF" w:rsidP="00C75B2A">
      <w:pPr>
        <w:jc w:val="left"/>
        <w:rPr>
          <w:color w:val="FF0000"/>
          <w:u w:val="single"/>
        </w:rPr>
      </w:pPr>
      <w:bookmarkStart w:id="14" w:name="_Hlk181888409"/>
    </w:p>
    <w:bookmarkEnd w:id="14"/>
    <w:p w14:paraId="43B230B8" w14:textId="77777777" w:rsidR="00116CD8" w:rsidRDefault="00116CD8" w:rsidP="00F46F28">
      <w:pPr>
        <w:jc w:val="left"/>
        <w:rPr>
          <w:b/>
          <w:bCs/>
          <w:i/>
          <w:iCs/>
        </w:rPr>
      </w:pPr>
    </w:p>
    <w:p w14:paraId="7E534475" w14:textId="7A511C71" w:rsidR="005B2FA0" w:rsidRPr="003D1036" w:rsidRDefault="005B2FA0" w:rsidP="005D13C3">
      <w:pPr>
        <w:pStyle w:val="Heading3"/>
      </w:pPr>
      <w:r w:rsidRPr="003D1036">
        <w:t xml:space="preserve">2.16 </w:t>
      </w:r>
      <w:r w:rsidR="005D13C3">
        <w:tab/>
      </w:r>
      <w:r w:rsidRPr="00A87648">
        <w:t>Does Policy H6 reflect the housing mix that was subject to viability testing in the Whole</w:t>
      </w:r>
      <w:r w:rsidR="003D1036" w:rsidRPr="00A87648">
        <w:t xml:space="preserve"> </w:t>
      </w:r>
      <w:r w:rsidRPr="00A87648">
        <w:t>Plan Viability Assessment (SEV.38)?</w:t>
      </w:r>
      <w:r w:rsidRPr="003D1036">
        <w:t xml:space="preserve"> </w:t>
      </w:r>
    </w:p>
    <w:p w14:paraId="43B9FFC7" w14:textId="77777777" w:rsidR="003D1036" w:rsidRPr="00156B97" w:rsidRDefault="003D1036" w:rsidP="00F46F28">
      <w:pPr>
        <w:jc w:val="left"/>
        <w:rPr>
          <w:u w:val="single"/>
        </w:rPr>
      </w:pPr>
      <w:r w:rsidRPr="00156B97">
        <w:rPr>
          <w:u w:val="single"/>
        </w:rPr>
        <w:t>Council’s response</w:t>
      </w:r>
    </w:p>
    <w:p w14:paraId="1E79C1B4" w14:textId="21D7C3B9" w:rsidR="009A5306" w:rsidRDefault="00CC707F" w:rsidP="00CC707F">
      <w:pPr>
        <w:ind w:left="720" w:hanging="720"/>
        <w:jc w:val="left"/>
      </w:pPr>
      <w:r>
        <w:t>2.16.1</w:t>
      </w:r>
      <w:r>
        <w:tab/>
      </w:r>
      <w:r w:rsidR="009A5306" w:rsidRPr="009A5306">
        <w:t xml:space="preserve">The Housing Mix within para 6.146 of the supporting text of Policy H6 set out in the table below indicates a ‘starting point’ to inform negotiations between the Council and applicants as to the appropriate mix for new housing development in the District. </w:t>
      </w:r>
    </w:p>
    <w:p w14:paraId="58ED15AE" w14:textId="77777777" w:rsidR="003F35BC" w:rsidRPr="009A5306" w:rsidRDefault="003F35BC" w:rsidP="009A5306">
      <w:pPr>
        <w:jc w:val="left"/>
      </w:pPr>
    </w:p>
    <w:p w14:paraId="4008E4D7" w14:textId="77777777" w:rsidR="009A5306" w:rsidRPr="009A5306" w:rsidRDefault="009A5306" w:rsidP="003F35BC">
      <w:pPr>
        <w:jc w:val="center"/>
      </w:pPr>
      <w:r w:rsidRPr="009A5306">
        <w:rPr>
          <w:noProof/>
        </w:rPr>
        <w:drawing>
          <wp:inline distT="0" distB="0" distL="0" distR="0" wp14:anchorId="1F1FDC68" wp14:editId="0B380329">
            <wp:extent cx="5363601" cy="1647825"/>
            <wp:effectExtent l="0" t="0" r="8890" b="0"/>
            <wp:docPr id="407424345" name="Picture 1" descr="Recommended housing mix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24345" name="Picture 1" descr="Recommended housing mix table"/>
                    <pic:cNvPicPr/>
                  </pic:nvPicPr>
                  <pic:blipFill>
                    <a:blip r:embed="rId12"/>
                    <a:stretch>
                      <a:fillRect/>
                    </a:stretch>
                  </pic:blipFill>
                  <pic:spPr>
                    <a:xfrm>
                      <a:off x="0" y="0"/>
                      <a:ext cx="5397549" cy="1658255"/>
                    </a:xfrm>
                    <a:prstGeom prst="rect">
                      <a:avLst/>
                    </a:prstGeom>
                  </pic:spPr>
                </pic:pic>
              </a:graphicData>
            </a:graphic>
          </wp:inline>
        </w:drawing>
      </w:r>
    </w:p>
    <w:p w14:paraId="467749D7" w14:textId="77777777" w:rsidR="003F35BC" w:rsidRDefault="003F35BC" w:rsidP="009A5306">
      <w:pPr>
        <w:jc w:val="left"/>
      </w:pPr>
    </w:p>
    <w:p w14:paraId="303FECC4" w14:textId="7EB51BBD" w:rsidR="009A5306" w:rsidRPr="009A5306" w:rsidRDefault="00CC707F" w:rsidP="00CC707F">
      <w:pPr>
        <w:ind w:left="720" w:hanging="720"/>
        <w:jc w:val="left"/>
      </w:pPr>
      <w:r>
        <w:t>2.16.2</w:t>
      </w:r>
      <w:r>
        <w:tab/>
      </w:r>
      <w:r w:rsidR="009A5306" w:rsidRPr="009A5306">
        <w:t>The Viability assessment supporting the plan considered a number of different housing mixes as follows</w:t>
      </w:r>
      <w:r w:rsidR="003F35BC">
        <w:t>:</w:t>
      </w:r>
    </w:p>
    <w:p w14:paraId="1F6ADAD2" w14:textId="77777777" w:rsidR="009A5306" w:rsidRPr="009A5306" w:rsidRDefault="009A5306" w:rsidP="009A5306">
      <w:pPr>
        <w:jc w:val="left"/>
      </w:pPr>
      <w:r w:rsidRPr="009A5306">
        <w:rPr>
          <w:noProof/>
        </w:rPr>
        <w:lastRenderedPageBreak/>
        <w:drawing>
          <wp:inline distT="0" distB="0" distL="0" distR="0" wp14:anchorId="42270531" wp14:editId="34CFD5E6">
            <wp:extent cx="2839085" cy="3771900"/>
            <wp:effectExtent l="0" t="0" r="0" b="0"/>
            <wp:docPr id="893119464" name="Picture 1" descr="Housing mix viability in Urban Edge Large Scale, Urban Edge Medium Scale, and Suburban/Rural Large Scale scena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119464" name="Picture 1" descr="Housing mix viability in Urban Edge Large Scale, Urban Edge Medium Scale, and Suburban/Rural Large Scale scenarios."/>
                    <pic:cNvPicPr/>
                  </pic:nvPicPr>
                  <pic:blipFill rotWithShape="1">
                    <a:blip r:embed="rId13"/>
                    <a:srcRect b="38550"/>
                    <a:stretch/>
                  </pic:blipFill>
                  <pic:spPr bwMode="auto">
                    <a:xfrm>
                      <a:off x="0" y="0"/>
                      <a:ext cx="2846040" cy="3781140"/>
                    </a:xfrm>
                    <a:prstGeom prst="rect">
                      <a:avLst/>
                    </a:prstGeom>
                    <a:ln>
                      <a:noFill/>
                    </a:ln>
                    <a:extLst>
                      <a:ext uri="{53640926-AAD7-44D8-BBD7-CCE9431645EC}">
                        <a14:shadowObscured xmlns:a14="http://schemas.microsoft.com/office/drawing/2010/main"/>
                      </a:ext>
                    </a:extLst>
                  </pic:spPr>
                </pic:pic>
              </a:graphicData>
            </a:graphic>
          </wp:inline>
        </w:drawing>
      </w:r>
      <w:r w:rsidRPr="009A5306">
        <w:t xml:space="preserve">    </w:t>
      </w:r>
      <w:r w:rsidRPr="009A5306">
        <w:rPr>
          <w:noProof/>
        </w:rPr>
        <w:drawing>
          <wp:inline distT="0" distB="0" distL="0" distR="0" wp14:anchorId="68212143" wp14:editId="5F788FC0">
            <wp:extent cx="2839085" cy="2263067"/>
            <wp:effectExtent l="0" t="0" r="0" b="4445"/>
            <wp:docPr id="982975701" name="Picture 1" descr="Housing mix viability in  Suburban/Rural Medium Scale and Infill Housing scena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975701" name="Picture 1" descr="Housing mix viability in  Suburban/Rural Medium Scale and Infill Housing scenarios."/>
                    <pic:cNvPicPr/>
                  </pic:nvPicPr>
                  <pic:blipFill rotWithShape="1">
                    <a:blip r:embed="rId13"/>
                    <a:srcRect t="63131"/>
                    <a:stretch/>
                  </pic:blipFill>
                  <pic:spPr bwMode="auto">
                    <a:xfrm>
                      <a:off x="0" y="0"/>
                      <a:ext cx="2853877" cy="2274858"/>
                    </a:xfrm>
                    <a:prstGeom prst="rect">
                      <a:avLst/>
                    </a:prstGeom>
                    <a:ln>
                      <a:noFill/>
                    </a:ln>
                    <a:extLst>
                      <a:ext uri="{53640926-AAD7-44D8-BBD7-CCE9431645EC}">
                        <a14:shadowObscured xmlns:a14="http://schemas.microsoft.com/office/drawing/2010/main"/>
                      </a:ext>
                    </a:extLst>
                  </pic:spPr>
                </pic:pic>
              </a:graphicData>
            </a:graphic>
          </wp:inline>
        </w:drawing>
      </w:r>
    </w:p>
    <w:p w14:paraId="5D050FC4" w14:textId="77777777" w:rsidR="00CC707F" w:rsidRDefault="00CC707F" w:rsidP="00CC707F">
      <w:pPr>
        <w:ind w:left="720" w:hanging="720"/>
        <w:jc w:val="left"/>
      </w:pPr>
    </w:p>
    <w:p w14:paraId="615965EE" w14:textId="0D2B9BCF" w:rsidR="009A5306" w:rsidRPr="009A5306" w:rsidRDefault="00CC707F" w:rsidP="00CC707F">
      <w:pPr>
        <w:ind w:left="720" w:hanging="720"/>
        <w:jc w:val="left"/>
      </w:pPr>
      <w:r>
        <w:t>2.16.3</w:t>
      </w:r>
      <w:r>
        <w:tab/>
      </w:r>
      <w:r w:rsidR="009A5306" w:rsidRPr="009A5306">
        <w:t>It is considered that these tests are reflective of the mix suggested by the supporting text of Policy H6.</w:t>
      </w:r>
    </w:p>
    <w:p w14:paraId="70B91034" w14:textId="3ED5254B" w:rsidR="009A5306" w:rsidRPr="009A5306" w:rsidRDefault="00CC707F" w:rsidP="009A5306">
      <w:pPr>
        <w:jc w:val="left"/>
      </w:pPr>
      <w:r>
        <w:t>2.16.4</w:t>
      </w:r>
      <w:r>
        <w:tab/>
      </w:r>
      <w:r w:rsidR="009A5306" w:rsidRPr="009A5306">
        <w:t>The Affordable Housing tests within these typology tests applied the following mix</w:t>
      </w:r>
      <w:r w:rsidR="00BA3FC1">
        <w:t>:</w:t>
      </w:r>
    </w:p>
    <w:tbl>
      <w:tblPr>
        <w:tblW w:w="6991" w:type="dxa"/>
        <w:jc w:val="center"/>
        <w:tblLook w:val="04A0" w:firstRow="1" w:lastRow="0" w:firstColumn="1" w:lastColumn="0" w:noHBand="0" w:noVBand="1"/>
      </w:tblPr>
      <w:tblGrid>
        <w:gridCol w:w="3823"/>
        <w:gridCol w:w="1056"/>
        <w:gridCol w:w="1056"/>
        <w:gridCol w:w="1056"/>
      </w:tblGrid>
      <w:tr w:rsidR="009A5306" w:rsidRPr="009A5306" w14:paraId="5B03B4F5" w14:textId="77777777" w:rsidTr="00BA3FC1">
        <w:trPr>
          <w:trHeight w:val="291"/>
          <w:jc w:val="center"/>
        </w:trPr>
        <w:tc>
          <w:tcPr>
            <w:tcW w:w="382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6AF8AFD" w14:textId="77777777" w:rsidR="009A5306" w:rsidRPr="009A5306" w:rsidRDefault="009A5306" w:rsidP="009A5306">
            <w:pPr>
              <w:jc w:val="left"/>
            </w:pPr>
            <w:r w:rsidRPr="009A5306">
              <w:t>Housing Type</w:t>
            </w:r>
          </w:p>
        </w:tc>
        <w:tc>
          <w:tcPr>
            <w:tcW w:w="1056" w:type="dxa"/>
            <w:tcBorders>
              <w:top w:val="single" w:sz="4" w:space="0" w:color="auto"/>
              <w:left w:val="nil"/>
              <w:bottom w:val="single" w:sz="4" w:space="0" w:color="auto"/>
              <w:right w:val="single" w:sz="4" w:space="0" w:color="auto"/>
            </w:tcBorders>
            <w:shd w:val="clear" w:color="000000" w:fill="BFBFBF"/>
            <w:noWrap/>
            <w:vAlign w:val="bottom"/>
            <w:hideMark/>
          </w:tcPr>
          <w:p w14:paraId="1773B533" w14:textId="77777777" w:rsidR="009A5306" w:rsidRPr="009A5306" w:rsidRDefault="009A5306" w:rsidP="009A5306">
            <w:pPr>
              <w:jc w:val="left"/>
            </w:pPr>
            <w:r w:rsidRPr="009A5306">
              <w:t xml:space="preserve">1 Bed </w:t>
            </w:r>
          </w:p>
        </w:tc>
        <w:tc>
          <w:tcPr>
            <w:tcW w:w="1056" w:type="dxa"/>
            <w:tcBorders>
              <w:top w:val="single" w:sz="4" w:space="0" w:color="auto"/>
              <w:left w:val="nil"/>
              <w:bottom w:val="single" w:sz="4" w:space="0" w:color="auto"/>
              <w:right w:val="single" w:sz="4" w:space="0" w:color="auto"/>
            </w:tcBorders>
            <w:shd w:val="clear" w:color="000000" w:fill="BFBFBF"/>
            <w:noWrap/>
            <w:vAlign w:val="bottom"/>
            <w:hideMark/>
          </w:tcPr>
          <w:p w14:paraId="4CFB1C39" w14:textId="77777777" w:rsidR="009A5306" w:rsidRPr="009A5306" w:rsidRDefault="009A5306" w:rsidP="009A5306">
            <w:pPr>
              <w:jc w:val="left"/>
            </w:pPr>
            <w:r w:rsidRPr="009A5306">
              <w:t>2 Bed</w:t>
            </w:r>
          </w:p>
        </w:tc>
        <w:tc>
          <w:tcPr>
            <w:tcW w:w="1056" w:type="dxa"/>
            <w:tcBorders>
              <w:top w:val="single" w:sz="4" w:space="0" w:color="auto"/>
              <w:left w:val="nil"/>
              <w:bottom w:val="single" w:sz="4" w:space="0" w:color="auto"/>
              <w:right w:val="single" w:sz="4" w:space="0" w:color="auto"/>
            </w:tcBorders>
            <w:shd w:val="clear" w:color="000000" w:fill="BFBFBF"/>
            <w:noWrap/>
            <w:vAlign w:val="bottom"/>
            <w:hideMark/>
          </w:tcPr>
          <w:p w14:paraId="5876A779" w14:textId="77777777" w:rsidR="009A5306" w:rsidRPr="009A5306" w:rsidRDefault="009A5306" w:rsidP="009A5306">
            <w:pPr>
              <w:jc w:val="left"/>
            </w:pPr>
            <w:r w:rsidRPr="009A5306">
              <w:t>3 bed</w:t>
            </w:r>
          </w:p>
        </w:tc>
      </w:tr>
      <w:tr w:rsidR="009A5306" w:rsidRPr="009A5306" w14:paraId="6C62952E" w14:textId="77777777" w:rsidTr="00BA3FC1">
        <w:trPr>
          <w:trHeight w:val="291"/>
          <w:jc w:val="center"/>
        </w:trPr>
        <w:tc>
          <w:tcPr>
            <w:tcW w:w="3823" w:type="dxa"/>
            <w:tcBorders>
              <w:top w:val="nil"/>
              <w:left w:val="single" w:sz="4" w:space="0" w:color="auto"/>
              <w:bottom w:val="single" w:sz="4" w:space="0" w:color="auto"/>
              <w:right w:val="single" w:sz="4" w:space="0" w:color="auto"/>
            </w:tcBorders>
            <w:noWrap/>
            <w:vAlign w:val="bottom"/>
            <w:hideMark/>
          </w:tcPr>
          <w:p w14:paraId="3841F957" w14:textId="77777777" w:rsidR="009A5306" w:rsidRPr="009A5306" w:rsidRDefault="009A5306" w:rsidP="009A5306">
            <w:pPr>
              <w:jc w:val="left"/>
            </w:pPr>
            <w:r w:rsidRPr="009A5306">
              <w:t>Affordable Home Ownership</w:t>
            </w:r>
          </w:p>
        </w:tc>
        <w:tc>
          <w:tcPr>
            <w:tcW w:w="1056" w:type="dxa"/>
            <w:tcBorders>
              <w:top w:val="nil"/>
              <w:left w:val="nil"/>
              <w:bottom w:val="single" w:sz="4" w:space="0" w:color="auto"/>
              <w:right w:val="single" w:sz="4" w:space="0" w:color="auto"/>
            </w:tcBorders>
            <w:noWrap/>
            <w:vAlign w:val="bottom"/>
            <w:hideMark/>
          </w:tcPr>
          <w:p w14:paraId="56074C61" w14:textId="77777777" w:rsidR="009A5306" w:rsidRPr="009A5306" w:rsidRDefault="009A5306" w:rsidP="009A5306">
            <w:pPr>
              <w:jc w:val="left"/>
            </w:pPr>
            <w:r w:rsidRPr="009A5306">
              <w:t>20%</w:t>
            </w:r>
          </w:p>
        </w:tc>
        <w:tc>
          <w:tcPr>
            <w:tcW w:w="1056" w:type="dxa"/>
            <w:tcBorders>
              <w:top w:val="nil"/>
              <w:left w:val="nil"/>
              <w:bottom w:val="single" w:sz="4" w:space="0" w:color="auto"/>
              <w:right w:val="single" w:sz="4" w:space="0" w:color="auto"/>
            </w:tcBorders>
            <w:noWrap/>
            <w:vAlign w:val="bottom"/>
            <w:hideMark/>
          </w:tcPr>
          <w:p w14:paraId="710A13E8" w14:textId="77777777" w:rsidR="009A5306" w:rsidRPr="009A5306" w:rsidRDefault="009A5306" w:rsidP="009A5306">
            <w:pPr>
              <w:jc w:val="left"/>
            </w:pPr>
            <w:r w:rsidRPr="009A5306">
              <w:t>40%</w:t>
            </w:r>
          </w:p>
        </w:tc>
        <w:tc>
          <w:tcPr>
            <w:tcW w:w="1056" w:type="dxa"/>
            <w:tcBorders>
              <w:top w:val="nil"/>
              <w:left w:val="nil"/>
              <w:bottom w:val="single" w:sz="4" w:space="0" w:color="auto"/>
              <w:right w:val="single" w:sz="4" w:space="0" w:color="auto"/>
            </w:tcBorders>
            <w:noWrap/>
            <w:vAlign w:val="bottom"/>
            <w:hideMark/>
          </w:tcPr>
          <w:p w14:paraId="2AAA8FFD" w14:textId="77777777" w:rsidR="009A5306" w:rsidRPr="009A5306" w:rsidRDefault="009A5306" w:rsidP="009A5306">
            <w:pPr>
              <w:jc w:val="left"/>
            </w:pPr>
            <w:r w:rsidRPr="009A5306">
              <w:t>40%</w:t>
            </w:r>
          </w:p>
        </w:tc>
      </w:tr>
      <w:tr w:rsidR="009A5306" w:rsidRPr="009A5306" w14:paraId="7D1D6EE3" w14:textId="77777777" w:rsidTr="00BA3FC1">
        <w:trPr>
          <w:trHeight w:val="291"/>
          <w:jc w:val="center"/>
        </w:trPr>
        <w:tc>
          <w:tcPr>
            <w:tcW w:w="3823" w:type="dxa"/>
            <w:tcBorders>
              <w:top w:val="nil"/>
              <w:left w:val="single" w:sz="4" w:space="0" w:color="auto"/>
              <w:bottom w:val="single" w:sz="4" w:space="0" w:color="auto"/>
              <w:right w:val="single" w:sz="4" w:space="0" w:color="auto"/>
            </w:tcBorders>
            <w:noWrap/>
            <w:vAlign w:val="bottom"/>
            <w:hideMark/>
          </w:tcPr>
          <w:p w14:paraId="1D01EF5D" w14:textId="77777777" w:rsidR="009A5306" w:rsidRPr="009A5306" w:rsidRDefault="009A5306" w:rsidP="009A5306">
            <w:pPr>
              <w:jc w:val="left"/>
            </w:pPr>
            <w:r w:rsidRPr="009A5306">
              <w:t>Affordable Rent</w:t>
            </w:r>
          </w:p>
        </w:tc>
        <w:tc>
          <w:tcPr>
            <w:tcW w:w="1056" w:type="dxa"/>
            <w:tcBorders>
              <w:top w:val="nil"/>
              <w:left w:val="nil"/>
              <w:bottom w:val="single" w:sz="4" w:space="0" w:color="auto"/>
              <w:right w:val="single" w:sz="4" w:space="0" w:color="auto"/>
            </w:tcBorders>
            <w:noWrap/>
            <w:vAlign w:val="bottom"/>
            <w:hideMark/>
          </w:tcPr>
          <w:p w14:paraId="6E487AC1" w14:textId="77777777" w:rsidR="009A5306" w:rsidRPr="009A5306" w:rsidRDefault="009A5306" w:rsidP="009A5306">
            <w:pPr>
              <w:jc w:val="left"/>
            </w:pPr>
            <w:r w:rsidRPr="009A5306">
              <w:t>30%</w:t>
            </w:r>
          </w:p>
        </w:tc>
        <w:tc>
          <w:tcPr>
            <w:tcW w:w="1056" w:type="dxa"/>
            <w:tcBorders>
              <w:top w:val="nil"/>
              <w:left w:val="nil"/>
              <w:bottom w:val="single" w:sz="4" w:space="0" w:color="auto"/>
              <w:right w:val="single" w:sz="4" w:space="0" w:color="auto"/>
            </w:tcBorders>
            <w:noWrap/>
            <w:vAlign w:val="bottom"/>
            <w:hideMark/>
          </w:tcPr>
          <w:p w14:paraId="6D9A3240" w14:textId="77777777" w:rsidR="009A5306" w:rsidRPr="009A5306" w:rsidRDefault="009A5306" w:rsidP="009A5306">
            <w:pPr>
              <w:jc w:val="left"/>
            </w:pPr>
            <w:r w:rsidRPr="009A5306">
              <w:t>40%</w:t>
            </w:r>
          </w:p>
        </w:tc>
        <w:tc>
          <w:tcPr>
            <w:tcW w:w="1056" w:type="dxa"/>
            <w:tcBorders>
              <w:top w:val="nil"/>
              <w:left w:val="nil"/>
              <w:bottom w:val="single" w:sz="4" w:space="0" w:color="auto"/>
              <w:right w:val="single" w:sz="4" w:space="0" w:color="auto"/>
            </w:tcBorders>
            <w:noWrap/>
            <w:vAlign w:val="bottom"/>
            <w:hideMark/>
          </w:tcPr>
          <w:p w14:paraId="4F86B011" w14:textId="77777777" w:rsidR="009A5306" w:rsidRPr="009A5306" w:rsidRDefault="009A5306" w:rsidP="009A5306">
            <w:pPr>
              <w:jc w:val="left"/>
            </w:pPr>
            <w:r w:rsidRPr="009A5306">
              <w:t>30%</w:t>
            </w:r>
          </w:p>
        </w:tc>
      </w:tr>
      <w:tr w:rsidR="009A5306" w:rsidRPr="009A5306" w14:paraId="10E835D1" w14:textId="77777777" w:rsidTr="00BA3FC1">
        <w:trPr>
          <w:trHeight w:val="291"/>
          <w:jc w:val="center"/>
        </w:trPr>
        <w:tc>
          <w:tcPr>
            <w:tcW w:w="3823" w:type="dxa"/>
            <w:tcBorders>
              <w:top w:val="nil"/>
              <w:left w:val="single" w:sz="4" w:space="0" w:color="auto"/>
              <w:bottom w:val="single" w:sz="4" w:space="0" w:color="auto"/>
              <w:right w:val="single" w:sz="4" w:space="0" w:color="auto"/>
            </w:tcBorders>
            <w:noWrap/>
            <w:vAlign w:val="bottom"/>
            <w:hideMark/>
          </w:tcPr>
          <w:p w14:paraId="6D33FE30" w14:textId="77777777" w:rsidR="009A5306" w:rsidRPr="009A5306" w:rsidRDefault="009A5306" w:rsidP="009A5306">
            <w:pPr>
              <w:jc w:val="left"/>
            </w:pPr>
            <w:r w:rsidRPr="009A5306">
              <w:t>Social Rent</w:t>
            </w:r>
          </w:p>
        </w:tc>
        <w:tc>
          <w:tcPr>
            <w:tcW w:w="1056" w:type="dxa"/>
            <w:tcBorders>
              <w:top w:val="nil"/>
              <w:left w:val="nil"/>
              <w:bottom w:val="single" w:sz="4" w:space="0" w:color="auto"/>
              <w:right w:val="single" w:sz="4" w:space="0" w:color="auto"/>
            </w:tcBorders>
            <w:noWrap/>
            <w:vAlign w:val="bottom"/>
            <w:hideMark/>
          </w:tcPr>
          <w:p w14:paraId="7EAB5DDC" w14:textId="77777777" w:rsidR="009A5306" w:rsidRPr="009A5306" w:rsidRDefault="009A5306" w:rsidP="009A5306">
            <w:pPr>
              <w:jc w:val="left"/>
            </w:pPr>
            <w:r w:rsidRPr="009A5306">
              <w:t>20%</w:t>
            </w:r>
          </w:p>
        </w:tc>
        <w:tc>
          <w:tcPr>
            <w:tcW w:w="1056" w:type="dxa"/>
            <w:tcBorders>
              <w:top w:val="nil"/>
              <w:left w:val="nil"/>
              <w:bottom w:val="single" w:sz="4" w:space="0" w:color="auto"/>
              <w:right w:val="single" w:sz="4" w:space="0" w:color="auto"/>
            </w:tcBorders>
            <w:noWrap/>
            <w:vAlign w:val="bottom"/>
            <w:hideMark/>
          </w:tcPr>
          <w:p w14:paraId="0F3CCCD1" w14:textId="77777777" w:rsidR="009A5306" w:rsidRPr="009A5306" w:rsidRDefault="009A5306" w:rsidP="009A5306">
            <w:pPr>
              <w:jc w:val="left"/>
            </w:pPr>
            <w:r w:rsidRPr="009A5306">
              <w:t>60%</w:t>
            </w:r>
          </w:p>
        </w:tc>
        <w:tc>
          <w:tcPr>
            <w:tcW w:w="1056" w:type="dxa"/>
            <w:tcBorders>
              <w:top w:val="nil"/>
              <w:left w:val="nil"/>
              <w:bottom w:val="single" w:sz="4" w:space="0" w:color="auto"/>
              <w:right w:val="single" w:sz="4" w:space="0" w:color="auto"/>
            </w:tcBorders>
            <w:noWrap/>
            <w:vAlign w:val="bottom"/>
            <w:hideMark/>
          </w:tcPr>
          <w:p w14:paraId="2A8A2633" w14:textId="77777777" w:rsidR="009A5306" w:rsidRPr="009A5306" w:rsidRDefault="009A5306" w:rsidP="009A5306">
            <w:pPr>
              <w:jc w:val="left"/>
            </w:pPr>
            <w:r w:rsidRPr="009A5306">
              <w:t>20%</w:t>
            </w:r>
          </w:p>
        </w:tc>
      </w:tr>
    </w:tbl>
    <w:p w14:paraId="37654AC0" w14:textId="77777777" w:rsidR="009A5306" w:rsidRPr="009A5306" w:rsidRDefault="009A5306" w:rsidP="009A5306">
      <w:pPr>
        <w:jc w:val="left"/>
      </w:pPr>
    </w:p>
    <w:p w14:paraId="2AAEBEEE" w14:textId="4E1E0687" w:rsidR="003F35BC" w:rsidRDefault="00CC707F" w:rsidP="00CC707F">
      <w:pPr>
        <w:ind w:left="720" w:hanging="720"/>
        <w:jc w:val="left"/>
      </w:pPr>
      <w:r>
        <w:t>2.16.5</w:t>
      </w:r>
      <w:r>
        <w:tab/>
      </w:r>
      <w:r w:rsidR="009A5306" w:rsidRPr="009A5306">
        <w:t>It is considered that these tests are also reflective of the mix suggested by the supporting text of Policy H6.</w:t>
      </w:r>
    </w:p>
    <w:p w14:paraId="1534E70A" w14:textId="77777777" w:rsidR="003626FF" w:rsidRDefault="003626FF" w:rsidP="003F35BC">
      <w:pPr>
        <w:jc w:val="left"/>
        <w:rPr>
          <w:b/>
          <w:bCs/>
          <w:i/>
          <w:iCs/>
        </w:rPr>
      </w:pPr>
    </w:p>
    <w:p w14:paraId="05FBE895" w14:textId="03F97CC9" w:rsidR="003F35BC" w:rsidRPr="003F35BC" w:rsidRDefault="003F35BC" w:rsidP="005D13C3">
      <w:pPr>
        <w:pStyle w:val="Heading3"/>
      </w:pPr>
      <w:r w:rsidRPr="003D1036">
        <w:t>Why is the recommended housing mix not included within the text of Policy H6?</w:t>
      </w:r>
    </w:p>
    <w:p w14:paraId="4A212203" w14:textId="77777777" w:rsidR="00A67D38" w:rsidRPr="00156B97" w:rsidRDefault="00A67D38" w:rsidP="00A67D38">
      <w:pPr>
        <w:jc w:val="left"/>
        <w:rPr>
          <w:u w:val="single"/>
        </w:rPr>
      </w:pPr>
      <w:r w:rsidRPr="00156B97">
        <w:rPr>
          <w:u w:val="single"/>
        </w:rPr>
        <w:t>Council’s response</w:t>
      </w:r>
    </w:p>
    <w:p w14:paraId="747325D6" w14:textId="4982F9BF" w:rsidR="00DF757F" w:rsidRPr="004717E9" w:rsidRDefault="00CC707F" w:rsidP="00CC707F">
      <w:pPr>
        <w:ind w:left="720" w:hanging="720"/>
        <w:jc w:val="left"/>
      </w:pPr>
      <w:r>
        <w:t>2.16.6</w:t>
      </w:r>
      <w:r>
        <w:tab/>
      </w:r>
      <w:r w:rsidR="00446044" w:rsidRPr="004717E9">
        <w:t>The recommended h</w:t>
      </w:r>
      <w:r w:rsidR="00DF757F" w:rsidRPr="004717E9">
        <w:t>ousing mix requirement is dynamic and has historically change</w:t>
      </w:r>
      <w:r w:rsidR="00446044" w:rsidRPr="004717E9">
        <w:t>d</w:t>
      </w:r>
      <w:r w:rsidR="00DF757F" w:rsidRPr="004717E9">
        <w:t xml:space="preserve"> with each HNA update. </w:t>
      </w:r>
      <w:r w:rsidR="00446044" w:rsidRPr="004717E9">
        <w:t xml:space="preserve">Consequently, the Council did not consider it </w:t>
      </w:r>
      <w:r w:rsidR="00DF757F" w:rsidRPr="004717E9">
        <w:t xml:space="preserve">appropriate to </w:t>
      </w:r>
      <w:r w:rsidR="00446044" w:rsidRPr="004717E9">
        <w:t xml:space="preserve">embed this within the policy text, effectively </w:t>
      </w:r>
      <w:r w:rsidR="00DF757F" w:rsidRPr="004717E9">
        <w:t>‘fix</w:t>
      </w:r>
      <w:r w:rsidR="00446044" w:rsidRPr="004717E9">
        <w:t xml:space="preserve">ing’ it </w:t>
      </w:r>
      <w:r w:rsidR="00DF757F" w:rsidRPr="004717E9">
        <w:t xml:space="preserve">for a </w:t>
      </w:r>
      <w:r w:rsidR="002A3029" w:rsidRPr="004717E9">
        <w:t>15-year</w:t>
      </w:r>
      <w:r w:rsidR="00DF757F" w:rsidRPr="004717E9">
        <w:t xml:space="preserve"> L</w:t>
      </w:r>
      <w:r w:rsidR="00446044" w:rsidRPr="004717E9">
        <w:t xml:space="preserve">ocal </w:t>
      </w:r>
      <w:r w:rsidR="00DF757F" w:rsidRPr="004717E9">
        <w:t>P</w:t>
      </w:r>
      <w:r w:rsidR="00446044" w:rsidRPr="004717E9">
        <w:t>lan period</w:t>
      </w:r>
      <w:r w:rsidR="00DF757F" w:rsidRPr="004717E9">
        <w:t xml:space="preserve">. However, </w:t>
      </w:r>
      <w:r w:rsidR="00446044" w:rsidRPr="004717E9">
        <w:t>in light of</w:t>
      </w:r>
      <w:r w:rsidR="00DF757F" w:rsidRPr="004717E9">
        <w:t xml:space="preserve"> the NPPF requirement to review policies at least every 5 years, this could be </w:t>
      </w:r>
      <w:r w:rsidR="00446044" w:rsidRPr="004717E9">
        <w:t>moved</w:t>
      </w:r>
      <w:r w:rsidR="00DF757F" w:rsidRPr="004717E9">
        <w:t xml:space="preserve"> into policy wording </w:t>
      </w:r>
      <w:r w:rsidR="00446044" w:rsidRPr="004717E9">
        <w:t>from the</w:t>
      </w:r>
      <w:r w:rsidR="00DF757F" w:rsidRPr="004717E9">
        <w:t xml:space="preserve"> supporting text if deemed preferable </w:t>
      </w:r>
      <w:r w:rsidR="00116CD8">
        <w:lastRenderedPageBreak/>
        <w:t>to provide</w:t>
      </w:r>
      <w:r w:rsidR="00446044" w:rsidRPr="004717E9">
        <w:t xml:space="preserve"> greater </w:t>
      </w:r>
      <w:r w:rsidR="00DF757F" w:rsidRPr="004717E9">
        <w:t>certainty.</w:t>
      </w:r>
      <w:r w:rsidR="00446044" w:rsidRPr="004717E9">
        <w:t xml:space="preserve"> This element would then be subject to regular review and updated as appropriate.</w:t>
      </w:r>
    </w:p>
    <w:p w14:paraId="61F7F175" w14:textId="6CD606AE" w:rsidR="005B2FA0" w:rsidRDefault="00CC707F" w:rsidP="00CC707F">
      <w:pPr>
        <w:ind w:left="720" w:hanging="720"/>
        <w:jc w:val="left"/>
      </w:pPr>
      <w:r>
        <w:t>2.16.7</w:t>
      </w:r>
      <w:r>
        <w:tab/>
      </w:r>
      <w:r w:rsidR="00DF757F" w:rsidRPr="004717E9">
        <w:t>L</w:t>
      </w:r>
      <w:r w:rsidR="00446044" w:rsidRPr="004717E9">
        <w:t xml:space="preserve">ocal </w:t>
      </w:r>
      <w:r w:rsidR="00DF757F" w:rsidRPr="004717E9">
        <w:t>P</w:t>
      </w:r>
      <w:r w:rsidR="00446044" w:rsidRPr="004717E9">
        <w:t>lan</w:t>
      </w:r>
      <w:r w:rsidR="00DF757F" w:rsidRPr="004717E9">
        <w:t xml:space="preserve"> para</w:t>
      </w:r>
      <w:r w:rsidR="00446044" w:rsidRPr="004717E9">
        <w:t>graph</w:t>
      </w:r>
      <w:r w:rsidR="00DF757F" w:rsidRPr="004717E9">
        <w:t xml:space="preserve"> 6.148 identifies instances where adjustments may need to be applied and so acknowledges the need for flexibility in the identified recommended housing mix</w:t>
      </w:r>
      <w:r w:rsidR="00446044" w:rsidRPr="004717E9">
        <w:t xml:space="preserve"> on a </w:t>
      </w:r>
      <w:proofErr w:type="gramStart"/>
      <w:r w:rsidR="00446044" w:rsidRPr="004717E9">
        <w:t>site by site</w:t>
      </w:r>
      <w:proofErr w:type="gramEnd"/>
      <w:r w:rsidR="00446044" w:rsidRPr="004717E9">
        <w:t xml:space="preserve"> basis</w:t>
      </w:r>
      <w:r w:rsidR="00DF757F" w:rsidRPr="004717E9">
        <w:t>.</w:t>
      </w:r>
    </w:p>
    <w:p w14:paraId="447BB8C3" w14:textId="12117DF5" w:rsidR="005B2FA0" w:rsidRDefault="00CC707F" w:rsidP="00FF6AD5">
      <w:pPr>
        <w:ind w:left="720" w:hanging="720"/>
        <w:jc w:val="left"/>
      </w:pPr>
      <w:r>
        <w:t>2.16.8</w:t>
      </w:r>
      <w:r>
        <w:tab/>
      </w:r>
      <w:r w:rsidR="0074476F">
        <w:t xml:space="preserve">It should be noted that the Housing Needs Assessment which underpinned many of the housing implementation policies has been subject to an update by the consultants. This is available </w:t>
      </w:r>
      <w:r w:rsidR="00BA3FC1">
        <w:t>on</w:t>
      </w:r>
      <w:r w:rsidR="0074476F">
        <w:t xml:space="preserve"> the Local Plan Examination </w:t>
      </w:r>
      <w:r w:rsidR="00BA3FC1">
        <w:t>website</w:t>
      </w:r>
      <w:r w:rsidR="0074476F">
        <w:t xml:space="preserve"> under reference ADC.01</w:t>
      </w:r>
      <w:r w:rsidR="00FF6AD5">
        <w:t xml:space="preserve"> and also SEV19a</w:t>
      </w:r>
      <w:r w:rsidR="0074476F">
        <w:t xml:space="preserve">. </w:t>
      </w:r>
    </w:p>
    <w:p w14:paraId="697BEAC6" w14:textId="77777777" w:rsidR="00FF6AD5" w:rsidRPr="00D60CCD" w:rsidRDefault="00FF6AD5" w:rsidP="00FF6AD5">
      <w:pPr>
        <w:ind w:left="720" w:hanging="720"/>
        <w:jc w:val="left"/>
      </w:pPr>
    </w:p>
    <w:p w14:paraId="5B7632BD" w14:textId="3930AF7C" w:rsidR="005B2FA0" w:rsidRPr="003D1036" w:rsidRDefault="005B2FA0" w:rsidP="005D13C3">
      <w:pPr>
        <w:pStyle w:val="Heading3"/>
      </w:pPr>
      <w:r w:rsidRPr="003D1036">
        <w:t>2.17</w:t>
      </w:r>
      <w:r w:rsidR="005D13C3">
        <w:tab/>
      </w:r>
      <w:r w:rsidRPr="003D1036">
        <w:t>Are the housing density requirements in Policy H7 justified? Are they evidence-based?</w:t>
      </w:r>
    </w:p>
    <w:p w14:paraId="51964F6E" w14:textId="77777777" w:rsidR="003D1036" w:rsidRPr="00156B97" w:rsidRDefault="003D1036" w:rsidP="00F46F28">
      <w:pPr>
        <w:jc w:val="left"/>
        <w:rPr>
          <w:u w:val="single"/>
        </w:rPr>
      </w:pPr>
      <w:bookmarkStart w:id="15" w:name="_Hlk180423588"/>
      <w:r w:rsidRPr="00156B97">
        <w:rPr>
          <w:u w:val="single"/>
        </w:rPr>
        <w:t>Council’s response</w:t>
      </w:r>
    </w:p>
    <w:bookmarkEnd w:id="15"/>
    <w:p w14:paraId="4DFDA9B1" w14:textId="4FA3BC5E" w:rsidR="004D5385" w:rsidRPr="004D7C92" w:rsidRDefault="00D47EC4" w:rsidP="00B16ECC">
      <w:pPr>
        <w:ind w:left="720" w:hanging="720"/>
        <w:jc w:val="left"/>
      </w:pPr>
      <w:r>
        <w:t>2.17.1</w:t>
      </w:r>
      <w:r>
        <w:tab/>
      </w:r>
      <w:r w:rsidR="004D5385" w:rsidRPr="004D7C92">
        <w:t>NPPF para 12</w:t>
      </w:r>
      <w:r w:rsidR="0028351A" w:rsidRPr="004D7C92">
        <w:t>9</w:t>
      </w:r>
      <w:r w:rsidR="004D5385" w:rsidRPr="004D7C92">
        <w:t xml:space="preserve"> a) sets out</w:t>
      </w:r>
      <w:r w:rsidR="00EE4F04" w:rsidRPr="004D7C92">
        <w:t xml:space="preserve"> that </w:t>
      </w:r>
      <w:r w:rsidR="004D5385" w:rsidRPr="004D7C92">
        <w:t xml:space="preserve">"plans should </w:t>
      </w:r>
      <w:r w:rsidR="00B16ECC">
        <w:t>….</w:t>
      </w:r>
      <w:r w:rsidR="004D5385" w:rsidRPr="004D7C92">
        <w:t xml:space="preserve"> include the use of minimum density standards for city and town centres and other locations that are well served by public transport</w:t>
      </w:r>
      <w:r w:rsidR="00353B10" w:rsidRPr="004D7C92">
        <w:t>….</w:t>
      </w:r>
      <w:r w:rsidR="004D5385" w:rsidRPr="004D7C92">
        <w:t>"</w:t>
      </w:r>
      <w:r w:rsidR="00B16ECC">
        <w:t xml:space="preserve">. </w:t>
      </w:r>
      <w:r w:rsidR="004D5385" w:rsidRPr="004D7C92">
        <w:t>Para 12</w:t>
      </w:r>
      <w:r w:rsidR="0028351A" w:rsidRPr="004D7C92">
        <w:t>9</w:t>
      </w:r>
      <w:r w:rsidR="004D5385" w:rsidRPr="004D7C92">
        <w:t xml:space="preserve"> b) goes on to state "the use of minimum density standards should also be considered for other parts of the plan area. It may be appropriate to set out a range of densities that reflect the accessibility and potential of different areas, rather than one broad density range."</w:t>
      </w:r>
    </w:p>
    <w:p w14:paraId="65C02095" w14:textId="6FD8C73D" w:rsidR="003308D6" w:rsidRPr="004D7C92" w:rsidRDefault="00D47EC4" w:rsidP="00D47EC4">
      <w:pPr>
        <w:ind w:left="720" w:hanging="720"/>
        <w:jc w:val="left"/>
      </w:pPr>
      <w:r>
        <w:t>2.17.</w:t>
      </w:r>
      <w:r w:rsidR="00B16ECC">
        <w:t>2</w:t>
      </w:r>
      <w:r>
        <w:tab/>
      </w:r>
      <w:r w:rsidR="004D5385" w:rsidRPr="004D7C92">
        <w:t xml:space="preserve">Planning Policy </w:t>
      </w:r>
      <w:r w:rsidR="003176C5">
        <w:t>G</w:t>
      </w:r>
      <w:r w:rsidR="004D5385" w:rsidRPr="004D7C92">
        <w:t>uidance supports this approach in particular setting out that "A range of considerations should be taken into account in establishing appropriate densities on a site or in a particular area. Tools that can assist with this include....accessibility measures such as distances and travel times to key facilities, including public transport stops or hubs..."</w:t>
      </w:r>
      <w:r w:rsidR="0028351A" w:rsidRPr="004D7C92">
        <w:t xml:space="preserve"> (</w:t>
      </w:r>
      <w:hyperlink r:id="rId14" w:anchor="planning-for-higher-density-development" w:history="1">
        <w:r w:rsidR="0028351A" w:rsidRPr="004D7C92">
          <w:rPr>
            <w:rStyle w:val="Hyperlink"/>
            <w:color w:val="auto"/>
          </w:rPr>
          <w:t>Paragraph: 004 Reference ID: 66-004-20190722</w:t>
        </w:r>
      </w:hyperlink>
      <w:r w:rsidR="0028351A" w:rsidRPr="004D7C92">
        <w:t>)</w:t>
      </w:r>
      <w:r w:rsidR="00936008" w:rsidRPr="004D7C92">
        <w:t>.</w:t>
      </w:r>
    </w:p>
    <w:p w14:paraId="15FC76B9" w14:textId="0CAF01CD" w:rsidR="004D5385" w:rsidRPr="004D7C92" w:rsidRDefault="00D47EC4" w:rsidP="00D47EC4">
      <w:pPr>
        <w:ind w:left="720" w:hanging="720"/>
        <w:jc w:val="left"/>
      </w:pPr>
      <w:r>
        <w:t>2.17.</w:t>
      </w:r>
      <w:r w:rsidR="00B16ECC">
        <w:t>3</w:t>
      </w:r>
      <w:r>
        <w:tab/>
      </w:r>
      <w:bookmarkStart w:id="16" w:name="_Hlk180747238"/>
      <w:r w:rsidR="004D5385" w:rsidRPr="004D7C92">
        <w:t xml:space="preserve">Policy H7 </w:t>
      </w:r>
      <w:r w:rsidR="00075149" w:rsidRPr="004D7C92">
        <w:t xml:space="preserve">aims </w:t>
      </w:r>
      <w:r w:rsidR="004D5385" w:rsidRPr="004D7C92">
        <w:t>to encourage higher density development in areas which are close to key services and facilities, i.e., identified town centres, plus the major transport nodes which enable access to other centres and services further afield, and not just locally significant destinations.   The power of a destination determines how far people will walk to get to it, and the policy reflects real travel behaviour, such as the propensity of people to walk a longer distance for work, or indeed to access the rail</w:t>
      </w:r>
      <w:r w:rsidR="00B329CD" w:rsidRPr="004D7C92">
        <w:t>/tram</w:t>
      </w:r>
      <w:r w:rsidR="004D5385" w:rsidRPr="004D7C92">
        <w:t xml:space="preserve"> network to travel into a city centre.</w:t>
      </w:r>
    </w:p>
    <w:p w14:paraId="29A7C2CB" w14:textId="52A7D357" w:rsidR="001A5790" w:rsidRPr="004D7C92" w:rsidRDefault="00D47EC4" w:rsidP="00D47EC4">
      <w:pPr>
        <w:ind w:left="720" w:hanging="720"/>
        <w:jc w:val="left"/>
      </w:pPr>
      <w:r>
        <w:t>2.17.</w:t>
      </w:r>
      <w:r w:rsidR="00B16ECC">
        <w:t>4</w:t>
      </w:r>
      <w:r>
        <w:tab/>
      </w:r>
      <w:r w:rsidR="004462A9" w:rsidRPr="004D7C92">
        <w:t xml:space="preserve">In respect of the threshold distances set out in Policy H7, </w:t>
      </w:r>
      <w:r w:rsidR="00877482" w:rsidRPr="004D7C92">
        <w:t xml:space="preserve">the supporting text is clear that </w:t>
      </w:r>
      <w:r w:rsidR="004462A9" w:rsidRPr="004D7C92">
        <w:t>these are based on actual walking routes, rather than an arbitrary radius (</w:t>
      </w:r>
      <w:r w:rsidR="00877482" w:rsidRPr="004D7C92">
        <w:t>or ‘</w:t>
      </w:r>
      <w:r w:rsidR="004462A9" w:rsidRPr="004D7C92">
        <w:t>as the crow flies</w:t>
      </w:r>
      <w:r w:rsidR="00877482" w:rsidRPr="004D7C92">
        <w:t>’</w:t>
      </w:r>
      <w:r w:rsidR="004462A9" w:rsidRPr="004D7C92">
        <w:t xml:space="preserve">). </w:t>
      </w:r>
      <w:r w:rsidR="001A5790" w:rsidRPr="004D7C92">
        <w:t xml:space="preserve">The study </w:t>
      </w:r>
      <w:hyperlink r:id="rId15" w:history="1">
        <w:r w:rsidR="001A5790" w:rsidRPr="004D7C92">
          <w:rPr>
            <w:rStyle w:val="Hyperlink"/>
            <w:color w:val="auto"/>
          </w:rPr>
          <w:t>How far do people walk? (WYG, 2015)</w:t>
        </w:r>
      </w:hyperlink>
      <w:r w:rsidR="001A5790" w:rsidRPr="004D7C92">
        <w:t xml:space="preserve"> identifies that </w:t>
      </w:r>
      <w:r w:rsidR="004462A9" w:rsidRPr="004D7C92">
        <w:t>the average distances for journeys where walking is the main mode of travel, and also where walking is the first stage of a public transport trip. These are as follows:</w:t>
      </w:r>
    </w:p>
    <w:p w14:paraId="6D200EFA" w14:textId="086E6919" w:rsidR="004462A9" w:rsidRPr="004D7C92" w:rsidRDefault="004462A9" w:rsidP="00D47EC4">
      <w:pPr>
        <w:pStyle w:val="ListParagraph"/>
        <w:numPr>
          <w:ilvl w:val="0"/>
          <w:numId w:val="3"/>
        </w:numPr>
        <w:ind w:left="1134" w:hanging="283"/>
        <w:jc w:val="left"/>
      </w:pPr>
      <w:r w:rsidRPr="004D7C92">
        <w:t>Walk</w:t>
      </w:r>
      <w:r w:rsidR="003176C5">
        <w:t xml:space="preserve"> a</w:t>
      </w:r>
      <w:r w:rsidRPr="004D7C92">
        <w:t>s main mode of travel</w:t>
      </w:r>
      <w:r w:rsidRPr="004D7C92">
        <w:tab/>
      </w:r>
      <w:r w:rsidR="00D47EC4">
        <w:tab/>
      </w:r>
      <w:r w:rsidRPr="004D7C92">
        <w:t>1,150m</w:t>
      </w:r>
    </w:p>
    <w:p w14:paraId="1469398A" w14:textId="113480AF" w:rsidR="004462A9" w:rsidRPr="004D7C92" w:rsidRDefault="004462A9" w:rsidP="00D47EC4">
      <w:pPr>
        <w:pStyle w:val="ListParagraph"/>
        <w:numPr>
          <w:ilvl w:val="0"/>
          <w:numId w:val="3"/>
        </w:numPr>
        <w:ind w:left="1134" w:hanging="283"/>
        <w:jc w:val="left"/>
      </w:pPr>
      <w:r w:rsidRPr="004D7C92">
        <w:t>Walk to a Bus Stop</w:t>
      </w:r>
      <w:r w:rsidRPr="004D7C92">
        <w:tab/>
      </w:r>
      <w:r w:rsidRPr="004D7C92">
        <w:tab/>
      </w:r>
      <w:r w:rsidRPr="004D7C92">
        <w:tab/>
        <w:t>580m</w:t>
      </w:r>
    </w:p>
    <w:p w14:paraId="6A8CB091" w14:textId="6EFDB7CE" w:rsidR="004462A9" w:rsidRPr="004D7C92" w:rsidRDefault="004462A9" w:rsidP="00D47EC4">
      <w:pPr>
        <w:pStyle w:val="ListParagraph"/>
        <w:numPr>
          <w:ilvl w:val="0"/>
          <w:numId w:val="3"/>
        </w:numPr>
        <w:ind w:left="1134" w:hanging="283"/>
        <w:jc w:val="left"/>
      </w:pPr>
      <w:r w:rsidRPr="004D7C92">
        <w:t>Walk to a Railway Station</w:t>
      </w:r>
      <w:r w:rsidRPr="004D7C92">
        <w:tab/>
      </w:r>
      <w:r w:rsidRPr="004D7C92">
        <w:tab/>
        <w:t>1,010m</w:t>
      </w:r>
    </w:p>
    <w:p w14:paraId="478AB5C0" w14:textId="0372B839" w:rsidR="004D5385" w:rsidRPr="004D7C92" w:rsidRDefault="00D47EC4" w:rsidP="00D47EC4">
      <w:pPr>
        <w:ind w:left="720" w:hanging="720"/>
        <w:jc w:val="left"/>
      </w:pPr>
      <w:r>
        <w:lastRenderedPageBreak/>
        <w:t>2.17.</w:t>
      </w:r>
      <w:r w:rsidR="00B16ECC">
        <w:t>5</w:t>
      </w:r>
      <w:r>
        <w:tab/>
      </w:r>
      <w:r w:rsidR="00F53D17" w:rsidRPr="004D7C92">
        <w:t>I</w:t>
      </w:r>
      <w:r w:rsidR="004D5385" w:rsidRPr="004D7C92">
        <w:t xml:space="preserve">t is considered that many people would be willing to walk/cycle or use other forms of active travel within a </w:t>
      </w:r>
      <w:r w:rsidR="004462A9" w:rsidRPr="004D7C92">
        <w:t>10</w:t>
      </w:r>
      <w:r w:rsidR="004D5385" w:rsidRPr="004D7C92">
        <w:t xml:space="preserve">00m </w:t>
      </w:r>
      <w:r w:rsidR="004462A9" w:rsidRPr="004D7C92">
        <w:t xml:space="preserve">(1km) </w:t>
      </w:r>
      <w:r w:rsidR="004D5385" w:rsidRPr="004D7C92">
        <w:t xml:space="preserve">catchment, with a </w:t>
      </w:r>
      <w:r w:rsidR="00877482" w:rsidRPr="004D7C92">
        <w:t>more significant</w:t>
      </w:r>
      <w:r w:rsidR="004462A9" w:rsidRPr="004D7C92">
        <w:t xml:space="preserve"> number</w:t>
      </w:r>
      <w:r w:rsidR="00877482" w:rsidRPr="004D7C92">
        <w:t xml:space="preserve"> likely to travel within 400m </w:t>
      </w:r>
      <w:r w:rsidR="003425D6" w:rsidRPr="004D7C92">
        <w:t xml:space="preserve">(or </w:t>
      </w:r>
      <w:r w:rsidR="002A3029" w:rsidRPr="004D7C92">
        <w:t>10-minute</w:t>
      </w:r>
      <w:r w:rsidR="003425D6" w:rsidRPr="004D7C92">
        <w:t xml:space="preserve"> round trip) </w:t>
      </w:r>
      <w:r w:rsidR="00877482" w:rsidRPr="004D7C92">
        <w:t>using such modes</w:t>
      </w:r>
      <w:r w:rsidR="004D5385" w:rsidRPr="004D7C92">
        <w:t>.</w:t>
      </w:r>
    </w:p>
    <w:p w14:paraId="0B63B700" w14:textId="455D581A" w:rsidR="0082426E" w:rsidRPr="004D7C92" w:rsidRDefault="00D47EC4" w:rsidP="00D47EC4">
      <w:pPr>
        <w:ind w:left="720" w:hanging="720"/>
        <w:jc w:val="left"/>
      </w:pPr>
      <w:r>
        <w:t>2.17.</w:t>
      </w:r>
      <w:r w:rsidR="00B16ECC">
        <w:t>6</w:t>
      </w:r>
      <w:r>
        <w:tab/>
      </w:r>
      <w:r w:rsidR="00F53D17" w:rsidRPr="004D7C92">
        <w:t xml:space="preserve">With regard to dwellings per hectare, the minimum baseline of 30 dwellings per hectare </w:t>
      </w:r>
      <w:r w:rsidR="00082FBE" w:rsidRPr="004D7C92">
        <w:t xml:space="preserve">(dpa) </w:t>
      </w:r>
      <w:r w:rsidR="00F53D17" w:rsidRPr="004D7C92">
        <w:t xml:space="preserve">has </w:t>
      </w:r>
      <w:r w:rsidR="00C556F5" w:rsidRPr="004D7C92">
        <w:t xml:space="preserve">not </w:t>
      </w:r>
      <w:r w:rsidR="00F53D17" w:rsidRPr="004D7C92">
        <w:t>been achieved</w:t>
      </w:r>
      <w:r w:rsidR="00C556F5" w:rsidRPr="004D7C92">
        <w:t xml:space="preserve"> in</w:t>
      </w:r>
      <w:r w:rsidR="00F53D17" w:rsidRPr="004D7C92">
        <w:t xml:space="preserve"> </w:t>
      </w:r>
      <w:r w:rsidR="00C556F5" w:rsidRPr="004D7C92">
        <w:t>19%</w:t>
      </w:r>
      <w:r w:rsidR="00F53D17" w:rsidRPr="004D7C92">
        <w:t xml:space="preserve"> of large sites </w:t>
      </w:r>
      <w:r w:rsidR="00C556F5" w:rsidRPr="004D7C92">
        <w:t>built</w:t>
      </w:r>
      <w:r w:rsidR="00F53D17" w:rsidRPr="004D7C92">
        <w:t xml:space="preserve"> over the </w:t>
      </w:r>
      <w:r w:rsidR="002A3029" w:rsidRPr="004D7C92">
        <w:t>10-year</w:t>
      </w:r>
      <w:r w:rsidR="00F53D17" w:rsidRPr="004D7C92">
        <w:t xml:space="preserve"> period from 2011-2021</w:t>
      </w:r>
      <w:r w:rsidR="009A7E62" w:rsidRPr="004D7C92">
        <w:t>(Local Plan Table 10)</w:t>
      </w:r>
      <w:r w:rsidR="00F53D17" w:rsidRPr="004D7C92">
        <w:t>. Th</w:t>
      </w:r>
      <w:r w:rsidR="00C556F5" w:rsidRPr="004D7C92">
        <w:t xml:space="preserve">is is likely to be the end result of delivering </w:t>
      </w:r>
      <w:r w:rsidR="00454C5B" w:rsidRPr="004D7C92">
        <w:t>acceptable development schemes</w:t>
      </w:r>
      <w:r w:rsidR="00C556F5" w:rsidRPr="004D7C92">
        <w:t xml:space="preserve"> when taking account of </w:t>
      </w:r>
      <w:r w:rsidR="002A3029" w:rsidRPr="004D7C92">
        <w:t>site-specific</w:t>
      </w:r>
      <w:r w:rsidR="00C556F5" w:rsidRPr="004D7C92">
        <w:t xml:space="preserve"> circumstance</w:t>
      </w:r>
      <w:r w:rsidR="003176C5">
        <w:t>s</w:t>
      </w:r>
      <w:r w:rsidR="00C556F5" w:rsidRPr="004D7C92">
        <w:t xml:space="preserve"> (such as physical constraints or area character)</w:t>
      </w:r>
      <w:r w:rsidR="00454C5B" w:rsidRPr="004D7C92">
        <w:t>.</w:t>
      </w:r>
      <w:r w:rsidR="00082FBE" w:rsidRPr="004D7C92">
        <w:t xml:space="preserve"> However, the Council’s ambition remains that 30 </w:t>
      </w:r>
      <w:proofErr w:type="spellStart"/>
      <w:r w:rsidR="00082FBE" w:rsidRPr="004D7C92">
        <w:t>dp</w:t>
      </w:r>
      <w:r w:rsidR="003176C5">
        <w:t>h</w:t>
      </w:r>
      <w:proofErr w:type="spellEnd"/>
      <w:r w:rsidR="00082FBE" w:rsidRPr="004D7C92">
        <w:t xml:space="preserve"> should be the minimum requirement outside of the 2 specified density zones (of 400m and 1 km).</w:t>
      </w:r>
    </w:p>
    <w:p w14:paraId="2FAC917B" w14:textId="76EE447D" w:rsidR="005A72A3" w:rsidRPr="004D7C92" w:rsidRDefault="00D47EC4" w:rsidP="00D47EC4">
      <w:pPr>
        <w:ind w:left="720" w:hanging="720"/>
        <w:jc w:val="left"/>
      </w:pPr>
      <w:r>
        <w:t>2.17.</w:t>
      </w:r>
      <w:r w:rsidR="00B16ECC">
        <w:t>7</w:t>
      </w:r>
      <w:r>
        <w:tab/>
      </w:r>
      <w:r w:rsidR="009A7E62" w:rsidRPr="004D7C92">
        <w:t xml:space="preserve">Local Plan Table 10 identifies that 75% of large sites have delivered between 30% and 50% over the same </w:t>
      </w:r>
      <w:r w:rsidR="002A3029" w:rsidRPr="004D7C92">
        <w:t>10-year</w:t>
      </w:r>
      <w:r w:rsidR="009A7E62" w:rsidRPr="004D7C92">
        <w:t xml:space="preserve"> period. Whilst this isn’t broken down more specifically at this stage, the requirements of 34 </w:t>
      </w:r>
      <w:proofErr w:type="spellStart"/>
      <w:r w:rsidR="009A7E62" w:rsidRPr="004D7C92">
        <w:t>dp</w:t>
      </w:r>
      <w:r w:rsidR="003176C5">
        <w:t>h</w:t>
      </w:r>
      <w:proofErr w:type="spellEnd"/>
      <w:r w:rsidR="009A7E62" w:rsidRPr="004D7C92">
        <w:t xml:space="preserve"> (within the 1km zone), and 40 </w:t>
      </w:r>
      <w:proofErr w:type="spellStart"/>
      <w:r w:rsidR="009A7E62" w:rsidRPr="004D7C92">
        <w:t>dp</w:t>
      </w:r>
      <w:r w:rsidR="003176C5">
        <w:t>h</w:t>
      </w:r>
      <w:proofErr w:type="spellEnd"/>
      <w:r w:rsidR="009A7E62" w:rsidRPr="004D7C92">
        <w:t xml:space="preserve"> (within the 400m zone) are considered to be achievable and </w:t>
      </w:r>
      <w:r w:rsidR="0082426E" w:rsidRPr="004D7C92">
        <w:t>promot</w:t>
      </w:r>
      <w:r w:rsidR="009A7E62" w:rsidRPr="004D7C92">
        <w:t>e</w:t>
      </w:r>
      <w:r w:rsidR="0082426E" w:rsidRPr="004D7C92">
        <w:t xml:space="preserve"> efficient use of land through optimising density</w:t>
      </w:r>
      <w:r w:rsidR="009A7E62" w:rsidRPr="004D7C92">
        <w:t xml:space="preserve"> in these areas.</w:t>
      </w:r>
    </w:p>
    <w:p w14:paraId="49B45AD5" w14:textId="2DA9AEC1" w:rsidR="009A7E62" w:rsidRPr="004D7C92" w:rsidRDefault="00D47EC4" w:rsidP="00D47EC4">
      <w:pPr>
        <w:ind w:left="720" w:hanging="720"/>
        <w:jc w:val="left"/>
      </w:pPr>
      <w:r>
        <w:t>2.17.</w:t>
      </w:r>
      <w:r w:rsidR="00B16ECC">
        <w:t>8</w:t>
      </w:r>
      <w:r>
        <w:tab/>
      </w:r>
      <w:r w:rsidR="005A72A3" w:rsidRPr="004D7C92">
        <w:t xml:space="preserve">It should be noted that the latest </w:t>
      </w:r>
      <w:hyperlink r:id="rId16" w:history="1">
        <w:r w:rsidR="005A72A3" w:rsidRPr="004D7C92">
          <w:rPr>
            <w:rStyle w:val="Hyperlink"/>
            <w:color w:val="auto"/>
          </w:rPr>
          <w:t>Housing Land Monitoring Report 2024</w:t>
        </w:r>
      </w:hyperlink>
      <w:r w:rsidR="005A72A3" w:rsidRPr="004D7C92">
        <w:t xml:space="preserve"> does indicate that densities have reduced in the past 3 years. However, t</w:t>
      </w:r>
      <w:r w:rsidR="009A7E62" w:rsidRPr="004D7C92">
        <w:t xml:space="preserve">he density requirements on the whole are considered to be realistically achievable, </w:t>
      </w:r>
      <w:r w:rsidR="005A72A3" w:rsidRPr="004D7C92">
        <w:t>whilst</w:t>
      </w:r>
      <w:r w:rsidR="009A7E62" w:rsidRPr="004D7C92">
        <w:t xml:space="preserve"> respecting the character of Ashfield as a</w:t>
      </w:r>
      <w:r w:rsidR="005A72A3" w:rsidRPr="004D7C92">
        <w:t xml:space="preserve"> Non-metropolitan District</w:t>
      </w:r>
      <w:r w:rsidR="00936008" w:rsidRPr="004D7C92">
        <w:t xml:space="preserve"> with conservation areas affecting 2 of its 3 town centres.</w:t>
      </w:r>
    </w:p>
    <w:p w14:paraId="0194AB86" w14:textId="0D7DC1B6" w:rsidR="00936008" w:rsidRPr="004D7C92" w:rsidRDefault="00D47EC4" w:rsidP="00D47EC4">
      <w:pPr>
        <w:ind w:left="720" w:hanging="720"/>
        <w:jc w:val="left"/>
      </w:pPr>
      <w:r>
        <w:t>2.17.</w:t>
      </w:r>
      <w:r w:rsidR="00B16ECC">
        <w:t>9</w:t>
      </w:r>
      <w:r w:rsidR="00D0168D">
        <w:t xml:space="preserve"> </w:t>
      </w:r>
      <w:r w:rsidR="00936008" w:rsidRPr="004D7C92">
        <w:t>The policy is in line with the NPPF in respect of a variable approach to requirements and maximising land use in more sustainable locations.</w:t>
      </w:r>
    </w:p>
    <w:p w14:paraId="05854C83" w14:textId="5590BA1F" w:rsidR="00936008" w:rsidRPr="004D7C92" w:rsidRDefault="00D47EC4" w:rsidP="00D47EC4">
      <w:pPr>
        <w:ind w:left="720" w:hanging="720"/>
        <w:jc w:val="left"/>
      </w:pPr>
      <w:proofErr w:type="gramStart"/>
      <w:r>
        <w:t>2.17.1</w:t>
      </w:r>
      <w:r w:rsidR="00B16ECC">
        <w:t>0</w:t>
      </w:r>
      <w:r w:rsidR="00D0168D">
        <w:t xml:space="preserve">  </w:t>
      </w:r>
      <w:r w:rsidR="00936008" w:rsidRPr="004D7C92">
        <w:t>The</w:t>
      </w:r>
      <w:proofErr w:type="gramEnd"/>
      <w:r w:rsidR="00936008" w:rsidRPr="004D7C92">
        <w:t xml:space="preserve"> council use the same thresholds and assumptions in determining potential yield from non-permissioned sites for the Housing Trajectories – more detail can be found in Background Paper 2:</w:t>
      </w:r>
      <w:r w:rsidR="002A3029">
        <w:t xml:space="preserve"> </w:t>
      </w:r>
      <w:r w:rsidR="00936008" w:rsidRPr="004D7C92">
        <w:t>Housing [BP.02].</w:t>
      </w:r>
    </w:p>
    <w:p w14:paraId="4B4F5751" w14:textId="77777777" w:rsidR="00A03C5E" w:rsidRDefault="00A03C5E" w:rsidP="00A03C5E">
      <w:pPr>
        <w:jc w:val="left"/>
        <w:rPr>
          <w:color w:val="FF0000"/>
          <w:u w:val="single"/>
        </w:rPr>
      </w:pPr>
    </w:p>
    <w:bookmarkEnd w:id="16"/>
    <w:p w14:paraId="29FFFBF3" w14:textId="517F722F" w:rsidR="005B2FA0" w:rsidRPr="003D1036" w:rsidRDefault="005B2FA0" w:rsidP="005D13C3">
      <w:pPr>
        <w:pStyle w:val="Heading3"/>
      </w:pPr>
      <w:r w:rsidRPr="003D1036">
        <w:t>2.18</w:t>
      </w:r>
      <w:r w:rsidR="005D13C3">
        <w:tab/>
      </w:r>
      <w:r w:rsidRPr="003D1036">
        <w:t>Is the wording of Policy H7 sufficient clear as to whether the density requirements are</w:t>
      </w:r>
      <w:r w:rsidR="003D1036" w:rsidRPr="003D1036">
        <w:t xml:space="preserve"> </w:t>
      </w:r>
      <w:r w:rsidRPr="003D1036">
        <w:t xml:space="preserve">gross or net? </w:t>
      </w:r>
    </w:p>
    <w:p w14:paraId="0E721C82" w14:textId="77777777" w:rsidR="003D1036" w:rsidRPr="00156B97" w:rsidRDefault="003D1036" w:rsidP="00F46F28">
      <w:pPr>
        <w:jc w:val="left"/>
        <w:rPr>
          <w:u w:val="single"/>
        </w:rPr>
      </w:pPr>
      <w:r w:rsidRPr="00156B97">
        <w:rPr>
          <w:u w:val="single"/>
        </w:rPr>
        <w:t>Council’s response</w:t>
      </w:r>
    </w:p>
    <w:p w14:paraId="46B5CED9" w14:textId="7B061D61" w:rsidR="00C1328E" w:rsidRDefault="00A04F55" w:rsidP="00A04F55">
      <w:pPr>
        <w:ind w:left="720" w:hanging="720"/>
        <w:jc w:val="left"/>
      </w:pPr>
      <w:r>
        <w:t>2.18.1</w:t>
      </w:r>
      <w:r>
        <w:tab/>
      </w:r>
      <w:r w:rsidR="00A67D38">
        <w:t>Local Plan paragraph 6.166 refers to the minimum requirement of 30 dwellings per hectare (net)</w:t>
      </w:r>
      <w:r w:rsidR="008E5D31">
        <w:t xml:space="preserve"> and repeated with additional detail in para. 6.169</w:t>
      </w:r>
      <w:r w:rsidR="00A67D38">
        <w:t xml:space="preserve">. However, it is </w:t>
      </w:r>
      <w:r w:rsidR="00C1328E">
        <w:t>acknowledged</w:t>
      </w:r>
      <w:r w:rsidR="00A67D38">
        <w:t xml:space="preserve"> that the reference to ‘net’ hectarage would </w:t>
      </w:r>
      <w:r w:rsidR="00C1328E">
        <w:t>provide greater clarity if embedded within the policy wording. A modification is therefore proposed in this respect.</w:t>
      </w:r>
    </w:p>
    <w:tbl>
      <w:tblPr>
        <w:tblStyle w:val="TableGrid"/>
        <w:tblW w:w="9214" w:type="dxa"/>
        <w:tblInd w:w="704" w:type="dxa"/>
        <w:tblLook w:val="04A0" w:firstRow="1" w:lastRow="0" w:firstColumn="1" w:lastColumn="0" w:noHBand="0" w:noVBand="1"/>
      </w:tblPr>
      <w:tblGrid>
        <w:gridCol w:w="9214"/>
      </w:tblGrid>
      <w:tr w:rsidR="00C1328E" w14:paraId="5DDDC2AE" w14:textId="77777777" w:rsidTr="00A04F55">
        <w:tc>
          <w:tcPr>
            <w:tcW w:w="9214" w:type="dxa"/>
            <w:shd w:val="clear" w:color="auto" w:fill="D9D9D9" w:themeFill="background1" w:themeFillShade="D9"/>
          </w:tcPr>
          <w:p w14:paraId="5D5C9DC0" w14:textId="1287519B" w:rsidR="00C1328E" w:rsidRPr="007404F6" w:rsidRDefault="00C1328E" w:rsidP="00397A79">
            <w:pPr>
              <w:jc w:val="left"/>
              <w:rPr>
                <w:b/>
                <w:bCs/>
              </w:rPr>
            </w:pPr>
            <w:r w:rsidRPr="007404F6">
              <w:rPr>
                <w:b/>
                <w:bCs/>
              </w:rPr>
              <w:t>Proposed modification</w:t>
            </w:r>
          </w:p>
          <w:p w14:paraId="451CAA16" w14:textId="77777777" w:rsidR="00C1328E" w:rsidRPr="00C1328E" w:rsidRDefault="00C1328E" w:rsidP="00397A79">
            <w:pPr>
              <w:jc w:val="left"/>
            </w:pPr>
          </w:p>
          <w:p w14:paraId="77B5F7F0" w14:textId="1918E4E3" w:rsidR="00C1328E" w:rsidRPr="00C1328E" w:rsidRDefault="00C1328E" w:rsidP="00397A79">
            <w:pPr>
              <w:jc w:val="left"/>
            </w:pPr>
            <w:r w:rsidRPr="00C1328E">
              <w:t>Include reference to ‘net’ hectarage as follows:</w:t>
            </w:r>
          </w:p>
          <w:p w14:paraId="27739DD2" w14:textId="77777777" w:rsidR="00C1328E" w:rsidRPr="00C1328E" w:rsidRDefault="00C1328E" w:rsidP="00397A79">
            <w:pPr>
              <w:jc w:val="left"/>
            </w:pPr>
          </w:p>
          <w:tbl>
            <w:tblPr>
              <w:tblStyle w:val="TableGrid"/>
              <w:tblW w:w="8824" w:type="dxa"/>
              <w:tblLook w:val="04A0" w:firstRow="1" w:lastRow="0" w:firstColumn="1" w:lastColumn="0" w:noHBand="0" w:noVBand="1"/>
            </w:tblPr>
            <w:tblGrid>
              <w:gridCol w:w="5281"/>
              <w:gridCol w:w="3543"/>
            </w:tblGrid>
            <w:tr w:rsidR="00BA7392" w14:paraId="3CB0CDAD" w14:textId="77777777" w:rsidTr="00A04F55">
              <w:tc>
                <w:tcPr>
                  <w:tcW w:w="5281" w:type="dxa"/>
                </w:tcPr>
                <w:p w14:paraId="53604EB5" w14:textId="77777777" w:rsidR="00BA7392" w:rsidRPr="004C67D8" w:rsidRDefault="00BA7392" w:rsidP="00BA7392">
                  <w:pPr>
                    <w:pStyle w:val="ListParagraph"/>
                    <w:ind w:left="0"/>
                    <w:jc w:val="left"/>
                    <w:rPr>
                      <w:rFonts w:cs="Arial"/>
                    </w:rPr>
                  </w:pPr>
                  <w:r w:rsidRPr="004C67D8">
                    <w:rPr>
                      <w:rFonts w:cs="Arial"/>
                    </w:rPr>
                    <w:t>Within 400m of district shopping centres/major public transport nodes</w:t>
                  </w:r>
                </w:p>
              </w:tc>
              <w:tc>
                <w:tcPr>
                  <w:tcW w:w="3543" w:type="dxa"/>
                </w:tcPr>
                <w:p w14:paraId="30B854C4" w14:textId="0B15419E" w:rsidR="00BA7392" w:rsidRPr="00465D76" w:rsidRDefault="00BA7392" w:rsidP="00BA7392">
                  <w:pPr>
                    <w:jc w:val="left"/>
                    <w:rPr>
                      <w:rFonts w:cs="Arial"/>
                      <w:color w:val="005EAC"/>
                    </w:rPr>
                  </w:pPr>
                  <w:r w:rsidRPr="00D74E6D">
                    <w:rPr>
                      <w:rFonts w:cs="Arial"/>
                    </w:rPr>
                    <w:t>40 dwellings per hectare</w:t>
                  </w:r>
                  <w:r>
                    <w:rPr>
                      <w:rFonts w:cs="Arial"/>
                    </w:rPr>
                    <w:t xml:space="preserve"> </w:t>
                  </w:r>
                  <w:r w:rsidRPr="00465D76">
                    <w:rPr>
                      <w:rFonts w:cs="Arial"/>
                      <w:color w:val="005EAC"/>
                    </w:rPr>
                    <w:t>(Net)</w:t>
                  </w:r>
                </w:p>
                <w:p w14:paraId="2A98A2F8" w14:textId="77777777" w:rsidR="00BA7392" w:rsidRDefault="00BA7392" w:rsidP="00BA7392">
                  <w:pPr>
                    <w:pStyle w:val="ListParagraph"/>
                    <w:ind w:left="0"/>
                    <w:jc w:val="left"/>
                    <w:rPr>
                      <w:rFonts w:cs="Arial"/>
                    </w:rPr>
                  </w:pPr>
                </w:p>
              </w:tc>
            </w:tr>
            <w:tr w:rsidR="00BA7392" w14:paraId="07514D46" w14:textId="77777777" w:rsidTr="00A04F55">
              <w:tc>
                <w:tcPr>
                  <w:tcW w:w="5281" w:type="dxa"/>
                </w:tcPr>
                <w:p w14:paraId="65CF278F" w14:textId="77777777" w:rsidR="00BA7392" w:rsidRPr="004C67D8" w:rsidRDefault="00BA7392" w:rsidP="00BA7392">
                  <w:pPr>
                    <w:pStyle w:val="ListParagraph"/>
                    <w:ind w:left="0"/>
                    <w:jc w:val="left"/>
                    <w:rPr>
                      <w:rFonts w:cs="Arial"/>
                    </w:rPr>
                  </w:pPr>
                  <w:r w:rsidRPr="004C67D8">
                    <w:rPr>
                      <w:rFonts w:cs="Arial"/>
                    </w:rPr>
                    <w:t xml:space="preserve">Within 1Km of district shopping centres/major public transport nodes   </w:t>
                  </w:r>
                </w:p>
              </w:tc>
              <w:tc>
                <w:tcPr>
                  <w:tcW w:w="3543" w:type="dxa"/>
                </w:tcPr>
                <w:p w14:paraId="572D7E40" w14:textId="60CAD0FA" w:rsidR="00BA7392" w:rsidRDefault="00BA7392" w:rsidP="00BA7392">
                  <w:pPr>
                    <w:pStyle w:val="ListParagraph"/>
                    <w:ind w:left="0"/>
                    <w:jc w:val="left"/>
                    <w:rPr>
                      <w:rFonts w:cs="Arial"/>
                    </w:rPr>
                  </w:pPr>
                  <w:r w:rsidRPr="00B958CB">
                    <w:rPr>
                      <w:rFonts w:cs="Arial"/>
                    </w:rPr>
                    <w:t>34 dwellings per hectare</w:t>
                  </w:r>
                  <w:r>
                    <w:rPr>
                      <w:rFonts w:cs="Arial"/>
                    </w:rPr>
                    <w:t xml:space="preserve"> </w:t>
                  </w:r>
                  <w:r w:rsidRPr="00465D76">
                    <w:rPr>
                      <w:rFonts w:cs="Arial"/>
                      <w:color w:val="005EAC"/>
                    </w:rPr>
                    <w:t>(Net)</w:t>
                  </w:r>
                </w:p>
              </w:tc>
            </w:tr>
            <w:tr w:rsidR="00BA7392" w14:paraId="39FF0312" w14:textId="77777777" w:rsidTr="00A04F55">
              <w:tc>
                <w:tcPr>
                  <w:tcW w:w="5281" w:type="dxa"/>
                </w:tcPr>
                <w:p w14:paraId="550E18BF" w14:textId="77777777" w:rsidR="00BA7392" w:rsidRPr="004C67D8" w:rsidRDefault="00BA7392" w:rsidP="00BA7392">
                  <w:pPr>
                    <w:pStyle w:val="ListParagraph"/>
                    <w:ind w:left="0"/>
                    <w:jc w:val="left"/>
                    <w:rPr>
                      <w:rFonts w:cs="Arial"/>
                    </w:rPr>
                  </w:pPr>
                  <w:r w:rsidRPr="004C67D8">
                    <w:rPr>
                      <w:rFonts w:cs="Arial"/>
                    </w:rPr>
                    <w:lastRenderedPageBreak/>
                    <w:t>Over 1km from district shopping centres/major public transport nodes</w:t>
                  </w:r>
                </w:p>
              </w:tc>
              <w:tc>
                <w:tcPr>
                  <w:tcW w:w="3543" w:type="dxa"/>
                </w:tcPr>
                <w:p w14:paraId="18D83892" w14:textId="61CB5DAD" w:rsidR="00BA7392" w:rsidRDefault="00BA7392" w:rsidP="00BA7392">
                  <w:pPr>
                    <w:pStyle w:val="ListParagraph"/>
                    <w:ind w:left="0"/>
                    <w:jc w:val="left"/>
                    <w:rPr>
                      <w:rFonts w:cs="Arial"/>
                    </w:rPr>
                  </w:pPr>
                  <w:r w:rsidRPr="00B958CB">
                    <w:rPr>
                      <w:rFonts w:cs="Arial"/>
                    </w:rPr>
                    <w:t>30 dwellings per hectare</w:t>
                  </w:r>
                  <w:r>
                    <w:rPr>
                      <w:rFonts w:cs="Arial"/>
                    </w:rPr>
                    <w:t xml:space="preserve"> </w:t>
                  </w:r>
                  <w:r w:rsidRPr="00465D76">
                    <w:rPr>
                      <w:rFonts w:cs="Arial"/>
                      <w:color w:val="005EAC"/>
                    </w:rPr>
                    <w:t>(Net)</w:t>
                  </w:r>
                </w:p>
              </w:tc>
            </w:tr>
          </w:tbl>
          <w:p w14:paraId="1AF5AC40" w14:textId="77777777" w:rsidR="00C1328E" w:rsidRDefault="00C1328E" w:rsidP="00397A79">
            <w:pPr>
              <w:jc w:val="left"/>
            </w:pPr>
          </w:p>
        </w:tc>
      </w:tr>
    </w:tbl>
    <w:p w14:paraId="24B86FB0" w14:textId="77777777" w:rsidR="00C1328E" w:rsidRDefault="00C1328E" w:rsidP="00F46F28">
      <w:pPr>
        <w:jc w:val="left"/>
      </w:pPr>
    </w:p>
    <w:p w14:paraId="47FA7DD8" w14:textId="65F6436E" w:rsidR="00C1328E" w:rsidRPr="003D1036" w:rsidRDefault="00C1328E" w:rsidP="005D13C3">
      <w:pPr>
        <w:pStyle w:val="Heading3"/>
        <w:ind w:firstLine="0"/>
      </w:pPr>
      <w:r w:rsidRPr="003D1036">
        <w:t>Is Policy H7 sufficiently flexible to deal with circumstances where the minimum densities set out may not be appropriate for particular site-based reasons?</w:t>
      </w:r>
    </w:p>
    <w:p w14:paraId="2C70AD0F" w14:textId="77777777" w:rsidR="00C1328E" w:rsidRPr="00156B97" w:rsidRDefault="00C1328E" w:rsidP="00C1328E">
      <w:pPr>
        <w:jc w:val="left"/>
        <w:rPr>
          <w:u w:val="single"/>
        </w:rPr>
      </w:pPr>
      <w:r w:rsidRPr="00156B97">
        <w:rPr>
          <w:u w:val="single"/>
        </w:rPr>
        <w:t>Council’s response</w:t>
      </w:r>
    </w:p>
    <w:p w14:paraId="5AA17434" w14:textId="00BF1535" w:rsidR="00FE7DCC" w:rsidRDefault="00A04F55" w:rsidP="00A04F55">
      <w:pPr>
        <w:autoSpaceDE w:val="0"/>
        <w:autoSpaceDN w:val="0"/>
        <w:adjustRightInd w:val="0"/>
        <w:spacing w:after="0" w:line="240" w:lineRule="auto"/>
        <w:ind w:left="720" w:hanging="720"/>
        <w:jc w:val="left"/>
        <w:rPr>
          <w:rFonts w:cs="Arial"/>
          <w:szCs w:val="24"/>
        </w:rPr>
      </w:pPr>
      <w:r>
        <w:rPr>
          <w:rFonts w:eastAsia="Arial" w:cs="Arial"/>
        </w:rPr>
        <w:t>2.18.2</w:t>
      </w:r>
      <w:r>
        <w:rPr>
          <w:rFonts w:eastAsia="Arial" w:cs="Arial"/>
        </w:rPr>
        <w:tab/>
      </w:r>
      <w:r w:rsidR="000721CD">
        <w:rPr>
          <w:rFonts w:eastAsia="Arial" w:cs="Arial"/>
        </w:rPr>
        <w:t>Policy H7 supporting text at paragraph 6.166 states that “</w:t>
      </w:r>
      <w:r w:rsidR="000721CD" w:rsidRPr="000721CD">
        <w:rPr>
          <w:rFonts w:eastAsia="Arial" w:cs="Arial"/>
        </w:rPr>
        <w:t>Development densities in all major housing developments should normally be no lower than an average 30 dwellings per hectare (net). Densities below this will need to be justified, taking into account individual site circumstances.</w:t>
      </w:r>
      <w:r w:rsidR="000721CD">
        <w:rPr>
          <w:rFonts w:eastAsia="Arial" w:cs="Arial"/>
        </w:rPr>
        <w:t>”</w:t>
      </w:r>
    </w:p>
    <w:p w14:paraId="6A2ED6AE" w14:textId="77777777" w:rsidR="00FE7DCC" w:rsidRDefault="00FE7DCC" w:rsidP="00FE7DCC">
      <w:pPr>
        <w:autoSpaceDE w:val="0"/>
        <w:autoSpaceDN w:val="0"/>
        <w:adjustRightInd w:val="0"/>
        <w:spacing w:after="0" w:line="240" w:lineRule="auto"/>
        <w:jc w:val="left"/>
        <w:rPr>
          <w:color w:val="FF0000"/>
        </w:rPr>
      </w:pPr>
    </w:p>
    <w:p w14:paraId="07230BCB" w14:textId="452BB6B6" w:rsidR="000721CD" w:rsidRPr="00E57800" w:rsidRDefault="00E57800" w:rsidP="00E57800">
      <w:pPr>
        <w:autoSpaceDE w:val="0"/>
        <w:autoSpaceDN w:val="0"/>
        <w:adjustRightInd w:val="0"/>
        <w:spacing w:after="0" w:line="240" w:lineRule="auto"/>
        <w:ind w:left="720" w:hanging="720"/>
        <w:jc w:val="left"/>
      </w:pPr>
      <w:r w:rsidRPr="00E57800">
        <w:t>2.18.3</w:t>
      </w:r>
      <w:r w:rsidRPr="00E57800">
        <w:tab/>
      </w:r>
      <w:r w:rsidR="000721CD" w:rsidRPr="00E57800">
        <w:t xml:space="preserve">This aspect is </w:t>
      </w:r>
      <w:r w:rsidR="00FE7DCC" w:rsidRPr="00E57800">
        <w:t xml:space="preserve">currently </w:t>
      </w:r>
      <w:r w:rsidR="000721CD" w:rsidRPr="00E57800">
        <w:t>not referenced in the Policy wording itself</w:t>
      </w:r>
      <w:r w:rsidR="00FE7DCC" w:rsidRPr="00E57800">
        <w:t xml:space="preserve"> and additional text is therefore proposed for clarity.</w:t>
      </w:r>
    </w:p>
    <w:p w14:paraId="5F77BD1D" w14:textId="77777777" w:rsidR="00FE7DCC" w:rsidRPr="00E57800" w:rsidRDefault="00FE7DCC" w:rsidP="00FE7DCC">
      <w:pPr>
        <w:autoSpaceDE w:val="0"/>
        <w:autoSpaceDN w:val="0"/>
        <w:adjustRightInd w:val="0"/>
        <w:spacing w:after="0" w:line="240" w:lineRule="auto"/>
        <w:jc w:val="left"/>
        <w:rPr>
          <w:rFonts w:cs="Arial"/>
          <w:szCs w:val="24"/>
        </w:rPr>
      </w:pPr>
    </w:p>
    <w:tbl>
      <w:tblPr>
        <w:tblStyle w:val="TableGrid"/>
        <w:tblW w:w="9072" w:type="dxa"/>
        <w:tblInd w:w="704" w:type="dxa"/>
        <w:tblLook w:val="04A0" w:firstRow="1" w:lastRow="0" w:firstColumn="1" w:lastColumn="0" w:noHBand="0" w:noVBand="1"/>
      </w:tblPr>
      <w:tblGrid>
        <w:gridCol w:w="9072"/>
      </w:tblGrid>
      <w:tr w:rsidR="00E57800" w:rsidRPr="00E57800" w14:paraId="6272EBFB" w14:textId="77777777" w:rsidTr="00D617D7">
        <w:tc>
          <w:tcPr>
            <w:tcW w:w="9072" w:type="dxa"/>
            <w:shd w:val="clear" w:color="auto" w:fill="D9D9D9" w:themeFill="background1" w:themeFillShade="D9"/>
          </w:tcPr>
          <w:p w14:paraId="19886FCB" w14:textId="6C526605" w:rsidR="00FE7DCC" w:rsidRPr="007404F6" w:rsidRDefault="00FE7DCC" w:rsidP="00F46F28">
            <w:pPr>
              <w:jc w:val="left"/>
              <w:rPr>
                <w:b/>
                <w:bCs/>
              </w:rPr>
            </w:pPr>
            <w:r w:rsidRPr="007404F6">
              <w:rPr>
                <w:b/>
                <w:bCs/>
              </w:rPr>
              <w:t>Proposed Modification</w:t>
            </w:r>
          </w:p>
          <w:p w14:paraId="78FE3445" w14:textId="77777777" w:rsidR="00FE7DCC" w:rsidRPr="00E57800" w:rsidRDefault="00FE7DCC" w:rsidP="00F46F28">
            <w:pPr>
              <w:jc w:val="left"/>
            </w:pPr>
          </w:p>
          <w:p w14:paraId="208BA796" w14:textId="4687559F" w:rsidR="00FE7DCC" w:rsidRPr="00E57800" w:rsidRDefault="00321904" w:rsidP="00F46F28">
            <w:pPr>
              <w:jc w:val="left"/>
            </w:pPr>
            <w:r>
              <w:rPr>
                <w:szCs w:val="24"/>
              </w:rPr>
              <w:t xml:space="preserve">Lower densities may be acceptable where it would otherwise </w:t>
            </w:r>
            <w:r w:rsidR="00FE7DCC" w:rsidRPr="00E57800">
              <w:t>result in significant adverse impacts to the surrounding area’s historic environment, settlement pattern or landscape character</w:t>
            </w:r>
            <w:r w:rsidR="00FC427B" w:rsidRPr="00E57800">
              <w:t>.</w:t>
            </w:r>
          </w:p>
          <w:p w14:paraId="687B6F8A" w14:textId="03D254D8" w:rsidR="00FC427B" w:rsidRPr="00E57800" w:rsidRDefault="00FC427B" w:rsidP="00F46F28">
            <w:pPr>
              <w:jc w:val="left"/>
            </w:pPr>
          </w:p>
        </w:tc>
      </w:tr>
    </w:tbl>
    <w:p w14:paraId="502BEFAF" w14:textId="77777777" w:rsidR="005B2FA0" w:rsidRDefault="005B2FA0" w:rsidP="00F46F28">
      <w:pPr>
        <w:jc w:val="left"/>
      </w:pPr>
    </w:p>
    <w:p w14:paraId="0690E0A0" w14:textId="259CFE48" w:rsidR="005B2FA0" w:rsidRPr="003D1036" w:rsidRDefault="005B2FA0" w:rsidP="005D13C3">
      <w:pPr>
        <w:pStyle w:val="Heading3"/>
      </w:pPr>
      <w:r w:rsidRPr="003D1036">
        <w:t>2.19</w:t>
      </w:r>
      <w:r w:rsidR="005D13C3">
        <w:tab/>
      </w:r>
      <w:r w:rsidRPr="003D1036">
        <w:t>Is Policy H8 sufficiently clear to decision-makers, developers and local communities</w:t>
      </w:r>
      <w:r w:rsidR="003D1036" w:rsidRPr="003D1036">
        <w:t xml:space="preserve"> </w:t>
      </w:r>
      <w:r w:rsidRPr="003D1036">
        <w:t>where Houses in Multiple Occupation (HMOs) will be permitted?</w:t>
      </w:r>
    </w:p>
    <w:p w14:paraId="4ABC7022" w14:textId="77777777" w:rsidR="003D1036" w:rsidRPr="00156B97" w:rsidRDefault="003D1036" w:rsidP="00F46F28">
      <w:pPr>
        <w:jc w:val="left"/>
        <w:rPr>
          <w:u w:val="single"/>
        </w:rPr>
      </w:pPr>
      <w:r w:rsidRPr="00156B97">
        <w:rPr>
          <w:u w:val="single"/>
        </w:rPr>
        <w:t>Council’s response</w:t>
      </w:r>
    </w:p>
    <w:p w14:paraId="595393D1" w14:textId="7E8C0071" w:rsidR="005B2FA0" w:rsidRPr="00E57800" w:rsidRDefault="00A04F55" w:rsidP="00A04F55">
      <w:pPr>
        <w:ind w:left="720" w:hanging="720"/>
        <w:jc w:val="left"/>
      </w:pPr>
      <w:r w:rsidRPr="00E57800">
        <w:t>2.19.1</w:t>
      </w:r>
      <w:r w:rsidRPr="00E57800">
        <w:tab/>
      </w:r>
      <w:r w:rsidR="00721960" w:rsidRPr="00E57800">
        <w:t>Development proposals relating to the multiple residential occupation of buildings, including apartments and/or bedsit accommodation, will be assessed on a site-by-site basis having regard to the criteria listed in Policy H8 (2).</w:t>
      </w:r>
      <w:r w:rsidR="00676E2C" w:rsidRPr="00E57800">
        <w:t xml:space="preserve"> The policy’s key function is essentially that of a more specific amenity policy</w:t>
      </w:r>
      <w:r w:rsidR="00F41F89" w:rsidRPr="00E57800">
        <w:t>, giving a single point of reference for applicants and decision makers</w:t>
      </w:r>
      <w:r w:rsidR="00676E2C" w:rsidRPr="00E57800">
        <w:t xml:space="preserve">. </w:t>
      </w:r>
    </w:p>
    <w:p w14:paraId="4482F417" w14:textId="1FE070FA" w:rsidR="00721960" w:rsidRPr="00E57800" w:rsidRDefault="00A04F55" w:rsidP="00A04F55">
      <w:pPr>
        <w:ind w:left="720" w:hanging="720"/>
        <w:jc w:val="left"/>
      </w:pPr>
      <w:r w:rsidRPr="00E57800">
        <w:t>2.19.2</w:t>
      </w:r>
      <w:r w:rsidRPr="00E57800">
        <w:tab/>
      </w:r>
      <w:r w:rsidR="00721960" w:rsidRPr="00E57800">
        <w:t>The Council have not identified strict parameters</w:t>
      </w:r>
      <w:r w:rsidR="00360C90" w:rsidRPr="00E57800">
        <w:t xml:space="preserve"> at this stage,</w:t>
      </w:r>
      <w:r w:rsidR="00721960" w:rsidRPr="00E57800">
        <w:t xml:space="preserve"> </w:t>
      </w:r>
      <w:r w:rsidR="00360C90" w:rsidRPr="00E57800">
        <w:t>including concentration level and boundaries. Unintended consequences of defined areas could result in an increase in the number of HMOs created in the areas directly adjacent to those not within the restrictive boundaries (bunny</w:t>
      </w:r>
      <w:r w:rsidR="00F41F89" w:rsidRPr="00E57800">
        <w:t>-</w:t>
      </w:r>
      <w:r w:rsidR="00360C90" w:rsidRPr="00E57800">
        <w:t xml:space="preserve">hopping). </w:t>
      </w:r>
    </w:p>
    <w:p w14:paraId="277A6397" w14:textId="77777777" w:rsidR="00360C90" w:rsidRPr="00360C90" w:rsidRDefault="00360C90" w:rsidP="00F46F28">
      <w:pPr>
        <w:jc w:val="left"/>
      </w:pPr>
    </w:p>
    <w:p w14:paraId="7CA8778B" w14:textId="31DE8B1A" w:rsidR="00A2408B" w:rsidRPr="003D1036" w:rsidRDefault="005B2FA0" w:rsidP="005D13C3">
      <w:pPr>
        <w:pStyle w:val="Heading3"/>
      </w:pPr>
      <w:r w:rsidRPr="003D1036">
        <w:t>2.20</w:t>
      </w:r>
      <w:r w:rsidR="005D13C3">
        <w:tab/>
      </w:r>
      <w:r w:rsidRPr="003D1036">
        <w:t>Taking each in turn, are the criteria in Policy H8(2) justified?</w:t>
      </w:r>
    </w:p>
    <w:p w14:paraId="3A269813" w14:textId="77777777" w:rsidR="003D1036" w:rsidRDefault="003D1036" w:rsidP="00F46F28">
      <w:pPr>
        <w:jc w:val="left"/>
        <w:rPr>
          <w:u w:val="single"/>
        </w:rPr>
      </w:pPr>
      <w:r w:rsidRPr="00156B97">
        <w:rPr>
          <w:u w:val="single"/>
        </w:rPr>
        <w:t>Council’s response</w:t>
      </w:r>
    </w:p>
    <w:p w14:paraId="5AB93025" w14:textId="19686A97" w:rsidR="006E49BC" w:rsidRPr="003A37D2" w:rsidRDefault="00F41F89" w:rsidP="00F41F89">
      <w:pPr>
        <w:ind w:left="851" w:hanging="851"/>
        <w:jc w:val="left"/>
      </w:pPr>
      <w:r w:rsidRPr="003A37D2">
        <w:t>2.20.1</w:t>
      </w:r>
      <w:r w:rsidRPr="003A37D2">
        <w:tab/>
      </w:r>
      <w:r w:rsidR="006E49BC" w:rsidRPr="003A37D2">
        <w:t>This policy pulls together elements of other policies which relate specifically to multiple occupancy developments. This is intended to provide a single point of reference for the decision maker and applicant.</w:t>
      </w:r>
      <w:r w:rsidR="00E76374">
        <w:t xml:space="preserve"> The justification for the criteria are as follows:</w:t>
      </w:r>
      <w:r w:rsidR="006E49BC" w:rsidRPr="003A37D2">
        <w:t xml:space="preserve"> </w:t>
      </w:r>
    </w:p>
    <w:p w14:paraId="43118E12" w14:textId="77777777" w:rsidR="00051772" w:rsidRDefault="00051772" w:rsidP="00E76374">
      <w:pPr>
        <w:pStyle w:val="ListParagraph"/>
        <w:numPr>
          <w:ilvl w:val="0"/>
          <w:numId w:val="5"/>
        </w:numPr>
        <w:spacing w:after="0" w:line="240" w:lineRule="auto"/>
        <w:ind w:left="709" w:hanging="283"/>
        <w:jc w:val="left"/>
        <w:rPr>
          <w:rFonts w:cs="Arial"/>
          <w:i/>
          <w:iCs/>
          <w:szCs w:val="24"/>
        </w:rPr>
      </w:pPr>
      <w:r w:rsidRPr="003A37D2">
        <w:rPr>
          <w:rFonts w:cs="Arial"/>
          <w:i/>
          <w:iCs/>
          <w:szCs w:val="24"/>
        </w:rPr>
        <w:t>The extent to which it would contribute to the achievement of mixed and balanced communities;</w:t>
      </w:r>
    </w:p>
    <w:p w14:paraId="25B8923F" w14:textId="77777777" w:rsidR="003A37D2" w:rsidRPr="003A37D2" w:rsidRDefault="003A37D2" w:rsidP="003A37D2">
      <w:pPr>
        <w:pStyle w:val="ListParagraph"/>
        <w:spacing w:after="0" w:line="240" w:lineRule="auto"/>
        <w:ind w:left="709"/>
        <w:jc w:val="left"/>
        <w:rPr>
          <w:rFonts w:cs="Arial"/>
          <w:i/>
          <w:iCs/>
          <w:szCs w:val="24"/>
        </w:rPr>
      </w:pPr>
    </w:p>
    <w:p w14:paraId="29AC249B" w14:textId="77777777" w:rsidR="003A37D2" w:rsidRPr="003A37D2" w:rsidRDefault="00F41F89" w:rsidP="003A37D2">
      <w:pPr>
        <w:tabs>
          <w:tab w:val="left" w:pos="709"/>
        </w:tabs>
        <w:ind w:left="709" w:hanging="709"/>
        <w:jc w:val="left"/>
      </w:pPr>
      <w:r w:rsidRPr="003A37D2">
        <w:t>2.20.2</w:t>
      </w:r>
      <w:r w:rsidRPr="003A37D2">
        <w:tab/>
      </w:r>
      <w:r w:rsidRPr="003A37D2">
        <w:tab/>
      </w:r>
      <w:r w:rsidR="009A54BB" w:rsidRPr="003A37D2">
        <w:t xml:space="preserve"> </w:t>
      </w:r>
      <w:r w:rsidR="001501EA" w:rsidRPr="003A37D2">
        <w:t>HMOs are an important part of the housing market which bring benefits to the community by providing affordable, flexible accommodation for those groups who otherwise may struggle to access housing and those that require short term housing options.</w:t>
      </w:r>
      <w:r w:rsidR="003A37D2" w:rsidRPr="003A37D2">
        <w:t xml:space="preserve"> This could include a range of social groups including </w:t>
      </w:r>
      <w:proofErr w:type="gramStart"/>
      <w:r w:rsidR="003A37D2" w:rsidRPr="003A37D2">
        <w:t>low income</w:t>
      </w:r>
      <w:proofErr w:type="gramEnd"/>
      <w:r w:rsidR="003A37D2" w:rsidRPr="003A37D2">
        <w:t xml:space="preserve"> households, young professionals, migrant workers, those going through a change in family circumstances.</w:t>
      </w:r>
    </w:p>
    <w:p w14:paraId="62A8FE2A" w14:textId="77777777" w:rsidR="003A37D2" w:rsidRPr="003A37D2" w:rsidRDefault="003A37D2" w:rsidP="003A37D2">
      <w:pPr>
        <w:tabs>
          <w:tab w:val="left" w:pos="709"/>
        </w:tabs>
        <w:ind w:left="709" w:hanging="709"/>
        <w:jc w:val="left"/>
      </w:pPr>
      <w:r w:rsidRPr="003A37D2">
        <w:t>2.20.3</w:t>
      </w:r>
      <w:r w:rsidRPr="003A37D2">
        <w:tab/>
      </w:r>
      <w:r w:rsidRPr="003A37D2">
        <w:tab/>
      </w:r>
      <w:r w:rsidR="001501EA" w:rsidRPr="003A37D2">
        <w:rPr>
          <w:rFonts w:eastAsia="Arial" w:cs="Arial"/>
          <w:szCs w:val="24"/>
        </w:rPr>
        <w:t xml:space="preserve">However, </w:t>
      </w:r>
      <w:r w:rsidRPr="003A37D2">
        <w:t>the number of properties used this way has grown in recent years. W</w:t>
      </w:r>
      <w:r w:rsidR="001501EA" w:rsidRPr="003A37D2">
        <w:rPr>
          <w:rFonts w:eastAsia="Arial" w:cs="Arial"/>
          <w:szCs w:val="24"/>
        </w:rPr>
        <w:t>here concentrations of such uses develop, this can have a distorting effect on neighbourhoods with many residents not having a long-term stake in the community and some service needs of longer-term residents, becoming unsustainable.</w:t>
      </w:r>
    </w:p>
    <w:p w14:paraId="250710D6" w14:textId="77777777" w:rsidR="008130E4" w:rsidRDefault="003A37D2" w:rsidP="008130E4">
      <w:pPr>
        <w:tabs>
          <w:tab w:val="left" w:pos="709"/>
        </w:tabs>
        <w:ind w:left="709" w:hanging="709"/>
        <w:jc w:val="left"/>
      </w:pPr>
      <w:r w:rsidRPr="003A37D2">
        <w:t>2.20.4</w:t>
      </w:r>
      <w:r w:rsidRPr="003A37D2">
        <w:tab/>
      </w:r>
      <w:r w:rsidR="006B77F7" w:rsidRPr="003A37D2">
        <w:t>NPPF para 16a) sets out that Plans should be prepared with the objective of contributing to the achievement of sustainable development. This policy is considered to be consistent with the NPPF social objective – to support strong, vibrant and healthy communities, by ensuring that a sufficient number and range of homes can be provided to meet the needs of present and future generations; and by fostering well-designed, beautiful and safe places, with accessible services and open spaces that reflect current and future needs and support communities’ health, social and cultural well-being</w:t>
      </w:r>
      <w:r w:rsidR="008130E4">
        <w:t>.</w:t>
      </w:r>
    </w:p>
    <w:p w14:paraId="0BBA19F7" w14:textId="77777777" w:rsidR="008130E4" w:rsidRDefault="008130E4" w:rsidP="008130E4">
      <w:pPr>
        <w:tabs>
          <w:tab w:val="left" w:pos="709"/>
        </w:tabs>
        <w:ind w:left="709" w:hanging="425"/>
        <w:jc w:val="left"/>
      </w:pPr>
    </w:p>
    <w:p w14:paraId="19031C88" w14:textId="00051A8A" w:rsidR="00051772" w:rsidRDefault="00051772" w:rsidP="005D13C3">
      <w:pPr>
        <w:pStyle w:val="ListParagraph"/>
        <w:numPr>
          <w:ilvl w:val="0"/>
          <w:numId w:val="5"/>
        </w:numPr>
        <w:spacing w:after="0" w:line="240" w:lineRule="auto"/>
        <w:ind w:left="709" w:firstLine="0"/>
        <w:jc w:val="left"/>
        <w:rPr>
          <w:rFonts w:cs="Arial"/>
          <w:i/>
          <w:iCs/>
          <w:szCs w:val="24"/>
        </w:rPr>
      </w:pPr>
      <w:r w:rsidRPr="00E76374">
        <w:rPr>
          <w:rFonts w:cs="Arial"/>
          <w:i/>
          <w:iCs/>
          <w:szCs w:val="24"/>
        </w:rPr>
        <w:t>The</w:t>
      </w:r>
      <w:r w:rsidRPr="00051772">
        <w:rPr>
          <w:rFonts w:cs="Arial"/>
          <w:i/>
          <w:iCs/>
          <w:szCs w:val="24"/>
        </w:rPr>
        <w:t xml:space="preserve"> individual characteristics of the building or site and immediate locality; </w:t>
      </w:r>
    </w:p>
    <w:p w14:paraId="57E35084" w14:textId="77777777" w:rsidR="00E76374" w:rsidRPr="00051772" w:rsidRDefault="00E76374" w:rsidP="00E76374">
      <w:pPr>
        <w:pStyle w:val="ListParagraph"/>
        <w:spacing w:after="0" w:line="240" w:lineRule="auto"/>
        <w:ind w:left="709"/>
        <w:jc w:val="left"/>
        <w:rPr>
          <w:rFonts w:cs="Arial"/>
          <w:i/>
          <w:iCs/>
          <w:szCs w:val="24"/>
        </w:rPr>
      </w:pPr>
    </w:p>
    <w:p w14:paraId="43DE1D87" w14:textId="543F6BF0" w:rsidR="006E49BC" w:rsidRPr="006E49BC" w:rsidRDefault="003A37D2" w:rsidP="003A37D2">
      <w:pPr>
        <w:autoSpaceDE w:val="0"/>
        <w:autoSpaceDN w:val="0"/>
        <w:adjustRightInd w:val="0"/>
        <w:spacing w:after="0" w:line="240" w:lineRule="auto"/>
        <w:ind w:left="720" w:hanging="720"/>
        <w:jc w:val="left"/>
        <w:rPr>
          <w:rFonts w:eastAsia="Arial" w:cs="Arial"/>
        </w:rPr>
      </w:pPr>
      <w:r>
        <w:rPr>
          <w:rFonts w:eastAsia="Arial" w:cs="Arial"/>
        </w:rPr>
        <w:t>2.20.5</w:t>
      </w:r>
      <w:r>
        <w:rPr>
          <w:rFonts w:eastAsia="Arial" w:cs="Arial"/>
        </w:rPr>
        <w:tab/>
      </w:r>
      <w:r w:rsidR="006E49BC" w:rsidRPr="006E49BC">
        <w:rPr>
          <w:rFonts w:eastAsia="Arial" w:cs="Arial"/>
        </w:rPr>
        <w:t>HMO developments can raise issues relating to residential amenity and visual character, for example, as a result of additional windows, external staircases, parking on and off-site, cycle storage, bin storage and access for rubbish collection etc.</w:t>
      </w:r>
    </w:p>
    <w:p w14:paraId="01AF79BE" w14:textId="77777777" w:rsidR="006E49BC" w:rsidRPr="00051772" w:rsidRDefault="006E49BC" w:rsidP="00F46F28">
      <w:pPr>
        <w:jc w:val="left"/>
        <w:rPr>
          <w:i/>
          <w:iCs/>
        </w:rPr>
      </w:pPr>
    </w:p>
    <w:p w14:paraId="529A0311" w14:textId="19E1143D" w:rsidR="00051772" w:rsidRDefault="00051772" w:rsidP="005D13C3">
      <w:pPr>
        <w:pStyle w:val="ListParagraph"/>
        <w:numPr>
          <w:ilvl w:val="0"/>
          <w:numId w:val="5"/>
        </w:numPr>
        <w:spacing w:after="0" w:line="240" w:lineRule="auto"/>
        <w:ind w:left="709" w:firstLine="0"/>
        <w:jc w:val="left"/>
        <w:rPr>
          <w:rFonts w:cs="Arial"/>
          <w:i/>
          <w:iCs/>
          <w:szCs w:val="24"/>
        </w:rPr>
      </w:pPr>
      <w:r w:rsidRPr="00051772">
        <w:rPr>
          <w:rFonts w:cs="Arial"/>
          <w:i/>
          <w:iCs/>
          <w:szCs w:val="24"/>
        </w:rPr>
        <w:t xml:space="preserve">Any evidence of existing HMO and purpose-built accommodation provision within the immediate vicinity of the site that already impacts on local character and amenity; </w:t>
      </w:r>
    </w:p>
    <w:p w14:paraId="1BF37170" w14:textId="77777777" w:rsidR="00FF6AD5" w:rsidRPr="00FF6AD5" w:rsidRDefault="00FF6AD5" w:rsidP="00FF6AD5">
      <w:pPr>
        <w:pStyle w:val="ListParagraph"/>
        <w:spacing w:after="0" w:line="240" w:lineRule="auto"/>
        <w:ind w:left="709"/>
        <w:jc w:val="left"/>
        <w:rPr>
          <w:rFonts w:cs="Arial"/>
          <w:i/>
          <w:iCs/>
          <w:szCs w:val="24"/>
        </w:rPr>
      </w:pPr>
    </w:p>
    <w:p w14:paraId="5D1E857E" w14:textId="0725D3B4" w:rsidR="00051772" w:rsidRPr="00B73912" w:rsidRDefault="003A37D2" w:rsidP="00D10C3A">
      <w:pPr>
        <w:ind w:left="720" w:hanging="720"/>
        <w:jc w:val="left"/>
        <w:rPr>
          <w:i/>
          <w:iCs/>
        </w:rPr>
      </w:pPr>
      <w:r>
        <w:t>2.20.6</w:t>
      </w:r>
      <w:r>
        <w:tab/>
      </w:r>
      <w:r w:rsidR="00F549D3">
        <w:t>It is considered that this criterion can be effectively addressed under criterion (a) regarding mixed and balanced communities. A modification is therefore proposed to delete criterion (c).</w:t>
      </w:r>
    </w:p>
    <w:p w14:paraId="0BC59283" w14:textId="77777777" w:rsidR="00051772" w:rsidRPr="00051772" w:rsidRDefault="00051772" w:rsidP="00F46F28">
      <w:pPr>
        <w:jc w:val="left"/>
        <w:rPr>
          <w:i/>
          <w:iCs/>
        </w:rPr>
      </w:pPr>
    </w:p>
    <w:p w14:paraId="3592655C" w14:textId="77777777" w:rsidR="00051772" w:rsidRPr="00051772" w:rsidRDefault="00051772" w:rsidP="005D13C3">
      <w:pPr>
        <w:pStyle w:val="ListParagraph"/>
        <w:numPr>
          <w:ilvl w:val="0"/>
          <w:numId w:val="5"/>
        </w:numPr>
        <w:spacing w:after="0" w:line="240" w:lineRule="auto"/>
        <w:ind w:left="709" w:firstLine="0"/>
        <w:jc w:val="left"/>
        <w:rPr>
          <w:rFonts w:cs="Arial"/>
          <w:i/>
          <w:iCs/>
          <w:szCs w:val="24"/>
        </w:rPr>
      </w:pPr>
      <w:r w:rsidRPr="00051772">
        <w:rPr>
          <w:rFonts w:cs="Arial"/>
          <w:i/>
          <w:iCs/>
          <w:szCs w:val="24"/>
        </w:rPr>
        <w:t>The impact the proposed development would have on the character and amenity of the area or site, having particular regard to the criteria set out in Policies SD2 and SD3. External staircases and large extensions which reduce the amenities of adjoining occupiers and/or the private amenity space available to future residents to an unacceptable degree will not be supported;</w:t>
      </w:r>
    </w:p>
    <w:p w14:paraId="710B3837" w14:textId="77777777" w:rsidR="00B73912" w:rsidRDefault="00B73912" w:rsidP="00B73912">
      <w:pPr>
        <w:autoSpaceDE w:val="0"/>
        <w:autoSpaceDN w:val="0"/>
        <w:adjustRightInd w:val="0"/>
        <w:spacing w:after="0" w:line="240" w:lineRule="auto"/>
        <w:jc w:val="left"/>
        <w:rPr>
          <w:rFonts w:eastAsia="Arial" w:cs="Arial"/>
        </w:rPr>
      </w:pPr>
    </w:p>
    <w:p w14:paraId="5FB1B1C7" w14:textId="529EFD10" w:rsidR="003E158C" w:rsidRDefault="003E158C" w:rsidP="00B73912">
      <w:pPr>
        <w:autoSpaceDE w:val="0"/>
        <w:autoSpaceDN w:val="0"/>
        <w:adjustRightInd w:val="0"/>
        <w:spacing w:after="0" w:line="240" w:lineRule="auto"/>
        <w:jc w:val="left"/>
        <w:rPr>
          <w:rFonts w:eastAsia="Arial" w:cs="Arial"/>
          <w:color w:val="00B050"/>
        </w:rPr>
      </w:pPr>
      <w:r>
        <w:rPr>
          <w:rFonts w:eastAsia="Arial" w:cs="Arial"/>
          <w:color w:val="00B050"/>
        </w:rPr>
        <w:t xml:space="preserve"> </w:t>
      </w:r>
    </w:p>
    <w:p w14:paraId="4C1A6659" w14:textId="342B7382" w:rsidR="00B73912" w:rsidRPr="00F549D3" w:rsidRDefault="008130E4" w:rsidP="008130E4">
      <w:pPr>
        <w:autoSpaceDE w:val="0"/>
        <w:autoSpaceDN w:val="0"/>
        <w:adjustRightInd w:val="0"/>
        <w:spacing w:after="0" w:line="240" w:lineRule="auto"/>
        <w:ind w:left="709" w:hanging="709"/>
        <w:jc w:val="left"/>
        <w:rPr>
          <w:rFonts w:eastAsia="Arial" w:cs="Arial"/>
        </w:rPr>
      </w:pPr>
      <w:r w:rsidRPr="00F549D3">
        <w:rPr>
          <w:rFonts w:eastAsia="Arial" w:cs="Arial"/>
        </w:rPr>
        <w:t>2.20.</w:t>
      </w:r>
      <w:r w:rsidR="00FC2B40">
        <w:rPr>
          <w:rFonts w:eastAsia="Arial" w:cs="Arial"/>
        </w:rPr>
        <w:t>7</w:t>
      </w:r>
      <w:r w:rsidRPr="00F549D3">
        <w:rPr>
          <w:rFonts w:eastAsia="Arial" w:cs="Arial"/>
        </w:rPr>
        <w:tab/>
      </w:r>
      <w:r w:rsidR="003E158C" w:rsidRPr="00F549D3">
        <w:rPr>
          <w:rFonts w:eastAsia="Arial" w:cs="Arial"/>
        </w:rPr>
        <w:t>C</w:t>
      </w:r>
      <w:r w:rsidR="00B73912" w:rsidRPr="00F549D3">
        <w:rPr>
          <w:rFonts w:eastAsia="Arial" w:cs="Arial"/>
        </w:rPr>
        <w:t xml:space="preserve">areful design which reflects the character of the </w:t>
      </w:r>
      <w:r w:rsidR="00E76374" w:rsidRPr="00F549D3">
        <w:rPr>
          <w:rFonts w:eastAsia="Arial" w:cs="Arial"/>
        </w:rPr>
        <w:t>property,</w:t>
      </w:r>
      <w:r w:rsidR="00B73912" w:rsidRPr="00F549D3">
        <w:rPr>
          <w:rFonts w:eastAsia="Arial" w:cs="Arial"/>
        </w:rPr>
        <w:t xml:space="preserve"> and the locality must be achieved. Proposals will only be supported in particular where they conform with Policy SD2 Design Considerations for Development, Policy SD3 Amenity and Policy SD11 Parking Standards.</w:t>
      </w:r>
      <w:r w:rsidR="00F549D3" w:rsidRPr="00F549D3">
        <w:rPr>
          <w:rFonts w:eastAsia="Arial" w:cs="Arial"/>
        </w:rPr>
        <w:t xml:space="preserve"> However, it is considered that this criterion can be </w:t>
      </w:r>
      <w:r w:rsidR="00F549D3" w:rsidRPr="00F549D3">
        <w:rPr>
          <w:rFonts w:eastAsia="Arial" w:cs="Arial"/>
        </w:rPr>
        <w:lastRenderedPageBreak/>
        <w:t xml:space="preserve">combined with criterion (b) to avoid any overlap. A modification is proposed to this effect. </w:t>
      </w:r>
      <w:r w:rsidR="00B73912" w:rsidRPr="00F549D3">
        <w:rPr>
          <w:rFonts w:eastAsia="Arial" w:cs="Arial"/>
        </w:rPr>
        <w:t xml:space="preserve"> </w:t>
      </w:r>
    </w:p>
    <w:p w14:paraId="062C50EE" w14:textId="77777777" w:rsidR="00D54C0F" w:rsidRPr="002F6B35" w:rsidRDefault="00D54C0F" w:rsidP="00F46F28">
      <w:pPr>
        <w:jc w:val="left"/>
      </w:pPr>
    </w:p>
    <w:p w14:paraId="0DE3D567" w14:textId="34C0AB43" w:rsidR="00051772" w:rsidRPr="00051772" w:rsidRDefault="00051772" w:rsidP="005D13C3">
      <w:pPr>
        <w:pStyle w:val="ListParagraph"/>
        <w:numPr>
          <w:ilvl w:val="0"/>
          <w:numId w:val="5"/>
        </w:numPr>
        <w:spacing w:after="0" w:line="240" w:lineRule="auto"/>
        <w:ind w:left="709" w:firstLine="0"/>
        <w:jc w:val="left"/>
        <w:rPr>
          <w:rFonts w:cs="Arial"/>
          <w:i/>
          <w:iCs/>
          <w:szCs w:val="24"/>
        </w:rPr>
      </w:pPr>
      <w:r w:rsidRPr="00051772">
        <w:rPr>
          <w:rFonts w:cs="Arial"/>
          <w:i/>
          <w:iCs/>
          <w:szCs w:val="24"/>
        </w:rPr>
        <w:t>Whether the proposal would incorporate an appropriate level of car and cycle parking having regard to the location, scale and nature of the development in line with Policy SD11; and</w:t>
      </w:r>
    </w:p>
    <w:p w14:paraId="1BEA7DAB" w14:textId="77777777" w:rsidR="00051772" w:rsidRDefault="00051772" w:rsidP="00F46F28">
      <w:pPr>
        <w:jc w:val="left"/>
      </w:pPr>
    </w:p>
    <w:p w14:paraId="14C83CCF" w14:textId="15C49424" w:rsidR="00B73912" w:rsidRPr="00B73912" w:rsidRDefault="008130E4" w:rsidP="00C73EAD">
      <w:pPr>
        <w:ind w:left="851" w:hanging="851"/>
        <w:jc w:val="left"/>
      </w:pPr>
      <w:r>
        <w:t>2.20.</w:t>
      </w:r>
      <w:r w:rsidR="00FC2B40">
        <w:t>8</w:t>
      </w:r>
      <w:r>
        <w:tab/>
      </w:r>
      <w:r w:rsidR="00B73912">
        <w:t>HMOs by their nature have the potential to increase the number of cars associated with a single property and therefore to increase the pressure on the on-street parking provision. This can lead to problems such as traffic obstructions (to pedestrians, emergency vehicles and refuse vehicles) and congestion. While highway safety will be an issue to consider for all applications, the harm to the residential amenity of the local area caused by the number of cars associated with new HMO developments will also be an important consideration in determining applications.</w:t>
      </w:r>
    </w:p>
    <w:p w14:paraId="11CB7B6B" w14:textId="77777777" w:rsidR="00051772" w:rsidRPr="00051772" w:rsidRDefault="00051772" w:rsidP="00F46F28">
      <w:pPr>
        <w:jc w:val="left"/>
        <w:rPr>
          <w:i/>
          <w:iCs/>
        </w:rPr>
      </w:pPr>
    </w:p>
    <w:p w14:paraId="2D5779C6" w14:textId="77777777" w:rsidR="00051772" w:rsidRPr="00051772" w:rsidRDefault="00051772" w:rsidP="005D13C3">
      <w:pPr>
        <w:pStyle w:val="ListParagraph"/>
        <w:numPr>
          <w:ilvl w:val="0"/>
          <w:numId w:val="5"/>
        </w:numPr>
        <w:spacing w:after="0" w:line="240" w:lineRule="auto"/>
        <w:ind w:left="709" w:firstLine="0"/>
        <w:jc w:val="left"/>
        <w:rPr>
          <w:rFonts w:cs="Arial"/>
          <w:i/>
          <w:iCs/>
          <w:szCs w:val="24"/>
        </w:rPr>
      </w:pPr>
      <w:r w:rsidRPr="00051772">
        <w:rPr>
          <w:rFonts w:cs="Arial"/>
          <w:i/>
          <w:iCs/>
          <w:szCs w:val="24"/>
        </w:rPr>
        <w:t>Whether the proposal would result in the positive re-use of an existing vacant building or disused land in accordance with wider regeneration benefits.</w:t>
      </w:r>
    </w:p>
    <w:p w14:paraId="3010867D" w14:textId="77777777" w:rsidR="00051772" w:rsidRDefault="00051772" w:rsidP="00F46F28">
      <w:pPr>
        <w:jc w:val="left"/>
      </w:pPr>
    </w:p>
    <w:p w14:paraId="0DA62E25" w14:textId="75406E36" w:rsidR="002F6B35" w:rsidRPr="00C73EAD" w:rsidRDefault="00C73EAD" w:rsidP="00C73EAD">
      <w:pPr>
        <w:ind w:left="851" w:hanging="851"/>
        <w:jc w:val="left"/>
      </w:pPr>
      <w:r w:rsidRPr="00C73EAD">
        <w:t>2.20.</w:t>
      </w:r>
      <w:r w:rsidR="00FC2B40">
        <w:t>9</w:t>
      </w:r>
      <w:r w:rsidRPr="00C73EAD">
        <w:tab/>
      </w:r>
      <w:r w:rsidR="002F6B35" w:rsidRPr="00C73EAD">
        <w:t>This criterion forms an important part of the planning balance when considering wider benefits to the surrounding area and community</w:t>
      </w:r>
      <w:r w:rsidRPr="00C73EAD">
        <w:t>.</w:t>
      </w:r>
    </w:p>
    <w:p w14:paraId="4AA5317C" w14:textId="77777777" w:rsidR="003A4A94" w:rsidRDefault="003A4A94" w:rsidP="00F46F28">
      <w:pPr>
        <w:jc w:val="left"/>
      </w:pPr>
    </w:p>
    <w:tbl>
      <w:tblPr>
        <w:tblStyle w:val="TableGrid"/>
        <w:tblW w:w="8930" w:type="dxa"/>
        <w:tblInd w:w="704" w:type="dxa"/>
        <w:tblLook w:val="04A0" w:firstRow="1" w:lastRow="0" w:firstColumn="1" w:lastColumn="0" w:noHBand="0" w:noVBand="1"/>
      </w:tblPr>
      <w:tblGrid>
        <w:gridCol w:w="8930"/>
      </w:tblGrid>
      <w:tr w:rsidR="003A4A94" w14:paraId="6360FF76" w14:textId="77777777" w:rsidTr="007A66E4">
        <w:tc>
          <w:tcPr>
            <w:tcW w:w="8930" w:type="dxa"/>
            <w:shd w:val="clear" w:color="auto" w:fill="D9D9D9" w:themeFill="background1" w:themeFillShade="D9"/>
          </w:tcPr>
          <w:p w14:paraId="6589CA28" w14:textId="77777777" w:rsidR="003A4A94" w:rsidRPr="003A4A94" w:rsidRDefault="003A4A94" w:rsidP="00F46F28">
            <w:pPr>
              <w:jc w:val="left"/>
              <w:rPr>
                <w:b/>
                <w:bCs/>
              </w:rPr>
            </w:pPr>
            <w:r w:rsidRPr="003A4A94">
              <w:rPr>
                <w:b/>
                <w:bCs/>
              </w:rPr>
              <w:t>Proposed Modifications</w:t>
            </w:r>
          </w:p>
          <w:p w14:paraId="6BAD629F" w14:textId="77777777" w:rsidR="003A4A94" w:rsidRDefault="003A4A94" w:rsidP="00F46F28">
            <w:pPr>
              <w:jc w:val="left"/>
            </w:pPr>
          </w:p>
          <w:p w14:paraId="189177CB" w14:textId="083B12E5" w:rsidR="003A4A94" w:rsidRDefault="003A4A94" w:rsidP="00F46F28">
            <w:pPr>
              <w:jc w:val="left"/>
            </w:pPr>
            <w:r>
              <w:t>Delete Policy H8 (c) as follows:</w:t>
            </w:r>
          </w:p>
          <w:p w14:paraId="7489DE4B" w14:textId="77777777" w:rsidR="003A4A94" w:rsidRDefault="003A4A94" w:rsidP="00F46F28">
            <w:pPr>
              <w:jc w:val="left"/>
            </w:pPr>
          </w:p>
          <w:p w14:paraId="754819BB" w14:textId="41261BD2" w:rsidR="003A4A94" w:rsidRDefault="003A4A94" w:rsidP="00F46F28">
            <w:pPr>
              <w:jc w:val="left"/>
              <w:rPr>
                <w:strike/>
              </w:rPr>
            </w:pPr>
            <w:r w:rsidRPr="003A4A94">
              <w:rPr>
                <w:strike/>
              </w:rPr>
              <w:t xml:space="preserve">c.  </w:t>
            </w:r>
            <w:r>
              <w:rPr>
                <w:strike/>
              </w:rPr>
              <w:t xml:space="preserve"> </w:t>
            </w:r>
            <w:r w:rsidRPr="003A4A94">
              <w:rPr>
                <w:strike/>
              </w:rPr>
              <w:t>Any evidence of existing HMO and purpose-built accommodation provision within the immediate vicinity of the site that already impacts on local character and amenity;</w:t>
            </w:r>
          </w:p>
          <w:p w14:paraId="59087A51" w14:textId="77777777" w:rsidR="003A4A94" w:rsidRDefault="003A4A94" w:rsidP="00F46F28">
            <w:pPr>
              <w:jc w:val="left"/>
              <w:rPr>
                <w:strike/>
              </w:rPr>
            </w:pPr>
          </w:p>
          <w:p w14:paraId="57648188" w14:textId="6AB850F2" w:rsidR="003A4A94" w:rsidRPr="003A4A94" w:rsidRDefault="003A4A94" w:rsidP="00F46F28">
            <w:pPr>
              <w:jc w:val="left"/>
            </w:pPr>
            <w:r w:rsidRPr="003A4A94">
              <w:t>Delete Policy H8 (d) as follows:</w:t>
            </w:r>
          </w:p>
          <w:p w14:paraId="57774FDB" w14:textId="77777777" w:rsidR="003A4A94" w:rsidRDefault="003A4A94" w:rsidP="00F46F28">
            <w:pPr>
              <w:jc w:val="left"/>
              <w:rPr>
                <w:strike/>
              </w:rPr>
            </w:pPr>
          </w:p>
          <w:p w14:paraId="78D83566" w14:textId="6E06100B" w:rsidR="003A4A94" w:rsidRPr="003A4A94" w:rsidRDefault="003A4A94" w:rsidP="00F46F28">
            <w:pPr>
              <w:jc w:val="left"/>
              <w:rPr>
                <w:strike/>
              </w:rPr>
            </w:pPr>
            <w:r w:rsidRPr="003A4A94">
              <w:rPr>
                <w:strike/>
              </w:rPr>
              <w:t>d.</w:t>
            </w:r>
            <w:r>
              <w:rPr>
                <w:strike/>
              </w:rPr>
              <w:t xml:space="preserve">   </w:t>
            </w:r>
            <w:r w:rsidRPr="003A4A94">
              <w:rPr>
                <w:strike/>
              </w:rPr>
              <w:t>The impact the proposed development would have on the character and amenity of the area or site, having particular regard to the criteria set out in Policies SD2 and SD3. External staircases and large extensions which reduce the amenities of adjoining occupiers and/or the private amenity space available to future residents to an unacceptable degree will not be supported;</w:t>
            </w:r>
          </w:p>
          <w:p w14:paraId="57E11496" w14:textId="77777777" w:rsidR="003A4A94" w:rsidRDefault="003A4A94" w:rsidP="00F46F28">
            <w:pPr>
              <w:jc w:val="left"/>
            </w:pPr>
          </w:p>
          <w:p w14:paraId="65029DDC" w14:textId="489580C0" w:rsidR="003A4A94" w:rsidRDefault="003A4A94" w:rsidP="00F46F28">
            <w:pPr>
              <w:jc w:val="left"/>
            </w:pPr>
            <w:r>
              <w:t>Add new text to Policy H8 (b) as follows:</w:t>
            </w:r>
          </w:p>
          <w:p w14:paraId="05952052" w14:textId="77777777" w:rsidR="003A4A94" w:rsidRDefault="003A4A94" w:rsidP="00F46F28">
            <w:pPr>
              <w:jc w:val="left"/>
            </w:pPr>
          </w:p>
          <w:p w14:paraId="059132CF" w14:textId="365162CA" w:rsidR="003A4A94" w:rsidRPr="00465D76" w:rsidRDefault="003A4A94" w:rsidP="00F46F28">
            <w:pPr>
              <w:jc w:val="left"/>
              <w:rPr>
                <w:color w:val="005EAC"/>
              </w:rPr>
            </w:pPr>
            <w:r w:rsidRPr="003A4A94">
              <w:t>b.</w:t>
            </w:r>
            <w:r>
              <w:t xml:space="preserve">   </w:t>
            </w:r>
            <w:r w:rsidRPr="003A4A94">
              <w:t>The individual characteristics of the building or site and immediate locality</w:t>
            </w:r>
            <w:r>
              <w:t xml:space="preserve">, </w:t>
            </w:r>
            <w:r w:rsidRPr="00465D76">
              <w:rPr>
                <w:color w:val="005EAC"/>
              </w:rPr>
              <w:t xml:space="preserve">having </w:t>
            </w:r>
            <w:proofErr w:type="gramStart"/>
            <w:r w:rsidRPr="00465D76">
              <w:rPr>
                <w:color w:val="005EAC"/>
              </w:rPr>
              <w:t>particular regard</w:t>
            </w:r>
            <w:proofErr w:type="gramEnd"/>
            <w:r w:rsidRPr="00465D76">
              <w:rPr>
                <w:color w:val="005EAC"/>
              </w:rPr>
              <w:t xml:space="preserve"> to the criteria set out in Policies SD2 and </w:t>
            </w:r>
            <w:proofErr w:type="gramStart"/>
            <w:r w:rsidRPr="00465D76">
              <w:rPr>
                <w:color w:val="005EAC"/>
              </w:rPr>
              <w:t>SD3;</w:t>
            </w:r>
            <w:proofErr w:type="gramEnd"/>
          </w:p>
          <w:p w14:paraId="205B232C" w14:textId="4FDA0577" w:rsidR="003A4A94" w:rsidRDefault="003A4A94" w:rsidP="00F46F28">
            <w:pPr>
              <w:jc w:val="left"/>
            </w:pPr>
          </w:p>
        </w:tc>
      </w:tr>
    </w:tbl>
    <w:p w14:paraId="7AA16DB5" w14:textId="3E684088" w:rsidR="00D54C0F" w:rsidRPr="00C73EAD" w:rsidRDefault="00D54C0F" w:rsidP="00F46F28">
      <w:pPr>
        <w:jc w:val="left"/>
        <w:rPr>
          <w:rFonts w:eastAsiaTheme="majorEastAsia" w:cstheme="majorBidi"/>
          <w:b/>
          <w:bCs/>
          <w:sz w:val="28"/>
          <w:szCs w:val="28"/>
        </w:rPr>
      </w:pPr>
      <w:r w:rsidRPr="00C73EAD">
        <w:br w:type="page"/>
      </w:r>
    </w:p>
    <w:p w14:paraId="38705035" w14:textId="3624B94C" w:rsidR="005B2FA0" w:rsidRDefault="005B2FA0" w:rsidP="00F46F28">
      <w:pPr>
        <w:pStyle w:val="Heading2"/>
        <w:jc w:val="left"/>
      </w:pPr>
      <w:r>
        <w:lastRenderedPageBreak/>
        <w:t>Issue 3</w:t>
      </w:r>
      <w:r w:rsidR="00D54C0F">
        <w:t xml:space="preserve">: </w:t>
      </w:r>
      <w:r>
        <w:t>Whether the plan will meet the needs of Gypsies, Travellers and Travelling Showpeople.</w:t>
      </w:r>
    </w:p>
    <w:p w14:paraId="32813628" w14:textId="77777777" w:rsidR="00D54C0F" w:rsidRDefault="00D54C0F" w:rsidP="00F46F28">
      <w:pPr>
        <w:jc w:val="left"/>
      </w:pPr>
    </w:p>
    <w:p w14:paraId="47C1E150" w14:textId="39E57333" w:rsidR="005B2FA0" w:rsidRDefault="005B2FA0" w:rsidP="000122FC">
      <w:pPr>
        <w:pStyle w:val="Heading3"/>
      </w:pPr>
      <w:r>
        <w:t>Policy H2a – Gypsy, Traveller and Travelling Showpeople Site Allocations</w:t>
      </w:r>
    </w:p>
    <w:p w14:paraId="0B961FF6" w14:textId="77777777" w:rsidR="00D54C0F" w:rsidRDefault="00D54C0F" w:rsidP="00F46F28">
      <w:pPr>
        <w:jc w:val="left"/>
      </w:pPr>
    </w:p>
    <w:p w14:paraId="76A743E5" w14:textId="75E50A6B" w:rsidR="005B2FA0" w:rsidRPr="003D1036" w:rsidRDefault="005B2FA0" w:rsidP="005D13C3">
      <w:pPr>
        <w:pStyle w:val="Heading3"/>
      </w:pPr>
      <w:r w:rsidRPr="003D1036">
        <w:t>2.21</w:t>
      </w:r>
      <w:r w:rsidR="005D13C3">
        <w:tab/>
      </w:r>
      <w:r w:rsidRPr="003D1036">
        <w:t>With regard to the need for pitches and plots for Gypsies, Travellers and</w:t>
      </w:r>
      <w:r w:rsidR="00F46F28">
        <w:t xml:space="preserve"> </w:t>
      </w:r>
      <w:r w:rsidRPr="003D1036">
        <w:t>Travelling</w:t>
      </w:r>
      <w:r w:rsidR="00F46F28">
        <w:t xml:space="preserve"> </w:t>
      </w:r>
      <w:r w:rsidRPr="003D1036">
        <w:t>Showpeople, is the Gypsy and Traveller Accommodation Assessment sufficiently up to</w:t>
      </w:r>
      <w:r w:rsidR="00F46F28">
        <w:t xml:space="preserve"> </w:t>
      </w:r>
      <w:r w:rsidRPr="003D1036">
        <w:t>date?</w:t>
      </w:r>
    </w:p>
    <w:p w14:paraId="49618C27" w14:textId="77777777" w:rsidR="00F46F28" w:rsidRPr="00156B97" w:rsidRDefault="00F46F28" w:rsidP="00F46F28">
      <w:pPr>
        <w:jc w:val="left"/>
        <w:rPr>
          <w:u w:val="single"/>
        </w:rPr>
      </w:pPr>
      <w:r w:rsidRPr="00156B97">
        <w:rPr>
          <w:u w:val="single"/>
        </w:rPr>
        <w:t>Council’s response</w:t>
      </w:r>
    </w:p>
    <w:p w14:paraId="701DBDA9" w14:textId="25D1AFA8" w:rsidR="00292CB0" w:rsidRDefault="00653166" w:rsidP="00653166">
      <w:pPr>
        <w:ind w:left="720" w:hanging="720"/>
        <w:jc w:val="left"/>
      </w:pPr>
      <w:bookmarkStart w:id="17" w:name="_Hlk180058651"/>
      <w:r>
        <w:t>2.21.1</w:t>
      </w:r>
      <w:r>
        <w:tab/>
      </w:r>
      <w:r w:rsidR="000F0565" w:rsidRPr="000F0565">
        <w:t xml:space="preserve">The </w:t>
      </w:r>
      <w:r w:rsidR="00292CB0" w:rsidRPr="00292CB0">
        <w:t xml:space="preserve">Greater Nottingham and Ashfield District Council </w:t>
      </w:r>
      <w:r w:rsidR="000F0565" w:rsidRPr="000F0565">
        <w:t>G</w:t>
      </w:r>
      <w:r w:rsidR="000F0565">
        <w:t>ypsy and Traveller Accommodation Assessment</w:t>
      </w:r>
      <w:r w:rsidR="00292CB0">
        <w:t xml:space="preserve"> 2021 </w:t>
      </w:r>
      <w:r w:rsidR="000F0565">
        <w:t>(G</w:t>
      </w:r>
      <w:r w:rsidR="000F0565" w:rsidRPr="000F0565">
        <w:t>TAA</w:t>
      </w:r>
      <w:r w:rsidR="000F0565">
        <w:t>)</w:t>
      </w:r>
      <w:r w:rsidR="000F0565" w:rsidRPr="000F0565">
        <w:t xml:space="preserve"> </w:t>
      </w:r>
      <w:r w:rsidR="00292CB0">
        <w:t xml:space="preserve">[SEV.21] </w:t>
      </w:r>
      <w:bookmarkEnd w:id="17"/>
      <w:r w:rsidR="000F0565" w:rsidRPr="000F0565">
        <w:t xml:space="preserve">sets out the level of future need for the District for the period 2020 to 2038. It is acknowledged that there is a slight mismatch in the evidence base timeframe, i.e., </w:t>
      </w:r>
      <w:r w:rsidR="00292CB0">
        <w:t xml:space="preserve">the GTAA </w:t>
      </w:r>
      <w:r w:rsidR="000F0565" w:rsidRPr="000F0565">
        <w:t xml:space="preserve">period </w:t>
      </w:r>
      <w:r w:rsidR="00292CB0">
        <w:t xml:space="preserve">of </w:t>
      </w:r>
      <w:r w:rsidR="000F0565" w:rsidRPr="000F0565">
        <w:t xml:space="preserve">2020-2038, rather than </w:t>
      </w:r>
      <w:r w:rsidR="00292CB0">
        <w:t xml:space="preserve">the Local Plan period of </w:t>
      </w:r>
      <w:r w:rsidR="000F0565" w:rsidRPr="000F0565">
        <w:t>2023-2040.</w:t>
      </w:r>
    </w:p>
    <w:p w14:paraId="4E629E85" w14:textId="4EFCB1D5" w:rsidR="00155A5B" w:rsidRDefault="00653166" w:rsidP="00653166">
      <w:pPr>
        <w:ind w:left="720" w:hanging="720"/>
        <w:jc w:val="left"/>
      </w:pPr>
      <w:r>
        <w:t>2.22.2</w:t>
      </w:r>
      <w:r>
        <w:tab/>
      </w:r>
      <w:r w:rsidR="000F0565" w:rsidRPr="000F0565">
        <w:t>However, since the quantum of assessed need is minimal</w:t>
      </w:r>
      <w:r w:rsidR="00155A5B">
        <w:t>, and the site allocations under policy H2a meet the identified need to 2038 in full,</w:t>
      </w:r>
      <w:r w:rsidR="000F0565" w:rsidRPr="000F0565">
        <w:t xml:space="preserve"> it is considered appropriate that any additional need </w:t>
      </w:r>
      <w:r w:rsidR="00155A5B">
        <w:t xml:space="preserve">is likely to be adequately </w:t>
      </w:r>
      <w:r w:rsidR="000F0565" w:rsidRPr="000F0565">
        <w:t xml:space="preserve">addressed using </w:t>
      </w:r>
      <w:proofErr w:type="gramStart"/>
      <w:r w:rsidR="000F0565" w:rsidRPr="000F0565">
        <w:t>criteria based</w:t>
      </w:r>
      <w:proofErr w:type="gramEnd"/>
      <w:r w:rsidR="000F0565" w:rsidRPr="000F0565">
        <w:t xml:space="preserve"> policy H2</w:t>
      </w:r>
      <w:r w:rsidR="00155A5B">
        <w:t xml:space="preserve">. </w:t>
      </w:r>
      <w:r w:rsidR="000E2AD4">
        <w:t xml:space="preserve">In addition, a ‘windfall’ </w:t>
      </w:r>
      <w:r w:rsidR="00151766">
        <w:t>G</w:t>
      </w:r>
      <w:r w:rsidR="000E2AD4">
        <w:t>ypsy site for 3 pitches was granted permission in November 2023 and is now fully occupied.</w:t>
      </w:r>
    </w:p>
    <w:p w14:paraId="4CA3830B" w14:textId="79B425B2" w:rsidR="00155A5B" w:rsidRDefault="00653166" w:rsidP="00653166">
      <w:pPr>
        <w:ind w:left="720" w:hanging="720"/>
        <w:jc w:val="left"/>
      </w:pPr>
      <w:bookmarkStart w:id="18" w:name="_Hlk180059302"/>
      <w:r>
        <w:t>2.22.3</w:t>
      </w:r>
      <w:r>
        <w:tab/>
      </w:r>
      <w:r w:rsidR="00155A5B">
        <w:t xml:space="preserve">Policy H2 does not preclude additional pitches, plots or sites coming forward through the planning application process based on </w:t>
      </w:r>
      <w:r w:rsidR="00627A4B">
        <w:t xml:space="preserve">the </w:t>
      </w:r>
      <w:r w:rsidR="00155A5B">
        <w:t>level of assessed need.</w:t>
      </w:r>
    </w:p>
    <w:bookmarkEnd w:id="18"/>
    <w:p w14:paraId="1F0D5DCE" w14:textId="049448EC" w:rsidR="002B6699" w:rsidRDefault="00653166" w:rsidP="00653166">
      <w:pPr>
        <w:ind w:left="720" w:hanging="720"/>
        <w:jc w:val="left"/>
      </w:pPr>
      <w:r>
        <w:t>2.22.4</w:t>
      </w:r>
      <w:r>
        <w:tab/>
      </w:r>
      <w:r w:rsidR="004F5CAE">
        <w:t>In respect of Gypsy/</w:t>
      </w:r>
      <w:r w:rsidR="00151766">
        <w:t>T</w:t>
      </w:r>
      <w:r w:rsidR="004F5CAE">
        <w:t>raveller definitions, t</w:t>
      </w:r>
      <w:r w:rsidR="002B6699">
        <w:t xml:space="preserve">he GTAA </w:t>
      </w:r>
      <w:r w:rsidR="002B6699" w:rsidRPr="00405A0B">
        <w:t>use</w:t>
      </w:r>
      <w:r w:rsidR="002B6699">
        <w:t>d</w:t>
      </w:r>
      <w:r w:rsidR="002B6699" w:rsidRPr="00405A0B">
        <w:t xml:space="preserve"> a methodology which provides first, an accommodation need figure based on ethnic identity</w:t>
      </w:r>
      <w:r w:rsidR="002B6699">
        <w:t xml:space="preserve"> (including those who no longer travel)</w:t>
      </w:r>
      <w:r w:rsidR="002B6699" w:rsidRPr="00405A0B">
        <w:t>; second, a figure based on the PPTS (August 2015) and a third which related to the work interpretation (where accommodation need only takes account of those who travel in a caravan for work purposes).</w:t>
      </w:r>
      <w:r w:rsidR="002B6699">
        <w:t xml:space="preserve"> The outcome</w:t>
      </w:r>
      <w:r w:rsidR="007A66E4">
        <w:t>s</w:t>
      </w:r>
      <w:r w:rsidR="002B6699">
        <w:t xml:space="preserve"> are shown </w:t>
      </w:r>
      <w:r w:rsidR="00151766">
        <w:t>i</w:t>
      </w:r>
      <w:r w:rsidR="002B6699">
        <w:t>n the table below (GTAA table S.1B)</w:t>
      </w:r>
    </w:p>
    <w:tbl>
      <w:tblPr>
        <w:tblW w:w="0" w:type="auto"/>
        <w:tblInd w:w="1111" w:type="dxa"/>
        <w:tblLayout w:type="fixed"/>
        <w:tblCellMar>
          <w:left w:w="0" w:type="dxa"/>
          <w:right w:w="0" w:type="dxa"/>
        </w:tblCellMar>
        <w:tblLook w:val="01E0" w:firstRow="1" w:lastRow="1" w:firstColumn="1" w:lastColumn="1" w:noHBand="0" w:noVBand="0"/>
      </w:tblPr>
      <w:tblGrid>
        <w:gridCol w:w="1689"/>
        <w:gridCol w:w="1627"/>
        <w:gridCol w:w="2616"/>
        <w:gridCol w:w="1568"/>
      </w:tblGrid>
      <w:tr w:rsidR="002B6699" w14:paraId="17C4EF70" w14:textId="77777777" w:rsidTr="006F7399">
        <w:trPr>
          <w:trHeight w:val="431"/>
        </w:trPr>
        <w:tc>
          <w:tcPr>
            <w:tcW w:w="7500" w:type="dxa"/>
            <w:gridSpan w:val="4"/>
            <w:tcBorders>
              <w:top w:val="single" w:sz="4" w:space="0" w:color="999999"/>
              <w:left w:val="single" w:sz="4" w:space="0" w:color="999999"/>
              <w:right w:val="single" w:sz="4" w:space="0" w:color="999999"/>
            </w:tcBorders>
            <w:shd w:val="clear" w:color="auto" w:fill="94B3D6"/>
          </w:tcPr>
          <w:p w14:paraId="5ED47622" w14:textId="77777777" w:rsidR="002B6699" w:rsidRDefault="002B6699" w:rsidP="006F7399">
            <w:pPr>
              <w:pStyle w:val="TableParagraph"/>
              <w:ind w:left="523"/>
            </w:pPr>
            <w:r w:rsidRPr="00465D76">
              <w:rPr>
                <w:color w:val="3E3E3E"/>
              </w:rPr>
              <w:t>Table</w:t>
            </w:r>
            <w:r w:rsidRPr="00465D76">
              <w:rPr>
                <w:color w:val="3E3E3E"/>
                <w:spacing w:val="-1"/>
              </w:rPr>
              <w:t xml:space="preserve"> </w:t>
            </w:r>
            <w:r w:rsidRPr="00465D76">
              <w:rPr>
                <w:color w:val="3E3E3E"/>
              </w:rPr>
              <w:t>S.1B:</w:t>
            </w:r>
            <w:r w:rsidRPr="00465D76">
              <w:rPr>
                <w:color w:val="3E3E3E"/>
                <w:spacing w:val="-2"/>
              </w:rPr>
              <w:t xml:space="preserve"> </w:t>
            </w:r>
            <w:r w:rsidRPr="00465D76">
              <w:rPr>
                <w:color w:val="3E3E3E"/>
              </w:rPr>
              <w:t>Summary</w:t>
            </w:r>
            <w:r w:rsidRPr="00465D76">
              <w:rPr>
                <w:color w:val="3E3E3E"/>
                <w:spacing w:val="-1"/>
              </w:rPr>
              <w:t xml:space="preserve"> </w:t>
            </w:r>
            <w:r w:rsidRPr="00465D76">
              <w:rPr>
                <w:color w:val="3E3E3E"/>
              </w:rPr>
              <w:t>of</w:t>
            </w:r>
            <w:r w:rsidRPr="00465D76">
              <w:rPr>
                <w:color w:val="3E3E3E"/>
                <w:spacing w:val="-2"/>
              </w:rPr>
              <w:t xml:space="preserve"> </w:t>
            </w:r>
            <w:r w:rsidRPr="00465D76">
              <w:rPr>
                <w:color w:val="3E3E3E"/>
              </w:rPr>
              <w:t>accommodation</w:t>
            </w:r>
            <w:r w:rsidRPr="00465D76">
              <w:rPr>
                <w:color w:val="3E3E3E"/>
                <w:spacing w:val="-1"/>
              </w:rPr>
              <w:t xml:space="preserve"> </w:t>
            </w:r>
            <w:r w:rsidRPr="00465D76">
              <w:rPr>
                <w:color w:val="3E3E3E"/>
              </w:rPr>
              <w:t>needs</w:t>
            </w:r>
            <w:r w:rsidRPr="00465D76">
              <w:rPr>
                <w:color w:val="3E3E3E"/>
                <w:spacing w:val="-4"/>
              </w:rPr>
              <w:t xml:space="preserve"> </w:t>
            </w:r>
            <w:r w:rsidRPr="00465D76">
              <w:rPr>
                <w:color w:val="3E3E3E"/>
              </w:rPr>
              <w:t>2020-38</w:t>
            </w:r>
            <w:r w:rsidRPr="00465D76">
              <w:rPr>
                <w:color w:val="3E3E3E"/>
                <w:spacing w:val="-3"/>
              </w:rPr>
              <w:t xml:space="preserve"> </w:t>
            </w:r>
            <w:r w:rsidRPr="00465D76">
              <w:rPr>
                <w:color w:val="3E3E3E"/>
              </w:rPr>
              <w:t>(pitches)</w:t>
            </w:r>
          </w:p>
        </w:tc>
      </w:tr>
      <w:tr w:rsidR="002B6699" w14:paraId="24E27E23" w14:textId="77777777" w:rsidTr="006F7399">
        <w:trPr>
          <w:trHeight w:val="251"/>
        </w:trPr>
        <w:tc>
          <w:tcPr>
            <w:tcW w:w="1689" w:type="dxa"/>
            <w:tcBorders>
              <w:left w:val="single" w:sz="4" w:space="0" w:color="999999"/>
              <w:bottom w:val="single" w:sz="4" w:space="0" w:color="999999"/>
            </w:tcBorders>
          </w:tcPr>
          <w:p w14:paraId="7922638A" w14:textId="77777777" w:rsidR="002B6699" w:rsidRDefault="002B6699" w:rsidP="006F7399">
            <w:pPr>
              <w:pStyle w:val="TableParagraph"/>
              <w:spacing w:line="232" w:lineRule="exact"/>
              <w:rPr>
                <w:rFonts w:ascii="Arial"/>
                <w:b/>
              </w:rPr>
            </w:pPr>
            <w:r>
              <w:rPr>
                <w:rFonts w:ascii="Arial"/>
                <w:b/>
              </w:rPr>
              <w:t>Period</w:t>
            </w:r>
          </w:p>
        </w:tc>
        <w:tc>
          <w:tcPr>
            <w:tcW w:w="1627" w:type="dxa"/>
            <w:tcBorders>
              <w:bottom w:val="single" w:sz="4" w:space="0" w:color="999999"/>
            </w:tcBorders>
          </w:tcPr>
          <w:p w14:paraId="3751ACC1" w14:textId="77777777" w:rsidR="002B6699" w:rsidRDefault="002B6699" w:rsidP="006F7399">
            <w:pPr>
              <w:pStyle w:val="TableParagraph"/>
              <w:spacing w:before="20"/>
              <w:ind w:left="170" w:right="148"/>
              <w:jc w:val="center"/>
              <w:rPr>
                <w:sz w:val="18"/>
              </w:rPr>
            </w:pPr>
            <w:r>
              <w:rPr>
                <w:sz w:val="18"/>
              </w:rPr>
              <w:t>Ethnic</w:t>
            </w:r>
            <w:r>
              <w:rPr>
                <w:spacing w:val="-2"/>
                <w:sz w:val="18"/>
              </w:rPr>
              <w:t xml:space="preserve"> </w:t>
            </w:r>
            <w:r>
              <w:rPr>
                <w:sz w:val="18"/>
              </w:rPr>
              <w:t>definition</w:t>
            </w:r>
          </w:p>
        </w:tc>
        <w:tc>
          <w:tcPr>
            <w:tcW w:w="2616" w:type="dxa"/>
            <w:tcBorders>
              <w:bottom w:val="single" w:sz="4" w:space="0" w:color="999999"/>
            </w:tcBorders>
          </w:tcPr>
          <w:p w14:paraId="535D3943" w14:textId="77777777" w:rsidR="002B6699" w:rsidRDefault="002B6699" w:rsidP="006F7399">
            <w:pPr>
              <w:pStyle w:val="TableParagraph"/>
              <w:spacing w:line="232" w:lineRule="exact"/>
              <w:ind w:left="157" w:right="243"/>
              <w:jc w:val="center"/>
              <w:rPr>
                <w:rFonts w:ascii="Arial"/>
                <w:b/>
              </w:rPr>
            </w:pPr>
            <w:r>
              <w:rPr>
                <w:rFonts w:ascii="Arial"/>
                <w:b/>
              </w:rPr>
              <w:t>PPTS 2015</w:t>
            </w:r>
            <w:r>
              <w:rPr>
                <w:rFonts w:ascii="Arial"/>
                <w:b/>
                <w:spacing w:val="-2"/>
              </w:rPr>
              <w:t xml:space="preserve"> </w:t>
            </w:r>
            <w:r>
              <w:rPr>
                <w:rFonts w:ascii="Arial"/>
                <w:b/>
              </w:rPr>
              <w:t>definition</w:t>
            </w:r>
          </w:p>
        </w:tc>
        <w:tc>
          <w:tcPr>
            <w:tcW w:w="1568" w:type="dxa"/>
            <w:tcBorders>
              <w:bottom w:val="single" w:sz="4" w:space="0" w:color="999999"/>
              <w:right w:val="single" w:sz="4" w:space="0" w:color="000000"/>
            </w:tcBorders>
          </w:tcPr>
          <w:p w14:paraId="3A6A8E51" w14:textId="77777777" w:rsidR="002B6699" w:rsidRDefault="002B6699" w:rsidP="006F7399">
            <w:pPr>
              <w:pStyle w:val="TableParagraph"/>
              <w:spacing w:line="206" w:lineRule="exact"/>
              <w:ind w:left="268"/>
              <w:rPr>
                <w:sz w:val="18"/>
              </w:rPr>
            </w:pPr>
            <w:r>
              <w:rPr>
                <w:sz w:val="18"/>
              </w:rPr>
              <w:t>Work</w:t>
            </w:r>
            <w:r>
              <w:rPr>
                <w:spacing w:val="-2"/>
                <w:sz w:val="18"/>
              </w:rPr>
              <w:t xml:space="preserve"> </w:t>
            </w:r>
            <w:r>
              <w:rPr>
                <w:sz w:val="18"/>
              </w:rPr>
              <w:t>definition</w:t>
            </w:r>
          </w:p>
        </w:tc>
      </w:tr>
      <w:tr w:rsidR="002B6699" w14:paraId="02D68759" w14:textId="77777777" w:rsidTr="006F7399">
        <w:trPr>
          <w:trHeight w:val="285"/>
        </w:trPr>
        <w:tc>
          <w:tcPr>
            <w:tcW w:w="1689" w:type="dxa"/>
            <w:tcBorders>
              <w:top w:val="single" w:sz="4" w:space="0" w:color="999999"/>
              <w:left w:val="single" w:sz="4" w:space="0" w:color="999999"/>
            </w:tcBorders>
          </w:tcPr>
          <w:p w14:paraId="200DCDD9" w14:textId="77777777" w:rsidR="002B6699" w:rsidRDefault="002B6699" w:rsidP="006F7399">
            <w:pPr>
              <w:pStyle w:val="TableParagraph"/>
              <w:spacing w:before="19" w:line="246" w:lineRule="exact"/>
              <w:rPr>
                <w:rFonts w:ascii="Arial"/>
                <w:b/>
              </w:rPr>
            </w:pPr>
            <w:r>
              <w:rPr>
                <w:rFonts w:ascii="Arial"/>
                <w:b/>
              </w:rPr>
              <w:t>Total</w:t>
            </w:r>
            <w:r>
              <w:rPr>
                <w:rFonts w:ascii="Arial"/>
                <w:b/>
                <w:spacing w:val="-2"/>
              </w:rPr>
              <w:t xml:space="preserve"> </w:t>
            </w:r>
            <w:r>
              <w:rPr>
                <w:rFonts w:ascii="Arial"/>
                <w:b/>
              </w:rPr>
              <w:t>2020-25</w:t>
            </w:r>
          </w:p>
        </w:tc>
        <w:tc>
          <w:tcPr>
            <w:tcW w:w="1627" w:type="dxa"/>
            <w:tcBorders>
              <w:top w:val="single" w:sz="4" w:space="0" w:color="999999"/>
            </w:tcBorders>
          </w:tcPr>
          <w:p w14:paraId="4C9EBC19" w14:textId="77777777" w:rsidR="002B6699" w:rsidRDefault="002B6699" w:rsidP="006F7399">
            <w:pPr>
              <w:pStyle w:val="TableParagraph"/>
              <w:spacing w:line="206" w:lineRule="exact"/>
              <w:ind w:left="21"/>
              <w:jc w:val="center"/>
              <w:rPr>
                <w:sz w:val="18"/>
              </w:rPr>
            </w:pPr>
            <w:r>
              <w:rPr>
                <w:w w:val="99"/>
                <w:sz w:val="18"/>
              </w:rPr>
              <w:t>1</w:t>
            </w:r>
          </w:p>
        </w:tc>
        <w:tc>
          <w:tcPr>
            <w:tcW w:w="2616" w:type="dxa"/>
            <w:tcBorders>
              <w:top w:val="single" w:sz="4" w:space="0" w:color="999999"/>
            </w:tcBorders>
          </w:tcPr>
          <w:p w14:paraId="00A2E2C1" w14:textId="77777777" w:rsidR="002B6699" w:rsidRDefault="002B6699" w:rsidP="006F7399">
            <w:pPr>
              <w:pStyle w:val="TableParagraph"/>
              <w:ind w:left="0" w:right="87"/>
              <w:jc w:val="center"/>
              <w:rPr>
                <w:rFonts w:ascii="Arial"/>
                <w:b/>
              </w:rPr>
            </w:pPr>
            <w:r>
              <w:rPr>
                <w:rFonts w:ascii="Arial"/>
                <w:b/>
              </w:rPr>
              <w:t>0</w:t>
            </w:r>
          </w:p>
        </w:tc>
        <w:tc>
          <w:tcPr>
            <w:tcW w:w="1568" w:type="dxa"/>
            <w:tcBorders>
              <w:top w:val="single" w:sz="4" w:space="0" w:color="999999"/>
              <w:right w:val="single" w:sz="4" w:space="0" w:color="000000"/>
            </w:tcBorders>
          </w:tcPr>
          <w:p w14:paraId="03E1A729" w14:textId="77777777" w:rsidR="002B6699" w:rsidRDefault="002B6699" w:rsidP="006F7399">
            <w:pPr>
              <w:pStyle w:val="TableParagraph"/>
              <w:spacing w:line="206" w:lineRule="exact"/>
              <w:ind w:left="0" w:right="415"/>
              <w:jc w:val="center"/>
              <w:rPr>
                <w:sz w:val="18"/>
              </w:rPr>
            </w:pPr>
            <w:r>
              <w:rPr>
                <w:w w:val="99"/>
                <w:sz w:val="18"/>
              </w:rPr>
              <w:t>0</w:t>
            </w:r>
          </w:p>
        </w:tc>
      </w:tr>
      <w:tr w:rsidR="002B6699" w14:paraId="7B87AAB9" w14:textId="77777777" w:rsidTr="006F7399">
        <w:trPr>
          <w:trHeight w:val="290"/>
        </w:trPr>
        <w:tc>
          <w:tcPr>
            <w:tcW w:w="1689" w:type="dxa"/>
            <w:tcBorders>
              <w:left w:val="single" w:sz="4" w:space="0" w:color="999999"/>
            </w:tcBorders>
          </w:tcPr>
          <w:p w14:paraId="7B1309D3" w14:textId="77777777" w:rsidR="002B6699" w:rsidRDefault="002B6699" w:rsidP="006F7399">
            <w:pPr>
              <w:pStyle w:val="TableParagraph"/>
              <w:spacing w:before="24" w:line="246" w:lineRule="exact"/>
              <w:rPr>
                <w:rFonts w:ascii="Arial"/>
                <w:b/>
              </w:rPr>
            </w:pPr>
            <w:r>
              <w:rPr>
                <w:rFonts w:ascii="Arial"/>
                <w:b/>
              </w:rPr>
              <w:t>Total</w:t>
            </w:r>
            <w:r>
              <w:rPr>
                <w:rFonts w:ascii="Arial"/>
                <w:b/>
                <w:spacing w:val="-2"/>
              </w:rPr>
              <w:t xml:space="preserve"> </w:t>
            </w:r>
            <w:r>
              <w:rPr>
                <w:rFonts w:ascii="Arial"/>
                <w:b/>
              </w:rPr>
              <w:t>2025-30</w:t>
            </w:r>
          </w:p>
        </w:tc>
        <w:tc>
          <w:tcPr>
            <w:tcW w:w="1627" w:type="dxa"/>
          </w:tcPr>
          <w:p w14:paraId="246CCFD4" w14:textId="77777777" w:rsidR="002B6699" w:rsidRDefault="002B6699" w:rsidP="006F7399">
            <w:pPr>
              <w:pStyle w:val="TableParagraph"/>
              <w:spacing w:before="7"/>
              <w:ind w:left="21"/>
              <w:jc w:val="center"/>
              <w:rPr>
                <w:sz w:val="18"/>
              </w:rPr>
            </w:pPr>
            <w:r>
              <w:rPr>
                <w:w w:val="99"/>
                <w:sz w:val="18"/>
              </w:rPr>
              <w:t>1</w:t>
            </w:r>
          </w:p>
        </w:tc>
        <w:tc>
          <w:tcPr>
            <w:tcW w:w="2616" w:type="dxa"/>
          </w:tcPr>
          <w:p w14:paraId="7D6DCDCE" w14:textId="77777777" w:rsidR="002B6699" w:rsidRDefault="002B6699" w:rsidP="006F7399">
            <w:pPr>
              <w:pStyle w:val="TableParagraph"/>
              <w:spacing w:before="7"/>
              <w:ind w:left="0" w:right="87"/>
              <w:jc w:val="center"/>
              <w:rPr>
                <w:rFonts w:ascii="Arial"/>
                <w:b/>
              </w:rPr>
            </w:pPr>
            <w:r>
              <w:rPr>
                <w:rFonts w:ascii="Arial"/>
                <w:b/>
              </w:rPr>
              <w:t>1</w:t>
            </w:r>
          </w:p>
        </w:tc>
        <w:tc>
          <w:tcPr>
            <w:tcW w:w="1568" w:type="dxa"/>
            <w:tcBorders>
              <w:right w:val="single" w:sz="4" w:space="0" w:color="000000"/>
            </w:tcBorders>
          </w:tcPr>
          <w:p w14:paraId="787D5736" w14:textId="77777777" w:rsidR="002B6699" w:rsidRDefault="002B6699" w:rsidP="006F7399">
            <w:pPr>
              <w:pStyle w:val="TableParagraph"/>
              <w:spacing w:before="7"/>
              <w:ind w:left="0" w:right="415"/>
              <w:jc w:val="center"/>
              <w:rPr>
                <w:sz w:val="18"/>
              </w:rPr>
            </w:pPr>
            <w:r>
              <w:rPr>
                <w:w w:val="99"/>
                <w:sz w:val="18"/>
              </w:rPr>
              <w:t>1</w:t>
            </w:r>
          </w:p>
        </w:tc>
      </w:tr>
      <w:tr w:rsidR="002B6699" w14:paraId="3CD3B299" w14:textId="77777777" w:rsidTr="006F7399">
        <w:trPr>
          <w:trHeight w:val="291"/>
        </w:trPr>
        <w:tc>
          <w:tcPr>
            <w:tcW w:w="1689" w:type="dxa"/>
            <w:tcBorders>
              <w:left w:val="single" w:sz="4" w:space="0" w:color="999999"/>
            </w:tcBorders>
          </w:tcPr>
          <w:p w14:paraId="1EAD8201" w14:textId="77777777" w:rsidR="002B6699" w:rsidRDefault="002B6699" w:rsidP="006F7399">
            <w:pPr>
              <w:pStyle w:val="TableParagraph"/>
              <w:spacing w:before="27" w:line="245" w:lineRule="exact"/>
              <w:rPr>
                <w:rFonts w:ascii="Arial"/>
                <w:b/>
              </w:rPr>
            </w:pPr>
            <w:r>
              <w:rPr>
                <w:rFonts w:ascii="Arial"/>
                <w:b/>
              </w:rPr>
              <w:t>Total</w:t>
            </w:r>
            <w:r>
              <w:rPr>
                <w:rFonts w:ascii="Arial"/>
                <w:b/>
                <w:spacing w:val="-2"/>
              </w:rPr>
              <w:t xml:space="preserve"> </w:t>
            </w:r>
            <w:r>
              <w:rPr>
                <w:rFonts w:ascii="Arial"/>
                <w:b/>
              </w:rPr>
              <w:t>2030-35</w:t>
            </w:r>
          </w:p>
        </w:tc>
        <w:tc>
          <w:tcPr>
            <w:tcW w:w="1627" w:type="dxa"/>
          </w:tcPr>
          <w:p w14:paraId="01613184" w14:textId="77777777" w:rsidR="002B6699" w:rsidRDefault="002B6699" w:rsidP="006F7399">
            <w:pPr>
              <w:pStyle w:val="TableParagraph"/>
              <w:spacing w:before="7"/>
              <w:ind w:left="21"/>
              <w:jc w:val="center"/>
              <w:rPr>
                <w:sz w:val="18"/>
              </w:rPr>
            </w:pPr>
            <w:r>
              <w:rPr>
                <w:w w:val="99"/>
                <w:sz w:val="18"/>
              </w:rPr>
              <w:t>1</w:t>
            </w:r>
          </w:p>
        </w:tc>
        <w:tc>
          <w:tcPr>
            <w:tcW w:w="2616" w:type="dxa"/>
          </w:tcPr>
          <w:p w14:paraId="08B53D91" w14:textId="77777777" w:rsidR="002B6699" w:rsidRDefault="002B6699" w:rsidP="006F7399">
            <w:pPr>
              <w:pStyle w:val="TableParagraph"/>
              <w:spacing w:before="7"/>
              <w:ind w:left="0" w:right="87"/>
              <w:jc w:val="center"/>
              <w:rPr>
                <w:rFonts w:ascii="Arial"/>
                <w:b/>
              </w:rPr>
            </w:pPr>
            <w:r>
              <w:rPr>
                <w:rFonts w:ascii="Arial"/>
                <w:b/>
              </w:rPr>
              <w:t>1</w:t>
            </w:r>
          </w:p>
        </w:tc>
        <w:tc>
          <w:tcPr>
            <w:tcW w:w="1568" w:type="dxa"/>
            <w:tcBorders>
              <w:right w:val="single" w:sz="4" w:space="0" w:color="000000"/>
            </w:tcBorders>
          </w:tcPr>
          <w:p w14:paraId="2C07A863" w14:textId="77777777" w:rsidR="002B6699" w:rsidRDefault="002B6699" w:rsidP="006F7399">
            <w:pPr>
              <w:pStyle w:val="TableParagraph"/>
              <w:spacing w:before="7"/>
              <w:ind w:left="0" w:right="415"/>
              <w:jc w:val="center"/>
              <w:rPr>
                <w:sz w:val="18"/>
              </w:rPr>
            </w:pPr>
            <w:r>
              <w:rPr>
                <w:w w:val="99"/>
                <w:sz w:val="18"/>
              </w:rPr>
              <w:t>1</w:t>
            </w:r>
          </w:p>
        </w:tc>
      </w:tr>
      <w:tr w:rsidR="002B6699" w14:paraId="7E3F64F7" w14:textId="77777777" w:rsidTr="006F7399">
        <w:trPr>
          <w:trHeight w:val="290"/>
        </w:trPr>
        <w:tc>
          <w:tcPr>
            <w:tcW w:w="1689" w:type="dxa"/>
            <w:tcBorders>
              <w:left w:val="single" w:sz="4" w:space="0" w:color="999999"/>
            </w:tcBorders>
          </w:tcPr>
          <w:p w14:paraId="20776480" w14:textId="77777777" w:rsidR="002B6699" w:rsidRDefault="002B6699" w:rsidP="006F7399">
            <w:pPr>
              <w:pStyle w:val="TableParagraph"/>
              <w:spacing w:before="25" w:line="245" w:lineRule="exact"/>
              <w:rPr>
                <w:rFonts w:ascii="Arial"/>
                <w:b/>
              </w:rPr>
            </w:pPr>
            <w:r>
              <w:rPr>
                <w:rFonts w:ascii="Arial"/>
                <w:b/>
              </w:rPr>
              <w:t>Total</w:t>
            </w:r>
            <w:r>
              <w:rPr>
                <w:rFonts w:ascii="Arial"/>
                <w:b/>
                <w:spacing w:val="-2"/>
              </w:rPr>
              <w:t xml:space="preserve"> </w:t>
            </w:r>
            <w:r>
              <w:rPr>
                <w:rFonts w:ascii="Arial"/>
                <w:b/>
              </w:rPr>
              <w:t>2035-38</w:t>
            </w:r>
          </w:p>
        </w:tc>
        <w:tc>
          <w:tcPr>
            <w:tcW w:w="1627" w:type="dxa"/>
          </w:tcPr>
          <w:p w14:paraId="1F573441" w14:textId="77777777" w:rsidR="002B6699" w:rsidRDefault="002B6699" w:rsidP="006F7399">
            <w:pPr>
              <w:pStyle w:val="TableParagraph"/>
              <w:spacing w:before="5"/>
              <w:ind w:left="21"/>
              <w:jc w:val="center"/>
              <w:rPr>
                <w:sz w:val="18"/>
              </w:rPr>
            </w:pPr>
            <w:r>
              <w:rPr>
                <w:w w:val="99"/>
                <w:sz w:val="18"/>
              </w:rPr>
              <w:t>1</w:t>
            </w:r>
          </w:p>
        </w:tc>
        <w:tc>
          <w:tcPr>
            <w:tcW w:w="2616" w:type="dxa"/>
          </w:tcPr>
          <w:p w14:paraId="6F7C6C77" w14:textId="77777777" w:rsidR="002B6699" w:rsidRDefault="002B6699" w:rsidP="006F7399">
            <w:pPr>
              <w:pStyle w:val="TableParagraph"/>
              <w:spacing w:before="6"/>
              <w:ind w:left="0" w:right="87"/>
              <w:jc w:val="center"/>
              <w:rPr>
                <w:rFonts w:ascii="Arial"/>
                <w:b/>
              </w:rPr>
            </w:pPr>
            <w:r>
              <w:rPr>
                <w:rFonts w:ascii="Arial"/>
                <w:b/>
              </w:rPr>
              <w:t>1</w:t>
            </w:r>
          </w:p>
        </w:tc>
        <w:tc>
          <w:tcPr>
            <w:tcW w:w="1568" w:type="dxa"/>
            <w:tcBorders>
              <w:right w:val="single" w:sz="4" w:space="0" w:color="000000"/>
            </w:tcBorders>
          </w:tcPr>
          <w:p w14:paraId="1359FCAE" w14:textId="77777777" w:rsidR="002B6699" w:rsidRDefault="002B6699" w:rsidP="006F7399">
            <w:pPr>
              <w:pStyle w:val="TableParagraph"/>
              <w:spacing w:before="5"/>
              <w:ind w:left="0" w:right="415"/>
              <w:jc w:val="center"/>
              <w:rPr>
                <w:sz w:val="18"/>
              </w:rPr>
            </w:pPr>
            <w:r>
              <w:rPr>
                <w:w w:val="99"/>
                <w:sz w:val="18"/>
              </w:rPr>
              <w:t>1</w:t>
            </w:r>
          </w:p>
        </w:tc>
      </w:tr>
      <w:tr w:rsidR="002B6699" w14:paraId="2A6AE743" w14:textId="77777777" w:rsidTr="006F7399">
        <w:trPr>
          <w:trHeight w:val="299"/>
        </w:trPr>
        <w:tc>
          <w:tcPr>
            <w:tcW w:w="1689" w:type="dxa"/>
            <w:tcBorders>
              <w:left w:val="single" w:sz="4" w:space="0" w:color="999999"/>
              <w:bottom w:val="single" w:sz="4" w:space="0" w:color="999999"/>
            </w:tcBorders>
          </w:tcPr>
          <w:p w14:paraId="61115C0D" w14:textId="77777777" w:rsidR="002B6699" w:rsidRDefault="002B6699" w:rsidP="006F7399">
            <w:pPr>
              <w:pStyle w:val="TableParagraph"/>
              <w:spacing w:before="25"/>
              <w:rPr>
                <w:rFonts w:ascii="Arial"/>
                <w:b/>
              </w:rPr>
            </w:pPr>
            <w:r>
              <w:rPr>
                <w:rFonts w:ascii="Arial"/>
                <w:b/>
              </w:rPr>
              <w:t>Total</w:t>
            </w:r>
            <w:r>
              <w:rPr>
                <w:rFonts w:ascii="Arial"/>
                <w:b/>
                <w:spacing w:val="-2"/>
              </w:rPr>
              <w:t xml:space="preserve"> </w:t>
            </w:r>
            <w:r>
              <w:rPr>
                <w:rFonts w:ascii="Arial"/>
                <w:b/>
              </w:rPr>
              <w:t>2020-38</w:t>
            </w:r>
          </w:p>
        </w:tc>
        <w:tc>
          <w:tcPr>
            <w:tcW w:w="1627" w:type="dxa"/>
            <w:tcBorders>
              <w:bottom w:val="single" w:sz="4" w:space="0" w:color="999999"/>
            </w:tcBorders>
          </w:tcPr>
          <w:p w14:paraId="72055688" w14:textId="77777777" w:rsidR="002B6699" w:rsidRDefault="002B6699" w:rsidP="006F7399">
            <w:pPr>
              <w:pStyle w:val="TableParagraph"/>
              <w:spacing w:before="5"/>
              <w:ind w:left="21"/>
              <w:jc w:val="center"/>
              <w:rPr>
                <w:sz w:val="18"/>
              </w:rPr>
            </w:pPr>
            <w:r>
              <w:rPr>
                <w:w w:val="99"/>
                <w:sz w:val="18"/>
              </w:rPr>
              <w:t>4</w:t>
            </w:r>
          </w:p>
        </w:tc>
        <w:tc>
          <w:tcPr>
            <w:tcW w:w="2616" w:type="dxa"/>
            <w:tcBorders>
              <w:bottom w:val="single" w:sz="4" w:space="0" w:color="999999"/>
            </w:tcBorders>
          </w:tcPr>
          <w:p w14:paraId="51D58A41" w14:textId="77777777" w:rsidR="002B6699" w:rsidRDefault="002B6699" w:rsidP="006F7399">
            <w:pPr>
              <w:pStyle w:val="TableParagraph"/>
              <w:spacing w:before="6"/>
              <w:ind w:left="0" w:right="87"/>
              <w:jc w:val="center"/>
              <w:rPr>
                <w:rFonts w:ascii="Arial"/>
                <w:b/>
              </w:rPr>
            </w:pPr>
            <w:r>
              <w:rPr>
                <w:rFonts w:ascii="Arial"/>
                <w:b/>
              </w:rPr>
              <w:t>3</w:t>
            </w:r>
          </w:p>
        </w:tc>
        <w:tc>
          <w:tcPr>
            <w:tcW w:w="1568" w:type="dxa"/>
            <w:tcBorders>
              <w:bottom w:val="single" w:sz="4" w:space="0" w:color="999999"/>
              <w:right w:val="single" w:sz="4" w:space="0" w:color="000000"/>
            </w:tcBorders>
          </w:tcPr>
          <w:p w14:paraId="0825BA5B" w14:textId="77777777" w:rsidR="002B6699" w:rsidRDefault="002B6699" w:rsidP="006F7399">
            <w:pPr>
              <w:pStyle w:val="TableParagraph"/>
              <w:spacing w:before="5"/>
              <w:ind w:left="0" w:right="415"/>
              <w:jc w:val="center"/>
              <w:rPr>
                <w:sz w:val="18"/>
              </w:rPr>
            </w:pPr>
            <w:r>
              <w:rPr>
                <w:w w:val="99"/>
                <w:sz w:val="18"/>
              </w:rPr>
              <w:t>3</w:t>
            </w:r>
          </w:p>
        </w:tc>
      </w:tr>
    </w:tbl>
    <w:p w14:paraId="6236C3A3" w14:textId="77777777" w:rsidR="002B6699" w:rsidRDefault="002B6699" w:rsidP="002B6699">
      <w:pPr>
        <w:jc w:val="left"/>
      </w:pPr>
    </w:p>
    <w:p w14:paraId="69FC3D4C" w14:textId="192C2211" w:rsidR="002B6699" w:rsidRDefault="00653166" w:rsidP="00653166">
      <w:pPr>
        <w:ind w:left="720" w:hanging="720"/>
        <w:jc w:val="left"/>
      </w:pPr>
      <w:r>
        <w:t>2.22.5</w:t>
      </w:r>
      <w:r>
        <w:tab/>
      </w:r>
      <w:r w:rsidR="002B6699">
        <w:t>The GTAA recommended adoption of the</w:t>
      </w:r>
      <w:r w:rsidR="002B6699">
        <w:rPr>
          <w:spacing w:val="1"/>
        </w:rPr>
        <w:t xml:space="preserve"> </w:t>
      </w:r>
      <w:r w:rsidR="002B6699">
        <w:t>PPTS figure and that local authorities consider other options for meeting the needs of</w:t>
      </w:r>
      <w:r w:rsidR="002B6699">
        <w:rPr>
          <w:spacing w:val="-59"/>
        </w:rPr>
        <w:t xml:space="preserve"> </w:t>
      </w:r>
      <w:r w:rsidR="002B6699">
        <w:t>those</w:t>
      </w:r>
      <w:r w:rsidR="002B6699">
        <w:rPr>
          <w:spacing w:val="1"/>
        </w:rPr>
        <w:t xml:space="preserve"> </w:t>
      </w:r>
      <w:r w:rsidR="002B6699">
        <w:t>who</w:t>
      </w:r>
      <w:r w:rsidR="002B6699">
        <w:rPr>
          <w:spacing w:val="1"/>
        </w:rPr>
        <w:t xml:space="preserve"> </w:t>
      </w:r>
      <w:r w:rsidR="002B6699">
        <w:t>meet</w:t>
      </w:r>
      <w:r w:rsidR="002B6699">
        <w:rPr>
          <w:spacing w:val="1"/>
        </w:rPr>
        <w:t xml:space="preserve"> </w:t>
      </w:r>
      <w:r w:rsidR="002B6699">
        <w:t>the</w:t>
      </w:r>
      <w:r w:rsidR="002B6699">
        <w:rPr>
          <w:spacing w:val="1"/>
        </w:rPr>
        <w:t xml:space="preserve"> </w:t>
      </w:r>
      <w:r w:rsidR="002B6699">
        <w:t>ethnic</w:t>
      </w:r>
      <w:r w:rsidR="002B6699">
        <w:rPr>
          <w:spacing w:val="1"/>
        </w:rPr>
        <w:t xml:space="preserve"> </w:t>
      </w:r>
      <w:r w:rsidR="002B6699">
        <w:t>definition</w:t>
      </w:r>
      <w:r w:rsidR="002B6699">
        <w:rPr>
          <w:spacing w:val="1"/>
        </w:rPr>
        <w:t xml:space="preserve"> </w:t>
      </w:r>
      <w:r w:rsidR="002B6699">
        <w:t>such</w:t>
      </w:r>
      <w:r w:rsidR="002B6699">
        <w:rPr>
          <w:spacing w:val="1"/>
        </w:rPr>
        <w:t xml:space="preserve"> </w:t>
      </w:r>
      <w:r w:rsidR="002B6699">
        <w:t>as</w:t>
      </w:r>
      <w:r w:rsidR="002B6699">
        <w:rPr>
          <w:spacing w:val="1"/>
        </w:rPr>
        <w:t xml:space="preserve"> </w:t>
      </w:r>
      <w:r w:rsidR="002B6699">
        <w:t>a</w:t>
      </w:r>
      <w:r w:rsidR="002B6699">
        <w:rPr>
          <w:spacing w:val="1"/>
        </w:rPr>
        <w:t xml:space="preserve"> </w:t>
      </w:r>
      <w:r w:rsidR="002B6699">
        <w:t>criteria-based</w:t>
      </w:r>
      <w:r w:rsidR="002B6699">
        <w:rPr>
          <w:spacing w:val="1"/>
        </w:rPr>
        <w:t xml:space="preserve"> </w:t>
      </w:r>
      <w:r w:rsidR="002B6699">
        <w:t>policy. However, it was also recommended that It is recommended that this be kept under review in the light of</w:t>
      </w:r>
      <w:r w:rsidR="002B6699">
        <w:rPr>
          <w:spacing w:val="1"/>
        </w:rPr>
        <w:t xml:space="preserve"> </w:t>
      </w:r>
      <w:r w:rsidR="002B6699">
        <w:t>evolving appeal decisions and case law.</w:t>
      </w:r>
    </w:p>
    <w:p w14:paraId="47616D70" w14:textId="77777777" w:rsidR="00D54C0F" w:rsidRPr="00627A4B" w:rsidRDefault="00D54C0F" w:rsidP="00F46F28">
      <w:pPr>
        <w:jc w:val="left"/>
        <w:rPr>
          <w:b/>
          <w:bCs/>
        </w:rPr>
      </w:pPr>
    </w:p>
    <w:p w14:paraId="2433FB68" w14:textId="0F68A9C9" w:rsidR="005B2FA0" w:rsidRPr="003D1036" w:rsidRDefault="005B2FA0" w:rsidP="005D13C3">
      <w:pPr>
        <w:pStyle w:val="Heading3"/>
      </w:pPr>
      <w:r w:rsidRPr="003D1036">
        <w:lastRenderedPageBreak/>
        <w:t xml:space="preserve">2.22 </w:t>
      </w:r>
      <w:r w:rsidR="005D13C3">
        <w:tab/>
      </w:r>
      <w:r w:rsidRPr="003D1036">
        <w:t>Is the plan’s approach to addressing the needs of ethnic Gypsies and Travellers</w:t>
      </w:r>
      <w:r w:rsidR="00F46F28">
        <w:t xml:space="preserve"> </w:t>
      </w:r>
      <w:r w:rsidRPr="003D1036">
        <w:t>justified?</w:t>
      </w:r>
    </w:p>
    <w:p w14:paraId="3E4A9101" w14:textId="77777777" w:rsidR="00F46F28" w:rsidRPr="00156B97" w:rsidRDefault="00F46F28" w:rsidP="00F46F28">
      <w:pPr>
        <w:jc w:val="left"/>
        <w:rPr>
          <w:u w:val="single"/>
        </w:rPr>
      </w:pPr>
      <w:r w:rsidRPr="00156B97">
        <w:rPr>
          <w:u w:val="single"/>
        </w:rPr>
        <w:t>Council’s response</w:t>
      </w:r>
    </w:p>
    <w:p w14:paraId="25982AD9" w14:textId="35DB4EB1" w:rsidR="00D54C0F" w:rsidRDefault="007C635D" w:rsidP="007C635D">
      <w:pPr>
        <w:ind w:left="720" w:hanging="720"/>
        <w:jc w:val="left"/>
      </w:pPr>
      <w:r>
        <w:t>2.22.1</w:t>
      </w:r>
      <w:r>
        <w:tab/>
      </w:r>
      <w:r w:rsidR="002B6699">
        <w:t>Yes. T</w:t>
      </w:r>
      <w:r w:rsidR="00292CB0" w:rsidRPr="000F0565">
        <w:t xml:space="preserve">he Council </w:t>
      </w:r>
      <w:r w:rsidR="002B6699">
        <w:t>plan</w:t>
      </w:r>
      <w:r w:rsidR="00151766">
        <w:t>s</w:t>
      </w:r>
      <w:r w:rsidR="002B6699">
        <w:t xml:space="preserve"> for the </w:t>
      </w:r>
      <w:r w:rsidR="00292CB0" w:rsidRPr="000F0565">
        <w:t>higher level of assessed need, based on the ‘ethnic definition</w:t>
      </w:r>
      <w:proofErr w:type="gramStart"/>
      <w:r w:rsidR="00292CB0" w:rsidRPr="000F0565">
        <w:t>’</w:t>
      </w:r>
      <w:r w:rsidR="002B6699">
        <w:t>(</w:t>
      </w:r>
      <w:proofErr w:type="gramEnd"/>
      <w:r w:rsidR="002B6699">
        <w:t>which includes those who no longer travel)</w:t>
      </w:r>
      <w:r w:rsidR="00292CB0" w:rsidRPr="000F0565">
        <w:t>, as opposed to the Traveller definition set out in national policy Planning Policy for Traveller Sites</w:t>
      </w:r>
      <w:r w:rsidR="00405A0B">
        <w:t xml:space="preserve"> 2015</w:t>
      </w:r>
      <w:r w:rsidR="00BC610A">
        <w:t>.</w:t>
      </w:r>
    </w:p>
    <w:p w14:paraId="6998992E" w14:textId="294698DE" w:rsidR="002B6699" w:rsidRPr="00F46F28" w:rsidRDefault="007C635D" w:rsidP="007C635D">
      <w:pPr>
        <w:ind w:left="720" w:hanging="720"/>
        <w:jc w:val="left"/>
      </w:pPr>
      <w:r>
        <w:t>2.22.2</w:t>
      </w:r>
      <w:r>
        <w:tab/>
      </w:r>
      <w:r w:rsidR="002B6699">
        <w:t xml:space="preserve">This reflects the approach taken by government in December 2023 to revert the </w:t>
      </w:r>
      <w:r w:rsidR="002B6699" w:rsidRPr="002B6699">
        <w:t>definition of Gypsies and Travellers used in the Planning Policy for Travellers Sites to that adopted in 2012</w:t>
      </w:r>
      <w:r w:rsidR="002B6699">
        <w:t>.</w:t>
      </w:r>
    </w:p>
    <w:p w14:paraId="65871562" w14:textId="77777777" w:rsidR="00D54C0F" w:rsidRPr="003D1036" w:rsidRDefault="00D54C0F" w:rsidP="00F46F28">
      <w:pPr>
        <w:jc w:val="left"/>
        <w:rPr>
          <w:b/>
          <w:bCs/>
          <w:i/>
          <w:iCs/>
        </w:rPr>
      </w:pPr>
    </w:p>
    <w:p w14:paraId="3B1B5916" w14:textId="2149E864" w:rsidR="005B2FA0" w:rsidRPr="003D1036" w:rsidRDefault="005B2FA0" w:rsidP="005D13C3">
      <w:pPr>
        <w:pStyle w:val="Heading3"/>
      </w:pPr>
      <w:r w:rsidRPr="003D1036">
        <w:t>2.23</w:t>
      </w:r>
      <w:r w:rsidR="005D13C3">
        <w:tab/>
      </w:r>
      <w:r w:rsidRPr="003D1036">
        <w:t xml:space="preserve">Is the need for </w:t>
      </w:r>
      <w:bookmarkStart w:id="19" w:name="_Hlk180058270"/>
      <w:r w:rsidRPr="003D1036">
        <w:t xml:space="preserve">Gypsies, Travellers and Travelling </w:t>
      </w:r>
      <w:r w:rsidR="00E20C7F" w:rsidRPr="003D1036">
        <w:t>Showpeople’s</w:t>
      </w:r>
      <w:r w:rsidRPr="003D1036">
        <w:t xml:space="preserve"> pitches </w:t>
      </w:r>
      <w:bookmarkEnd w:id="19"/>
      <w:r w:rsidRPr="003D1036">
        <w:t>identified</w:t>
      </w:r>
      <w:r w:rsidR="00F46F28">
        <w:t xml:space="preserve"> </w:t>
      </w:r>
      <w:r w:rsidRPr="003D1036">
        <w:t>over</w:t>
      </w:r>
      <w:r w:rsidR="00F46F28">
        <w:t xml:space="preserve"> </w:t>
      </w:r>
      <w:r w:rsidRPr="003D1036">
        <w:t>the full plan period? If not, is the submitted approach justified?</w:t>
      </w:r>
    </w:p>
    <w:p w14:paraId="4DA9AF3A" w14:textId="77777777" w:rsidR="00F46F28" w:rsidRPr="00156B97" w:rsidRDefault="00F46F28" w:rsidP="00F46F28">
      <w:pPr>
        <w:jc w:val="left"/>
        <w:rPr>
          <w:u w:val="single"/>
        </w:rPr>
      </w:pPr>
      <w:r w:rsidRPr="00156B97">
        <w:rPr>
          <w:u w:val="single"/>
        </w:rPr>
        <w:t>Council’s response</w:t>
      </w:r>
    </w:p>
    <w:p w14:paraId="288BF123" w14:textId="63AD2654" w:rsidR="00D54C0F" w:rsidRDefault="007C635D" w:rsidP="007C635D">
      <w:pPr>
        <w:ind w:left="720" w:hanging="720"/>
        <w:jc w:val="left"/>
      </w:pPr>
      <w:r>
        <w:t>2.23.1</w:t>
      </w:r>
      <w:r>
        <w:tab/>
      </w:r>
      <w:r w:rsidR="004F5CAE">
        <w:t xml:space="preserve">The need for </w:t>
      </w:r>
      <w:r w:rsidR="004F5CAE" w:rsidRPr="004F5CAE">
        <w:t>Gypsies, Travellers and Travelling Showpeople</w:t>
      </w:r>
      <w:r w:rsidR="004F5CAE">
        <w:t>’</w:t>
      </w:r>
      <w:r w:rsidR="004F5CAE" w:rsidRPr="004F5CAE">
        <w:t>s pitches</w:t>
      </w:r>
      <w:r w:rsidR="004F5CAE">
        <w:t xml:space="preserve"> and plots are identified to </w:t>
      </w:r>
      <w:r w:rsidR="00151766">
        <w:t xml:space="preserve">the </w:t>
      </w:r>
      <w:r w:rsidR="004F5CAE">
        <w:t>year 2038. Table 4 in the Ashfield local Plan identifies the following level of need evidenced by the GTAA 2021.</w:t>
      </w:r>
    </w:p>
    <w:p w14:paraId="778A73BB" w14:textId="77777777" w:rsidR="004F5CAE" w:rsidRDefault="004F5CAE" w:rsidP="00F46F28">
      <w:pPr>
        <w:jc w:val="left"/>
      </w:pPr>
    </w:p>
    <w:tbl>
      <w:tblPr>
        <w:tblStyle w:val="ReportTable1"/>
        <w:tblW w:w="0" w:type="auto"/>
        <w:jc w:val="center"/>
        <w:tblLook w:val="04A0" w:firstRow="1" w:lastRow="0" w:firstColumn="1" w:lastColumn="0" w:noHBand="0" w:noVBand="1"/>
      </w:tblPr>
      <w:tblGrid>
        <w:gridCol w:w="2693"/>
        <w:gridCol w:w="2977"/>
        <w:gridCol w:w="2977"/>
      </w:tblGrid>
      <w:tr w:rsidR="004F5CAE" w:rsidRPr="003C7E62" w14:paraId="34665D8B" w14:textId="77777777" w:rsidTr="006F7399">
        <w:trPr>
          <w:trHeight w:val="637"/>
          <w:jc w:val="center"/>
        </w:trPr>
        <w:tc>
          <w:tcPr>
            <w:tcW w:w="8647" w:type="dxa"/>
            <w:gridSpan w:val="3"/>
            <w:shd w:val="clear" w:color="auto" w:fill="D9D9D9"/>
          </w:tcPr>
          <w:p w14:paraId="64949D60" w14:textId="77777777" w:rsidR="004F5CAE" w:rsidRPr="003C7E62" w:rsidRDefault="004F5CAE" w:rsidP="006F7399">
            <w:pPr>
              <w:contextualSpacing/>
              <w:rPr>
                <w:rFonts w:cs="Arial"/>
                <w:b/>
                <w:szCs w:val="24"/>
              </w:rPr>
            </w:pPr>
            <w:r w:rsidRPr="000032B0">
              <w:rPr>
                <w:rFonts w:cs="Arial"/>
                <w:b/>
                <w:szCs w:val="24"/>
              </w:rPr>
              <w:t>Ashfield Future Pitch/Plot Requirements 2020 to 2038</w:t>
            </w:r>
          </w:p>
        </w:tc>
      </w:tr>
      <w:tr w:rsidR="004F5CAE" w:rsidRPr="003C7E62" w14:paraId="5C4C6658" w14:textId="77777777" w:rsidTr="006F7399">
        <w:trPr>
          <w:trHeight w:val="519"/>
          <w:jc w:val="center"/>
        </w:trPr>
        <w:tc>
          <w:tcPr>
            <w:tcW w:w="2693" w:type="dxa"/>
            <w:shd w:val="clear" w:color="auto" w:fill="D9D9D9"/>
          </w:tcPr>
          <w:p w14:paraId="561F73AA" w14:textId="77777777" w:rsidR="004F5CAE" w:rsidRPr="003C7E62" w:rsidRDefault="004F5CAE" w:rsidP="006F7399">
            <w:pPr>
              <w:contextualSpacing/>
              <w:rPr>
                <w:rFonts w:cs="Arial"/>
                <w:b/>
                <w:szCs w:val="24"/>
              </w:rPr>
            </w:pPr>
            <w:r w:rsidRPr="003C7E62">
              <w:rPr>
                <w:rFonts w:cs="Arial"/>
                <w:b/>
                <w:szCs w:val="24"/>
              </w:rPr>
              <w:t>Period</w:t>
            </w:r>
          </w:p>
        </w:tc>
        <w:tc>
          <w:tcPr>
            <w:tcW w:w="2977" w:type="dxa"/>
            <w:shd w:val="clear" w:color="auto" w:fill="D9D9D9"/>
          </w:tcPr>
          <w:p w14:paraId="0FA51641" w14:textId="77777777" w:rsidR="004F5CAE" w:rsidRPr="003C7E62" w:rsidRDefault="004F5CAE" w:rsidP="006F7399">
            <w:pPr>
              <w:contextualSpacing/>
              <w:jc w:val="center"/>
              <w:rPr>
                <w:rFonts w:cs="Arial"/>
                <w:b/>
                <w:szCs w:val="24"/>
              </w:rPr>
            </w:pPr>
            <w:r w:rsidRPr="003C7E62">
              <w:rPr>
                <w:rFonts w:cs="Arial"/>
                <w:b/>
                <w:szCs w:val="24"/>
              </w:rPr>
              <w:t>Gypsy/Traveller Pitches</w:t>
            </w:r>
          </w:p>
        </w:tc>
        <w:tc>
          <w:tcPr>
            <w:tcW w:w="2977" w:type="dxa"/>
            <w:shd w:val="clear" w:color="auto" w:fill="D9D9D9"/>
          </w:tcPr>
          <w:p w14:paraId="4B5378C1" w14:textId="77777777" w:rsidR="004F5CAE" w:rsidRPr="003C7E62" w:rsidRDefault="004F5CAE" w:rsidP="006F7399">
            <w:pPr>
              <w:contextualSpacing/>
              <w:jc w:val="center"/>
              <w:rPr>
                <w:rFonts w:cs="Arial"/>
                <w:b/>
                <w:szCs w:val="24"/>
              </w:rPr>
            </w:pPr>
            <w:r w:rsidRPr="003C7E62">
              <w:rPr>
                <w:rFonts w:cs="Arial"/>
                <w:b/>
                <w:szCs w:val="24"/>
              </w:rPr>
              <w:t>Showpeople’s Plots/Yards</w:t>
            </w:r>
          </w:p>
        </w:tc>
      </w:tr>
      <w:tr w:rsidR="004F5CAE" w:rsidRPr="003C7E62" w14:paraId="335B481A" w14:textId="77777777" w:rsidTr="006F7399">
        <w:trPr>
          <w:trHeight w:val="526"/>
          <w:jc w:val="center"/>
        </w:trPr>
        <w:tc>
          <w:tcPr>
            <w:tcW w:w="2693" w:type="dxa"/>
          </w:tcPr>
          <w:p w14:paraId="79FF1CD3" w14:textId="77777777" w:rsidR="004F5CAE" w:rsidRPr="003C7E62" w:rsidRDefault="004F5CAE" w:rsidP="006F7399">
            <w:pPr>
              <w:contextualSpacing/>
              <w:rPr>
                <w:rFonts w:cs="Arial"/>
                <w:szCs w:val="24"/>
              </w:rPr>
            </w:pPr>
            <w:r w:rsidRPr="003C7E62">
              <w:rPr>
                <w:rFonts w:cs="Arial"/>
                <w:szCs w:val="24"/>
              </w:rPr>
              <w:t>2020 to 2025</w:t>
            </w:r>
          </w:p>
        </w:tc>
        <w:tc>
          <w:tcPr>
            <w:tcW w:w="2977" w:type="dxa"/>
          </w:tcPr>
          <w:p w14:paraId="4B01C935" w14:textId="77777777" w:rsidR="004F5CAE" w:rsidRPr="0073604D" w:rsidRDefault="004F5CAE" w:rsidP="006F7399">
            <w:pPr>
              <w:contextualSpacing/>
              <w:jc w:val="center"/>
              <w:rPr>
                <w:rFonts w:cs="Arial"/>
                <w:strike/>
                <w:szCs w:val="24"/>
              </w:rPr>
            </w:pPr>
            <w:r w:rsidRPr="0073604D">
              <w:rPr>
                <w:rFonts w:cs="Arial"/>
                <w:szCs w:val="24"/>
              </w:rPr>
              <w:t>1</w:t>
            </w:r>
          </w:p>
        </w:tc>
        <w:tc>
          <w:tcPr>
            <w:tcW w:w="2977" w:type="dxa"/>
          </w:tcPr>
          <w:p w14:paraId="1E90C827" w14:textId="77777777" w:rsidR="004F5CAE" w:rsidRPr="0073604D" w:rsidRDefault="004F5CAE" w:rsidP="006F7399">
            <w:pPr>
              <w:contextualSpacing/>
              <w:jc w:val="center"/>
              <w:rPr>
                <w:rFonts w:cs="Arial"/>
                <w:szCs w:val="24"/>
              </w:rPr>
            </w:pPr>
            <w:r w:rsidRPr="0073604D">
              <w:rPr>
                <w:rFonts w:cs="Arial"/>
                <w:szCs w:val="24"/>
              </w:rPr>
              <w:t>9</w:t>
            </w:r>
          </w:p>
        </w:tc>
      </w:tr>
      <w:tr w:rsidR="004F5CAE" w:rsidRPr="003C7E62" w14:paraId="10368725" w14:textId="77777777" w:rsidTr="006F7399">
        <w:trPr>
          <w:trHeight w:val="520"/>
          <w:jc w:val="center"/>
        </w:trPr>
        <w:tc>
          <w:tcPr>
            <w:tcW w:w="2693" w:type="dxa"/>
          </w:tcPr>
          <w:p w14:paraId="4FE9CF4E" w14:textId="77777777" w:rsidR="004F5CAE" w:rsidRPr="003C7E62" w:rsidRDefault="004F5CAE" w:rsidP="006F7399">
            <w:pPr>
              <w:contextualSpacing/>
              <w:rPr>
                <w:rFonts w:cs="Arial"/>
                <w:szCs w:val="24"/>
              </w:rPr>
            </w:pPr>
            <w:r w:rsidRPr="003C7E62">
              <w:rPr>
                <w:rFonts w:cs="Arial"/>
                <w:szCs w:val="24"/>
              </w:rPr>
              <w:t>2025 to 2030</w:t>
            </w:r>
          </w:p>
        </w:tc>
        <w:tc>
          <w:tcPr>
            <w:tcW w:w="2977" w:type="dxa"/>
          </w:tcPr>
          <w:p w14:paraId="57C2D693" w14:textId="77777777" w:rsidR="004F5CAE" w:rsidRPr="0073604D" w:rsidRDefault="004F5CAE" w:rsidP="006F7399">
            <w:pPr>
              <w:contextualSpacing/>
              <w:jc w:val="center"/>
              <w:rPr>
                <w:rFonts w:cs="Arial"/>
                <w:szCs w:val="24"/>
              </w:rPr>
            </w:pPr>
            <w:r w:rsidRPr="0073604D">
              <w:rPr>
                <w:rFonts w:cs="Arial"/>
                <w:szCs w:val="24"/>
              </w:rPr>
              <w:t>1</w:t>
            </w:r>
          </w:p>
        </w:tc>
        <w:tc>
          <w:tcPr>
            <w:tcW w:w="2977" w:type="dxa"/>
          </w:tcPr>
          <w:p w14:paraId="68AEAD2D" w14:textId="77777777" w:rsidR="004F5CAE" w:rsidRPr="0073604D" w:rsidRDefault="004F5CAE" w:rsidP="006F7399">
            <w:pPr>
              <w:contextualSpacing/>
              <w:jc w:val="center"/>
              <w:rPr>
                <w:rFonts w:cs="Arial"/>
                <w:szCs w:val="24"/>
              </w:rPr>
            </w:pPr>
            <w:r w:rsidRPr="0073604D">
              <w:rPr>
                <w:rFonts w:cs="Arial"/>
                <w:szCs w:val="24"/>
              </w:rPr>
              <w:t>2</w:t>
            </w:r>
          </w:p>
        </w:tc>
      </w:tr>
      <w:tr w:rsidR="004F5CAE" w:rsidRPr="003C7E62" w14:paraId="18678601" w14:textId="77777777" w:rsidTr="006F7399">
        <w:trPr>
          <w:trHeight w:val="627"/>
          <w:jc w:val="center"/>
        </w:trPr>
        <w:tc>
          <w:tcPr>
            <w:tcW w:w="2693" w:type="dxa"/>
          </w:tcPr>
          <w:p w14:paraId="16EB4A38" w14:textId="77777777" w:rsidR="004F5CAE" w:rsidRPr="003C7E62" w:rsidRDefault="004F5CAE" w:rsidP="006F7399">
            <w:pPr>
              <w:contextualSpacing/>
              <w:rPr>
                <w:rFonts w:cs="Arial"/>
                <w:szCs w:val="24"/>
              </w:rPr>
            </w:pPr>
            <w:r w:rsidRPr="003C7E62">
              <w:rPr>
                <w:rFonts w:cs="Arial"/>
                <w:szCs w:val="24"/>
              </w:rPr>
              <w:t>2030 to 2035</w:t>
            </w:r>
          </w:p>
        </w:tc>
        <w:tc>
          <w:tcPr>
            <w:tcW w:w="2977" w:type="dxa"/>
          </w:tcPr>
          <w:p w14:paraId="5B8B0D86" w14:textId="77777777" w:rsidR="004F5CAE" w:rsidRPr="0073604D" w:rsidRDefault="004F5CAE" w:rsidP="006F7399">
            <w:pPr>
              <w:contextualSpacing/>
              <w:jc w:val="center"/>
              <w:rPr>
                <w:rFonts w:cs="Arial"/>
                <w:szCs w:val="24"/>
              </w:rPr>
            </w:pPr>
            <w:r w:rsidRPr="0073604D">
              <w:rPr>
                <w:rFonts w:cs="Arial"/>
                <w:szCs w:val="24"/>
              </w:rPr>
              <w:t>1</w:t>
            </w:r>
          </w:p>
        </w:tc>
        <w:tc>
          <w:tcPr>
            <w:tcW w:w="2977" w:type="dxa"/>
          </w:tcPr>
          <w:p w14:paraId="0092BCF4" w14:textId="77777777" w:rsidR="004F5CAE" w:rsidRPr="0073604D" w:rsidRDefault="004F5CAE" w:rsidP="006F7399">
            <w:pPr>
              <w:contextualSpacing/>
              <w:jc w:val="center"/>
              <w:rPr>
                <w:rFonts w:cs="Arial"/>
                <w:szCs w:val="24"/>
              </w:rPr>
            </w:pPr>
            <w:r w:rsidRPr="0073604D">
              <w:rPr>
                <w:rFonts w:cs="Arial"/>
                <w:szCs w:val="24"/>
              </w:rPr>
              <w:t>2</w:t>
            </w:r>
          </w:p>
        </w:tc>
      </w:tr>
      <w:tr w:rsidR="004F5CAE" w:rsidRPr="003C7E62" w14:paraId="3B0284A8" w14:textId="77777777" w:rsidTr="006F7399">
        <w:trPr>
          <w:trHeight w:val="627"/>
          <w:jc w:val="center"/>
        </w:trPr>
        <w:tc>
          <w:tcPr>
            <w:tcW w:w="2693" w:type="dxa"/>
          </w:tcPr>
          <w:p w14:paraId="568C9208" w14:textId="77777777" w:rsidR="004F5CAE" w:rsidRPr="003C7E62" w:rsidRDefault="004F5CAE" w:rsidP="006F7399">
            <w:pPr>
              <w:contextualSpacing/>
              <w:rPr>
                <w:rFonts w:cs="Arial"/>
                <w:szCs w:val="24"/>
              </w:rPr>
            </w:pPr>
            <w:r w:rsidRPr="003C7E62">
              <w:rPr>
                <w:rFonts w:cs="Arial"/>
                <w:szCs w:val="24"/>
              </w:rPr>
              <w:t>2035 to 2038</w:t>
            </w:r>
          </w:p>
        </w:tc>
        <w:tc>
          <w:tcPr>
            <w:tcW w:w="2977" w:type="dxa"/>
          </w:tcPr>
          <w:p w14:paraId="69CB0EB0" w14:textId="77777777" w:rsidR="004F5CAE" w:rsidRPr="0073604D" w:rsidRDefault="004F5CAE" w:rsidP="006F7399">
            <w:pPr>
              <w:contextualSpacing/>
              <w:jc w:val="center"/>
              <w:rPr>
                <w:rFonts w:cs="Arial"/>
                <w:szCs w:val="24"/>
              </w:rPr>
            </w:pPr>
            <w:r w:rsidRPr="0073604D">
              <w:rPr>
                <w:rFonts w:cs="Arial"/>
                <w:szCs w:val="24"/>
              </w:rPr>
              <w:t>1</w:t>
            </w:r>
          </w:p>
        </w:tc>
        <w:tc>
          <w:tcPr>
            <w:tcW w:w="2977" w:type="dxa"/>
          </w:tcPr>
          <w:p w14:paraId="2DFF6CED" w14:textId="77777777" w:rsidR="004F5CAE" w:rsidRPr="0073604D" w:rsidRDefault="004F5CAE" w:rsidP="006F7399">
            <w:pPr>
              <w:contextualSpacing/>
              <w:jc w:val="center"/>
              <w:rPr>
                <w:rFonts w:cs="Arial"/>
                <w:szCs w:val="24"/>
              </w:rPr>
            </w:pPr>
            <w:r w:rsidRPr="0073604D">
              <w:rPr>
                <w:rFonts w:cs="Arial"/>
                <w:szCs w:val="24"/>
              </w:rPr>
              <w:t>1</w:t>
            </w:r>
          </w:p>
        </w:tc>
      </w:tr>
      <w:tr w:rsidR="004F5CAE" w:rsidRPr="003C7E62" w14:paraId="34F49ED7" w14:textId="77777777" w:rsidTr="006F7399">
        <w:trPr>
          <w:trHeight w:val="627"/>
          <w:jc w:val="center"/>
        </w:trPr>
        <w:tc>
          <w:tcPr>
            <w:tcW w:w="2693" w:type="dxa"/>
          </w:tcPr>
          <w:p w14:paraId="6AA80296" w14:textId="77777777" w:rsidR="004F5CAE" w:rsidRPr="003C7E62" w:rsidRDefault="004F5CAE" w:rsidP="006F7399">
            <w:pPr>
              <w:contextualSpacing/>
              <w:rPr>
                <w:rFonts w:cs="Arial"/>
                <w:b/>
                <w:bCs/>
                <w:szCs w:val="24"/>
              </w:rPr>
            </w:pPr>
            <w:r w:rsidRPr="003C7E62">
              <w:rPr>
                <w:rFonts w:cs="Arial"/>
                <w:b/>
                <w:bCs/>
                <w:szCs w:val="24"/>
              </w:rPr>
              <w:t>Total 2020 to 2038</w:t>
            </w:r>
          </w:p>
        </w:tc>
        <w:tc>
          <w:tcPr>
            <w:tcW w:w="2977" w:type="dxa"/>
          </w:tcPr>
          <w:p w14:paraId="4A78215D" w14:textId="77777777" w:rsidR="004F5CAE" w:rsidRPr="0073604D" w:rsidRDefault="004F5CAE" w:rsidP="006F7399">
            <w:pPr>
              <w:contextualSpacing/>
              <w:jc w:val="center"/>
              <w:rPr>
                <w:rFonts w:cs="Arial"/>
                <w:b/>
                <w:bCs/>
                <w:szCs w:val="24"/>
              </w:rPr>
            </w:pPr>
            <w:r w:rsidRPr="0073604D">
              <w:rPr>
                <w:rFonts w:cs="Arial"/>
                <w:b/>
                <w:szCs w:val="24"/>
              </w:rPr>
              <w:t>4</w:t>
            </w:r>
          </w:p>
        </w:tc>
        <w:tc>
          <w:tcPr>
            <w:tcW w:w="2977" w:type="dxa"/>
          </w:tcPr>
          <w:p w14:paraId="7DA4C3B3" w14:textId="77777777" w:rsidR="004F5CAE" w:rsidRPr="0073604D" w:rsidRDefault="004F5CAE" w:rsidP="006F7399">
            <w:pPr>
              <w:contextualSpacing/>
              <w:jc w:val="center"/>
              <w:rPr>
                <w:rFonts w:cs="Arial"/>
                <w:b/>
                <w:bCs/>
                <w:szCs w:val="24"/>
              </w:rPr>
            </w:pPr>
            <w:r w:rsidRPr="0073604D">
              <w:rPr>
                <w:rFonts w:cs="Arial"/>
                <w:b/>
                <w:bCs/>
                <w:szCs w:val="24"/>
              </w:rPr>
              <w:t>14</w:t>
            </w:r>
          </w:p>
        </w:tc>
      </w:tr>
    </w:tbl>
    <w:p w14:paraId="6BB874A7" w14:textId="77777777" w:rsidR="004F5CAE" w:rsidRPr="00F46F28" w:rsidRDefault="004F5CAE" w:rsidP="00F46F28">
      <w:pPr>
        <w:jc w:val="left"/>
      </w:pPr>
    </w:p>
    <w:p w14:paraId="127FF363" w14:textId="17DDCFBB" w:rsidR="00D54C0F" w:rsidRDefault="007C635D" w:rsidP="007C635D">
      <w:pPr>
        <w:ind w:left="720" w:hanging="720"/>
        <w:jc w:val="left"/>
      </w:pPr>
      <w:r>
        <w:t>2.23.2</w:t>
      </w:r>
      <w:r>
        <w:tab/>
      </w:r>
      <w:r w:rsidR="00877542">
        <w:t xml:space="preserve">The </w:t>
      </w:r>
      <w:r w:rsidR="00877542" w:rsidRPr="00292CB0">
        <w:t xml:space="preserve">Greater Nottingham and Ashfield District Council </w:t>
      </w:r>
      <w:r w:rsidR="00877542" w:rsidRPr="000F0565">
        <w:t>G</w:t>
      </w:r>
      <w:r w:rsidR="00877542">
        <w:t>ypsy and Traveller Accommodation Assessment 2021 (G</w:t>
      </w:r>
      <w:r w:rsidR="00877542" w:rsidRPr="000F0565">
        <w:t>TAA</w:t>
      </w:r>
      <w:r w:rsidR="00877542">
        <w:t>)</w:t>
      </w:r>
      <w:r w:rsidR="00877542" w:rsidRPr="000F0565">
        <w:t xml:space="preserve"> </w:t>
      </w:r>
      <w:r w:rsidR="00877542">
        <w:t xml:space="preserve">[SEV.21] </w:t>
      </w:r>
      <w:r w:rsidR="00336613">
        <w:t xml:space="preserve">was undertaken in conjunction with neighbouring authorities to provide a sound evidence base for the respective emerging/ updated development plans. It informed the </w:t>
      </w:r>
      <w:r w:rsidR="00877542" w:rsidRPr="00877542">
        <w:t>Regulation 18 stage</w:t>
      </w:r>
      <w:r w:rsidR="00336613">
        <w:t xml:space="preserve"> Ashfield Local Plan (consultation</w:t>
      </w:r>
      <w:r w:rsidR="00877542" w:rsidRPr="00877542">
        <w:t xml:space="preserve"> 4th October to 16 November 2021</w:t>
      </w:r>
      <w:r w:rsidR="00336613">
        <w:t>)</w:t>
      </w:r>
      <w:r w:rsidR="00151766">
        <w:t>,</w:t>
      </w:r>
      <w:r w:rsidR="00336613">
        <w:t xml:space="preserve"> which at that stage had a plan period of 2020-2038. </w:t>
      </w:r>
    </w:p>
    <w:p w14:paraId="6AFC36B8" w14:textId="428C8390" w:rsidR="00336613" w:rsidRDefault="007C635D" w:rsidP="007C635D">
      <w:pPr>
        <w:ind w:left="720" w:hanging="720"/>
        <w:jc w:val="left"/>
      </w:pPr>
      <w:r>
        <w:t>2.23.3</w:t>
      </w:r>
      <w:r>
        <w:tab/>
      </w:r>
      <w:r w:rsidR="00336613">
        <w:t xml:space="preserve">As the Local Plan progressed through to Regulation 19 stage a decision was taken to re-base the plan period to facilitate a full </w:t>
      </w:r>
      <w:proofErr w:type="gramStart"/>
      <w:r w:rsidR="00336613">
        <w:t>15 year</w:t>
      </w:r>
      <w:proofErr w:type="gramEnd"/>
      <w:r w:rsidR="00336613">
        <w:t xml:space="preserve"> Plan upon adoption. The GTAA was not subsequently updated at that time due to timescales, the low level of </w:t>
      </w:r>
      <w:r w:rsidR="00336613">
        <w:lastRenderedPageBreak/>
        <w:t>identified need particularly towards the end of the assessment period, and the requirement for evidence to be proportionate.</w:t>
      </w:r>
    </w:p>
    <w:p w14:paraId="19ED0B80" w14:textId="6B41211B" w:rsidR="00B3356A" w:rsidRDefault="007C635D" w:rsidP="007C635D">
      <w:pPr>
        <w:ind w:left="720" w:hanging="720"/>
        <w:jc w:val="left"/>
      </w:pPr>
      <w:r>
        <w:t>2.23.4</w:t>
      </w:r>
      <w:r>
        <w:tab/>
      </w:r>
      <w:r w:rsidR="00B3356A">
        <w:t xml:space="preserve">As set out in the council’s response to Qu. 2.21, the </w:t>
      </w:r>
      <w:proofErr w:type="gramStart"/>
      <w:r w:rsidR="00B3356A">
        <w:t>criteria based</w:t>
      </w:r>
      <w:proofErr w:type="gramEnd"/>
      <w:r w:rsidR="00B3356A">
        <w:t xml:space="preserve"> </w:t>
      </w:r>
      <w:r w:rsidR="00B3356A" w:rsidRPr="00B3356A">
        <w:t>Policy H2 does not preclude additional pitches, plots or sites coming forward through the planning application process based on the level of assessed need.</w:t>
      </w:r>
    </w:p>
    <w:p w14:paraId="7D9BAE8E" w14:textId="77EB119A" w:rsidR="00B3356A" w:rsidRDefault="007C635D" w:rsidP="00F46F28">
      <w:pPr>
        <w:jc w:val="left"/>
      </w:pPr>
      <w:r>
        <w:t>2.23.5</w:t>
      </w:r>
      <w:r>
        <w:tab/>
      </w:r>
      <w:r w:rsidR="00B3356A">
        <w:t>The council consider this to be a pragmatic and justified approach.</w:t>
      </w:r>
    </w:p>
    <w:p w14:paraId="2FBCCFFD" w14:textId="77777777" w:rsidR="00B3356A" w:rsidRPr="00877542" w:rsidRDefault="00B3356A" w:rsidP="00F46F28">
      <w:pPr>
        <w:jc w:val="left"/>
      </w:pPr>
    </w:p>
    <w:p w14:paraId="5531D500" w14:textId="759198A3" w:rsidR="005B2FA0" w:rsidRPr="003D1036" w:rsidRDefault="005B2FA0" w:rsidP="005D13C3">
      <w:pPr>
        <w:pStyle w:val="Heading3"/>
      </w:pPr>
      <w:r w:rsidRPr="003D1036">
        <w:t>2.24</w:t>
      </w:r>
      <w:r w:rsidR="005D13C3">
        <w:tab/>
      </w:r>
      <w:r w:rsidRPr="003D1036">
        <w:t>Is the plan sufficiently clear as to when the proposed allocations to meet the needs of</w:t>
      </w:r>
      <w:r w:rsidR="00F46F28">
        <w:t xml:space="preserve"> </w:t>
      </w:r>
      <w:r w:rsidRPr="003D1036">
        <w:t>Gypsies and Travellers are required by?</w:t>
      </w:r>
    </w:p>
    <w:p w14:paraId="01B41213" w14:textId="77777777" w:rsidR="00F46F28" w:rsidRPr="00156B97" w:rsidRDefault="00F46F28" w:rsidP="00F46F28">
      <w:pPr>
        <w:jc w:val="left"/>
        <w:rPr>
          <w:u w:val="single"/>
        </w:rPr>
      </w:pPr>
      <w:r w:rsidRPr="00156B97">
        <w:rPr>
          <w:u w:val="single"/>
        </w:rPr>
        <w:t>Council’s response</w:t>
      </w:r>
    </w:p>
    <w:p w14:paraId="552BC6E5" w14:textId="6D71F8B9" w:rsidR="00D54C0F" w:rsidRDefault="007C635D" w:rsidP="007C635D">
      <w:pPr>
        <w:ind w:left="720" w:hanging="720"/>
        <w:jc w:val="left"/>
      </w:pPr>
      <w:r>
        <w:t>2.24.1</w:t>
      </w:r>
      <w:r>
        <w:tab/>
      </w:r>
      <w:r w:rsidR="00C905C7">
        <w:t xml:space="preserve">Table 4 in the Ashfield local Plan identifies the following level of need evidenced by the GTAA 2021. This sets out the level of need in </w:t>
      </w:r>
      <w:proofErr w:type="gramStart"/>
      <w:r w:rsidR="00C905C7">
        <w:t>5 year</w:t>
      </w:r>
      <w:proofErr w:type="gramEnd"/>
      <w:r w:rsidR="00C905C7">
        <w:t xml:space="preserve"> tranches up to 2038 (remaining period only 3 years).</w:t>
      </w:r>
    </w:p>
    <w:p w14:paraId="186C1203" w14:textId="6ABD05C1" w:rsidR="00C905C7" w:rsidRPr="00F46F28" w:rsidRDefault="007C635D" w:rsidP="00F46F28">
      <w:pPr>
        <w:jc w:val="left"/>
      </w:pPr>
      <w:r>
        <w:t>2.24.2</w:t>
      </w:r>
      <w:r>
        <w:tab/>
      </w:r>
      <w:r w:rsidR="00C905C7">
        <w:t>The Local Plan identifies sites to fully meet these needs in policy H2a.</w:t>
      </w:r>
    </w:p>
    <w:p w14:paraId="651C6537" w14:textId="77777777" w:rsidR="00D54C0F" w:rsidRPr="003D1036" w:rsidRDefault="00D54C0F" w:rsidP="00F46F28">
      <w:pPr>
        <w:jc w:val="left"/>
        <w:rPr>
          <w:b/>
          <w:bCs/>
          <w:i/>
          <w:iCs/>
        </w:rPr>
      </w:pPr>
    </w:p>
    <w:p w14:paraId="7007A06E" w14:textId="41BB4B6E" w:rsidR="005B2FA0" w:rsidRPr="003D1036" w:rsidRDefault="005B2FA0" w:rsidP="005D13C3">
      <w:pPr>
        <w:pStyle w:val="Heading3"/>
      </w:pPr>
      <w:r w:rsidRPr="003D1036">
        <w:t>2.25</w:t>
      </w:r>
      <w:r w:rsidR="005D13C3">
        <w:tab/>
      </w:r>
      <w:r w:rsidRPr="003D1036">
        <w:t>What process and methodology did the Council use to determine which sites to</w:t>
      </w:r>
      <w:r w:rsidR="00F46F28">
        <w:t xml:space="preserve"> </w:t>
      </w:r>
      <w:r w:rsidRPr="003D1036">
        <w:t>allocate?</w:t>
      </w:r>
    </w:p>
    <w:p w14:paraId="742619BF" w14:textId="77777777" w:rsidR="00F46F28" w:rsidRPr="00156B97" w:rsidRDefault="00F46F28" w:rsidP="00F46F28">
      <w:pPr>
        <w:jc w:val="left"/>
        <w:rPr>
          <w:u w:val="single"/>
        </w:rPr>
      </w:pPr>
      <w:r w:rsidRPr="00156B97">
        <w:rPr>
          <w:u w:val="single"/>
        </w:rPr>
        <w:t>Council’s response</w:t>
      </w:r>
    </w:p>
    <w:p w14:paraId="051BA6F2" w14:textId="65FDCFC0" w:rsidR="00917679" w:rsidRDefault="00D56B45" w:rsidP="00D56B45">
      <w:pPr>
        <w:ind w:left="720" w:hanging="720"/>
        <w:jc w:val="left"/>
      </w:pPr>
      <w:r>
        <w:t>2.25.1</w:t>
      </w:r>
      <w:r>
        <w:tab/>
      </w:r>
      <w:r w:rsidR="00323A96">
        <w:t xml:space="preserve">The council undertook a call for sites for a Strategic Housing and </w:t>
      </w:r>
      <w:r w:rsidR="004113B3">
        <w:t>Economic</w:t>
      </w:r>
      <w:r w:rsidR="00323A96">
        <w:t xml:space="preserve"> Land</w:t>
      </w:r>
      <w:r w:rsidR="004113B3">
        <w:t xml:space="preserve"> </w:t>
      </w:r>
      <w:r w:rsidR="00323A96">
        <w:t xml:space="preserve">Availability </w:t>
      </w:r>
      <w:r w:rsidR="004113B3">
        <w:t>A</w:t>
      </w:r>
      <w:r w:rsidR="00323A96">
        <w:t>ssessment (SHELAA) in 2018</w:t>
      </w:r>
      <w:r w:rsidR="00D0036C">
        <w:t xml:space="preserve"> – this included sites for Gypsy/Traveller and/or Showpeople’s use</w:t>
      </w:r>
      <w:r w:rsidR="00323A96">
        <w:t>. The SHELAA remain</w:t>
      </w:r>
      <w:r w:rsidR="00D0036C">
        <w:t>s</w:t>
      </w:r>
      <w:r w:rsidR="00323A96">
        <w:t xml:space="preserve"> a ‘live’ document with submission forms available on the Council’s website</w:t>
      </w:r>
      <w:r w:rsidR="00D0036C">
        <w:t>, and any submitted sites are assessed on a frequent basis.</w:t>
      </w:r>
    </w:p>
    <w:p w14:paraId="5C53CFFE" w14:textId="3C1BB62E" w:rsidR="00323A96" w:rsidRDefault="00D56B45" w:rsidP="00D56B45">
      <w:pPr>
        <w:ind w:left="720" w:hanging="720"/>
        <w:jc w:val="left"/>
        <w:rPr>
          <w:rFonts w:cs="Arial"/>
          <w:szCs w:val="24"/>
        </w:rPr>
      </w:pPr>
      <w:r>
        <w:rPr>
          <w:rFonts w:cs="Arial"/>
          <w:szCs w:val="24"/>
        </w:rPr>
        <w:t>2.25.2</w:t>
      </w:r>
      <w:r>
        <w:rPr>
          <w:rFonts w:cs="Arial"/>
          <w:szCs w:val="24"/>
        </w:rPr>
        <w:tab/>
      </w:r>
      <w:r w:rsidR="00D0036C">
        <w:rPr>
          <w:rFonts w:cs="Arial"/>
          <w:szCs w:val="24"/>
        </w:rPr>
        <w:t xml:space="preserve">Sites submitted to the SHELAA have been limited, identifying only 1 site for Gypsy &amp; Traveller use and 3 for Travelling Showmen use. Two of these sites were assessed as unsuitable, including the one Gypsy/traveller site.  </w:t>
      </w:r>
    </w:p>
    <w:p w14:paraId="6E1708AF" w14:textId="62EB0C64" w:rsidR="003F4EC6" w:rsidRDefault="00D56B45" w:rsidP="00D56B45">
      <w:pPr>
        <w:ind w:left="720" w:hanging="720"/>
        <w:jc w:val="left"/>
        <w:rPr>
          <w:rFonts w:cs="Arial"/>
          <w:szCs w:val="24"/>
        </w:rPr>
      </w:pPr>
      <w:r>
        <w:rPr>
          <w:rFonts w:cs="Arial"/>
          <w:szCs w:val="24"/>
        </w:rPr>
        <w:t>2.25.3</w:t>
      </w:r>
      <w:r>
        <w:rPr>
          <w:rFonts w:cs="Arial"/>
          <w:szCs w:val="24"/>
        </w:rPr>
        <w:tab/>
      </w:r>
      <w:r w:rsidR="003F4EC6">
        <w:rPr>
          <w:rFonts w:cs="Arial"/>
          <w:szCs w:val="24"/>
        </w:rPr>
        <w:t xml:space="preserve">The 2 sites which were submitted for Traveling Showpeople </w:t>
      </w:r>
      <w:r>
        <w:rPr>
          <w:rFonts w:cs="Arial"/>
          <w:szCs w:val="24"/>
        </w:rPr>
        <w:t xml:space="preserve">use </w:t>
      </w:r>
      <w:r w:rsidR="003F4EC6">
        <w:rPr>
          <w:rFonts w:cs="Arial"/>
          <w:szCs w:val="24"/>
        </w:rPr>
        <w:t>were subsequently assessed as potentially achievable. These sites are well located being adjacent to an existing yard and have been allocated under policy H2a.</w:t>
      </w:r>
    </w:p>
    <w:p w14:paraId="467806C8" w14:textId="78737F3C" w:rsidR="00D56B45" w:rsidRDefault="00D56B45" w:rsidP="00D56B45">
      <w:pPr>
        <w:ind w:left="720" w:hanging="720"/>
        <w:jc w:val="left"/>
        <w:rPr>
          <w:rFonts w:cs="Arial"/>
          <w:szCs w:val="24"/>
        </w:rPr>
      </w:pPr>
      <w:r>
        <w:rPr>
          <w:rFonts w:cs="Arial"/>
          <w:szCs w:val="24"/>
        </w:rPr>
        <w:t>2.25.4</w:t>
      </w:r>
      <w:r>
        <w:rPr>
          <w:rFonts w:cs="Arial"/>
          <w:szCs w:val="24"/>
        </w:rPr>
        <w:tab/>
        <w:t xml:space="preserve">With regard to Gypsy/Traveller sites, the Council rely on available land safeguarded as part of a wider housing site which has recent current planning approval (see Qu. 2.27). </w:t>
      </w:r>
    </w:p>
    <w:p w14:paraId="3CC76E7D" w14:textId="77777777" w:rsidR="00D0036C" w:rsidRPr="00F46F28" w:rsidRDefault="00D0036C" w:rsidP="00F46F28">
      <w:pPr>
        <w:jc w:val="left"/>
      </w:pPr>
    </w:p>
    <w:p w14:paraId="3DCBD395" w14:textId="2468CA78" w:rsidR="005B2FA0" w:rsidRPr="003D1036" w:rsidRDefault="005B2FA0" w:rsidP="005D13C3">
      <w:pPr>
        <w:pStyle w:val="Heading3"/>
      </w:pPr>
      <w:r w:rsidRPr="003D1036">
        <w:t>2.26</w:t>
      </w:r>
      <w:r w:rsidR="005D13C3">
        <w:tab/>
      </w:r>
      <w:r w:rsidRPr="003D1036">
        <w:t>The plan identifies a requirement for 4 plots to meet the needs of Gypsies and</w:t>
      </w:r>
      <w:r w:rsidR="00F46F28">
        <w:t xml:space="preserve"> </w:t>
      </w:r>
      <w:r w:rsidRPr="003D1036">
        <w:t>Travellers. The table at page 97 of the GTAA identifies a total additional plot</w:t>
      </w:r>
      <w:r w:rsidR="00F46F28">
        <w:t xml:space="preserve"> </w:t>
      </w:r>
      <w:r w:rsidRPr="003D1036">
        <w:t xml:space="preserve">requirement of </w:t>
      </w:r>
      <w:proofErr w:type="gramStart"/>
      <w:r w:rsidRPr="003D1036">
        <w:t>9 yard</w:t>
      </w:r>
      <w:proofErr w:type="gramEnd"/>
      <w:r w:rsidRPr="003D1036">
        <w:t xml:space="preserve"> plots. What is the reasoning for the difference between this</w:t>
      </w:r>
      <w:r w:rsidR="00F46F28">
        <w:t xml:space="preserve"> </w:t>
      </w:r>
      <w:r w:rsidRPr="003D1036">
        <w:t>figure and the submitted plan and where is this set out?</w:t>
      </w:r>
    </w:p>
    <w:p w14:paraId="74B6B317" w14:textId="77777777" w:rsidR="00F46F28" w:rsidRPr="00156B97" w:rsidRDefault="00F46F28" w:rsidP="00F46F28">
      <w:pPr>
        <w:jc w:val="left"/>
        <w:rPr>
          <w:u w:val="single"/>
        </w:rPr>
      </w:pPr>
      <w:r w:rsidRPr="00156B97">
        <w:rPr>
          <w:u w:val="single"/>
        </w:rPr>
        <w:t>Council’s response</w:t>
      </w:r>
    </w:p>
    <w:p w14:paraId="612AE7FB" w14:textId="515FDFE4" w:rsidR="00D54C0F" w:rsidRDefault="00D56B45" w:rsidP="00D56B45">
      <w:pPr>
        <w:ind w:left="720" w:hanging="720"/>
        <w:jc w:val="left"/>
      </w:pPr>
      <w:r>
        <w:lastRenderedPageBreak/>
        <w:t>2.26.1</w:t>
      </w:r>
      <w:r>
        <w:tab/>
      </w:r>
      <w:r w:rsidR="00E21C69" w:rsidRPr="00E21C69">
        <w:t>Table 6.5</w:t>
      </w:r>
      <w:r w:rsidR="00E21C69">
        <w:t xml:space="preserve"> on page 97 of the GTAA</w:t>
      </w:r>
      <w:r w:rsidR="00E21C69" w:rsidRPr="00E21C69">
        <w:t xml:space="preserve"> </w:t>
      </w:r>
      <w:r w:rsidR="00E21C69">
        <w:t>refers to the e</w:t>
      </w:r>
      <w:r w:rsidR="00E21C69" w:rsidRPr="00E21C69">
        <w:t xml:space="preserve">stimate of the need for permanent residential plots </w:t>
      </w:r>
      <w:r w:rsidR="00E21C69">
        <w:t xml:space="preserve">for </w:t>
      </w:r>
      <w:proofErr w:type="spellStart"/>
      <w:r w:rsidR="00E21C69">
        <w:t>showpeople</w:t>
      </w:r>
      <w:proofErr w:type="spellEnd"/>
      <w:r w:rsidR="00E21C69">
        <w:t xml:space="preserve"> years </w:t>
      </w:r>
      <w:r w:rsidR="00E21C69" w:rsidRPr="00E21C69">
        <w:t>2020-2025</w:t>
      </w:r>
      <w:r w:rsidR="00E21C69">
        <w:t xml:space="preserve"> only. The total requirement </w:t>
      </w:r>
      <w:r w:rsidR="00DA1324">
        <w:t xml:space="preserve">of </w:t>
      </w:r>
      <w:r w:rsidR="00DA1324" w:rsidRPr="00DA1324">
        <w:rPr>
          <w:b/>
          <w:bCs/>
        </w:rPr>
        <w:t>14</w:t>
      </w:r>
      <w:r w:rsidR="00DA1324">
        <w:t xml:space="preserve"> </w:t>
      </w:r>
      <w:r w:rsidR="00DA1324" w:rsidRPr="00DA1324">
        <w:rPr>
          <w:b/>
          <w:bCs/>
        </w:rPr>
        <w:t>plots</w:t>
      </w:r>
      <w:r w:rsidR="00DA1324">
        <w:t xml:space="preserve"> </w:t>
      </w:r>
      <w:r w:rsidR="00E21C69">
        <w:t>for Showpeople</w:t>
      </w:r>
      <w:r w:rsidR="00DA1324">
        <w:t>’s accommodation</w:t>
      </w:r>
      <w:r w:rsidR="00E21C69">
        <w:t xml:space="preserve"> 2020-2038 is included in GTAA table </w:t>
      </w:r>
      <w:r w:rsidR="00DA1324">
        <w:t xml:space="preserve">S.2B on page 11, and also table </w:t>
      </w:r>
      <w:r w:rsidR="00E21C69">
        <w:t xml:space="preserve">6.16 on page 105. This is </w:t>
      </w:r>
      <w:r w:rsidR="00DA1324">
        <w:t>the need figure used in the Local Plan.</w:t>
      </w:r>
    </w:p>
    <w:p w14:paraId="358DFD1D" w14:textId="07FB35ED" w:rsidR="00DA1324" w:rsidRDefault="00D56B45" w:rsidP="00D56B45">
      <w:pPr>
        <w:ind w:left="720" w:hanging="720"/>
        <w:jc w:val="left"/>
      </w:pPr>
      <w:r>
        <w:t>2.26.2</w:t>
      </w:r>
      <w:r>
        <w:tab/>
      </w:r>
      <w:r w:rsidR="00DA1324">
        <w:t>In respect of Gypsy/</w:t>
      </w:r>
      <w:r w:rsidR="00151766">
        <w:t>T</w:t>
      </w:r>
      <w:r w:rsidR="00DA1324">
        <w:t>raveller sites, the total need 2020-2038 is set out in GTAA table S1.B on page 9. This is replicated in the Council’s response to Qu.2.21 and shows an overall n</w:t>
      </w:r>
      <w:r>
        <w:t>e</w:t>
      </w:r>
      <w:r w:rsidR="00DA1324">
        <w:t xml:space="preserve">ed for </w:t>
      </w:r>
      <w:r w:rsidR="00DA1324" w:rsidRPr="00DA1324">
        <w:rPr>
          <w:b/>
          <w:bCs/>
        </w:rPr>
        <w:t>4 pitches</w:t>
      </w:r>
      <w:r w:rsidR="00DA1324">
        <w:t xml:space="preserve"> for the higher ethnic definition which is used in the Local Plan.</w:t>
      </w:r>
    </w:p>
    <w:p w14:paraId="423AFE0E" w14:textId="0A34D3EB" w:rsidR="00DA1324" w:rsidRPr="00F46F28" w:rsidRDefault="00D56B45" w:rsidP="00F46F28">
      <w:pPr>
        <w:jc w:val="left"/>
      </w:pPr>
      <w:r>
        <w:t>2.26.3</w:t>
      </w:r>
      <w:r>
        <w:tab/>
      </w:r>
      <w:r w:rsidR="00DA1324">
        <w:t>Sites are allocated in Policy H2a to meet these needs.</w:t>
      </w:r>
    </w:p>
    <w:p w14:paraId="4DAB6ACB" w14:textId="77777777" w:rsidR="00D54C0F" w:rsidRPr="003D1036" w:rsidRDefault="00D54C0F" w:rsidP="00F46F28">
      <w:pPr>
        <w:jc w:val="left"/>
        <w:rPr>
          <w:b/>
          <w:bCs/>
          <w:i/>
          <w:iCs/>
        </w:rPr>
      </w:pPr>
    </w:p>
    <w:p w14:paraId="1D4BB633" w14:textId="1CB6A8E5" w:rsidR="005B2FA0" w:rsidRPr="003D1036" w:rsidRDefault="005B2FA0" w:rsidP="005D13C3">
      <w:pPr>
        <w:pStyle w:val="Heading3"/>
      </w:pPr>
      <w:r w:rsidRPr="003D1036">
        <w:t>2.27</w:t>
      </w:r>
      <w:r w:rsidR="005D13C3">
        <w:tab/>
      </w:r>
      <w:r w:rsidRPr="003D1036">
        <w:t>Taking each in turn, are the proposed site allocations for Gypsies, Travellers and</w:t>
      </w:r>
      <w:r w:rsidR="00F46F28">
        <w:t xml:space="preserve"> </w:t>
      </w:r>
      <w:r w:rsidRPr="003D1036">
        <w:t>Travelling Showpeople justified? Is each site deliverable?</w:t>
      </w:r>
    </w:p>
    <w:p w14:paraId="2001701E" w14:textId="77777777" w:rsidR="00F46F28" w:rsidRPr="00156B97" w:rsidRDefault="00F46F28" w:rsidP="00F46F28">
      <w:pPr>
        <w:jc w:val="left"/>
        <w:rPr>
          <w:u w:val="single"/>
        </w:rPr>
      </w:pPr>
      <w:r w:rsidRPr="00156B97">
        <w:rPr>
          <w:u w:val="single"/>
        </w:rPr>
        <w:t>Council’s response</w:t>
      </w:r>
    </w:p>
    <w:p w14:paraId="3C9A18E1" w14:textId="16009505" w:rsidR="00E20C7F" w:rsidRDefault="00EF6A43" w:rsidP="007901B3">
      <w:pPr>
        <w:ind w:left="720" w:hanging="720"/>
        <w:jc w:val="left"/>
        <w:rPr>
          <w:color w:val="000000"/>
          <w:sz w:val="22"/>
        </w:rPr>
      </w:pPr>
      <w:r>
        <w:t>2.27.1</w:t>
      </w:r>
      <w:r>
        <w:tab/>
      </w:r>
      <w:bookmarkStart w:id="20" w:name="_Hlk180673385"/>
      <w:r w:rsidRPr="00EF6A43">
        <w:rPr>
          <w:u w:val="single"/>
        </w:rPr>
        <w:t xml:space="preserve">Site H2a(a) - </w:t>
      </w:r>
      <w:r w:rsidRPr="00EF6A43">
        <w:rPr>
          <w:rFonts w:cs="Arial"/>
          <w:sz w:val="22"/>
          <w:u w:val="single"/>
        </w:rPr>
        <w:t>L</w:t>
      </w:r>
      <w:r w:rsidRPr="00EF6A43">
        <w:rPr>
          <w:sz w:val="22"/>
          <w:u w:val="single"/>
        </w:rPr>
        <w:t>and off Park Lane (Phase 2), Kirkby-in-Ashfield</w:t>
      </w:r>
      <w:r>
        <w:rPr>
          <w:sz w:val="22"/>
          <w:u w:val="single"/>
        </w:rPr>
        <w:t>.</w:t>
      </w:r>
      <w:r>
        <w:rPr>
          <w:color w:val="000000"/>
          <w:sz w:val="22"/>
        </w:rPr>
        <w:t xml:space="preserve"> This site </w:t>
      </w:r>
      <w:bookmarkEnd w:id="20"/>
      <w:r>
        <w:rPr>
          <w:color w:val="000000"/>
          <w:sz w:val="22"/>
        </w:rPr>
        <w:t xml:space="preserve">now has planning permission for 7 </w:t>
      </w:r>
      <w:proofErr w:type="spellStart"/>
      <w:r>
        <w:rPr>
          <w:color w:val="000000"/>
          <w:sz w:val="22"/>
        </w:rPr>
        <w:t>showpeople’s</w:t>
      </w:r>
      <w:proofErr w:type="spellEnd"/>
      <w:r>
        <w:rPr>
          <w:color w:val="000000"/>
          <w:sz w:val="22"/>
        </w:rPr>
        <w:t xml:space="preserve"> plots and is fully occupied. The provisions of Policy H2(4) will safeguard the site from alternative future uses unless it can be demonstrated that the need no longer exists, or the site has become unsuitable. </w:t>
      </w:r>
    </w:p>
    <w:p w14:paraId="5AD29E5B" w14:textId="00DE0BE7" w:rsidR="00A640C2" w:rsidRDefault="00EF6A43" w:rsidP="00EF6A43">
      <w:pPr>
        <w:ind w:left="720" w:hanging="720"/>
        <w:jc w:val="left"/>
        <w:rPr>
          <w:color w:val="000000"/>
          <w:sz w:val="22"/>
        </w:rPr>
      </w:pPr>
      <w:r>
        <w:t>2.27.2</w:t>
      </w:r>
      <w:r>
        <w:tab/>
      </w:r>
      <w:r w:rsidRPr="00EF6A43">
        <w:rPr>
          <w:u w:val="single"/>
        </w:rPr>
        <w:t>Site H2a(</w:t>
      </w:r>
      <w:r>
        <w:rPr>
          <w:u w:val="single"/>
        </w:rPr>
        <w:t>b</w:t>
      </w:r>
      <w:r w:rsidRPr="00EF6A43">
        <w:rPr>
          <w:u w:val="single"/>
        </w:rPr>
        <w:t xml:space="preserve">) - </w:t>
      </w:r>
      <w:r w:rsidRPr="00EF6A43">
        <w:rPr>
          <w:rFonts w:cs="Arial"/>
          <w:sz w:val="22"/>
          <w:u w:val="single"/>
        </w:rPr>
        <w:t>L</w:t>
      </w:r>
      <w:r w:rsidRPr="00EF6A43">
        <w:rPr>
          <w:sz w:val="22"/>
          <w:u w:val="single"/>
        </w:rPr>
        <w:t xml:space="preserve">and off Park Lane (Phase </w:t>
      </w:r>
      <w:r>
        <w:rPr>
          <w:sz w:val="22"/>
          <w:u w:val="single"/>
        </w:rPr>
        <w:t>3</w:t>
      </w:r>
      <w:r w:rsidRPr="00EF6A43">
        <w:rPr>
          <w:sz w:val="22"/>
          <w:u w:val="single"/>
        </w:rPr>
        <w:t>), Kirkby-in-Ashfield</w:t>
      </w:r>
      <w:r>
        <w:rPr>
          <w:sz w:val="22"/>
          <w:u w:val="single"/>
        </w:rPr>
        <w:t>.</w:t>
      </w:r>
      <w:r>
        <w:rPr>
          <w:color w:val="000000"/>
          <w:sz w:val="22"/>
        </w:rPr>
        <w:t xml:space="preserve"> This site has been assessed in the SHELAA</w:t>
      </w:r>
      <w:r w:rsidR="00D56B45">
        <w:rPr>
          <w:color w:val="000000"/>
          <w:sz w:val="22"/>
        </w:rPr>
        <w:t xml:space="preserve"> a</w:t>
      </w:r>
      <w:r>
        <w:rPr>
          <w:color w:val="000000"/>
          <w:sz w:val="22"/>
        </w:rPr>
        <w:t>s available</w:t>
      </w:r>
      <w:r w:rsidR="00D56B45">
        <w:rPr>
          <w:color w:val="000000"/>
          <w:sz w:val="22"/>
        </w:rPr>
        <w:t xml:space="preserve">, potentially </w:t>
      </w:r>
      <w:r>
        <w:rPr>
          <w:color w:val="000000"/>
          <w:sz w:val="22"/>
        </w:rPr>
        <w:t>suitable</w:t>
      </w:r>
      <w:r w:rsidR="00D56B45">
        <w:rPr>
          <w:color w:val="000000"/>
          <w:sz w:val="22"/>
        </w:rPr>
        <w:t xml:space="preserve"> and achievable,</w:t>
      </w:r>
      <w:r>
        <w:rPr>
          <w:color w:val="000000"/>
          <w:sz w:val="22"/>
        </w:rPr>
        <w:t xml:space="preserve"> with an anticipated capacity for 7 </w:t>
      </w:r>
      <w:proofErr w:type="spellStart"/>
      <w:r>
        <w:rPr>
          <w:color w:val="000000"/>
          <w:sz w:val="22"/>
        </w:rPr>
        <w:t>showpeople’s</w:t>
      </w:r>
      <w:proofErr w:type="spellEnd"/>
      <w:r>
        <w:rPr>
          <w:color w:val="000000"/>
          <w:sz w:val="22"/>
        </w:rPr>
        <w:t xml:space="preserve"> plots.</w:t>
      </w:r>
      <w:r w:rsidR="00D56B45">
        <w:rPr>
          <w:color w:val="000000"/>
          <w:sz w:val="22"/>
        </w:rPr>
        <w:t xml:space="preserve"> It forms an extension to an existing Showpeople’s site</w:t>
      </w:r>
      <w:r w:rsidR="005B0CBE">
        <w:rPr>
          <w:color w:val="000000"/>
          <w:sz w:val="22"/>
        </w:rPr>
        <w:t>.</w:t>
      </w:r>
    </w:p>
    <w:p w14:paraId="6E1522BB" w14:textId="403431E5" w:rsidR="00EF6A43" w:rsidRPr="004125B0" w:rsidRDefault="00A640C2" w:rsidP="00EF6A43">
      <w:pPr>
        <w:ind w:left="720" w:hanging="720"/>
        <w:jc w:val="left"/>
      </w:pPr>
      <w:r>
        <w:t>2.</w:t>
      </w:r>
      <w:r>
        <w:rPr>
          <w:color w:val="000000"/>
          <w:sz w:val="22"/>
        </w:rPr>
        <w:t>27.3</w:t>
      </w:r>
      <w:r w:rsidR="00EF6A43">
        <w:rPr>
          <w:color w:val="000000"/>
          <w:sz w:val="22"/>
        </w:rPr>
        <w:t xml:space="preserve"> </w:t>
      </w:r>
      <w:r w:rsidR="00EF6A43" w:rsidRPr="0056474A">
        <w:rPr>
          <w:color w:val="000000"/>
          <w:sz w:val="22"/>
          <w:u w:val="single"/>
        </w:rPr>
        <w:t>Site H2a(c)</w:t>
      </w:r>
      <w:r w:rsidRPr="0056474A">
        <w:rPr>
          <w:rFonts w:cs="Arial"/>
          <w:sz w:val="22"/>
          <w:u w:val="single"/>
        </w:rPr>
        <w:t xml:space="preserve"> L</w:t>
      </w:r>
      <w:r w:rsidRPr="0056474A">
        <w:rPr>
          <w:sz w:val="22"/>
          <w:u w:val="single"/>
        </w:rPr>
        <w:t>and East of Park Lane, Kirkby-in-Ashfield</w:t>
      </w:r>
      <w:r w:rsidR="0056474A">
        <w:rPr>
          <w:sz w:val="22"/>
          <w:u w:val="single"/>
        </w:rPr>
        <w:t>.</w:t>
      </w:r>
      <w:r w:rsidR="0056474A" w:rsidRPr="004125B0">
        <w:rPr>
          <w:sz w:val="22"/>
        </w:rPr>
        <w:t xml:space="preserve"> This site </w:t>
      </w:r>
      <w:r w:rsidR="004125B0" w:rsidRPr="004125B0">
        <w:rPr>
          <w:sz w:val="22"/>
        </w:rPr>
        <w:t>forms part of a wider site which has current permission for 38 dwellings. The permission include</w:t>
      </w:r>
      <w:r w:rsidR="004125B0">
        <w:rPr>
          <w:sz w:val="22"/>
        </w:rPr>
        <w:t>s</w:t>
      </w:r>
      <w:r w:rsidR="004125B0" w:rsidRPr="004125B0">
        <w:rPr>
          <w:sz w:val="22"/>
        </w:rPr>
        <w:t xml:space="preserve"> this site as an indicative area for Gypsy/Traveller </w:t>
      </w:r>
      <w:proofErr w:type="gramStart"/>
      <w:r w:rsidR="004125B0" w:rsidRPr="004125B0">
        <w:rPr>
          <w:sz w:val="22"/>
        </w:rPr>
        <w:t>use</w:t>
      </w:r>
      <w:proofErr w:type="gramEnd"/>
      <w:r w:rsidR="004125B0" w:rsidRPr="004125B0">
        <w:rPr>
          <w:sz w:val="22"/>
        </w:rPr>
        <w:t xml:space="preserve"> and it has an anticipated potential yield for 4 pitches.</w:t>
      </w:r>
      <w:r w:rsidR="004125B0">
        <w:rPr>
          <w:sz w:val="22"/>
        </w:rPr>
        <w:t xml:space="preserve"> </w:t>
      </w:r>
    </w:p>
    <w:p w14:paraId="23B6168C" w14:textId="77777777" w:rsidR="00E20C7F" w:rsidRPr="00EF6A43" w:rsidRDefault="00E20C7F" w:rsidP="00F46F28">
      <w:pPr>
        <w:jc w:val="left"/>
      </w:pPr>
    </w:p>
    <w:p w14:paraId="4C16102C" w14:textId="2B36896E" w:rsidR="005B2FA0" w:rsidRPr="003D1036" w:rsidRDefault="005B2FA0" w:rsidP="005D13C3">
      <w:pPr>
        <w:pStyle w:val="Heading3"/>
      </w:pPr>
      <w:r w:rsidRPr="003D1036">
        <w:t>2.28</w:t>
      </w:r>
      <w:r w:rsidR="005D13C3">
        <w:tab/>
      </w:r>
      <w:r w:rsidRPr="003D1036">
        <w:t xml:space="preserve">Having regard to Lisa Smith v SSLUHC [2022] EWCA </w:t>
      </w:r>
      <w:proofErr w:type="spellStart"/>
      <w:r w:rsidRPr="003D1036">
        <w:t>Civ</w:t>
      </w:r>
      <w:proofErr w:type="spellEnd"/>
      <w:r w:rsidRPr="003D1036">
        <w:t xml:space="preserve"> 1391 dated 31st October</w:t>
      </w:r>
      <w:r w:rsidR="00F46F28">
        <w:t xml:space="preserve"> </w:t>
      </w:r>
      <w:r w:rsidRPr="003D1036">
        <w:t>2022, a judgement regarding the interpretation of the Planning Policy for Traveller Sites</w:t>
      </w:r>
      <w:r w:rsidR="00F46F28">
        <w:t xml:space="preserve"> </w:t>
      </w:r>
      <w:r w:rsidRPr="003D1036">
        <w:t>(PPTS) and the application of that policy to Gypsies and Travellers who have ceased to</w:t>
      </w:r>
      <w:r w:rsidR="00F46F28">
        <w:t xml:space="preserve"> </w:t>
      </w:r>
      <w:r w:rsidRPr="003D1036">
        <w:t>pursue nomadic lifestyles. Does the Plan make adequate provision to meet the housing</w:t>
      </w:r>
      <w:r w:rsidR="00F46F28">
        <w:t xml:space="preserve"> </w:t>
      </w:r>
      <w:r w:rsidRPr="003D1036">
        <w:t>requirement for Gypsies, Travellers and Travelling Show People in Ashfield District</w:t>
      </w:r>
      <w:r w:rsidR="00F46F28">
        <w:t xml:space="preserve"> </w:t>
      </w:r>
      <w:r w:rsidRPr="003D1036">
        <w:t>Council? Or considering this Judgement does the Council judge it necessary to review</w:t>
      </w:r>
      <w:r w:rsidR="00F46F28">
        <w:t xml:space="preserve"> </w:t>
      </w:r>
      <w:r w:rsidRPr="003D1036">
        <w:t>their assessment of Traveller site needs for the District?</w:t>
      </w:r>
    </w:p>
    <w:p w14:paraId="723704FD" w14:textId="77777777" w:rsidR="00F46F28" w:rsidRPr="00156B97" w:rsidRDefault="00F46F28" w:rsidP="00F46F28">
      <w:pPr>
        <w:jc w:val="left"/>
        <w:rPr>
          <w:u w:val="single"/>
        </w:rPr>
      </w:pPr>
      <w:r w:rsidRPr="00156B97">
        <w:rPr>
          <w:u w:val="single"/>
        </w:rPr>
        <w:t>Council’s response</w:t>
      </w:r>
    </w:p>
    <w:p w14:paraId="1778EB6F" w14:textId="7CACA513" w:rsidR="000E2AD4" w:rsidRDefault="00205B06" w:rsidP="00205B06">
      <w:pPr>
        <w:ind w:left="720" w:hanging="720"/>
        <w:jc w:val="left"/>
      </w:pPr>
      <w:r>
        <w:t>2.28.1</w:t>
      </w:r>
      <w:r>
        <w:tab/>
      </w:r>
      <w:r w:rsidR="000E2AD4">
        <w:t>See response to Qu’s 2.21 and 2.22.</w:t>
      </w:r>
      <w:r w:rsidR="005F4719">
        <w:t xml:space="preserve"> </w:t>
      </w:r>
      <w:r w:rsidR="000E2AD4" w:rsidRPr="000E2AD4">
        <w:t xml:space="preserve">There is no requirement to update the GTAA </w:t>
      </w:r>
      <w:r w:rsidR="000E2AD4">
        <w:t>in this respect.</w:t>
      </w:r>
    </w:p>
    <w:p w14:paraId="2DB3E702" w14:textId="5C17D70B" w:rsidR="000E2AD4" w:rsidRDefault="00205B06" w:rsidP="00205B06">
      <w:pPr>
        <w:ind w:left="720" w:hanging="720"/>
        <w:jc w:val="left"/>
      </w:pPr>
      <w:r>
        <w:t>2.28.2</w:t>
      </w:r>
      <w:r>
        <w:tab/>
      </w:r>
      <w:r w:rsidR="000E2AD4" w:rsidRPr="000E2AD4">
        <w:t>The most recent GTAA was completed in 2021,</w:t>
      </w:r>
      <w:r w:rsidR="000E2AD4">
        <w:t xml:space="preserve"> and</w:t>
      </w:r>
      <w:r w:rsidR="000E2AD4" w:rsidRPr="000E2AD4">
        <w:t xml:space="preserve"> it identifies needs based on both the PPTS (2015) definition and ethnicity (including those who no longer travel).</w:t>
      </w:r>
    </w:p>
    <w:p w14:paraId="34AB42D7" w14:textId="56819822" w:rsidR="00716D5C" w:rsidRDefault="00205B06" w:rsidP="00205B06">
      <w:pPr>
        <w:ind w:left="720" w:hanging="720"/>
        <w:jc w:val="left"/>
      </w:pPr>
      <w:r>
        <w:lastRenderedPageBreak/>
        <w:t>2.28.3</w:t>
      </w:r>
      <w:r>
        <w:tab/>
      </w:r>
      <w:r w:rsidR="00716D5C">
        <w:t>T</w:t>
      </w:r>
      <w:r w:rsidR="00716D5C" w:rsidRPr="000F0565">
        <w:t xml:space="preserve">he Council </w:t>
      </w:r>
      <w:r w:rsidR="00716D5C">
        <w:t>plan</w:t>
      </w:r>
      <w:r w:rsidR="00151766">
        <w:t>s</w:t>
      </w:r>
      <w:r w:rsidR="00716D5C">
        <w:t xml:space="preserve"> for the </w:t>
      </w:r>
      <w:r w:rsidR="00716D5C" w:rsidRPr="000F0565">
        <w:t>higher level of assessed need, based on the ‘ethnic definition</w:t>
      </w:r>
      <w:proofErr w:type="gramStart"/>
      <w:r w:rsidR="00716D5C" w:rsidRPr="000F0565">
        <w:t>’</w:t>
      </w:r>
      <w:r w:rsidR="00716D5C">
        <w:t>(</w:t>
      </w:r>
      <w:proofErr w:type="gramEnd"/>
      <w:r w:rsidR="00716D5C">
        <w:t>which includes those who no longer travel)</w:t>
      </w:r>
      <w:r w:rsidR="00716D5C" w:rsidRPr="000F0565">
        <w:t>, as opposed to the Traveller definition set out in national policy Planning Policy for Traveller Sites</w:t>
      </w:r>
      <w:r w:rsidR="00716D5C">
        <w:t xml:space="preserve"> 2015.</w:t>
      </w:r>
    </w:p>
    <w:p w14:paraId="29300008" w14:textId="2AEA14D7" w:rsidR="00716D5C" w:rsidRPr="00F46F28" w:rsidRDefault="00205B06" w:rsidP="00205B06">
      <w:pPr>
        <w:ind w:left="720" w:hanging="720"/>
        <w:jc w:val="left"/>
      </w:pPr>
      <w:r>
        <w:t>2.28.4</w:t>
      </w:r>
      <w:r>
        <w:tab/>
      </w:r>
      <w:r w:rsidR="00716D5C">
        <w:t xml:space="preserve">This reflects the approach taken by government in December 2023 to revert the </w:t>
      </w:r>
      <w:r w:rsidR="00716D5C" w:rsidRPr="002B6699">
        <w:t>definition of Gypsies and Travellers used in the Planning Policy for Travellers Sites to that adopted in 2012</w:t>
      </w:r>
      <w:r w:rsidR="000E2AD4">
        <w:t xml:space="preserve">, as a consequence of the above judgement. </w:t>
      </w:r>
    </w:p>
    <w:p w14:paraId="4B3010AD" w14:textId="77777777" w:rsidR="00D54C0F" w:rsidRPr="00F46F28" w:rsidRDefault="00D54C0F" w:rsidP="00F46F28">
      <w:pPr>
        <w:jc w:val="left"/>
      </w:pPr>
    </w:p>
    <w:p w14:paraId="786509B2" w14:textId="33CA7273" w:rsidR="0045119F" w:rsidRDefault="005B2FA0" w:rsidP="005D13C3">
      <w:pPr>
        <w:pStyle w:val="Heading3"/>
      </w:pPr>
      <w:r w:rsidRPr="003D1036">
        <w:t>2.29</w:t>
      </w:r>
      <w:r w:rsidR="005D13C3">
        <w:tab/>
      </w:r>
      <w:r w:rsidRPr="003D1036">
        <w:t>Can the Council demonstrate a supply of specific deliverable sites sufficient to</w:t>
      </w:r>
      <w:r w:rsidR="00F46F28">
        <w:t xml:space="preserve"> p</w:t>
      </w:r>
      <w:r w:rsidRPr="003D1036">
        <w:t>rovide</w:t>
      </w:r>
      <w:r w:rsidR="00F46F28">
        <w:t xml:space="preserve"> </w:t>
      </w:r>
      <w:r w:rsidRPr="003D1036">
        <w:t>five years’ worth of sites for gypsies and travellers against the requirement?</w:t>
      </w:r>
    </w:p>
    <w:p w14:paraId="43C752CC" w14:textId="133521F9" w:rsidR="00F46F28" w:rsidRPr="0045119F" w:rsidRDefault="00F46F28" w:rsidP="00F46F28">
      <w:pPr>
        <w:jc w:val="left"/>
        <w:rPr>
          <w:b/>
          <w:bCs/>
          <w:i/>
          <w:iCs/>
        </w:rPr>
      </w:pPr>
      <w:r w:rsidRPr="00156B97">
        <w:rPr>
          <w:u w:val="single"/>
        </w:rPr>
        <w:t>Council’s response</w:t>
      </w:r>
    </w:p>
    <w:p w14:paraId="7F87A85C" w14:textId="6145F15E" w:rsidR="0045119F" w:rsidRDefault="0045119F" w:rsidP="0045119F">
      <w:pPr>
        <w:ind w:left="720" w:hanging="720"/>
        <w:jc w:val="left"/>
      </w:pPr>
      <w:r>
        <w:t>2.29.1</w:t>
      </w:r>
      <w:r>
        <w:tab/>
      </w:r>
      <w:r w:rsidR="000E2AD4">
        <w:t xml:space="preserve">Yes. The Council has allocated </w:t>
      </w:r>
      <w:r>
        <w:t xml:space="preserve">sufficient </w:t>
      </w:r>
      <w:r w:rsidR="000E2AD4">
        <w:t>sites to meet the full level of need identified in the GTAA</w:t>
      </w:r>
      <w:r w:rsidR="00731235">
        <w:t xml:space="preserve"> as set out below</w:t>
      </w:r>
      <w:r w:rsidR="000E2AD4">
        <w:t>.</w:t>
      </w:r>
    </w:p>
    <w:tbl>
      <w:tblPr>
        <w:tblStyle w:val="ReportTable1"/>
        <w:tblW w:w="0" w:type="auto"/>
        <w:tblInd w:w="704" w:type="dxa"/>
        <w:tblLook w:val="04A0" w:firstRow="1" w:lastRow="0" w:firstColumn="1" w:lastColumn="0" w:noHBand="0" w:noVBand="1"/>
      </w:tblPr>
      <w:tblGrid>
        <w:gridCol w:w="3256"/>
        <w:gridCol w:w="2977"/>
        <w:gridCol w:w="2548"/>
      </w:tblGrid>
      <w:tr w:rsidR="00731235" w:rsidRPr="003C7E62" w14:paraId="50CC6D9B" w14:textId="77777777" w:rsidTr="00D617D7">
        <w:trPr>
          <w:trHeight w:val="637"/>
        </w:trPr>
        <w:tc>
          <w:tcPr>
            <w:tcW w:w="8781" w:type="dxa"/>
            <w:gridSpan w:val="3"/>
            <w:shd w:val="clear" w:color="auto" w:fill="D9D9D9"/>
          </w:tcPr>
          <w:p w14:paraId="502905B2" w14:textId="77777777" w:rsidR="00731235" w:rsidRPr="003C7E62" w:rsidRDefault="00731235" w:rsidP="006F7399">
            <w:pPr>
              <w:contextualSpacing/>
              <w:rPr>
                <w:rFonts w:cs="Arial"/>
                <w:b/>
                <w:szCs w:val="24"/>
              </w:rPr>
            </w:pPr>
            <w:r w:rsidRPr="000032B0">
              <w:rPr>
                <w:rFonts w:cs="Arial"/>
                <w:b/>
                <w:szCs w:val="24"/>
              </w:rPr>
              <w:t>Ashfield Future Pitch/Plot Requirements 2020 to 2038</w:t>
            </w:r>
          </w:p>
        </w:tc>
      </w:tr>
      <w:tr w:rsidR="00731235" w:rsidRPr="003C7E62" w14:paraId="3A54D3DE" w14:textId="77777777" w:rsidTr="00D617D7">
        <w:trPr>
          <w:trHeight w:val="519"/>
        </w:trPr>
        <w:tc>
          <w:tcPr>
            <w:tcW w:w="3256" w:type="dxa"/>
            <w:shd w:val="clear" w:color="auto" w:fill="D9D9D9"/>
          </w:tcPr>
          <w:p w14:paraId="4D95BB62" w14:textId="77777777" w:rsidR="00731235" w:rsidRPr="003C7E62" w:rsidRDefault="00731235" w:rsidP="006F7399">
            <w:pPr>
              <w:contextualSpacing/>
              <w:rPr>
                <w:rFonts w:cs="Arial"/>
                <w:b/>
                <w:szCs w:val="24"/>
              </w:rPr>
            </w:pPr>
            <w:r w:rsidRPr="003C7E62">
              <w:rPr>
                <w:rFonts w:cs="Arial"/>
                <w:b/>
                <w:szCs w:val="24"/>
              </w:rPr>
              <w:t>Period</w:t>
            </w:r>
          </w:p>
        </w:tc>
        <w:tc>
          <w:tcPr>
            <w:tcW w:w="2977" w:type="dxa"/>
            <w:shd w:val="clear" w:color="auto" w:fill="D9D9D9"/>
          </w:tcPr>
          <w:p w14:paraId="044283E9" w14:textId="77777777" w:rsidR="00731235" w:rsidRPr="003C7E62" w:rsidRDefault="00731235" w:rsidP="006F7399">
            <w:pPr>
              <w:contextualSpacing/>
              <w:jc w:val="center"/>
              <w:rPr>
                <w:rFonts w:cs="Arial"/>
                <w:b/>
                <w:szCs w:val="24"/>
              </w:rPr>
            </w:pPr>
            <w:r w:rsidRPr="003C7E62">
              <w:rPr>
                <w:rFonts w:cs="Arial"/>
                <w:b/>
                <w:szCs w:val="24"/>
              </w:rPr>
              <w:t>Gypsy/Traveller Pitches</w:t>
            </w:r>
          </w:p>
        </w:tc>
        <w:tc>
          <w:tcPr>
            <w:tcW w:w="2548" w:type="dxa"/>
            <w:shd w:val="clear" w:color="auto" w:fill="D9D9D9"/>
          </w:tcPr>
          <w:p w14:paraId="06CB24F1" w14:textId="77777777" w:rsidR="00731235" w:rsidRPr="003C7E62" w:rsidRDefault="00731235" w:rsidP="006F7399">
            <w:pPr>
              <w:contextualSpacing/>
              <w:jc w:val="center"/>
              <w:rPr>
                <w:rFonts w:cs="Arial"/>
                <w:b/>
                <w:szCs w:val="24"/>
              </w:rPr>
            </w:pPr>
            <w:r w:rsidRPr="003C7E62">
              <w:rPr>
                <w:rFonts w:cs="Arial"/>
                <w:b/>
                <w:szCs w:val="24"/>
              </w:rPr>
              <w:t>Showpeople’s Plots/Yards</w:t>
            </w:r>
          </w:p>
        </w:tc>
      </w:tr>
      <w:tr w:rsidR="00731235" w:rsidRPr="003C7E62" w14:paraId="464872EA" w14:textId="77777777" w:rsidTr="00D617D7">
        <w:trPr>
          <w:trHeight w:val="526"/>
        </w:trPr>
        <w:tc>
          <w:tcPr>
            <w:tcW w:w="3256" w:type="dxa"/>
          </w:tcPr>
          <w:p w14:paraId="6350CCD4" w14:textId="77777777" w:rsidR="00731235" w:rsidRPr="003C7E62" w:rsidRDefault="00731235" w:rsidP="006F7399">
            <w:pPr>
              <w:contextualSpacing/>
              <w:rPr>
                <w:rFonts w:cs="Arial"/>
                <w:szCs w:val="24"/>
              </w:rPr>
            </w:pPr>
            <w:r w:rsidRPr="003C7E62">
              <w:rPr>
                <w:rFonts w:cs="Arial"/>
                <w:szCs w:val="24"/>
              </w:rPr>
              <w:t>2020 to 2025</w:t>
            </w:r>
          </w:p>
        </w:tc>
        <w:tc>
          <w:tcPr>
            <w:tcW w:w="2977" w:type="dxa"/>
          </w:tcPr>
          <w:p w14:paraId="2DCED169" w14:textId="77777777" w:rsidR="00731235" w:rsidRPr="0073604D" w:rsidRDefault="00731235" w:rsidP="006F7399">
            <w:pPr>
              <w:contextualSpacing/>
              <w:jc w:val="center"/>
              <w:rPr>
                <w:rFonts w:cs="Arial"/>
                <w:strike/>
                <w:szCs w:val="24"/>
              </w:rPr>
            </w:pPr>
            <w:r w:rsidRPr="0073604D">
              <w:rPr>
                <w:rFonts w:cs="Arial"/>
                <w:szCs w:val="24"/>
              </w:rPr>
              <w:t>1</w:t>
            </w:r>
          </w:p>
        </w:tc>
        <w:tc>
          <w:tcPr>
            <w:tcW w:w="2548" w:type="dxa"/>
          </w:tcPr>
          <w:p w14:paraId="72446E4D" w14:textId="77777777" w:rsidR="00731235" w:rsidRPr="0073604D" w:rsidRDefault="00731235" w:rsidP="006F7399">
            <w:pPr>
              <w:contextualSpacing/>
              <w:jc w:val="center"/>
              <w:rPr>
                <w:rFonts w:cs="Arial"/>
                <w:szCs w:val="24"/>
              </w:rPr>
            </w:pPr>
            <w:r w:rsidRPr="0073604D">
              <w:rPr>
                <w:rFonts w:cs="Arial"/>
                <w:szCs w:val="24"/>
              </w:rPr>
              <w:t>9</w:t>
            </w:r>
          </w:p>
        </w:tc>
      </w:tr>
      <w:tr w:rsidR="00731235" w:rsidRPr="003C7E62" w14:paraId="729AC687" w14:textId="77777777" w:rsidTr="00D617D7">
        <w:trPr>
          <w:trHeight w:val="520"/>
        </w:trPr>
        <w:tc>
          <w:tcPr>
            <w:tcW w:w="3256" w:type="dxa"/>
          </w:tcPr>
          <w:p w14:paraId="646D470F" w14:textId="77777777" w:rsidR="00731235" w:rsidRPr="003C7E62" w:rsidRDefault="00731235" w:rsidP="006F7399">
            <w:pPr>
              <w:contextualSpacing/>
              <w:rPr>
                <w:rFonts w:cs="Arial"/>
                <w:szCs w:val="24"/>
              </w:rPr>
            </w:pPr>
            <w:r w:rsidRPr="003C7E62">
              <w:rPr>
                <w:rFonts w:cs="Arial"/>
                <w:szCs w:val="24"/>
              </w:rPr>
              <w:t>2025 to 2030</w:t>
            </w:r>
          </w:p>
        </w:tc>
        <w:tc>
          <w:tcPr>
            <w:tcW w:w="2977" w:type="dxa"/>
          </w:tcPr>
          <w:p w14:paraId="4F4BF24D" w14:textId="77777777" w:rsidR="00731235" w:rsidRPr="0073604D" w:rsidRDefault="00731235" w:rsidP="006F7399">
            <w:pPr>
              <w:contextualSpacing/>
              <w:jc w:val="center"/>
              <w:rPr>
                <w:rFonts w:cs="Arial"/>
                <w:szCs w:val="24"/>
              </w:rPr>
            </w:pPr>
            <w:r w:rsidRPr="0073604D">
              <w:rPr>
                <w:rFonts w:cs="Arial"/>
                <w:szCs w:val="24"/>
              </w:rPr>
              <w:t>1</w:t>
            </w:r>
          </w:p>
        </w:tc>
        <w:tc>
          <w:tcPr>
            <w:tcW w:w="2548" w:type="dxa"/>
          </w:tcPr>
          <w:p w14:paraId="2F9B445F" w14:textId="77777777" w:rsidR="00731235" w:rsidRPr="0073604D" w:rsidRDefault="00731235" w:rsidP="006F7399">
            <w:pPr>
              <w:contextualSpacing/>
              <w:jc w:val="center"/>
              <w:rPr>
                <w:rFonts w:cs="Arial"/>
                <w:szCs w:val="24"/>
              </w:rPr>
            </w:pPr>
            <w:r w:rsidRPr="0073604D">
              <w:rPr>
                <w:rFonts w:cs="Arial"/>
                <w:szCs w:val="24"/>
              </w:rPr>
              <w:t>2</w:t>
            </w:r>
          </w:p>
        </w:tc>
      </w:tr>
      <w:tr w:rsidR="00731235" w:rsidRPr="003C7E62" w14:paraId="7C993A3E" w14:textId="77777777" w:rsidTr="00D617D7">
        <w:trPr>
          <w:trHeight w:val="627"/>
        </w:trPr>
        <w:tc>
          <w:tcPr>
            <w:tcW w:w="3256" w:type="dxa"/>
          </w:tcPr>
          <w:p w14:paraId="36BF16F7" w14:textId="77777777" w:rsidR="00731235" w:rsidRPr="003C7E62" w:rsidRDefault="00731235" w:rsidP="006F7399">
            <w:pPr>
              <w:contextualSpacing/>
              <w:rPr>
                <w:rFonts w:cs="Arial"/>
                <w:szCs w:val="24"/>
              </w:rPr>
            </w:pPr>
            <w:r w:rsidRPr="003C7E62">
              <w:rPr>
                <w:rFonts w:cs="Arial"/>
                <w:szCs w:val="24"/>
              </w:rPr>
              <w:t>2030 to 2035</w:t>
            </w:r>
          </w:p>
        </w:tc>
        <w:tc>
          <w:tcPr>
            <w:tcW w:w="2977" w:type="dxa"/>
          </w:tcPr>
          <w:p w14:paraId="5BE0C730" w14:textId="77777777" w:rsidR="00731235" w:rsidRPr="0073604D" w:rsidRDefault="00731235" w:rsidP="006F7399">
            <w:pPr>
              <w:contextualSpacing/>
              <w:jc w:val="center"/>
              <w:rPr>
                <w:rFonts w:cs="Arial"/>
                <w:szCs w:val="24"/>
              </w:rPr>
            </w:pPr>
            <w:r w:rsidRPr="0073604D">
              <w:rPr>
                <w:rFonts w:cs="Arial"/>
                <w:szCs w:val="24"/>
              </w:rPr>
              <w:t>1</w:t>
            </w:r>
          </w:p>
        </w:tc>
        <w:tc>
          <w:tcPr>
            <w:tcW w:w="2548" w:type="dxa"/>
          </w:tcPr>
          <w:p w14:paraId="594664E3" w14:textId="77777777" w:rsidR="00731235" w:rsidRPr="0073604D" w:rsidRDefault="00731235" w:rsidP="006F7399">
            <w:pPr>
              <w:contextualSpacing/>
              <w:jc w:val="center"/>
              <w:rPr>
                <w:rFonts w:cs="Arial"/>
                <w:szCs w:val="24"/>
              </w:rPr>
            </w:pPr>
            <w:r w:rsidRPr="0073604D">
              <w:rPr>
                <w:rFonts w:cs="Arial"/>
                <w:szCs w:val="24"/>
              </w:rPr>
              <w:t>2</w:t>
            </w:r>
          </w:p>
        </w:tc>
      </w:tr>
      <w:tr w:rsidR="00731235" w:rsidRPr="003C7E62" w14:paraId="7BFCEFA3" w14:textId="77777777" w:rsidTr="00D617D7">
        <w:trPr>
          <w:trHeight w:val="627"/>
        </w:trPr>
        <w:tc>
          <w:tcPr>
            <w:tcW w:w="3256" w:type="dxa"/>
          </w:tcPr>
          <w:p w14:paraId="1D5C5E4D" w14:textId="77777777" w:rsidR="00731235" w:rsidRPr="003C7E62" w:rsidRDefault="00731235" w:rsidP="006F7399">
            <w:pPr>
              <w:contextualSpacing/>
              <w:rPr>
                <w:rFonts w:cs="Arial"/>
                <w:szCs w:val="24"/>
              </w:rPr>
            </w:pPr>
            <w:r w:rsidRPr="003C7E62">
              <w:rPr>
                <w:rFonts w:cs="Arial"/>
                <w:szCs w:val="24"/>
              </w:rPr>
              <w:t>2035 to 2038</w:t>
            </w:r>
          </w:p>
        </w:tc>
        <w:tc>
          <w:tcPr>
            <w:tcW w:w="2977" w:type="dxa"/>
          </w:tcPr>
          <w:p w14:paraId="7B9A7A86" w14:textId="77777777" w:rsidR="00731235" w:rsidRPr="0073604D" w:rsidRDefault="00731235" w:rsidP="006F7399">
            <w:pPr>
              <w:contextualSpacing/>
              <w:jc w:val="center"/>
              <w:rPr>
                <w:rFonts w:cs="Arial"/>
                <w:szCs w:val="24"/>
              </w:rPr>
            </w:pPr>
            <w:r w:rsidRPr="0073604D">
              <w:rPr>
                <w:rFonts w:cs="Arial"/>
                <w:szCs w:val="24"/>
              </w:rPr>
              <w:t>1</w:t>
            </w:r>
          </w:p>
        </w:tc>
        <w:tc>
          <w:tcPr>
            <w:tcW w:w="2548" w:type="dxa"/>
          </w:tcPr>
          <w:p w14:paraId="705B5C9D" w14:textId="77777777" w:rsidR="00731235" w:rsidRPr="0073604D" w:rsidRDefault="00731235" w:rsidP="006F7399">
            <w:pPr>
              <w:contextualSpacing/>
              <w:jc w:val="center"/>
              <w:rPr>
                <w:rFonts w:cs="Arial"/>
                <w:szCs w:val="24"/>
              </w:rPr>
            </w:pPr>
            <w:r w:rsidRPr="0073604D">
              <w:rPr>
                <w:rFonts w:cs="Arial"/>
                <w:szCs w:val="24"/>
              </w:rPr>
              <w:t>1</w:t>
            </w:r>
          </w:p>
        </w:tc>
      </w:tr>
      <w:tr w:rsidR="00731235" w:rsidRPr="003C7E62" w14:paraId="113EC709" w14:textId="77777777" w:rsidTr="00D617D7">
        <w:trPr>
          <w:trHeight w:val="627"/>
        </w:trPr>
        <w:tc>
          <w:tcPr>
            <w:tcW w:w="3256" w:type="dxa"/>
          </w:tcPr>
          <w:p w14:paraId="3182431E" w14:textId="77777777" w:rsidR="00731235" w:rsidRPr="003C7E62" w:rsidRDefault="00731235" w:rsidP="006F7399">
            <w:pPr>
              <w:contextualSpacing/>
              <w:rPr>
                <w:rFonts w:cs="Arial"/>
                <w:b/>
                <w:bCs/>
                <w:szCs w:val="24"/>
              </w:rPr>
            </w:pPr>
            <w:r w:rsidRPr="003C7E62">
              <w:rPr>
                <w:rFonts w:cs="Arial"/>
                <w:b/>
                <w:bCs/>
                <w:szCs w:val="24"/>
              </w:rPr>
              <w:t>Total 2020 to 2038</w:t>
            </w:r>
          </w:p>
        </w:tc>
        <w:tc>
          <w:tcPr>
            <w:tcW w:w="2977" w:type="dxa"/>
          </w:tcPr>
          <w:p w14:paraId="6D5595F6" w14:textId="77777777" w:rsidR="00731235" w:rsidRPr="0073604D" w:rsidRDefault="00731235" w:rsidP="006F7399">
            <w:pPr>
              <w:contextualSpacing/>
              <w:jc w:val="center"/>
              <w:rPr>
                <w:rFonts w:cs="Arial"/>
                <w:b/>
                <w:bCs/>
                <w:szCs w:val="24"/>
              </w:rPr>
            </w:pPr>
            <w:r w:rsidRPr="0073604D">
              <w:rPr>
                <w:rFonts w:cs="Arial"/>
                <w:b/>
                <w:szCs w:val="24"/>
              </w:rPr>
              <w:t>4</w:t>
            </w:r>
          </w:p>
        </w:tc>
        <w:tc>
          <w:tcPr>
            <w:tcW w:w="2548" w:type="dxa"/>
          </w:tcPr>
          <w:p w14:paraId="0766E3D3" w14:textId="77777777" w:rsidR="00731235" w:rsidRPr="0073604D" w:rsidRDefault="00731235" w:rsidP="006F7399">
            <w:pPr>
              <w:contextualSpacing/>
              <w:jc w:val="center"/>
              <w:rPr>
                <w:rFonts w:cs="Arial"/>
                <w:b/>
                <w:bCs/>
                <w:szCs w:val="24"/>
              </w:rPr>
            </w:pPr>
            <w:r w:rsidRPr="0073604D">
              <w:rPr>
                <w:rFonts w:cs="Arial"/>
                <w:b/>
                <w:bCs/>
                <w:szCs w:val="24"/>
              </w:rPr>
              <w:t>14</w:t>
            </w:r>
          </w:p>
        </w:tc>
      </w:tr>
    </w:tbl>
    <w:p w14:paraId="792EE420" w14:textId="77777777" w:rsidR="00731235" w:rsidRDefault="00731235" w:rsidP="00F46F28">
      <w:pPr>
        <w:jc w:val="left"/>
      </w:pPr>
    </w:p>
    <w:p w14:paraId="79F7D113" w14:textId="6AFA3C2F" w:rsidR="000E2AD4" w:rsidRDefault="0045119F" w:rsidP="0045119F">
      <w:pPr>
        <w:ind w:left="720" w:hanging="720"/>
        <w:jc w:val="left"/>
      </w:pPr>
      <w:r>
        <w:t>2.29.2</w:t>
      </w:r>
      <w:r>
        <w:tab/>
      </w:r>
      <w:r w:rsidR="000E2AD4">
        <w:t>In respect of the Showpeople’s allocations</w:t>
      </w:r>
      <w:r w:rsidR="00917679">
        <w:t>, the GTAA identifie</w:t>
      </w:r>
      <w:r w:rsidR="00C82EE6">
        <w:t>s</w:t>
      </w:r>
      <w:r w:rsidR="00917679">
        <w:t xml:space="preserve"> a need for 11 new plots between 2020-2030. Site</w:t>
      </w:r>
      <w:r w:rsidR="00C82EE6">
        <w:t xml:space="preserve"> </w:t>
      </w:r>
      <w:r w:rsidR="00917679">
        <w:t xml:space="preserve">H2a(a) secured planning approval in 2021 </w:t>
      </w:r>
      <w:r w:rsidR="00C82EE6">
        <w:t xml:space="preserve">for 7 plots </w:t>
      </w:r>
      <w:r w:rsidR="00917679">
        <w:t xml:space="preserve">and </w:t>
      </w:r>
      <w:r w:rsidR="00917679" w:rsidRPr="00720E56">
        <w:t xml:space="preserve">is now </w:t>
      </w:r>
      <w:r w:rsidR="00C82EE6" w:rsidRPr="00720E56">
        <w:t xml:space="preserve">fully </w:t>
      </w:r>
      <w:r w:rsidR="00917679" w:rsidRPr="00720E56">
        <w:t>occupied</w:t>
      </w:r>
      <w:r w:rsidR="00C82EE6" w:rsidRPr="00720E56">
        <w:t xml:space="preserve">. Site H2a(b), which could also </w:t>
      </w:r>
      <w:r w:rsidR="0034193D" w:rsidRPr="00720E56">
        <w:t>accommodate</w:t>
      </w:r>
      <w:r w:rsidR="00C82EE6" w:rsidRPr="00720E56">
        <w:t xml:space="preserve"> 7 plots is available and is</w:t>
      </w:r>
      <w:r w:rsidR="00C82EE6">
        <w:t xml:space="preserve"> anticipated to be deliverable within 5 years post Local plan adoption.</w:t>
      </w:r>
      <w:r w:rsidR="00731235">
        <w:t xml:space="preserve"> </w:t>
      </w:r>
    </w:p>
    <w:p w14:paraId="10BF4AB2" w14:textId="76CC3BA7" w:rsidR="0034193D" w:rsidRDefault="0045119F" w:rsidP="0045119F">
      <w:pPr>
        <w:ind w:left="720" w:hanging="720"/>
        <w:jc w:val="left"/>
      </w:pPr>
      <w:r>
        <w:t>2.29.3</w:t>
      </w:r>
      <w:r>
        <w:tab/>
      </w:r>
      <w:r w:rsidR="00C82EE6">
        <w:t>In respect of Gypsy/</w:t>
      </w:r>
      <w:r w:rsidR="00151766">
        <w:t>T</w:t>
      </w:r>
      <w:r w:rsidR="00C82EE6">
        <w:t>raveller pitches, the GTAA identifies a need for 2 new pitches between 2020-2038.</w:t>
      </w:r>
      <w:r w:rsidR="0034193D">
        <w:t xml:space="preserve"> As set out in the response to Qu. 2.21, a ‘windfall’ </w:t>
      </w:r>
      <w:r w:rsidR="00151766">
        <w:t>G</w:t>
      </w:r>
      <w:r w:rsidR="0034193D">
        <w:t>ypsy site for 3 pitches was granted permission in November 2023 and is now fully occupied which meets this immediate need</w:t>
      </w:r>
      <w:r w:rsidR="00731235">
        <w:t xml:space="preserve"> (this leaves a balance of 1 pitch with outstanding need to 2038)</w:t>
      </w:r>
      <w:r w:rsidR="0034193D">
        <w:t xml:space="preserve">. Sites H2a(c) allocates a site </w:t>
      </w:r>
      <w:r w:rsidR="009D5661">
        <w:t xml:space="preserve">for 4 pitches </w:t>
      </w:r>
      <w:r w:rsidR="0034193D">
        <w:t>at Park Lane Kirkby, which falls with</w:t>
      </w:r>
      <w:r w:rsidR="009D5661">
        <w:t>in</w:t>
      </w:r>
      <w:r w:rsidR="0034193D">
        <w:t xml:space="preserve"> the boundary of a permission secured for settled housing </w:t>
      </w:r>
      <w:r w:rsidR="009D5661">
        <w:t xml:space="preserve">(H1Kk – Laburnum Avenue). The settled affordable housing site is expected to commence delivery in 2025/26. The land to the south of this site was safeguarded for </w:t>
      </w:r>
      <w:r w:rsidR="00151766">
        <w:t>Gy</w:t>
      </w:r>
      <w:r w:rsidR="009D5661">
        <w:t>psy/</w:t>
      </w:r>
      <w:r w:rsidR="00151766">
        <w:t>T</w:t>
      </w:r>
      <w:r w:rsidR="009D5661">
        <w:t xml:space="preserve">raveller </w:t>
      </w:r>
      <w:r w:rsidR="005F4719">
        <w:t>purposes and</w:t>
      </w:r>
      <w:r w:rsidR="009D5661">
        <w:t xml:space="preserve"> is anticipated to follow on form the main develop</w:t>
      </w:r>
      <w:r w:rsidR="00731235">
        <w:t>ment as required to meet future need.</w:t>
      </w:r>
    </w:p>
    <w:sectPr w:rsidR="0034193D" w:rsidSect="00C151C3">
      <w:footerReference w:type="default" r:id="rId17"/>
      <w:pgSz w:w="11906" w:h="16838"/>
      <w:pgMar w:top="1440" w:right="1077" w:bottom="1440"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2AA8" w14:textId="77777777" w:rsidR="004B1A67" w:rsidRDefault="004B1A67" w:rsidP="00C151C3">
      <w:pPr>
        <w:spacing w:after="0" w:line="240" w:lineRule="auto"/>
      </w:pPr>
      <w:r>
        <w:separator/>
      </w:r>
    </w:p>
  </w:endnote>
  <w:endnote w:type="continuationSeparator" w:id="0">
    <w:p w14:paraId="0154EA61" w14:textId="77777777" w:rsidR="004B1A67" w:rsidRDefault="004B1A67" w:rsidP="00C15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21746"/>
      <w:docPartObj>
        <w:docPartGallery w:val="Page Numbers (Bottom of Page)"/>
        <w:docPartUnique/>
      </w:docPartObj>
    </w:sdtPr>
    <w:sdtEndPr>
      <w:rPr>
        <w:color w:val="747474" w:themeColor="background2" w:themeShade="80"/>
        <w:spacing w:val="60"/>
      </w:rPr>
    </w:sdtEndPr>
    <w:sdtContent>
      <w:p w14:paraId="195AA662" w14:textId="77777777" w:rsidR="00C151C3" w:rsidRDefault="00C151C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465D76">
          <w:rPr>
            <w:color w:val="747474" w:themeColor="background2" w:themeShade="80"/>
            <w:spacing w:val="60"/>
          </w:rPr>
          <w:t>Page</w:t>
        </w:r>
      </w:p>
    </w:sdtContent>
  </w:sdt>
  <w:p w14:paraId="45ADAC35" w14:textId="77777777" w:rsidR="00C151C3" w:rsidRDefault="00C15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18719" w14:textId="77777777" w:rsidR="004B1A67" w:rsidRDefault="004B1A67" w:rsidP="00C151C3">
      <w:pPr>
        <w:spacing w:after="0" w:line="240" w:lineRule="auto"/>
      </w:pPr>
      <w:r>
        <w:separator/>
      </w:r>
    </w:p>
  </w:footnote>
  <w:footnote w:type="continuationSeparator" w:id="0">
    <w:p w14:paraId="3196BC56" w14:textId="77777777" w:rsidR="004B1A67" w:rsidRDefault="004B1A67" w:rsidP="00C151C3">
      <w:pPr>
        <w:spacing w:after="0" w:line="240" w:lineRule="auto"/>
      </w:pPr>
      <w:r>
        <w:continuationSeparator/>
      </w:r>
    </w:p>
  </w:footnote>
  <w:footnote w:id="1">
    <w:p w14:paraId="1788F9DA" w14:textId="77777777" w:rsidR="00195C23" w:rsidRDefault="00195C23" w:rsidP="00195C23">
      <w:pPr>
        <w:pStyle w:val="FootnoteText"/>
      </w:pPr>
      <w:r>
        <w:rPr>
          <w:rStyle w:val="FootnoteReference"/>
        </w:rPr>
        <w:footnoteRef/>
      </w:r>
      <w:r>
        <w:t xml:space="preserve"> </w:t>
      </w:r>
      <w:r w:rsidRPr="004A07EA">
        <w:rPr>
          <w:rFonts w:ascii="Arial" w:hAnsi="Arial" w:cs="Arial"/>
          <w:sz w:val="18"/>
          <w:szCs w:val="18"/>
        </w:rPr>
        <w:t>MHCLG (2019), Planning Practice Guidance, Strategic environmental assessment and sustainability appraisal, Paragraph: 001 Reference ID: 11-001-20190722</w:t>
      </w:r>
      <w:r>
        <w:rPr>
          <w:rFonts w:ascii="Arial" w:hAnsi="Arial" w:cs="Arial"/>
          <w:sz w:val="18"/>
          <w:szCs w:val="18"/>
        </w:rPr>
        <w:t>.  Available on line:</w:t>
      </w:r>
      <w:r w:rsidRPr="00073AD5">
        <w:t xml:space="preserve"> </w:t>
      </w:r>
      <w:hyperlink r:id="rId1" w:history="1">
        <w:r w:rsidRPr="00B91621">
          <w:rPr>
            <w:rStyle w:val="Hyperlink"/>
            <w:rFonts w:ascii="Arial" w:hAnsi="Arial" w:cs="Arial"/>
            <w:sz w:val="18"/>
            <w:szCs w:val="18"/>
          </w:rPr>
          <w:t>https://www.gov.uk/guidance/strategic-environmental-assessment-and-sustainability-appraisal</w:t>
        </w:r>
      </w:hyperlink>
      <w:r>
        <w:rPr>
          <w:rFonts w:ascii="Arial" w:hAnsi="Arial" w:cs="Arial"/>
          <w:sz w:val="18"/>
          <w:szCs w:val="18"/>
        </w:rPr>
        <w:t xml:space="preserve"> [Accessed October 2024].</w:t>
      </w:r>
    </w:p>
  </w:footnote>
  <w:footnote w:id="2">
    <w:p w14:paraId="7CE5D5EA" w14:textId="77777777" w:rsidR="00195C23" w:rsidRDefault="00195C23" w:rsidP="00195C23">
      <w:pPr>
        <w:pStyle w:val="FootnoteText"/>
      </w:pPr>
      <w:r>
        <w:rPr>
          <w:rStyle w:val="FootnoteReference"/>
        </w:rPr>
        <w:footnoteRef/>
      </w:r>
      <w:r>
        <w:t xml:space="preserve"> </w:t>
      </w:r>
      <w:r w:rsidRPr="004A07EA">
        <w:rPr>
          <w:rFonts w:ascii="Arial" w:hAnsi="Arial" w:cs="Arial"/>
          <w:sz w:val="18"/>
          <w:szCs w:val="18"/>
        </w:rPr>
        <w:t xml:space="preserve">Statutory Instrument 2004 No. 1633 </w:t>
      </w:r>
      <w:r w:rsidRPr="004A07EA">
        <w:rPr>
          <w:rFonts w:ascii="Arial" w:hAnsi="Arial" w:cs="Arial"/>
          <w:i/>
          <w:sz w:val="18"/>
          <w:szCs w:val="18"/>
        </w:rPr>
        <w:t>The Environmental Assessment of Plans and Programmes Regulations 2004</w:t>
      </w:r>
      <w:r w:rsidRPr="004A07EA">
        <w:rPr>
          <w:rFonts w:ascii="Arial" w:hAnsi="Arial" w:cs="Arial"/>
          <w:sz w:val="18"/>
          <w:szCs w:val="18"/>
        </w:rPr>
        <w:t xml:space="preserve">. Available from </w:t>
      </w:r>
      <w:hyperlink r:id="rId2" w:history="1">
        <w:r w:rsidRPr="004A07EA">
          <w:rPr>
            <w:rStyle w:val="Hyperlink"/>
            <w:rFonts w:ascii="Arial" w:hAnsi="Arial" w:cs="Arial"/>
            <w:sz w:val="18"/>
            <w:szCs w:val="18"/>
          </w:rPr>
          <w:t>SEA Regulations</w:t>
        </w:r>
      </w:hyperlink>
    </w:p>
  </w:footnote>
  <w:footnote w:id="3">
    <w:p w14:paraId="184C7B47" w14:textId="77777777" w:rsidR="00195C23" w:rsidRPr="00E1515A" w:rsidRDefault="00195C23" w:rsidP="00195C23">
      <w:pPr>
        <w:pStyle w:val="FootnoteText"/>
        <w:rPr>
          <w:rFonts w:ascii="Arial" w:hAnsi="Arial" w:cs="Arial"/>
          <w:sz w:val="18"/>
          <w:szCs w:val="18"/>
        </w:rPr>
      </w:pPr>
      <w:r w:rsidRPr="00E1515A">
        <w:rPr>
          <w:rStyle w:val="FootnoteReference"/>
          <w:rFonts w:ascii="Arial" w:hAnsi="Arial" w:cs="Arial"/>
          <w:sz w:val="18"/>
          <w:szCs w:val="18"/>
        </w:rPr>
        <w:footnoteRef/>
      </w:r>
      <w:r w:rsidRPr="00E1515A">
        <w:rPr>
          <w:rFonts w:ascii="Arial" w:hAnsi="Arial" w:cs="Arial"/>
          <w:sz w:val="18"/>
          <w:szCs w:val="18"/>
        </w:rPr>
        <w:t xml:space="preserve"> Cogent Land LLP v Rochford DC [2013] EWHC 2542 (Admin) (21/09/2012)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24A"/>
    <w:multiLevelType w:val="multilevel"/>
    <w:tmpl w:val="BA40A92E"/>
    <w:lvl w:ilvl="0">
      <w:start w:val="1"/>
      <w:numFmt w:val="decimal"/>
      <w:lvlText w:val="%1."/>
      <w:lvlJc w:val="left"/>
      <w:pPr>
        <w:tabs>
          <w:tab w:val="num" w:pos="0"/>
        </w:tabs>
        <w:ind w:left="0" w:hanging="360"/>
      </w:pPr>
      <w:rPr>
        <w:rFonts w:hint="default"/>
        <w:b w:val="0"/>
        <w:bCs/>
        <w:strike w:val="0"/>
        <w:color w:val="auto"/>
        <w:sz w:val="24"/>
        <w:szCs w:val="24"/>
      </w:rPr>
    </w:lvl>
    <w:lvl w:ilvl="1">
      <w:start w:val="1"/>
      <w:numFmt w:val="decimal"/>
      <w:lvlText w:val="6.%2."/>
      <w:lvlJc w:val="left"/>
      <w:pPr>
        <w:ind w:left="0" w:hanging="360"/>
      </w:pPr>
      <w:rPr>
        <w:rFonts w:ascii="Arial" w:hAnsi="Arial" w:cs="Arial" w:hint="default"/>
        <w:b w:val="0"/>
        <w:bCs w:val="0"/>
        <w:strike w:val="0"/>
        <w:color w:val="auto"/>
      </w:rPr>
    </w:lvl>
    <w:lvl w:ilvl="2">
      <w:start w:val="1"/>
      <w:numFmt w:val="decimal"/>
      <w:isLgl/>
      <w:lvlText w:val="%1.%2.%3"/>
      <w:lvlJc w:val="left"/>
      <w:pPr>
        <w:ind w:left="360" w:hanging="720"/>
      </w:pPr>
      <w:rPr>
        <w:rFonts w:hint="default"/>
      </w:rPr>
    </w:lvl>
    <w:lvl w:ilvl="3">
      <w:start w:val="1"/>
      <w:numFmt w:val="decimal"/>
      <w:isLgl/>
      <w:lvlText w:val="%1.%2.%3.%4"/>
      <w:lvlJc w:val="left"/>
      <w:pPr>
        <w:ind w:left="720" w:hanging="108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1080" w:hanging="144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440" w:hanging="1800"/>
      </w:pPr>
      <w:rPr>
        <w:rFonts w:hint="default"/>
      </w:rPr>
    </w:lvl>
    <w:lvl w:ilvl="8">
      <w:start w:val="1"/>
      <w:numFmt w:val="decimal"/>
      <w:isLgl/>
      <w:lvlText w:val="%1.%2.%3.%4.%5.%6.%7.%8.%9"/>
      <w:lvlJc w:val="left"/>
      <w:pPr>
        <w:ind w:left="1440" w:hanging="1800"/>
      </w:pPr>
      <w:rPr>
        <w:rFonts w:hint="default"/>
      </w:rPr>
    </w:lvl>
  </w:abstractNum>
  <w:abstractNum w:abstractNumId="1" w15:restartNumberingAfterBreak="0">
    <w:nsid w:val="04FA1BE0"/>
    <w:multiLevelType w:val="hybridMultilevel"/>
    <w:tmpl w:val="38EE8B02"/>
    <w:lvl w:ilvl="0" w:tplc="A0E062A0">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07B37"/>
    <w:multiLevelType w:val="hybridMultilevel"/>
    <w:tmpl w:val="214816DE"/>
    <w:lvl w:ilvl="0" w:tplc="80D4AED6">
      <w:start w:val="1"/>
      <w:numFmt w:val="bullet"/>
      <w:lvlText w:val=""/>
      <w:lvlJc w:val="left"/>
      <w:pPr>
        <w:ind w:left="1510" w:hanging="360"/>
      </w:pPr>
      <w:rPr>
        <w:rFonts w:ascii="Symbol" w:hAnsi="Symbol" w:hint="default"/>
        <w:color w:val="FF0000"/>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3" w15:restartNumberingAfterBreak="0">
    <w:nsid w:val="0D797A16"/>
    <w:multiLevelType w:val="hybridMultilevel"/>
    <w:tmpl w:val="D0E22D9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0D7F664C"/>
    <w:multiLevelType w:val="hybridMultilevel"/>
    <w:tmpl w:val="66F8B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C2EE6"/>
    <w:multiLevelType w:val="hybridMultilevel"/>
    <w:tmpl w:val="D4AC7FCA"/>
    <w:lvl w:ilvl="0" w:tplc="80D4AED6">
      <w:start w:val="1"/>
      <w:numFmt w:val="bullet"/>
      <w:lvlText w:val=""/>
      <w:lvlJc w:val="left"/>
      <w:pPr>
        <w:ind w:left="1080" w:hanging="360"/>
      </w:pPr>
      <w:rPr>
        <w:rFonts w:ascii="Symbol" w:hAnsi="Symbol"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6F5959"/>
    <w:multiLevelType w:val="hybridMultilevel"/>
    <w:tmpl w:val="DA5C89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61704F"/>
    <w:multiLevelType w:val="hybridMultilevel"/>
    <w:tmpl w:val="D5687C56"/>
    <w:lvl w:ilvl="0" w:tplc="1E26F6E2">
      <w:start w:val="2"/>
      <w:numFmt w:val="bullet"/>
      <w:lvlText w:val="-"/>
      <w:lvlJc w:val="left"/>
      <w:pPr>
        <w:ind w:left="1437" w:hanging="360"/>
      </w:pPr>
      <w:rPr>
        <w:rFonts w:ascii="Arial" w:eastAsiaTheme="minorHAnsi" w:hAnsi="Arial" w:cs="Aria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8" w15:restartNumberingAfterBreak="0">
    <w:nsid w:val="16002D86"/>
    <w:multiLevelType w:val="hybridMultilevel"/>
    <w:tmpl w:val="4448E65C"/>
    <w:lvl w:ilvl="0" w:tplc="80D4AED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BF22F1"/>
    <w:multiLevelType w:val="multilevel"/>
    <w:tmpl w:val="7C4AA6B0"/>
    <w:lvl w:ilvl="0">
      <w:start w:val="2"/>
      <w:numFmt w:val="decimal"/>
      <w:lvlText w:val="%1"/>
      <w:lvlJc w:val="left"/>
      <w:pPr>
        <w:ind w:left="1080" w:hanging="1080"/>
      </w:pPr>
      <w:rPr>
        <w:rFonts w:hint="default"/>
        <w:b w:val="0"/>
        <w:i w:val="0"/>
      </w:rPr>
    </w:lvl>
    <w:lvl w:ilvl="1">
      <w:start w:val="5"/>
      <w:numFmt w:val="decimal"/>
      <w:lvlText w:val="%1.%2"/>
      <w:lvlJc w:val="left"/>
      <w:pPr>
        <w:ind w:left="1080" w:hanging="1080"/>
      </w:pPr>
      <w:rPr>
        <w:rFonts w:hint="default"/>
        <w:b w:val="0"/>
        <w:i w:val="0"/>
      </w:rPr>
    </w:lvl>
    <w:lvl w:ilvl="2">
      <w:start w:val="1"/>
      <w:numFmt w:val="decimal"/>
      <w:lvlText w:val="%1.%2.%3"/>
      <w:lvlJc w:val="left"/>
      <w:pPr>
        <w:ind w:left="1440" w:hanging="1440"/>
      </w:pPr>
      <w:rPr>
        <w:rFonts w:hint="default"/>
        <w:b w:val="0"/>
        <w:i w:val="0"/>
      </w:rPr>
    </w:lvl>
    <w:lvl w:ilvl="3">
      <w:start w:val="1"/>
      <w:numFmt w:val="decimal"/>
      <w:lvlText w:val="%1.%2.%3.%4"/>
      <w:lvlJc w:val="left"/>
      <w:pPr>
        <w:ind w:left="1800" w:hanging="1800"/>
      </w:pPr>
      <w:rPr>
        <w:rFonts w:hint="default"/>
        <w:b w:val="0"/>
        <w:i w:val="0"/>
      </w:rPr>
    </w:lvl>
    <w:lvl w:ilvl="4">
      <w:start w:val="1"/>
      <w:numFmt w:val="decimal"/>
      <w:lvlText w:val="%1.%2.%3.%4.%5"/>
      <w:lvlJc w:val="left"/>
      <w:pPr>
        <w:ind w:left="1800" w:hanging="1800"/>
      </w:pPr>
      <w:rPr>
        <w:rFonts w:hint="default"/>
        <w:b w:val="0"/>
        <w:i w:val="0"/>
      </w:rPr>
    </w:lvl>
    <w:lvl w:ilvl="5">
      <w:start w:val="1"/>
      <w:numFmt w:val="decimal"/>
      <w:lvlText w:val="%1.%2.%3.%4.%5.%6"/>
      <w:lvlJc w:val="left"/>
      <w:pPr>
        <w:ind w:left="2160" w:hanging="2160"/>
      </w:pPr>
      <w:rPr>
        <w:rFonts w:hint="default"/>
        <w:b w:val="0"/>
        <w:i w:val="0"/>
      </w:rPr>
    </w:lvl>
    <w:lvl w:ilvl="6">
      <w:start w:val="1"/>
      <w:numFmt w:val="decimal"/>
      <w:lvlText w:val="%1.%2.%3.%4.%5.%6.%7"/>
      <w:lvlJc w:val="left"/>
      <w:pPr>
        <w:ind w:left="2160" w:hanging="2160"/>
      </w:pPr>
      <w:rPr>
        <w:rFonts w:hint="default"/>
        <w:b w:val="0"/>
        <w:i w:val="0"/>
      </w:rPr>
    </w:lvl>
    <w:lvl w:ilvl="7">
      <w:start w:val="1"/>
      <w:numFmt w:val="decimal"/>
      <w:lvlText w:val="%1.%2.%3.%4.%5.%6.%7.%8"/>
      <w:lvlJc w:val="left"/>
      <w:pPr>
        <w:ind w:left="2520" w:hanging="2520"/>
      </w:pPr>
      <w:rPr>
        <w:rFonts w:hint="default"/>
        <w:b w:val="0"/>
        <w:i w:val="0"/>
      </w:rPr>
    </w:lvl>
    <w:lvl w:ilvl="8">
      <w:start w:val="1"/>
      <w:numFmt w:val="decimal"/>
      <w:lvlText w:val="%1.%2.%3.%4.%5.%6.%7.%8.%9"/>
      <w:lvlJc w:val="left"/>
      <w:pPr>
        <w:ind w:left="2520" w:hanging="2520"/>
      </w:pPr>
      <w:rPr>
        <w:rFonts w:hint="default"/>
        <w:b w:val="0"/>
        <w:i w:val="0"/>
      </w:rPr>
    </w:lvl>
  </w:abstractNum>
  <w:abstractNum w:abstractNumId="10" w15:restartNumberingAfterBreak="0">
    <w:nsid w:val="19306CC6"/>
    <w:multiLevelType w:val="hybridMultilevel"/>
    <w:tmpl w:val="6A0CEAF0"/>
    <w:lvl w:ilvl="0" w:tplc="80D4AED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700FE1"/>
    <w:multiLevelType w:val="hybridMultilevel"/>
    <w:tmpl w:val="F5380D40"/>
    <w:lvl w:ilvl="0" w:tplc="B31CBE7A">
      <w:start w:val="1"/>
      <w:numFmt w:val="bullet"/>
      <w:lvlText w:val=""/>
      <w:lvlJc w:val="left"/>
      <w:pPr>
        <w:ind w:left="1495"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CCF5A97"/>
    <w:multiLevelType w:val="hybridMultilevel"/>
    <w:tmpl w:val="6B58A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B0549"/>
    <w:multiLevelType w:val="hybridMultilevel"/>
    <w:tmpl w:val="022CD0C8"/>
    <w:lvl w:ilvl="0" w:tplc="A0E062A0">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0E4668"/>
    <w:multiLevelType w:val="hybridMultilevel"/>
    <w:tmpl w:val="942282AA"/>
    <w:lvl w:ilvl="0" w:tplc="80D4AED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6661DD"/>
    <w:multiLevelType w:val="hybridMultilevel"/>
    <w:tmpl w:val="39FE3E1C"/>
    <w:lvl w:ilvl="0" w:tplc="80D4AED6">
      <w:start w:val="1"/>
      <w:numFmt w:val="bullet"/>
      <w:lvlText w:val=""/>
      <w:lvlJc w:val="left"/>
      <w:pPr>
        <w:ind w:left="1080" w:hanging="360"/>
      </w:pPr>
      <w:rPr>
        <w:rFonts w:ascii="Symbol" w:hAnsi="Symbol"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1420AE6"/>
    <w:multiLevelType w:val="hybridMultilevel"/>
    <w:tmpl w:val="06B0D338"/>
    <w:lvl w:ilvl="0" w:tplc="80D4AED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D64189"/>
    <w:multiLevelType w:val="multilevel"/>
    <w:tmpl w:val="338AC1B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bCs w:val="0"/>
        <w:i w:val="0"/>
        <w:iCs w:val="0"/>
        <w:color w:val="auto"/>
        <w:sz w:val="24"/>
        <w:szCs w:val="24"/>
      </w:rPr>
    </w:lvl>
    <w:lvl w:ilvl="2">
      <w:start w:val="1"/>
      <w:numFmt w:val="bullet"/>
      <w:lvlText w:val=""/>
      <w:lvlJc w:val="left"/>
      <w:pPr>
        <w:ind w:left="1080" w:hanging="360"/>
      </w:pPr>
      <w:rPr>
        <w:rFonts w:ascii="Symbol" w:hAnsi="Symbol"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2F252AD"/>
    <w:multiLevelType w:val="hybridMultilevel"/>
    <w:tmpl w:val="DDFA59DE"/>
    <w:lvl w:ilvl="0" w:tplc="2256BAE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611937"/>
    <w:multiLevelType w:val="hybridMultilevel"/>
    <w:tmpl w:val="EBE8CC56"/>
    <w:lvl w:ilvl="0" w:tplc="B31CBE7A">
      <w:start w:val="1"/>
      <w:numFmt w:val="bullet"/>
      <w:lvlText w:val=""/>
      <w:lvlJc w:val="left"/>
      <w:pPr>
        <w:ind w:left="1495"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106843"/>
    <w:multiLevelType w:val="hybridMultilevel"/>
    <w:tmpl w:val="22128506"/>
    <w:lvl w:ilvl="0" w:tplc="EC3659D4">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46446B"/>
    <w:multiLevelType w:val="hybridMultilevel"/>
    <w:tmpl w:val="BD70E608"/>
    <w:lvl w:ilvl="0" w:tplc="80D4AED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645903"/>
    <w:multiLevelType w:val="hybridMultilevel"/>
    <w:tmpl w:val="12A496AE"/>
    <w:lvl w:ilvl="0" w:tplc="80D4AED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BC0B72"/>
    <w:multiLevelType w:val="hybridMultilevel"/>
    <w:tmpl w:val="A3A20F72"/>
    <w:lvl w:ilvl="0" w:tplc="80D4AED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D31430"/>
    <w:multiLevelType w:val="hybridMultilevel"/>
    <w:tmpl w:val="297CFD84"/>
    <w:lvl w:ilvl="0" w:tplc="80D4AED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7773C3"/>
    <w:multiLevelType w:val="hybridMultilevel"/>
    <w:tmpl w:val="075EDC98"/>
    <w:lvl w:ilvl="0" w:tplc="B31CBE7A">
      <w:start w:val="1"/>
      <w:numFmt w:val="bullet"/>
      <w:lvlText w:val=""/>
      <w:lvlJc w:val="left"/>
      <w:pPr>
        <w:ind w:left="1495"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160353"/>
    <w:multiLevelType w:val="hybridMultilevel"/>
    <w:tmpl w:val="57EEC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6923C1"/>
    <w:multiLevelType w:val="multilevel"/>
    <w:tmpl w:val="9D1A68D6"/>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465CBC"/>
    <w:multiLevelType w:val="hybridMultilevel"/>
    <w:tmpl w:val="E5FCB85E"/>
    <w:lvl w:ilvl="0" w:tplc="8E9A1B54">
      <w:start w:val="1"/>
      <w:numFmt w:val="lowerLetter"/>
      <w:lvlText w:val="%1."/>
      <w:lvlJc w:val="left"/>
      <w:pPr>
        <w:ind w:left="2880" w:hanging="360"/>
      </w:pPr>
      <w:rPr>
        <w:rFonts w:hint="default"/>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9" w15:restartNumberingAfterBreak="0">
    <w:nsid w:val="45BF754A"/>
    <w:multiLevelType w:val="hybridMultilevel"/>
    <w:tmpl w:val="B5644A82"/>
    <w:lvl w:ilvl="0" w:tplc="80D4AED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7E647E"/>
    <w:multiLevelType w:val="hybridMultilevel"/>
    <w:tmpl w:val="06FC6176"/>
    <w:lvl w:ilvl="0" w:tplc="80D4AED6">
      <w:start w:val="1"/>
      <w:numFmt w:val="bullet"/>
      <w:lvlText w:val=""/>
      <w:lvlJc w:val="left"/>
      <w:pPr>
        <w:ind w:left="3600" w:hanging="360"/>
      </w:pPr>
      <w:rPr>
        <w:rFonts w:ascii="Symbol" w:hAnsi="Symbol" w:hint="default"/>
        <w:color w:val="FF0000"/>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1" w15:restartNumberingAfterBreak="0">
    <w:nsid w:val="524265E7"/>
    <w:multiLevelType w:val="hybridMultilevel"/>
    <w:tmpl w:val="98EE8A86"/>
    <w:lvl w:ilvl="0" w:tplc="DBB67B4E">
      <w:start w:val="2"/>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951C84"/>
    <w:multiLevelType w:val="hybridMultilevel"/>
    <w:tmpl w:val="5212DEDE"/>
    <w:lvl w:ilvl="0" w:tplc="80D4AED6">
      <w:start w:val="1"/>
      <w:numFmt w:val="bullet"/>
      <w:lvlText w:val=""/>
      <w:lvlJc w:val="left"/>
      <w:pPr>
        <w:ind w:left="4730" w:hanging="360"/>
      </w:pPr>
      <w:rPr>
        <w:rFonts w:ascii="Symbol" w:hAnsi="Symbol" w:hint="default"/>
        <w:color w:val="FF0000"/>
      </w:rPr>
    </w:lvl>
    <w:lvl w:ilvl="1" w:tplc="08090003" w:tentative="1">
      <w:start w:val="1"/>
      <w:numFmt w:val="bullet"/>
      <w:lvlText w:val="o"/>
      <w:lvlJc w:val="left"/>
      <w:pPr>
        <w:ind w:left="5450" w:hanging="360"/>
      </w:pPr>
      <w:rPr>
        <w:rFonts w:ascii="Courier New" w:hAnsi="Courier New" w:cs="Courier New" w:hint="default"/>
      </w:rPr>
    </w:lvl>
    <w:lvl w:ilvl="2" w:tplc="08090005" w:tentative="1">
      <w:start w:val="1"/>
      <w:numFmt w:val="bullet"/>
      <w:lvlText w:val=""/>
      <w:lvlJc w:val="left"/>
      <w:pPr>
        <w:ind w:left="6170" w:hanging="360"/>
      </w:pPr>
      <w:rPr>
        <w:rFonts w:ascii="Wingdings" w:hAnsi="Wingdings" w:hint="default"/>
      </w:rPr>
    </w:lvl>
    <w:lvl w:ilvl="3" w:tplc="08090001" w:tentative="1">
      <w:start w:val="1"/>
      <w:numFmt w:val="bullet"/>
      <w:lvlText w:val=""/>
      <w:lvlJc w:val="left"/>
      <w:pPr>
        <w:ind w:left="6890" w:hanging="360"/>
      </w:pPr>
      <w:rPr>
        <w:rFonts w:ascii="Symbol" w:hAnsi="Symbol" w:hint="default"/>
      </w:rPr>
    </w:lvl>
    <w:lvl w:ilvl="4" w:tplc="08090003" w:tentative="1">
      <w:start w:val="1"/>
      <w:numFmt w:val="bullet"/>
      <w:lvlText w:val="o"/>
      <w:lvlJc w:val="left"/>
      <w:pPr>
        <w:ind w:left="7610" w:hanging="360"/>
      </w:pPr>
      <w:rPr>
        <w:rFonts w:ascii="Courier New" w:hAnsi="Courier New" w:cs="Courier New" w:hint="default"/>
      </w:rPr>
    </w:lvl>
    <w:lvl w:ilvl="5" w:tplc="08090005" w:tentative="1">
      <w:start w:val="1"/>
      <w:numFmt w:val="bullet"/>
      <w:lvlText w:val=""/>
      <w:lvlJc w:val="left"/>
      <w:pPr>
        <w:ind w:left="8330" w:hanging="360"/>
      </w:pPr>
      <w:rPr>
        <w:rFonts w:ascii="Wingdings" w:hAnsi="Wingdings" w:hint="default"/>
      </w:rPr>
    </w:lvl>
    <w:lvl w:ilvl="6" w:tplc="08090001" w:tentative="1">
      <w:start w:val="1"/>
      <w:numFmt w:val="bullet"/>
      <w:lvlText w:val=""/>
      <w:lvlJc w:val="left"/>
      <w:pPr>
        <w:ind w:left="9050" w:hanging="360"/>
      </w:pPr>
      <w:rPr>
        <w:rFonts w:ascii="Symbol" w:hAnsi="Symbol" w:hint="default"/>
      </w:rPr>
    </w:lvl>
    <w:lvl w:ilvl="7" w:tplc="08090003" w:tentative="1">
      <w:start w:val="1"/>
      <w:numFmt w:val="bullet"/>
      <w:lvlText w:val="o"/>
      <w:lvlJc w:val="left"/>
      <w:pPr>
        <w:ind w:left="9770" w:hanging="360"/>
      </w:pPr>
      <w:rPr>
        <w:rFonts w:ascii="Courier New" w:hAnsi="Courier New" w:cs="Courier New" w:hint="default"/>
      </w:rPr>
    </w:lvl>
    <w:lvl w:ilvl="8" w:tplc="08090005" w:tentative="1">
      <w:start w:val="1"/>
      <w:numFmt w:val="bullet"/>
      <w:lvlText w:val=""/>
      <w:lvlJc w:val="left"/>
      <w:pPr>
        <w:ind w:left="10490" w:hanging="360"/>
      </w:pPr>
      <w:rPr>
        <w:rFonts w:ascii="Wingdings" w:hAnsi="Wingdings" w:hint="default"/>
      </w:rPr>
    </w:lvl>
  </w:abstractNum>
  <w:abstractNum w:abstractNumId="33" w15:restartNumberingAfterBreak="0">
    <w:nsid w:val="5D8A3713"/>
    <w:multiLevelType w:val="hybridMultilevel"/>
    <w:tmpl w:val="2398E454"/>
    <w:lvl w:ilvl="0" w:tplc="8A8A49A6">
      <w:start w:val="2"/>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B514EC"/>
    <w:multiLevelType w:val="hybridMultilevel"/>
    <w:tmpl w:val="2536F926"/>
    <w:lvl w:ilvl="0" w:tplc="D33C562E">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01251B6"/>
    <w:multiLevelType w:val="hybridMultilevel"/>
    <w:tmpl w:val="F6B2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4F122B"/>
    <w:multiLevelType w:val="hybridMultilevel"/>
    <w:tmpl w:val="4B30DD3E"/>
    <w:lvl w:ilvl="0" w:tplc="80D4AED6">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3D94FE2"/>
    <w:multiLevelType w:val="hybridMultilevel"/>
    <w:tmpl w:val="A6EE67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C292E2C"/>
    <w:multiLevelType w:val="hybridMultilevel"/>
    <w:tmpl w:val="C8CA651A"/>
    <w:lvl w:ilvl="0" w:tplc="06AC37AC">
      <w:start w:val="1"/>
      <w:numFmt w:val="lowerLetter"/>
      <w:lvlText w:val="%1)"/>
      <w:lvlJc w:val="left"/>
      <w:pPr>
        <w:ind w:left="1080" w:hanging="360"/>
      </w:pPr>
      <w:rPr>
        <w:rFonts w:ascii="Arial" w:eastAsia="Times New Roman" w:hAnsi="Arial" w:cs="Arial"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3DB69E1"/>
    <w:multiLevelType w:val="hybridMultilevel"/>
    <w:tmpl w:val="715AF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B23403"/>
    <w:multiLevelType w:val="multilevel"/>
    <w:tmpl w:val="1054A832"/>
    <w:lvl w:ilvl="0">
      <w:start w:val="2"/>
      <w:numFmt w:val="decimal"/>
      <w:lvlText w:val="%1"/>
      <w:lvlJc w:val="left"/>
      <w:pPr>
        <w:ind w:left="525" w:hanging="525"/>
      </w:pPr>
      <w:rPr>
        <w:rFonts w:cstheme="minorBidi" w:hint="default"/>
      </w:rPr>
    </w:lvl>
    <w:lvl w:ilvl="1">
      <w:start w:val="2"/>
      <w:numFmt w:val="decimal"/>
      <w:lvlText w:val="%1.%2"/>
      <w:lvlJc w:val="left"/>
      <w:pPr>
        <w:ind w:left="525" w:hanging="525"/>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1800" w:hanging="1800"/>
      </w:pPr>
      <w:rPr>
        <w:rFonts w:cstheme="minorBidi" w:hint="default"/>
      </w:rPr>
    </w:lvl>
  </w:abstractNum>
  <w:abstractNum w:abstractNumId="41" w15:restartNumberingAfterBreak="0">
    <w:nsid w:val="75C96576"/>
    <w:multiLevelType w:val="hybridMultilevel"/>
    <w:tmpl w:val="55F05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44754276">
    <w:abstractNumId w:val="17"/>
  </w:num>
  <w:num w:numId="2" w16cid:durableId="1991399276">
    <w:abstractNumId w:val="4"/>
  </w:num>
  <w:num w:numId="3" w16cid:durableId="1369531771">
    <w:abstractNumId w:val="39"/>
  </w:num>
  <w:num w:numId="4" w16cid:durableId="414471198">
    <w:abstractNumId w:val="0"/>
  </w:num>
  <w:num w:numId="5" w16cid:durableId="48768886">
    <w:abstractNumId w:val="28"/>
  </w:num>
  <w:num w:numId="6" w16cid:durableId="379328773">
    <w:abstractNumId w:val="3"/>
  </w:num>
  <w:num w:numId="7" w16cid:durableId="1360861194">
    <w:abstractNumId w:val="37"/>
  </w:num>
  <w:num w:numId="8" w16cid:durableId="1298609175">
    <w:abstractNumId w:val="18"/>
  </w:num>
  <w:num w:numId="9" w16cid:durableId="1117263144">
    <w:abstractNumId w:val="31"/>
  </w:num>
  <w:num w:numId="10" w16cid:durableId="255482778">
    <w:abstractNumId w:val="33"/>
  </w:num>
  <w:num w:numId="11" w16cid:durableId="712922900">
    <w:abstractNumId w:val="27"/>
  </w:num>
  <w:num w:numId="12" w16cid:durableId="538513890">
    <w:abstractNumId w:val="20"/>
  </w:num>
  <w:num w:numId="13" w16cid:durableId="37243454">
    <w:abstractNumId w:val="40"/>
  </w:num>
  <w:num w:numId="14" w16cid:durableId="1385372865">
    <w:abstractNumId w:val="41"/>
  </w:num>
  <w:num w:numId="15" w16cid:durableId="460460087">
    <w:abstractNumId w:val="38"/>
  </w:num>
  <w:num w:numId="16" w16cid:durableId="1442459003">
    <w:abstractNumId w:val="7"/>
  </w:num>
  <w:num w:numId="17" w16cid:durableId="1184705657">
    <w:abstractNumId w:val="34"/>
  </w:num>
  <w:num w:numId="18" w16cid:durableId="509687211">
    <w:abstractNumId w:val="6"/>
  </w:num>
  <w:num w:numId="19" w16cid:durableId="2024821986">
    <w:abstractNumId w:val="12"/>
  </w:num>
  <w:num w:numId="20" w16cid:durableId="1139610465">
    <w:abstractNumId w:val="11"/>
  </w:num>
  <w:num w:numId="21" w16cid:durableId="1743330406">
    <w:abstractNumId w:val="19"/>
  </w:num>
  <w:num w:numId="22" w16cid:durableId="695354677">
    <w:abstractNumId w:val="9"/>
  </w:num>
  <w:num w:numId="23" w16cid:durableId="290521615">
    <w:abstractNumId w:val="25"/>
  </w:num>
  <w:num w:numId="24" w16cid:durableId="683481667">
    <w:abstractNumId w:val="21"/>
  </w:num>
  <w:num w:numId="25" w16cid:durableId="1644001289">
    <w:abstractNumId w:val="30"/>
  </w:num>
  <w:num w:numId="26" w16cid:durableId="1304656321">
    <w:abstractNumId w:val="16"/>
  </w:num>
  <w:num w:numId="27" w16cid:durableId="1664550189">
    <w:abstractNumId w:val="29"/>
  </w:num>
  <w:num w:numId="28" w16cid:durableId="316762927">
    <w:abstractNumId w:val="24"/>
  </w:num>
  <w:num w:numId="29" w16cid:durableId="1232735620">
    <w:abstractNumId w:val="22"/>
  </w:num>
  <w:num w:numId="30" w16cid:durableId="595402357">
    <w:abstractNumId w:val="15"/>
  </w:num>
  <w:num w:numId="31" w16cid:durableId="355772">
    <w:abstractNumId w:val="14"/>
  </w:num>
  <w:num w:numId="32" w16cid:durableId="1469202509">
    <w:abstractNumId w:val="8"/>
  </w:num>
  <w:num w:numId="33" w16cid:durableId="1208225105">
    <w:abstractNumId w:val="5"/>
  </w:num>
  <w:num w:numId="34" w16cid:durableId="1631476081">
    <w:abstractNumId w:val="10"/>
  </w:num>
  <w:num w:numId="35" w16cid:durableId="1092121656">
    <w:abstractNumId w:val="36"/>
  </w:num>
  <w:num w:numId="36" w16cid:durableId="31855407">
    <w:abstractNumId w:val="23"/>
  </w:num>
  <w:num w:numId="37" w16cid:durableId="2041973636">
    <w:abstractNumId w:val="2"/>
  </w:num>
  <w:num w:numId="38" w16cid:durableId="457727531">
    <w:abstractNumId w:val="32"/>
  </w:num>
  <w:num w:numId="39" w16cid:durableId="1272006826">
    <w:abstractNumId w:val="35"/>
  </w:num>
  <w:num w:numId="40" w16cid:durableId="1240676106">
    <w:abstractNumId w:val="26"/>
  </w:num>
  <w:num w:numId="41" w16cid:durableId="1774086808">
    <w:abstractNumId w:val="1"/>
  </w:num>
  <w:num w:numId="42" w16cid:durableId="2576397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AA"/>
    <w:rsid w:val="00000F70"/>
    <w:rsid w:val="00002C92"/>
    <w:rsid w:val="000122FC"/>
    <w:rsid w:val="000156BA"/>
    <w:rsid w:val="00015784"/>
    <w:rsid w:val="0002644D"/>
    <w:rsid w:val="0003082A"/>
    <w:rsid w:val="00031CD5"/>
    <w:rsid w:val="0003321C"/>
    <w:rsid w:val="00034C01"/>
    <w:rsid w:val="00047435"/>
    <w:rsid w:val="00050557"/>
    <w:rsid w:val="00051772"/>
    <w:rsid w:val="00053C77"/>
    <w:rsid w:val="00053DBD"/>
    <w:rsid w:val="00060849"/>
    <w:rsid w:val="00061592"/>
    <w:rsid w:val="000633F7"/>
    <w:rsid w:val="000644DE"/>
    <w:rsid w:val="00071C0B"/>
    <w:rsid w:val="000721CD"/>
    <w:rsid w:val="00072A75"/>
    <w:rsid w:val="00073DF4"/>
    <w:rsid w:val="00075149"/>
    <w:rsid w:val="00075A98"/>
    <w:rsid w:val="000762FB"/>
    <w:rsid w:val="00081832"/>
    <w:rsid w:val="00082FBE"/>
    <w:rsid w:val="00083DBD"/>
    <w:rsid w:val="000844F4"/>
    <w:rsid w:val="00091AB5"/>
    <w:rsid w:val="00091BDA"/>
    <w:rsid w:val="000A35A5"/>
    <w:rsid w:val="000B42B9"/>
    <w:rsid w:val="000B4BED"/>
    <w:rsid w:val="000C1F4A"/>
    <w:rsid w:val="000C2F08"/>
    <w:rsid w:val="000C4DE9"/>
    <w:rsid w:val="000D111C"/>
    <w:rsid w:val="000D369B"/>
    <w:rsid w:val="000D4C74"/>
    <w:rsid w:val="000D59A3"/>
    <w:rsid w:val="000D7D14"/>
    <w:rsid w:val="000E2AD4"/>
    <w:rsid w:val="000F0565"/>
    <w:rsid w:val="000F516E"/>
    <w:rsid w:val="000F6DC6"/>
    <w:rsid w:val="0011032D"/>
    <w:rsid w:val="00116CD8"/>
    <w:rsid w:val="00121A9F"/>
    <w:rsid w:val="00133976"/>
    <w:rsid w:val="0014730F"/>
    <w:rsid w:val="00147CDE"/>
    <w:rsid w:val="001501EA"/>
    <w:rsid w:val="00151766"/>
    <w:rsid w:val="0015402A"/>
    <w:rsid w:val="00155A5B"/>
    <w:rsid w:val="0016145C"/>
    <w:rsid w:val="00170D31"/>
    <w:rsid w:val="00174AA1"/>
    <w:rsid w:val="00176C07"/>
    <w:rsid w:val="00180BE0"/>
    <w:rsid w:val="0019103F"/>
    <w:rsid w:val="00195C23"/>
    <w:rsid w:val="001A30C3"/>
    <w:rsid w:val="001A5790"/>
    <w:rsid w:val="001B1070"/>
    <w:rsid w:val="001B48B9"/>
    <w:rsid w:val="001C17EB"/>
    <w:rsid w:val="001C1E6E"/>
    <w:rsid w:val="001C6AB1"/>
    <w:rsid w:val="001D2367"/>
    <w:rsid w:val="001D4324"/>
    <w:rsid w:val="001D50BF"/>
    <w:rsid w:val="001F021D"/>
    <w:rsid w:val="001F1E21"/>
    <w:rsid w:val="00202260"/>
    <w:rsid w:val="00202E21"/>
    <w:rsid w:val="00205B06"/>
    <w:rsid w:val="002110AD"/>
    <w:rsid w:val="00214A50"/>
    <w:rsid w:val="00221578"/>
    <w:rsid w:val="002232E3"/>
    <w:rsid w:val="00224BCD"/>
    <w:rsid w:val="00231BD3"/>
    <w:rsid w:val="0023771C"/>
    <w:rsid w:val="00240054"/>
    <w:rsid w:val="002504A2"/>
    <w:rsid w:val="002540F9"/>
    <w:rsid w:val="0025677D"/>
    <w:rsid w:val="00256A76"/>
    <w:rsid w:val="00261076"/>
    <w:rsid w:val="00261E90"/>
    <w:rsid w:val="002672F8"/>
    <w:rsid w:val="002715E5"/>
    <w:rsid w:val="002740F7"/>
    <w:rsid w:val="00277F9E"/>
    <w:rsid w:val="0028222F"/>
    <w:rsid w:val="0028351A"/>
    <w:rsid w:val="0028465B"/>
    <w:rsid w:val="0029146B"/>
    <w:rsid w:val="00292CB0"/>
    <w:rsid w:val="002949F6"/>
    <w:rsid w:val="002A0D5F"/>
    <w:rsid w:val="002A3029"/>
    <w:rsid w:val="002B5283"/>
    <w:rsid w:val="002B6699"/>
    <w:rsid w:val="002C2BE6"/>
    <w:rsid w:val="002D167E"/>
    <w:rsid w:val="002D2ADC"/>
    <w:rsid w:val="002D2D98"/>
    <w:rsid w:val="002E480B"/>
    <w:rsid w:val="002F19B7"/>
    <w:rsid w:val="002F5201"/>
    <w:rsid w:val="002F6B35"/>
    <w:rsid w:val="0030294A"/>
    <w:rsid w:val="0031580A"/>
    <w:rsid w:val="00316DA7"/>
    <w:rsid w:val="003176C5"/>
    <w:rsid w:val="00321904"/>
    <w:rsid w:val="00323A96"/>
    <w:rsid w:val="00325C34"/>
    <w:rsid w:val="003308D6"/>
    <w:rsid w:val="003344FE"/>
    <w:rsid w:val="00336613"/>
    <w:rsid w:val="00340B37"/>
    <w:rsid w:val="0034193D"/>
    <w:rsid w:val="003425D6"/>
    <w:rsid w:val="00343E6C"/>
    <w:rsid w:val="00353B10"/>
    <w:rsid w:val="00354BA6"/>
    <w:rsid w:val="00360C90"/>
    <w:rsid w:val="003626FF"/>
    <w:rsid w:val="0036325F"/>
    <w:rsid w:val="00366DD7"/>
    <w:rsid w:val="00375261"/>
    <w:rsid w:val="00375E99"/>
    <w:rsid w:val="003816E3"/>
    <w:rsid w:val="003A041E"/>
    <w:rsid w:val="003A1B07"/>
    <w:rsid w:val="003A37D2"/>
    <w:rsid w:val="003A4A94"/>
    <w:rsid w:val="003A7013"/>
    <w:rsid w:val="003B0A03"/>
    <w:rsid w:val="003B0CED"/>
    <w:rsid w:val="003B4312"/>
    <w:rsid w:val="003B6789"/>
    <w:rsid w:val="003B6FEE"/>
    <w:rsid w:val="003C5595"/>
    <w:rsid w:val="003D1036"/>
    <w:rsid w:val="003D2D32"/>
    <w:rsid w:val="003E158C"/>
    <w:rsid w:val="003F35BC"/>
    <w:rsid w:val="003F4EC6"/>
    <w:rsid w:val="003F71E4"/>
    <w:rsid w:val="004058E6"/>
    <w:rsid w:val="00405A0B"/>
    <w:rsid w:val="00407183"/>
    <w:rsid w:val="004113B3"/>
    <w:rsid w:val="004125B0"/>
    <w:rsid w:val="00422F47"/>
    <w:rsid w:val="004232F4"/>
    <w:rsid w:val="004240EC"/>
    <w:rsid w:val="004337A4"/>
    <w:rsid w:val="004343A5"/>
    <w:rsid w:val="00436D00"/>
    <w:rsid w:val="00441999"/>
    <w:rsid w:val="00445D88"/>
    <w:rsid w:val="00446044"/>
    <w:rsid w:val="004462A9"/>
    <w:rsid w:val="0045119F"/>
    <w:rsid w:val="00454C5B"/>
    <w:rsid w:val="00457132"/>
    <w:rsid w:val="00462D86"/>
    <w:rsid w:val="004637B9"/>
    <w:rsid w:val="00464D10"/>
    <w:rsid w:val="00464E87"/>
    <w:rsid w:val="00465D76"/>
    <w:rsid w:val="00467323"/>
    <w:rsid w:val="004711C4"/>
    <w:rsid w:val="004717E9"/>
    <w:rsid w:val="00474FDA"/>
    <w:rsid w:val="00475900"/>
    <w:rsid w:val="00475DFD"/>
    <w:rsid w:val="004762CC"/>
    <w:rsid w:val="00476B0D"/>
    <w:rsid w:val="0049526F"/>
    <w:rsid w:val="004A06E7"/>
    <w:rsid w:val="004A0F8C"/>
    <w:rsid w:val="004A2EDE"/>
    <w:rsid w:val="004B04EB"/>
    <w:rsid w:val="004B101E"/>
    <w:rsid w:val="004B1A67"/>
    <w:rsid w:val="004B42F4"/>
    <w:rsid w:val="004B7709"/>
    <w:rsid w:val="004C3A22"/>
    <w:rsid w:val="004D10A4"/>
    <w:rsid w:val="004D5385"/>
    <w:rsid w:val="004D7C92"/>
    <w:rsid w:val="004E11E3"/>
    <w:rsid w:val="004E72FF"/>
    <w:rsid w:val="004F04FC"/>
    <w:rsid w:val="004F5CAE"/>
    <w:rsid w:val="00511FAA"/>
    <w:rsid w:val="00512776"/>
    <w:rsid w:val="00517BAA"/>
    <w:rsid w:val="00523691"/>
    <w:rsid w:val="005265F8"/>
    <w:rsid w:val="005354D6"/>
    <w:rsid w:val="00543FAC"/>
    <w:rsid w:val="00545865"/>
    <w:rsid w:val="0055226E"/>
    <w:rsid w:val="00556E14"/>
    <w:rsid w:val="005617E9"/>
    <w:rsid w:val="0056402E"/>
    <w:rsid w:val="0056474A"/>
    <w:rsid w:val="00564C76"/>
    <w:rsid w:val="00570491"/>
    <w:rsid w:val="00572158"/>
    <w:rsid w:val="005904FF"/>
    <w:rsid w:val="00595684"/>
    <w:rsid w:val="005A1DE8"/>
    <w:rsid w:val="005A72A3"/>
    <w:rsid w:val="005B0CBE"/>
    <w:rsid w:val="005B2FA0"/>
    <w:rsid w:val="005B4352"/>
    <w:rsid w:val="005B4ED5"/>
    <w:rsid w:val="005C0592"/>
    <w:rsid w:val="005C16EA"/>
    <w:rsid w:val="005D05B3"/>
    <w:rsid w:val="005D13C3"/>
    <w:rsid w:val="005D1C0C"/>
    <w:rsid w:val="005E2D84"/>
    <w:rsid w:val="005E3B56"/>
    <w:rsid w:val="005F4719"/>
    <w:rsid w:val="006012A3"/>
    <w:rsid w:val="00603B98"/>
    <w:rsid w:val="00606C2E"/>
    <w:rsid w:val="00621F4A"/>
    <w:rsid w:val="00627A4B"/>
    <w:rsid w:val="006326D9"/>
    <w:rsid w:val="00643A80"/>
    <w:rsid w:val="00644B8F"/>
    <w:rsid w:val="00652038"/>
    <w:rsid w:val="00652106"/>
    <w:rsid w:val="00653166"/>
    <w:rsid w:val="0066178F"/>
    <w:rsid w:val="00666C80"/>
    <w:rsid w:val="00676E2C"/>
    <w:rsid w:val="006A57B1"/>
    <w:rsid w:val="006B10D6"/>
    <w:rsid w:val="006B39F4"/>
    <w:rsid w:val="006B6808"/>
    <w:rsid w:val="006B77F7"/>
    <w:rsid w:val="006B7BF5"/>
    <w:rsid w:val="006D4312"/>
    <w:rsid w:val="006D4867"/>
    <w:rsid w:val="006D6D14"/>
    <w:rsid w:val="006D6D51"/>
    <w:rsid w:val="006E0AD6"/>
    <w:rsid w:val="006E19E5"/>
    <w:rsid w:val="006E49BC"/>
    <w:rsid w:val="006E6391"/>
    <w:rsid w:val="00712F56"/>
    <w:rsid w:val="00716D5C"/>
    <w:rsid w:val="00720445"/>
    <w:rsid w:val="00720E56"/>
    <w:rsid w:val="00721960"/>
    <w:rsid w:val="00725271"/>
    <w:rsid w:val="00730FFF"/>
    <w:rsid w:val="00731235"/>
    <w:rsid w:val="00732D92"/>
    <w:rsid w:val="00733ABD"/>
    <w:rsid w:val="0073708B"/>
    <w:rsid w:val="007404F6"/>
    <w:rsid w:val="0074476F"/>
    <w:rsid w:val="00744826"/>
    <w:rsid w:val="00746DDF"/>
    <w:rsid w:val="00747852"/>
    <w:rsid w:val="00752681"/>
    <w:rsid w:val="00764769"/>
    <w:rsid w:val="0077375D"/>
    <w:rsid w:val="007765AA"/>
    <w:rsid w:val="007772DE"/>
    <w:rsid w:val="00780A19"/>
    <w:rsid w:val="00786A71"/>
    <w:rsid w:val="007901B3"/>
    <w:rsid w:val="00794152"/>
    <w:rsid w:val="007A5B42"/>
    <w:rsid w:val="007A66E4"/>
    <w:rsid w:val="007A6C45"/>
    <w:rsid w:val="007B1B84"/>
    <w:rsid w:val="007B327E"/>
    <w:rsid w:val="007B4768"/>
    <w:rsid w:val="007C01D7"/>
    <w:rsid w:val="007C1DB2"/>
    <w:rsid w:val="007C3AD3"/>
    <w:rsid w:val="007C635D"/>
    <w:rsid w:val="007C65A0"/>
    <w:rsid w:val="007D54CB"/>
    <w:rsid w:val="007D55ED"/>
    <w:rsid w:val="007D56C9"/>
    <w:rsid w:val="007D6F72"/>
    <w:rsid w:val="007E164C"/>
    <w:rsid w:val="007E5D3A"/>
    <w:rsid w:val="007E5FE3"/>
    <w:rsid w:val="007F2302"/>
    <w:rsid w:val="007F403A"/>
    <w:rsid w:val="007F43E9"/>
    <w:rsid w:val="007F6E33"/>
    <w:rsid w:val="008130E4"/>
    <w:rsid w:val="00815A3C"/>
    <w:rsid w:val="00822009"/>
    <w:rsid w:val="00822AE1"/>
    <w:rsid w:val="0082426E"/>
    <w:rsid w:val="00833039"/>
    <w:rsid w:val="00833083"/>
    <w:rsid w:val="008422C2"/>
    <w:rsid w:val="00853463"/>
    <w:rsid w:val="008545A0"/>
    <w:rsid w:val="00855B65"/>
    <w:rsid w:val="00862469"/>
    <w:rsid w:val="008655AA"/>
    <w:rsid w:val="00873862"/>
    <w:rsid w:val="00877482"/>
    <w:rsid w:val="00877542"/>
    <w:rsid w:val="00887ED6"/>
    <w:rsid w:val="00890B7B"/>
    <w:rsid w:val="00890FF9"/>
    <w:rsid w:val="008971BA"/>
    <w:rsid w:val="00897BBE"/>
    <w:rsid w:val="008A097C"/>
    <w:rsid w:val="008C0B5F"/>
    <w:rsid w:val="008C464E"/>
    <w:rsid w:val="008C5660"/>
    <w:rsid w:val="008D0B9E"/>
    <w:rsid w:val="008D2603"/>
    <w:rsid w:val="008E5D31"/>
    <w:rsid w:val="008F793F"/>
    <w:rsid w:val="00901DFC"/>
    <w:rsid w:val="009030E3"/>
    <w:rsid w:val="00905629"/>
    <w:rsid w:val="00906206"/>
    <w:rsid w:val="009070F6"/>
    <w:rsid w:val="00907EB4"/>
    <w:rsid w:val="00916A7A"/>
    <w:rsid w:val="00917679"/>
    <w:rsid w:val="0092167F"/>
    <w:rsid w:val="00926A02"/>
    <w:rsid w:val="00935D3A"/>
    <w:rsid w:val="00935F5B"/>
    <w:rsid w:val="00936008"/>
    <w:rsid w:val="00940352"/>
    <w:rsid w:val="00941DF4"/>
    <w:rsid w:val="009436E4"/>
    <w:rsid w:val="009439C2"/>
    <w:rsid w:val="00944D84"/>
    <w:rsid w:val="0094675C"/>
    <w:rsid w:val="00947A2B"/>
    <w:rsid w:val="00950A69"/>
    <w:rsid w:val="00957377"/>
    <w:rsid w:val="009606E9"/>
    <w:rsid w:val="00962B9B"/>
    <w:rsid w:val="00975CC1"/>
    <w:rsid w:val="00977380"/>
    <w:rsid w:val="009800D9"/>
    <w:rsid w:val="00983AB1"/>
    <w:rsid w:val="00984C85"/>
    <w:rsid w:val="00987FB7"/>
    <w:rsid w:val="00996670"/>
    <w:rsid w:val="00996FCF"/>
    <w:rsid w:val="009A5306"/>
    <w:rsid w:val="009A54BB"/>
    <w:rsid w:val="009A5677"/>
    <w:rsid w:val="009A7E62"/>
    <w:rsid w:val="009B2827"/>
    <w:rsid w:val="009B2E36"/>
    <w:rsid w:val="009B78C4"/>
    <w:rsid w:val="009C0259"/>
    <w:rsid w:val="009C2F43"/>
    <w:rsid w:val="009C55E7"/>
    <w:rsid w:val="009C66A9"/>
    <w:rsid w:val="009D17D6"/>
    <w:rsid w:val="009D28A9"/>
    <w:rsid w:val="009D5661"/>
    <w:rsid w:val="009D5F7B"/>
    <w:rsid w:val="009F0DB7"/>
    <w:rsid w:val="009F3AF3"/>
    <w:rsid w:val="009F784B"/>
    <w:rsid w:val="00A03C5E"/>
    <w:rsid w:val="00A04F55"/>
    <w:rsid w:val="00A05AB3"/>
    <w:rsid w:val="00A107C5"/>
    <w:rsid w:val="00A12123"/>
    <w:rsid w:val="00A12FEB"/>
    <w:rsid w:val="00A15FA1"/>
    <w:rsid w:val="00A2408B"/>
    <w:rsid w:val="00A2766E"/>
    <w:rsid w:val="00A32EA0"/>
    <w:rsid w:val="00A355BA"/>
    <w:rsid w:val="00A4512D"/>
    <w:rsid w:val="00A45267"/>
    <w:rsid w:val="00A47CD2"/>
    <w:rsid w:val="00A60513"/>
    <w:rsid w:val="00A640C2"/>
    <w:rsid w:val="00A64814"/>
    <w:rsid w:val="00A65398"/>
    <w:rsid w:val="00A67D38"/>
    <w:rsid w:val="00A77FE2"/>
    <w:rsid w:val="00A81218"/>
    <w:rsid w:val="00A84B00"/>
    <w:rsid w:val="00A85792"/>
    <w:rsid w:val="00A863FC"/>
    <w:rsid w:val="00A87648"/>
    <w:rsid w:val="00A9081E"/>
    <w:rsid w:val="00A90E11"/>
    <w:rsid w:val="00A976BB"/>
    <w:rsid w:val="00AA19C4"/>
    <w:rsid w:val="00AA617B"/>
    <w:rsid w:val="00AA7D4E"/>
    <w:rsid w:val="00AB0367"/>
    <w:rsid w:val="00AB1511"/>
    <w:rsid w:val="00AB2ECA"/>
    <w:rsid w:val="00AB778B"/>
    <w:rsid w:val="00AC29D2"/>
    <w:rsid w:val="00AC3FE3"/>
    <w:rsid w:val="00AC50A3"/>
    <w:rsid w:val="00AD13BC"/>
    <w:rsid w:val="00AD17B9"/>
    <w:rsid w:val="00AD2CC2"/>
    <w:rsid w:val="00AE5C85"/>
    <w:rsid w:val="00AE7E0C"/>
    <w:rsid w:val="00AF33A0"/>
    <w:rsid w:val="00AF3E55"/>
    <w:rsid w:val="00AF6660"/>
    <w:rsid w:val="00AF6B8D"/>
    <w:rsid w:val="00B03CBC"/>
    <w:rsid w:val="00B06BB7"/>
    <w:rsid w:val="00B14252"/>
    <w:rsid w:val="00B16805"/>
    <w:rsid w:val="00B16ECC"/>
    <w:rsid w:val="00B21AF6"/>
    <w:rsid w:val="00B329CD"/>
    <w:rsid w:val="00B3356A"/>
    <w:rsid w:val="00B377EF"/>
    <w:rsid w:val="00B444E1"/>
    <w:rsid w:val="00B54248"/>
    <w:rsid w:val="00B56326"/>
    <w:rsid w:val="00B61E12"/>
    <w:rsid w:val="00B6243B"/>
    <w:rsid w:val="00B7192E"/>
    <w:rsid w:val="00B73912"/>
    <w:rsid w:val="00B769E6"/>
    <w:rsid w:val="00B8178A"/>
    <w:rsid w:val="00B82CFC"/>
    <w:rsid w:val="00B82FFF"/>
    <w:rsid w:val="00B84010"/>
    <w:rsid w:val="00B87389"/>
    <w:rsid w:val="00B9348C"/>
    <w:rsid w:val="00BA3FC1"/>
    <w:rsid w:val="00BA5B93"/>
    <w:rsid w:val="00BA7095"/>
    <w:rsid w:val="00BA7392"/>
    <w:rsid w:val="00BA7A85"/>
    <w:rsid w:val="00BB4F85"/>
    <w:rsid w:val="00BB7F9D"/>
    <w:rsid w:val="00BC4524"/>
    <w:rsid w:val="00BC610A"/>
    <w:rsid w:val="00BD09A2"/>
    <w:rsid w:val="00BD2C18"/>
    <w:rsid w:val="00BD4241"/>
    <w:rsid w:val="00BD749E"/>
    <w:rsid w:val="00BE0C23"/>
    <w:rsid w:val="00BE13AD"/>
    <w:rsid w:val="00BE1741"/>
    <w:rsid w:val="00BE3131"/>
    <w:rsid w:val="00BF114B"/>
    <w:rsid w:val="00BF1267"/>
    <w:rsid w:val="00BF60D6"/>
    <w:rsid w:val="00C01AF5"/>
    <w:rsid w:val="00C0540E"/>
    <w:rsid w:val="00C062E1"/>
    <w:rsid w:val="00C10ADA"/>
    <w:rsid w:val="00C1328E"/>
    <w:rsid w:val="00C13C2C"/>
    <w:rsid w:val="00C151C3"/>
    <w:rsid w:val="00C237CC"/>
    <w:rsid w:val="00C27A8C"/>
    <w:rsid w:val="00C42077"/>
    <w:rsid w:val="00C4605C"/>
    <w:rsid w:val="00C52F75"/>
    <w:rsid w:val="00C5366B"/>
    <w:rsid w:val="00C556F5"/>
    <w:rsid w:val="00C573DC"/>
    <w:rsid w:val="00C622AE"/>
    <w:rsid w:val="00C715EE"/>
    <w:rsid w:val="00C71D6B"/>
    <w:rsid w:val="00C73EAD"/>
    <w:rsid w:val="00C75B2A"/>
    <w:rsid w:val="00C7679F"/>
    <w:rsid w:val="00C82EE6"/>
    <w:rsid w:val="00C86D52"/>
    <w:rsid w:val="00C905C7"/>
    <w:rsid w:val="00C9445D"/>
    <w:rsid w:val="00C94C7D"/>
    <w:rsid w:val="00C964B7"/>
    <w:rsid w:val="00CA1C57"/>
    <w:rsid w:val="00CA48B4"/>
    <w:rsid w:val="00CA4F2A"/>
    <w:rsid w:val="00CC003C"/>
    <w:rsid w:val="00CC0836"/>
    <w:rsid w:val="00CC19B5"/>
    <w:rsid w:val="00CC1AA3"/>
    <w:rsid w:val="00CC3E2F"/>
    <w:rsid w:val="00CC6426"/>
    <w:rsid w:val="00CC707F"/>
    <w:rsid w:val="00CD22F9"/>
    <w:rsid w:val="00CD76F1"/>
    <w:rsid w:val="00CD7E3F"/>
    <w:rsid w:val="00CE0FEB"/>
    <w:rsid w:val="00CE4489"/>
    <w:rsid w:val="00CF0B7D"/>
    <w:rsid w:val="00CF1FDF"/>
    <w:rsid w:val="00CF2FB2"/>
    <w:rsid w:val="00CF35CF"/>
    <w:rsid w:val="00CF3A8B"/>
    <w:rsid w:val="00CF4C6F"/>
    <w:rsid w:val="00D0036C"/>
    <w:rsid w:val="00D004A1"/>
    <w:rsid w:val="00D0168D"/>
    <w:rsid w:val="00D04FD0"/>
    <w:rsid w:val="00D10C3A"/>
    <w:rsid w:val="00D1373D"/>
    <w:rsid w:val="00D138F0"/>
    <w:rsid w:val="00D1434E"/>
    <w:rsid w:val="00D14AAB"/>
    <w:rsid w:val="00D14B23"/>
    <w:rsid w:val="00D20D07"/>
    <w:rsid w:val="00D222C0"/>
    <w:rsid w:val="00D27850"/>
    <w:rsid w:val="00D338B2"/>
    <w:rsid w:val="00D3401E"/>
    <w:rsid w:val="00D40C55"/>
    <w:rsid w:val="00D429EE"/>
    <w:rsid w:val="00D47EC4"/>
    <w:rsid w:val="00D54C0F"/>
    <w:rsid w:val="00D554EE"/>
    <w:rsid w:val="00D556A2"/>
    <w:rsid w:val="00D56B45"/>
    <w:rsid w:val="00D57A23"/>
    <w:rsid w:val="00D6003A"/>
    <w:rsid w:val="00D60CCD"/>
    <w:rsid w:val="00D617D7"/>
    <w:rsid w:val="00D62333"/>
    <w:rsid w:val="00D64035"/>
    <w:rsid w:val="00D66D26"/>
    <w:rsid w:val="00D70183"/>
    <w:rsid w:val="00D8354C"/>
    <w:rsid w:val="00D8760F"/>
    <w:rsid w:val="00D902E9"/>
    <w:rsid w:val="00D9193B"/>
    <w:rsid w:val="00D92A2D"/>
    <w:rsid w:val="00D95414"/>
    <w:rsid w:val="00D95C79"/>
    <w:rsid w:val="00DA0FA7"/>
    <w:rsid w:val="00DA1324"/>
    <w:rsid w:val="00DA2DE0"/>
    <w:rsid w:val="00DA54AE"/>
    <w:rsid w:val="00DB6955"/>
    <w:rsid w:val="00DC421D"/>
    <w:rsid w:val="00DC7F54"/>
    <w:rsid w:val="00DD150E"/>
    <w:rsid w:val="00DD4F37"/>
    <w:rsid w:val="00DE1A1F"/>
    <w:rsid w:val="00DE3A25"/>
    <w:rsid w:val="00DE6336"/>
    <w:rsid w:val="00DE7318"/>
    <w:rsid w:val="00DF757F"/>
    <w:rsid w:val="00E026D0"/>
    <w:rsid w:val="00E12AC1"/>
    <w:rsid w:val="00E1454E"/>
    <w:rsid w:val="00E1633E"/>
    <w:rsid w:val="00E20476"/>
    <w:rsid w:val="00E20760"/>
    <w:rsid w:val="00E20C7F"/>
    <w:rsid w:val="00E21C69"/>
    <w:rsid w:val="00E22628"/>
    <w:rsid w:val="00E25F03"/>
    <w:rsid w:val="00E44181"/>
    <w:rsid w:val="00E55BB9"/>
    <w:rsid w:val="00E57800"/>
    <w:rsid w:val="00E708B6"/>
    <w:rsid w:val="00E73A6B"/>
    <w:rsid w:val="00E747C0"/>
    <w:rsid w:val="00E74998"/>
    <w:rsid w:val="00E76374"/>
    <w:rsid w:val="00E82594"/>
    <w:rsid w:val="00E856F6"/>
    <w:rsid w:val="00E86EB5"/>
    <w:rsid w:val="00E95280"/>
    <w:rsid w:val="00E96F83"/>
    <w:rsid w:val="00EA275D"/>
    <w:rsid w:val="00EA2D24"/>
    <w:rsid w:val="00EA2E5F"/>
    <w:rsid w:val="00EA47B4"/>
    <w:rsid w:val="00EA79FC"/>
    <w:rsid w:val="00EB2F95"/>
    <w:rsid w:val="00EB4DF3"/>
    <w:rsid w:val="00EC4147"/>
    <w:rsid w:val="00EC5CC6"/>
    <w:rsid w:val="00ED1DAD"/>
    <w:rsid w:val="00ED2B22"/>
    <w:rsid w:val="00ED37AE"/>
    <w:rsid w:val="00ED4222"/>
    <w:rsid w:val="00ED43F1"/>
    <w:rsid w:val="00EE3EA2"/>
    <w:rsid w:val="00EE4F04"/>
    <w:rsid w:val="00EE639E"/>
    <w:rsid w:val="00EE73D0"/>
    <w:rsid w:val="00EF0764"/>
    <w:rsid w:val="00EF4CBA"/>
    <w:rsid w:val="00EF6A43"/>
    <w:rsid w:val="00F012FC"/>
    <w:rsid w:val="00F221E6"/>
    <w:rsid w:val="00F25501"/>
    <w:rsid w:val="00F25800"/>
    <w:rsid w:val="00F27761"/>
    <w:rsid w:val="00F27985"/>
    <w:rsid w:val="00F3497D"/>
    <w:rsid w:val="00F36F8A"/>
    <w:rsid w:val="00F41F89"/>
    <w:rsid w:val="00F42420"/>
    <w:rsid w:val="00F46F28"/>
    <w:rsid w:val="00F52777"/>
    <w:rsid w:val="00F53D17"/>
    <w:rsid w:val="00F549D3"/>
    <w:rsid w:val="00F54C40"/>
    <w:rsid w:val="00F55B40"/>
    <w:rsid w:val="00F577AE"/>
    <w:rsid w:val="00F57D9D"/>
    <w:rsid w:val="00F61344"/>
    <w:rsid w:val="00F67E3B"/>
    <w:rsid w:val="00F70878"/>
    <w:rsid w:val="00F733BD"/>
    <w:rsid w:val="00F832D9"/>
    <w:rsid w:val="00F83BB4"/>
    <w:rsid w:val="00F91D40"/>
    <w:rsid w:val="00F92A43"/>
    <w:rsid w:val="00F92BD6"/>
    <w:rsid w:val="00F9458E"/>
    <w:rsid w:val="00FA3DC7"/>
    <w:rsid w:val="00FA764E"/>
    <w:rsid w:val="00FB0E44"/>
    <w:rsid w:val="00FB44D2"/>
    <w:rsid w:val="00FC2B40"/>
    <w:rsid w:val="00FC427B"/>
    <w:rsid w:val="00FD008C"/>
    <w:rsid w:val="00FD3F91"/>
    <w:rsid w:val="00FE4CB5"/>
    <w:rsid w:val="00FE7DCC"/>
    <w:rsid w:val="00FF29FC"/>
    <w:rsid w:val="00FF6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195CE"/>
  <w15:chartTrackingRefBased/>
  <w15:docId w15:val="{9114E89B-D17E-4AB4-A51A-561FE6E3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B93"/>
    <w:rPr>
      <w:rFonts w:ascii="Arial" w:hAnsi="Arial"/>
      <w:kern w:val="0"/>
      <w:sz w:val="24"/>
      <w14:ligatures w14:val="none"/>
    </w:rPr>
  </w:style>
  <w:style w:type="paragraph" w:styleId="Heading1">
    <w:name w:val="heading 1"/>
    <w:basedOn w:val="Normal"/>
    <w:next w:val="Normal"/>
    <w:link w:val="Heading1Char"/>
    <w:uiPriority w:val="9"/>
    <w:qFormat/>
    <w:rsid w:val="00A2408B"/>
    <w:pPr>
      <w:keepNext/>
      <w:keepLines/>
      <w:spacing w:before="320" w:after="40"/>
      <w:jc w:val="center"/>
      <w:outlineLvl w:val="0"/>
    </w:pPr>
    <w:rPr>
      <w:rFonts w:eastAsiaTheme="majorEastAsia" w:cstheme="majorBidi"/>
      <w:b/>
      <w:bCs/>
      <w:spacing w:val="4"/>
      <w:sz w:val="36"/>
      <w:szCs w:val="36"/>
    </w:rPr>
  </w:style>
  <w:style w:type="paragraph" w:styleId="Heading2">
    <w:name w:val="heading 2"/>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0122FC"/>
    <w:pPr>
      <w:ind w:left="720" w:hanging="720"/>
      <w:jc w:val="left"/>
      <w:outlineLvl w:val="2"/>
    </w:pPr>
    <w:rPr>
      <w:b/>
      <w:bCs/>
      <w:i/>
      <w:iCs/>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8655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8655A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8655A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08B"/>
    <w:rPr>
      <w:rFonts w:ascii="Arial" w:eastAsiaTheme="majorEastAsia" w:hAnsi="Arial" w:cstheme="majorBidi"/>
      <w:b/>
      <w:bCs/>
      <w:spacing w:val="4"/>
      <w:kern w:val="0"/>
      <w:sz w:val="36"/>
      <w:szCs w:val="36"/>
      <w14:ligatures w14:val="none"/>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0122FC"/>
    <w:rPr>
      <w:rFonts w:ascii="Arial" w:hAnsi="Arial"/>
      <w:b/>
      <w:bCs/>
      <w:i/>
      <w:iCs/>
      <w:kern w:val="0"/>
      <w:sz w:val="24"/>
      <w14:ligatures w14:val="none"/>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aliases w:val="Paragraph 1"/>
    <w:basedOn w:val="Normal"/>
    <w:link w:val="ListParagraphChar"/>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8655AA"/>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8655AA"/>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8655AA"/>
    <w:rPr>
      <w:rFonts w:eastAsiaTheme="majorEastAsia" w:cstheme="majorBidi"/>
      <w:color w:val="272727" w:themeColor="text1" w:themeTint="D8"/>
      <w:kern w:val="0"/>
      <w:sz w:val="24"/>
      <w14:ligatures w14:val="none"/>
    </w:rPr>
  </w:style>
  <w:style w:type="table" w:styleId="TableGrid">
    <w:name w:val="Table Grid"/>
    <w:aliases w:val="Report Table"/>
    <w:basedOn w:val="TableNormal"/>
    <w:rsid w:val="00F73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33BD"/>
    <w:rPr>
      <w:color w:val="467886" w:themeColor="hyperlink"/>
      <w:u w:val="single"/>
    </w:rPr>
  </w:style>
  <w:style w:type="character" w:customStyle="1" w:styleId="ListParagraphChar">
    <w:name w:val="List Paragraph Char"/>
    <w:aliases w:val="Paragraph 1 Char"/>
    <w:link w:val="ListParagraph"/>
    <w:uiPriority w:val="34"/>
    <w:locked/>
    <w:rsid w:val="001B1070"/>
    <w:rPr>
      <w:rFonts w:ascii="Arial" w:hAnsi="Arial"/>
      <w:kern w:val="0"/>
      <w:sz w:val="24"/>
      <w14:ligatures w14:val="none"/>
    </w:rPr>
  </w:style>
  <w:style w:type="paragraph" w:customStyle="1" w:styleId="TableParagraph">
    <w:name w:val="Table Paragraph"/>
    <w:basedOn w:val="Normal"/>
    <w:uiPriority w:val="1"/>
    <w:qFormat/>
    <w:rsid w:val="00405A0B"/>
    <w:pPr>
      <w:widowControl w:val="0"/>
      <w:autoSpaceDE w:val="0"/>
      <w:autoSpaceDN w:val="0"/>
      <w:spacing w:after="0" w:line="240" w:lineRule="auto"/>
      <w:ind w:left="107"/>
      <w:jc w:val="left"/>
    </w:pPr>
    <w:rPr>
      <w:rFonts w:ascii="Arial MT" w:eastAsia="Arial MT" w:hAnsi="Arial MT" w:cs="Arial MT"/>
      <w:sz w:val="22"/>
      <w:lang w:val="en-US"/>
    </w:rPr>
  </w:style>
  <w:style w:type="table" w:customStyle="1" w:styleId="ReportTable1">
    <w:name w:val="Report Table1"/>
    <w:basedOn w:val="TableNormal"/>
    <w:next w:val="TableGrid"/>
    <w:rsid w:val="004F5CAE"/>
    <w:pPr>
      <w:spacing w:after="0" w:line="240" w:lineRule="auto"/>
      <w:jc w:val="left"/>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51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1C3"/>
    <w:rPr>
      <w:rFonts w:ascii="Arial" w:hAnsi="Arial"/>
      <w:kern w:val="0"/>
      <w:sz w:val="24"/>
      <w14:ligatures w14:val="none"/>
    </w:rPr>
  </w:style>
  <w:style w:type="paragraph" w:styleId="Footer">
    <w:name w:val="footer"/>
    <w:basedOn w:val="Normal"/>
    <w:link w:val="FooterChar"/>
    <w:uiPriority w:val="99"/>
    <w:unhideWhenUsed/>
    <w:rsid w:val="00C151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1C3"/>
    <w:rPr>
      <w:rFonts w:ascii="Arial" w:hAnsi="Arial"/>
      <w:kern w:val="0"/>
      <w:sz w:val="24"/>
      <w14:ligatures w14:val="none"/>
    </w:rPr>
  </w:style>
  <w:style w:type="character" w:styleId="UnresolvedMention">
    <w:name w:val="Unresolved Mention"/>
    <w:basedOn w:val="DefaultParagraphFont"/>
    <w:uiPriority w:val="99"/>
    <w:semiHidden/>
    <w:unhideWhenUsed/>
    <w:rsid w:val="004762CC"/>
    <w:rPr>
      <w:color w:val="605E5C"/>
      <w:shd w:val="clear" w:color="auto" w:fill="E1DFDD"/>
    </w:rPr>
  </w:style>
  <w:style w:type="paragraph" w:styleId="FootnoteText">
    <w:name w:val="footnote text"/>
    <w:basedOn w:val="Normal"/>
    <w:link w:val="FootnoteTextChar"/>
    <w:uiPriority w:val="99"/>
    <w:semiHidden/>
    <w:unhideWhenUsed/>
    <w:rsid w:val="00195C23"/>
    <w:pPr>
      <w:spacing w:after="0" w:line="240" w:lineRule="auto"/>
      <w:jc w:val="left"/>
    </w:pPr>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195C23"/>
    <w:rPr>
      <w:sz w:val="20"/>
      <w:szCs w:val="20"/>
    </w:rPr>
  </w:style>
  <w:style w:type="character" w:styleId="FootnoteReference">
    <w:name w:val="footnote reference"/>
    <w:basedOn w:val="DefaultParagraphFont"/>
    <w:uiPriority w:val="99"/>
    <w:semiHidden/>
    <w:unhideWhenUsed/>
    <w:rsid w:val="00195C23"/>
    <w:rPr>
      <w:vertAlign w:val="superscript"/>
    </w:rPr>
  </w:style>
  <w:style w:type="character" w:styleId="CommentReference">
    <w:name w:val="annotation reference"/>
    <w:basedOn w:val="DefaultParagraphFont"/>
    <w:uiPriority w:val="99"/>
    <w:semiHidden/>
    <w:unhideWhenUsed/>
    <w:rsid w:val="003B0CED"/>
    <w:rPr>
      <w:sz w:val="16"/>
      <w:szCs w:val="16"/>
    </w:rPr>
  </w:style>
  <w:style w:type="paragraph" w:styleId="CommentText">
    <w:name w:val="annotation text"/>
    <w:basedOn w:val="Normal"/>
    <w:link w:val="CommentTextChar"/>
    <w:uiPriority w:val="99"/>
    <w:unhideWhenUsed/>
    <w:rsid w:val="003B0CED"/>
    <w:pPr>
      <w:spacing w:line="240" w:lineRule="auto"/>
    </w:pPr>
    <w:rPr>
      <w:sz w:val="20"/>
      <w:szCs w:val="20"/>
    </w:rPr>
  </w:style>
  <w:style w:type="character" w:customStyle="1" w:styleId="CommentTextChar">
    <w:name w:val="Comment Text Char"/>
    <w:basedOn w:val="DefaultParagraphFont"/>
    <w:link w:val="CommentText"/>
    <w:uiPriority w:val="99"/>
    <w:rsid w:val="003B0CED"/>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CED"/>
    <w:rPr>
      <w:b/>
      <w:bCs/>
    </w:rPr>
  </w:style>
  <w:style w:type="character" w:customStyle="1" w:styleId="CommentSubjectChar">
    <w:name w:val="Comment Subject Char"/>
    <w:basedOn w:val="CommentTextChar"/>
    <w:link w:val="CommentSubject"/>
    <w:uiPriority w:val="99"/>
    <w:semiHidden/>
    <w:rsid w:val="003B0CED"/>
    <w:rPr>
      <w:rFonts w:ascii="Arial" w:hAnsi="Arial"/>
      <w:b/>
      <w:bCs/>
      <w:kern w:val="0"/>
      <w:sz w:val="20"/>
      <w:szCs w:val="20"/>
      <w14:ligatures w14:val="none"/>
    </w:rPr>
  </w:style>
  <w:style w:type="paragraph" w:styleId="Revision">
    <w:name w:val="Revision"/>
    <w:hidden/>
    <w:uiPriority w:val="99"/>
    <w:semiHidden/>
    <w:rsid w:val="00A77FE2"/>
    <w:pPr>
      <w:spacing w:after="0" w:line="240" w:lineRule="auto"/>
      <w:jc w:val="left"/>
    </w:pPr>
    <w:rPr>
      <w:rFonts w:ascii="Arial"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06011">
      <w:bodyDiv w:val="1"/>
      <w:marLeft w:val="0"/>
      <w:marRight w:val="0"/>
      <w:marTop w:val="0"/>
      <w:marBottom w:val="0"/>
      <w:divBdr>
        <w:top w:val="none" w:sz="0" w:space="0" w:color="auto"/>
        <w:left w:val="none" w:sz="0" w:space="0" w:color="auto"/>
        <w:bottom w:val="none" w:sz="0" w:space="0" w:color="auto"/>
        <w:right w:val="none" w:sz="0" w:space="0" w:color="auto"/>
      </w:divBdr>
    </w:div>
    <w:div w:id="1080716359">
      <w:bodyDiv w:val="1"/>
      <w:marLeft w:val="0"/>
      <w:marRight w:val="0"/>
      <w:marTop w:val="0"/>
      <w:marBottom w:val="0"/>
      <w:divBdr>
        <w:top w:val="none" w:sz="0" w:space="0" w:color="auto"/>
        <w:left w:val="none" w:sz="0" w:space="0" w:color="auto"/>
        <w:bottom w:val="none" w:sz="0" w:space="0" w:color="auto"/>
        <w:right w:val="none" w:sz="0" w:space="0" w:color="auto"/>
      </w:divBdr>
    </w:div>
    <w:div w:id="1148867056">
      <w:bodyDiv w:val="1"/>
      <w:marLeft w:val="0"/>
      <w:marRight w:val="0"/>
      <w:marTop w:val="0"/>
      <w:marBottom w:val="0"/>
      <w:divBdr>
        <w:top w:val="none" w:sz="0" w:space="0" w:color="auto"/>
        <w:left w:val="none" w:sz="0" w:space="0" w:color="auto"/>
        <w:bottom w:val="none" w:sz="0" w:space="0" w:color="auto"/>
        <w:right w:val="none" w:sz="0" w:space="0" w:color="auto"/>
      </w:divBdr>
    </w:div>
    <w:div w:id="161173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shfield.gov.uk/media/vkojb5gf/housing-land-monitoring-report-april-2024-20082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rapleys.com/wp-content/uploads/2020/10/CD3.38-WYG_how-far-do-people-walk.pdf" TargetMode="External"/><Relationship Id="rId10" Type="http://schemas.openxmlformats.org/officeDocument/2006/relationships/hyperlink" Target="https://www.ashfield.gov.uk/media/ilbp4kww/ins03a-ashfield-local-plan-inspectors-matters-issues-and-questions-addendum-july-202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shfield.gov.uk/local-plan-examination/examination-library/" TargetMode="External"/><Relationship Id="rId14" Type="http://schemas.openxmlformats.org/officeDocument/2006/relationships/hyperlink" Target="https://www.gov.uk/guidance/effective-use-of-lan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legislation.gov.uk/uksi/2004/1633/pdfs/uksi_20041633_en.pdf" TargetMode="External"/><Relationship Id="rId1" Type="http://schemas.openxmlformats.org/officeDocument/2006/relationships/hyperlink" Target="https://www.gov.uk/guidance/strategic-environmental-assessment-and-sustainability-apprai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020F6-EA33-4166-9EE8-FFA7E4134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29</Pages>
  <Words>10517</Words>
  <Characters>56058</Characters>
  <Application>Microsoft Office Word</Application>
  <DocSecurity>0</DocSecurity>
  <Lines>1218</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Lisa.Furness</dc:creator>
  <cp:keywords/>
  <dc:description/>
  <cp:lastModifiedBy>Darius.Walker</cp:lastModifiedBy>
  <cp:revision>24</cp:revision>
  <cp:lastPrinted>2025-10-31T11:03:00Z</cp:lastPrinted>
  <dcterms:created xsi:type="dcterms:W3CDTF">2025-10-22T10:07:00Z</dcterms:created>
  <dcterms:modified xsi:type="dcterms:W3CDTF">2025-11-03T14:21:00Z</dcterms:modified>
</cp:coreProperties>
</file>