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4281" w:type="pct"/>
        <w:tblLook w:val="04A0" w:firstRow="1" w:lastRow="0" w:firstColumn="1" w:lastColumn="0" w:noHBand="0" w:noVBand="1"/>
      </w:tblPr>
      <w:tblGrid>
        <w:gridCol w:w="8009"/>
      </w:tblGrid>
      <w:tr w:rsidR="00CB57AC" w14:paraId="3994DF8A" w14:textId="77777777" w:rsidTr="00A97B16">
        <w:trPr>
          <w:cantSplit/>
          <w:trHeight w:hRule="exact" w:val="2948"/>
        </w:trPr>
        <w:tc>
          <w:tcPr>
            <w:tcW w:w="5000" w:type="pct"/>
          </w:tcPr>
          <w:p w14:paraId="2ECAEA8D" w14:textId="533FD41C" w:rsidR="00CB57AC" w:rsidRPr="00961732" w:rsidRDefault="00CB57AC" w:rsidP="00A97B16">
            <w:pPr>
              <w:pStyle w:val="Logo"/>
            </w:pPr>
          </w:p>
        </w:tc>
      </w:tr>
      <w:tr w:rsidR="00422DB7" w14:paraId="71351583" w14:textId="77777777" w:rsidTr="00A97B16">
        <w:trPr>
          <w:cantSplit/>
          <w:trHeight w:hRule="exact" w:val="1361"/>
        </w:trPr>
        <w:tc>
          <w:tcPr>
            <w:tcW w:w="5000" w:type="pct"/>
          </w:tcPr>
          <w:p w14:paraId="1F509371" w14:textId="6DA3370E" w:rsidR="00422DB7" w:rsidRPr="00C07BC6" w:rsidRDefault="00546E95" w:rsidP="00A97B16">
            <w:pPr>
              <w:pStyle w:val="Title"/>
            </w:pPr>
            <w:r>
              <w:t>First Homes Assessment</w:t>
            </w:r>
          </w:p>
        </w:tc>
      </w:tr>
      <w:tr w:rsidR="00422DB7" w14:paraId="0B3CE188" w14:textId="77777777" w:rsidTr="00A97B16">
        <w:trPr>
          <w:cantSplit/>
          <w:trHeight w:hRule="exact" w:val="782"/>
        </w:trPr>
        <w:tc>
          <w:tcPr>
            <w:tcW w:w="5000" w:type="pct"/>
            <w:vMerge w:val="restart"/>
          </w:tcPr>
          <w:p w14:paraId="1C873D06" w14:textId="3AB2CE2D" w:rsidR="00422DB7" w:rsidRPr="00EE347A" w:rsidRDefault="00546E95" w:rsidP="00A97B16">
            <w:pPr>
              <w:pStyle w:val="Sub-title"/>
            </w:pPr>
            <w:r>
              <w:t>Greater Nottingham</w:t>
            </w:r>
          </w:p>
        </w:tc>
      </w:tr>
      <w:tr w:rsidR="00422DB7" w14:paraId="00E9D5BD" w14:textId="77777777" w:rsidTr="00A97B16">
        <w:trPr>
          <w:cantSplit/>
          <w:trHeight w:hRule="exact" w:val="1633"/>
        </w:trPr>
        <w:tc>
          <w:tcPr>
            <w:tcW w:w="5000" w:type="pct"/>
            <w:vMerge/>
          </w:tcPr>
          <w:p w14:paraId="39A4C36C" w14:textId="77777777" w:rsidR="00422DB7" w:rsidRPr="00C07BC6" w:rsidRDefault="00422DB7" w:rsidP="00A97B16">
            <w:pPr>
              <w:pStyle w:val="Subtitle"/>
            </w:pPr>
          </w:p>
        </w:tc>
      </w:tr>
      <w:tr w:rsidR="00422DB7" w14:paraId="531B6DE1" w14:textId="77777777" w:rsidTr="00A97B16">
        <w:trPr>
          <w:cantSplit/>
          <w:trHeight w:hRule="exact" w:val="1304"/>
        </w:trPr>
        <w:tc>
          <w:tcPr>
            <w:tcW w:w="5000" w:type="pct"/>
            <w:tcBorders>
              <w:bottom w:val="nil"/>
            </w:tcBorders>
          </w:tcPr>
          <w:p w14:paraId="25B95C6C" w14:textId="32CA40A8" w:rsidR="00422DB7" w:rsidRPr="00230C7F" w:rsidRDefault="00422DB7" w:rsidP="00546E95">
            <w:pPr>
              <w:pStyle w:val="Clientlinktofooter"/>
              <w:ind w:right="3356"/>
            </w:pPr>
            <w:r w:rsidRPr="009D14A4">
              <w:t xml:space="preserve">Iceni Projects </w:t>
            </w:r>
            <w:r w:rsidRPr="00F35753">
              <w:t>Limited</w:t>
            </w:r>
            <w:r w:rsidRPr="009D14A4">
              <w:t xml:space="preserve"> on behalf of </w:t>
            </w:r>
            <w:r w:rsidR="00546E95">
              <w:t>Greater Nottingham Planning Partnership</w:t>
            </w:r>
          </w:p>
        </w:tc>
      </w:tr>
      <w:tr w:rsidR="00422DB7" w14:paraId="3B510666" w14:textId="77777777" w:rsidTr="00A97B16">
        <w:trPr>
          <w:cantSplit/>
          <w:trHeight w:hRule="exact" w:val="1036"/>
        </w:trPr>
        <w:tc>
          <w:tcPr>
            <w:tcW w:w="5000" w:type="pct"/>
          </w:tcPr>
          <w:p w14:paraId="5E53437D" w14:textId="3F314095" w:rsidR="00422DB7" w:rsidRPr="00C07BC6" w:rsidRDefault="00A76A61" w:rsidP="00A97B16">
            <w:pPr>
              <w:pStyle w:val="Datelinktofooter"/>
            </w:pPr>
            <w:r>
              <w:t>September</w:t>
            </w:r>
            <w:r w:rsidR="00A13337">
              <w:t xml:space="preserve"> </w:t>
            </w:r>
            <w:r w:rsidR="00546E95">
              <w:t>2022</w:t>
            </w:r>
          </w:p>
        </w:tc>
      </w:tr>
      <w:tr w:rsidR="00546E95" w14:paraId="7504B38B" w14:textId="77777777" w:rsidTr="00A97B16">
        <w:trPr>
          <w:cantSplit/>
          <w:trHeight w:hRule="exact" w:val="1036"/>
        </w:trPr>
        <w:tc>
          <w:tcPr>
            <w:tcW w:w="5000" w:type="pct"/>
          </w:tcPr>
          <w:p w14:paraId="00E69287" w14:textId="77777777" w:rsidR="00546E95" w:rsidRDefault="00546E95" w:rsidP="00A97B16">
            <w:pPr>
              <w:pStyle w:val="Datelinktofooter"/>
            </w:pPr>
          </w:p>
          <w:p w14:paraId="34CB08AC" w14:textId="77777777" w:rsidR="00546E95" w:rsidRPr="00546E95" w:rsidRDefault="00546E95" w:rsidP="00546E95"/>
          <w:p w14:paraId="0508D031" w14:textId="77777777" w:rsidR="00546E95" w:rsidRPr="00546E95" w:rsidRDefault="00546E95" w:rsidP="00546E95"/>
          <w:p w14:paraId="134B6423" w14:textId="77777777" w:rsidR="00546E95" w:rsidRPr="00546E95" w:rsidRDefault="00546E95" w:rsidP="00546E95"/>
          <w:p w14:paraId="064E0EAF" w14:textId="77777777" w:rsidR="00546E95" w:rsidRPr="00546E95" w:rsidRDefault="00546E95" w:rsidP="00546E95"/>
          <w:p w14:paraId="432E3058" w14:textId="77777777" w:rsidR="00546E95" w:rsidRPr="00546E95" w:rsidRDefault="00546E95" w:rsidP="00546E95"/>
          <w:p w14:paraId="5ED38E3D" w14:textId="79499472" w:rsidR="00546E95" w:rsidRPr="00546E95" w:rsidRDefault="00546E95" w:rsidP="00546E95">
            <w:pPr>
              <w:tabs>
                <w:tab w:val="left" w:pos="5031"/>
              </w:tabs>
            </w:pPr>
            <w:r>
              <w:tab/>
            </w:r>
          </w:p>
        </w:tc>
      </w:tr>
    </w:tbl>
    <w:p w14:paraId="6DEDF548" w14:textId="77777777" w:rsidR="0044046B" w:rsidRDefault="0044046B" w:rsidP="006E4FBD">
      <w:r>
        <w:rPr>
          <w:noProof/>
        </w:rPr>
        <w:drawing>
          <wp:inline distT="0" distB="0" distL="0" distR="0" wp14:anchorId="4236EC18" wp14:editId="500C3DC4">
            <wp:extent cx="1078994" cy="448057"/>
            <wp:effectExtent l="0" t="0" r="6985" b="9525"/>
            <wp:docPr id="1" name="Picture 1"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shfield District Council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8994" cy="448057"/>
                    </a:xfrm>
                    <a:prstGeom prst="rect">
                      <a:avLst/>
                    </a:prstGeom>
                  </pic:spPr>
                </pic:pic>
              </a:graphicData>
            </a:graphic>
          </wp:inline>
        </w:drawing>
      </w:r>
    </w:p>
    <w:p w14:paraId="5CE7B34E" w14:textId="77777777" w:rsidR="0044046B" w:rsidRPr="00246BF0" w:rsidRDefault="0044046B" w:rsidP="00D33534">
      <w:pPr>
        <w:pStyle w:val="Disclaimerheading1"/>
      </w:pPr>
      <w:r w:rsidRPr="00246BF0">
        <w:lastRenderedPageBreak/>
        <w:t>Disclaimer</w:t>
      </w:r>
    </w:p>
    <w:p w14:paraId="28551CF3" w14:textId="77777777" w:rsidR="0044046B" w:rsidRPr="00246BF0" w:rsidRDefault="0044046B" w:rsidP="0044046B">
      <w:r w:rsidRPr="00246BF0">
        <w:t xml:space="preserve">This document </w:t>
      </w:r>
      <w:r>
        <w:t xml:space="preserve">or some parts of it </w:t>
      </w:r>
      <w:r w:rsidRPr="00246BF0">
        <w:t>may not be accessible when using adaptive technology.</w:t>
      </w:r>
    </w:p>
    <w:p w14:paraId="64445717" w14:textId="77777777" w:rsidR="0044046B" w:rsidRPr="00246BF0" w:rsidRDefault="0044046B" w:rsidP="0044046B"/>
    <w:p w14:paraId="2CCDEBC4" w14:textId="77777777" w:rsidR="0044046B" w:rsidRPr="007137AC" w:rsidRDefault="0044046B" w:rsidP="0044046B">
      <w:pPr>
        <w:rPr>
          <w:color w:val="0A0A0A"/>
          <w:szCs w:val="24"/>
        </w:rPr>
      </w:pPr>
      <w:r w:rsidRPr="00246BF0">
        <w:t>If you require assistance with accessing the content of the document, please contact</w:t>
      </w:r>
      <w:r>
        <w:t xml:space="preserve"> the Planning team </w:t>
      </w:r>
      <w:r>
        <w:rPr>
          <w:color w:val="0A0A0A"/>
          <w:szCs w:val="24"/>
        </w:rPr>
        <w:t>and quote the document name and the web page you found it on:</w:t>
      </w:r>
    </w:p>
    <w:p w14:paraId="72DA92F2" w14:textId="77777777" w:rsidR="0044046B" w:rsidRDefault="0044046B" w:rsidP="0044046B">
      <w:pPr>
        <w:numPr>
          <w:ilvl w:val="0"/>
          <w:numId w:val="31"/>
        </w:numPr>
        <w:shd w:val="clear" w:color="auto" w:fill="FEFEFE"/>
        <w:spacing w:after="0" w:line="480" w:lineRule="auto"/>
        <w:jc w:val="left"/>
        <w:rPr>
          <w:color w:val="0A0A0A"/>
        </w:rPr>
      </w:pPr>
      <w:r>
        <w:rPr>
          <w:color w:val="0A0A0A"/>
        </w:rPr>
        <w:t xml:space="preserve">email: </w:t>
      </w:r>
      <w:hyperlink r:id="rId12" w:history="1">
        <w:r w:rsidRPr="0023421E">
          <w:rPr>
            <w:rStyle w:val="Hyperlink"/>
          </w:rPr>
          <w:t>localplan@ashfield.gov.uk</w:t>
        </w:r>
      </w:hyperlink>
    </w:p>
    <w:p w14:paraId="46443876" w14:textId="77777777" w:rsidR="0044046B" w:rsidRDefault="0044046B" w:rsidP="0044046B">
      <w:pPr>
        <w:numPr>
          <w:ilvl w:val="0"/>
          <w:numId w:val="31"/>
        </w:numPr>
        <w:shd w:val="clear" w:color="auto" w:fill="FEFEFE"/>
        <w:spacing w:after="0" w:line="480" w:lineRule="auto"/>
        <w:jc w:val="left"/>
        <w:rPr>
          <w:color w:val="0A0A0A"/>
        </w:rPr>
      </w:pPr>
      <w:r>
        <w:rPr>
          <w:color w:val="0A0A0A"/>
        </w:rPr>
        <w:t>telephone: 01623 457381 or 01623 457382 or 01623 457383.</w:t>
      </w:r>
    </w:p>
    <w:p w14:paraId="2E6F57CA" w14:textId="77777777" w:rsidR="00534411" w:rsidRDefault="00A97B16" w:rsidP="00F35753">
      <w:pPr>
        <w:pStyle w:val="TOCtitle"/>
        <w:sectPr w:rsidR="00534411" w:rsidSect="00D30CCF">
          <w:footerReference w:type="default" r:id="rId13"/>
          <w:headerReference w:type="first" r:id="rId14"/>
          <w:footerReference w:type="first" r:id="rId15"/>
          <w:pgSz w:w="11906" w:h="16838" w:code="9"/>
          <w:pgMar w:top="1134" w:right="567" w:bottom="567" w:left="1985" w:header="567" w:footer="397" w:gutter="0"/>
          <w:cols w:space="708"/>
          <w:titlePg/>
          <w:docGrid w:linePitch="360"/>
        </w:sectPr>
      </w:pPr>
      <w:r>
        <w:lastRenderedPageBreak/>
        <w:br w:type="textWrapping" w:clear="all"/>
      </w:r>
    </w:p>
    <w:p w14:paraId="0087A6F8" w14:textId="2CBE032B" w:rsidR="00690AD6" w:rsidRPr="0090775D" w:rsidRDefault="00690AD6" w:rsidP="00F35753">
      <w:pPr>
        <w:pStyle w:val="Contents"/>
      </w:pPr>
      <w:r w:rsidRPr="00D750CE">
        <w:lastRenderedPageBreak/>
        <w:t>Contents</w:t>
      </w:r>
    </w:p>
    <w:p w14:paraId="74094D37" w14:textId="6479A270" w:rsidR="0031523C" w:rsidRDefault="00ED4661">
      <w:pPr>
        <w:pStyle w:val="TOC1"/>
        <w:rPr>
          <w:rFonts w:eastAsiaTheme="minorEastAsia" w:cstheme="minorBidi"/>
          <w:caps w:val="0"/>
          <w:sz w:val="22"/>
          <w:szCs w:val="22"/>
        </w:rPr>
      </w:pPr>
      <w:r>
        <w:fldChar w:fldCharType="begin"/>
      </w:r>
      <w:r>
        <w:instrText xml:space="preserve"> TOC \o "1-1" \h \z \u </w:instrText>
      </w:r>
      <w:r>
        <w:fldChar w:fldCharType="separate"/>
      </w:r>
      <w:hyperlink w:anchor="_Toc114046951" w:history="1">
        <w:r w:rsidR="0031523C" w:rsidRPr="00820209">
          <w:rPr>
            <w:rStyle w:val="Hyperlink"/>
            <w:rFonts w:ascii="Arial Bold" w:hAnsi="Arial Bold"/>
            <w14:scene3d>
              <w14:camera w14:prst="orthographicFront"/>
              <w14:lightRig w14:rig="threePt" w14:dir="t">
                <w14:rot w14:lat="0" w14:lon="0" w14:rev="0"/>
              </w14:lightRig>
            </w14:scene3d>
          </w:rPr>
          <w:t>1.</w:t>
        </w:r>
        <w:r w:rsidR="0031523C">
          <w:rPr>
            <w:rFonts w:eastAsiaTheme="minorEastAsia" w:cstheme="minorBidi"/>
            <w:caps w:val="0"/>
            <w:sz w:val="22"/>
            <w:szCs w:val="22"/>
          </w:rPr>
          <w:tab/>
        </w:r>
        <w:r w:rsidR="0031523C" w:rsidRPr="00820209">
          <w:rPr>
            <w:rStyle w:val="Hyperlink"/>
          </w:rPr>
          <w:t>Introduction</w:t>
        </w:r>
        <w:r w:rsidR="0031523C">
          <w:rPr>
            <w:webHidden/>
          </w:rPr>
          <w:tab/>
        </w:r>
        <w:r w:rsidR="0031523C">
          <w:rPr>
            <w:webHidden/>
          </w:rPr>
          <w:fldChar w:fldCharType="begin"/>
        </w:r>
        <w:r w:rsidR="0031523C">
          <w:rPr>
            <w:webHidden/>
          </w:rPr>
          <w:instrText xml:space="preserve"> PAGEREF _Toc114046951 \h </w:instrText>
        </w:r>
        <w:r w:rsidR="0031523C">
          <w:rPr>
            <w:webHidden/>
          </w:rPr>
        </w:r>
        <w:r w:rsidR="0031523C">
          <w:rPr>
            <w:webHidden/>
          </w:rPr>
          <w:fldChar w:fldCharType="separate"/>
        </w:r>
        <w:r w:rsidR="001275EC">
          <w:rPr>
            <w:webHidden/>
          </w:rPr>
          <w:t>1</w:t>
        </w:r>
        <w:r w:rsidR="0031523C">
          <w:rPr>
            <w:webHidden/>
          </w:rPr>
          <w:fldChar w:fldCharType="end"/>
        </w:r>
      </w:hyperlink>
    </w:p>
    <w:p w14:paraId="23E42221" w14:textId="1C23E1A3" w:rsidR="0031523C" w:rsidRDefault="00F2591C">
      <w:pPr>
        <w:pStyle w:val="TOC1"/>
        <w:rPr>
          <w:rFonts w:eastAsiaTheme="minorEastAsia" w:cstheme="minorBidi"/>
          <w:caps w:val="0"/>
          <w:sz w:val="22"/>
          <w:szCs w:val="22"/>
        </w:rPr>
      </w:pPr>
      <w:hyperlink w:anchor="_Toc114046952" w:history="1">
        <w:r w:rsidR="0031523C" w:rsidRPr="00820209">
          <w:rPr>
            <w:rStyle w:val="Hyperlink"/>
            <w:rFonts w:ascii="Arial Bold" w:hAnsi="Arial Bold"/>
            <w14:scene3d>
              <w14:camera w14:prst="orthographicFront"/>
              <w14:lightRig w14:rig="threePt" w14:dir="t">
                <w14:rot w14:lat="0" w14:lon="0" w14:rev="0"/>
              </w14:lightRig>
            </w14:scene3d>
          </w:rPr>
          <w:t>2.</w:t>
        </w:r>
        <w:r w:rsidR="0031523C">
          <w:rPr>
            <w:rFonts w:eastAsiaTheme="minorEastAsia" w:cstheme="minorBidi"/>
            <w:caps w:val="0"/>
            <w:sz w:val="22"/>
            <w:szCs w:val="22"/>
          </w:rPr>
          <w:tab/>
        </w:r>
        <w:r w:rsidR="0031523C" w:rsidRPr="00820209">
          <w:rPr>
            <w:rStyle w:val="Hyperlink"/>
          </w:rPr>
          <w:t>planning policy context and current evidence of need</w:t>
        </w:r>
        <w:r w:rsidR="0031523C">
          <w:rPr>
            <w:webHidden/>
          </w:rPr>
          <w:tab/>
        </w:r>
        <w:r w:rsidR="0031523C">
          <w:rPr>
            <w:webHidden/>
          </w:rPr>
          <w:fldChar w:fldCharType="begin"/>
        </w:r>
        <w:r w:rsidR="0031523C">
          <w:rPr>
            <w:webHidden/>
          </w:rPr>
          <w:instrText xml:space="preserve"> PAGEREF _Toc114046952 \h </w:instrText>
        </w:r>
        <w:r w:rsidR="0031523C">
          <w:rPr>
            <w:webHidden/>
          </w:rPr>
        </w:r>
        <w:r w:rsidR="0031523C">
          <w:rPr>
            <w:webHidden/>
          </w:rPr>
          <w:fldChar w:fldCharType="separate"/>
        </w:r>
        <w:r w:rsidR="001275EC">
          <w:rPr>
            <w:webHidden/>
          </w:rPr>
          <w:t>2</w:t>
        </w:r>
        <w:r w:rsidR="0031523C">
          <w:rPr>
            <w:webHidden/>
          </w:rPr>
          <w:fldChar w:fldCharType="end"/>
        </w:r>
      </w:hyperlink>
    </w:p>
    <w:p w14:paraId="01FE1C3E" w14:textId="724A3754" w:rsidR="0031523C" w:rsidRDefault="00F2591C">
      <w:pPr>
        <w:pStyle w:val="TOC1"/>
        <w:rPr>
          <w:rFonts w:eastAsiaTheme="minorEastAsia" w:cstheme="minorBidi"/>
          <w:caps w:val="0"/>
          <w:sz w:val="22"/>
          <w:szCs w:val="22"/>
        </w:rPr>
      </w:pPr>
      <w:hyperlink w:anchor="_Toc114046953" w:history="1">
        <w:r w:rsidR="0031523C" w:rsidRPr="00820209">
          <w:rPr>
            <w:rStyle w:val="Hyperlink"/>
            <w:rFonts w:ascii="Arial Bold" w:hAnsi="Arial Bold"/>
            <w14:scene3d>
              <w14:camera w14:prst="orthographicFront"/>
              <w14:lightRig w14:rig="threePt" w14:dir="t">
                <w14:rot w14:lat="0" w14:lon="0" w14:rev="0"/>
              </w14:lightRig>
            </w14:scene3d>
          </w:rPr>
          <w:t>3.</w:t>
        </w:r>
        <w:r w:rsidR="0031523C">
          <w:rPr>
            <w:rFonts w:eastAsiaTheme="minorEastAsia" w:cstheme="minorBidi"/>
            <w:caps w:val="0"/>
            <w:sz w:val="22"/>
            <w:szCs w:val="22"/>
          </w:rPr>
          <w:tab/>
        </w:r>
        <w:r w:rsidR="0031523C" w:rsidRPr="00820209">
          <w:rPr>
            <w:rStyle w:val="Hyperlink"/>
          </w:rPr>
          <w:t>housing market dynamics</w:t>
        </w:r>
        <w:r w:rsidR="0031523C">
          <w:rPr>
            <w:webHidden/>
          </w:rPr>
          <w:tab/>
        </w:r>
        <w:r w:rsidR="0031523C">
          <w:rPr>
            <w:webHidden/>
          </w:rPr>
          <w:fldChar w:fldCharType="begin"/>
        </w:r>
        <w:r w:rsidR="0031523C">
          <w:rPr>
            <w:webHidden/>
          </w:rPr>
          <w:instrText xml:space="preserve"> PAGEREF _Toc114046953 \h </w:instrText>
        </w:r>
        <w:r w:rsidR="0031523C">
          <w:rPr>
            <w:webHidden/>
          </w:rPr>
        </w:r>
        <w:r w:rsidR="0031523C">
          <w:rPr>
            <w:webHidden/>
          </w:rPr>
          <w:fldChar w:fldCharType="separate"/>
        </w:r>
        <w:r w:rsidR="001275EC">
          <w:rPr>
            <w:webHidden/>
          </w:rPr>
          <w:t>7</w:t>
        </w:r>
        <w:r w:rsidR="0031523C">
          <w:rPr>
            <w:webHidden/>
          </w:rPr>
          <w:fldChar w:fldCharType="end"/>
        </w:r>
      </w:hyperlink>
    </w:p>
    <w:p w14:paraId="0C8E183F" w14:textId="4C22B96C" w:rsidR="0031523C" w:rsidRDefault="00F2591C">
      <w:pPr>
        <w:pStyle w:val="TOC1"/>
        <w:rPr>
          <w:rFonts w:eastAsiaTheme="minorEastAsia" w:cstheme="minorBidi"/>
          <w:caps w:val="0"/>
          <w:sz w:val="22"/>
          <w:szCs w:val="22"/>
        </w:rPr>
      </w:pPr>
      <w:hyperlink w:anchor="_Toc114046954" w:history="1">
        <w:r w:rsidR="0031523C" w:rsidRPr="00820209">
          <w:rPr>
            <w:rStyle w:val="Hyperlink"/>
            <w:rFonts w:ascii="Arial Bold" w:hAnsi="Arial Bold"/>
            <w14:scene3d>
              <w14:camera w14:prst="orthographicFront"/>
              <w14:lightRig w14:rig="threePt" w14:dir="t">
                <w14:rot w14:lat="0" w14:lon="0" w14:rev="0"/>
              </w14:lightRig>
            </w14:scene3d>
          </w:rPr>
          <w:t>4.</w:t>
        </w:r>
        <w:r w:rsidR="0031523C">
          <w:rPr>
            <w:rFonts w:eastAsiaTheme="minorEastAsia" w:cstheme="minorBidi"/>
            <w:caps w:val="0"/>
            <w:sz w:val="22"/>
            <w:szCs w:val="22"/>
          </w:rPr>
          <w:tab/>
        </w:r>
        <w:r w:rsidR="0031523C" w:rsidRPr="00820209">
          <w:rPr>
            <w:rStyle w:val="Hyperlink"/>
          </w:rPr>
          <w:t>first homes analysis</w:t>
        </w:r>
        <w:r w:rsidR="0031523C">
          <w:rPr>
            <w:webHidden/>
          </w:rPr>
          <w:tab/>
        </w:r>
        <w:r w:rsidR="0031523C">
          <w:rPr>
            <w:webHidden/>
          </w:rPr>
          <w:fldChar w:fldCharType="begin"/>
        </w:r>
        <w:r w:rsidR="0031523C">
          <w:rPr>
            <w:webHidden/>
          </w:rPr>
          <w:instrText xml:space="preserve"> PAGEREF _Toc114046954 \h </w:instrText>
        </w:r>
        <w:r w:rsidR="0031523C">
          <w:rPr>
            <w:webHidden/>
          </w:rPr>
        </w:r>
        <w:r w:rsidR="0031523C">
          <w:rPr>
            <w:webHidden/>
          </w:rPr>
          <w:fldChar w:fldCharType="separate"/>
        </w:r>
        <w:r w:rsidR="001275EC">
          <w:rPr>
            <w:webHidden/>
          </w:rPr>
          <w:t>13</w:t>
        </w:r>
        <w:r w:rsidR="0031523C">
          <w:rPr>
            <w:webHidden/>
          </w:rPr>
          <w:fldChar w:fldCharType="end"/>
        </w:r>
      </w:hyperlink>
    </w:p>
    <w:p w14:paraId="4244D253" w14:textId="3642BFA2" w:rsidR="0031523C" w:rsidRDefault="00F2591C">
      <w:pPr>
        <w:pStyle w:val="TOC1"/>
        <w:rPr>
          <w:rFonts w:eastAsiaTheme="minorEastAsia" w:cstheme="minorBidi"/>
          <w:caps w:val="0"/>
          <w:sz w:val="22"/>
          <w:szCs w:val="22"/>
        </w:rPr>
      </w:pPr>
      <w:hyperlink w:anchor="_Toc114046955" w:history="1">
        <w:r w:rsidR="0031523C" w:rsidRPr="00820209">
          <w:rPr>
            <w:rStyle w:val="Hyperlink"/>
            <w:rFonts w:ascii="Arial Bold" w:hAnsi="Arial Bold"/>
            <w14:scene3d>
              <w14:camera w14:prst="orthographicFront"/>
              <w14:lightRig w14:rig="threePt" w14:dir="t">
                <w14:rot w14:lat="0" w14:lon="0" w14:rev="0"/>
              </w14:lightRig>
            </w14:scene3d>
          </w:rPr>
          <w:t>5.</w:t>
        </w:r>
        <w:r w:rsidR="0031523C">
          <w:rPr>
            <w:rFonts w:eastAsiaTheme="minorEastAsia" w:cstheme="minorBidi"/>
            <w:caps w:val="0"/>
            <w:sz w:val="22"/>
            <w:szCs w:val="22"/>
          </w:rPr>
          <w:tab/>
        </w:r>
        <w:r w:rsidR="0031523C" w:rsidRPr="00820209">
          <w:rPr>
            <w:rStyle w:val="Hyperlink"/>
          </w:rPr>
          <w:t>summary and conclusion</w:t>
        </w:r>
        <w:r w:rsidR="0031523C">
          <w:rPr>
            <w:webHidden/>
          </w:rPr>
          <w:tab/>
        </w:r>
        <w:r w:rsidR="0031523C">
          <w:rPr>
            <w:webHidden/>
          </w:rPr>
          <w:fldChar w:fldCharType="begin"/>
        </w:r>
        <w:r w:rsidR="0031523C">
          <w:rPr>
            <w:webHidden/>
          </w:rPr>
          <w:instrText xml:space="preserve"> PAGEREF _Toc114046955 \h </w:instrText>
        </w:r>
        <w:r w:rsidR="0031523C">
          <w:rPr>
            <w:webHidden/>
          </w:rPr>
        </w:r>
        <w:r w:rsidR="0031523C">
          <w:rPr>
            <w:webHidden/>
          </w:rPr>
          <w:fldChar w:fldCharType="separate"/>
        </w:r>
        <w:r w:rsidR="001275EC">
          <w:rPr>
            <w:webHidden/>
          </w:rPr>
          <w:t>23</w:t>
        </w:r>
        <w:r w:rsidR="0031523C">
          <w:rPr>
            <w:webHidden/>
          </w:rPr>
          <w:fldChar w:fldCharType="end"/>
        </w:r>
      </w:hyperlink>
    </w:p>
    <w:p w14:paraId="270F00AC" w14:textId="654595C7" w:rsidR="00814030" w:rsidRDefault="00ED4661" w:rsidP="007A7A64">
      <w:r>
        <w:fldChar w:fldCharType="end"/>
      </w:r>
    </w:p>
    <w:p w14:paraId="059987D3" w14:textId="4FC2FC66" w:rsidR="00690AD6" w:rsidRPr="005D03FE" w:rsidRDefault="00814030" w:rsidP="00586065">
      <w:pPr>
        <w:pStyle w:val="Heading1"/>
      </w:pPr>
      <w:bookmarkStart w:id="0" w:name="_Toc114046951"/>
      <w:r w:rsidRPr="00F35753">
        <w:lastRenderedPageBreak/>
        <w:t>Introduction</w:t>
      </w:r>
      <w:bookmarkEnd w:id="0"/>
    </w:p>
    <w:p w14:paraId="4AFDE276" w14:textId="62DFAE12" w:rsidR="00546E95" w:rsidRPr="00546E95" w:rsidRDefault="00586923" w:rsidP="00546E95">
      <w:pPr>
        <w:pStyle w:val="BodyText"/>
        <w:numPr>
          <w:ilvl w:val="1"/>
          <w:numId w:val="16"/>
        </w:numPr>
        <w:tabs>
          <w:tab w:val="num" w:pos="0"/>
        </w:tabs>
        <w:ind w:left="0" w:hanging="709"/>
        <w:rPr>
          <w:rFonts w:eastAsiaTheme="majorEastAsia"/>
        </w:rPr>
      </w:pPr>
      <w:r w:rsidRPr="00A76A61">
        <w:rPr>
          <w:rStyle w:val="cf01"/>
          <w:rFonts w:ascii="Arial" w:hAnsi="Arial" w:cs="Arial"/>
          <w:sz w:val="20"/>
          <w:szCs w:val="20"/>
        </w:rPr>
        <w:t>The local authorities of Ashfield, Broxtowe, Gedling, Rushcliffe and Nottingham City, who form part of the Greater Nottingham Planning Partnership (“GNPP”)</w:t>
      </w:r>
      <w:r w:rsidR="00546E95" w:rsidRPr="00A76A61">
        <w:rPr>
          <w:rFonts w:ascii="Arial" w:hAnsi="Arial" w:cs="Arial"/>
        </w:rPr>
        <w:t xml:space="preserve"> have commissioned Iceni Projects (“Iceni”) to prepare an assessment of the affordability of First Homes.  </w:t>
      </w:r>
      <w:bookmarkStart w:id="1" w:name="_Hlk80966063"/>
      <w:r w:rsidR="00546E95" w:rsidRPr="00A76A61">
        <w:rPr>
          <w:rFonts w:ascii="Arial" w:hAnsi="Arial" w:cs="Arial"/>
        </w:rPr>
        <w:t>This includes advice on the discount that would</w:t>
      </w:r>
      <w:r w:rsidR="00546E95">
        <w:t xml:space="preserve"> be needed to make such products affordable in the local context and also information about relevant price and income caps.</w:t>
      </w:r>
      <w:r w:rsidR="003915B4">
        <w:t xml:space="preserve">  It should be noted that Erewash is not part of this commission; however, data has been included as they form part of the GNPP.</w:t>
      </w:r>
    </w:p>
    <w:bookmarkEnd w:id="1"/>
    <w:p w14:paraId="08E5B6DE" w14:textId="7E7F8280" w:rsidR="00546E95" w:rsidRDefault="00546E95" w:rsidP="00546E95">
      <w:pPr>
        <w:pStyle w:val="BodyText"/>
        <w:numPr>
          <w:ilvl w:val="1"/>
          <w:numId w:val="16"/>
        </w:numPr>
        <w:tabs>
          <w:tab w:val="num" w:pos="0"/>
        </w:tabs>
        <w:ind w:left="0" w:hanging="709"/>
        <w:rPr>
          <w:rFonts w:eastAsiaTheme="majorEastAsia"/>
        </w:rPr>
      </w:pPr>
      <w:r>
        <w:t xml:space="preserve">The Government announced their new discounted market tenure, for England, First Homes, in May 2021. First Homes should account for at least 25% of all affordable housing units delivered by developers and is the Government’s preferred form of affordable home ownership.  Separately, affordable home ownership </w:t>
      </w:r>
      <w:r w:rsidR="00334065">
        <w:t xml:space="preserve">is expected to </w:t>
      </w:r>
      <w:r>
        <w:t>represent at least 10% of new homes on qualifying sites.</w:t>
      </w:r>
    </w:p>
    <w:p w14:paraId="6FA51FA3" w14:textId="77777777" w:rsidR="00546E95" w:rsidRDefault="00546E95" w:rsidP="00546E95">
      <w:pPr>
        <w:pStyle w:val="BodyText"/>
        <w:numPr>
          <w:ilvl w:val="1"/>
          <w:numId w:val="16"/>
        </w:numPr>
        <w:tabs>
          <w:tab w:val="num" w:pos="0"/>
        </w:tabs>
        <w:ind w:left="0" w:hanging="709"/>
        <w:rPr>
          <w:rFonts w:eastAsiaTheme="majorEastAsia"/>
        </w:rPr>
      </w:pPr>
      <w:r>
        <w:t>The policy came into force from 28</w:t>
      </w:r>
      <w:r>
        <w:rPr>
          <w:vertAlign w:val="superscript"/>
        </w:rPr>
        <w:t>th</w:t>
      </w:r>
      <w:r>
        <w:t xml:space="preserve"> June 2021 for new residential planning applications. However, any sites with planning permission (full or outline) before 28</w:t>
      </w:r>
      <w:r>
        <w:rPr>
          <w:vertAlign w:val="superscript"/>
        </w:rPr>
        <w:t>th</w:t>
      </w:r>
      <w:r>
        <w:t xml:space="preserve"> December 2021 or those with planning permission (full or outline) where there has been significant pre-application engagement before 28</w:t>
      </w:r>
      <w:r>
        <w:rPr>
          <w:vertAlign w:val="superscript"/>
        </w:rPr>
        <w:t>th</w:t>
      </w:r>
      <w:r>
        <w:t xml:space="preserve"> March 2022 will be exempt. Rural exception schemes and sites of 100% affordable housing are also exempt from the First Homes requirement.</w:t>
      </w:r>
    </w:p>
    <w:p w14:paraId="2E1AF589" w14:textId="253EE4A8" w:rsidR="00B45F40" w:rsidRDefault="00546E95" w:rsidP="00546E95">
      <w:pPr>
        <w:pStyle w:val="BodyText"/>
      </w:pPr>
      <w:r>
        <w:t>Whilst this report focusses on First Homes, it is the case that the findings would also be applicable to discounted market homes</w:t>
      </w:r>
      <w:r w:rsidR="008D2ECB">
        <w:t>, where a local authority chooses to accept these in addition to First Homes</w:t>
      </w:r>
      <w:r w:rsidR="00CE6AF1">
        <w:t>,</w:t>
      </w:r>
      <w:r>
        <w:t xml:space="preserve"> in general in terms of discounts required and income thresholds, for example.</w:t>
      </w:r>
      <w:r w:rsidR="00D24E1B">
        <w:t xml:space="preserve"> </w:t>
      </w:r>
    </w:p>
    <w:p w14:paraId="64118C07" w14:textId="77777777" w:rsidR="00B45F40" w:rsidRDefault="00B45F40">
      <w:pPr>
        <w:spacing w:after="0" w:line="240" w:lineRule="auto"/>
        <w:jc w:val="left"/>
      </w:pPr>
      <w:r>
        <w:br w:type="page"/>
      </w:r>
    </w:p>
    <w:p w14:paraId="10D63CC5" w14:textId="00973CDE" w:rsidR="00A63320" w:rsidRDefault="00B45F40" w:rsidP="00B45F40">
      <w:pPr>
        <w:pStyle w:val="Heading1"/>
      </w:pPr>
      <w:bookmarkStart w:id="2" w:name="_Toc114046952"/>
      <w:r>
        <w:lastRenderedPageBreak/>
        <w:t>planning policy context</w:t>
      </w:r>
      <w:r w:rsidR="008102A3">
        <w:t xml:space="preserve"> and current evidence of need</w:t>
      </w:r>
      <w:bookmarkEnd w:id="2"/>
    </w:p>
    <w:p w14:paraId="365A3ACA" w14:textId="77777777" w:rsidR="00B45F40" w:rsidRDefault="00B45F40" w:rsidP="00B45F40">
      <w:pPr>
        <w:pStyle w:val="BodyText"/>
        <w:numPr>
          <w:ilvl w:val="1"/>
          <w:numId w:val="16"/>
        </w:numPr>
        <w:tabs>
          <w:tab w:val="num" w:pos="0"/>
        </w:tabs>
        <w:ind w:left="0" w:hanging="709"/>
        <w:rPr>
          <w:rFonts w:eastAsiaTheme="majorEastAsia"/>
        </w:rPr>
      </w:pPr>
      <w:r>
        <w:t>The current National Planning Policy Framework (NPPF) was published in July 2018 (replacing the NPPF of 2012) and was most recently updated in July 2021</w:t>
      </w:r>
      <w:r>
        <w:rPr>
          <w:rStyle w:val="FootnoteReference"/>
        </w:rPr>
        <w:footnoteReference w:id="2"/>
      </w:r>
      <w:r>
        <w:t xml:space="preserve"> with a series of Planning Practice Guidance (PPG)</w:t>
      </w:r>
      <w:r>
        <w:rPr>
          <w:rStyle w:val="FootnoteReference"/>
        </w:rPr>
        <w:footnoteReference w:id="3"/>
      </w:r>
      <w:r>
        <w:t xml:space="preserve"> documents being provided to help in understanding how to apply the NPPF.</w:t>
      </w:r>
    </w:p>
    <w:p w14:paraId="3E8E1726" w14:textId="77777777" w:rsidR="00B45F40" w:rsidRDefault="00B45F40" w:rsidP="00B45F40">
      <w:pPr>
        <w:pStyle w:val="BodyText"/>
        <w:numPr>
          <w:ilvl w:val="1"/>
          <w:numId w:val="16"/>
        </w:numPr>
        <w:tabs>
          <w:tab w:val="num" w:pos="0"/>
        </w:tabs>
        <w:ind w:left="0" w:hanging="709"/>
        <w:rPr>
          <w:rFonts w:eastAsiaTheme="majorEastAsia"/>
        </w:rPr>
      </w:pPr>
      <w:r>
        <w:t>Paragraph 61 of the NPPF sets out that in order to determine the minimum number of homes needed, strategic policies should be informed by a local housing need assessment, conducted using the standard method in national planning guidance – unless exceptional circumstances justify an alternative approach which also reflects current and future demographic trends and market signals. The paragraph is not really relevant to this study; however Paragraph 62 goes on to set out that within this context, the size, type and tenure of housing needed for different groups in the community should be assessed and reflected in planning policies including, but not limited to, those who require affordable housing, families with children, older people, students, people with disabilities, people who rent their homes and people wishing to commission or build their own homes.</w:t>
      </w:r>
    </w:p>
    <w:p w14:paraId="6C1AD662" w14:textId="77777777" w:rsidR="00B45F40" w:rsidRDefault="00B45F40" w:rsidP="00B45F40">
      <w:pPr>
        <w:pStyle w:val="BodyText"/>
        <w:numPr>
          <w:ilvl w:val="1"/>
          <w:numId w:val="16"/>
        </w:numPr>
        <w:tabs>
          <w:tab w:val="num" w:pos="0"/>
        </w:tabs>
        <w:ind w:left="0" w:hanging="709"/>
        <w:rPr>
          <w:rFonts w:eastAsiaTheme="majorEastAsia"/>
        </w:rPr>
      </w:pPr>
      <w:r>
        <w:t>Paragraphs 63 – 65 address affordable housing provision. They set out that where an affordable housing need is identified, planning policies should specify the type of affordable housing required and expect it to be met on-site unless off-site provision or a financial contribution in lieu can be robustly justified, and the agreed approach contributes to the objectives of creating mixed and balanced communities.</w:t>
      </w:r>
    </w:p>
    <w:p w14:paraId="5C9F55AD" w14:textId="77777777" w:rsidR="00B45F40" w:rsidRDefault="00B45F40" w:rsidP="00B45F40">
      <w:pPr>
        <w:pStyle w:val="BodyText"/>
        <w:numPr>
          <w:ilvl w:val="1"/>
          <w:numId w:val="16"/>
        </w:numPr>
        <w:tabs>
          <w:tab w:val="num" w:pos="0"/>
        </w:tabs>
        <w:ind w:left="0" w:hanging="709"/>
        <w:rPr>
          <w:rFonts w:eastAsiaTheme="majorEastAsia"/>
        </w:rPr>
      </w:pPr>
      <w:r>
        <w:t>Paragraph 64 states provision of affordable housing should not be sought for residential developments that are not major developments, other than in designated rural areas.</w:t>
      </w:r>
    </w:p>
    <w:p w14:paraId="67A6B339" w14:textId="77777777" w:rsidR="00B45F40" w:rsidRDefault="00B45F40" w:rsidP="00B45F40">
      <w:pPr>
        <w:pStyle w:val="BodyText"/>
        <w:numPr>
          <w:ilvl w:val="1"/>
          <w:numId w:val="16"/>
        </w:numPr>
        <w:tabs>
          <w:tab w:val="num" w:pos="0"/>
        </w:tabs>
        <w:ind w:left="0" w:hanging="709"/>
        <w:rPr>
          <w:rFonts w:eastAsiaTheme="majorEastAsia"/>
        </w:rPr>
      </w:pPr>
      <w:r>
        <w:t>Paragraph 65 sets out that where major development involving the provision of housing is proposed, planning policies and decisions should expect at least 10% of the homes to be available for affordable home ownership unless this would exceed the level of affordable housing required in the area, or significantly prejudice the ability to meet the identified affordable housing needs of specific groups. In addition, other exemptions to this 10% requirement include instances where a site or proposed development:</w:t>
      </w:r>
    </w:p>
    <w:p w14:paraId="013688B3"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rPr>
          <w:rFonts w:ascii="Arial" w:hAnsi="Arial" w:cs="Arial"/>
        </w:rPr>
        <w:lastRenderedPageBreak/>
        <w:t>Provides solely for Build to Rent homes;</w:t>
      </w:r>
    </w:p>
    <w:p w14:paraId="2426D93A"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rPr>
          <w:rFonts w:ascii="Arial" w:hAnsi="Arial" w:cs="Arial"/>
        </w:rPr>
        <w:t>Provides specialist accommodation for a group of people with specific needs (such as purpose-built accommodation for the elderly or students);</w:t>
      </w:r>
    </w:p>
    <w:p w14:paraId="01684145" w14:textId="77777777" w:rsidR="00B45F40" w:rsidRDefault="00B45F40" w:rsidP="00B45F40">
      <w:pPr>
        <w:pStyle w:val="ListBullet2"/>
        <w:numPr>
          <w:ilvl w:val="0"/>
          <w:numId w:val="24"/>
        </w:numPr>
        <w:ind w:left="641" w:hanging="357"/>
      </w:pPr>
      <w:r>
        <w:t>Is proposed to be developed by people who wish to build or commission their own homes; or</w:t>
      </w:r>
    </w:p>
    <w:p w14:paraId="179C9FB7"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rPr>
          <w:rFonts w:ascii="Arial" w:hAnsi="Arial" w:cs="Arial"/>
        </w:rPr>
        <w:t>Is exclusively for affordable housing, an entry-level exception site or a rural exception site.</w:t>
      </w:r>
    </w:p>
    <w:p w14:paraId="6EA7EEAE" w14:textId="15D36162" w:rsidR="00B45F40" w:rsidRDefault="00B45F40" w:rsidP="00B45F40">
      <w:pPr>
        <w:pStyle w:val="BodyText"/>
        <w:numPr>
          <w:ilvl w:val="1"/>
          <w:numId w:val="16"/>
        </w:numPr>
        <w:tabs>
          <w:tab w:val="num" w:pos="0"/>
        </w:tabs>
        <w:ind w:left="0" w:hanging="709"/>
        <w:rPr>
          <w:rFonts w:eastAsiaTheme="majorEastAsia"/>
        </w:rPr>
      </w:pPr>
      <w:r>
        <w:t>The NPPF’s Glossary (Annex 2) provides an updated definition of affordable housing; this includes definitions of rented affordable housing (social/affordable rents) as well as a number of affordable home ownership options</w:t>
      </w:r>
      <w:r w:rsidR="00334065">
        <w:t xml:space="preserve"> (including shared ownership and rent-to-buy)</w:t>
      </w:r>
      <w:r>
        <w:t>.</w:t>
      </w:r>
    </w:p>
    <w:p w14:paraId="5388A839" w14:textId="77777777" w:rsidR="00B45F40" w:rsidRDefault="00B45F40" w:rsidP="00B45F40">
      <w:pPr>
        <w:pStyle w:val="Heading2"/>
        <w:rPr>
          <w:rFonts w:eastAsiaTheme="majorEastAsia"/>
        </w:rPr>
      </w:pPr>
      <w:r>
        <w:rPr>
          <w:rFonts w:eastAsiaTheme="majorEastAsia"/>
        </w:rPr>
        <w:t>Planning Practice Guidance</w:t>
      </w:r>
    </w:p>
    <w:p w14:paraId="1EEDA3A4" w14:textId="5C336527" w:rsidR="00485C94" w:rsidRDefault="00485C94" w:rsidP="00485C94">
      <w:pPr>
        <w:pStyle w:val="BodyText"/>
        <w:numPr>
          <w:ilvl w:val="1"/>
          <w:numId w:val="16"/>
        </w:numPr>
        <w:tabs>
          <w:tab w:val="num" w:pos="0"/>
        </w:tabs>
        <w:ind w:left="0" w:hanging="709"/>
        <w:rPr>
          <w:rFonts w:eastAsiaTheme="majorEastAsia"/>
        </w:rPr>
      </w:pPr>
      <w:r>
        <w:t>The Government’s Planning Practice Guidance (PPG) provides further detail of the interpretation of the NPPF and includes a number of sections which are relevant to the assessment of affordable housing need and types of affordable housing.  The PPG on Housing and Economic Needs Assessments (last updated in December 2020) sets out a methodology for assessing affordable housing need in paragraphs 18 to 24.</w:t>
      </w:r>
    </w:p>
    <w:p w14:paraId="3CAA8739" w14:textId="6477FB9D" w:rsidR="00B45F40" w:rsidRDefault="00B45F40" w:rsidP="00B45F40">
      <w:pPr>
        <w:pStyle w:val="BodyText"/>
        <w:numPr>
          <w:ilvl w:val="1"/>
          <w:numId w:val="16"/>
        </w:numPr>
        <w:tabs>
          <w:tab w:val="num" w:pos="0"/>
        </w:tabs>
        <w:ind w:left="0" w:hanging="709"/>
        <w:rPr>
          <w:rFonts w:eastAsiaTheme="majorEastAsia"/>
        </w:rPr>
      </w:pPr>
      <w:r>
        <w:t xml:space="preserve">In May 2021, MHCLG published new </w:t>
      </w:r>
      <w:r w:rsidR="00485C94">
        <w:t>PPG</w:t>
      </w:r>
      <w:r>
        <w:t xml:space="preserve"> regarding First Homes. The key parts of this guidance in relation to this report are set out below:</w:t>
      </w:r>
    </w:p>
    <w:p w14:paraId="75125A7D"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First Homes are a specific kind of discounted market sale housing and should be considered to meet the definition of ‘affordable housing’ for planning purposes. Specifically, First Homes are discounted market sale units which:</w:t>
      </w:r>
    </w:p>
    <w:p w14:paraId="5C2663DF"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a) must be discounted by a minimum of 30% against the market value;</w:t>
      </w:r>
    </w:p>
    <w:p w14:paraId="47D24298"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b) are sold to a person or persons meeting the First Homes eligibility criteria (see below);</w:t>
      </w:r>
    </w:p>
    <w:p w14:paraId="6851A03A"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c) on their first sale, will have a restriction registered on the title at HM Land Registry to ensure this discount (as a percentage of current market value) and certain other restrictions are passed on at each subsequent title transfer; and,</w:t>
      </w:r>
    </w:p>
    <w:p w14:paraId="1E7CB733"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d) after the discount has been applied, the first sale must be at a price no higher than £250,000 (or £420,000 in Greater London).</w:t>
      </w:r>
    </w:p>
    <w:p w14:paraId="318CE91C" w14:textId="77777777" w:rsidR="00B45F40" w:rsidRDefault="00B45F40" w:rsidP="00B45F40">
      <w:pPr>
        <w:pStyle w:val="NormalWeb"/>
        <w:shd w:val="clear" w:color="auto" w:fill="FFFFFF"/>
        <w:spacing w:before="0" w:after="360" w:line="360" w:lineRule="auto"/>
        <w:jc w:val="both"/>
        <w:rPr>
          <w:rFonts w:ascii="Arial" w:hAnsi="Arial" w:cs="Arial"/>
          <w:i/>
          <w:iCs/>
          <w:color w:val="0B0C0C"/>
          <w:sz w:val="20"/>
          <w:szCs w:val="20"/>
        </w:rPr>
      </w:pPr>
      <w:r>
        <w:rPr>
          <w:rFonts w:ascii="Arial" w:hAnsi="Arial" w:cs="Arial"/>
          <w:i/>
          <w:iCs/>
          <w:color w:val="0B0C0C"/>
          <w:sz w:val="20"/>
          <w:szCs w:val="20"/>
        </w:rPr>
        <w:t>First Homes are the government’s preferred discounted market tenure and should account for at least 25% of all affordable housing units delivered by developers through planning obligations.</w:t>
      </w:r>
    </w:p>
    <w:p w14:paraId="05D798E3" w14:textId="77777777" w:rsidR="00B45F40" w:rsidRDefault="00B45F40" w:rsidP="00B45F40">
      <w:pPr>
        <w:pStyle w:val="BodyText"/>
        <w:numPr>
          <w:ilvl w:val="1"/>
          <w:numId w:val="16"/>
        </w:numPr>
        <w:tabs>
          <w:tab w:val="num" w:pos="0"/>
        </w:tabs>
        <w:ind w:left="0" w:hanging="709"/>
        <w:rPr>
          <w:rFonts w:eastAsiaTheme="majorEastAsia"/>
        </w:rPr>
      </w:pPr>
      <w:r>
        <w:lastRenderedPageBreak/>
        <w:t xml:space="preserve">In terms of eligibility criteria, a purchaser should be a first-time buyer with a </w:t>
      </w:r>
      <w:r>
        <w:rPr>
          <w:color w:val="0B0C0C"/>
        </w:rPr>
        <w:t xml:space="preserve">combined annual household income not exceeding £80,000 (or £90,000 in Greater London) and a mortgage needs to fund a minimum of 50% of the discounted purchase price. Local authorities can set their own eligibility criteria, which could for example involve </w:t>
      </w:r>
      <w:r>
        <w:rPr>
          <w:color w:val="0B0C0C"/>
          <w:shd w:val="clear" w:color="auto" w:fill="FFFFFF"/>
        </w:rPr>
        <w:t xml:space="preserve">lower income caps, a local connection test, or criteria based on employment status. </w:t>
      </w:r>
      <w:r>
        <w:rPr>
          <w:color w:val="0B0C0C"/>
        </w:rPr>
        <w:t>Regarding discounts, a First Home must be sold at least 30% below the open market value. However, local authorities do have the discretion to require a higher minimum discount of either 40% or 50% (if they can demonstrate a need for this).</w:t>
      </w:r>
    </w:p>
    <w:p w14:paraId="3B10FB68" w14:textId="71CA3E8C" w:rsidR="00B45F40" w:rsidRDefault="00B45F40" w:rsidP="00B45F40">
      <w:pPr>
        <w:pStyle w:val="BodyText"/>
        <w:numPr>
          <w:ilvl w:val="1"/>
          <w:numId w:val="16"/>
        </w:numPr>
        <w:tabs>
          <w:tab w:val="num" w:pos="0"/>
        </w:tabs>
        <w:ind w:left="0" w:hanging="709"/>
        <w:rPr>
          <w:rFonts w:eastAsiaTheme="majorEastAsia"/>
        </w:rPr>
      </w:pPr>
      <w:r>
        <w:t xml:space="preserve">Prior to First Homes being introduced by Government it was seen that Starter Homes might be a form of </w:t>
      </w:r>
      <w:r w:rsidR="006B468A">
        <w:t>affordable home ownership (</w:t>
      </w:r>
      <w:r>
        <w:t>AHO</w:t>
      </w:r>
      <w:r w:rsidR="006B468A">
        <w:t>)</w:t>
      </w:r>
      <w:r>
        <w:t>, indeed the term Starter Home still remains in the NPPF as a tenure of affordable housing. Despite this, there is no evidence of any delivery of Starter Homes, and it is initially arguable that First Homes are just the same product as previously envisaged (for example</w:t>
      </w:r>
      <w:r>
        <w:rPr>
          <w:color w:val="222222"/>
        </w:rPr>
        <w:t xml:space="preserve"> the limits on property prices are similar to those for Starter Homes (£250,000 and £450,000 in London) and the scheme is specifically aimed at first-time buyers.</w:t>
      </w:r>
      <w:r>
        <w:t xml:space="preserve"> There are however a number of differences between the two types of housing which include:</w:t>
      </w:r>
    </w:p>
    <w:p w14:paraId="15898E70"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Starter Homes were to be sold at a discount of at least 20% whereas First Homes have a minimum discount of 30%;</w:t>
      </w:r>
    </w:p>
    <w:p w14:paraId="592A275E"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Starter Homes were to be sold to a qualifying first time buyer and included an age restriction (of 40 apart from military veterans where there is no age restriction). First Homes has a greater focus on local people, with the definition of local being at the discretion of each local authority (based on residency or work location). There is no age restriction, but buyers must be first time buyers;</w:t>
      </w:r>
    </w:p>
    <w:p w14:paraId="41352255"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A notable difference is in terms of perpetuity where a Starter Home would be a one-time discount with subsequent sales being at full market value (subject to potentially paying some money back depending on length of occupancy). First Homes on the other hand will see discounts held in perpetuity; and</w:t>
      </w:r>
    </w:p>
    <w:p w14:paraId="2E72E0E9" w14:textId="77777777" w:rsidR="00B45F40" w:rsidRDefault="00B45F40" w:rsidP="00B45F40">
      <w:pPr>
        <w:pStyle w:val="ListBullet2"/>
        <w:numPr>
          <w:ilvl w:val="0"/>
          <w:numId w:val="24"/>
        </w:numPr>
        <w:tabs>
          <w:tab w:val="clear" w:pos="643"/>
          <w:tab w:val="left" w:pos="720"/>
        </w:tabs>
        <w:ind w:left="641" w:hanging="357"/>
        <w:jc w:val="left"/>
        <w:rPr>
          <w:rFonts w:ascii="Arial" w:hAnsi="Arial" w:cs="Arial"/>
        </w:rPr>
      </w:pPr>
      <w:r>
        <w:t>Buyers of First Homes will have to use them as a primary residence (although with some scope to move out temporarily) whereas a Starter Home could be let out, although some repayment of the discount could have been required depending on the date of the home being let;</w:t>
      </w:r>
    </w:p>
    <w:p w14:paraId="082B0FCF" w14:textId="77777777" w:rsidR="00B45F40" w:rsidRDefault="00B45F40" w:rsidP="00B45F40">
      <w:pPr>
        <w:pStyle w:val="BodyText"/>
        <w:numPr>
          <w:ilvl w:val="1"/>
          <w:numId w:val="16"/>
        </w:numPr>
        <w:tabs>
          <w:tab w:val="num" w:pos="0"/>
        </w:tabs>
        <w:ind w:left="0" w:hanging="709"/>
        <w:rPr>
          <w:rFonts w:eastAsiaTheme="majorEastAsia"/>
        </w:rPr>
      </w:pPr>
      <w:r>
        <w:t xml:space="preserve">Overall, whilst there are some differences between Starter Homes and First Homes, there are also some similarities. It is unclear at this stage how successful First Homes will be and what the demand for such products will be like. There are also potential issues in the longer term. For example, the buyer of a First Home who wants to move to a larger home (e.g. on starting a family) would have to sell at a discount and therefore may not be able to make the next step up the ‘ladder’. However, for </w:t>
      </w:r>
      <w:r>
        <w:lastRenderedPageBreak/>
        <w:t>the purposes of this report it has to be assumed there would be a market for such homes and that the Councils will seek to integrate such housing into the affordable housing offer to best effect.</w:t>
      </w:r>
    </w:p>
    <w:p w14:paraId="14392D7A" w14:textId="4BA39604" w:rsidR="00B45F40" w:rsidRDefault="00B45F40" w:rsidP="00B45F40">
      <w:pPr>
        <w:pStyle w:val="Heading2"/>
      </w:pPr>
      <w:r>
        <w:t>Current Affordable</w:t>
      </w:r>
      <w:r w:rsidR="00EA7759">
        <w:t xml:space="preserve"> Housing</w:t>
      </w:r>
      <w:r>
        <w:t xml:space="preserve"> Needs Evidence</w:t>
      </w:r>
    </w:p>
    <w:p w14:paraId="4741E978" w14:textId="1A76933B" w:rsidR="00B45F40" w:rsidRDefault="00195A68" w:rsidP="00B45F40">
      <w:pPr>
        <w:pStyle w:val="BodyText"/>
      </w:pPr>
      <w:r>
        <w:t>The GNPP’s current evidence on affordable housing need was considered as part of the Housing Needs Assessment (“HNA”) prepared by Iceni in October 2020.  In section 5 of the HNA, a fully PPG compliant assessment of affordable housing need was undertaken to consider both the need for social/affordable rented housing as well as the need for affordable home ownership products.  The HNA pre-dated the announcement on First Homes.</w:t>
      </w:r>
    </w:p>
    <w:p w14:paraId="1247F285" w14:textId="703B9B3D" w:rsidR="00195A68" w:rsidRDefault="00EA7759" w:rsidP="00B45F40">
      <w:pPr>
        <w:pStyle w:val="BodyText"/>
      </w:pPr>
      <w:r>
        <w:t>On social and affordable rented housing, the HNA concluded that there was a need for around 2,615 affordable homes</w:t>
      </w:r>
      <w:r w:rsidR="00A61500">
        <w:t xml:space="preserve"> to rent</w:t>
      </w:r>
      <w:r>
        <w:t xml:space="preserve"> per annum across all authority areas.  The breakdown is set out in the table below.</w:t>
      </w:r>
    </w:p>
    <w:p w14:paraId="64387046" w14:textId="7E3B412E" w:rsidR="00EA7759" w:rsidRDefault="00EA7759" w:rsidP="00EA7759">
      <w:pPr>
        <w:pStyle w:val="Heading4"/>
      </w:pPr>
      <w:r>
        <w:t>Social/Affordable Rented Housing</w:t>
      </w:r>
    </w:p>
    <w:tbl>
      <w:tblPr>
        <w:tblStyle w:val="TableTheme"/>
        <w:tblW w:w="5000" w:type="pct"/>
        <w:tblInd w:w="0" w:type="dxa"/>
        <w:tblLook w:val="04A0" w:firstRow="1" w:lastRow="0" w:firstColumn="1" w:lastColumn="0" w:noHBand="0" w:noVBand="1"/>
        <w:tblCaption w:val="Social/Affordable Rented Housing"/>
      </w:tblPr>
      <w:tblGrid>
        <w:gridCol w:w="5520"/>
        <w:gridCol w:w="3257"/>
      </w:tblGrid>
      <w:tr w:rsidR="00EA7759" w14:paraId="35154E5E" w14:textId="77777777" w:rsidTr="009C6D1F">
        <w:trPr>
          <w:tblHeader/>
        </w:trPr>
        <w:tc>
          <w:tcPr>
            <w:tcW w:w="5524" w:type="dxa"/>
            <w:tcBorders>
              <w:top w:val="single" w:sz="4" w:space="0" w:color="auto"/>
              <w:left w:val="single" w:sz="4" w:space="0" w:color="auto"/>
              <w:bottom w:val="single" w:sz="4" w:space="0" w:color="auto"/>
              <w:right w:val="single" w:sz="4" w:space="0" w:color="auto"/>
            </w:tcBorders>
            <w:shd w:val="clear" w:color="auto" w:fill="002060"/>
          </w:tcPr>
          <w:p w14:paraId="64381700" w14:textId="77777777" w:rsidR="00EA7759" w:rsidRDefault="00EA7759">
            <w:pPr>
              <w:keepNext/>
              <w:spacing w:before="60" w:after="60" w:line="300" w:lineRule="auto"/>
              <w:jc w:val="left"/>
              <w:rPr>
                <w:rFonts w:ascii="Arial" w:hAnsi="Arial" w:cs="Arial"/>
              </w:rPr>
            </w:pPr>
          </w:p>
        </w:tc>
        <w:tc>
          <w:tcPr>
            <w:tcW w:w="3260" w:type="dxa"/>
            <w:tcBorders>
              <w:top w:val="single" w:sz="4" w:space="0" w:color="auto"/>
              <w:left w:val="single" w:sz="4" w:space="0" w:color="auto"/>
              <w:bottom w:val="single" w:sz="4" w:space="0" w:color="auto"/>
              <w:right w:val="single" w:sz="4" w:space="0" w:color="auto"/>
            </w:tcBorders>
            <w:shd w:val="clear" w:color="auto" w:fill="002060"/>
          </w:tcPr>
          <w:p w14:paraId="56D75894" w14:textId="7BBC0158" w:rsidR="00EA7759" w:rsidRDefault="00EA7759">
            <w:pPr>
              <w:keepNext/>
              <w:spacing w:before="60" w:after="60" w:line="300" w:lineRule="auto"/>
              <w:jc w:val="center"/>
              <w:rPr>
                <w:rFonts w:ascii="Arial" w:hAnsi="Arial" w:cs="Arial"/>
              </w:rPr>
            </w:pPr>
            <w:r>
              <w:rPr>
                <w:rFonts w:ascii="Arial" w:hAnsi="Arial" w:cs="Arial"/>
              </w:rPr>
              <w:t>Rented (p.a.)</w:t>
            </w:r>
          </w:p>
        </w:tc>
      </w:tr>
      <w:tr w:rsidR="00EA7759" w14:paraId="4B41742A" w14:textId="77777777" w:rsidTr="00EA7759">
        <w:tc>
          <w:tcPr>
            <w:tcW w:w="5524" w:type="dxa"/>
            <w:tcBorders>
              <w:top w:val="single" w:sz="4" w:space="0" w:color="auto"/>
              <w:left w:val="single" w:sz="4" w:space="0" w:color="auto"/>
              <w:bottom w:val="single" w:sz="4" w:space="0" w:color="auto"/>
              <w:right w:val="single" w:sz="4" w:space="0" w:color="auto"/>
            </w:tcBorders>
          </w:tcPr>
          <w:p w14:paraId="0D6C34AF" w14:textId="2A43488A" w:rsidR="00EA7759" w:rsidRDefault="00EA7759">
            <w:pPr>
              <w:keepNext/>
              <w:spacing w:after="0" w:line="300" w:lineRule="auto"/>
              <w:rPr>
                <w:rFonts w:ascii="Arial" w:hAnsi="Arial" w:cs="Arial"/>
              </w:rPr>
            </w:pPr>
            <w:r>
              <w:rPr>
                <w:rFonts w:ascii="Arial" w:hAnsi="Arial" w:cs="Arial"/>
              </w:rPr>
              <w:t>Ashfield</w:t>
            </w:r>
          </w:p>
        </w:tc>
        <w:tc>
          <w:tcPr>
            <w:tcW w:w="3260" w:type="dxa"/>
            <w:tcBorders>
              <w:top w:val="single" w:sz="4" w:space="0" w:color="auto"/>
              <w:left w:val="single" w:sz="4" w:space="0" w:color="auto"/>
              <w:bottom w:val="single" w:sz="4" w:space="0" w:color="auto"/>
              <w:right w:val="single" w:sz="4" w:space="0" w:color="auto"/>
            </w:tcBorders>
            <w:vAlign w:val="center"/>
          </w:tcPr>
          <w:p w14:paraId="0B2DCA76" w14:textId="0E757521" w:rsidR="00EA7759" w:rsidRDefault="006B468A">
            <w:pPr>
              <w:keepNext/>
              <w:spacing w:after="0" w:line="300" w:lineRule="auto"/>
              <w:jc w:val="center"/>
              <w:rPr>
                <w:rFonts w:ascii="Arial" w:hAnsi="Arial" w:cs="Arial"/>
                <w:color w:val="000000"/>
              </w:rPr>
            </w:pPr>
            <w:r>
              <w:rPr>
                <w:rFonts w:ascii="Arial" w:hAnsi="Arial" w:cs="Arial"/>
                <w:color w:val="000000"/>
              </w:rPr>
              <w:t>237</w:t>
            </w:r>
          </w:p>
        </w:tc>
      </w:tr>
      <w:tr w:rsidR="00EA7759" w14:paraId="18B64A8E" w14:textId="77777777" w:rsidTr="00EA7759">
        <w:tc>
          <w:tcPr>
            <w:tcW w:w="5524" w:type="dxa"/>
            <w:tcBorders>
              <w:top w:val="single" w:sz="4" w:space="0" w:color="auto"/>
              <w:left w:val="single" w:sz="4" w:space="0" w:color="auto"/>
              <w:bottom w:val="single" w:sz="4" w:space="0" w:color="auto"/>
              <w:right w:val="single" w:sz="4" w:space="0" w:color="auto"/>
            </w:tcBorders>
          </w:tcPr>
          <w:p w14:paraId="669F17E1" w14:textId="0EE212B7" w:rsidR="00EA7759" w:rsidRDefault="00EA7759">
            <w:pPr>
              <w:keepNext/>
              <w:spacing w:after="0" w:line="300" w:lineRule="auto"/>
              <w:rPr>
                <w:rFonts w:ascii="Arial" w:hAnsi="Arial" w:cs="Arial"/>
              </w:rPr>
            </w:pPr>
            <w:r>
              <w:rPr>
                <w:rFonts w:ascii="Arial" w:hAnsi="Arial" w:cs="Arial"/>
              </w:rPr>
              <w:t>Broxtowe</w:t>
            </w:r>
          </w:p>
        </w:tc>
        <w:tc>
          <w:tcPr>
            <w:tcW w:w="3260" w:type="dxa"/>
            <w:tcBorders>
              <w:top w:val="single" w:sz="4" w:space="0" w:color="auto"/>
              <w:left w:val="single" w:sz="4" w:space="0" w:color="auto"/>
              <w:bottom w:val="single" w:sz="4" w:space="0" w:color="auto"/>
              <w:right w:val="single" w:sz="4" w:space="0" w:color="auto"/>
            </w:tcBorders>
            <w:vAlign w:val="center"/>
          </w:tcPr>
          <w:p w14:paraId="006408E8" w14:textId="5B87782D" w:rsidR="00EA7759" w:rsidRDefault="00EA7759">
            <w:pPr>
              <w:keepNext/>
              <w:spacing w:after="0" w:line="300" w:lineRule="auto"/>
              <w:jc w:val="center"/>
              <w:rPr>
                <w:rFonts w:ascii="Arial" w:hAnsi="Arial" w:cs="Arial"/>
                <w:color w:val="000000"/>
              </w:rPr>
            </w:pPr>
            <w:r>
              <w:rPr>
                <w:rFonts w:ascii="Arial" w:hAnsi="Arial" w:cs="Arial"/>
                <w:color w:val="000000"/>
              </w:rPr>
              <w:t>309</w:t>
            </w:r>
          </w:p>
        </w:tc>
      </w:tr>
      <w:tr w:rsidR="00EA7759" w14:paraId="6F4FCA6F" w14:textId="77777777" w:rsidTr="00EA7759">
        <w:tc>
          <w:tcPr>
            <w:tcW w:w="5524" w:type="dxa"/>
            <w:tcBorders>
              <w:top w:val="single" w:sz="4" w:space="0" w:color="auto"/>
              <w:left w:val="single" w:sz="4" w:space="0" w:color="auto"/>
              <w:bottom w:val="single" w:sz="4" w:space="0" w:color="auto"/>
              <w:right w:val="single" w:sz="4" w:space="0" w:color="auto"/>
            </w:tcBorders>
          </w:tcPr>
          <w:p w14:paraId="2E3D303A" w14:textId="20F9D26E" w:rsidR="00EA7759" w:rsidRDefault="00EA7759">
            <w:pPr>
              <w:keepNext/>
              <w:spacing w:after="0" w:line="300" w:lineRule="auto"/>
              <w:rPr>
                <w:rFonts w:ascii="Arial" w:hAnsi="Arial" w:cs="Arial"/>
              </w:rPr>
            </w:pPr>
            <w:r>
              <w:rPr>
                <w:rFonts w:ascii="Arial" w:hAnsi="Arial" w:cs="Arial"/>
              </w:rPr>
              <w:t>Erewash</w:t>
            </w:r>
          </w:p>
        </w:tc>
        <w:tc>
          <w:tcPr>
            <w:tcW w:w="3260" w:type="dxa"/>
            <w:tcBorders>
              <w:top w:val="single" w:sz="4" w:space="0" w:color="auto"/>
              <w:left w:val="single" w:sz="4" w:space="0" w:color="auto"/>
              <w:bottom w:val="single" w:sz="4" w:space="0" w:color="auto"/>
              <w:right w:val="single" w:sz="4" w:space="0" w:color="auto"/>
            </w:tcBorders>
            <w:vAlign w:val="center"/>
          </w:tcPr>
          <w:p w14:paraId="7C6FFD27" w14:textId="4D4BE9E9" w:rsidR="00EA7759" w:rsidRDefault="00EA7759">
            <w:pPr>
              <w:keepNext/>
              <w:spacing w:after="0" w:line="300" w:lineRule="auto"/>
              <w:jc w:val="center"/>
              <w:rPr>
                <w:rFonts w:ascii="Arial" w:hAnsi="Arial" w:cs="Arial"/>
                <w:color w:val="000000"/>
              </w:rPr>
            </w:pPr>
            <w:r>
              <w:rPr>
                <w:rFonts w:ascii="Arial" w:hAnsi="Arial" w:cs="Arial"/>
                <w:color w:val="000000"/>
              </w:rPr>
              <w:t>271</w:t>
            </w:r>
          </w:p>
        </w:tc>
      </w:tr>
      <w:tr w:rsidR="00EA7759" w14:paraId="4567ADD6" w14:textId="77777777" w:rsidTr="00EA7759">
        <w:tc>
          <w:tcPr>
            <w:tcW w:w="5524" w:type="dxa"/>
            <w:tcBorders>
              <w:top w:val="single" w:sz="4" w:space="0" w:color="auto"/>
              <w:left w:val="single" w:sz="4" w:space="0" w:color="auto"/>
              <w:bottom w:val="single" w:sz="4" w:space="0" w:color="auto"/>
              <w:right w:val="single" w:sz="4" w:space="0" w:color="auto"/>
            </w:tcBorders>
          </w:tcPr>
          <w:p w14:paraId="363002DD" w14:textId="754EF37C" w:rsidR="00EA7759" w:rsidRDefault="00EA7759">
            <w:pPr>
              <w:keepNext/>
              <w:spacing w:after="0" w:line="300" w:lineRule="auto"/>
              <w:rPr>
                <w:rFonts w:ascii="Arial" w:hAnsi="Arial" w:cs="Arial"/>
              </w:rPr>
            </w:pPr>
            <w:r>
              <w:rPr>
                <w:rFonts w:ascii="Arial" w:hAnsi="Arial" w:cs="Arial"/>
              </w:rPr>
              <w:t>Gedling</w:t>
            </w:r>
          </w:p>
        </w:tc>
        <w:tc>
          <w:tcPr>
            <w:tcW w:w="3260" w:type="dxa"/>
            <w:tcBorders>
              <w:top w:val="single" w:sz="4" w:space="0" w:color="auto"/>
              <w:left w:val="single" w:sz="4" w:space="0" w:color="auto"/>
              <w:bottom w:val="single" w:sz="4" w:space="0" w:color="auto"/>
              <w:right w:val="single" w:sz="4" w:space="0" w:color="auto"/>
            </w:tcBorders>
            <w:vAlign w:val="center"/>
          </w:tcPr>
          <w:p w14:paraId="6AEA9BCB" w14:textId="2B0CD9DB" w:rsidR="00EA7759" w:rsidRDefault="00EA7759">
            <w:pPr>
              <w:keepNext/>
              <w:spacing w:after="0" w:line="300" w:lineRule="auto"/>
              <w:jc w:val="center"/>
              <w:rPr>
                <w:rFonts w:ascii="Arial" w:hAnsi="Arial" w:cs="Arial"/>
                <w:color w:val="000000"/>
              </w:rPr>
            </w:pPr>
            <w:r>
              <w:rPr>
                <w:rFonts w:ascii="Arial" w:hAnsi="Arial" w:cs="Arial"/>
                <w:color w:val="000000"/>
              </w:rPr>
              <w:t>392</w:t>
            </w:r>
          </w:p>
        </w:tc>
      </w:tr>
      <w:tr w:rsidR="00EA7759" w14:paraId="11F0BF58" w14:textId="77777777" w:rsidTr="00EA7759">
        <w:tc>
          <w:tcPr>
            <w:tcW w:w="5524" w:type="dxa"/>
            <w:tcBorders>
              <w:top w:val="single" w:sz="4" w:space="0" w:color="auto"/>
              <w:left w:val="single" w:sz="4" w:space="0" w:color="auto"/>
              <w:bottom w:val="single" w:sz="4" w:space="0" w:color="auto"/>
              <w:right w:val="single" w:sz="4" w:space="0" w:color="auto"/>
            </w:tcBorders>
          </w:tcPr>
          <w:p w14:paraId="745FE6DC" w14:textId="5211DCF1" w:rsidR="00EA7759" w:rsidRDefault="00EA7759">
            <w:pPr>
              <w:keepNext/>
              <w:spacing w:after="0" w:line="300" w:lineRule="auto"/>
              <w:rPr>
                <w:rFonts w:ascii="Arial" w:hAnsi="Arial" w:cs="Arial"/>
              </w:rPr>
            </w:pPr>
            <w:r>
              <w:rPr>
                <w:rFonts w:ascii="Arial" w:hAnsi="Arial" w:cs="Arial"/>
              </w:rPr>
              <w:t>Nottingham</w:t>
            </w:r>
          </w:p>
        </w:tc>
        <w:tc>
          <w:tcPr>
            <w:tcW w:w="3260" w:type="dxa"/>
            <w:tcBorders>
              <w:top w:val="single" w:sz="4" w:space="0" w:color="auto"/>
              <w:left w:val="single" w:sz="4" w:space="0" w:color="auto"/>
              <w:bottom w:val="single" w:sz="4" w:space="0" w:color="auto"/>
              <w:right w:val="single" w:sz="4" w:space="0" w:color="auto"/>
            </w:tcBorders>
            <w:vAlign w:val="center"/>
          </w:tcPr>
          <w:p w14:paraId="1E287A83" w14:textId="67F0BA9C" w:rsidR="00EA7759" w:rsidRDefault="00EA7759">
            <w:pPr>
              <w:keepNext/>
              <w:spacing w:after="0" w:line="300" w:lineRule="auto"/>
              <w:jc w:val="center"/>
              <w:rPr>
                <w:rFonts w:ascii="Arial" w:hAnsi="Arial" w:cs="Arial"/>
                <w:color w:val="000000"/>
              </w:rPr>
            </w:pPr>
            <w:r>
              <w:rPr>
                <w:rFonts w:ascii="Arial" w:hAnsi="Arial" w:cs="Arial"/>
                <w:color w:val="000000"/>
              </w:rPr>
              <w:t>1,112</w:t>
            </w:r>
          </w:p>
        </w:tc>
      </w:tr>
      <w:tr w:rsidR="00EA7759" w14:paraId="74B1B37F" w14:textId="77777777" w:rsidTr="00EA7759">
        <w:tc>
          <w:tcPr>
            <w:tcW w:w="5524" w:type="dxa"/>
            <w:tcBorders>
              <w:top w:val="single" w:sz="4" w:space="0" w:color="auto"/>
              <w:left w:val="single" w:sz="4" w:space="0" w:color="auto"/>
              <w:bottom w:val="single" w:sz="4" w:space="0" w:color="auto"/>
              <w:right w:val="single" w:sz="4" w:space="0" w:color="auto"/>
            </w:tcBorders>
          </w:tcPr>
          <w:p w14:paraId="29124521" w14:textId="41C7CC84" w:rsidR="00EA7759" w:rsidRDefault="00EA7759">
            <w:pPr>
              <w:keepNext/>
              <w:spacing w:after="0" w:line="300" w:lineRule="auto"/>
              <w:rPr>
                <w:rFonts w:ascii="Arial" w:hAnsi="Arial" w:cs="Arial"/>
              </w:rPr>
            </w:pPr>
            <w:r>
              <w:rPr>
                <w:rFonts w:ascii="Arial" w:hAnsi="Arial" w:cs="Arial"/>
              </w:rPr>
              <w:t>Rushcliffe</w:t>
            </w:r>
          </w:p>
        </w:tc>
        <w:tc>
          <w:tcPr>
            <w:tcW w:w="3260" w:type="dxa"/>
            <w:tcBorders>
              <w:top w:val="single" w:sz="4" w:space="0" w:color="auto"/>
              <w:left w:val="single" w:sz="4" w:space="0" w:color="auto"/>
              <w:bottom w:val="single" w:sz="4" w:space="0" w:color="auto"/>
              <w:right w:val="single" w:sz="4" w:space="0" w:color="auto"/>
            </w:tcBorders>
            <w:vAlign w:val="center"/>
          </w:tcPr>
          <w:p w14:paraId="3CF2BC9C" w14:textId="783AEDFB" w:rsidR="00EA7759" w:rsidRDefault="00EA7759">
            <w:pPr>
              <w:keepNext/>
              <w:spacing w:after="0" w:line="300" w:lineRule="auto"/>
              <w:jc w:val="center"/>
              <w:rPr>
                <w:rFonts w:ascii="Arial" w:hAnsi="Arial" w:cs="Arial"/>
                <w:color w:val="000000"/>
              </w:rPr>
            </w:pPr>
            <w:r>
              <w:rPr>
                <w:rFonts w:ascii="Arial" w:hAnsi="Arial" w:cs="Arial"/>
                <w:color w:val="000000"/>
              </w:rPr>
              <w:t>294</w:t>
            </w:r>
          </w:p>
        </w:tc>
      </w:tr>
      <w:tr w:rsidR="00EA7759" w14:paraId="02CC6FE3" w14:textId="77777777" w:rsidTr="00EA7759">
        <w:tc>
          <w:tcPr>
            <w:tcW w:w="552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B35C84" w14:textId="453AAF88" w:rsidR="00EA7759" w:rsidRDefault="00EA7759">
            <w:pPr>
              <w:keepNext/>
              <w:spacing w:after="0" w:line="300" w:lineRule="auto"/>
              <w:rPr>
                <w:rFonts w:ascii="Arial" w:hAnsi="Arial" w:cs="Arial"/>
              </w:rPr>
            </w:pPr>
            <w:r>
              <w:rPr>
                <w:rFonts w:ascii="Arial" w:hAnsi="Arial" w:cs="Arial"/>
              </w:rPr>
              <w:t>Greater Nottingham</w:t>
            </w:r>
          </w:p>
        </w:tc>
        <w:tc>
          <w:tcPr>
            <w:tcW w:w="326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AF136B4" w14:textId="229F9293" w:rsidR="00EA7759" w:rsidRDefault="00EA7759">
            <w:pPr>
              <w:keepNext/>
              <w:spacing w:after="0" w:line="300" w:lineRule="auto"/>
              <w:jc w:val="center"/>
              <w:rPr>
                <w:rFonts w:ascii="Arial" w:hAnsi="Arial" w:cs="Arial"/>
                <w:color w:val="000000"/>
              </w:rPr>
            </w:pPr>
            <w:r>
              <w:rPr>
                <w:rFonts w:ascii="Arial" w:hAnsi="Arial" w:cs="Arial"/>
                <w:color w:val="000000"/>
              </w:rPr>
              <w:t>2,615</w:t>
            </w:r>
          </w:p>
        </w:tc>
      </w:tr>
    </w:tbl>
    <w:p w14:paraId="33938C3C" w14:textId="58D77CAB" w:rsidR="00EA7759" w:rsidRPr="00EA7759" w:rsidRDefault="00EA7759" w:rsidP="00EA7759">
      <w:pPr>
        <w:pStyle w:val="BodyText"/>
        <w:numPr>
          <w:ilvl w:val="0"/>
          <w:numId w:val="0"/>
        </w:numPr>
        <w:rPr>
          <w:sz w:val="16"/>
          <w:szCs w:val="16"/>
        </w:rPr>
      </w:pPr>
      <w:r>
        <w:rPr>
          <w:sz w:val="16"/>
          <w:szCs w:val="16"/>
        </w:rPr>
        <w:t>Source: Greater Nottingham HNA, 2020</w:t>
      </w:r>
    </w:p>
    <w:p w14:paraId="4BDF1546" w14:textId="2353A258" w:rsidR="00EA7759" w:rsidRDefault="00EA7759" w:rsidP="00B45F40">
      <w:pPr>
        <w:pStyle w:val="BodyText"/>
      </w:pPr>
      <w:r w:rsidRPr="00ED11FB">
        <w:t>In respect of affordable home ownership products, the HNA (paragraph 10.10) concluded that there was not a particular need for this type of product</w:t>
      </w:r>
      <w:r>
        <w:t>.  It was acknowledged that there are a number of households likely to be able to afford to rent privately but who cannot afford to buy a suitable home</w:t>
      </w:r>
      <w:r w:rsidR="00191670">
        <w:t>; h</w:t>
      </w:r>
      <w:r>
        <w:t xml:space="preserve">owever, </w:t>
      </w:r>
      <w:r w:rsidR="00191670">
        <w:t xml:space="preserve">it was also noted </w:t>
      </w:r>
      <w:r>
        <w:t>the</w:t>
      </w:r>
      <w:r w:rsidR="00191670">
        <w:t>re is a</w:t>
      </w:r>
      <w:r>
        <w:t xml:space="preserve"> potential supply of homes within the existing stock that can make a contribution to th</w:t>
      </w:r>
      <w:r w:rsidR="00191670">
        <w:t>e need.</w:t>
      </w:r>
    </w:p>
    <w:p w14:paraId="5A87DC17" w14:textId="69FCAC0C" w:rsidR="00191670" w:rsidRDefault="00191670" w:rsidP="00B45F40">
      <w:pPr>
        <w:pStyle w:val="BodyText"/>
      </w:pPr>
      <w:r>
        <w:t>The analysis found that a key issue in the study area is about access to capital (e.g. for deposits, stamp duty, legal costs) as well as potentially mortgage restrictions (e.g. where employment is temporary) rather than simply the cost of housing to buy</w:t>
      </w:r>
      <w:r w:rsidRPr="006931F3">
        <w:t xml:space="preserve">.  In this context, whilst the Framework gives a clear direction that 10% of all new housing on larger sites should be for affordable home ownership, the </w:t>
      </w:r>
      <w:r w:rsidR="008102A3">
        <w:t>findings of the Housing Needs Assessment</w:t>
      </w:r>
      <w:r w:rsidR="008102A3" w:rsidRPr="006931F3">
        <w:t xml:space="preserve"> </w:t>
      </w:r>
      <w:r w:rsidR="00156871">
        <w:t>were</w:t>
      </w:r>
      <w:r w:rsidR="00156871" w:rsidRPr="006931F3">
        <w:t xml:space="preserve"> </w:t>
      </w:r>
      <w:r w:rsidRPr="006931F3">
        <w:t xml:space="preserve">clear that this </w:t>
      </w:r>
      <w:r w:rsidR="008102A3">
        <w:t xml:space="preserve">would not be </w:t>
      </w:r>
      <w:r w:rsidRPr="006931F3">
        <w:t>the best solution in the study area.</w:t>
      </w:r>
    </w:p>
    <w:p w14:paraId="0C1841CD" w14:textId="68233098" w:rsidR="0070576A" w:rsidRPr="006931F3" w:rsidRDefault="00191670" w:rsidP="00B45F40">
      <w:pPr>
        <w:pStyle w:val="BodyText"/>
      </w:pPr>
      <w:bookmarkStart w:id="3" w:name="_Hlk105478783"/>
      <w:r w:rsidRPr="006931F3">
        <w:t xml:space="preserve">Overall, it was concluded that it would be reasonable on the basis of the evidence to state that there is no substantive need to provide housing under the definition of ‘affordable home ownership.’  On </w:t>
      </w:r>
      <w:r w:rsidRPr="006931F3">
        <w:lastRenderedPageBreak/>
        <w:t>the contrary, the a</w:t>
      </w:r>
      <w:r w:rsidR="0070576A" w:rsidRPr="006931F3">
        <w:t>nalysis identified a notable need for rented affordable housing which the report said could be prioritised subject to the Council’s strategy of addressing affordable housing need.</w:t>
      </w:r>
    </w:p>
    <w:bookmarkEnd w:id="3"/>
    <w:p w14:paraId="290C28E3" w14:textId="77777777" w:rsidR="0070576A" w:rsidRDefault="0070576A">
      <w:pPr>
        <w:spacing w:after="0" w:line="240" w:lineRule="auto"/>
        <w:jc w:val="left"/>
      </w:pPr>
      <w:r>
        <w:br w:type="page"/>
      </w:r>
    </w:p>
    <w:p w14:paraId="08DB8252" w14:textId="207D2CE8" w:rsidR="00191670" w:rsidRDefault="0070576A" w:rsidP="0070576A">
      <w:pPr>
        <w:pStyle w:val="Heading1"/>
      </w:pPr>
      <w:bookmarkStart w:id="4" w:name="_Toc114046953"/>
      <w:r>
        <w:lastRenderedPageBreak/>
        <w:t>housing market dynamics</w:t>
      </w:r>
      <w:bookmarkEnd w:id="4"/>
    </w:p>
    <w:p w14:paraId="2A9FB080" w14:textId="4FC8665E" w:rsidR="0070576A" w:rsidRDefault="0070576A" w:rsidP="00D27525">
      <w:pPr>
        <w:pStyle w:val="BodyText"/>
        <w:tabs>
          <w:tab w:val="num" w:pos="1134"/>
        </w:tabs>
        <w:rPr>
          <w:rFonts w:eastAsiaTheme="majorEastAsia"/>
        </w:rPr>
      </w:pPr>
      <w:r>
        <w:t xml:space="preserve">The October 2020 HNA report included a detailed analysis of house prices and rents across the study area. For affordable housing, this specifically focussed on lower quartile costs, which is important for </w:t>
      </w:r>
      <w:r w:rsidR="008102A3">
        <w:t xml:space="preserve">the </w:t>
      </w:r>
      <w:r>
        <w:t>analysis to follow given that affordability (in terms of the PPG) is typically measured against these housing costs, and this information is taken forward into further analysis of the pricing of affordable housing (and therefore to allow consideration of the likely discounts and any (price/income) caps that should be applied to First Homes).</w:t>
      </w:r>
    </w:p>
    <w:p w14:paraId="4B42E90E" w14:textId="77777777" w:rsidR="0070576A" w:rsidRDefault="0070576A" w:rsidP="00D27525">
      <w:pPr>
        <w:pStyle w:val="BodyText"/>
        <w:tabs>
          <w:tab w:val="num" w:pos="1134"/>
        </w:tabs>
        <w:rPr>
          <w:rFonts w:eastAsiaTheme="majorEastAsia"/>
        </w:rPr>
      </w:pPr>
      <w:r>
        <w:t>The analysis below considers the entry-level costs of housing to both buy and rent across the study area. The approach has been to analyse Land Registry and ONS data to establish lower quartile prices and rents. Using a lower quartile figure is consistent with the PPG and reflects the entry-level point into the market recognising that the very cheapest properties may be of sub-standard quality.</w:t>
      </w:r>
    </w:p>
    <w:p w14:paraId="74FF6DB3" w14:textId="77777777" w:rsidR="0070576A" w:rsidRPr="0070576A" w:rsidRDefault="0070576A" w:rsidP="00D27525">
      <w:pPr>
        <w:pStyle w:val="BodyText"/>
        <w:tabs>
          <w:tab w:val="num" w:pos="1134"/>
        </w:tabs>
        <w:rPr>
          <w:rFonts w:eastAsiaTheme="majorEastAsia"/>
        </w:rPr>
      </w:pPr>
      <w:r>
        <w:t xml:space="preserve">Data from the Land Registry for the year to September 2021 shows estimated lower quartile property prices by dwelling type. The data shows that entry-level costs to buy are estimated to start from about £75,000 for a second-hand flat in Ashfield and Erewash and rising to over £300,000 for a detached home in Rushcliffe. Looking at the lower quartile price across all dwelling types, the analysis shows a lower quartile price of between £127,500 (Ashfield) and £229,500 (Rushcliffe). </w:t>
      </w:r>
    </w:p>
    <w:p w14:paraId="60F38DA8" w14:textId="239E41C8" w:rsidR="0070576A" w:rsidRDefault="0070576A" w:rsidP="00D27525">
      <w:pPr>
        <w:pStyle w:val="BodyText"/>
        <w:tabs>
          <w:tab w:val="num" w:pos="1134"/>
        </w:tabs>
        <w:rPr>
          <w:rFonts w:eastAsiaTheme="majorEastAsia"/>
        </w:rPr>
      </w:pPr>
      <w:r>
        <w:t xml:space="preserve">The figures are all based on </w:t>
      </w:r>
      <w:r w:rsidR="008102A3">
        <w:t xml:space="preserve">the </w:t>
      </w:r>
      <w:r>
        <w:t>cost of existing homes in the market although newbuild prices are considered later in this section when looking at potential costs of affordable home ownership properties and a newbuild premium.</w:t>
      </w:r>
    </w:p>
    <w:p w14:paraId="7A8E627C" w14:textId="60977115" w:rsidR="0070576A" w:rsidRDefault="0070576A" w:rsidP="0070576A">
      <w:pPr>
        <w:pStyle w:val="Heading4"/>
      </w:pPr>
      <w:r>
        <w:t>Estimated lower quartile cost of housing to buy by type (</w:t>
      </w:r>
      <w:r w:rsidRPr="0070576A">
        <w:t>existing</w:t>
      </w:r>
      <w:r>
        <w:t xml:space="preserve"> dwellings)</w:t>
      </w:r>
    </w:p>
    <w:tbl>
      <w:tblPr>
        <w:tblStyle w:val="TableTheme"/>
        <w:tblW w:w="5000" w:type="pct"/>
        <w:tblInd w:w="0" w:type="dxa"/>
        <w:tblLayout w:type="fixed"/>
        <w:tblLook w:val="04A0" w:firstRow="1" w:lastRow="0" w:firstColumn="1" w:lastColumn="0" w:noHBand="0" w:noVBand="1"/>
        <w:tblCaption w:val="Table 3.1 Estimated lower quartile cost of housing to buy by type (existing dwellings)"/>
      </w:tblPr>
      <w:tblGrid>
        <w:gridCol w:w="1462"/>
        <w:gridCol w:w="1463"/>
        <w:gridCol w:w="1463"/>
        <w:gridCol w:w="1463"/>
        <w:gridCol w:w="1463"/>
        <w:gridCol w:w="1463"/>
      </w:tblGrid>
      <w:tr w:rsidR="00D27525" w14:paraId="6A1B4E3F" w14:textId="77777777" w:rsidTr="009C6D1F">
        <w:trPr>
          <w:tblHeader/>
        </w:trPr>
        <w:tc>
          <w:tcPr>
            <w:tcW w:w="1462" w:type="dxa"/>
            <w:tcBorders>
              <w:top w:val="single" w:sz="4" w:space="0" w:color="auto"/>
              <w:left w:val="single" w:sz="4" w:space="0" w:color="auto"/>
              <w:bottom w:val="single" w:sz="4" w:space="0" w:color="auto"/>
              <w:right w:val="single" w:sz="4" w:space="0" w:color="auto"/>
            </w:tcBorders>
            <w:shd w:val="clear" w:color="auto" w:fill="002060"/>
          </w:tcPr>
          <w:p w14:paraId="436523EF" w14:textId="77777777" w:rsidR="0070576A" w:rsidRDefault="0070576A" w:rsidP="00A76A61">
            <w:pPr>
              <w:keepNext/>
              <w:spacing w:after="0" w:line="300" w:lineRule="auto"/>
              <w:jc w:val="left"/>
              <w:rPr>
                <w:rFonts w:ascii="Arial" w:hAnsi="Arial" w:cs="Arial"/>
              </w:rPr>
            </w:pP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1A206F74" w14:textId="79F58A1F" w:rsidR="0070576A" w:rsidRDefault="0070576A" w:rsidP="00A76A61">
            <w:pPr>
              <w:keepNext/>
              <w:spacing w:after="0" w:line="300" w:lineRule="auto"/>
              <w:jc w:val="center"/>
              <w:rPr>
                <w:rFonts w:ascii="Arial" w:hAnsi="Arial" w:cs="Arial"/>
              </w:rPr>
            </w:pPr>
            <w:r>
              <w:rPr>
                <w:rFonts w:ascii="Arial" w:hAnsi="Arial" w:cs="Arial"/>
              </w:rPr>
              <w:t>Flat/</w:t>
            </w:r>
            <w:r w:rsidR="00E06987">
              <w:rPr>
                <w:rFonts w:ascii="Arial" w:hAnsi="Arial" w:cs="Arial"/>
              </w:rPr>
              <w:t xml:space="preserve"> </w:t>
            </w:r>
            <w:r>
              <w:rPr>
                <w:rFonts w:ascii="Arial" w:hAnsi="Arial" w:cs="Arial"/>
              </w:rPr>
              <w:t>maisonette</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696070A2" w14:textId="77777777" w:rsidR="0070576A" w:rsidRDefault="0070576A" w:rsidP="00A76A61">
            <w:pPr>
              <w:keepNext/>
              <w:spacing w:after="0" w:line="300" w:lineRule="auto"/>
              <w:jc w:val="center"/>
              <w:rPr>
                <w:rFonts w:ascii="Arial" w:hAnsi="Arial" w:cs="Arial"/>
              </w:rPr>
            </w:pPr>
            <w:r>
              <w:rPr>
                <w:rFonts w:ascii="Arial" w:hAnsi="Arial" w:cs="Arial"/>
              </w:rPr>
              <w:t>Terraced</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33CDD93C" w14:textId="77777777" w:rsidR="0070576A" w:rsidRDefault="0070576A" w:rsidP="00A76A61">
            <w:pPr>
              <w:keepNext/>
              <w:spacing w:after="0" w:line="300" w:lineRule="auto"/>
              <w:jc w:val="center"/>
              <w:rPr>
                <w:rFonts w:ascii="Arial" w:hAnsi="Arial" w:cs="Arial"/>
              </w:rPr>
            </w:pPr>
            <w:r>
              <w:rPr>
                <w:rFonts w:ascii="Arial" w:hAnsi="Arial" w:cs="Arial"/>
              </w:rPr>
              <w:t>Semi-detached</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7B13993A" w14:textId="77777777" w:rsidR="0070576A" w:rsidRDefault="0070576A" w:rsidP="00A76A61">
            <w:pPr>
              <w:keepNext/>
              <w:spacing w:after="0" w:line="300" w:lineRule="auto"/>
              <w:jc w:val="center"/>
              <w:rPr>
                <w:rFonts w:ascii="Arial" w:hAnsi="Arial" w:cs="Arial"/>
              </w:rPr>
            </w:pPr>
            <w:r>
              <w:rPr>
                <w:rFonts w:ascii="Arial" w:hAnsi="Arial" w:cs="Arial"/>
              </w:rPr>
              <w:t>Detached</w:t>
            </w:r>
          </w:p>
        </w:tc>
        <w:tc>
          <w:tcPr>
            <w:tcW w:w="1463" w:type="dxa"/>
            <w:tcBorders>
              <w:top w:val="single" w:sz="4" w:space="0" w:color="auto"/>
              <w:left w:val="single" w:sz="4" w:space="0" w:color="auto"/>
              <w:bottom w:val="single" w:sz="4" w:space="0" w:color="auto"/>
              <w:right w:val="single" w:sz="4" w:space="0" w:color="auto"/>
            </w:tcBorders>
            <w:shd w:val="clear" w:color="auto" w:fill="002060"/>
            <w:hideMark/>
          </w:tcPr>
          <w:p w14:paraId="39EA3C62" w14:textId="77777777" w:rsidR="0070576A" w:rsidRDefault="0070576A" w:rsidP="00A76A61">
            <w:pPr>
              <w:keepNext/>
              <w:spacing w:after="0" w:line="300" w:lineRule="auto"/>
              <w:jc w:val="center"/>
              <w:rPr>
                <w:rFonts w:ascii="Arial" w:hAnsi="Arial" w:cs="Arial"/>
              </w:rPr>
            </w:pPr>
            <w:r>
              <w:rPr>
                <w:rFonts w:ascii="Arial" w:hAnsi="Arial" w:cs="Arial"/>
              </w:rPr>
              <w:t>All dwellings</w:t>
            </w:r>
          </w:p>
        </w:tc>
      </w:tr>
      <w:tr w:rsidR="0070576A" w14:paraId="292B360F"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3495AE24" w14:textId="77777777" w:rsidR="0070576A" w:rsidRDefault="0070576A">
            <w:pPr>
              <w:keepNext/>
              <w:spacing w:after="0" w:line="300" w:lineRule="auto"/>
              <w:rPr>
                <w:rFonts w:ascii="Arial" w:hAnsi="Arial" w:cs="Arial"/>
              </w:rPr>
            </w:pPr>
            <w:r>
              <w:rPr>
                <w:rFonts w:ascii="Arial" w:hAnsi="Arial" w:cs="Arial"/>
              </w:rPr>
              <w:t>Ashfield</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D465A17" w14:textId="77777777" w:rsidR="0070576A" w:rsidRDefault="0070576A">
            <w:pPr>
              <w:keepNext/>
              <w:spacing w:after="0" w:line="300" w:lineRule="auto"/>
              <w:jc w:val="center"/>
              <w:rPr>
                <w:rFonts w:ascii="Arial" w:hAnsi="Arial" w:cs="Arial"/>
                <w:color w:val="000000"/>
              </w:rPr>
            </w:pPr>
            <w:r>
              <w:rPr>
                <w:rFonts w:ascii="Arial" w:hAnsi="Arial" w:cs="Arial"/>
                <w:color w:val="000000"/>
              </w:rPr>
              <w:t>£72,500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EFB1B58" w14:textId="77777777" w:rsidR="0070576A" w:rsidRDefault="0070576A">
            <w:pPr>
              <w:keepNext/>
              <w:spacing w:after="0" w:line="300" w:lineRule="auto"/>
              <w:jc w:val="center"/>
              <w:rPr>
                <w:rFonts w:ascii="Arial" w:hAnsi="Arial" w:cs="Arial"/>
                <w:color w:val="000000"/>
              </w:rPr>
            </w:pPr>
            <w:r>
              <w:rPr>
                <w:rFonts w:ascii="Arial" w:hAnsi="Arial" w:cs="Arial"/>
                <w:color w:val="000000"/>
              </w:rPr>
              <w:t>£96,250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254C387" w14:textId="77777777" w:rsidR="0070576A" w:rsidRDefault="0070576A">
            <w:pPr>
              <w:keepNext/>
              <w:spacing w:after="0" w:line="300" w:lineRule="auto"/>
              <w:jc w:val="center"/>
              <w:rPr>
                <w:rFonts w:ascii="Arial" w:hAnsi="Arial" w:cs="Arial"/>
                <w:color w:val="000000"/>
              </w:rPr>
            </w:pPr>
            <w:r>
              <w:rPr>
                <w:rFonts w:ascii="Arial" w:hAnsi="Arial" w:cs="Arial"/>
                <w:color w:val="000000"/>
              </w:rPr>
              <w:t>£128,000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8DDF399" w14:textId="77777777" w:rsidR="0070576A" w:rsidRDefault="0070576A">
            <w:pPr>
              <w:keepNext/>
              <w:spacing w:after="0" w:line="300" w:lineRule="auto"/>
              <w:jc w:val="center"/>
              <w:rPr>
                <w:rFonts w:ascii="Arial" w:hAnsi="Arial" w:cs="Arial"/>
                <w:color w:val="000000"/>
              </w:rPr>
            </w:pPr>
            <w:r>
              <w:rPr>
                <w:rFonts w:ascii="Arial" w:hAnsi="Arial" w:cs="Arial"/>
                <w:color w:val="000000"/>
              </w:rPr>
              <w:t>£195,000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5D72175" w14:textId="77777777" w:rsidR="0070576A" w:rsidRDefault="0070576A">
            <w:pPr>
              <w:keepNext/>
              <w:spacing w:after="0" w:line="300" w:lineRule="auto"/>
              <w:jc w:val="center"/>
              <w:rPr>
                <w:rFonts w:ascii="Arial" w:hAnsi="Arial" w:cs="Arial"/>
                <w:color w:val="000000"/>
              </w:rPr>
            </w:pPr>
            <w:r>
              <w:rPr>
                <w:rFonts w:ascii="Arial" w:hAnsi="Arial" w:cs="Arial"/>
                <w:color w:val="000000"/>
              </w:rPr>
              <w:t>£127,500</w:t>
            </w:r>
          </w:p>
        </w:tc>
      </w:tr>
      <w:tr w:rsidR="0070576A" w14:paraId="5F6FA5BC"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79C5ABE5" w14:textId="77777777" w:rsidR="0070576A" w:rsidRDefault="0070576A">
            <w:pPr>
              <w:keepNext/>
              <w:spacing w:after="0" w:line="300" w:lineRule="auto"/>
              <w:rPr>
                <w:rFonts w:ascii="Arial" w:hAnsi="Arial" w:cs="Arial"/>
              </w:rPr>
            </w:pPr>
            <w:r>
              <w:rPr>
                <w:rFonts w:ascii="Arial" w:hAnsi="Arial" w:cs="Arial"/>
              </w:rPr>
              <w:t>Broxtowe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F607737" w14:textId="77777777" w:rsidR="0070576A" w:rsidRDefault="0070576A">
            <w:pPr>
              <w:keepNext/>
              <w:spacing w:after="0" w:line="300" w:lineRule="auto"/>
              <w:jc w:val="center"/>
              <w:rPr>
                <w:rFonts w:ascii="Arial" w:hAnsi="Arial" w:cs="Arial"/>
                <w:color w:val="000000"/>
              </w:rPr>
            </w:pPr>
            <w:r>
              <w:rPr>
                <w:rFonts w:ascii="Arial" w:hAnsi="Arial" w:cs="Arial"/>
                <w:color w:val="000000"/>
              </w:rPr>
              <w:t>£95,000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2CA38BF" w14:textId="77777777" w:rsidR="0070576A" w:rsidRDefault="0070576A">
            <w:pPr>
              <w:keepNext/>
              <w:spacing w:after="0" w:line="300" w:lineRule="auto"/>
              <w:jc w:val="center"/>
              <w:rPr>
                <w:rFonts w:ascii="Arial" w:hAnsi="Arial" w:cs="Arial"/>
                <w:color w:val="000000"/>
              </w:rPr>
            </w:pPr>
            <w:r>
              <w:rPr>
                <w:rFonts w:ascii="Arial" w:hAnsi="Arial" w:cs="Arial"/>
                <w:color w:val="000000"/>
              </w:rPr>
              <w:t>£130,000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42EFC0F7" w14:textId="77777777" w:rsidR="0070576A" w:rsidRDefault="0070576A">
            <w:pPr>
              <w:keepNext/>
              <w:spacing w:after="0" w:line="300" w:lineRule="auto"/>
              <w:jc w:val="center"/>
              <w:rPr>
                <w:rFonts w:ascii="Arial" w:hAnsi="Arial" w:cs="Arial"/>
                <w:color w:val="000000"/>
              </w:rPr>
            </w:pPr>
            <w:r>
              <w:rPr>
                <w:rFonts w:ascii="Arial" w:hAnsi="Arial" w:cs="Arial"/>
                <w:color w:val="000000"/>
              </w:rPr>
              <w:t>£169,950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2CAABCF" w14:textId="77777777" w:rsidR="0070576A" w:rsidRDefault="0070576A">
            <w:pPr>
              <w:keepNext/>
              <w:spacing w:after="0" w:line="300" w:lineRule="auto"/>
              <w:jc w:val="center"/>
              <w:rPr>
                <w:rFonts w:ascii="Arial" w:hAnsi="Arial" w:cs="Arial"/>
                <w:color w:val="000000"/>
              </w:rPr>
            </w:pPr>
            <w:r>
              <w:rPr>
                <w:rFonts w:ascii="Arial" w:hAnsi="Arial" w:cs="Arial"/>
                <w:color w:val="000000"/>
              </w:rPr>
              <w:t>£237,500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42DE324" w14:textId="77777777" w:rsidR="0070576A" w:rsidRDefault="0070576A">
            <w:pPr>
              <w:keepNext/>
              <w:spacing w:after="0" w:line="300" w:lineRule="auto"/>
              <w:jc w:val="center"/>
              <w:rPr>
                <w:rFonts w:ascii="Arial" w:hAnsi="Arial" w:cs="Arial"/>
                <w:color w:val="000000"/>
              </w:rPr>
            </w:pPr>
            <w:r>
              <w:rPr>
                <w:rFonts w:ascii="Arial" w:hAnsi="Arial" w:cs="Arial"/>
                <w:color w:val="000000"/>
              </w:rPr>
              <w:t>£167,600</w:t>
            </w:r>
          </w:p>
        </w:tc>
      </w:tr>
      <w:tr w:rsidR="0070576A" w14:paraId="046626B7"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5935FCFB" w14:textId="77777777" w:rsidR="0070576A" w:rsidRDefault="0070576A">
            <w:pPr>
              <w:keepNext/>
              <w:spacing w:after="0" w:line="300" w:lineRule="auto"/>
              <w:rPr>
                <w:rFonts w:ascii="Arial" w:hAnsi="Arial" w:cs="Arial"/>
              </w:rPr>
            </w:pPr>
            <w:r>
              <w:rPr>
                <w:rFonts w:ascii="Arial" w:hAnsi="Arial" w:cs="Arial"/>
              </w:rPr>
              <w:t>Erewash</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737014E" w14:textId="77777777" w:rsidR="0070576A" w:rsidRDefault="0070576A">
            <w:pPr>
              <w:keepNext/>
              <w:spacing w:after="0" w:line="300" w:lineRule="auto"/>
              <w:jc w:val="center"/>
              <w:rPr>
                <w:rFonts w:ascii="Arial" w:hAnsi="Arial" w:cs="Arial"/>
                <w:color w:val="000000"/>
              </w:rPr>
            </w:pPr>
            <w:r>
              <w:rPr>
                <w:rFonts w:ascii="Arial" w:hAnsi="Arial" w:cs="Arial"/>
                <w:color w:val="000000"/>
              </w:rPr>
              <w:t>£75,000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439B1D3" w14:textId="77777777" w:rsidR="0070576A" w:rsidRDefault="0070576A">
            <w:pPr>
              <w:keepNext/>
              <w:spacing w:after="0" w:line="300" w:lineRule="auto"/>
              <w:jc w:val="center"/>
              <w:rPr>
                <w:rFonts w:ascii="Arial" w:hAnsi="Arial" w:cs="Arial"/>
                <w:color w:val="000000"/>
              </w:rPr>
            </w:pPr>
            <w:r>
              <w:rPr>
                <w:rFonts w:ascii="Arial" w:hAnsi="Arial" w:cs="Arial"/>
                <w:color w:val="000000"/>
              </w:rPr>
              <w:t>£115,000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467D71A" w14:textId="77777777" w:rsidR="0070576A" w:rsidRDefault="0070576A">
            <w:pPr>
              <w:keepNext/>
              <w:spacing w:after="0" w:line="300" w:lineRule="auto"/>
              <w:jc w:val="center"/>
              <w:rPr>
                <w:rFonts w:ascii="Arial" w:hAnsi="Arial" w:cs="Arial"/>
                <w:color w:val="000000"/>
              </w:rPr>
            </w:pPr>
            <w:r>
              <w:rPr>
                <w:rFonts w:ascii="Arial" w:hAnsi="Arial" w:cs="Arial"/>
                <w:color w:val="000000"/>
              </w:rPr>
              <w:t>£150,500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6EB3C60D" w14:textId="77777777" w:rsidR="0070576A" w:rsidRDefault="0070576A">
            <w:pPr>
              <w:keepNext/>
              <w:spacing w:after="0" w:line="300" w:lineRule="auto"/>
              <w:jc w:val="center"/>
              <w:rPr>
                <w:rFonts w:ascii="Arial" w:hAnsi="Arial" w:cs="Arial"/>
                <w:color w:val="000000"/>
              </w:rPr>
            </w:pPr>
            <w:r>
              <w:rPr>
                <w:rFonts w:ascii="Arial" w:hAnsi="Arial" w:cs="Arial"/>
                <w:color w:val="000000"/>
              </w:rPr>
              <w:t>£232,500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1C1D71D" w14:textId="77777777" w:rsidR="0070576A" w:rsidRDefault="0070576A">
            <w:pPr>
              <w:keepNext/>
              <w:spacing w:after="0" w:line="300" w:lineRule="auto"/>
              <w:jc w:val="center"/>
              <w:rPr>
                <w:rFonts w:ascii="Arial" w:hAnsi="Arial" w:cs="Arial"/>
                <w:color w:val="000000"/>
              </w:rPr>
            </w:pPr>
            <w:r>
              <w:rPr>
                <w:rFonts w:ascii="Arial" w:hAnsi="Arial" w:cs="Arial"/>
                <w:color w:val="000000"/>
              </w:rPr>
              <w:t>£145,000</w:t>
            </w:r>
          </w:p>
        </w:tc>
      </w:tr>
      <w:tr w:rsidR="0070576A" w14:paraId="704290E4"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5DE7F048" w14:textId="77777777" w:rsidR="0070576A" w:rsidRDefault="0070576A">
            <w:pPr>
              <w:keepNext/>
              <w:spacing w:after="0" w:line="300" w:lineRule="auto"/>
              <w:rPr>
                <w:rFonts w:ascii="Arial" w:hAnsi="Arial" w:cs="Arial"/>
              </w:rPr>
            </w:pPr>
            <w:r>
              <w:rPr>
                <w:rFonts w:ascii="Arial" w:hAnsi="Arial" w:cs="Arial"/>
              </w:rPr>
              <w:t>Gedling</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5F9D4AA" w14:textId="77777777" w:rsidR="0070576A" w:rsidRDefault="0070576A">
            <w:pPr>
              <w:keepNext/>
              <w:spacing w:after="0" w:line="300" w:lineRule="auto"/>
              <w:jc w:val="center"/>
              <w:rPr>
                <w:rFonts w:ascii="Arial" w:hAnsi="Arial" w:cs="Arial"/>
                <w:color w:val="000000"/>
              </w:rPr>
            </w:pPr>
            <w:r>
              <w:rPr>
                <w:rFonts w:ascii="Arial" w:hAnsi="Arial" w:cs="Arial"/>
                <w:color w:val="000000"/>
              </w:rPr>
              <w:t>£96,000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C603221" w14:textId="77777777" w:rsidR="0070576A" w:rsidRDefault="0070576A">
            <w:pPr>
              <w:keepNext/>
              <w:spacing w:after="0" w:line="300" w:lineRule="auto"/>
              <w:jc w:val="center"/>
              <w:rPr>
                <w:rFonts w:ascii="Arial" w:hAnsi="Arial" w:cs="Arial"/>
                <w:color w:val="000000"/>
              </w:rPr>
            </w:pPr>
            <w:r>
              <w:rPr>
                <w:rFonts w:ascii="Arial" w:hAnsi="Arial" w:cs="Arial"/>
                <w:color w:val="000000"/>
              </w:rPr>
              <w:t>£130,000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1701AEC" w14:textId="77777777" w:rsidR="0070576A" w:rsidRDefault="0070576A">
            <w:pPr>
              <w:keepNext/>
              <w:spacing w:after="0" w:line="300" w:lineRule="auto"/>
              <w:jc w:val="center"/>
              <w:rPr>
                <w:rFonts w:ascii="Arial" w:hAnsi="Arial" w:cs="Arial"/>
                <w:color w:val="000000"/>
              </w:rPr>
            </w:pPr>
            <w:r>
              <w:rPr>
                <w:rFonts w:ascii="Arial" w:hAnsi="Arial" w:cs="Arial"/>
                <w:color w:val="000000"/>
              </w:rPr>
              <w:t>£165,000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14C577D3" w14:textId="77777777" w:rsidR="0070576A" w:rsidRDefault="0070576A">
            <w:pPr>
              <w:keepNext/>
              <w:spacing w:after="0" w:line="300" w:lineRule="auto"/>
              <w:jc w:val="center"/>
              <w:rPr>
                <w:rFonts w:ascii="Arial" w:hAnsi="Arial" w:cs="Arial"/>
                <w:color w:val="000000"/>
              </w:rPr>
            </w:pPr>
            <w:r>
              <w:rPr>
                <w:rFonts w:ascii="Arial" w:hAnsi="Arial" w:cs="Arial"/>
                <w:color w:val="000000"/>
              </w:rPr>
              <w:t>£250,000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69293F2" w14:textId="77777777" w:rsidR="0070576A" w:rsidRDefault="0070576A">
            <w:pPr>
              <w:keepNext/>
              <w:spacing w:after="0" w:line="300" w:lineRule="auto"/>
              <w:jc w:val="center"/>
              <w:rPr>
                <w:rFonts w:ascii="Arial" w:hAnsi="Arial" w:cs="Arial"/>
                <w:color w:val="000000"/>
              </w:rPr>
            </w:pPr>
            <w:r>
              <w:rPr>
                <w:rFonts w:ascii="Arial" w:hAnsi="Arial" w:cs="Arial"/>
                <w:color w:val="000000"/>
              </w:rPr>
              <w:t>£163,500</w:t>
            </w:r>
          </w:p>
        </w:tc>
      </w:tr>
      <w:tr w:rsidR="0070576A" w14:paraId="11897ABC"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44BD5CE9" w14:textId="77777777" w:rsidR="0070576A" w:rsidRDefault="0070576A">
            <w:pPr>
              <w:keepNext/>
              <w:spacing w:after="0" w:line="300" w:lineRule="auto"/>
              <w:rPr>
                <w:rFonts w:ascii="Arial" w:hAnsi="Arial" w:cs="Arial"/>
              </w:rPr>
            </w:pPr>
            <w:r>
              <w:rPr>
                <w:rFonts w:ascii="Arial" w:hAnsi="Arial" w:cs="Arial"/>
              </w:rPr>
              <w:t>Rushcliffe</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FA227A5" w14:textId="77777777" w:rsidR="0070576A" w:rsidRDefault="0070576A">
            <w:pPr>
              <w:keepNext/>
              <w:spacing w:after="0" w:line="300" w:lineRule="auto"/>
              <w:jc w:val="center"/>
              <w:rPr>
                <w:rFonts w:ascii="Arial" w:hAnsi="Arial" w:cs="Arial"/>
              </w:rPr>
            </w:pPr>
            <w:r>
              <w:rPr>
                <w:rFonts w:ascii="Arial" w:hAnsi="Arial" w:cs="Arial"/>
                <w:color w:val="000000"/>
              </w:rPr>
              <w:t>£125,000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7AD7A5FA" w14:textId="77777777" w:rsidR="0070576A" w:rsidRDefault="0070576A">
            <w:pPr>
              <w:keepNext/>
              <w:spacing w:after="0" w:line="300" w:lineRule="auto"/>
              <w:jc w:val="center"/>
              <w:rPr>
                <w:rFonts w:ascii="Arial" w:hAnsi="Arial" w:cs="Arial"/>
              </w:rPr>
            </w:pPr>
            <w:r>
              <w:rPr>
                <w:rFonts w:ascii="Arial" w:hAnsi="Arial" w:cs="Arial"/>
                <w:color w:val="000000"/>
              </w:rPr>
              <w:t>£180,000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E075B23" w14:textId="77777777" w:rsidR="0070576A" w:rsidRDefault="0070576A">
            <w:pPr>
              <w:keepNext/>
              <w:spacing w:after="0" w:line="300" w:lineRule="auto"/>
              <w:jc w:val="center"/>
              <w:rPr>
                <w:rFonts w:ascii="Arial" w:hAnsi="Arial" w:cs="Arial"/>
              </w:rPr>
            </w:pPr>
            <w:r>
              <w:rPr>
                <w:rFonts w:ascii="Arial" w:hAnsi="Arial" w:cs="Arial"/>
                <w:color w:val="000000"/>
              </w:rPr>
              <w:t>£215,000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B40162C" w14:textId="77777777" w:rsidR="0070576A" w:rsidRDefault="0070576A">
            <w:pPr>
              <w:keepNext/>
              <w:spacing w:after="0" w:line="300" w:lineRule="auto"/>
              <w:jc w:val="center"/>
              <w:rPr>
                <w:rFonts w:ascii="Arial" w:hAnsi="Arial" w:cs="Arial"/>
              </w:rPr>
            </w:pPr>
            <w:r>
              <w:rPr>
                <w:rFonts w:ascii="Arial" w:hAnsi="Arial" w:cs="Arial"/>
                <w:color w:val="000000"/>
              </w:rPr>
              <w:t>£312,500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49F6243" w14:textId="77777777" w:rsidR="0070576A" w:rsidRDefault="0070576A">
            <w:pPr>
              <w:keepNext/>
              <w:spacing w:after="0" w:line="300" w:lineRule="auto"/>
              <w:jc w:val="center"/>
              <w:rPr>
                <w:rFonts w:ascii="Arial" w:hAnsi="Arial" w:cs="Arial"/>
              </w:rPr>
            </w:pPr>
            <w:r>
              <w:rPr>
                <w:rFonts w:ascii="Arial" w:hAnsi="Arial" w:cs="Arial"/>
                <w:color w:val="000000"/>
              </w:rPr>
              <w:t>£229,500</w:t>
            </w:r>
          </w:p>
        </w:tc>
      </w:tr>
      <w:tr w:rsidR="0070576A" w14:paraId="3056A6B8" w14:textId="77777777" w:rsidTr="00A76A61">
        <w:tc>
          <w:tcPr>
            <w:tcW w:w="1462" w:type="dxa"/>
            <w:tcBorders>
              <w:top w:val="single" w:sz="4" w:space="0" w:color="auto"/>
              <w:left w:val="single" w:sz="4" w:space="0" w:color="auto"/>
              <w:bottom w:val="single" w:sz="4" w:space="0" w:color="auto"/>
              <w:right w:val="single" w:sz="4" w:space="0" w:color="auto"/>
            </w:tcBorders>
            <w:hideMark/>
          </w:tcPr>
          <w:p w14:paraId="62364254" w14:textId="77777777" w:rsidR="0070576A" w:rsidRDefault="0070576A">
            <w:pPr>
              <w:keepNext/>
              <w:spacing w:after="0" w:line="300" w:lineRule="auto"/>
              <w:rPr>
                <w:rFonts w:ascii="Arial" w:hAnsi="Arial" w:cs="Arial"/>
              </w:rPr>
            </w:pPr>
            <w:r>
              <w:rPr>
                <w:rFonts w:ascii="Arial" w:hAnsi="Arial" w:cs="Arial"/>
              </w:rPr>
              <w:t>Nottingham</w:t>
            </w:r>
          </w:p>
        </w:tc>
        <w:tc>
          <w:tcPr>
            <w:tcW w:w="1463" w:type="dxa"/>
            <w:tcBorders>
              <w:top w:val="single" w:sz="4" w:space="0" w:color="auto"/>
              <w:left w:val="single" w:sz="4" w:space="0" w:color="auto"/>
              <w:bottom w:val="single" w:sz="4" w:space="0" w:color="auto"/>
              <w:right w:val="single" w:sz="4" w:space="0" w:color="auto"/>
            </w:tcBorders>
            <w:vAlign w:val="center"/>
            <w:hideMark/>
          </w:tcPr>
          <w:p w14:paraId="569B8E05" w14:textId="77777777" w:rsidR="0070576A" w:rsidRDefault="0070576A">
            <w:pPr>
              <w:keepNext/>
              <w:spacing w:after="0" w:line="300" w:lineRule="auto"/>
              <w:jc w:val="center"/>
              <w:rPr>
                <w:rFonts w:ascii="Arial" w:hAnsi="Arial" w:cs="Arial"/>
              </w:rPr>
            </w:pPr>
            <w:r>
              <w:rPr>
                <w:rFonts w:ascii="Arial" w:hAnsi="Arial" w:cs="Arial"/>
                <w:color w:val="000000"/>
              </w:rPr>
              <w:t>£94,000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28A4392C" w14:textId="77777777" w:rsidR="0070576A" w:rsidRDefault="0070576A">
            <w:pPr>
              <w:keepNext/>
              <w:spacing w:after="0" w:line="300" w:lineRule="auto"/>
              <w:jc w:val="center"/>
              <w:rPr>
                <w:rFonts w:ascii="Arial" w:hAnsi="Arial" w:cs="Arial"/>
              </w:rPr>
            </w:pPr>
            <w:r>
              <w:rPr>
                <w:rFonts w:ascii="Arial" w:hAnsi="Arial" w:cs="Arial"/>
                <w:color w:val="000000"/>
              </w:rPr>
              <w:t>£120,000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F322147" w14:textId="77777777" w:rsidR="0070576A" w:rsidRDefault="0070576A">
            <w:pPr>
              <w:keepNext/>
              <w:spacing w:after="0" w:line="300" w:lineRule="auto"/>
              <w:jc w:val="center"/>
              <w:rPr>
                <w:rFonts w:ascii="Arial" w:hAnsi="Arial" w:cs="Arial"/>
              </w:rPr>
            </w:pPr>
            <w:r>
              <w:rPr>
                <w:rFonts w:ascii="Arial" w:hAnsi="Arial" w:cs="Arial"/>
                <w:color w:val="000000"/>
              </w:rPr>
              <w:t>£145,000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013387E6" w14:textId="77777777" w:rsidR="0070576A" w:rsidRDefault="0070576A">
            <w:pPr>
              <w:keepNext/>
              <w:spacing w:after="0" w:line="300" w:lineRule="auto"/>
              <w:jc w:val="center"/>
              <w:rPr>
                <w:rFonts w:ascii="Arial" w:hAnsi="Arial" w:cs="Arial"/>
              </w:rPr>
            </w:pPr>
            <w:r>
              <w:rPr>
                <w:rFonts w:ascii="Arial" w:hAnsi="Arial" w:cs="Arial"/>
                <w:color w:val="000000"/>
              </w:rPr>
              <w:t>£220,000</w:t>
            </w:r>
          </w:p>
        </w:tc>
        <w:tc>
          <w:tcPr>
            <w:tcW w:w="1463" w:type="dxa"/>
            <w:tcBorders>
              <w:top w:val="single" w:sz="4" w:space="0" w:color="auto"/>
              <w:left w:val="single" w:sz="4" w:space="0" w:color="auto"/>
              <w:bottom w:val="single" w:sz="4" w:space="0" w:color="auto"/>
              <w:right w:val="single" w:sz="4" w:space="0" w:color="auto"/>
            </w:tcBorders>
            <w:vAlign w:val="center"/>
            <w:hideMark/>
          </w:tcPr>
          <w:p w14:paraId="30F133A2" w14:textId="77777777" w:rsidR="0070576A" w:rsidRDefault="0070576A">
            <w:pPr>
              <w:keepNext/>
              <w:spacing w:after="0" w:line="300" w:lineRule="auto"/>
              <w:jc w:val="center"/>
              <w:rPr>
                <w:rFonts w:ascii="Arial" w:hAnsi="Arial" w:cs="Arial"/>
              </w:rPr>
            </w:pPr>
            <w:r>
              <w:rPr>
                <w:rFonts w:ascii="Arial" w:hAnsi="Arial" w:cs="Arial"/>
                <w:color w:val="000000"/>
              </w:rPr>
              <w:t>£131,000</w:t>
            </w:r>
          </w:p>
        </w:tc>
      </w:tr>
    </w:tbl>
    <w:p w14:paraId="0746B029" w14:textId="3CB27FB5" w:rsidR="0070576A" w:rsidRDefault="0070576A" w:rsidP="0070576A">
      <w:pPr>
        <w:pStyle w:val="BodyText"/>
        <w:numPr>
          <w:ilvl w:val="0"/>
          <w:numId w:val="0"/>
        </w:numPr>
        <w:tabs>
          <w:tab w:val="left" w:pos="720"/>
        </w:tabs>
        <w:spacing w:line="300" w:lineRule="auto"/>
        <w:rPr>
          <w:rFonts w:cs="Arial"/>
          <w:i/>
          <w:iCs/>
          <w:sz w:val="16"/>
          <w:szCs w:val="16"/>
        </w:rPr>
      </w:pPr>
      <w:r>
        <w:rPr>
          <w:rFonts w:cs="Arial"/>
          <w:i/>
          <w:iCs/>
          <w:sz w:val="16"/>
          <w:szCs w:val="16"/>
        </w:rPr>
        <w:t xml:space="preserve">Source: ONS Small Area House Price Statistics, </w:t>
      </w:r>
      <w:r w:rsidRPr="0070576A">
        <w:rPr>
          <w:rFonts w:cs="Arial"/>
          <w:i/>
          <w:iCs/>
          <w:sz w:val="16"/>
          <w:szCs w:val="16"/>
        </w:rPr>
        <w:t>year to September 2021</w:t>
      </w:r>
    </w:p>
    <w:p w14:paraId="3DE0BF6B" w14:textId="1D61256C" w:rsidR="0070576A" w:rsidRDefault="0070576A" w:rsidP="00D27525">
      <w:pPr>
        <w:pStyle w:val="BodyText"/>
        <w:tabs>
          <w:tab w:val="num" w:pos="1134"/>
        </w:tabs>
        <w:rPr>
          <w:rFonts w:eastAsiaTheme="majorEastAsia"/>
        </w:rPr>
      </w:pPr>
      <w:r>
        <w:t>It is also useful to provide estimates of property prices by the number of bedrooms in a home. Analysis for this draws together Land Registry data with an internet search of prices of homes for sale (using sites such as Rightmove). The analysis suggests a lower quartile price of about £75,000-£80,000 for a 1-bedroom home in many areas, rising to £380,000 for homes with 4</w:t>
      </w:r>
      <w:r w:rsidR="00156871">
        <w:t xml:space="preserve"> </w:t>
      </w:r>
      <w:r>
        <w:t>bedrooms in Rushcliffe.</w:t>
      </w:r>
    </w:p>
    <w:p w14:paraId="721C35A3" w14:textId="6AB9BE49" w:rsidR="0070576A" w:rsidRDefault="0070576A" w:rsidP="0070576A">
      <w:pPr>
        <w:pStyle w:val="Heading4"/>
      </w:pPr>
      <w:r>
        <w:lastRenderedPageBreak/>
        <w:t>Estimated lower quartile cost of housing to buy by size (existing dwellings)</w:t>
      </w:r>
    </w:p>
    <w:tbl>
      <w:tblPr>
        <w:tblStyle w:val="TableTheme"/>
        <w:tblW w:w="5000" w:type="pct"/>
        <w:tblInd w:w="0" w:type="dxa"/>
        <w:tblLook w:val="04A0" w:firstRow="1" w:lastRow="0" w:firstColumn="1" w:lastColumn="0" w:noHBand="0" w:noVBand="1"/>
        <w:tblCaption w:val="Table 3.2 Estimated lower quartile cost of housing to buy by size (existing dwellings)"/>
      </w:tblPr>
      <w:tblGrid>
        <w:gridCol w:w="1504"/>
        <w:gridCol w:w="1454"/>
        <w:gridCol w:w="1455"/>
        <w:gridCol w:w="1454"/>
        <w:gridCol w:w="1455"/>
        <w:gridCol w:w="1455"/>
      </w:tblGrid>
      <w:tr w:rsidR="0070576A" w14:paraId="211231A1" w14:textId="77777777" w:rsidTr="009C6D1F">
        <w:trPr>
          <w:tblHeader/>
        </w:trPr>
        <w:tc>
          <w:tcPr>
            <w:tcW w:w="1504" w:type="dxa"/>
            <w:tcBorders>
              <w:top w:val="single" w:sz="4" w:space="0" w:color="auto"/>
              <w:left w:val="single" w:sz="4" w:space="0" w:color="auto"/>
              <w:bottom w:val="single" w:sz="4" w:space="0" w:color="auto"/>
              <w:right w:val="single" w:sz="4" w:space="0" w:color="auto"/>
            </w:tcBorders>
            <w:shd w:val="clear" w:color="auto" w:fill="002060"/>
          </w:tcPr>
          <w:p w14:paraId="3F429491" w14:textId="77777777" w:rsidR="0070576A" w:rsidRDefault="0070576A">
            <w:pPr>
              <w:keepNext/>
              <w:spacing w:before="60" w:after="60" w:line="300" w:lineRule="auto"/>
              <w:jc w:val="left"/>
              <w:rPr>
                <w:rFonts w:ascii="Arial" w:hAnsi="Arial" w:cs="Arial"/>
              </w:rPr>
            </w:pPr>
          </w:p>
        </w:tc>
        <w:tc>
          <w:tcPr>
            <w:tcW w:w="1454" w:type="dxa"/>
            <w:tcBorders>
              <w:top w:val="single" w:sz="4" w:space="0" w:color="auto"/>
              <w:left w:val="single" w:sz="4" w:space="0" w:color="auto"/>
              <w:bottom w:val="single" w:sz="4" w:space="0" w:color="auto"/>
              <w:right w:val="single" w:sz="4" w:space="0" w:color="auto"/>
            </w:tcBorders>
            <w:shd w:val="clear" w:color="auto" w:fill="002060"/>
            <w:hideMark/>
          </w:tcPr>
          <w:p w14:paraId="784A5D4F" w14:textId="77777777" w:rsidR="0070576A" w:rsidRDefault="0070576A">
            <w:pPr>
              <w:keepNext/>
              <w:spacing w:before="60" w:after="60" w:line="300" w:lineRule="auto"/>
              <w:jc w:val="center"/>
              <w:rPr>
                <w:rFonts w:ascii="Arial" w:hAnsi="Arial" w:cs="Arial"/>
              </w:rPr>
            </w:pPr>
            <w:r>
              <w:rPr>
                <w:rFonts w:ascii="Arial" w:hAnsi="Arial" w:cs="Arial"/>
              </w:rPr>
              <w:t>1-bedroom</w:t>
            </w:r>
          </w:p>
        </w:tc>
        <w:tc>
          <w:tcPr>
            <w:tcW w:w="1455" w:type="dxa"/>
            <w:tcBorders>
              <w:top w:val="single" w:sz="4" w:space="0" w:color="auto"/>
              <w:left w:val="single" w:sz="4" w:space="0" w:color="auto"/>
              <w:bottom w:val="single" w:sz="4" w:space="0" w:color="auto"/>
              <w:right w:val="single" w:sz="4" w:space="0" w:color="auto"/>
            </w:tcBorders>
            <w:shd w:val="clear" w:color="auto" w:fill="002060"/>
            <w:hideMark/>
          </w:tcPr>
          <w:p w14:paraId="57EA8959" w14:textId="77777777" w:rsidR="0070576A" w:rsidRDefault="0070576A">
            <w:pPr>
              <w:keepNext/>
              <w:spacing w:before="60" w:after="60" w:line="300" w:lineRule="auto"/>
              <w:jc w:val="center"/>
              <w:rPr>
                <w:rFonts w:ascii="Arial" w:hAnsi="Arial" w:cs="Arial"/>
              </w:rPr>
            </w:pPr>
            <w:r>
              <w:rPr>
                <w:rFonts w:ascii="Arial" w:hAnsi="Arial" w:cs="Arial"/>
              </w:rPr>
              <w:t>2-bedroom</w:t>
            </w:r>
          </w:p>
        </w:tc>
        <w:tc>
          <w:tcPr>
            <w:tcW w:w="1454" w:type="dxa"/>
            <w:tcBorders>
              <w:top w:val="single" w:sz="4" w:space="0" w:color="auto"/>
              <w:left w:val="single" w:sz="4" w:space="0" w:color="auto"/>
              <w:bottom w:val="single" w:sz="4" w:space="0" w:color="auto"/>
              <w:right w:val="single" w:sz="4" w:space="0" w:color="auto"/>
            </w:tcBorders>
            <w:shd w:val="clear" w:color="auto" w:fill="002060"/>
            <w:hideMark/>
          </w:tcPr>
          <w:p w14:paraId="5BA3F9AA" w14:textId="77777777" w:rsidR="0070576A" w:rsidRDefault="0070576A">
            <w:pPr>
              <w:keepNext/>
              <w:spacing w:before="60" w:after="60" w:line="300" w:lineRule="auto"/>
              <w:jc w:val="center"/>
              <w:rPr>
                <w:rFonts w:ascii="Arial" w:hAnsi="Arial" w:cs="Arial"/>
              </w:rPr>
            </w:pPr>
            <w:r>
              <w:rPr>
                <w:rFonts w:ascii="Arial" w:hAnsi="Arial" w:cs="Arial"/>
              </w:rPr>
              <w:t>3-bedroom</w:t>
            </w:r>
          </w:p>
        </w:tc>
        <w:tc>
          <w:tcPr>
            <w:tcW w:w="1455" w:type="dxa"/>
            <w:tcBorders>
              <w:top w:val="single" w:sz="4" w:space="0" w:color="auto"/>
              <w:left w:val="single" w:sz="4" w:space="0" w:color="auto"/>
              <w:bottom w:val="single" w:sz="4" w:space="0" w:color="auto"/>
              <w:right w:val="single" w:sz="4" w:space="0" w:color="auto"/>
            </w:tcBorders>
            <w:shd w:val="clear" w:color="auto" w:fill="002060"/>
            <w:hideMark/>
          </w:tcPr>
          <w:p w14:paraId="3CADE2E6" w14:textId="77777777" w:rsidR="0070576A" w:rsidRDefault="0070576A">
            <w:pPr>
              <w:keepNext/>
              <w:spacing w:before="60" w:after="60" w:line="300" w:lineRule="auto"/>
              <w:jc w:val="center"/>
              <w:rPr>
                <w:rFonts w:ascii="Arial" w:hAnsi="Arial" w:cs="Arial"/>
              </w:rPr>
            </w:pPr>
            <w:r>
              <w:rPr>
                <w:rFonts w:ascii="Arial" w:hAnsi="Arial" w:cs="Arial"/>
              </w:rPr>
              <w:t>4-bedroom</w:t>
            </w:r>
          </w:p>
        </w:tc>
        <w:tc>
          <w:tcPr>
            <w:tcW w:w="1455" w:type="dxa"/>
            <w:tcBorders>
              <w:top w:val="single" w:sz="4" w:space="0" w:color="auto"/>
              <w:left w:val="single" w:sz="4" w:space="0" w:color="auto"/>
              <w:bottom w:val="single" w:sz="4" w:space="0" w:color="auto"/>
              <w:right w:val="single" w:sz="4" w:space="0" w:color="auto"/>
            </w:tcBorders>
            <w:shd w:val="clear" w:color="auto" w:fill="002060"/>
            <w:hideMark/>
          </w:tcPr>
          <w:p w14:paraId="75E659DC" w14:textId="77777777" w:rsidR="0070576A" w:rsidRDefault="0070576A">
            <w:pPr>
              <w:keepNext/>
              <w:spacing w:before="60" w:after="60" w:line="300" w:lineRule="auto"/>
              <w:jc w:val="center"/>
              <w:rPr>
                <w:rFonts w:ascii="Arial" w:hAnsi="Arial" w:cs="Arial"/>
              </w:rPr>
            </w:pPr>
            <w:r>
              <w:rPr>
                <w:rFonts w:ascii="Arial" w:hAnsi="Arial" w:cs="Arial"/>
              </w:rPr>
              <w:t>All dwellings</w:t>
            </w:r>
          </w:p>
        </w:tc>
      </w:tr>
      <w:tr w:rsidR="0070576A" w14:paraId="4AC47A40"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5206A5C2" w14:textId="77777777" w:rsidR="0070576A" w:rsidRDefault="0070576A">
            <w:pPr>
              <w:keepNext/>
              <w:spacing w:after="0" w:line="300" w:lineRule="auto"/>
              <w:rPr>
                <w:rFonts w:ascii="Arial" w:hAnsi="Arial" w:cs="Arial"/>
              </w:rPr>
            </w:pPr>
            <w:r>
              <w:rPr>
                <w:rFonts w:ascii="Arial" w:hAnsi="Arial" w:cs="Arial"/>
              </w:rPr>
              <w:t>Ashfield</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411ED20" w14:textId="77777777" w:rsidR="0070576A" w:rsidRDefault="0070576A">
            <w:pPr>
              <w:keepNext/>
              <w:spacing w:after="0" w:line="300" w:lineRule="auto"/>
              <w:jc w:val="center"/>
              <w:rPr>
                <w:rFonts w:ascii="Arial" w:hAnsi="Arial" w:cs="Arial"/>
                <w:color w:val="000000"/>
              </w:rPr>
            </w:pPr>
            <w:r>
              <w:rPr>
                <w:rFonts w:ascii="Arial" w:hAnsi="Arial" w:cs="Arial"/>
                <w:color w:val="000000"/>
              </w:rPr>
              <w:t>£75,000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EC2C2D0" w14:textId="77777777" w:rsidR="0070576A" w:rsidRDefault="0070576A">
            <w:pPr>
              <w:keepNext/>
              <w:spacing w:after="0" w:line="300" w:lineRule="auto"/>
              <w:jc w:val="center"/>
              <w:rPr>
                <w:rFonts w:ascii="Arial" w:hAnsi="Arial" w:cs="Arial"/>
                <w:color w:val="000000"/>
              </w:rPr>
            </w:pPr>
            <w:r>
              <w:rPr>
                <w:rFonts w:ascii="Arial" w:hAnsi="Arial" w:cs="Arial"/>
                <w:color w:val="000000"/>
              </w:rPr>
              <w:t>£105,000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0B86567" w14:textId="77777777" w:rsidR="0070576A" w:rsidRDefault="0070576A">
            <w:pPr>
              <w:keepNext/>
              <w:spacing w:after="0" w:line="300" w:lineRule="auto"/>
              <w:jc w:val="center"/>
              <w:rPr>
                <w:rFonts w:ascii="Arial" w:hAnsi="Arial" w:cs="Arial"/>
                <w:color w:val="000000"/>
              </w:rPr>
            </w:pPr>
            <w:r>
              <w:rPr>
                <w:rFonts w:ascii="Arial" w:hAnsi="Arial" w:cs="Arial"/>
                <w:color w:val="000000"/>
              </w:rPr>
              <w:t>£150,000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D16F0F8" w14:textId="77777777" w:rsidR="0070576A" w:rsidRDefault="0070576A">
            <w:pPr>
              <w:keepNext/>
              <w:spacing w:after="0" w:line="300" w:lineRule="auto"/>
              <w:jc w:val="center"/>
              <w:rPr>
                <w:rFonts w:ascii="Arial" w:hAnsi="Arial" w:cs="Arial"/>
                <w:color w:val="000000"/>
              </w:rPr>
            </w:pPr>
            <w:r>
              <w:rPr>
                <w:rFonts w:ascii="Arial" w:hAnsi="Arial" w:cs="Arial"/>
                <w:color w:val="000000"/>
              </w:rPr>
              <w:t>£250,000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42717AF" w14:textId="77777777" w:rsidR="0070576A" w:rsidRDefault="0070576A">
            <w:pPr>
              <w:keepNext/>
              <w:spacing w:after="0" w:line="300" w:lineRule="auto"/>
              <w:jc w:val="center"/>
              <w:rPr>
                <w:rFonts w:ascii="Arial" w:hAnsi="Arial" w:cs="Arial"/>
                <w:color w:val="000000"/>
              </w:rPr>
            </w:pPr>
            <w:r>
              <w:rPr>
                <w:rFonts w:ascii="Arial" w:hAnsi="Arial" w:cs="Arial"/>
                <w:color w:val="000000"/>
              </w:rPr>
              <w:t>£127,500</w:t>
            </w:r>
          </w:p>
        </w:tc>
      </w:tr>
      <w:tr w:rsidR="0070576A" w14:paraId="236D8353"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6E92D5BE" w14:textId="77777777" w:rsidR="0070576A" w:rsidRDefault="0070576A">
            <w:pPr>
              <w:keepNext/>
              <w:spacing w:after="0" w:line="300" w:lineRule="auto"/>
              <w:rPr>
                <w:rFonts w:ascii="Arial" w:hAnsi="Arial" w:cs="Arial"/>
              </w:rPr>
            </w:pPr>
            <w:r>
              <w:rPr>
                <w:rFonts w:ascii="Arial" w:hAnsi="Arial" w:cs="Arial"/>
              </w:rPr>
              <w:t>Broxtowe</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21EDAD4" w14:textId="77777777" w:rsidR="0070576A" w:rsidRDefault="0070576A">
            <w:pPr>
              <w:keepNext/>
              <w:spacing w:after="0" w:line="300" w:lineRule="auto"/>
              <w:jc w:val="center"/>
              <w:rPr>
                <w:rFonts w:ascii="Arial" w:hAnsi="Arial" w:cs="Arial"/>
                <w:color w:val="000000"/>
              </w:rPr>
            </w:pPr>
            <w:r>
              <w:rPr>
                <w:rFonts w:ascii="Arial" w:hAnsi="Arial" w:cs="Arial"/>
                <w:color w:val="000000"/>
              </w:rPr>
              <w:t>£85,000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4BDB3C8" w14:textId="77777777" w:rsidR="0070576A" w:rsidRDefault="0070576A">
            <w:pPr>
              <w:keepNext/>
              <w:spacing w:after="0" w:line="300" w:lineRule="auto"/>
              <w:jc w:val="center"/>
              <w:rPr>
                <w:rFonts w:ascii="Arial" w:hAnsi="Arial" w:cs="Arial"/>
                <w:color w:val="000000"/>
              </w:rPr>
            </w:pPr>
            <w:r>
              <w:rPr>
                <w:rFonts w:ascii="Arial" w:hAnsi="Arial" w:cs="Arial"/>
                <w:color w:val="000000"/>
              </w:rPr>
              <w:t>£135,000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3CA6E569" w14:textId="77777777" w:rsidR="0070576A" w:rsidRDefault="0070576A">
            <w:pPr>
              <w:keepNext/>
              <w:spacing w:after="0" w:line="300" w:lineRule="auto"/>
              <w:jc w:val="center"/>
              <w:rPr>
                <w:rFonts w:ascii="Arial" w:hAnsi="Arial" w:cs="Arial"/>
                <w:color w:val="000000"/>
              </w:rPr>
            </w:pPr>
            <w:r>
              <w:rPr>
                <w:rFonts w:ascii="Arial" w:hAnsi="Arial" w:cs="Arial"/>
                <w:color w:val="000000"/>
              </w:rPr>
              <w:t>£185,000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9BBBA3E" w14:textId="77777777" w:rsidR="0070576A" w:rsidRDefault="0070576A">
            <w:pPr>
              <w:keepNext/>
              <w:spacing w:after="0" w:line="300" w:lineRule="auto"/>
              <w:jc w:val="center"/>
              <w:rPr>
                <w:rFonts w:ascii="Arial" w:hAnsi="Arial" w:cs="Arial"/>
                <w:color w:val="000000"/>
              </w:rPr>
            </w:pPr>
            <w:r>
              <w:rPr>
                <w:rFonts w:ascii="Arial" w:hAnsi="Arial" w:cs="Arial"/>
                <w:color w:val="000000"/>
              </w:rPr>
              <w:t>£290,000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1E4D934" w14:textId="77777777" w:rsidR="0070576A" w:rsidRDefault="0070576A">
            <w:pPr>
              <w:keepNext/>
              <w:spacing w:after="0" w:line="300" w:lineRule="auto"/>
              <w:jc w:val="center"/>
              <w:rPr>
                <w:rFonts w:ascii="Arial" w:hAnsi="Arial" w:cs="Arial"/>
                <w:color w:val="000000"/>
              </w:rPr>
            </w:pPr>
            <w:r>
              <w:rPr>
                <w:rFonts w:ascii="Arial" w:hAnsi="Arial" w:cs="Arial"/>
                <w:color w:val="000000"/>
              </w:rPr>
              <w:t>£167,600</w:t>
            </w:r>
          </w:p>
        </w:tc>
      </w:tr>
      <w:tr w:rsidR="0070576A" w14:paraId="62D254FA"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3B53BC0D" w14:textId="77777777" w:rsidR="0070576A" w:rsidRDefault="0070576A">
            <w:pPr>
              <w:keepNext/>
              <w:spacing w:after="0" w:line="300" w:lineRule="auto"/>
              <w:rPr>
                <w:rFonts w:ascii="Arial" w:hAnsi="Arial" w:cs="Arial"/>
              </w:rPr>
            </w:pPr>
            <w:r>
              <w:rPr>
                <w:rFonts w:ascii="Arial" w:hAnsi="Arial" w:cs="Arial"/>
              </w:rPr>
              <w:t>Erewash</w:t>
            </w:r>
          </w:p>
        </w:tc>
        <w:tc>
          <w:tcPr>
            <w:tcW w:w="1454" w:type="dxa"/>
            <w:tcBorders>
              <w:top w:val="single" w:sz="4" w:space="0" w:color="auto"/>
              <w:left w:val="single" w:sz="4" w:space="0" w:color="auto"/>
              <w:bottom w:val="single" w:sz="4" w:space="0" w:color="auto"/>
              <w:right w:val="single" w:sz="4" w:space="0" w:color="auto"/>
            </w:tcBorders>
            <w:vAlign w:val="center"/>
            <w:hideMark/>
          </w:tcPr>
          <w:p w14:paraId="166221B5" w14:textId="77777777" w:rsidR="0070576A" w:rsidRDefault="0070576A">
            <w:pPr>
              <w:keepNext/>
              <w:spacing w:after="0" w:line="300" w:lineRule="auto"/>
              <w:jc w:val="center"/>
              <w:rPr>
                <w:rFonts w:ascii="Arial" w:hAnsi="Arial" w:cs="Arial"/>
                <w:color w:val="000000"/>
              </w:rPr>
            </w:pPr>
            <w:r>
              <w:rPr>
                <w:rFonts w:ascii="Arial" w:hAnsi="Arial" w:cs="Arial"/>
                <w:color w:val="000000"/>
              </w:rPr>
              <w:t>£80,000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4DB3CE35" w14:textId="77777777" w:rsidR="0070576A" w:rsidRDefault="0070576A">
            <w:pPr>
              <w:keepNext/>
              <w:spacing w:after="0" w:line="300" w:lineRule="auto"/>
              <w:jc w:val="center"/>
              <w:rPr>
                <w:rFonts w:ascii="Arial" w:hAnsi="Arial" w:cs="Arial"/>
                <w:color w:val="000000"/>
              </w:rPr>
            </w:pPr>
            <w:r>
              <w:rPr>
                <w:rFonts w:ascii="Arial" w:hAnsi="Arial" w:cs="Arial"/>
                <w:color w:val="000000"/>
              </w:rPr>
              <w:t>£130,000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5FA9C9A" w14:textId="77777777" w:rsidR="0070576A" w:rsidRDefault="0070576A">
            <w:pPr>
              <w:keepNext/>
              <w:spacing w:after="0" w:line="300" w:lineRule="auto"/>
              <w:jc w:val="center"/>
              <w:rPr>
                <w:rFonts w:ascii="Arial" w:hAnsi="Arial" w:cs="Arial"/>
                <w:color w:val="000000"/>
              </w:rPr>
            </w:pPr>
            <w:r>
              <w:rPr>
                <w:rFonts w:ascii="Arial" w:hAnsi="Arial" w:cs="Arial"/>
                <w:color w:val="000000"/>
              </w:rPr>
              <w:t>£175,000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7A566F26" w14:textId="77777777" w:rsidR="0070576A" w:rsidRDefault="0070576A">
            <w:pPr>
              <w:keepNext/>
              <w:spacing w:after="0" w:line="300" w:lineRule="auto"/>
              <w:jc w:val="center"/>
              <w:rPr>
                <w:rFonts w:ascii="Arial" w:hAnsi="Arial" w:cs="Arial"/>
                <w:color w:val="000000"/>
              </w:rPr>
            </w:pPr>
            <w:r>
              <w:rPr>
                <w:rFonts w:ascii="Arial" w:hAnsi="Arial" w:cs="Arial"/>
                <w:color w:val="000000"/>
              </w:rPr>
              <w:t>£270,000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0F2EF47" w14:textId="77777777" w:rsidR="0070576A" w:rsidRDefault="0070576A">
            <w:pPr>
              <w:keepNext/>
              <w:spacing w:after="0" w:line="300" w:lineRule="auto"/>
              <w:jc w:val="center"/>
              <w:rPr>
                <w:rFonts w:ascii="Arial" w:hAnsi="Arial" w:cs="Arial"/>
                <w:color w:val="000000"/>
              </w:rPr>
            </w:pPr>
            <w:r>
              <w:rPr>
                <w:rFonts w:ascii="Arial" w:hAnsi="Arial" w:cs="Arial"/>
                <w:color w:val="000000"/>
              </w:rPr>
              <w:t>£145,000</w:t>
            </w:r>
          </w:p>
        </w:tc>
      </w:tr>
      <w:tr w:rsidR="0070576A" w14:paraId="08B55683"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3A12E106" w14:textId="77777777" w:rsidR="0070576A" w:rsidRDefault="0070576A">
            <w:pPr>
              <w:keepNext/>
              <w:spacing w:after="0" w:line="300" w:lineRule="auto"/>
              <w:rPr>
                <w:rFonts w:ascii="Arial" w:hAnsi="Arial" w:cs="Arial"/>
              </w:rPr>
            </w:pPr>
            <w:r>
              <w:rPr>
                <w:rFonts w:ascii="Arial" w:hAnsi="Arial" w:cs="Arial"/>
              </w:rPr>
              <w:t>Gedling</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14F73BB" w14:textId="77777777" w:rsidR="0070576A" w:rsidRDefault="0070576A">
            <w:pPr>
              <w:keepNext/>
              <w:spacing w:after="0" w:line="300" w:lineRule="auto"/>
              <w:jc w:val="center"/>
              <w:rPr>
                <w:rFonts w:ascii="Arial" w:hAnsi="Arial" w:cs="Arial"/>
                <w:color w:val="000000"/>
              </w:rPr>
            </w:pPr>
            <w:r>
              <w:rPr>
                <w:rFonts w:ascii="Arial" w:hAnsi="Arial" w:cs="Arial"/>
                <w:color w:val="000000"/>
              </w:rPr>
              <w:t>£85,000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0178A86" w14:textId="77777777" w:rsidR="0070576A" w:rsidRDefault="0070576A">
            <w:pPr>
              <w:keepNext/>
              <w:spacing w:after="0" w:line="300" w:lineRule="auto"/>
              <w:jc w:val="center"/>
              <w:rPr>
                <w:rFonts w:ascii="Arial" w:hAnsi="Arial" w:cs="Arial"/>
                <w:color w:val="000000"/>
              </w:rPr>
            </w:pPr>
            <w:r>
              <w:rPr>
                <w:rFonts w:ascii="Arial" w:hAnsi="Arial" w:cs="Arial"/>
                <w:color w:val="000000"/>
              </w:rPr>
              <w:t>£125,000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022A1C5D" w14:textId="77777777" w:rsidR="0070576A" w:rsidRDefault="0070576A">
            <w:pPr>
              <w:keepNext/>
              <w:spacing w:after="0" w:line="300" w:lineRule="auto"/>
              <w:jc w:val="center"/>
              <w:rPr>
                <w:rFonts w:ascii="Arial" w:hAnsi="Arial" w:cs="Arial"/>
                <w:color w:val="000000"/>
              </w:rPr>
            </w:pPr>
            <w:r>
              <w:rPr>
                <w:rFonts w:ascii="Arial" w:hAnsi="Arial" w:cs="Arial"/>
                <w:color w:val="000000"/>
              </w:rPr>
              <w:t>£195,000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248EC705" w14:textId="77777777" w:rsidR="0070576A" w:rsidRDefault="0070576A">
            <w:pPr>
              <w:keepNext/>
              <w:spacing w:after="0" w:line="300" w:lineRule="auto"/>
              <w:jc w:val="center"/>
              <w:rPr>
                <w:rFonts w:ascii="Arial" w:hAnsi="Arial" w:cs="Arial"/>
                <w:color w:val="000000"/>
              </w:rPr>
            </w:pPr>
            <w:r>
              <w:rPr>
                <w:rFonts w:ascii="Arial" w:hAnsi="Arial" w:cs="Arial"/>
                <w:color w:val="000000"/>
              </w:rPr>
              <w:t>£295,000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1475DD3E" w14:textId="77777777" w:rsidR="0070576A" w:rsidRDefault="0070576A">
            <w:pPr>
              <w:keepNext/>
              <w:spacing w:after="0" w:line="300" w:lineRule="auto"/>
              <w:jc w:val="center"/>
              <w:rPr>
                <w:rFonts w:ascii="Arial" w:hAnsi="Arial" w:cs="Arial"/>
                <w:color w:val="000000"/>
              </w:rPr>
            </w:pPr>
            <w:r>
              <w:rPr>
                <w:rFonts w:ascii="Arial" w:hAnsi="Arial" w:cs="Arial"/>
                <w:color w:val="000000"/>
              </w:rPr>
              <w:t>£163,500</w:t>
            </w:r>
          </w:p>
        </w:tc>
      </w:tr>
      <w:tr w:rsidR="0070576A" w14:paraId="3364D37D"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2FC4A1E7" w14:textId="77777777" w:rsidR="0070576A" w:rsidRDefault="0070576A">
            <w:pPr>
              <w:keepNext/>
              <w:spacing w:after="0" w:line="300" w:lineRule="auto"/>
              <w:rPr>
                <w:rFonts w:ascii="Arial" w:hAnsi="Arial" w:cs="Arial"/>
              </w:rPr>
            </w:pPr>
            <w:r>
              <w:rPr>
                <w:rFonts w:ascii="Arial" w:hAnsi="Arial" w:cs="Arial"/>
              </w:rPr>
              <w:t>Rushcliffe</w:t>
            </w:r>
          </w:p>
        </w:tc>
        <w:tc>
          <w:tcPr>
            <w:tcW w:w="1454" w:type="dxa"/>
            <w:tcBorders>
              <w:top w:val="single" w:sz="4" w:space="0" w:color="auto"/>
              <w:left w:val="single" w:sz="4" w:space="0" w:color="auto"/>
              <w:bottom w:val="single" w:sz="4" w:space="0" w:color="auto"/>
              <w:right w:val="single" w:sz="4" w:space="0" w:color="auto"/>
            </w:tcBorders>
            <w:vAlign w:val="center"/>
            <w:hideMark/>
          </w:tcPr>
          <w:p w14:paraId="2583EB3E" w14:textId="77777777" w:rsidR="0070576A" w:rsidRDefault="0070576A">
            <w:pPr>
              <w:keepNext/>
              <w:spacing w:after="0" w:line="300" w:lineRule="auto"/>
              <w:jc w:val="center"/>
              <w:rPr>
                <w:rFonts w:ascii="Arial" w:hAnsi="Arial" w:cs="Arial"/>
              </w:rPr>
            </w:pPr>
            <w:r>
              <w:rPr>
                <w:rFonts w:ascii="Arial" w:hAnsi="Arial" w:cs="Arial"/>
              </w:rPr>
              <w:t>£115,000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0E47892" w14:textId="77777777" w:rsidR="0070576A" w:rsidRDefault="0070576A">
            <w:pPr>
              <w:keepNext/>
              <w:spacing w:after="0" w:line="300" w:lineRule="auto"/>
              <w:jc w:val="center"/>
              <w:rPr>
                <w:rFonts w:ascii="Arial" w:hAnsi="Arial" w:cs="Arial"/>
              </w:rPr>
            </w:pPr>
            <w:r>
              <w:rPr>
                <w:rFonts w:ascii="Arial" w:hAnsi="Arial" w:cs="Arial"/>
              </w:rPr>
              <w:t>£170,000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67F26B14" w14:textId="77777777" w:rsidR="0070576A" w:rsidRDefault="0070576A">
            <w:pPr>
              <w:keepNext/>
              <w:spacing w:after="0" w:line="300" w:lineRule="auto"/>
              <w:jc w:val="center"/>
              <w:rPr>
                <w:rFonts w:ascii="Arial" w:hAnsi="Arial" w:cs="Arial"/>
              </w:rPr>
            </w:pPr>
            <w:r>
              <w:rPr>
                <w:rFonts w:ascii="Arial" w:hAnsi="Arial" w:cs="Arial"/>
              </w:rPr>
              <w:t>£235,000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A02C9A3" w14:textId="77777777" w:rsidR="0070576A" w:rsidRDefault="0070576A">
            <w:pPr>
              <w:keepNext/>
              <w:spacing w:after="0" w:line="300" w:lineRule="auto"/>
              <w:jc w:val="center"/>
              <w:rPr>
                <w:rFonts w:ascii="Arial" w:hAnsi="Arial" w:cs="Arial"/>
              </w:rPr>
            </w:pPr>
            <w:r>
              <w:rPr>
                <w:rFonts w:ascii="Arial" w:hAnsi="Arial" w:cs="Arial"/>
              </w:rPr>
              <w:t>£380,000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37FE5738" w14:textId="77777777" w:rsidR="0070576A" w:rsidRDefault="0070576A">
            <w:pPr>
              <w:keepNext/>
              <w:spacing w:after="0" w:line="300" w:lineRule="auto"/>
              <w:jc w:val="center"/>
              <w:rPr>
                <w:rFonts w:ascii="Arial" w:hAnsi="Arial" w:cs="Arial"/>
              </w:rPr>
            </w:pPr>
            <w:r>
              <w:rPr>
                <w:rFonts w:ascii="Arial" w:hAnsi="Arial" w:cs="Arial"/>
                <w:color w:val="000000"/>
              </w:rPr>
              <w:t>£229,500</w:t>
            </w:r>
          </w:p>
        </w:tc>
      </w:tr>
      <w:tr w:rsidR="0070576A" w14:paraId="0614291C" w14:textId="77777777" w:rsidTr="0070576A">
        <w:tc>
          <w:tcPr>
            <w:tcW w:w="1504" w:type="dxa"/>
            <w:tcBorders>
              <w:top w:val="single" w:sz="4" w:space="0" w:color="auto"/>
              <w:left w:val="single" w:sz="4" w:space="0" w:color="auto"/>
              <w:bottom w:val="single" w:sz="4" w:space="0" w:color="auto"/>
              <w:right w:val="single" w:sz="4" w:space="0" w:color="auto"/>
            </w:tcBorders>
            <w:hideMark/>
          </w:tcPr>
          <w:p w14:paraId="3E123B93" w14:textId="77777777" w:rsidR="0070576A" w:rsidRDefault="0070576A">
            <w:pPr>
              <w:keepNext/>
              <w:spacing w:after="0" w:line="300" w:lineRule="auto"/>
              <w:rPr>
                <w:rFonts w:ascii="Arial" w:hAnsi="Arial" w:cs="Arial"/>
              </w:rPr>
            </w:pPr>
            <w:r>
              <w:rPr>
                <w:rFonts w:ascii="Arial" w:hAnsi="Arial" w:cs="Arial"/>
              </w:rPr>
              <w:t>Nottingham</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C845616" w14:textId="77777777" w:rsidR="0070576A" w:rsidRDefault="0070576A">
            <w:pPr>
              <w:keepNext/>
              <w:spacing w:after="0" w:line="300" w:lineRule="auto"/>
              <w:jc w:val="center"/>
              <w:rPr>
                <w:rFonts w:ascii="Arial" w:hAnsi="Arial" w:cs="Arial"/>
              </w:rPr>
            </w:pPr>
            <w:r>
              <w:rPr>
                <w:rFonts w:ascii="Arial" w:hAnsi="Arial" w:cs="Arial"/>
              </w:rPr>
              <w:t>£80,000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5BE7621B" w14:textId="77777777" w:rsidR="0070576A" w:rsidRDefault="0070576A">
            <w:pPr>
              <w:keepNext/>
              <w:spacing w:after="0" w:line="300" w:lineRule="auto"/>
              <w:jc w:val="center"/>
              <w:rPr>
                <w:rFonts w:ascii="Arial" w:hAnsi="Arial" w:cs="Arial"/>
              </w:rPr>
            </w:pPr>
            <w:r>
              <w:rPr>
                <w:rFonts w:ascii="Arial" w:hAnsi="Arial" w:cs="Arial"/>
              </w:rPr>
              <w:t>£130,000</w:t>
            </w:r>
          </w:p>
        </w:tc>
        <w:tc>
          <w:tcPr>
            <w:tcW w:w="1454" w:type="dxa"/>
            <w:tcBorders>
              <w:top w:val="single" w:sz="4" w:space="0" w:color="auto"/>
              <w:left w:val="single" w:sz="4" w:space="0" w:color="auto"/>
              <w:bottom w:val="single" w:sz="4" w:space="0" w:color="auto"/>
              <w:right w:val="single" w:sz="4" w:space="0" w:color="auto"/>
            </w:tcBorders>
            <w:vAlign w:val="center"/>
            <w:hideMark/>
          </w:tcPr>
          <w:p w14:paraId="56AB9706" w14:textId="77777777" w:rsidR="0070576A" w:rsidRDefault="0070576A">
            <w:pPr>
              <w:keepNext/>
              <w:spacing w:after="0" w:line="300" w:lineRule="auto"/>
              <w:jc w:val="center"/>
              <w:rPr>
                <w:rFonts w:ascii="Arial" w:hAnsi="Arial" w:cs="Arial"/>
              </w:rPr>
            </w:pPr>
            <w:r>
              <w:rPr>
                <w:rFonts w:ascii="Arial" w:hAnsi="Arial" w:cs="Arial"/>
              </w:rPr>
              <w:t>£160,000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0FCDACA1" w14:textId="77777777" w:rsidR="0070576A" w:rsidRDefault="0070576A">
            <w:pPr>
              <w:keepNext/>
              <w:spacing w:after="0" w:line="300" w:lineRule="auto"/>
              <w:jc w:val="center"/>
              <w:rPr>
                <w:rFonts w:ascii="Arial" w:hAnsi="Arial" w:cs="Arial"/>
              </w:rPr>
            </w:pPr>
            <w:r>
              <w:rPr>
                <w:rFonts w:ascii="Arial" w:hAnsi="Arial" w:cs="Arial"/>
              </w:rPr>
              <w:t>£220,000</w:t>
            </w:r>
          </w:p>
        </w:tc>
        <w:tc>
          <w:tcPr>
            <w:tcW w:w="1455" w:type="dxa"/>
            <w:tcBorders>
              <w:top w:val="single" w:sz="4" w:space="0" w:color="auto"/>
              <w:left w:val="single" w:sz="4" w:space="0" w:color="auto"/>
              <w:bottom w:val="single" w:sz="4" w:space="0" w:color="auto"/>
              <w:right w:val="single" w:sz="4" w:space="0" w:color="auto"/>
            </w:tcBorders>
            <w:vAlign w:val="center"/>
            <w:hideMark/>
          </w:tcPr>
          <w:p w14:paraId="60646218" w14:textId="77777777" w:rsidR="0070576A" w:rsidRDefault="0070576A">
            <w:pPr>
              <w:keepNext/>
              <w:spacing w:after="0" w:line="300" w:lineRule="auto"/>
              <w:jc w:val="center"/>
              <w:rPr>
                <w:rFonts w:ascii="Arial" w:hAnsi="Arial" w:cs="Arial"/>
              </w:rPr>
            </w:pPr>
            <w:r>
              <w:rPr>
                <w:rFonts w:ascii="Arial" w:hAnsi="Arial" w:cs="Arial"/>
                <w:color w:val="000000"/>
              </w:rPr>
              <w:t>£131,000</w:t>
            </w:r>
          </w:p>
        </w:tc>
      </w:tr>
    </w:tbl>
    <w:p w14:paraId="4E79CA59" w14:textId="0AB4E88F" w:rsidR="0070576A" w:rsidRDefault="0070576A" w:rsidP="0070576A">
      <w:pPr>
        <w:spacing w:line="300" w:lineRule="auto"/>
        <w:rPr>
          <w:rFonts w:ascii="Arial" w:hAnsi="Arial" w:cs="Arial"/>
          <w:i/>
          <w:iCs/>
          <w:sz w:val="16"/>
          <w:szCs w:val="16"/>
        </w:rPr>
      </w:pPr>
      <w:r>
        <w:rPr>
          <w:rFonts w:ascii="Arial" w:hAnsi="Arial" w:cs="Arial"/>
          <w:i/>
          <w:iCs/>
          <w:sz w:val="16"/>
          <w:szCs w:val="16"/>
        </w:rPr>
        <w:t>Source: Land Registry and Internet Price Search</w:t>
      </w:r>
      <w:r>
        <w:t xml:space="preserve">, </w:t>
      </w:r>
      <w:r>
        <w:rPr>
          <w:i/>
          <w:iCs/>
          <w:sz w:val="16"/>
          <w:szCs w:val="16"/>
        </w:rPr>
        <w:t>y</w:t>
      </w:r>
      <w:r w:rsidRPr="0070576A">
        <w:rPr>
          <w:rFonts w:ascii="Arial" w:hAnsi="Arial" w:cs="Arial"/>
          <w:i/>
          <w:iCs/>
          <w:sz w:val="16"/>
          <w:szCs w:val="16"/>
        </w:rPr>
        <w:t>ear to September 2021</w:t>
      </w:r>
    </w:p>
    <w:p w14:paraId="6905AC10" w14:textId="77777777" w:rsidR="00942AC1" w:rsidRPr="0031523C" w:rsidRDefault="0070576A" w:rsidP="00D27525">
      <w:pPr>
        <w:pStyle w:val="BodyText"/>
        <w:tabs>
          <w:tab w:val="num" w:pos="1134"/>
        </w:tabs>
        <w:rPr>
          <w:rFonts w:eastAsiaTheme="majorEastAsia"/>
        </w:rPr>
      </w:pPr>
      <w:r>
        <w:t>A similar analysis has been carried out for private rents using ONS data – this covers a 12-month period to September 2021. For the rental data, information about dwelling sizes is provided (rather than types); the analysis shows an average lower quartile cost (across all dwelling sizes) of around £500-£600 per month depending on location</w:t>
      </w:r>
      <w:r w:rsidR="00E06987">
        <w:t>.</w:t>
      </w:r>
      <w:r>
        <w:t xml:space="preserve"> </w:t>
      </w:r>
    </w:p>
    <w:p w14:paraId="3154947F" w14:textId="0B19D5B0" w:rsidR="0070576A" w:rsidRDefault="00E06987" w:rsidP="00D27525">
      <w:pPr>
        <w:pStyle w:val="BodyText"/>
        <w:tabs>
          <w:tab w:val="num" w:pos="1134"/>
        </w:tabs>
        <w:rPr>
          <w:rFonts w:eastAsiaTheme="majorEastAsia"/>
        </w:rPr>
      </w:pPr>
      <w:r>
        <w:t>I</w:t>
      </w:r>
      <w:r w:rsidR="0070576A">
        <w:t>t should be noted that the ‘all dwellings’ figures exclude room rents and therefore differ slightly from data as published by ONS</w:t>
      </w:r>
      <w:r w:rsidR="00942AC1">
        <w:t xml:space="preserve">.  This </w:t>
      </w:r>
      <w:r w:rsidR="0070576A">
        <w:t>only really has a modest impact and only for Broxtowe and Nottingham</w:t>
      </w:r>
      <w:r w:rsidR="00942AC1">
        <w:t xml:space="preserve"> </w:t>
      </w:r>
      <w:r>
        <w:t xml:space="preserve">. The all dwellings figure </w:t>
      </w:r>
      <w:r w:rsidR="00C5298F">
        <w:t>has been calculated by Iceni based on the number of lettings in different size categories, excluding room rents</w:t>
      </w:r>
      <w:r w:rsidR="00942AC1">
        <w:t>. For</w:t>
      </w:r>
      <w:r w:rsidR="00C5298F">
        <w:t xml:space="preserve"> reference the lower quartile figures from ONS including room only rents</w:t>
      </w:r>
      <w:r w:rsidR="000601C1">
        <w:t xml:space="preserve"> were £550 per month in both Nottingham and Broxtowe</w:t>
      </w:r>
      <w:r w:rsidR="00C5298F">
        <w:t>.</w:t>
      </w:r>
    </w:p>
    <w:p w14:paraId="14D18FA6" w14:textId="77777777" w:rsidR="0070576A" w:rsidRDefault="0070576A" w:rsidP="0070576A">
      <w:pPr>
        <w:pStyle w:val="Heading4"/>
      </w:pPr>
      <w:r>
        <w:t xml:space="preserve">Lower Quartile Market </w:t>
      </w:r>
      <w:r w:rsidRPr="0070576A">
        <w:t>Rents</w:t>
      </w:r>
      <w:r>
        <w:t>, year to September 2021 – Greater Nottingham</w:t>
      </w:r>
    </w:p>
    <w:tbl>
      <w:tblPr>
        <w:tblStyle w:val="TableTheme"/>
        <w:tblW w:w="5000" w:type="pct"/>
        <w:tblInd w:w="0" w:type="dxa"/>
        <w:tblLook w:val="04A0" w:firstRow="1" w:lastRow="0" w:firstColumn="1" w:lastColumn="0" w:noHBand="0" w:noVBand="1"/>
        <w:tblCaption w:val="Table 3.3 Lower Quartile Market Rents, year to September 2021 – Greater Nottingham"/>
      </w:tblPr>
      <w:tblGrid>
        <w:gridCol w:w="1510"/>
        <w:gridCol w:w="1452"/>
        <w:gridCol w:w="1452"/>
        <w:gridCol w:w="1451"/>
        <w:gridCol w:w="1452"/>
        <w:gridCol w:w="1460"/>
      </w:tblGrid>
      <w:tr w:rsidR="0070576A" w14:paraId="681BA5D4" w14:textId="77777777" w:rsidTr="009C6D1F">
        <w:trPr>
          <w:tblHeader/>
        </w:trPr>
        <w:tc>
          <w:tcPr>
            <w:tcW w:w="1510" w:type="dxa"/>
            <w:tcBorders>
              <w:top w:val="single" w:sz="4" w:space="0" w:color="auto"/>
              <w:left w:val="single" w:sz="4" w:space="0" w:color="auto"/>
              <w:bottom w:val="single" w:sz="4" w:space="0" w:color="auto"/>
              <w:right w:val="single" w:sz="4" w:space="0" w:color="auto"/>
            </w:tcBorders>
            <w:shd w:val="clear" w:color="auto" w:fill="002060"/>
          </w:tcPr>
          <w:p w14:paraId="4680A008" w14:textId="77777777" w:rsidR="0070576A" w:rsidRDefault="0070576A">
            <w:pPr>
              <w:keepNext/>
              <w:spacing w:before="60" w:after="60" w:line="300" w:lineRule="auto"/>
              <w:jc w:val="left"/>
              <w:rPr>
                <w:rFonts w:ascii="Arial" w:hAnsi="Arial" w:cs="Arial"/>
              </w:rPr>
            </w:pPr>
          </w:p>
        </w:tc>
        <w:tc>
          <w:tcPr>
            <w:tcW w:w="1452" w:type="dxa"/>
            <w:tcBorders>
              <w:top w:val="single" w:sz="4" w:space="0" w:color="auto"/>
              <w:left w:val="single" w:sz="4" w:space="0" w:color="auto"/>
              <w:bottom w:val="single" w:sz="4" w:space="0" w:color="auto"/>
              <w:right w:val="single" w:sz="4" w:space="0" w:color="auto"/>
            </w:tcBorders>
            <w:shd w:val="clear" w:color="auto" w:fill="002060"/>
            <w:hideMark/>
          </w:tcPr>
          <w:p w14:paraId="4F882CBF" w14:textId="77777777" w:rsidR="0070576A" w:rsidRDefault="0070576A">
            <w:pPr>
              <w:keepNext/>
              <w:spacing w:before="60" w:after="60" w:line="300" w:lineRule="auto"/>
              <w:jc w:val="center"/>
              <w:rPr>
                <w:rFonts w:ascii="Arial" w:hAnsi="Arial" w:cs="Arial"/>
              </w:rPr>
            </w:pPr>
            <w:r>
              <w:rPr>
                <w:rFonts w:ascii="Arial" w:hAnsi="Arial" w:cs="Arial"/>
              </w:rPr>
              <w:t>1-bedroom</w:t>
            </w:r>
          </w:p>
        </w:tc>
        <w:tc>
          <w:tcPr>
            <w:tcW w:w="1452" w:type="dxa"/>
            <w:tcBorders>
              <w:top w:val="single" w:sz="4" w:space="0" w:color="auto"/>
              <w:left w:val="single" w:sz="4" w:space="0" w:color="auto"/>
              <w:bottom w:val="single" w:sz="4" w:space="0" w:color="auto"/>
              <w:right w:val="single" w:sz="4" w:space="0" w:color="auto"/>
            </w:tcBorders>
            <w:shd w:val="clear" w:color="auto" w:fill="002060"/>
            <w:hideMark/>
          </w:tcPr>
          <w:p w14:paraId="36296D0F" w14:textId="77777777" w:rsidR="0070576A" w:rsidRDefault="0070576A">
            <w:pPr>
              <w:keepNext/>
              <w:spacing w:before="60" w:after="60" w:line="300" w:lineRule="auto"/>
              <w:jc w:val="center"/>
              <w:rPr>
                <w:rFonts w:ascii="Arial" w:hAnsi="Arial" w:cs="Arial"/>
              </w:rPr>
            </w:pPr>
            <w:r>
              <w:rPr>
                <w:rFonts w:ascii="Arial" w:hAnsi="Arial" w:cs="Arial"/>
              </w:rPr>
              <w:t>2-bedroom</w:t>
            </w:r>
          </w:p>
        </w:tc>
        <w:tc>
          <w:tcPr>
            <w:tcW w:w="1451" w:type="dxa"/>
            <w:tcBorders>
              <w:top w:val="single" w:sz="4" w:space="0" w:color="auto"/>
              <w:left w:val="single" w:sz="4" w:space="0" w:color="auto"/>
              <w:bottom w:val="single" w:sz="4" w:space="0" w:color="auto"/>
              <w:right w:val="single" w:sz="4" w:space="0" w:color="auto"/>
            </w:tcBorders>
            <w:shd w:val="clear" w:color="auto" w:fill="002060"/>
            <w:hideMark/>
          </w:tcPr>
          <w:p w14:paraId="6E49B1D6" w14:textId="77777777" w:rsidR="0070576A" w:rsidRDefault="0070576A">
            <w:pPr>
              <w:keepNext/>
              <w:spacing w:before="60" w:after="60" w:line="300" w:lineRule="auto"/>
              <w:jc w:val="center"/>
              <w:rPr>
                <w:rFonts w:ascii="Arial" w:hAnsi="Arial" w:cs="Arial"/>
              </w:rPr>
            </w:pPr>
            <w:r>
              <w:rPr>
                <w:rFonts w:ascii="Arial" w:hAnsi="Arial" w:cs="Arial"/>
              </w:rPr>
              <w:t>3-bedroom</w:t>
            </w:r>
          </w:p>
        </w:tc>
        <w:tc>
          <w:tcPr>
            <w:tcW w:w="1452" w:type="dxa"/>
            <w:tcBorders>
              <w:top w:val="single" w:sz="4" w:space="0" w:color="auto"/>
              <w:left w:val="single" w:sz="4" w:space="0" w:color="auto"/>
              <w:bottom w:val="single" w:sz="4" w:space="0" w:color="auto"/>
              <w:right w:val="single" w:sz="4" w:space="0" w:color="auto"/>
            </w:tcBorders>
            <w:shd w:val="clear" w:color="auto" w:fill="002060"/>
            <w:hideMark/>
          </w:tcPr>
          <w:p w14:paraId="1C385355" w14:textId="77777777" w:rsidR="0070576A" w:rsidRDefault="0070576A">
            <w:pPr>
              <w:keepNext/>
              <w:spacing w:before="60" w:after="60" w:line="300" w:lineRule="auto"/>
              <w:jc w:val="center"/>
              <w:rPr>
                <w:rFonts w:ascii="Arial" w:hAnsi="Arial" w:cs="Arial"/>
              </w:rPr>
            </w:pPr>
            <w:r>
              <w:rPr>
                <w:rFonts w:ascii="Arial" w:hAnsi="Arial" w:cs="Arial"/>
              </w:rPr>
              <w:t>4-bedroom</w:t>
            </w:r>
          </w:p>
        </w:tc>
        <w:tc>
          <w:tcPr>
            <w:tcW w:w="1460" w:type="dxa"/>
            <w:tcBorders>
              <w:top w:val="single" w:sz="4" w:space="0" w:color="auto"/>
              <w:left w:val="single" w:sz="4" w:space="0" w:color="auto"/>
              <w:bottom w:val="single" w:sz="4" w:space="0" w:color="auto"/>
              <w:right w:val="single" w:sz="4" w:space="0" w:color="auto"/>
            </w:tcBorders>
            <w:shd w:val="clear" w:color="auto" w:fill="002060"/>
            <w:hideMark/>
          </w:tcPr>
          <w:p w14:paraId="37E1AFA2" w14:textId="77777777" w:rsidR="0070576A" w:rsidRDefault="0070576A">
            <w:pPr>
              <w:keepNext/>
              <w:spacing w:before="60" w:after="60" w:line="300" w:lineRule="auto"/>
              <w:jc w:val="center"/>
              <w:rPr>
                <w:rFonts w:ascii="Arial" w:hAnsi="Arial" w:cs="Arial"/>
              </w:rPr>
            </w:pPr>
            <w:r>
              <w:rPr>
                <w:rFonts w:ascii="Arial" w:hAnsi="Arial" w:cs="Arial"/>
              </w:rPr>
              <w:t>All dwellings</w:t>
            </w:r>
          </w:p>
        </w:tc>
      </w:tr>
      <w:tr w:rsidR="0070576A" w14:paraId="63D59326"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07B596E7" w14:textId="77777777" w:rsidR="0070576A" w:rsidRDefault="0070576A">
            <w:pPr>
              <w:keepNext/>
              <w:spacing w:after="0" w:line="300" w:lineRule="auto"/>
              <w:rPr>
                <w:rFonts w:ascii="Arial" w:hAnsi="Arial" w:cs="Arial"/>
              </w:rPr>
            </w:pPr>
            <w:r>
              <w:rPr>
                <w:rFonts w:ascii="Arial" w:hAnsi="Arial" w:cs="Arial"/>
              </w:rPr>
              <w:t>Ashfield</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C6ACA13" w14:textId="77777777" w:rsidR="0070576A" w:rsidRDefault="0070576A">
            <w:pPr>
              <w:keepNext/>
              <w:spacing w:after="0" w:line="300" w:lineRule="auto"/>
              <w:jc w:val="center"/>
              <w:rPr>
                <w:rFonts w:ascii="Arial" w:hAnsi="Arial" w:cs="Arial"/>
                <w:color w:val="000000"/>
              </w:rPr>
            </w:pPr>
            <w:r>
              <w:rPr>
                <w:rFonts w:ascii="Arial" w:hAnsi="Arial" w:cs="Arial"/>
                <w:color w:val="000000"/>
              </w:rPr>
              <w:t>£400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7D7108D" w14:textId="77777777" w:rsidR="0070576A" w:rsidRDefault="0070576A">
            <w:pPr>
              <w:keepNext/>
              <w:spacing w:after="0" w:line="300" w:lineRule="auto"/>
              <w:jc w:val="center"/>
              <w:rPr>
                <w:rFonts w:ascii="Arial" w:hAnsi="Arial" w:cs="Arial"/>
                <w:color w:val="000000"/>
              </w:rPr>
            </w:pPr>
            <w:r>
              <w:rPr>
                <w:rFonts w:ascii="Arial" w:hAnsi="Arial" w:cs="Arial"/>
                <w:color w:val="000000"/>
              </w:rPr>
              <w:t>£475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60A295F0" w14:textId="77777777" w:rsidR="0070576A" w:rsidRDefault="0070576A">
            <w:pPr>
              <w:keepNext/>
              <w:spacing w:after="0" w:line="300" w:lineRule="auto"/>
              <w:jc w:val="center"/>
              <w:rPr>
                <w:rFonts w:ascii="Arial" w:hAnsi="Arial" w:cs="Arial"/>
                <w:color w:val="000000"/>
              </w:rPr>
            </w:pPr>
            <w:r>
              <w:rPr>
                <w:rFonts w:ascii="Arial" w:hAnsi="Arial" w:cs="Arial"/>
                <w:color w:val="000000"/>
              </w:rPr>
              <w:t>£510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85EF22D" w14:textId="77777777" w:rsidR="0070576A" w:rsidRDefault="0070576A">
            <w:pPr>
              <w:keepNext/>
              <w:spacing w:after="0" w:line="300" w:lineRule="auto"/>
              <w:jc w:val="center"/>
              <w:rPr>
                <w:rFonts w:ascii="Arial" w:hAnsi="Arial" w:cs="Arial"/>
                <w:color w:val="000000"/>
              </w:rPr>
            </w:pPr>
            <w:r>
              <w:rPr>
                <w:rFonts w:ascii="Arial" w:hAnsi="Arial" w:cs="Arial"/>
                <w:color w:val="000000"/>
              </w:rPr>
              <w:t>£713</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D7D87F5" w14:textId="77777777" w:rsidR="0070576A" w:rsidRDefault="0070576A">
            <w:pPr>
              <w:keepNext/>
              <w:spacing w:after="0" w:line="300" w:lineRule="auto"/>
              <w:jc w:val="center"/>
              <w:rPr>
                <w:rFonts w:ascii="Arial" w:hAnsi="Arial" w:cs="Arial"/>
                <w:color w:val="000000"/>
              </w:rPr>
            </w:pPr>
            <w:r>
              <w:rPr>
                <w:rFonts w:ascii="Arial" w:hAnsi="Arial" w:cs="Arial"/>
                <w:color w:val="000000"/>
              </w:rPr>
              <w:t>£485</w:t>
            </w:r>
          </w:p>
        </w:tc>
      </w:tr>
      <w:tr w:rsidR="0070576A" w14:paraId="7673430B"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137B0E25" w14:textId="77777777" w:rsidR="0070576A" w:rsidRDefault="0070576A">
            <w:pPr>
              <w:keepNext/>
              <w:spacing w:after="0" w:line="300" w:lineRule="auto"/>
              <w:rPr>
                <w:rFonts w:ascii="Arial" w:hAnsi="Arial" w:cs="Arial"/>
              </w:rPr>
            </w:pPr>
            <w:r>
              <w:rPr>
                <w:rFonts w:ascii="Arial" w:hAnsi="Arial" w:cs="Arial"/>
              </w:rPr>
              <w:t>Broxtowe</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2DA6626" w14:textId="77777777" w:rsidR="0070576A" w:rsidRDefault="0070576A">
            <w:pPr>
              <w:keepNext/>
              <w:spacing w:after="0" w:line="300" w:lineRule="auto"/>
              <w:jc w:val="center"/>
              <w:rPr>
                <w:rFonts w:ascii="Arial" w:hAnsi="Arial" w:cs="Arial"/>
                <w:color w:val="000000"/>
              </w:rPr>
            </w:pPr>
            <w:r>
              <w:rPr>
                <w:rFonts w:ascii="Arial" w:hAnsi="Arial" w:cs="Arial"/>
                <w:color w:val="000000"/>
              </w:rPr>
              <w:t>£450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F8DAF4C" w14:textId="77777777" w:rsidR="0070576A" w:rsidRDefault="0070576A">
            <w:pPr>
              <w:keepNext/>
              <w:spacing w:after="0" w:line="300" w:lineRule="auto"/>
              <w:jc w:val="center"/>
              <w:rPr>
                <w:rFonts w:ascii="Arial" w:hAnsi="Arial" w:cs="Arial"/>
                <w:color w:val="000000"/>
              </w:rPr>
            </w:pPr>
            <w:r>
              <w:rPr>
                <w:rFonts w:ascii="Arial" w:hAnsi="Arial" w:cs="Arial"/>
                <w:color w:val="000000"/>
              </w:rPr>
              <w:t>£575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98ADB3D" w14:textId="77777777" w:rsidR="0070576A" w:rsidRDefault="0070576A">
            <w:pPr>
              <w:keepNext/>
              <w:spacing w:after="0" w:line="300" w:lineRule="auto"/>
              <w:jc w:val="center"/>
              <w:rPr>
                <w:rFonts w:ascii="Arial" w:hAnsi="Arial" w:cs="Arial"/>
                <w:color w:val="000000"/>
              </w:rPr>
            </w:pPr>
            <w:r>
              <w:rPr>
                <w:rFonts w:ascii="Arial" w:hAnsi="Arial" w:cs="Arial"/>
                <w:color w:val="000000"/>
              </w:rPr>
              <w:t>£650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F098AD4" w14:textId="77777777" w:rsidR="0070576A" w:rsidRDefault="0070576A">
            <w:pPr>
              <w:keepNext/>
              <w:spacing w:after="0" w:line="300" w:lineRule="auto"/>
              <w:jc w:val="center"/>
              <w:rPr>
                <w:rFonts w:ascii="Arial" w:hAnsi="Arial" w:cs="Arial"/>
                <w:color w:val="000000"/>
              </w:rPr>
            </w:pPr>
            <w:r>
              <w:rPr>
                <w:rFonts w:ascii="Arial" w:hAnsi="Arial" w:cs="Arial"/>
                <w:color w:val="000000"/>
              </w:rPr>
              <w:t>£900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C1FAE6C" w14:textId="77777777" w:rsidR="0070576A" w:rsidRDefault="0070576A">
            <w:pPr>
              <w:keepNext/>
              <w:spacing w:after="0" w:line="300" w:lineRule="auto"/>
              <w:jc w:val="center"/>
              <w:rPr>
                <w:rFonts w:ascii="Arial" w:hAnsi="Arial" w:cs="Arial"/>
                <w:color w:val="000000"/>
              </w:rPr>
            </w:pPr>
            <w:r>
              <w:rPr>
                <w:rFonts w:ascii="Arial" w:hAnsi="Arial" w:cs="Arial"/>
                <w:color w:val="000000"/>
              </w:rPr>
              <w:t>£590</w:t>
            </w:r>
          </w:p>
        </w:tc>
      </w:tr>
      <w:tr w:rsidR="0070576A" w14:paraId="090046CD"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3EDFE6B8" w14:textId="77777777" w:rsidR="0070576A" w:rsidRDefault="0070576A">
            <w:pPr>
              <w:keepNext/>
              <w:spacing w:after="0" w:line="300" w:lineRule="auto"/>
              <w:rPr>
                <w:rFonts w:ascii="Arial" w:hAnsi="Arial" w:cs="Arial"/>
              </w:rPr>
            </w:pPr>
            <w:r>
              <w:rPr>
                <w:rFonts w:ascii="Arial" w:hAnsi="Arial" w:cs="Arial"/>
              </w:rPr>
              <w:t>Erewash</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EA30613" w14:textId="77777777" w:rsidR="0070576A" w:rsidRDefault="0070576A">
            <w:pPr>
              <w:keepNext/>
              <w:spacing w:after="0" w:line="300" w:lineRule="auto"/>
              <w:jc w:val="center"/>
              <w:rPr>
                <w:rFonts w:ascii="Arial" w:hAnsi="Arial" w:cs="Arial"/>
                <w:color w:val="000000"/>
              </w:rPr>
            </w:pPr>
            <w:r>
              <w:rPr>
                <w:rFonts w:ascii="Arial" w:hAnsi="Arial" w:cs="Arial"/>
                <w:color w:val="000000"/>
              </w:rPr>
              <w:t>£425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3F2CC997" w14:textId="77777777" w:rsidR="0070576A" w:rsidRDefault="0070576A">
            <w:pPr>
              <w:keepNext/>
              <w:spacing w:after="0" w:line="300" w:lineRule="auto"/>
              <w:jc w:val="center"/>
              <w:rPr>
                <w:rFonts w:ascii="Arial" w:hAnsi="Arial" w:cs="Arial"/>
                <w:color w:val="000000"/>
              </w:rPr>
            </w:pPr>
            <w:r>
              <w:rPr>
                <w:rFonts w:ascii="Arial" w:hAnsi="Arial" w:cs="Arial"/>
                <w:color w:val="000000"/>
              </w:rPr>
              <w:t>£540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343E72A8" w14:textId="77777777" w:rsidR="0070576A" w:rsidRDefault="0070576A">
            <w:pPr>
              <w:keepNext/>
              <w:spacing w:after="0" w:line="300" w:lineRule="auto"/>
              <w:jc w:val="center"/>
              <w:rPr>
                <w:rFonts w:ascii="Arial" w:hAnsi="Arial" w:cs="Arial"/>
                <w:color w:val="000000"/>
              </w:rPr>
            </w:pPr>
            <w:r>
              <w:rPr>
                <w:rFonts w:ascii="Arial" w:hAnsi="Arial" w:cs="Arial"/>
                <w:color w:val="000000"/>
              </w:rPr>
              <w:t>£625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5AC177D6" w14:textId="77777777" w:rsidR="0070576A" w:rsidRDefault="0070576A">
            <w:pPr>
              <w:keepNext/>
              <w:spacing w:after="0" w:line="300" w:lineRule="auto"/>
              <w:jc w:val="center"/>
              <w:rPr>
                <w:rFonts w:ascii="Arial" w:hAnsi="Arial" w:cs="Arial"/>
                <w:color w:val="000000"/>
              </w:rPr>
            </w:pPr>
            <w:r>
              <w:rPr>
                <w:rFonts w:ascii="Arial" w:hAnsi="Arial" w:cs="Arial"/>
                <w:color w:val="000000"/>
              </w:rPr>
              <w:t>£775</w:t>
            </w:r>
          </w:p>
        </w:tc>
        <w:tc>
          <w:tcPr>
            <w:tcW w:w="1460" w:type="dxa"/>
            <w:tcBorders>
              <w:top w:val="single" w:sz="4" w:space="0" w:color="auto"/>
              <w:left w:val="single" w:sz="4" w:space="0" w:color="auto"/>
              <w:bottom w:val="single" w:sz="4" w:space="0" w:color="auto"/>
              <w:right w:val="single" w:sz="4" w:space="0" w:color="auto"/>
            </w:tcBorders>
            <w:vAlign w:val="center"/>
            <w:hideMark/>
          </w:tcPr>
          <w:p w14:paraId="4B1F40A8" w14:textId="77777777" w:rsidR="0070576A" w:rsidRDefault="0070576A">
            <w:pPr>
              <w:keepNext/>
              <w:spacing w:after="0" w:line="300" w:lineRule="auto"/>
              <w:jc w:val="center"/>
              <w:rPr>
                <w:rFonts w:ascii="Arial" w:hAnsi="Arial" w:cs="Arial"/>
                <w:color w:val="000000"/>
              </w:rPr>
            </w:pPr>
            <w:r>
              <w:rPr>
                <w:rFonts w:ascii="Arial" w:hAnsi="Arial" w:cs="Arial"/>
                <w:color w:val="000000"/>
              </w:rPr>
              <w:t>£525</w:t>
            </w:r>
          </w:p>
        </w:tc>
      </w:tr>
      <w:tr w:rsidR="0070576A" w14:paraId="084521C8"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6AA8CAD0" w14:textId="77777777" w:rsidR="0070576A" w:rsidRDefault="0070576A">
            <w:pPr>
              <w:keepNext/>
              <w:spacing w:after="0" w:line="300" w:lineRule="auto"/>
              <w:rPr>
                <w:rFonts w:ascii="Arial" w:hAnsi="Arial" w:cs="Arial"/>
              </w:rPr>
            </w:pPr>
            <w:r>
              <w:rPr>
                <w:rFonts w:ascii="Arial" w:hAnsi="Arial" w:cs="Arial"/>
              </w:rPr>
              <w:t>Gedling</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8796B12" w14:textId="77777777" w:rsidR="0070576A" w:rsidRDefault="0070576A">
            <w:pPr>
              <w:keepNext/>
              <w:spacing w:after="0" w:line="300" w:lineRule="auto"/>
              <w:jc w:val="center"/>
              <w:rPr>
                <w:rFonts w:ascii="Arial" w:hAnsi="Arial" w:cs="Arial"/>
                <w:color w:val="000000"/>
              </w:rPr>
            </w:pPr>
            <w:r>
              <w:rPr>
                <w:rFonts w:ascii="Arial" w:hAnsi="Arial" w:cs="Arial"/>
                <w:color w:val="000000"/>
              </w:rPr>
              <w:t>£400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50D85C1" w14:textId="77777777" w:rsidR="0070576A" w:rsidRDefault="0070576A">
            <w:pPr>
              <w:keepNext/>
              <w:spacing w:after="0" w:line="300" w:lineRule="auto"/>
              <w:jc w:val="center"/>
              <w:rPr>
                <w:rFonts w:ascii="Arial" w:hAnsi="Arial" w:cs="Arial"/>
                <w:color w:val="000000"/>
              </w:rPr>
            </w:pPr>
            <w:r>
              <w:rPr>
                <w:rFonts w:ascii="Arial" w:hAnsi="Arial" w:cs="Arial"/>
                <w:color w:val="000000"/>
              </w:rPr>
              <w:t>£550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2D10C63" w14:textId="77777777" w:rsidR="0070576A" w:rsidRDefault="0070576A">
            <w:pPr>
              <w:keepNext/>
              <w:spacing w:after="0" w:line="300" w:lineRule="auto"/>
              <w:jc w:val="center"/>
              <w:rPr>
                <w:rFonts w:ascii="Arial" w:hAnsi="Arial" w:cs="Arial"/>
                <w:color w:val="000000"/>
              </w:rPr>
            </w:pPr>
            <w:r>
              <w:rPr>
                <w:rFonts w:ascii="Arial" w:hAnsi="Arial" w:cs="Arial"/>
                <w:color w:val="000000"/>
              </w:rPr>
              <w:t>£625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68D5128C" w14:textId="77777777" w:rsidR="0070576A" w:rsidRDefault="0070576A">
            <w:pPr>
              <w:keepNext/>
              <w:spacing w:after="0" w:line="300" w:lineRule="auto"/>
              <w:jc w:val="center"/>
              <w:rPr>
                <w:rFonts w:ascii="Arial" w:hAnsi="Arial" w:cs="Arial"/>
                <w:color w:val="000000"/>
              </w:rPr>
            </w:pPr>
            <w:r>
              <w:rPr>
                <w:rFonts w:ascii="Arial" w:hAnsi="Arial" w:cs="Arial"/>
                <w:color w:val="000000"/>
              </w:rPr>
              <w:t>£898</w:t>
            </w:r>
          </w:p>
        </w:tc>
        <w:tc>
          <w:tcPr>
            <w:tcW w:w="1460" w:type="dxa"/>
            <w:tcBorders>
              <w:top w:val="single" w:sz="4" w:space="0" w:color="auto"/>
              <w:left w:val="single" w:sz="4" w:space="0" w:color="auto"/>
              <w:bottom w:val="single" w:sz="4" w:space="0" w:color="auto"/>
              <w:right w:val="single" w:sz="4" w:space="0" w:color="auto"/>
            </w:tcBorders>
            <w:vAlign w:val="center"/>
            <w:hideMark/>
          </w:tcPr>
          <w:p w14:paraId="513563DE" w14:textId="77777777" w:rsidR="0070576A" w:rsidRDefault="0070576A">
            <w:pPr>
              <w:keepNext/>
              <w:spacing w:after="0" w:line="300" w:lineRule="auto"/>
              <w:jc w:val="center"/>
              <w:rPr>
                <w:rFonts w:ascii="Arial" w:hAnsi="Arial" w:cs="Arial"/>
                <w:color w:val="000000"/>
              </w:rPr>
            </w:pPr>
            <w:r>
              <w:rPr>
                <w:rFonts w:ascii="Arial" w:hAnsi="Arial" w:cs="Arial"/>
                <w:color w:val="000000"/>
              </w:rPr>
              <w:t>£550</w:t>
            </w:r>
          </w:p>
        </w:tc>
      </w:tr>
      <w:tr w:rsidR="0070576A" w14:paraId="32C74B20"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5F2D98DF" w14:textId="77777777" w:rsidR="0070576A" w:rsidRDefault="0070576A">
            <w:pPr>
              <w:keepNext/>
              <w:spacing w:after="0" w:line="300" w:lineRule="auto"/>
              <w:rPr>
                <w:rFonts w:ascii="Arial" w:hAnsi="Arial" w:cs="Arial"/>
              </w:rPr>
            </w:pPr>
            <w:r>
              <w:rPr>
                <w:rFonts w:ascii="Arial" w:hAnsi="Arial" w:cs="Arial"/>
              </w:rPr>
              <w:t>Rushcliffe</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34E8B16" w14:textId="77777777" w:rsidR="0070576A" w:rsidRDefault="0070576A">
            <w:pPr>
              <w:keepNext/>
              <w:spacing w:after="0" w:line="300" w:lineRule="auto"/>
              <w:jc w:val="center"/>
              <w:rPr>
                <w:rFonts w:ascii="Arial" w:hAnsi="Arial" w:cs="Arial"/>
              </w:rPr>
            </w:pPr>
            <w:r>
              <w:rPr>
                <w:rFonts w:ascii="Arial" w:hAnsi="Arial" w:cs="Arial"/>
              </w:rPr>
              <w:t>£498</w:t>
            </w:r>
          </w:p>
        </w:tc>
        <w:tc>
          <w:tcPr>
            <w:tcW w:w="1452" w:type="dxa"/>
            <w:tcBorders>
              <w:top w:val="single" w:sz="4" w:space="0" w:color="auto"/>
              <w:left w:val="single" w:sz="4" w:space="0" w:color="auto"/>
              <w:bottom w:val="single" w:sz="4" w:space="0" w:color="auto"/>
              <w:right w:val="single" w:sz="4" w:space="0" w:color="auto"/>
            </w:tcBorders>
            <w:vAlign w:val="center"/>
            <w:hideMark/>
          </w:tcPr>
          <w:p w14:paraId="273AB04C" w14:textId="77777777" w:rsidR="0070576A" w:rsidRDefault="0070576A">
            <w:pPr>
              <w:keepNext/>
              <w:spacing w:after="0" w:line="300" w:lineRule="auto"/>
              <w:jc w:val="center"/>
              <w:rPr>
                <w:rFonts w:ascii="Arial" w:hAnsi="Arial" w:cs="Arial"/>
              </w:rPr>
            </w:pPr>
            <w:r>
              <w:rPr>
                <w:rFonts w:ascii="Arial" w:hAnsi="Arial" w:cs="Arial"/>
              </w:rPr>
              <w:t>£600</w:t>
            </w:r>
          </w:p>
        </w:tc>
        <w:tc>
          <w:tcPr>
            <w:tcW w:w="1451" w:type="dxa"/>
            <w:tcBorders>
              <w:top w:val="single" w:sz="4" w:space="0" w:color="auto"/>
              <w:left w:val="single" w:sz="4" w:space="0" w:color="auto"/>
              <w:bottom w:val="single" w:sz="4" w:space="0" w:color="auto"/>
              <w:right w:val="single" w:sz="4" w:space="0" w:color="auto"/>
            </w:tcBorders>
            <w:vAlign w:val="center"/>
            <w:hideMark/>
          </w:tcPr>
          <w:p w14:paraId="118A1D44" w14:textId="77777777" w:rsidR="0070576A" w:rsidRDefault="0070576A">
            <w:pPr>
              <w:keepNext/>
              <w:spacing w:after="0" w:line="300" w:lineRule="auto"/>
              <w:jc w:val="center"/>
              <w:rPr>
                <w:rFonts w:ascii="Arial" w:hAnsi="Arial" w:cs="Arial"/>
              </w:rPr>
            </w:pPr>
            <w:r>
              <w:rPr>
                <w:rFonts w:ascii="Arial" w:hAnsi="Arial" w:cs="Arial"/>
              </w:rPr>
              <w:t>£750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7A918261" w14:textId="77777777" w:rsidR="0070576A" w:rsidRDefault="0070576A">
            <w:pPr>
              <w:keepNext/>
              <w:spacing w:after="0" w:line="300" w:lineRule="auto"/>
              <w:jc w:val="center"/>
              <w:rPr>
                <w:rFonts w:ascii="Arial" w:hAnsi="Arial" w:cs="Arial"/>
              </w:rPr>
            </w:pPr>
            <w:r>
              <w:rPr>
                <w:rFonts w:ascii="Arial" w:hAnsi="Arial" w:cs="Arial"/>
              </w:rPr>
              <w:t>£1,000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3B43CAC9" w14:textId="77777777" w:rsidR="0070576A" w:rsidRDefault="0070576A">
            <w:pPr>
              <w:keepNext/>
              <w:spacing w:after="0" w:line="300" w:lineRule="auto"/>
              <w:jc w:val="center"/>
              <w:rPr>
                <w:rFonts w:ascii="Arial" w:hAnsi="Arial" w:cs="Arial"/>
              </w:rPr>
            </w:pPr>
            <w:r>
              <w:rPr>
                <w:rFonts w:ascii="Arial" w:hAnsi="Arial" w:cs="Arial"/>
              </w:rPr>
              <w:t>£625</w:t>
            </w:r>
          </w:p>
        </w:tc>
      </w:tr>
      <w:tr w:rsidR="0070576A" w14:paraId="5EE9A809" w14:textId="77777777" w:rsidTr="0070576A">
        <w:tc>
          <w:tcPr>
            <w:tcW w:w="1510" w:type="dxa"/>
            <w:tcBorders>
              <w:top w:val="single" w:sz="4" w:space="0" w:color="auto"/>
              <w:left w:val="single" w:sz="4" w:space="0" w:color="auto"/>
              <w:bottom w:val="single" w:sz="4" w:space="0" w:color="auto"/>
              <w:right w:val="single" w:sz="4" w:space="0" w:color="auto"/>
            </w:tcBorders>
            <w:hideMark/>
          </w:tcPr>
          <w:p w14:paraId="2299D6C1" w14:textId="77777777" w:rsidR="0070576A" w:rsidRDefault="0070576A">
            <w:pPr>
              <w:keepNext/>
              <w:spacing w:after="0" w:line="300" w:lineRule="auto"/>
              <w:rPr>
                <w:rFonts w:ascii="Arial" w:hAnsi="Arial" w:cs="Arial"/>
              </w:rPr>
            </w:pPr>
            <w:r>
              <w:rPr>
                <w:rFonts w:ascii="Arial" w:hAnsi="Arial" w:cs="Arial"/>
              </w:rPr>
              <w:t>Nottingham</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2D07293" w14:textId="77777777" w:rsidR="0070576A" w:rsidRDefault="0070576A">
            <w:pPr>
              <w:keepNext/>
              <w:spacing w:after="0" w:line="300" w:lineRule="auto"/>
              <w:jc w:val="center"/>
              <w:rPr>
                <w:rFonts w:ascii="Arial" w:hAnsi="Arial" w:cs="Arial"/>
              </w:rPr>
            </w:pPr>
            <w:r>
              <w:rPr>
                <w:rFonts w:ascii="Arial" w:hAnsi="Arial" w:cs="Arial"/>
              </w:rPr>
              <w:t>£495</w:t>
            </w:r>
          </w:p>
        </w:tc>
        <w:tc>
          <w:tcPr>
            <w:tcW w:w="1452" w:type="dxa"/>
            <w:tcBorders>
              <w:top w:val="single" w:sz="4" w:space="0" w:color="auto"/>
              <w:left w:val="single" w:sz="4" w:space="0" w:color="auto"/>
              <w:bottom w:val="single" w:sz="4" w:space="0" w:color="auto"/>
              <w:right w:val="single" w:sz="4" w:space="0" w:color="auto"/>
            </w:tcBorders>
            <w:vAlign w:val="center"/>
            <w:hideMark/>
          </w:tcPr>
          <w:p w14:paraId="11C81752" w14:textId="77777777" w:rsidR="0070576A" w:rsidRDefault="0070576A">
            <w:pPr>
              <w:keepNext/>
              <w:spacing w:after="0" w:line="300" w:lineRule="auto"/>
              <w:jc w:val="center"/>
              <w:rPr>
                <w:rFonts w:ascii="Arial" w:hAnsi="Arial" w:cs="Arial"/>
              </w:rPr>
            </w:pPr>
            <w:r>
              <w:rPr>
                <w:rFonts w:ascii="Arial" w:hAnsi="Arial" w:cs="Arial"/>
              </w:rPr>
              <w:t>£575</w:t>
            </w:r>
          </w:p>
        </w:tc>
        <w:tc>
          <w:tcPr>
            <w:tcW w:w="1451" w:type="dxa"/>
            <w:tcBorders>
              <w:top w:val="single" w:sz="4" w:space="0" w:color="auto"/>
              <w:left w:val="single" w:sz="4" w:space="0" w:color="auto"/>
              <w:bottom w:val="single" w:sz="4" w:space="0" w:color="auto"/>
              <w:right w:val="single" w:sz="4" w:space="0" w:color="auto"/>
            </w:tcBorders>
            <w:vAlign w:val="center"/>
            <w:hideMark/>
          </w:tcPr>
          <w:p w14:paraId="443354D2" w14:textId="77777777" w:rsidR="0070576A" w:rsidRDefault="0070576A">
            <w:pPr>
              <w:keepNext/>
              <w:spacing w:after="0" w:line="300" w:lineRule="auto"/>
              <w:jc w:val="center"/>
              <w:rPr>
                <w:rFonts w:ascii="Arial" w:hAnsi="Arial" w:cs="Arial"/>
              </w:rPr>
            </w:pPr>
            <w:r>
              <w:rPr>
                <w:rFonts w:ascii="Arial" w:hAnsi="Arial" w:cs="Arial"/>
              </w:rPr>
              <w:t>£630</w:t>
            </w:r>
          </w:p>
        </w:tc>
        <w:tc>
          <w:tcPr>
            <w:tcW w:w="1452" w:type="dxa"/>
            <w:tcBorders>
              <w:top w:val="single" w:sz="4" w:space="0" w:color="auto"/>
              <w:left w:val="single" w:sz="4" w:space="0" w:color="auto"/>
              <w:bottom w:val="single" w:sz="4" w:space="0" w:color="auto"/>
              <w:right w:val="single" w:sz="4" w:space="0" w:color="auto"/>
            </w:tcBorders>
            <w:vAlign w:val="center"/>
            <w:hideMark/>
          </w:tcPr>
          <w:p w14:paraId="0049D755" w14:textId="77777777" w:rsidR="0070576A" w:rsidRDefault="0070576A">
            <w:pPr>
              <w:keepNext/>
              <w:spacing w:after="0" w:line="300" w:lineRule="auto"/>
              <w:jc w:val="center"/>
              <w:rPr>
                <w:rFonts w:ascii="Arial" w:hAnsi="Arial" w:cs="Arial"/>
              </w:rPr>
            </w:pPr>
            <w:r>
              <w:rPr>
                <w:rFonts w:ascii="Arial" w:hAnsi="Arial" w:cs="Arial"/>
              </w:rPr>
              <w:t>£800</w:t>
            </w:r>
          </w:p>
        </w:tc>
        <w:tc>
          <w:tcPr>
            <w:tcW w:w="1460" w:type="dxa"/>
            <w:tcBorders>
              <w:top w:val="single" w:sz="4" w:space="0" w:color="auto"/>
              <w:left w:val="single" w:sz="4" w:space="0" w:color="auto"/>
              <w:bottom w:val="single" w:sz="4" w:space="0" w:color="auto"/>
              <w:right w:val="single" w:sz="4" w:space="0" w:color="auto"/>
            </w:tcBorders>
            <w:vAlign w:val="center"/>
            <w:hideMark/>
          </w:tcPr>
          <w:p w14:paraId="2BD67F98" w14:textId="77777777" w:rsidR="0070576A" w:rsidRDefault="0070576A">
            <w:pPr>
              <w:keepNext/>
              <w:spacing w:after="0" w:line="300" w:lineRule="auto"/>
              <w:jc w:val="center"/>
              <w:rPr>
                <w:rFonts w:ascii="Arial" w:hAnsi="Arial" w:cs="Arial"/>
              </w:rPr>
            </w:pPr>
            <w:r>
              <w:rPr>
                <w:rFonts w:ascii="Arial" w:hAnsi="Arial" w:cs="Arial"/>
              </w:rPr>
              <w:t>£570</w:t>
            </w:r>
          </w:p>
        </w:tc>
      </w:tr>
    </w:tbl>
    <w:p w14:paraId="44E043E0" w14:textId="56777C64" w:rsidR="0070576A" w:rsidRDefault="0070576A" w:rsidP="0070576A">
      <w:pPr>
        <w:spacing w:line="300" w:lineRule="auto"/>
        <w:rPr>
          <w:rFonts w:ascii="Arial" w:hAnsi="Arial" w:cs="Arial"/>
          <w:i/>
          <w:iCs/>
          <w:sz w:val="16"/>
          <w:szCs w:val="16"/>
        </w:rPr>
      </w:pPr>
      <w:r>
        <w:rPr>
          <w:rFonts w:ascii="Arial" w:hAnsi="Arial" w:cs="Arial"/>
          <w:i/>
          <w:iCs/>
          <w:sz w:val="16"/>
          <w:szCs w:val="16"/>
        </w:rPr>
        <w:t>Source: ONS</w:t>
      </w:r>
      <w:r w:rsidR="00C5298F">
        <w:rPr>
          <w:rFonts w:ascii="Arial" w:hAnsi="Arial" w:cs="Arial"/>
          <w:i/>
          <w:iCs/>
          <w:sz w:val="16"/>
          <w:szCs w:val="16"/>
        </w:rPr>
        <w:t xml:space="preserve"> and Iceni calculations</w:t>
      </w:r>
    </w:p>
    <w:p w14:paraId="6A98C3B6" w14:textId="77777777" w:rsidR="0070576A" w:rsidRPr="0070576A" w:rsidRDefault="0070576A" w:rsidP="0070576A">
      <w:pPr>
        <w:pStyle w:val="Heading2"/>
      </w:pPr>
      <w:r w:rsidRPr="0070576A">
        <w:rPr>
          <w:rFonts w:eastAsiaTheme="majorEastAsia"/>
        </w:rPr>
        <w:t>Newbuild Premiums</w:t>
      </w:r>
    </w:p>
    <w:p w14:paraId="01990712" w14:textId="77777777" w:rsidR="0070576A" w:rsidRDefault="0070576A" w:rsidP="00D27525">
      <w:pPr>
        <w:pStyle w:val="BodyText"/>
        <w:tabs>
          <w:tab w:val="num" w:pos="1134"/>
        </w:tabs>
        <w:rPr>
          <w:rFonts w:eastAsiaTheme="majorEastAsia"/>
        </w:rPr>
      </w:pPr>
      <w:r>
        <w:t>As well as establishing the entry-level cost of housing (lower quartile costs) it is necessary to establish the likely costs of newbuild housing. This is because First Homes will be a product based on discounting from a new home and therefore establishing costs for new homes will help understand what level of discount is required to make them genuinely affordable.</w:t>
      </w:r>
      <w:r>
        <w:rPr>
          <w:rFonts w:eastAsiaTheme="majorEastAsia"/>
        </w:rPr>
        <w:t xml:space="preserve"> </w:t>
      </w:r>
      <w:r>
        <w:t>It is not straightforward to estimate the likely cost of a home prior to discount as housing costs will vary depending on location and the type of scheme – the analysis below however seeks to establish a typical Open Market Value (OMV) for newly-built homes of different sizes in different locations.</w:t>
      </w:r>
    </w:p>
    <w:p w14:paraId="0C6E644A" w14:textId="792777EF" w:rsidR="005753EC" w:rsidRPr="0031523C" w:rsidRDefault="0070576A" w:rsidP="00D27525">
      <w:pPr>
        <w:pStyle w:val="BodyText"/>
        <w:tabs>
          <w:tab w:val="num" w:pos="1134"/>
        </w:tabs>
        <w:rPr>
          <w:rFonts w:eastAsiaTheme="majorEastAsia"/>
        </w:rPr>
      </w:pPr>
      <w:r>
        <w:lastRenderedPageBreak/>
        <w:t>The series of tables below show the lower quartile cost of existing and new homes by type from Land Registry data; to boost the sample of new homes</w:t>
      </w:r>
      <w:r w:rsidR="005753EC">
        <w:t>,</w:t>
      </w:r>
      <w:r>
        <w:t xml:space="preserve"> data from the last 5</w:t>
      </w:r>
      <w:r w:rsidR="00156871">
        <w:t xml:space="preserve"> </w:t>
      </w:r>
      <w:r>
        <w:t xml:space="preserve">years has been used. </w:t>
      </w:r>
      <w:r w:rsidR="005753EC">
        <w:t xml:space="preserve"> </w:t>
      </w:r>
      <w:r w:rsidR="005753EC" w:rsidRPr="005753EC">
        <w:t>A five</w:t>
      </w:r>
      <w:r w:rsidR="00156871">
        <w:t xml:space="preserve"> </w:t>
      </w:r>
      <w:r w:rsidR="005753EC" w:rsidRPr="005753EC">
        <w:t>year period has been used to get an idea of the difference in price between sales of existing homes and newbuild and this longer period is used as a single year can sometime produce a skewed result (if for example the majority of newbuild is on a single site which may be atypical to the dwelling stock in an are generally (e.g. if the majority of new homes are in a more/less expensive location).</w:t>
      </w:r>
    </w:p>
    <w:p w14:paraId="66B0EADE" w14:textId="17C41B06" w:rsidR="0070576A" w:rsidRPr="0031523C" w:rsidRDefault="0070576A" w:rsidP="00D27525">
      <w:pPr>
        <w:pStyle w:val="BodyText"/>
        <w:tabs>
          <w:tab w:val="num" w:pos="1134"/>
        </w:tabs>
        <w:rPr>
          <w:rFonts w:eastAsiaTheme="majorEastAsia"/>
        </w:rPr>
      </w:pPr>
      <w:r>
        <w:t>The analysis clearly identifies that newbuild homes are more expensive than existing homes in the stock although the overall average ‘premium’ does vary across areas and is clearly heavily influenced by the profile of homes sold – for example, in Broxtowe the overall ‘premium’ for all dwellings is 19%, yet the premium for all individual property types is higher than this</w:t>
      </w:r>
      <w:r w:rsidR="000601C1">
        <w:t xml:space="preserve"> – this reflects the fact that a higher proportion of newbuild homes in this area are flatted units</w:t>
      </w:r>
      <w:r w:rsidR="00485C94">
        <w:t>,</w:t>
      </w:r>
      <w:r w:rsidR="000601C1">
        <w:t xml:space="preserve"> which typically have a lower price than houses, this brings down the overall average price for newbuild homes</w:t>
      </w:r>
      <w:r>
        <w:t>.</w:t>
      </w:r>
    </w:p>
    <w:p w14:paraId="1E9C0777" w14:textId="59EADAAF" w:rsidR="005753EC" w:rsidRPr="00A76A61" w:rsidRDefault="00072ABA" w:rsidP="00D27525">
      <w:pPr>
        <w:pStyle w:val="BodyText"/>
        <w:tabs>
          <w:tab w:val="num" w:pos="1134"/>
        </w:tabs>
        <w:rPr>
          <w:rFonts w:eastAsiaTheme="majorEastAsia"/>
        </w:rPr>
      </w:pPr>
      <w:r>
        <w:rPr>
          <w:rFonts w:eastAsiaTheme="majorEastAsia"/>
        </w:rPr>
        <w:t xml:space="preserve">It should be noted that it </w:t>
      </w:r>
      <w:r w:rsidRPr="00072ABA">
        <w:rPr>
          <w:rFonts w:eastAsiaTheme="majorEastAsia"/>
        </w:rPr>
        <w:t>is only the estimated newbuild premium that is taken forward into the analysis (</w:t>
      </w:r>
      <w:r>
        <w:rPr>
          <w:rFonts w:eastAsiaTheme="majorEastAsia"/>
        </w:rPr>
        <w:t xml:space="preserve">i.e. </w:t>
      </w:r>
      <w:r w:rsidRPr="00072ABA">
        <w:rPr>
          <w:rFonts w:eastAsiaTheme="majorEastAsia"/>
        </w:rPr>
        <w:t>not the actual</w:t>
      </w:r>
      <w:r>
        <w:rPr>
          <w:rFonts w:eastAsiaTheme="majorEastAsia"/>
        </w:rPr>
        <w:t xml:space="preserve"> house</w:t>
      </w:r>
      <w:r w:rsidRPr="00072ABA">
        <w:rPr>
          <w:rFonts w:eastAsiaTheme="majorEastAsia"/>
        </w:rPr>
        <w:t xml:space="preserve"> prices). </w:t>
      </w:r>
      <w:r>
        <w:rPr>
          <w:rFonts w:eastAsiaTheme="majorEastAsia"/>
        </w:rPr>
        <w:t xml:space="preserve"> </w:t>
      </w:r>
      <w:r w:rsidRPr="00072ABA">
        <w:rPr>
          <w:rFonts w:eastAsiaTheme="majorEastAsia"/>
        </w:rPr>
        <w:t xml:space="preserve">The premium is then applied to the up-to-date </w:t>
      </w:r>
      <w:r>
        <w:rPr>
          <w:rFonts w:eastAsiaTheme="majorEastAsia"/>
        </w:rPr>
        <w:t xml:space="preserve">house </w:t>
      </w:r>
      <w:r w:rsidRPr="00072ABA">
        <w:rPr>
          <w:rFonts w:eastAsiaTheme="majorEastAsia"/>
        </w:rPr>
        <w:t>prices (</w:t>
      </w:r>
      <w:r>
        <w:rPr>
          <w:rFonts w:eastAsiaTheme="majorEastAsia"/>
        </w:rPr>
        <w:t xml:space="preserve">i.e. </w:t>
      </w:r>
      <w:r w:rsidRPr="00072ABA">
        <w:rPr>
          <w:rFonts w:eastAsiaTheme="majorEastAsia"/>
        </w:rPr>
        <w:t>in this case for the year to September 2021).</w:t>
      </w:r>
    </w:p>
    <w:p w14:paraId="22A94E7D" w14:textId="7A30F219" w:rsidR="00B15677" w:rsidRDefault="00B15677" w:rsidP="00B15677">
      <w:pPr>
        <w:pStyle w:val="Heading4"/>
      </w:pPr>
      <w:r>
        <w:t xml:space="preserve">Lower quartile </w:t>
      </w:r>
      <w:r w:rsidRPr="0070576A">
        <w:t>cost</w:t>
      </w:r>
      <w:r>
        <w:t xml:space="preserve"> of housing to buy (existing and newly-built dwellings) – 5</w:t>
      </w:r>
      <w:r w:rsidR="00156871">
        <w:t xml:space="preserve"> </w:t>
      </w:r>
      <w:r>
        <w:t>years to September 2021 – Ashfield</w:t>
      </w:r>
    </w:p>
    <w:tbl>
      <w:tblPr>
        <w:tblStyle w:val="TableTheme"/>
        <w:tblW w:w="5000" w:type="pct"/>
        <w:tblInd w:w="0" w:type="dxa"/>
        <w:tblLook w:val="04A0" w:firstRow="1" w:lastRow="0" w:firstColumn="1" w:lastColumn="0" w:noHBand="0" w:noVBand="1"/>
        <w:tblCaption w:val="Table 3.4 Lower quartile cost of housing to buy (existing and newly-built dwellings) – 5 years to September 2021 – Ashfield"/>
      </w:tblPr>
      <w:tblGrid>
        <w:gridCol w:w="2264"/>
        <w:gridCol w:w="2174"/>
        <w:gridCol w:w="2174"/>
        <w:gridCol w:w="2165"/>
      </w:tblGrid>
      <w:tr w:rsidR="00B15677" w14:paraId="5D0EA664"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5434C902"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08102307"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6E1C7A17"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5584A72F"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486970A5"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6122EE3"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29D64CC" w14:textId="77777777" w:rsidR="00B15677" w:rsidRDefault="00B15677" w:rsidP="00D31E9C">
            <w:pPr>
              <w:keepNext/>
              <w:spacing w:after="0" w:line="300" w:lineRule="auto"/>
              <w:jc w:val="center"/>
              <w:rPr>
                <w:rFonts w:ascii="Arial" w:hAnsi="Arial" w:cs="Arial"/>
              </w:rPr>
            </w:pPr>
            <w:r>
              <w:rPr>
                <w:rFonts w:ascii="Arial" w:hAnsi="Arial" w:cs="Arial"/>
                <w:color w:val="000000"/>
              </w:rPr>
              <w:t>£68,400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B30D7FF" w14:textId="77777777" w:rsidR="00B15677" w:rsidRDefault="00B15677" w:rsidP="00D31E9C">
            <w:pPr>
              <w:keepNext/>
              <w:spacing w:after="0" w:line="300" w:lineRule="auto"/>
              <w:jc w:val="center"/>
              <w:rPr>
                <w:rFonts w:ascii="Arial" w:hAnsi="Arial" w:cs="Arial"/>
              </w:rPr>
            </w:pPr>
            <w:r>
              <w:rPr>
                <w:rFonts w:ascii="Arial" w:hAnsi="Arial" w:cs="Arial"/>
                <w:color w:val="000000"/>
              </w:rPr>
              <w:t>£77,200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BDB5570"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4BBA0090"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013444F"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E30406C" w14:textId="77777777" w:rsidR="00B15677" w:rsidRDefault="00B15677" w:rsidP="00D31E9C">
            <w:pPr>
              <w:keepNext/>
              <w:spacing w:after="0" w:line="300" w:lineRule="auto"/>
              <w:jc w:val="center"/>
              <w:rPr>
                <w:rFonts w:ascii="Arial" w:hAnsi="Arial" w:cs="Arial"/>
              </w:rPr>
            </w:pPr>
            <w:r>
              <w:rPr>
                <w:rFonts w:ascii="Arial" w:hAnsi="Arial" w:cs="Arial"/>
                <w:color w:val="000000"/>
              </w:rPr>
              <w:t>£80,000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C245224" w14:textId="77777777" w:rsidR="00B15677" w:rsidRDefault="00B15677" w:rsidP="00D31E9C">
            <w:pPr>
              <w:keepNext/>
              <w:spacing w:after="0" w:line="300" w:lineRule="auto"/>
              <w:jc w:val="center"/>
              <w:rPr>
                <w:rFonts w:ascii="Arial" w:hAnsi="Arial" w:cs="Arial"/>
              </w:rPr>
            </w:pPr>
            <w:r>
              <w:rPr>
                <w:rFonts w:ascii="Arial" w:hAnsi="Arial" w:cs="Arial"/>
                <w:color w:val="000000"/>
              </w:rPr>
              <w:t>£130,800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86FFFEE" w14:textId="77777777" w:rsidR="00B15677" w:rsidRDefault="00B15677" w:rsidP="00D31E9C">
            <w:pPr>
              <w:keepNext/>
              <w:spacing w:after="0" w:line="300" w:lineRule="auto"/>
              <w:jc w:val="center"/>
              <w:rPr>
                <w:rFonts w:ascii="Arial" w:hAnsi="Arial" w:cs="Arial"/>
              </w:rPr>
            </w:pPr>
            <w:r>
              <w:rPr>
                <w:rFonts w:ascii="Arial" w:hAnsi="Arial" w:cs="Arial"/>
                <w:color w:val="000000"/>
              </w:rPr>
              <w:t>64%</w:t>
            </w:r>
          </w:p>
        </w:tc>
      </w:tr>
      <w:tr w:rsidR="00B15677" w14:paraId="3A5FC4A9"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9B46982"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94067DB" w14:textId="77777777" w:rsidR="00B15677" w:rsidRDefault="00B15677" w:rsidP="00D31E9C">
            <w:pPr>
              <w:keepNext/>
              <w:spacing w:after="0" w:line="300" w:lineRule="auto"/>
              <w:jc w:val="center"/>
              <w:rPr>
                <w:rFonts w:ascii="Arial" w:hAnsi="Arial" w:cs="Arial"/>
              </w:rPr>
            </w:pPr>
            <w:r>
              <w:rPr>
                <w:rFonts w:ascii="Arial" w:hAnsi="Arial" w:cs="Arial"/>
                <w:color w:val="000000"/>
              </w:rPr>
              <w:t>£112,600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6DD2F47" w14:textId="77777777" w:rsidR="00B15677" w:rsidRDefault="00B15677" w:rsidP="00D31E9C">
            <w:pPr>
              <w:keepNext/>
              <w:spacing w:after="0" w:line="300" w:lineRule="auto"/>
              <w:jc w:val="center"/>
              <w:rPr>
                <w:rFonts w:ascii="Arial" w:hAnsi="Arial" w:cs="Arial"/>
              </w:rPr>
            </w:pPr>
            <w:r>
              <w:rPr>
                <w:rFonts w:ascii="Arial" w:hAnsi="Arial" w:cs="Arial"/>
                <w:color w:val="000000"/>
              </w:rPr>
              <w:t>£157,200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E6B6DCA" w14:textId="77777777" w:rsidR="00B15677" w:rsidRDefault="00B15677" w:rsidP="00D31E9C">
            <w:pPr>
              <w:keepNext/>
              <w:spacing w:after="0" w:line="300" w:lineRule="auto"/>
              <w:jc w:val="center"/>
              <w:rPr>
                <w:rFonts w:ascii="Arial" w:hAnsi="Arial" w:cs="Arial"/>
              </w:rPr>
            </w:pPr>
            <w:r>
              <w:rPr>
                <w:rFonts w:ascii="Arial" w:hAnsi="Arial" w:cs="Arial"/>
                <w:color w:val="000000"/>
              </w:rPr>
              <w:t>40%</w:t>
            </w:r>
          </w:p>
        </w:tc>
      </w:tr>
      <w:tr w:rsidR="00B15677" w14:paraId="5550C03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07085EEA"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72DF07A" w14:textId="77777777" w:rsidR="00B15677" w:rsidRDefault="00B15677" w:rsidP="00D31E9C">
            <w:pPr>
              <w:keepNext/>
              <w:spacing w:after="0" w:line="300" w:lineRule="auto"/>
              <w:jc w:val="center"/>
              <w:rPr>
                <w:rFonts w:ascii="Arial" w:hAnsi="Arial" w:cs="Arial"/>
              </w:rPr>
            </w:pPr>
            <w:r>
              <w:rPr>
                <w:rFonts w:ascii="Arial" w:hAnsi="Arial" w:cs="Arial"/>
                <w:color w:val="000000"/>
              </w:rPr>
              <w:t>£168,800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86F5E5F" w14:textId="77777777" w:rsidR="00B15677" w:rsidRDefault="00B15677" w:rsidP="00D31E9C">
            <w:pPr>
              <w:keepNext/>
              <w:spacing w:after="0" w:line="300" w:lineRule="auto"/>
              <w:jc w:val="center"/>
              <w:rPr>
                <w:rFonts w:ascii="Arial" w:hAnsi="Arial" w:cs="Arial"/>
              </w:rPr>
            </w:pPr>
            <w:r>
              <w:rPr>
                <w:rFonts w:ascii="Arial" w:hAnsi="Arial" w:cs="Arial"/>
                <w:color w:val="000000"/>
              </w:rPr>
              <w:t>£206,900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3844B7D" w14:textId="77777777" w:rsidR="00B15677" w:rsidRDefault="00B15677" w:rsidP="00D31E9C">
            <w:pPr>
              <w:keepNext/>
              <w:spacing w:after="0" w:line="300" w:lineRule="auto"/>
              <w:jc w:val="center"/>
              <w:rPr>
                <w:rFonts w:ascii="Arial" w:hAnsi="Arial" w:cs="Arial"/>
              </w:rPr>
            </w:pPr>
            <w:r>
              <w:rPr>
                <w:rFonts w:ascii="Arial" w:hAnsi="Arial" w:cs="Arial"/>
                <w:color w:val="000000"/>
              </w:rPr>
              <w:t>23%</w:t>
            </w:r>
          </w:p>
        </w:tc>
      </w:tr>
      <w:tr w:rsidR="00B15677" w14:paraId="35E7AC3C"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5EBEF74"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74E0252" w14:textId="77777777" w:rsidR="00B15677" w:rsidRDefault="00B15677" w:rsidP="00D31E9C">
            <w:pPr>
              <w:keepNext/>
              <w:spacing w:after="0" w:line="300" w:lineRule="auto"/>
              <w:jc w:val="center"/>
              <w:rPr>
                <w:rFonts w:ascii="Arial" w:hAnsi="Arial" w:cs="Arial"/>
              </w:rPr>
            </w:pPr>
            <w:r>
              <w:rPr>
                <w:rFonts w:ascii="Arial" w:hAnsi="Arial" w:cs="Arial"/>
                <w:color w:val="000000"/>
              </w:rPr>
              <w:t>£109,800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6BBBAB7" w14:textId="77777777" w:rsidR="00B15677" w:rsidRDefault="00B15677" w:rsidP="00D31E9C">
            <w:pPr>
              <w:keepNext/>
              <w:spacing w:after="0" w:line="300" w:lineRule="auto"/>
              <w:jc w:val="center"/>
              <w:rPr>
                <w:rFonts w:ascii="Arial" w:hAnsi="Arial" w:cs="Arial"/>
              </w:rPr>
            </w:pPr>
            <w:r>
              <w:rPr>
                <w:rFonts w:ascii="Arial" w:hAnsi="Arial" w:cs="Arial"/>
                <w:color w:val="000000"/>
              </w:rPr>
              <w:t>£165,400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AF6B76E" w14:textId="77777777" w:rsidR="00B15677" w:rsidRDefault="00B15677" w:rsidP="00D31E9C">
            <w:pPr>
              <w:keepNext/>
              <w:spacing w:after="0" w:line="300" w:lineRule="auto"/>
              <w:jc w:val="center"/>
              <w:rPr>
                <w:rFonts w:ascii="Arial" w:hAnsi="Arial" w:cs="Arial"/>
              </w:rPr>
            </w:pPr>
            <w:r>
              <w:rPr>
                <w:rFonts w:ascii="Arial" w:hAnsi="Arial" w:cs="Arial"/>
                <w:color w:val="000000"/>
              </w:rPr>
              <w:t>51%</w:t>
            </w:r>
          </w:p>
        </w:tc>
      </w:tr>
    </w:tbl>
    <w:p w14:paraId="13C75942"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61B7FC2F" w14:textId="42C4A709" w:rsidR="00B15677" w:rsidRDefault="00B15677" w:rsidP="00B15677">
      <w:pPr>
        <w:pStyle w:val="Heading4"/>
      </w:pPr>
      <w:r>
        <w:t>Lower quartile cost of housing to buy (existing and newly-built dwellings) – 5</w:t>
      </w:r>
      <w:r w:rsidR="00156871">
        <w:t xml:space="preserve"> </w:t>
      </w:r>
      <w:r>
        <w:t>years to September 2021 – Broxtowe</w:t>
      </w:r>
    </w:p>
    <w:tbl>
      <w:tblPr>
        <w:tblStyle w:val="TableTheme"/>
        <w:tblW w:w="5000" w:type="pct"/>
        <w:tblInd w:w="0" w:type="dxa"/>
        <w:tblLook w:val="04A0" w:firstRow="1" w:lastRow="0" w:firstColumn="1" w:lastColumn="0" w:noHBand="0" w:noVBand="1"/>
        <w:tblCaption w:val="Table 3.5 Lower quartile cost of housing to buy (existing and newly-built dwellings) – 5 years to September 2021 – Broxtowe"/>
      </w:tblPr>
      <w:tblGrid>
        <w:gridCol w:w="2264"/>
        <w:gridCol w:w="2174"/>
        <w:gridCol w:w="2174"/>
        <w:gridCol w:w="2165"/>
      </w:tblGrid>
      <w:tr w:rsidR="00B15677" w14:paraId="7507AE90"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6A5294A7"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7D1DB4FD"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77B54472"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000FB10B"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1CEDCE3B"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2C0B3AA"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5B950DA" w14:textId="77777777" w:rsidR="00B15677" w:rsidRDefault="00B15677" w:rsidP="00D31E9C">
            <w:pPr>
              <w:keepNext/>
              <w:spacing w:after="0" w:line="300" w:lineRule="auto"/>
              <w:jc w:val="center"/>
              <w:rPr>
                <w:rFonts w:ascii="Arial" w:hAnsi="Arial" w:cs="Arial"/>
              </w:rPr>
            </w:pPr>
            <w:r>
              <w:rPr>
                <w:rFonts w:ascii="Arial" w:hAnsi="Arial" w:cs="Arial"/>
                <w:color w:val="000000"/>
              </w:rPr>
              <w:t>£88,300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15FC211" w14:textId="77777777" w:rsidR="00B15677" w:rsidRDefault="00B15677" w:rsidP="00D31E9C">
            <w:pPr>
              <w:keepNext/>
              <w:spacing w:after="0" w:line="300" w:lineRule="auto"/>
              <w:jc w:val="center"/>
              <w:rPr>
                <w:rFonts w:ascii="Arial" w:hAnsi="Arial" w:cs="Arial"/>
              </w:rPr>
            </w:pPr>
            <w:r>
              <w:rPr>
                <w:rFonts w:ascii="Arial" w:hAnsi="Arial" w:cs="Arial"/>
                <w:color w:val="000000"/>
              </w:rPr>
              <w:t>£129,500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1A4DE38" w14:textId="77777777" w:rsidR="00B15677" w:rsidRDefault="00B15677" w:rsidP="00D31E9C">
            <w:pPr>
              <w:keepNext/>
              <w:spacing w:after="0" w:line="300" w:lineRule="auto"/>
              <w:jc w:val="center"/>
              <w:rPr>
                <w:rFonts w:ascii="Arial" w:hAnsi="Arial" w:cs="Arial"/>
              </w:rPr>
            </w:pPr>
            <w:r>
              <w:rPr>
                <w:rFonts w:ascii="Arial" w:hAnsi="Arial" w:cs="Arial"/>
                <w:color w:val="000000"/>
              </w:rPr>
              <w:t>47%</w:t>
            </w:r>
          </w:p>
        </w:tc>
      </w:tr>
      <w:tr w:rsidR="00B15677" w14:paraId="031224EF"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A0D76A3"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18D36D0" w14:textId="77777777" w:rsidR="00B15677" w:rsidRDefault="00B15677" w:rsidP="00D31E9C">
            <w:pPr>
              <w:keepNext/>
              <w:spacing w:after="0" w:line="300" w:lineRule="auto"/>
              <w:jc w:val="center"/>
              <w:rPr>
                <w:rFonts w:ascii="Arial" w:hAnsi="Arial" w:cs="Arial"/>
              </w:rPr>
            </w:pPr>
            <w:r>
              <w:rPr>
                <w:rFonts w:ascii="Arial" w:hAnsi="Arial" w:cs="Arial"/>
                <w:color w:val="000000"/>
              </w:rPr>
              <w:t>£115,100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17C9D1C" w14:textId="77777777" w:rsidR="00B15677" w:rsidRDefault="00B15677" w:rsidP="00D31E9C">
            <w:pPr>
              <w:keepNext/>
              <w:spacing w:after="0" w:line="300" w:lineRule="auto"/>
              <w:jc w:val="center"/>
              <w:rPr>
                <w:rFonts w:ascii="Arial" w:hAnsi="Arial" w:cs="Arial"/>
              </w:rPr>
            </w:pPr>
            <w:r>
              <w:rPr>
                <w:rFonts w:ascii="Arial" w:hAnsi="Arial" w:cs="Arial"/>
                <w:color w:val="000000"/>
              </w:rPr>
              <w:t>£168,100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4A402F4" w14:textId="77777777" w:rsidR="00B15677" w:rsidRDefault="00B15677" w:rsidP="00D31E9C">
            <w:pPr>
              <w:keepNext/>
              <w:spacing w:after="0" w:line="300" w:lineRule="auto"/>
              <w:jc w:val="center"/>
              <w:rPr>
                <w:rFonts w:ascii="Arial" w:hAnsi="Arial" w:cs="Arial"/>
              </w:rPr>
            </w:pPr>
            <w:r>
              <w:rPr>
                <w:rFonts w:ascii="Arial" w:hAnsi="Arial" w:cs="Arial"/>
                <w:color w:val="000000"/>
              </w:rPr>
              <w:t>46%</w:t>
            </w:r>
          </w:p>
        </w:tc>
      </w:tr>
      <w:tr w:rsidR="00B15677" w14:paraId="7F629CBF"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A1F9394"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86D7BCB" w14:textId="77777777" w:rsidR="00B15677" w:rsidRDefault="00B15677" w:rsidP="00D31E9C">
            <w:pPr>
              <w:keepNext/>
              <w:spacing w:after="0" w:line="300" w:lineRule="auto"/>
              <w:jc w:val="center"/>
              <w:rPr>
                <w:rFonts w:ascii="Arial" w:hAnsi="Arial" w:cs="Arial"/>
              </w:rPr>
            </w:pPr>
            <w:r>
              <w:rPr>
                <w:rFonts w:ascii="Arial" w:hAnsi="Arial" w:cs="Arial"/>
                <w:color w:val="000000"/>
              </w:rPr>
              <w:t>£145,000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B330238" w14:textId="77777777" w:rsidR="00B15677" w:rsidRDefault="00B15677" w:rsidP="00D31E9C">
            <w:pPr>
              <w:keepNext/>
              <w:spacing w:after="0" w:line="300" w:lineRule="auto"/>
              <w:jc w:val="center"/>
              <w:rPr>
                <w:rFonts w:ascii="Arial" w:hAnsi="Arial" w:cs="Arial"/>
              </w:rPr>
            </w:pPr>
            <w:r>
              <w:rPr>
                <w:rFonts w:ascii="Arial" w:hAnsi="Arial" w:cs="Arial"/>
                <w:color w:val="000000"/>
              </w:rPr>
              <w:t>£187,600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6EE918A0" w14:textId="77777777" w:rsidR="00B15677" w:rsidRDefault="00B15677" w:rsidP="00D31E9C">
            <w:pPr>
              <w:keepNext/>
              <w:spacing w:after="0" w:line="300" w:lineRule="auto"/>
              <w:jc w:val="center"/>
              <w:rPr>
                <w:rFonts w:ascii="Arial" w:hAnsi="Arial" w:cs="Arial"/>
              </w:rPr>
            </w:pPr>
            <w:r>
              <w:rPr>
                <w:rFonts w:ascii="Arial" w:hAnsi="Arial" w:cs="Arial"/>
                <w:color w:val="000000"/>
              </w:rPr>
              <w:t>29%</w:t>
            </w:r>
          </w:p>
        </w:tc>
      </w:tr>
      <w:tr w:rsidR="00B15677" w14:paraId="66AA9F49"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05243783"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9725443" w14:textId="77777777" w:rsidR="00B15677" w:rsidRDefault="00B15677" w:rsidP="00D31E9C">
            <w:pPr>
              <w:keepNext/>
              <w:spacing w:after="0" w:line="300" w:lineRule="auto"/>
              <w:jc w:val="center"/>
              <w:rPr>
                <w:rFonts w:ascii="Arial" w:hAnsi="Arial" w:cs="Arial"/>
              </w:rPr>
            </w:pPr>
            <w:r>
              <w:rPr>
                <w:rFonts w:ascii="Arial" w:hAnsi="Arial" w:cs="Arial"/>
                <w:color w:val="000000"/>
              </w:rPr>
              <w:t>£200,000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217669C" w14:textId="77777777" w:rsidR="00B15677" w:rsidRDefault="00B15677" w:rsidP="00D31E9C">
            <w:pPr>
              <w:keepNext/>
              <w:spacing w:after="0" w:line="300" w:lineRule="auto"/>
              <w:jc w:val="center"/>
              <w:rPr>
                <w:rFonts w:ascii="Arial" w:hAnsi="Arial" w:cs="Arial"/>
              </w:rPr>
            </w:pPr>
            <w:r>
              <w:rPr>
                <w:rFonts w:ascii="Arial" w:hAnsi="Arial" w:cs="Arial"/>
                <w:color w:val="000000"/>
              </w:rPr>
              <w:t>£243,500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6C8211A" w14:textId="77777777" w:rsidR="00B15677" w:rsidRDefault="00B15677" w:rsidP="00D31E9C">
            <w:pPr>
              <w:keepNext/>
              <w:spacing w:after="0" w:line="300" w:lineRule="auto"/>
              <w:jc w:val="center"/>
              <w:rPr>
                <w:rFonts w:ascii="Arial" w:hAnsi="Arial" w:cs="Arial"/>
              </w:rPr>
            </w:pPr>
            <w:r>
              <w:rPr>
                <w:rFonts w:ascii="Arial" w:hAnsi="Arial" w:cs="Arial"/>
                <w:color w:val="000000"/>
              </w:rPr>
              <w:t>22%</w:t>
            </w:r>
          </w:p>
        </w:tc>
      </w:tr>
      <w:tr w:rsidR="00B15677" w14:paraId="5BB8BBCB"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AADA03E"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1E93381" w14:textId="77777777" w:rsidR="00B15677" w:rsidRDefault="00B15677" w:rsidP="00D31E9C">
            <w:pPr>
              <w:keepNext/>
              <w:spacing w:after="0" w:line="300" w:lineRule="auto"/>
              <w:jc w:val="center"/>
              <w:rPr>
                <w:rFonts w:ascii="Arial" w:hAnsi="Arial" w:cs="Arial"/>
              </w:rPr>
            </w:pPr>
            <w:r>
              <w:rPr>
                <w:rFonts w:ascii="Arial" w:hAnsi="Arial" w:cs="Arial"/>
                <w:color w:val="000000"/>
              </w:rPr>
              <w:t>£142,500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A69B28E" w14:textId="77777777" w:rsidR="00B15677" w:rsidRDefault="00B15677" w:rsidP="00D31E9C">
            <w:pPr>
              <w:keepNext/>
              <w:spacing w:after="0" w:line="300" w:lineRule="auto"/>
              <w:jc w:val="center"/>
              <w:rPr>
                <w:rFonts w:ascii="Arial" w:hAnsi="Arial" w:cs="Arial"/>
              </w:rPr>
            </w:pPr>
            <w:r>
              <w:rPr>
                <w:rFonts w:ascii="Arial" w:hAnsi="Arial" w:cs="Arial"/>
                <w:color w:val="000000"/>
              </w:rPr>
              <w:t>£170,000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23F3D17F" w14:textId="77777777" w:rsidR="00B15677" w:rsidRDefault="00B15677" w:rsidP="00D31E9C">
            <w:pPr>
              <w:keepNext/>
              <w:spacing w:after="0" w:line="300" w:lineRule="auto"/>
              <w:jc w:val="center"/>
              <w:rPr>
                <w:rFonts w:ascii="Arial" w:hAnsi="Arial" w:cs="Arial"/>
              </w:rPr>
            </w:pPr>
            <w:r>
              <w:rPr>
                <w:rFonts w:ascii="Arial" w:hAnsi="Arial" w:cs="Arial"/>
                <w:color w:val="000000"/>
              </w:rPr>
              <w:t>19%</w:t>
            </w:r>
          </w:p>
        </w:tc>
      </w:tr>
    </w:tbl>
    <w:p w14:paraId="59093F99"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52D9BD27" w14:textId="0D48EB26" w:rsidR="00B15677" w:rsidRDefault="00B15677" w:rsidP="00B15677">
      <w:pPr>
        <w:pStyle w:val="Heading4"/>
      </w:pPr>
      <w:r>
        <w:t>Lower quartile cost of housing to buy (existing and newly-built dwellings) – 5</w:t>
      </w:r>
      <w:r w:rsidR="00156871">
        <w:t xml:space="preserve"> </w:t>
      </w:r>
      <w:r>
        <w:t>years to September 2021 – Erewash</w:t>
      </w:r>
    </w:p>
    <w:tbl>
      <w:tblPr>
        <w:tblStyle w:val="TableTheme"/>
        <w:tblW w:w="5000" w:type="pct"/>
        <w:tblInd w:w="0" w:type="dxa"/>
        <w:tblLook w:val="04A0" w:firstRow="1" w:lastRow="0" w:firstColumn="1" w:lastColumn="0" w:noHBand="0" w:noVBand="1"/>
        <w:tblCaption w:val="Table 3.6 Lower quartile cost of housing to buy (existing and newly-built dwellings) – 5 years to September 2021 – Erewash"/>
      </w:tblPr>
      <w:tblGrid>
        <w:gridCol w:w="2264"/>
        <w:gridCol w:w="2174"/>
        <w:gridCol w:w="2174"/>
        <w:gridCol w:w="2165"/>
      </w:tblGrid>
      <w:tr w:rsidR="00B15677" w14:paraId="5F4B6199"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063A6294"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08E48057"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411C4267"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742C371E"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20F3A0AC"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9EC1368"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0B15B0B" w14:textId="77777777" w:rsidR="00B15677" w:rsidRDefault="00B15677" w:rsidP="00D31E9C">
            <w:pPr>
              <w:keepNext/>
              <w:spacing w:after="0" w:line="300" w:lineRule="auto"/>
              <w:jc w:val="center"/>
              <w:rPr>
                <w:rFonts w:ascii="Arial" w:hAnsi="Arial" w:cs="Arial"/>
              </w:rPr>
            </w:pPr>
            <w:r>
              <w:rPr>
                <w:rFonts w:ascii="Arial" w:hAnsi="Arial" w:cs="Arial"/>
                <w:color w:val="000000"/>
              </w:rPr>
              <w:t>£80,100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EFE7BCE" w14:textId="77777777" w:rsidR="00B15677" w:rsidRDefault="00B15677" w:rsidP="00D31E9C">
            <w:pPr>
              <w:keepNext/>
              <w:spacing w:after="0" w:line="300" w:lineRule="auto"/>
              <w:jc w:val="center"/>
              <w:rPr>
                <w:rFonts w:ascii="Arial" w:hAnsi="Arial" w:cs="Arial"/>
              </w:rPr>
            </w:pPr>
            <w:r>
              <w:rPr>
                <w:rFonts w:ascii="Arial" w:hAnsi="Arial" w:cs="Arial"/>
                <w:color w:val="000000"/>
              </w:rPr>
              <w:t>£60,100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3E05A44" w14:textId="77777777" w:rsidR="00B15677" w:rsidRDefault="00B15677" w:rsidP="00D31E9C">
            <w:pPr>
              <w:keepNext/>
              <w:spacing w:after="0" w:line="300" w:lineRule="auto"/>
              <w:jc w:val="center"/>
              <w:rPr>
                <w:rFonts w:ascii="Arial" w:hAnsi="Arial" w:cs="Arial"/>
              </w:rPr>
            </w:pPr>
            <w:r>
              <w:rPr>
                <w:rFonts w:ascii="Arial" w:hAnsi="Arial" w:cs="Arial"/>
                <w:color w:val="000000"/>
              </w:rPr>
              <w:t>-25%</w:t>
            </w:r>
          </w:p>
        </w:tc>
      </w:tr>
      <w:tr w:rsidR="00B15677" w14:paraId="1A585C7F"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D67A247"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BC955AF" w14:textId="77777777" w:rsidR="00B15677" w:rsidRDefault="00B15677" w:rsidP="00D31E9C">
            <w:pPr>
              <w:keepNext/>
              <w:spacing w:after="0" w:line="300" w:lineRule="auto"/>
              <w:jc w:val="center"/>
              <w:rPr>
                <w:rFonts w:ascii="Arial" w:hAnsi="Arial" w:cs="Arial"/>
              </w:rPr>
            </w:pPr>
            <w:r>
              <w:rPr>
                <w:rFonts w:ascii="Arial" w:hAnsi="Arial" w:cs="Arial"/>
                <w:color w:val="000000"/>
              </w:rPr>
              <w:t>£95,100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5E8F6E4" w14:textId="77777777" w:rsidR="00B15677" w:rsidRDefault="00B15677" w:rsidP="00D31E9C">
            <w:pPr>
              <w:keepNext/>
              <w:spacing w:after="0" w:line="300" w:lineRule="auto"/>
              <w:jc w:val="center"/>
              <w:rPr>
                <w:rFonts w:ascii="Arial" w:hAnsi="Arial" w:cs="Arial"/>
              </w:rPr>
            </w:pPr>
            <w:r>
              <w:rPr>
                <w:rFonts w:ascii="Arial" w:hAnsi="Arial" w:cs="Arial"/>
                <w:color w:val="000000"/>
              </w:rPr>
              <w:t>£149,400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5433E9" w14:textId="77777777" w:rsidR="00B15677" w:rsidRDefault="00B15677" w:rsidP="00D31E9C">
            <w:pPr>
              <w:keepNext/>
              <w:spacing w:after="0" w:line="300" w:lineRule="auto"/>
              <w:jc w:val="center"/>
              <w:rPr>
                <w:rFonts w:ascii="Arial" w:hAnsi="Arial" w:cs="Arial"/>
              </w:rPr>
            </w:pPr>
            <w:r>
              <w:rPr>
                <w:rFonts w:ascii="Arial" w:hAnsi="Arial" w:cs="Arial"/>
                <w:color w:val="000000"/>
              </w:rPr>
              <w:t>57%</w:t>
            </w:r>
          </w:p>
        </w:tc>
      </w:tr>
      <w:tr w:rsidR="00B15677" w14:paraId="157E3A9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AE1285D"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AD6426A" w14:textId="77777777" w:rsidR="00B15677" w:rsidRDefault="00B15677" w:rsidP="00D31E9C">
            <w:pPr>
              <w:keepNext/>
              <w:spacing w:after="0" w:line="300" w:lineRule="auto"/>
              <w:jc w:val="center"/>
              <w:rPr>
                <w:rFonts w:ascii="Arial" w:hAnsi="Arial" w:cs="Arial"/>
              </w:rPr>
            </w:pPr>
            <w:r>
              <w:rPr>
                <w:rFonts w:ascii="Arial" w:hAnsi="Arial" w:cs="Arial"/>
                <w:color w:val="000000"/>
              </w:rPr>
              <w:t>£132,500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48BEB30D" w14:textId="77777777" w:rsidR="00B15677" w:rsidRDefault="00B15677" w:rsidP="00D31E9C">
            <w:pPr>
              <w:keepNext/>
              <w:spacing w:after="0" w:line="300" w:lineRule="auto"/>
              <w:jc w:val="center"/>
              <w:rPr>
                <w:rFonts w:ascii="Arial" w:hAnsi="Arial" w:cs="Arial"/>
              </w:rPr>
            </w:pPr>
            <w:r>
              <w:rPr>
                <w:rFonts w:ascii="Arial" w:hAnsi="Arial" w:cs="Arial"/>
                <w:color w:val="000000"/>
              </w:rPr>
              <w:t>£149,300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6E7CBB1"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32AEA0D5"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26998A6B"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B5FF81F" w14:textId="77777777" w:rsidR="00B15677" w:rsidRDefault="00B15677" w:rsidP="00D31E9C">
            <w:pPr>
              <w:keepNext/>
              <w:spacing w:after="0" w:line="300" w:lineRule="auto"/>
              <w:jc w:val="center"/>
              <w:rPr>
                <w:rFonts w:ascii="Arial" w:hAnsi="Arial" w:cs="Arial"/>
              </w:rPr>
            </w:pPr>
            <w:r>
              <w:rPr>
                <w:rFonts w:ascii="Arial" w:hAnsi="Arial" w:cs="Arial"/>
                <w:color w:val="000000"/>
              </w:rPr>
              <w:t>£206,900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BBEA184" w14:textId="77777777" w:rsidR="00B15677" w:rsidRDefault="00B15677" w:rsidP="00D31E9C">
            <w:pPr>
              <w:keepNext/>
              <w:spacing w:after="0" w:line="300" w:lineRule="auto"/>
              <w:jc w:val="center"/>
              <w:rPr>
                <w:rFonts w:ascii="Arial" w:hAnsi="Arial" w:cs="Arial"/>
              </w:rPr>
            </w:pPr>
            <w:r>
              <w:rPr>
                <w:rFonts w:ascii="Arial" w:hAnsi="Arial" w:cs="Arial"/>
                <w:color w:val="000000"/>
              </w:rPr>
              <w:t>£230,000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B47204B" w14:textId="77777777" w:rsidR="00B15677" w:rsidRDefault="00B15677" w:rsidP="00D31E9C">
            <w:pPr>
              <w:keepNext/>
              <w:spacing w:after="0" w:line="300" w:lineRule="auto"/>
              <w:jc w:val="center"/>
              <w:rPr>
                <w:rFonts w:ascii="Arial" w:hAnsi="Arial" w:cs="Arial"/>
              </w:rPr>
            </w:pPr>
            <w:r>
              <w:rPr>
                <w:rFonts w:ascii="Arial" w:hAnsi="Arial" w:cs="Arial"/>
                <w:color w:val="000000"/>
              </w:rPr>
              <w:t>11%</w:t>
            </w:r>
          </w:p>
        </w:tc>
      </w:tr>
      <w:tr w:rsidR="00B15677" w14:paraId="1FDFFD50"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705CDF12"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5E6B19F" w14:textId="77777777" w:rsidR="00B15677" w:rsidRDefault="00B15677" w:rsidP="00D31E9C">
            <w:pPr>
              <w:keepNext/>
              <w:spacing w:after="0" w:line="300" w:lineRule="auto"/>
              <w:jc w:val="center"/>
              <w:rPr>
                <w:rFonts w:ascii="Arial" w:hAnsi="Arial" w:cs="Arial"/>
              </w:rPr>
            </w:pPr>
            <w:r>
              <w:rPr>
                <w:rFonts w:ascii="Arial" w:hAnsi="Arial" w:cs="Arial"/>
                <w:color w:val="000000"/>
              </w:rPr>
              <w:t>£125,000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E38F2CE" w14:textId="77777777" w:rsidR="00B15677" w:rsidRDefault="00B15677" w:rsidP="00D31E9C">
            <w:pPr>
              <w:keepNext/>
              <w:spacing w:after="0" w:line="300" w:lineRule="auto"/>
              <w:jc w:val="center"/>
              <w:rPr>
                <w:rFonts w:ascii="Arial" w:hAnsi="Arial" w:cs="Arial"/>
              </w:rPr>
            </w:pPr>
            <w:r>
              <w:rPr>
                <w:rFonts w:ascii="Arial" w:hAnsi="Arial" w:cs="Arial"/>
                <w:color w:val="000000"/>
              </w:rPr>
              <w:t>£150,100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9C7C512" w14:textId="77777777" w:rsidR="00B15677" w:rsidRDefault="00B15677" w:rsidP="00D31E9C">
            <w:pPr>
              <w:keepNext/>
              <w:spacing w:after="0" w:line="300" w:lineRule="auto"/>
              <w:jc w:val="center"/>
              <w:rPr>
                <w:rFonts w:ascii="Arial" w:hAnsi="Arial" w:cs="Arial"/>
              </w:rPr>
            </w:pPr>
            <w:r>
              <w:rPr>
                <w:rFonts w:ascii="Arial" w:hAnsi="Arial" w:cs="Arial"/>
                <w:color w:val="000000"/>
              </w:rPr>
              <w:t>20%</w:t>
            </w:r>
          </w:p>
        </w:tc>
      </w:tr>
    </w:tbl>
    <w:p w14:paraId="6F059B42"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452231D5" w14:textId="4171D357" w:rsidR="00B15677" w:rsidRDefault="00B15677" w:rsidP="00B15677">
      <w:pPr>
        <w:pStyle w:val="Heading4"/>
      </w:pPr>
      <w:r>
        <w:t>Lower quartile cost of housing to buy (existing and newly-built dwellings) – 5</w:t>
      </w:r>
      <w:r w:rsidR="00156871">
        <w:t xml:space="preserve"> </w:t>
      </w:r>
      <w:r>
        <w:t>years to September 2021 – Gedling</w:t>
      </w:r>
    </w:p>
    <w:tbl>
      <w:tblPr>
        <w:tblStyle w:val="TableTheme"/>
        <w:tblW w:w="5000" w:type="pct"/>
        <w:tblInd w:w="0" w:type="dxa"/>
        <w:tblLook w:val="04A0" w:firstRow="1" w:lastRow="0" w:firstColumn="1" w:lastColumn="0" w:noHBand="0" w:noVBand="1"/>
        <w:tblCaption w:val="Table 3.7 Lower quartile cost of housing to buy (existing and newly-built dwellings) – 5 years to September 2021 – Gedling"/>
      </w:tblPr>
      <w:tblGrid>
        <w:gridCol w:w="2264"/>
        <w:gridCol w:w="2174"/>
        <w:gridCol w:w="2174"/>
        <w:gridCol w:w="2165"/>
      </w:tblGrid>
      <w:tr w:rsidR="00B15677" w14:paraId="624F41CB"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4BDE7FC9"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31D91FD5"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71A6F1BD"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2C94C4D1"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669B02E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59BE79C"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910FD80" w14:textId="77777777" w:rsidR="00B15677" w:rsidRDefault="00B15677" w:rsidP="00D31E9C">
            <w:pPr>
              <w:keepNext/>
              <w:spacing w:after="0" w:line="300" w:lineRule="auto"/>
              <w:jc w:val="center"/>
              <w:rPr>
                <w:rFonts w:ascii="Arial" w:hAnsi="Arial" w:cs="Arial"/>
              </w:rPr>
            </w:pPr>
            <w:r>
              <w:rPr>
                <w:rFonts w:ascii="Arial" w:hAnsi="Arial" w:cs="Arial"/>
                <w:color w:val="000000"/>
              </w:rPr>
              <w:t>£87,400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BD9E953" w14:textId="77777777" w:rsidR="00B15677" w:rsidRDefault="00B15677" w:rsidP="00D31E9C">
            <w:pPr>
              <w:keepNext/>
              <w:spacing w:after="0" w:line="300" w:lineRule="auto"/>
              <w:jc w:val="center"/>
              <w:rPr>
                <w:rFonts w:ascii="Arial" w:hAnsi="Arial" w:cs="Arial"/>
              </w:rPr>
            </w:pPr>
            <w:r>
              <w:rPr>
                <w:rFonts w:ascii="Arial" w:hAnsi="Arial" w:cs="Arial"/>
                <w:color w:val="000000"/>
              </w:rPr>
              <w:t>£108,900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1D8D61E" w14:textId="77777777" w:rsidR="00B15677" w:rsidRDefault="00B15677" w:rsidP="00D31E9C">
            <w:pPr>
              <w:keepNext/>
              <w:spacing w:after="0" w:line="300" w:lineRule="auto"/>
              <w:jc w:val="center"/>
              <w:rPr>
                <w:rFonts w:ascii="Arial" w:hAnsi="Arial" w:cs="Arial"/>
              </w:rPr>
            </w:pPr>
            <w:r>
              <w:rPr>
                <w:rFonts w:ascii="Arial" w:hAnsi="Arial" w:cs="Arial"/>
                <w:color w:val="000000"/>
              </w:rPr>
              <w:t>25%</w:t>
            </w:r>
          </w:p>
        </w:tc>
      </w:tr>
      <w:tr w:rsidR="00B15677" w14:paraId="3F3D8BC5"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3CA649A"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82533E" w14:textId="77777777" w:rsidR="00B15677" w:rsidRDefault="00B15677" w:rsidP="00D31E9C">
            <w:pPr>
              <w:keepNext/>
              <w:spacing w:after="0" w:line="300" w:lineRule="auto"/>
              <w:jc w:val="center"/>
              <w:rPr>
                <w:rFonts w:ascii="Arial" w:hAnsi="Arial" w:cs="Arial"/>
              </w:rPr>
            </w:pPr>
            <w:r>
              <w:rPr>
                <w:rFonts w:ascii="Arial" w:hAnsi="Arial" w:cs="Arial"/>
                <w:color w:val="000000"/>
              </w:rPr>
              <w:t>£114,400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0C04F8F" w14:textId="77777777" w:rsidR="00B15677" w:rsidRDefault="00B15677" w:rsidP="00D31E9C">
            <w:pPr>
              <w:keepNext/>
              <w:spacing w:after="0" w:line="300" w:lineRule="auto"/>
              <w:jc w:val="center"/>
              <w:rPr>
                <w:rFonts w:ascii="Arial" w:hAnsi="Arial" w:cs="Arial"/>
              </w:rPr>
            </w:pPr>
            <w:r>
              <w:rPr>
                <w:rFonts w:ascii="Arial" w:hAnsi="Arial" w:cs="Arial"/>
                <w:color w:val="000000"/>
              </w:rPr>
              <w:t>£177,000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CB8F937" w14:textId="77777777" w:rsidR="00B15677" w:rsidRDefault="00B15677" w:rsidP="00D31E9C">
            <w:pPr>
              <w:keepNext/>
              <w:spacing w:after="0" w:line="300" w:lineRule="auto"/>
              <w:jc w:val="center"/>
              <w:rPr>
                <w:rFonts w:ascii="Arial" w:hAnsi="Arial" w:cs="Arial"/>
              </w:rPr>
            </w:pPr>
            <w:r>
              <w:rPr>
                <w:rFonts w:ascii="Arial" w:hAnsi="Arial" w:cs="Arial"/>
                <w:color w:val="000000"/>
              </w:rPr>
              <w:t>55%</w:t>
            </w:r>
          </w:p>
        </w:tc>
      </w:tr>
      <w:tr w:rsidR="00B15677" w14:paraId="2FE5E2BB"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727E7C6"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0F35D4A" w14:textId="77777777" w:rsidR="00B15677" w:rsidRDefault="00B15677" w:rsidP="00D31E9C">
            <w:pPr>
              <w:keepNext/>
              <w:spacing w:after="0" w:line="300" w:lineRule="auto"/>
              <w:jc w:val="center"/>
              <w:rPr>
                <w:rFonts w:ascii="Arial" w:hAnsi="Arial" w:cs="Arial"/>
              </w:rPr>
            </w:pPr>
            <w:r>
              <w:rPr>
                <w:rFonts w:ascii="Arial" w:hAnsi="Arial" w:cs="Arial"/>
                <w:color w:val="000000"/>
              </w:rPr>
              <w:t>£143,000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34EA8DC" w14:textId="77777777" w:rsidR="00B15677" w:rsidRDefault="00B15677" w:rsidP="00D31E9C">
            <w:pPr>
              <w:keepNext/>
              <w:spacing w:after="0" w:line="300" w:lineRule="auto"/>
              <w:jc w:val="center"/>
              <w:rPr>
                <w:rFonts w:ascii="Arial" w:hAnsi="Arial" w:cs="Arial"/>
              </w:rPr>
            </w:pPr>
            <w:r>
              <w:rPr>
                <w:rFonts w:ascii="Arial" w:hAnsi="Arial" w:cs="Arial"/>
                <w:color w:val="000000"/>
              </w:rPr>
              <w:t>£185,000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BB0FCFA" w14:textId="77777777" w:rsidR="00B15677" w:rsidRDefault="00B15677" w:rsidP="00D31E9C">
            <w:pPr>
              <w:keepNext/>
              <w:spacing w:after="0" w:line="300" w:lineRule="auto"/>
              <w:jc w:val="center"/>
              <w:rPr>
                <w:rFonts w:ascii="Arial" w:hAnsi="Arial" w:cs="Arial"/>
              </w:rPr>
            </w:pPr>
            <w:r>
              <w:rPr>
                <w:rFonts w:ascii="Arial" w:hAnsi="Arial" w:cs="Arial"/>
                <w:color w:val="000000"/>
              </w:rPr>
              <w:t>29%</w:t>
            </w:r>
          </w:p>
        </w:tc>
      </w:tr>
      <w:tr w:rsidR="00B15677" w14:paraId="4F7164C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2137E698"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89613B5" w14:textId="77777777" w:rsidR="00B15677" w:rsidRDefault="00B15677" w:rsidP="00D31E9C">
            <w:pPr>
              <w:keepNext/>
              <w:spacing w:after="0" w:line="300" w:lineRule="auto"/>
              <w:jc w:val="center"/>
              <w:rPr>
                <w:rFonts w:ascii="Arial" w:hAnsi="Arial" w:cs="Arial"/>
              </w:rPr>
            </w:pPr>
            <w:r>
              <w:rPr>
                <w:rFonts w:ascii="Arial" w:hAnsi="Arial" w:cs="Arial"/>
                <w:color w:val="000000"/>
              </w:rPr>
              <w:t>£219,700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07EF354" w14:textId="77777777" w:rsidR="00B15677" w:rsidRDefault="00B15677" w:rsidP="00D31E9C">
            <w:pPr>
              <w:keepNext/>
              <w:spacing w:after="0" w:line="300" w:lineRule="auto"/>
              <w:jc w:val="center"/>
              <w:rPr>
                <w:rFonts w:ascii="Arial" w:hAnsi="Arial" w:cs="Arial"/>
              </w:rPr>
            </w:pPr>
            <w:r>
              <w:rPr>
                <w:rFonts w:ascii="Arial" w:hAnsi="Arial" w:cs="Arial"/>
                <w:color w:val="000000"/>
              </w:rPr>
              <w:t>£251,600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14998A3" w14:textId="77777777" w:rsidR="00B15677" w:rsidRDefault="00B15677" w:rsidP="00D31E9C">
            <w:pPr>
              <w:keepNext/>
              <w:spacing w:after="0" w:line="300" w:lineRule="auto"/>
              <w:jc w:val="center"/>
              <w:rPr>
                <w:rFonts w:ascii="Arial" w:hAnsi="Arial" w:cs="Arial"/>
              </w:rPr>
            </w:pPr>
            <w:r>
              <w:rPr>
                <w:rFonts w:ascii="Arial" w:hAnsi="Arial" w:cs="Arial"/>
                <w:color w:val="000000"/>
              </w:rPr>
              <w:t>15%</w:t>
            </w:r>
          </w:p>
        </w:tc>
      </w:tr>
      <w:tr w:rsidR="00B15677" w14:paraId="680B20C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C331B27"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FA5753E" w14:textId="77777777" w:rsidR="00B15677" w:rsidRDefault="00B15677" w:rsidP="00D31E9C">
            <w:pPr>
              <w:keepNext/>
              <w:spacing w:after="0" w:line="300" w:lineRule="auto"/>
              <w:jc w:val="center"/>
              <w:rPr>
                <w:rFonts w:ascii="Arial" w:hAnsi="Arial" w:cs="Arial"/>
              </w:rPr>
            </w:pPr>
            <w:r>
              <w:rPr>
                <w:rFonts w:ascii="Arial" w:hAnsi="Arial" w:cs="Arial"/>
                <w:color w:val="000000"/>
              </w:rPr>
              <w:t>£140,000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98FAFB3" w14:textId="77777777" w:rsidR="00B15677" w:rsidRDefault="00B15677" w:rsidP="00D31E9C">
            <w:pPr>
              <w:keepNext/>
              <w:spacing w:after="0" w:line="300" w:lineRule="auto"/>
              <w:jc w:val="center"/>
              <w:rPr>
                <w:rFonts w:ascii="Arial" w:hAnsi="Arial" w:cs="Arial"/>
              </w:rPr>
            </w:pPr>
            <w:r>
              <w:rPr>
                <w:rFonts w:ascii="Arial" w:hAnsi="Arial" w:cs="Arial"/>
                <w:color w:val="000000"/>
              </w:rPr>
              <w:t>£200,000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854609C" w14:textId="77777777" w:rsidR="00B15677" w:rsidRDefault="00B15677" w:rsidP="00D31E9C">
            <w:pPr>
              <w:keepNext/>
              <w:spacing w:after="0" w:line="300" w:lineRule="auto"/>
              <w:jc w:val="center"/>
              <w:rPr>
                <w:rFonts w:ascii="Arial" w:hAnsi="Arial" w:cs="Arial"/>
              </w:rPr>
            </w:pPr>
            <w:r>
              <w:rPr>
                <w:rFonts w:ascii="Arial" w:hAnsi="Arial" w:cs="Arial"/>
                <w:color w:val="000000"/>
              </w:rPr>
              <w:t>43%</w:t>
            </w:r>
          </w:p>
        </w:tc>
      </w:tr>
    </w:tbl>
    <w:p w14:paraId="0DF65A67"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3EF6D38C" w14:textId="46C595D5" w:rsidR="00B15677" w:rsidRDefault="00B15677" w:rsidP="00B15677">
      <w:pPr>
        <w:pStyle w:val="Heading4"/>
      </w:pPr>
      <w:r>
        <w:t xml:space="preserve">Lower quartile </w:t>
      </w:r>
      <w:r w:rsidRPr="0070576A">
        <w:t>cost</w:t>
      </w:r>
      <w:r>
        <w:t xml:space="preserve"> of housing to buy (existing and newly-built dwellings) – 5</w:t>
      </w:r>
      <w:r w:rsidR="00156871">
        <w:t xml:space="preserve"> </w:t>
      </w:r>
      <w:r>
        <w:t>years to September 2021 – Rushcliffe</w:t>
      </w:r>
    </w:p>
    <w:tbl>
      <w:tblPr>
        <w:tblStyle w:val="TableTheme"/>
        <w:tblW w:w="5000" w:type="pct"/>
        <w:tblInd w:w="0" w:type="dxa"/>
        <w:tblLook w:val="04A0" w:firstRow="1" w:lastRow="0" w:firstColumn="1" w:lastColumn="0" w:noHBand="0" w:noVBand="1"/>
        <w:tblCaption w:val="Table 3.8 Lower quartile cost of housing to buy (existing and newly-built dwellings) – 5 years to September 2021 – Rushcliffe"/>
      </w:tblPr>
      <w:tblGrid>
        <w:gridCol w:w="2264"/>
        <w:gridCol w:w="2174"/>
        <w:gridCol w:w="2174"/>
        <w:gridCol w:w="2165"/>
      </w:tblGrid>
      <w:tr w:rsidR="00B15677" w14:paraId="2DAC84B2"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1E1E6932"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0FB653A5"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60B3A86C"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67511C03"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5551B9A7"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4E6B5FD4"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8482694" w14:textId="77777777" w:rsidR="00B15677" w:rsidRDefault="00B15677" w:rsidP="00D31E9C">
            <w:pPr>
              <w:keepNext/>
              <w:spacing w:after="0" w:line="300" w:lineRule="auto"/>
              <w:jc w:val="center"/>
              <w:rPr>
                <w:rFonts w:ascii="Arial" w:hAnsi="Arial" w:cs="Arial"/>
              </w:rPr>
            </w:pPr>
            <w:r>
              <w:rPr>
                <w:rFonts w:ascii="Arial" w:hAnsi="Arial" w:cs="Arial"/>
                <w:color w:val="000000"/>
              </w:rPr>
              <w:t>£122,400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2FCB815" w14:textId="77777777" w:rsidR="00B15677" w:rsidRDefault="00B15677" w:rsidP="00D31E9C">
            <w:pPr>
              <w:keepNext/>
              <w:spacing w:after="0" w:line="300" w:lineRule="auto"/>
              <w:jc w:val="center"/>
              <w:rPr>
                <w:rFonts w:ascii="Arial" w:hAnsi="Arial" w:cs="Arial"/>
              </w:rPr>
            </w:pPr>
            <w:r>
              <w:rPr>
                <w:rFonts w:ascii="Arial" w:hAnsi="Arial" w:cs="Arial"/>
                <w:color w:val="000000"/>
              </w:rPr>
              <w:t>£212,500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42EDFEF" w14:textId="77777777" w:rsidR="00B15677" w:rsidRDefault="00B15677" w:rsidP="00D31E9C">
            <w:pPr>
              <w:keepNext/>
              <w:spacing w:after="0" w:line="300" w:lineRule="auto"/>
              <w:jc w:val="center"/>
              <w:rPr>
                <w:rFonts w:ascii="Arial" w:hAnsi="Arial" w:cs="Arial"/>
              </w:rPr>
            </w:pPr>
            <w:r>
              <w:rPr>
                <w:rFonts w:ascii="Arial" w:hAnsi="Arial" w:cs="Arial"/>
                <w:color w:val="000000"/>
              </w:rPr>
              <w:t>74%</w:t>
            </w:r>
          </w:p>
        </w:tc>
      </w:tr>
      <w:tr w:rsidR="00B15677" w14:paraId="48F8647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B4C0FBD"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00497DB" w14:textId="77777777" w:rsidR="00B15677" w:rsidRDefault="00B15677" w:rsidP="00D31E9C">
            <w:pPr>
              <w:keepNext/>
              <w:spacing w:after="0" w:line="300" w:lineRule="auto"/>
              <w:jc w:val="center"/>
              <w:rPr>
                <w:rFonts w:ascii="Arial" w:hAnsi="Arial" w:cs="Arial"/>
              </w:rPr>
            </w:pPr>
            <w:r>
              <w:rPr>
                <w:rFonts w:ascii="Arial" w:hAnsi="Arial" w:cs="Arial"/>
                <w:color w:val="000000"/>
              </w:rPr>
              <w:t>£163,800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B42905C" w14:textId="77777777" w:rsidR="00B15677" w:rsidRDefault="00B15677" w:rsidP="00D31E9C">
            <w:pPr>
              <w:keepNext/>
              <w:spacing w:after="0" w:line="300" w:lineRule="auto"/>
              <w:jc w:val="center"/>
              <w:rPr>
                <w:rFonts w:ascii="Arial" w:hAnsi="Arial" w:cs="Arial"/>
              </w:rPr>
            </w:pPr>
            <w:r>
              <w:rPr>
                <w:rFonts w:ascii="Arial" w:hAnsi="Arial" w:cs="Arial"/>
                <w:color w:val="000000"/>
              </w:rPr>
              <w:t>£185,700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3A91787"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3CB31137"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7C34166D"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754D5FEF" w14:textId="77777777" w:rsidR="00B15677" w:rsidRDefault="00B15677" w:rsidP="00D31E9C">
            <w:pPr>
              <w:keepNext/>
              <w:spacing w:after="0" w:line="300" w:lineRule="auto"/>
              <w:jc w:val="center"/>
              <w:rPr>
                <w:rFonts w:ascii="Arial" w:hAnsi="Arial" w:cs="Arial"/>
              </w:rPr>
            </w:pPr>
            <w:r>
              <w:rPr>
                <w:rFonts w:ascii="Arial" w:hAnsi="Arial" w:cs="Arial"/>
                <w:color w:val="000000"/>
              </w:rPr>
              <w:t>£190,000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4665C45" w14:textId="77777777" w:rsidR="00B15677" w:rsidRDefault="00B15677" w:rsidP="00D31E9C">
            <w:pPr>
              <w:keepNext/>
              <w:spacing w:after="0" w:line="300" w:lineRule="auto"/>
              <w:jc w:val="center"/>
              <w:rPr>
                <w:rFonts w:ascii="Arial" w:hAnsi="Arial" w:cs="Arial"/>
              </w:rPr>
            </w:pPr>
            <w:r>
              <w:rPr>
                <w:rFonts w:ascii="Arial" w:hAnsi="Arial" w:cs="Arial"/>
                <w:color w:val="000000"/>
              </w:rPr>
              <w:t>£238,200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EE9410" w14:textId="77777777" w:rsidR="00B15677" w:rsidRDefault="00B15677" w:rsidP="00D31E9C">
            <w:pPr>
              <w:keepNext/>
              <w:spacing w:after="0" w:line="300" w:lineRule="auto"/>
              <w:jc w:val="center"/>
              <w:rPr>
                <w:rFonts w:ascii="Arial" w:hAnsi="Arial" w:cs="Arial"/>
              </w:rPr>
            </w:pPr>
            <w:r>
              <w:rPr>
                <w:rFonts w:ascii="Arial" w:hAnsi="Arial" w:cs="Arial"/>
                <w:color w:val="000000"/>
              </w:rPr>
              <w:t>25%</w:t>
            </w:r>
          </w:p>
        </w:tc>
      </w:tr>
      <w:tr w:rsidR="00B15677" w14:paraId="189448AE"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CA837EF"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C769435" w14:textId="77777777" w:rsidR="00B15677" w:rsidRDefault="00B15677" w:rsidP="00D31E9C">
            <w:pPr>
              <w:keepNext/>
              <w:spacing w:after="0" w:line="300" w:lineRule="auto"/>
              <w:jc w:val="center"/>
              <w:rPr>
                <w:rFonts w:ascii="Arial" w:hAnsi="Arial" w:cs="Arial"/>
              </w:rPr>
            </w:pPr>
            <w:r>
              <w:rPr>
                <w:rFonts w:ascii="Arial" w:hAnsi="Arial" w:cs="Arial"/>
                <w:color w:val="000000"/>
              </w:rPr>
              <w:t>£282,400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C207A91" w14:textId="77777777" w:rsidR="00B15677" w:rsidRDefault="00B15677" w:rsidP="00D31E9C">
            <w:pPr>
              <w:keepNext/>
              <w:spacing w:after="0" w:line="300" w:lineRule="auto"/>
              <w:jc w:val="center"/>
              <w:rPr>
                <w:rFonts w:ascii="Arial" w:hAnsi="Arial" w:cs="Arial"/>
              </w:rPr>
            </w:pPr>
            <w:r>
              <w:rPr>
                <w:rFonts w:ascii="Arial" w:hAnsi="Arial" w:cs="Arial"/>
                <w:color w:val="000000"/>
              </w:rPr>
              <w:t>£320,000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550AC0D3" w14:textId="77777777" w:rsidR="00B15677" w:rsidRDefault="00B15677" w:rsidP="00D31E9C">
            <w:pPr>
              <w:keepNext/>
              <w:spacing w:after="0" w:line="300" w:lineRule="auto"/>
              <w:jc w:val="center"/>
              <w:rPr>
                <w:rFonts w:ascii="Arial" w:hAnsi="Arial" w:cs="Arial"/>
              </w:rPr>
            </w:pPr>
            <w:r>
              <w:rPr>
                <w:rFonts w:ascii="Arial" w:hAnsi="Arial" w:cs="Arial"/>
                <w:color w:val="000000"/>
              </w:rPr>
              <w:t>13%</w:t>
            </w:r>
          </w:p>
        </w:tc>
      </w:tr>
      <w:tr w:rsidR="00B15677" w14:paraId="71FD3D7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0BB4EF84"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7554630" w14:textId="77777777" w:rsidR="00B15677" w:rsidRDefault="00B15677" w:rsidP="00D31E9C">
            <w:pPr>
              <w:keepNext/>
              <w:spacing w:after="0" w:line="300" w:lineRule="auto"/>
              <w:jc w:val="center"/>
              <w:rPr>
                <w:rFonts w:ascii="Arial" w:hAnsi="Arial" w:cs="Arial"/>
              </w:rPr>
            </w:pPr>
            <w:r>
              <w:rPr>
                <w:rFonts w:ascii="Arial" w:hAnsi="Arial" w:cs="Arial"/>
                <w:color w:val="000000"/>
              </w:rPr>
              <w:t>£199,900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D7271DB" w14:textId="77777777" w:rsidR="00B15677" w:rsidRDefault="00B15677" w:rsidP="00D31E9C">
            <w:pPr>
              <w:keepNext/>
              <w:spacing w:after="0" w:line="300" w:lineRule="auto"/>
              <w:jc w:val="center"/>
              <w:rPr>
                <w:rFonts w:ascii="Arial" w:hAnsi="Arial" w:cs="Arial"/>
              </w:rPr>
            </w:pPr>
            <w:r>
              <w:rPr>
                <w:rFonts w:ascii="Arial" w:hAnsi="Arial" w:cs="Arial"/>
                <w:color w:val="000000"/>
              </w:rPr>
              <w:t>£265,100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0A86D746" w14:textId="77777777" w:rsidR="00B15677" w:rsidRDefault="00B15677" w:rsidP="00D31E9C">
            <w:pPr>
              <w:keepNext/>
              <w:spacing w:after="0" w:line="300" w:lineRule="auto"/>
              <w:jc w:val="center"/>
              <w:rPr>
                <w:rFonts w:ascii="Arial" w:hAnsi="Arial" w:cs="Arial"/>
              </w:rPr>
            </w:pPr>
            <w:r>
              <w:rPr>
                <w:rFonts w:ascii="Arial" w:hAnsi="Arial" w:cs="Arial"/>
                <w:color w:val="000000"/>
              </w:rPr>
              <w:t>33%</w:t>
            </w:r>
          </w:p>
        </w:tc>
      </w:tr>
    </w:tbl>
    <w:p w14:paraId="1B2B0DEA"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5DC19935" w14:textId="2511F56E" w:rsidR="00B15677" w:rsidRDefault="00B15677" w:rsidP="00B15677">
      <w:pPr>
        <w:pStyle w:val="Heading4"/>
      </w:pPr>
      <w:r>
        <w:t xml:space="preserve">Lower quartile cost of </w:t>
      </w:r>
      <w:r w:rsidRPr="0070576A">
        <w:t>housing</w:t>
      </w:r>
      <w:r>
        <w:t xml:space="preserve"> to buy (existing and newly-built dwellings) – 5</w:t>
      </w:r>
      <w:r w:rsidR="00156871">
        <w:t xml:space="preserve"> </w:t>
      </w:r>
      <w:r>
        <w:t>years to September 2021 – Nottingham</w:t>
      </w:r>
    </w:p>
    <w:tbl>
      <w:tblPr>
        <w:tblStyle w:val="TableTheme"/>
        <w:tblW w:w="5000" w:type="pct"/>
        <w:tblInd w:w="0" w:type="dxa"/>
        <w:tblLook w:val="04A0" w:firstRow="1" w:lastRow="0" w:firstColumn="1" w:lastColumn="0" w:noHBand="0" w:noVBand="1"/>
        <w:tblCaption w:val="Table 3.9 Lower quartile cost of housing to buy (existing and newly-built dwellings) – 5 years to September 2021 – Nottingham"/>
      </w:tblPr>
      <w:tblGrid>
        <w:gridCol w:w="2264"/>
        <w:gridCol w:w="2174"/>
        <w:gridCol w:w="2174"/>
        <w:gridCol w:w="2165"/>
      </w:tblGrid>
      <w:tr w:rsidR="00B15677" w14:paraId="2BB8E430" w14:textId="77777777" w:rsidTr="009C6D1F">
        <w:trPr>
          <w:tblHeader/>
        </w:trPr>
        <w:tc>
          <w:tcPr>
            <w:tcW w:w="2406" w:type="dxa"/>
            <w:tcBorders>
              <w:top w:val="single" w:sz="4" w:space="0" w:color="auto"/>
              <w:left w:val="single" w:sz="4" w:space="0" w:color="auto"/>
              <w:bottom w:val="single" w:sz="4" w:space="0" w:color="auto"/>
              <w:right w:val="single" w:sz="4" w:space="0" w:color="auto"/>
            </w:tcBorders>
            <w:shd w:val="clear" w:color="auto" w:fill="002060"/>
          </w:tcPr>
          <w:p w14:paraId="671F5FDE" w14:textId="77777777" w:rsidR="00B15677" w:rsidRDefault="00B15677" w:rsidP="00D31E9C">
            <w:pPr>
              <w:keepNext/>
              <w:spacing w:before="60" w:after="60" w:line="300" w:lineRule="auto"/>
              <w:jc w:val="left"/>
              <w:rPr>
                <w:rFonts w:ascii="Arial" w:hAnsi="Arial" w:cs="Arial"/>
              </w:rPr>
            </w:pP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39ADAAC7" w14:textId="77777777" w:rsidR="00B15677" w:rsidRDefault="00B15677" w:rsidP="00D31E9C">
            <w:pPr>
              <w:keepNext/>
              <w:spacing w:before="60" w:after="60" w:line="300" w:lineRule="auto"/>
              <w:jc w:val="center"/>
              <w:rPr>
                <w:rFonts w:ascii="Arial" w:hAnsi="Arial" w:cs="Arial"/>
              </w:rPr>
            </w:pPr>
            <w:r>
              <w:rPr>
                <w:rFonts w:ascii="Arial" w:hAnsi="Arial" w:cs="Arial"/>
              </w:rPr>
              <w:t>Existing dwellings</w:t>
            </w:r>
          </w:p>
        </w:tc>
        <w:tc>
          <w:tcPr>
            <w:tcW w:w="2407" w:type="dxa"/>
            <w:tcBorders>
              <w:top w:val="single" w:sz="4" w:space="0" w:color="auto"/>
              <w:left w:val="single" w:sz="4" w:space="0" w:color="auto"/>
              <w:bottom w:val="single" w:sz="4" w:space="0" w:color="auto"/>
              <w:right w:val="single" w:sz="4" w:space="0" w:color="auto"/>
            </w:tcBorders>
            <w:shd w:val="clear" w:color="auto" w:fill="002060"/>
            <w:hideMark/>
          </w:tcPr>
          <w:p w14:paraId="567D7A0B" w14:textId="77777777" w:rsidR="00B15677" w:rsidRDefault="00B15677" w:rsidP="00D31E9C">
            <w:pPr>
              <w:keepNext/>
              <w:spacing w:before="60" w:after="60" w:line="300" w:lineRule="auto"/>
              <w:jc w:val="center"/>
              <w:rPr>
                <w:rFonts w:ascii="Arial" w:hAnsi="Arial" w:cs="Arial"/>
              </w:rPr>
            </w:pPr>
            <w:r>
              <w:rPr>
                <w:rFonts w:ascii="Arial" w:hAnsi="Arial" w:cs="Arial"/>
              </w:rPr>
              <w:t>Newly-built dwellings</w:t>
            </w:r>
          </w:p>
        </w:tc>
        <w:tc>
          <w:tcPr>
            <w:tcW w:w="2408" w:type="dxa"/>
            <w:tcBorders>
              <w:top w:val="single" w:sz="4" w:space="0" w:color="auto"/>
              <w:left w:val="single" w:sz="4" w:space="0" w:color="auto"/>
              <w:bottom w:val="single" w:sz="4" w:space="0" w:color="auto"/>
              <w:right w:val="single" w:sz="4" w:space="0" w:color="auto"/>
            </w:tcBorders>
            <w:shd w:val="clear" w:color="auto" w:fill="002060"/>
            <w:hideMark/>
          </w:tcPr>
          <w:p w14:paraId="26BFEB76" w14:textId="77777777" w:rsidR="00B15677" w:rsidRDefault="00B15677" w:rsidP="00D31E9C">
            <w:pPr>
              <w:keepNext/>
              <w:spacing w:before="60" w:after="60" w:line="300" w:lineRule="auto"/>
              <w:jc w:val="center"/>
              <w:rPr>
                <w:rFonts w:ascii="Arial" w:hAnsi="Arial" w:cs="Arial"/>
              </w:rPr>
            </w:pPr>
            <w:r>
              <w:rPr>
                <w:rFonts w:ascii="Arial" w:hAnsi="Arial" w:cs="Arial"/>
              </w:rPr>
              <w:t>New-build premium</w:t>
            </w:r>
          </w:p>
        </w:tc>
      </w:tr>
      <w:tr w:rsidR="00B15677" w14:paraId="257FEEC1"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6F16C280" w14:textId="77777777" w:rsidR="00B15677" w:rsidRDefault="00B15677" w:rsidP="00D31E9C">
            <w:pPr>
              <w:keepNext/>
              <w:spacing w:after="0" w:line="300" w:lineRule="auto"/>
              <w:rPr>
                <w:rFonts w:ascii="Arial" w:hAnsi="Arial" w:cs="Arial"/>
              </w:rPr>
            </w:pPr>
            <w:r>
              <w:rPr>
                <w:rFonts w:ascii="Arial" w:hAnsi="Arial" w:cs="Arial"/>
              </w:rPr>
              <w:t>Flat/maisonette</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730AA20" w14:textId="77777777" w:rsidR="00B15677" w:rsidRDefault="00B15677" w:rsidP="00D31E9C">
            <w:pPr>
              <w:keepNext/>
              <w:spacing w:after="0" w:line="300" w:lineRule="auto"/>
              <w:jc w:val="center"/>
              <w:rPr>
                <w:rFonts w:ascii="Arial" w:hAnsi="Arial" w:cs="Arial"/>
              </w:rPr>
            </w:pPr>
            <w:r>
              <w:rPr>
                <w:rFonts w:ascii="Arial" w:hAnsi="Arial" w:cs="Arial"/>
                <w:color w:val="000000"/>
              </w:rPr>
              <w:t>£87,800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00FB70C2" w14:textId="77777777" w:rsidR="00B15677" w:rsidRDefault="00B15677" w:rsidP="00D31E9C">
            <w:pPr>
              <w:keepNext/>
              <w:spacing w:after="0" w:line="300" w:lineRule="auto"/>
              <w:jc w:val="center"/>
              <w:rPr>
                <w:rFonts w:ascii="Arial" w:hAnsi="Arial" w:cs="Arial"/>
              </w:rPr>
            </w:pPr>
            <w:r>
              <w:rPr>
                <w:rFonts w:ascii="Arial" w:hAnsi="Arial" w:cs="Arial"/>
                <w:color w:val="000000"/>
              </w:rPr>
              <w:t>£86,500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492181DE" w14:textId="77777777" w:rsidR="00B15677" w:rsidRDefault="00B15677" w:rsidP="00D31E9C">
            <w:pPr>
              <w:keepNext/>
              <w:spacing w:after="0" w:line="300" w:lineRule="auto"/>
              <w:jc w:val="center"/>
              <w:rPr>
                <w:rFonts w:ascii="Arial" w:hAnsi="Arial" w:cs="Arial"/>
              </w:rPr>
            </w:pPr>
            <w:r>
              <w:rPr>
                <w:rFonts w:ascii="Arial" w:hAnsi="Arial" w:cs="Arial"/>
                <w:color w:val="000000"/>
              </w:rPr>
              <w:t>-1%</w:t>
            </w:r>
          </w:p>
        </w:tc>
      </w:tr>
      <w:tr w:rsidR="00B15677" w14:paraId="1FB5DD17"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37F71D88" w14:textId="77777777" w:rsidR="00B15677" w:rsidRDefault="00B15677" w:rsidP="00D31E9C">
            <w:pPr>
              <w:keepNext/>
              <w:spacing w:after="0" w:line="300" w:lineRule="auto"/>
              <w:rPr>
                <w:rFonts w:ascii="Arial" w:hAnsi="Arial" w:cs="Arial"/>
              </w:rPr>
            </w:pPr>
            <w:r>
              <w:rPr>
                <w:rFonts w:ascii="Arial" w:hAnsi="Arial" w:cs="Arial"/>
              </w:rPr>
              <w:t>Terraced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E34C5D2" w14:textId="77777777" w:rsidR="00B15677" w:rsidRDefault="00B15677" w:rsidP="00D31E9C">
            <w:pPr>
              <w:keepNext/>
              <w:spacing w:after="0" w:line="300" w:lineRule="auto"/>
              <w:jc w:val="center"/>
              <w:rPr>
                <w:rFonts w:ascii="Arial" w:hAnsi="Arial" w:cs="Arial"/>
              </w:rPr>
            </w:pPr>
            <w:r>
              <w:rPr>
                <w:rFonts w:ascii="Arial" w:hAnsi="Arial" w:cs="Arial"/>
                <w:color w:val="000000"/>
              </w:rPr>
              <w:t>£96,800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995D3D7" w14:textId="77777777" w:rsidR="00B15677" w:rsidRDefault="00B15677" w:rsidP="00D31E9C">
            <w:pPr>
              <w:keepNext/>
              <w:spacing w:after="0" w:line="300" w:lineRule="auto"/>
              <w:jc w:val="center"/>
              <w:rPr>
                <w:rFonts w:ascii="Arial" w:hAnsi="Arial" w:cs="Arial"/>
              </w:rPr>
            </w:pPr>
            <w:r>
              <w:rPr>
                <w:rFonts w:ascii="Arial" w:hAnsi="Arial" w:cs="Arial"/>
                <w:color w:val="000000"/>
              </w:rPr>
              <w:t>£144,200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33ECD50B" w14:textId="77777777" w:rsidR="00B15677" w:rsidRDefault="00B15677" w:rsidP="00D31E9C">
            <w:pPr>
              <w:keepNext/>
              <w:spacing w:after="0" w:line="300" w:lineRule="auto"/>
              <w:jc w:val="center"/>
              <w:rPr>
                <w:rFonts w:ascii="Arial" w:hAnsi="Arial" w:cs="Arial"/>
              </w:rPr>
            </w:pPr>
            <w:r>
              <w:rPr>
                <w:rFonts w:ascii="Arial" w:hAnsi="Arial" w:cs="Arial"/>
                <w:color w:val="000000"/>
              </w:rPr>
              <w:t>49%</w:t>
            </w:r>
          </w:p>
        </w:tc>
      </w:tr>
      <w:tr w:rsidR="00B15677" w14:paraId="4D5531CD"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1EEF89E2" w14:textId="77777777" w:rsidR="00B15677" w:rsidRDefault="00B15677" w:rsidP="00D31E9C">
            <w:pPr>
              <w:keepNext/>
              <w:spacing w:after="0" w:line="300" w:lineRule="auto"/>
              <w:rPr>
                <w:rFonts w:ascii="Arial" w:hAnsi="Arial" w:cs="Arial"/>
              </w:rPr>
            </w:pPr>
            <w:r>
              <w:rPr>
                <w:rFonts w:ascii="Arial" w:hAnsi="Arial" w:cs="Arial"/>
              </w:rPr>
              <w:t>Semi-detached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6689645D" w14:textId="77777777" w:rsidR="00B15677" w:rsidRDefault="00B15677" w:rsidP="00D31E9C">
            <w:pPr>
              <w:keepNext/>
              <w:spacing w:after="0" w:line="300" w:lineRule="auto"/>
              <w:jc w:val="center"/>
              <w:rPr>
                <w:rFonts w:ascii="Arial" w:hAnsi="Arial" w:cs="Arial"/>
              </w:rPr>
            </w:pPr>
            <w:r>
              <w:rPr>
                <w:rFonts w:ascii="Arial" w:hAnsi="Arial" w:cs="Arial"/>
                <w:color w:val="000000"/>
              </w:rPr>
              <w:t>£122,300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3FDC25A4" w14:textId="77777777" w:rsidR="00B15677" w:rsidRDefault="00B15677" w:rsidP="00D31E9C">
            <w:pPr>
              <w:keepNext/>
              <w:spacing w:after="0" w:line="300" w:lineRule="auto"/>
              <w:jc w:val="center"/>
              <w:rPr>
                <w:rFonts w:ascii="Arial" w:hAnsi="Arial" w:cs="Arial"/>
              </w:rPr>
            </w:pPr>
            <w:r>
              <w:rPr>
                <w:rFonts w:ascii="Arial" w:hAnsi="Arial" w:cs="Arial"/>
                <w:color w:val="000000"/>
              </w:rPr>
              <w:t>£163,600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B9CE6F5" w14:textId="77777777" w:rsidR="00B15677" w:rsidRDefault="00B15677" w:rsidP="00D31E9C">
            <w:pPr>
              <w:keepNext/>
              <w:spacing w:after="0" w:line="300" w:lineRule="auto"/>
              <w:jc w:val="center"/>
              <w:rPr>
                <w:rFonts w:ascii="Arial" w:hAnsi="Arial" w:cs="Arial"/>
              </w:rPr>
            </w:pPr>
            <w:r>
              <w:rPr>
                <w:rFonts w:ascii="Arial" w:hAnsi="Arial" w:cs="Arial"/>
                <w:color w:val="000000"/>
              </w:rPr>
              <w:t>34%</w:t>
            </w:r>
          </w:p>
        </w:tc>
      </w:tr>
      <w:tr w:rsidR="00B15677" w14:paraId="53B0424D"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5864556C" w14:textId="77777777" w:rsidR="00B15677" w:rsidRDefault="00B15677" w:rsidP="00D31E9C">
            <w:pPr>
              <w:keepNext/>
              <w:spacing w:after="0" w:line="300" w:lineRule="auto"/>
              <w:rPr>
                <w:rFonts w:ascii="Arial" w:hAnsi="Arial" w:cs="Arial"/>
              </w:rPr>
            </w:pPr>
            <w:r>
              <w:rPr>
                <w:rFonts w:ascii="Arial" w:hAnsi="Arial" w:cs="Arial"/>
              </w:rPr>
              <w:t>Detached</w:t>
            </w:r>
          </w:p>
        </w:tc>
        <w:tc>
          <w:tcPr>
            <w:tcW w:w="2407" w:type="dxa"/>
            <w:tcBorders>
              <w:top w:val="single" w:sz="4" w:space="0" w:color="auto"/>
              <w:left w:val="single" w:sz="4" w:space="0" w:color="auto"/>
              <w:bottom w:val="single" w:sz="4" w:space="0" w:color="auto"/>
              <w:right w:val="single" w:sz="4" w:space="0" w:color="auto"/>
            </w:tcBorders>
            <w:vAlign w:val="center"/>
            <w:hideMark/>
          </w:tcPr>
          <w:p w14:paraId="1C2DE2CF" w14:textId="77777777" w:rsidR="00B15677" w:rsidRDefault="00B15677" w:rsidP="00D31E9C">
            <w:pPr>
              <w:keepNext/>
              <w:spacing w:after="0" w:line="300" w:lineRule="auto"/>
              <w:jc w:val="center"/>
              <w:rPr>
                <w:rFonts w:ascii="Arial" w:hAnsi="Arial" w:cs="Arial"/>
              </w:rPr>
            </w:pPr>
            <w:r>
              <w:rPr>
                <w:rFonts w:ascii="Arial" w:hAnsi="Arial" w:cs="Arial"/>
                <w:color w:val="000000"/>
              </w:rPr>
              <w:t>£185,000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762D91F" w14:textId="77777777" w:rsidR="00B15677" w:rsidRDefault="00B15677" w:rsidP="00D31E9C">
            <w:pPr>
              <w:keepNext/>
              <w:spacing w:after="0" w:line="300" w:lineRule="auto"/>
              <w:jc w:val="center"/>
              <w:rPr>
                <w:rFonts w:ascii="Arial" w:hAnsi="Arial" w:cs="Arial"/>
              </w:rPr>
            </w:pPr>
            <w:r>
              <w:rPr>
                <w:rFonts w:ascii="Arial" w:hAnsi="Arial" w:cs="Arial"/>
                <w:color w:val="000000"/>
              </w:rPr>
              <w:t>£265,000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16303D66" w14:textId="77777777" w:rsidR="00B15677" w:rsidRDefault="00B15677" w:rsidP="00D31E9C">
            <w:pPr>
              <w:keepNext/>
              <w:spacing w:after="0" w:line="300" w:lineRule="auto"/>
              <w:jc w:val="center"/>
              <w:rPr>
                <w:rFonts w:ascii="Arial" w:hAnsi="Arial" w:cs="Arial"/>
              </w:rPr>
            </w:pPr>
            <w:r>
              <w:rPr>
                <w:rFonts w:ascii="Arial" w:hAnsi="Arial" w:cs="Arial"/>
                <w:color w:val="000000"/>
              </w:rPr>
              <w:t>43%</w:t>
            </w:r>
          </w:p>
        </w:tc>
      </w:tr>
      <w:tr w:rsidR="00B15677" w14:paraId="56D2EFFC" w14:textId="77777777" w:rsidTr="00D31E9C">
        <w:tc>
          <w:tcPr>
            <w:tcW w:w="2406" w:type="dxa"/>
            <w:tcBorders>
              <w:top w:val="single" w:sz="4" w:space="0" w:color="auto"/>
              <w:left w:val="single" w:sz="4" w:space="0" w:color="auto"/>
              <w:bottom w:val="single" w:sz="4" w:space="0" w:color="auto"/>
              <w:right w:val="single" w:sz="4" w:space="0" w:color="auto"/>
            </w:tcBorders>
            <w:hideMark/>
          </w:tcPr>
          <w:p w14:paraId="2BEC726B" w14:textId="77777777" w:rsidR="00B15677" w:rsidRDefault="00B15677" w:rsidP="00D31E9C">
            <w:pPr>
              <w:keepNext/>
              <w:spacing w:after="0" w:line="300" w:lineRule="auto"/>
              <w:rPr>
                <w:rFonts w:ascii="Arial" w:hAnsi="Arial" w:cs="Arial"/>
              </w:rPr>
            </w:pPr>
            <w:r>
              <w:rPr>
                <w:rFonts w:ascii="Arial" w:hAnsi="Arial" w:cs="Arial"/>
              </w:rPr>
              <w:t>All dwellings</w:t>
            </w:r>
          </w:p>
        </w:tc>
        <w:tc>
          <w:tcPr>
            <w:tcW w:w="2407" w:type="dxa"/>
            <w:tcBorders>
              <w:top w:val="single" w:sz="4" w:space="0" w:color="auto"/>
              <w:left w:val="single" w:sz="4" w:space="0" w:color="auto"/>
              <w:bottom w:val="single" w:sz="4" w:space="0" w:color="auto"/>
              <w:right w:val="single" w:sz="4" w:space="0" w:color="auto"/>
            </w:tcBorders>
            <w:vAlign w:val="center"/>
            <w:hideMark/>
          </w:tcPr>
          <w:p w14:paraId="28EE42AC" w14:textId="77777777" w:rsidR="00B15677" w:rsidRDefault="00B15677" w:rsidP="00D31E9C">
            <w:pPr>
              <w:keepNext/>
              <w:spacing w:after="0" w:line="300" w:lineRule="auto"/>
              <w:jc w:val="center"/>
              <w:rPr>
                <w:rFonts w:ascii="Arial" w:hAnsi="Arial" w:cs="Arial"/>
              </w:rPr>
            </w:pPr>
            <w:r>
              <w:rPr>
                <w:rFonts w:ascii="Arial" w:hAnsi="Arial" w:cs="Arial"/>
                <w:color w:val="000000"/>
              </w:rPr>
              <w:t>£110,000</w:t>
            </w:r>
          </w:p>
        </w:tc>
        <w:tc>
          <w:tcPr>
            <w:tcW w:w="2407" w:type="dxa"/>
            <w:tcBorders>
              <w:top w:val="single" w:sz="4" w:space="0" w:color="auto"/>
              <w:left w:val="single" w:sz="4" w:space="0" w:color="auto"/>
              <w:bottom w:val="single" w:sz="4" w:space="0" w:color="auto"/>
              <w:right w:val="single" w:sz="4" w:space="0" w:color="auto"/>
            </w:tcBorders>
            <w:vAlign w:val="center"/>
            <w:hideMark/>
          </w:tcPr>
          <w:p w14:paraId="5780851E" w14:textId="77777777" w:rsidR="00B15677" w:rsidRDefault="00B15677" w:rsidP="00D31E9C">
            <w:pPr>
              <w:keepNext/>
              <w:spacing w:after="0" w:line="300" w:lineRule="auto"/>
              <w:jc w:val="center"/>
              <w:rPr>
                <w:rFonts w:ascii="Arial" w:hAnsi="Arial" w:cs="Arial"/>
              </w:rPr>
            </w:pPr>
            <w:r>
              <w:rPr>
                <w:rFonts w:ascii="Arial" w:hAnsi="Arial" w:cs="Arial"/>
                <w:color w:val="000000"/>
              </w:rPr>
              <w:t>£135,100</w:t>
            </w:r>
          </w:p>
        </w:tc>
        <w:tc>
          <w:tcPr>
            <w:tcW w:w="2408" w:type="dxa"/>
            <w:tcBorders>
              <w:top w:val="single" w:sz="4" w:space="0" w:color="auto"/>
              <w:left w:val="single" w:sz="4" w:space="0" w:color="auto"/>
              <w:bottom w:val="single" w:sz="4" w:space="0" w:color="auto"/>
              <w:right w:val="single" w:sz="4" w:space="0" w:color="auto"/>
            </w:tcBorders>
            <w:vAlign w:val="center"/>
            <w:hideMark/>
          </w:tcPr>
          <w:p w14:paraId="787FB86C" w14:textId="77777777" w:rsidR="00B15677" w:rsidRDefault="00B15677" w:rsidP="00D31E9C">
            <w:pPr>
              <w:keepNext/>
              <w:spacing w:after="0" w:line="300" w:lineRule="auto"/>
              <w:jc w:val="center"/>
              <w:rPr>
                <w:rFonts w:ascii="Arial" w:hAnsi="Arial" w:cs="Arial"/>
              </w:rPr>
            </w:pPr>
            <w:r>
              <w:rPr>
                <w:rFonts w:ascii="Arial" w:hAnsi="Arial" w:cs="Arial"/>
                <w:color w:val="000000"/>
              </w:rPr>
              <w:t>23%</w:t>
            </w:r>
          </w:p>
        </w:tc>
      </w:tr>
    </w:tbl>
    <w:p w14:paraId="754D6DFC" w14:textId="77777777" w:rsidR="00B15677" w:rsidRDefault="00B15677" w:rsidP="00B15677">
      <w:pPr>
        <w:spacing w:line="300" w:lineRule="auto"/>
        <w:rPr>
          <w:rFonts w:ascii="Arial" w:hAnsi="Arial" w:cs="Arial"/>
          <w:i/>
          <w:iCs/>
          <w:sz w:val="16"/>
          <w:szCs w:val="16"/>
        </w:rPr>
      </w:pPr>
      <w:r>
        <w:rPr>
          <w:rFonts w:ascii="Arial" w:hAnsi="Arial" w:cs="Arial"/>
          <w:i/>
          <w:iCs/>
          <w:sz w:val="16"/>
          <w:szCs w:val="16"/>
        </w:rPr>
        <w:t>Source: Land Registry</w:t>
      </w:r>
    </w:p>
    <w:p w14:paraId="36407C92" w14:textId="59131181" w:rsidR="00426E61" w:rsidRPr="00072ABA" w:rsidRDefault="00426E61" w:rsidP="00426E61">
      <w:pPr>
        <w:pStyle w:val="BodyText"/>
        <w:rPr>
          <w:rFonts w:eastAsiaTheme="majorEastAsia"/>
        </w:rPr>
      </w:pPr>
      <w:r w:rsidRPr="00072ABA">
        <w:rPr>
          <w:rFonts w:eastAsiaTheme="majorEastAsia"/>
        </w:rPr>
        <w:t xml:space="preserve">Focussing on Broxtowe </w:t>
      </w:r>
      <w:r>
        <w:rPr>
          <w:rFonts w:eastAsiaTheme="majorEastAsia"/>
        </w:rPr>
        <w:t>again as an example, t</w:t>
      </w:r>
      <w:r w:rsidRPr="00072ABA">
        <w:rPr>
          <w:rFonts w:eastAsiaTheme="majorEastAsia"/>
        </w:rPr>
        <w:t xml:space="preserve">he </w:t>
      </w:r>
      <w:r>
        <w:rPr>
          <w:rFonts w:eastAsiaTheme="majorEastAsia"/>
        </w:rPr>
        <w:t>T</w:t>
      </w:r>
      <w:r w:rsidRPr="00072ABA">
        <w:rPr>
          <w:rFonts w:eastAsiaTheme="majorEastAsia"/>
        </w:rPr>
        <w:t>able below shows over the 5</w:t>
      </w:r>
      <w:r w:rsidR="00156871">
        <w:rPr>
          <w:rFonts w:eastAsiaTheme="majorEastAsia"/>
        </w:rPr>
        <w:t xml:space="preserve"> </w:t>
      </w:r>
      <w:r w:rsidRPr="00072ABA">
        <w:rPr>
          <w:rFonts w:eastAsiaTheme="majorEastAsia"/>
        </w:rPr>
        <w:t>year period studied that 24% of all newbuild sales were flats, compared with less than 5% of existing homes. Given that flats typically have notably lower prices</w:t>
      </w:r>
      <w:r>
        <w:rPr>
          <w:rFonts w:eastAsiaTheme="majorEastAsia"/>
        </w:rPr>
        <w:t>,</w:t>
      </w:r>
      <w:r w:rsidRPr="00072ABA">
        <w:rPr>
          <w:rFonts w:eastAsiaTheme="majorEastAsia"/>
        </w:rPr>
        <w:t xml:space="preserve"> this drives the total down significantly and leads to the situation where the overall average premium is lower than any of the individual figures for different types. Likewise, the lower proportion of newbuild sales of semis and detached (compared to the existing market) will further add to this finding.</w:t>
      </w:r>
      <w:r>
        <w:rPr>
          <w:rFonts w:eastAsiaTheme="majorEastAsia"/>
        </w:rPr>
        <w:t xml:space="preserve">  This approach has been followed for all authorities.</w:t>
      </w:r>
    </w:p>
    <w:p w14:paraId="47E1D084" w14:textId="08981877" w:rsidR="00426E61" w:rsidRDefault="00426E61" w:rsidP="00426E61">
      <w:pPr>
        <w:pStyle w:val="Heading4"/>
      </w:pPr>
      <w:r>
        <w:t>Number of Sales by Type and New-Build/Existing, Broxtowe Example</w:t>
      </w:r>
    </w:p>
    <w:tbl>
      <w:tblPr>
        <w:tblStyle w:val="TableTheme"/>
        <w:tblW w:w="5000" w:type="pct"/>
        <w:tblInd w:w="0" w:type="dxa"/>
        <w:tblLook w:val="04A0" w:firstRow="1" w:lastRow="0" w:firstColumn="1" w:lastColumn="0" w:noHBand="0" w:noVBand="1"/>
        <w:tblCaption w:val="Table 3.10  Number of Sales by Type and New-Build/Existing, Broxtowe Example"/>
      </w:tblPr>
      <w:tblGrid>
        <w:gridCol w:w="2275"/>
        <w:gridCol w:w="2188"/>
        <w:gridCol w:w="2188"/>
        <w:gridCol w:w="2126"/>
      </w:tblGrid>
      <w:tr w:rsidR="00426E61" w14:paraId="12CA39BA" w14:textId="77777777" w:rsidTr="009C6D1F">
        <w:trPr>
          <w:tblHeader/>
        </w:trPr>
        <w:tc>
          <w:tcPr>
            <w:tcW w:w="2275" w:type="dxa"/>
            <w:tcBorders>
              <w:top w:val="single" w:sz="4" w:space="0" w:color="auto"/>
              <w:left w:val="single" w:sz="4" w:space="0" w:color="auto"/>
              <w:bottom w:val="single" w:sz="4" w:space="0" w:color="auto"/>
              <w:right w:val="single" w:sz="4" w:space="0" w:color="auto"/>
            </w:tcBorders>
            <w:shd w:val="clear" w:color="auto" w:fill="002060"/>
          </w:tcPr>
          <w:p w14:paraId="3D0943ED" w14:textId="77777777" w:rsidR="00426E61" w:rsidRDefault="00426E61" w:rsidP="00602006">
            <w:pPr>
              <w:keepNext/>
              <w:spacing w:before="60" w:after="60" w:line="300" w:lineRule="auto"/>
              <w:jc w:val="left"/>
              <w:rPr>
                <w:rFonts w:ascii="Arial" w:hAnsi="Arial" w:cs="Arial"/>
              </w:rPr>
            </w:pPr>
          </w:p>
        </w:tc>
        <w:tc>
          <w:tcPr>
            <w:tcW w:w="2188" w:type="dxa"/>
            <w:tcBorders>
              <w:top w:val="single" w:sz="4" w:space="0" w:color="auto"/>
              <w:left w:val="single" w:sz="4" w:space="0" w:color="auto"/>
              <w:bottom w:val="single" w:sz="4" w:space="0" w:color="auto"/>
              <w:right w:val="single" w:sz="4" w:space="0" w:color="auto"/>
            </w:tcBorders>
            <w:shd w:val="clear" w:color="auto" w:fill="002060"/>
            <w:hideMark/>
          </w:tcPr>
          <w:p w14:paraId="277FAB1F" w14:textId="77777777" w:rsidR="00426E61" w:rsidRDefault="00426E61" w:rsidP="00602006">
            <w:pPr>
              <w:keepNext/>
              <w:spacing w:before="60" w:after="60" w:line="300" w:lineRule="auto"/>
              <w:jc w:val="center"/>
              <w:rPr>
                <w:rFonts w:ascii="Arial" w:hAnsi="Arial" w:cs="Arial"/>
              </w:rPr>
            </w:pPr>
            <w:r>
              <w:rPr>
                <w:rFonts w:ascii="Arial" w:hAnsi="Arial" w:cs="Arial"/>
              </w:rPr>
              <w:t>Existing dwellings</w:t>
            </w:r>
          </w:p>
        </w:tc>
        <w:tc>
          <w:tcPr>
            <w:tcW w:w="2188" w:type="dxa"/>
            <w:tcBorders>
              <w:top w:val="single" w:sz="4" w:space="0" w:color="auto"/>
              <w:left w:val="single" w:sz="4" w:space="0" w:color="auto"/>
              <w:bottom w:val="single" w:sz="4" w:space="0" w:color="auto"/>
              <w:right w:val="single" w:sz="4" w:space="0" w:color="auto"/>
            </w:tcBorders>
            <w:shd w:val="clear" w:color="auto" w:fill="002060"/>
            <w:hideMark/>
          </w:tcPr>
          <w:p w14:paraId="67D49DCD" w14:textId="77777777" w:rsidR="00426E61" w:rsidRDefault="00426E61" w:rsidP="00602006">
            <w:pPr>
              <w:keepNext/>
              <w:spacing w:before="60" w:after="60" w:line="300" w:lineRule="auto"/>
              <w:jc w:val="center"/>
              <w:rPr>
                <w:rFonts w:ascii="Arial" w:hAnsi="Arial" w:cs="Arial"/>
              </w:rPr>
            </w:pPr>
            <w:r>
              <w:rPr>
                <w:rFonts w:ascii="Arial" w:hAnsi="Arial" w:cs="Arial"/>
              </w:rPr>
              <w:t>Newly-built dwellings</w:t>
            </w:r>
          </w:p>
        </w:tc>
        <w:tc>
          <w:tcPr>
            <w:tcW w:w="2126" w:type="dxa"/>
            <w:tcBorders>
              <w:top w:val="single" w:sz="4" w:space="0" w:color="auto"/>
              <w:left w:val="single" w:sz="4" w:space="0" w:color="auto"/>
              <w:bottom w:val="single" w:sz="4" w:space="0" w:color="auto"/>
              <w:right w:val="single" w:sz="4" w:space="0" w:color="auto"/>
            </w:tcBorders>
            <w:shd w:val="clear" w:color="auto" w:fill="002060"/>
            <w:hideMark/>
          </w:tcPr>
          <w:p w14:paraId="62B69DA2" w14:textId="7D6AC6AD" w:rsidR="00426E61" w:rsidRDefault="00426E61" w:rsidP="00602006">
            <w:pPr>
              <w:keepNext/>
              <w:spacing w:before="60" w:after="60" w:line="300" w:lineRule="auto"/>
              <w:jc w:val="center"/>
              <w:rPr>
                <w:rFonts w:ascii="Arial" w:hAnsi="Arial" w:cs="Arial"/>
              </w:rPr>
            </w:pPr>
            <w:r>
              <w:rPr>
                <w:rFonts w:ascii="Arial" w:hAnsi="Arial" w:cs="Arial"/>
              </w:rPr>
              <w:t>Total</w:t>
            </w:r>
          </w:p>
        </w:tc>
      </w:tr>
      <w:tr w:rsidR="00426E61" w14:paraId="7432E1BC"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7315614B" w14:textId="77777777" w:rsidR="00426E61" w:rsidRDefault="00426E61" w:rsidP="00426E61">
            <w:pPr>
              <w:keepNext/>
              <w:spacing w:after="0" w:line="300" w:lineRule="auto"/>
              <w:rPr>
                <w:rFonts w:ascii="Arial" w:hAnsi="Arial" w:cs="Arial"/>
              </w:rPr>
            </w:pPr>
            <w:r>
              <w:rPr>
                <w:rFonts w:ascii="Arial" w:hAnsi="Arial" w:cs="Arial"/>
              </w:rPr>
              <w:t>Flat/maisonette</w:t>
            </w:r>
          </w:p>
        </w:tc>
        <w:tc>
          <w:tcPr>
            <w:tcW w:w="2188" w:type="dxa"/>
            <w:tcBorders>
              <w:top w:val="single" w:sz="4" w:space="0" w:color="auto"/>
              <w:left w:val="single" w:sz="4" w:space="0" w:color="auto"/>
              <w:bottom w:val="single" w:sz="4" w:space="0" w:color="auto"/>
              <w:right w:val="single" w:sz="4" w:space="0" w:color="auto"/>
            </w:tcBorders>
            <w:vAlign w:val="bottom"/>
            <w:hideMark/>
          </w:tcPr>
          <w:p w14:paraId="16427A74" w14:textId="43B9C6D9" w:rsidR="00426E61" w:rsidRPr="00426E61" w:rsidRDefault="00426E61" w:rsidP="00426E61">
            <w:pPr>
              <w:keepNext/>
              <w:spacing w:after="0" w:line="300" w:lineRule="auto"/>
              <w:jc w:val="center"/>
              <w:rPr>
                <w:rFonts w:ascii="Arial" w:hAnsi="Arial" w:cs="Arial"/>
              </w:rPr>
            </w:pPr>
            <w:r w:rsidRPr="00426E61">
              <w:rPr>
                <w:rFonts w:ascii="Arial" w:hAnsi="Arial" w:cs="Arial"/>
              </w:rPr>
              <w:t>4.8%</w:t>
            </w:r>
          </w:p>
        </w:tc>
        <w:tc>
          <w:tcPr>
            <w:tcW w:w="2188" w:type="dxa"/>
            <w:tcBorders>
              <w:top w:val="single" w:sz="4" w:space="0" w:color="auto"/>
              <w:left w:val="single" w:sz="4" w:space="0" w:color="auto"/>
              <w:bottom w:val="single" w:sz="4" w:space="0" w:color="auto"/>
              <w:right w:val="single" w:sz="4" w:space="0" w:color="auto"/>
            </w:tcBorders>
            <w:vAlign w:val="bottom"/>
            <w:hideMark/>
          </w:tcPr>
          <w:p w14:paraId="0F605F87" w14:textId="4438B8D0" w:rsidR="00426E61" w:rsidRPr="00426E61" w:rsidRDefault="00426E61" w:rsidP="00426E61">
            <w:pPr>
              <w:keepNext/>
              <w:spacing w:after="0" w:line="300" w:lineRule="auto"/>
              <w:jc w:val="center"/>
              <w:rPr>
                <w:rFonts w:ascii="Arial" w:hAnsi="Arial" w:cs="Arial"/>
              </w:rPr>
            </w:pPr>
            <w:r w:rsidRPr="00426E61">
              <w:rPr>
                <w:rFonts w:ascii="Arial" w:hAnsi="Arial" w:cs="Arial"/>
              </w:rPr>
              <w:t>24.1%</w:t>
            </w:r>
          </w:p>
        </w:tc>
        <w:tc>
          <w:tcPr>
            <w:tcW w:w="2126" w:type="dxa"/>
            <w:tcBorders>
              <w:top w:val="single" w:sz="4" w:space="0" w:color="auto"/>
              <w:left w:val="single" w:sz="4" w:space="0" w:color="auto"/>
              <w:bottom w:val="single" w:sz="4" w:space="0" w:color="auto"/>
              <w:right w:val="single" w:sz="4" w:space="0" w:color="auto"/>
            </w:tcBorders>
            <w:vAlign w:val="bottom"/>
            <w:hideMark/>
          </w:tcPr>
          <w:p w14:paraId="7F3D7809" w14:textId="3A63D3A9" w:rsidR="00426E61" w:rsidRPr="00426E61" w:rsidRDefault="00426E61" w:rsidP="00426E61">
            <w:pPr>
              <w:keepNext/>
              <w:spacing w:after="0" w:line="300" w:lineRule="auto"/>
              <w:jc w:val="center"/>
              <w:rPr>
                <w:rFonts w:ascii="Arial" w:hAnsi="Arial" w:cs="Arial"/>
              </w:rPr>
            </w:pPr>
            <w:r w:rsidRPr="00426E61">
              <w:rPr>
                <w:rFonts w:ascii="Arial" w:hAnsi="Arial" w:cs="Arial"/>
              </w:rPr>
              <w:t>5.7%</w:t>
            </w:r>
          </w:p>
        </w:tc>
      </w:tr>
      <w:tr w:rsidR="00426E61" w14:paraId="5922A33E"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5F0ADBDC" w14:textId="77777777" w:rsidR="00426E61" w:rsidRDefault="00426E61" w:rsidP="00426E61">
            <w:pPr>
              <w:keepNext/>
              <w:spacing w:after="0" w:line="300" w:lineRule="auto"/>
              <w:rPr>
                <w:rFonts w:ascii="Arial" w:hAnsi="Arial" w:cs="Arial"/>
              </w:rPr>
            </w:pPr>
            <w:r>
              <w:rPr>
                <w:rFonts w:ascii="Arial" w:hAnsi="Arial" w:cs="Arial"/>
              </w:rPr>
              <w:t>Terraced</w:t>
            </w:r>
          </w:p>
        </w:tc>
        <w:tc>
          <w:tcPr>
            <w:tcW w:w="2188" w:type="dxa"/>
            <w:tcBorders>
              <w:top w:val="single" w:sz="4" w:space="0" w:color="auto"/>
              <w:left w:val="single" w:sz="4" w:space="0" w:color="auto"/>
              <w:bottom w:val="single" w:sz="4" w:space="0" w:color="auto"/>
              <w:right w:val="single" w:sz="4" w:space="0" w:color="auto"/>
            </w:tcBorders>
            <w:vAlign w:val="bottom"/>
            <w:hideMark/>
          </w:tcPr>
          <w:p w14:paraId="3EA17CC9" w14:textId="1A6DD79C" w:rsidR="00426E61" w:rsidRPr="00426E61" w:rsidRDefault="00426E61" w:rsidP="00426E61">
            <w:pPr>
              <w:keepNext/>
              <w:spacing w:after="0" w:line="300" w:lineRule="auto"/>
              <w:jc w:val="center"/>
              <w:rPr>
                <w:rFonts w:ascii="Arial" w:hAnsi="Arial" w:cs="Arial"/>
              </w:rPr>
            </w:pPr>
            <w:r w:rsidRPr="00426E61">
              <w:rPr>
                <w:rFonts w:ascii="Arial" w:hAnsi="Arial" w:cs="Arial"/>
              </w:rPr>
              <w:t>20.6%</w:t>
            </w:r>
          </w:p>
        </w:tc>
        <w:tc>
          <w:tcPr>
            <w:tcW w:w="2188" w:type="dxa"/>
            <w:tcBorders>
              <w:top w:val="single" w:sz="4" w:space="0" w:color="auto"/>
              <w:left w:val="single" w:sz="4" w:space="0" w:color="auto"/>
              <w:bottom w:val="single" w:sz="4" w:space="0" w:color="auto"/>
              <w:right w:val="single" w:sz="4" w:space="0" w:color="auto"/>
            </w:tcBorders>
            <w:vAlign w:val="bottom"/>
            <w:hideMark/>
          </w:tcPr>
          <w:p w14:paraId="543CFA25" w14:textId="15913A49" w:rsidR="00426E61" w:rsidRPr="00426E61" w:rsidRDefault="00426E61" w:rsidP="00426E61">
            <w:pPr>
              <w:keepNext/>
              <w:spacing w:after="0" w:line="300" w:lineRule="auto"/>
              <w:jc w:val="center"/>
              <w:rPr>
                <w:rFonts w:ascii="Arial" w:hAnsi="Arial" w:cs="Arial"/>
              </w:rPr>
            </w:pPr>
            <w:r w:rsidRPr="00426E61">
              <w:rPr>
                <w:rFonts w:ascii="Arial" w:hAnsi="Arial" w:cs="Arial"/>
              </w:rPr>
              <w:t>12.6%</w:t>
            </w:r>
          </w:p>
        </w:tc>
        <w:tc>
          <w:tcPr>
            <w:tcW w:w="2126" w:type="dxa"/>
            <w:tcBorders>
              <w:top w:val="single" w:sz="4" w:space="0" w:color="auto"/>
              <w:left w:val="single" w:sz="4" w:space="0" w:color="auto"/>
              <w:bottom w:val="single" w:sz="4" w:space="0" w:color="auto"/>
              <w:right w:val="single" w:sz="4" w:space="0" w:color="auto"/>
            </w:tcBorders>
            <w:vAlign w:val="bottom"/>
            <w:hideMark/>
          </w:tcPr>
          <w:p w14:paraId="42553016" w14:textId="651B3A8C" w:rsidR="00426E61" w:rsidRPr="00426E61" w:rsidRDefault="00426E61" w:rsidP="00426E61">
            <w:pPr>
              <w:keepNext/>
              <w:spacing w:after="0" w:line="300" w:lineRule="auto"/>
              <w:jc w:val="center"/>
              <w:rPr>
                <w:rFonts w:ascii="Arial" w:hAnsi="Arial" w:cs="Arial"/>
              </w:rPr>
            </w:pPr>
            <w:r w:rsidRPr="00426E61">
              <w:rPr>
                <w:rFonts w:ascii="Arial" w:hAnsi="Arial" w:cs="Arial"/>
              </w:rPr>
              <w:t>20.2%</w:t>
            </w:r>
          </w:p>
        </w:tc>
      </w:tr>
      <w:tr w:rsidR="00426E61" w14:paraId="53AFDF73"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20DD66E7" w14:textId="77777777" w:rsidR="00426E61" w:rsidRDefault="00426E61" w:rsidP="00426E61">
            <w:pPr>
              <w:keepNext/>
              <w:spacing w:after="0" w:line="300" w:lineRule="auto"/>
              <w:rPr>
                <w:rFonts w:ascii="Arial" w:hAnsi="Arial" w:cs="Arial"/>
              </w:rPr>
            </w:pPr>
            <w:r>
              <w:rPr>
                <w:rFonts w:ascii="Arial" w:hAnsi="Arial" w:cs="Arial"/>
              </w:rPr>
              <w:t>Semi-detached</w:t>
            </w:r>
          </w:p>
        </w:tc>
        <w:tc>
          <w:tcPr>
            <w:tcW w:w="2188" w:type="dxa"/>
            <w:tcBorders>
              <w:top w:val="single" w:sz="4" w:space="0" w:color="auto"/>
              <w:left w:val="single" w:sz="4" w:space="0" w:color="auto"/>
              <w:bottom w:val="single" w:sz="4" w:space="0" w:color="auto"/>
              <w:right w:val="single" w:sz="4" w:space="0" w:color="auto"/>
            </w:tcBorders>
            <w:vAlign w:val="bottom"/>
            <w:hideMark/>
          </w:tcPr>
          <w:p w14:paraId="68C17C8A" w14:textId="40555918" w:rsidR="00426E61" w:rsidRPr="00426E61" w:rsidRDefault="00426E61" w:rsidP="00426E61">
            <w:pPr>
              <w:keepNext/>
              <w:spacing w:after="0" w:line="300" w:lineRule="auto"/>
              <w:jc w:val="center"/>
              <w:rPr>
                <w:rFonts w:ascii="Arial" w:hAnsi="Arial" w:cs="Arial"/>
              </w:rPr>
            </w:pPr>
            <w:r w:rsidRPr="00426E61">
              <w:rPr>
                <w:rFonts w:ascii="Arial" w:hAnsi="Arial" w:cs="Arial"/>
              </w:rPr>
              <w:t>38.9%</w:t>
            </w:r>
          </w:p>
        </w:tc>
        <w:tc>
          <w:tcPr>
            <w:tcW w:w="2188" w:type="dxa"/>
            <w:tcBorders>
              <w:top w:val="single" w:sz="4" w:space="0" w:color="auto"/>
              <w:left w:val="single" w:sz="4" w:space="0" w:color="auto"/>
              <w:bottom w:val="single" w:sz="4" w:space="0" w:color="auto"/>
              <w:right w:val="single" w:sz="4" w:space="0" w:color="auto"/>
            </w:tcBorders>
            <w:vAlign w:val="bottom"/>
            <w:hideMark/>
          </w:tcPr>
          <w:p w14:paraId="61D3A50E" w14:textId="4C219D3E" w:rsidR="00426E61" w:rsidRPr="00426E61" w:rsidRDefault="00426E61" w:rsidP="00426E61">
            <w:pPr>
              <w:keepNext/>
              <w:spacing w:after="0" w:line="300" w:lineRule="auto"/>
              <w:jc w:val="center"/>
              <w:rPr>
                <w:rFonts w:ascii="Arial" w:hAnsi="Arial" w:cs="Arial"/>
              </w:rPr>
            </w:pPr>
            <w:r w:rsidRPr="00426E61">
              <w:rPr>
                <w:rFonts w:ascii="Arial" w:hAnsi="Arial" w:cs="Arial"/>
              </w:rPr>
              <w:t>33.3%</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F6FEBA5" w14:textId="786BBC31" w:rsidR="00426E61" w:rsidRPr="00426E61" w:rsidRDefault="00426E61" w:rsidP="00426E61">
            <w:pPr>
              <w:keepNext/>
              <w:spacing w:after="0" w:line="300" w:lineRule="auto"/>
              <w:jc w:val="center"/>
              <w:rPr>
                <w:rFonts w:ascii="Arial" w:hAnsi="Arial" w:cs="Arial"/>
              </w:rPr>
            </w:pPr>
            <w:r w:rsidRPr="00426E61">
              <w:rPr>
                <w:rFonts w:ascii="Arial" w:hAnsi="Arial" w:cs="Arial"/>
              </w:rPr>
              <w:t>38.6%</w:t>
            </w:r>
          </w:p>
        </w:tc>
      </w:tr>
      <w:tr w:rsidR="00426E61" w14:paraId="626B2A4C"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1D1C15B2" w14:textId="77777777" w:rsidR="00426E61" w:rsidRDefault="00426E61" w:rsidP="00426E61">
            <w:pPr>
              <w:keepNext/>
              <w:spacing w:after="0" w:line="300" w:lineRule="auto"/>
              <w:rPr>
                <w:rFonts w:ascii="Arial" w:hAnsi="Arial" w:cs="Arial"/>
              </w:rPr>
            </w:pPr>
            <w:r>
              <w:rPr>
                <w:rFonts w:ascii="Arial" w:hAnsi="Arial" w:cs="Arial"/>
              </w:rPr>
              <w:t>Detached</w:t>
            </w:r>
          </w:p>
        </w:tc>
        <w:tc>
          <w:tcPr>
            <w:tcW w:w="2188" w:type="dxa"/>
            <w:tcBorders>
              <w:top w:val="single" w:sz="4" w:space="0" w:color="auto"/>
              <w:left w:val="single" w:sz="4" w:space="0" w:color="auto"/>
              <w:bottom w:val="single" w:sz="4" w:space="0" w:color="auto"/>
              <w:right w:val="single" w:sz="4" w:space="0" w:color="auto"/>
            </w:tcBorders>
            <w:vAlign w:val="bottom"/>
            <w:hideMark/>
          </w:tcPr>
          <w:p w14:paraId="59791C1D" w14:textId="500915F0" w:rsidR="00426E61" w:rsidRPr="00426E61" w:rsidRDefault="00426E61" w:rsidP="00426E61">
            <w:pPr>
              <w:keepNext/>
              <w:spacing w:after="0" w:line="300" w:lineRule="auto"/>
              <w:jc w:val="center"/>
              <w:rPr>
                <w:rFonts w:ascii="Arial" w:hAnsi="Arial" w:cs="Arial"/>
              </w:rPr>
            </w:pPr>
            <w:r w:rsidRPr="00426E61">
              <w:rPr>
                <w:rFonts w:ascii="Arial" w:hAnsi="Arial" w:cs="Arial"/>
              </w:rPr>
              <w:t>35.7%</w:t>
            </w:r>
          </w:p>
        </w:tc>
        <w:tc>
          <w:tcPr>
            <w:tcW w:w="2188" w:type="dxa"/>
            <w:tcBorders>
              <w:top w:val="single" w:sz="4" w:space="0" w:color="auto"/>
              <w:left w:val="single" w:sz="4" w:space="0" w:color="auto"/>
              <w:bottom w:val="single" w:sz="4" w:space="0" w:color="auto"/>
              <w:right w:val="single" w:sz="4" w:space="0" w:color="auto"/>
            </w:tcBorders>
            <w:vAlign w:val="bottom"/>
            <w:hideMark/>
          </w:tcPr>
          <w:p w14:paraId="16386532" w14:textId="735DD219" w:rsidR="00426E61" w:rsidRPr="00426E61" w:rsidRDefault="00426E61" w:rsidP="00426E61">
            <w:pPr>
              <w:keepNext/>
              <w:spacing w:after="0" w:line="300" w:lineRule="auto"/>
              <w:jc w:val="center"/>
              <w:rPr>
                <w:rFonts w:ascii="Arial" w:hAnsi="Arial" w:cs="Arial"/>
              </w:rPr>
            </w:pPr>
            <w:r w:rsidRPr="00426E61">
              <w:rPr>
                <w:rFonts w:ascii="Arial" w:hAnsi="Arial" w:cs="Arial"/>
              </w:rPr>
              <w:t>30.0%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0C8EEEC8" w14:textId="710A8068" w:rsidR="00426E61" w:rsidRPr="00426E61" w:rsidRDefault="00426E61" w:rsidP="00426E61">
            <w:pPr>
              <w:keepNext/>
              <w:spacing w:after="0" w:line="300" w:lineRule="auto"/>
              <w:jc w:val="center"/>
              <w:rPr>
                <w:rFonts w:ascii="Arial" w:hAnsi="Arial" w:cs="Arial"/>
              </w:rPr>
            </w:pPr>
            <w:r w:rsidRPr="00426E61">
              <w:rPr>
                <w:rFonts w:ascii="Arial" w:hAnsi="Arial" w:cs="Arial"/>
              </w:rPr>
              <w:t>35.4%</w:t>
            </w:r>
          </w:p>
        </w:tc>
      </w:tr>
      <w:tr w:rsidR="00426E61" w14:paraId="50420348" w14:textId="77777777" w:rsidTr="00426E61">
        <w:tc>
          <w:tcPr>
            <w:tcW w:w="2275" w:type="dxa"/>
            <w:tcBorders>
              <w:top w:val="single" w:sz="4" w:space="0" w:color="auto"/>
              <w:left w:val="single" w:sz="4" w:space="0" w:color="auto"/>
              <w:bottom w:val="single" w:sz="4" w:space="0" w:color="auto"/>
              <w:right w:val="single" w:sz="4" w:space="0" w:color="auto"/>
            </w:tcBorders>
            <w:hideMark/>
          </w:tcPr>
          <w:p w14:paraId="444295ED" w14:textId="77777777" w:rsidR="00426E61" w:rsidRDefault="00426E61" w:rsidP="00426E61">
            <w:pPr>
              <w:keepNext/>
              <w:spacing w:after="0" w:line="300" w:lineRule="auto"/>
              <w:rPr>
                <w:rFonts w:ascii="Arial" w:hAnsi="Arial" w:cs="Arial"/>
              </w:rPr>
            </w:pPr>
            <w:r>
              <w:rPr>
                <w:rFonts w:ascii="Arial" w:hAnsi="Arial" w:cs="Arial"/>
              </w:rPr>
              <w:t>All dwellings</w:t>
            </w:r>
          </w:p>
        </w:tc>
        <w:tc>
          <w:tcPr>
            <w:tcW w:w="2188" w:type="dxa"/>
            <w:tcBorders>
              <w:top w:val="single" w:sz="4" w:space="0" w:color="auto"/>
              <w:left w:val="single" w:sz="4" w:space="0" w:color="auto"/>
              <w:bottom w:val="single" w:sz="4" w:space="0" w:color="auto"/>
              <w:right w:val="single" w:sz="4" w:space="0" w:color="auto"/>
            </w:tcBorders>
            <w:vAlign w:val="bottom"/>
            <w:hideMark/>
          </w:tcPr>
          <w:p w14:paraId="497E89A7" w14:textId="34153A6F" w:rsidR="00426E61" w:rsidRPr="00426E61" w:rsidRDefault="00426E61" w:rsidP="00426E61">
            <w:pPr>
              <w:keepNext/>
              <w:spacing w:after="0" w:line="300" w:lineRule="auto"/>
              <w:jc w:val="center"/>
              <w:rPr>
                <w:rFonts w:ascii="Arial" w:hAnsi="Arial" w:cs="Arial"/>
              </w:rPr>
            </w:pPr>
            <w:r w:rsidRPr="00426E61">
              <w:rPr>
                <w:rFonts w:ascii="Arial" w:hAnsi="Arial" w:cs="Arial"/>
              </w:rPr>
              <w:t>100.0%</w:t>
            </w:r>
          </w:p>
        </w:tc>
        <w:tc>
          <w:tcPr>
            <w:tcW w:w="2188" w:type="dxa"/>
            <w:tcBorders>
              <w:top w:val="single" w:sz="4" w:space="0" w:color="auto"/>
              <w:left w:val="single" w:sz="4" w:space="0" w:color="auto"/>
              <w:bottom w:val="single" w:sz="4" w:space="0" w:color="auto"/>
              <w:right w:val="single" w:sz="4" w:space="0" w:color="auto"/>
            </w:tcBorders>
            <w:vAlign w:val="bottom"/>
            <w:hideMark/>
          </w:tcPr>
          <w:p w14:paraId="16739C5E" w14:textId="296BECED" w:rsidR="00426E61" w:rsidRPr="00426E61" w:rsidRDefault="00426E61" w:rsidP="00426E61">
            <w:pPr>
              <w:keepNext/>
              <w:spacing w:after="0" w:line="300" w:lineRule="auto"/>
              <w:jc w:val="center"/>
              <w:rPr>
                <w:rFonts w:ascii="Arial" w:hAnsi="Arial" w:cs="Arial"/>
              </w:rPr>
            </w:pPr>
            <w:r w:rsidRPr="00426E61">
              <w:rPr>
                <w:rFonts w:ascii="Arial" w:hAnsi="Arial" w:cs="Arial"/>
              </w:rPr>
              <w:t>100.0%</w:t>
            </w:r>
          </w:p>
        </w:tc>
        <w:tc>
          <w:tcPr>
            <w:tcW w:w="2126" w:type="dxa"/>
            <w:tcBorders>
              <w:top w:val="single" w:sz="4" w:space="0" w:color="auto"/>
              <w:left w:val="single" w:sz="4" w:space="0" w:color="auto"/>
              <w:bottom w:val="single" w:sz="4" w:space="0" w:color="auto"/>
              <w:right w:val="single" w:sz="4" w:space="0" w:color="auto"/>
            </w:tcBorders>
            <w:vAlign w:val="bottom"/>
            <w:hideMark/>
          </w:tcPr>
          <w:p w14:paraId="6C428DAC" w14:textId="6E1ED9A9" w:rsidR="00426E61" w:rsidRPr="00426E61" w:rsidRDefault="00426E61" w:rsidP="00426E61">
            <w:pPr>
              <w:keepNext/>
              <w:spacing w:after="0" w:line="300" w:lineRule="auto"/>
              <w:jc w:val="center"/>
              <w:rPr>
                <w:rFonts w:ascii="Arial" w:hAnsi="Arial" w:cs="Arial"/>
              </w:rPr>
            </w:pPr>
            <w:r w:rsidRPr="00426E61">
              <w:rPr>
                <w:rFonts w:ascii="Arial" w:hAnsi="Arial" w:cs="Arial"/>
              </w:rPr>
              <w:t>100.0%</w:t>
            </w:r>
          </w:p>
        </w:tc>
      </w:tr>
    </w:tbl>
    <w:p w14:paraId="0F84CE7B" w14:textId="77777777" w:rsidR="00426E61" w:rsidRDefault="00426E61" w:rsidP="00426E61">
      <w:pPr>
        <w:spacing w:line="300" w:lineRule="auto"/>
        <w:rPr>
          <w:rFonts w:ascii="Arial" w:hAnsi="Arial" w:cs="Arial"/>
          <w:i/>
          <w:iCs/>
          <w:sz w:val="16"/>
          <w:szCs w:val="16"/>
        </w:rPr>
      </w:pPr>
      <w:r>
        <w:rPr>
          <w:rFonts w:ascii="Arial" w:hAnsi="Arial" w:cs="Arial"/>
          <w:i/>
          <w:iCs/>
          <w:sz w:val="16"/>
          <w:szCs w:val="16"/>
        </w:rPr>
        <w:t>Source: Land Registry</w:t>
      </w:r>
    </w:p>
    <w:p w14:paraId="7828895A" w14:textId="2AAE8C1D" w:rsidR="00426E61" w:rsidRDefault="00426E61" w:rsidP="00426E61">
      <w:pPr>
        <w:pStyle w:val="BodyText"/>
        <w:rPr>
          <w:rFonts w:eastAsiaTheme="majorEastAsia"/>
        </w:rPr>
      </w:pPr>
      <w:r w:rsidRPr="00426E61">
        <w:rPr>
          <w:rFonts w:eastAsiaTheme="majorEastAsia"/>
        </w:rPr>
        <w:t>In terms of estimating an overall new</w:t>
      </w:r>
      <w:r>
        <w:rPr>
          <w:rFonts w:eastAsiaTheme="majorEastAsia"/>
        </w:rPr>
        <w:t>-</w:t>
      </w:r>
      <w:r w:rsidRPr="00426E61">
        <w:rPr>
          <w:rFonts w:eastAsiaTheme="majorEastAsia"/>
        </w:rPr>
        <w:t>build premium</w:t>
      </w:r>
      <w:r>
        <w:rPr>
          <w:rFonts w:eastAsiaTheme="majorEastAsia"/>
        </w:rPr>
        <w:t>,</w:t>
      </w:r>
      <w:r w:rsidRPr="00426E61">
        <w:rPr>
          <w:rFonts w:eastAsiaTheme="majorEastAsia"/>
        </w:rPr>
        <w:t xml:space="preserve"> we have used the proportions in each new</w:t>
      </w:r>
      <w:r>
        <w:rPr>
          <w:rFonts w:eastAsiaTheme="majorEastAsia"/>
        </w:rPr>
        <w:t>-</w:t>
      </w:r>
      <w:r w:rsidRPr="00426E61">
        <w:rPr>
          <w:rFonts w:eastAsiaTheme="majorEastAsia"/>
        </w:rPr>
        <w:t>build category and applied this percentage to the new</w:t>
      </w:r>
      <w:r>
        <w:rPr>
          <w:rFonts w:eastAsiaTheme="majorEastAsia"/>
        </w:rPr>
        <w:t>-</w:t>
      </w:r>
      <w:r w:rsidRPr="00426E61">
        <w:rPr>
          <w:rFonts w:eastAsiaTheme="majorEastAsia"/>
        </w:rPr>
        <w:t>build premium in each type of category</w:t>
      </w:r>
      <w:r>
        <w:rPr>
          <w:rFonts w:eastAsiaTheme="majorEastAsia"/>
        </w:rPr>
        <w:t>.  T</w:t>
      </w:r>
      <w:r w:rsidRPr="00426E61">
        <w:rPr>
          <w:rFonts w:eastAsiaTheme="majorEastAsia"/>
        </w:rPr>
        <w:t>his allows us to calculated a weighted average which gives us the overall estimated premium. The calculation is summarised</w:t>
      </w:r>
      <w:r>
        <w:rPr>
          <w:rFonts w:eastAsiaTheme="majorEastAsia"/>
        </w:rPr>
        <w:t xml:space="preserve"> in the Table below for Broxtowe.</w:t>
      </w:r>
    </w:p>
    <w:p w14:paraId="1F22CBD8" w14:textId="3073C73C" w:rsidR="00426E61" w:rsidRDefault="00426E61" w:rsidP="00426E61">
      <w:pPr>
        <w:pStyle w:val="Heading4"/>
      </w:pPr>
      <w:r>
        <w:t>Calculating Overall New-Build Premium, Broxtowe Example</w:t>
      </w:r>
    </w:p>
    <w:tbl>
      <w:tblPr>
        <w:tblStyle w:val="TableTheme"/>
        <w:tblW w:w="5000" w:type="pct"/>
        <w:tblInd w:w="0" w:type="dxa"/>
        <w:tblLook w:val="04A0" w:firstRow="1" w:lastRow="0" w:firstColumn="1" w:lastColumn="0" w:noHBand="0" w:noVBand="1"/>
        <w:tblCaption w:val="Table 3.11 Calculating Overall New-Build Premium, Broxtowe Example"/>
      </w:tblPr>
      <w:tblGrid>
        <w:gridCol w:w="2275"/>
        <w:gridCol w:w="2188"/>
        <w:gridCol w:w="2188"/>
        <w:gridCol w:w="2126"/>
      </w:tblGrid>
      <w:tr w:rsidR="00426E61" w14:paraId="4D5B2794" w14:textId="77777777" w:rsidTr="009C6D1F">
        <w:trPr>
          <w:tblHeader/>
        </w:trPr>
        <w:tc>
          <w:tcPr>
            <w:tcW w:w="2275" w:type="dxa"/>
            <w:tcBorders>
              <w:top w:val="single" w:sz="4" w:space="0" w:color="auto"/>
              <w:left w:val="single" w:sz="4" w:space="0" w:color="auto"/>
              <w:bottom w:val="single" w:sz="4" w:space="0" w:color="auto"/>
              <w:right w:val="single" w:sz="4" w:space="0" w:color="auto"/>
            </w:tcBorders>
            <w:shd w:val="clear" w:color="auto" w:fill="002060"/>
          </w:tcPr>
          <w:p w14:paraId="14F2F284" w14:textId="77777777" w:rsidR="00426E61" w:rsidRDefault="00426E61" w:rsidP="00602006">
            <w:pPr>
              <w:keepNext/>
              <w:spacing w:before="60" w:after="60" w:line="300" w:lineRule="auto"/>
              <w:jc w:val="left"/>
              <w:rPr>
                <w:rFonts w:ascii="Arial" w:hAnsi="Arial" w:cs="Arial"/>
              </w:rPr>
            </w:pPr>
          </w:p>
        </w:tc>
        <w:tc>
          <w:tcPr>
            <w:tcW w:w="2188" w:type="dxa"/>
            <w:tcBorders>
              <w:top w:val="single" w:sz="4" w:space="0" w:color="auto"/>
              <w:left w:val="single" w:sz="4" w:space="0" w:color="auto"/>
              <w:bottom w:val="single" w:sz="4" w:space="0" w:color="auto"/>
              <w:right w:val="single" w:sz="4" w:space="0" w:color="auto"/>
            </w:tcBorders>
            <w:shd w:val="clear" w:color="auto" w:fill="002060"/>
          </w:tcPr>
          <w:p w14:paraId="474E6BA6" w14:textId="07953BE5" w:rsidR="00426E61" w:rsidRDefault="00426E61" w:rsidP="00602006">
            <w:pPr>
              <w:keepNext/>
              <w:spacing w:before="60" w:after="60" w:line="300" w:lineRule="auto"/>
              <w:jc w:val="center"/>
              <w:rPr>
                <w:rFonts w:ascii="Arial" w:hAnsi="Arial" w:cs="Arial"/>
              </w:rPr>
            </w:pPr>
            <w:r>
              <w:rPr>
                <w:rFonts w:ascii="Arial" w:hAnsi="Arial" w:cs="Arial"/>
              </w:rPr>
              <w:t>% of Sales</w:t>
            </w:r>
          </w:p>
        </w:tc>
        <w:tc>
          <w:tcPr>
            <w:tcW w:w="2188" w:type="dxa"/>
            <w:tcBorders>
              <w:top w:val="single" w:sz="4" w:space="0" w:color="auto"/>
              <w:left w:val="single" w:sz="4" w:space="0" w:color="auto"/>
              <w:bottom w:val="single" w:sz="4" w:space="0" w:color="auto"/>
              <w:right w:val="single" w:sz="4" w:space="0" w:color="auto"/>
            </w:tcBorders>
            <w:shd w:val="clear" w:color="auto" w:fill="002060"/>
          </w:tcPr>
          <w:p w14:paraId="268493E7" w14:textId="55CBF9A2" w:rsidR="00426E61" w:rsidRDefault="00426E61" w:rsidP="00602006">
            <w:pPr>
              <w:keepNext/>
              <w:spacing w:before="60" w:after="60" w:line="300" w:lineRule="auto"/>
              <w:jc w:val="center"/>
              <w:rPr>
                <w:rFonts w:ascii="Arial" w:hAnsi="Arial" w:cs="Arial"/>
              </w:rPr>
            </w:pPr>
            <w:r>
              <w:rPr>
                <w:rFonts w:ascii="Arial" w:hAnsi="Arial" w:cs="Arial"/>
              </w:rPr>
              <w:t>Premium</w:t>
            </w:r>
          </w:p>
        </w:tc>
        <w:tc>
          <w:tcPr>
            <w:tcW w:w="2126" w:type="dxa"/>
            <w:tcBorders>
              <w:top w:val="single" w:sz="4" w:space="0" w:color="auto"/>
              <w:left w:val="single" w:sz="4" w:space="0" w:color="auto"/>
              <w:bottom w:val="single" w:sz="4" w:space="0" w:color="auto"/>
              <w:right w:val="single" w:sz="4" w:space="0" w:color="auto"/>
            </w:tcBorders>
            <w:shd w:val="clear" w:color="auto" w:fill="002060"/>
          </w:tcPr>
          <w:p w14:paraId="472ABB2A" w14:textId="19EA571B" w:rsidR="00426E61" w:rsidRDefault="00426E61" w:rsidP="00602006">
            <w:pPr>
              <w:keepNext/>
              <w:spacing w:before="60" w:after="60" w:line="300" w:lineRule="auto"/>
              <w:jc w:val="center"/>
              <w:rPr>
                <w:rFonts w:ascii="Arial" w:hAnsi="Arial" w:cs="Arial"/>
              </w:rPr>
            </w:pPr>
            <w:r>
              <w:rPr>
                <w:rFonts w:ascii="Arial" w:hAnsi="Arial" w:cs="Arial"/>
              </w:rPr>
              <w:t>Weighed Sales Premium</w:t>
            </w:r>
          </w:p>
        </w:tc>
      </w:tr>
      <w:tr w:rsidR="00485C94" w14:paraId="6749DFD2"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3D0A3321" w14:textId="77777777" w:rsidR="00485C94" w:rsidRDefault="00485C94" w:rsidP="00485C94">
            <w:pPr>
              <w:keepNext/>
              <w:spacing w:after="0" w:line="300" w:lineRule="auto"/>
              <w:rPr>
                <w:rFonts w:ascii="Arial" w:hAnsi="Arial" w:cs="Arial"/>
              </w:rPr>
            </w:pPr>
            <w:r>
              <w:rPr>
                <w:rFonts w:ascii="Arial" w:hAnsi="Arial" w:cs="Arial"/>
              </w:rPr>
              <w:t>Flat/maisonette</w:t>
            </w:r>
          </w:p>
        </w:tc>
        <w:tc>
          <w:tcPr>
            <w:tcW w:w="2188" w:type="dxa"/>
            <w:tcBorders>
              <w:top w:val="single" w:sz="4" w:space="0" w:color="auto"/>
              <w:left w:val="single" w:sz="4" w:space="0" w:color="auto"/>
              <w:bottom w:val="single" w:sz="4" w:space="0" w:color="auto"/>
              <w:right w:val="single" w:sz="4" w:space="0" w:color="auto"/>
            </w:tcBorders>
            <w:vAlign w:val="bottom"/>
          </w:tcPr>
          <w:p w14:paraId="4B585513" w14:textId="47B32AFC"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24.1%</w:t>
            </w:r>
          </w:p>
        </w:tc>
        <w:tc>
          <w:tcPr>
            <w:tcW w:w="2188" w:type="dxa"/>
            <w:tcBorders>
              <w:top w:val="single" w:sz="4" w:space="0" w:color="auto"/>
              <w:left w:val="single" w:sz="4" w:space="0" w:color="auto"/>
              <w:bottom w:val="single" w:sz="4" w:space="0" w:color="auto"/>
              <w:right w:val="single" w:sz="4" w:space="0" w:color="auto"/>
            </w:tcBorders>
            <w:vAlign w:val="bottom"/>
          </w:tcPr>
          <w:p w14:paraId="16C49CCF" w14:textId="3F84D472"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47%</w:t>
            </w:r>
          </w:p>
        </w:tc>
        <w:tc>
          <w:tcPr>
            <w:tcW w:w="2126" w:type="dxa"/>
            <w:tcBorders>
              <w:top w:val="single" w:sz="4" w:space="0" w:color="auto"/>
              <w:left w:val="single" w:sz="4" w:space="0" w:color="auto"/>
              <w:bottom w:val="single" w:sz="4" w:space="0" w:color="auto"/>
              <w:right w:val="single" w:sz="4" w:space="0" w:color="auto"/>
            </w:tcBorders>
            <w:vAlign w:val="bottom"/>
          </w:tcPr>
          <w:p w14:paraId="0FC0820D" w14:textId="65D6FD84"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11.3%</w:t>
            </w:r>
          </w:p>
        </w:tc>
      </w:tr>
      <w:tr w:rsidR="00485C94" w14:paraId="2910A9B0"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181C76D9" w14:textId="77777777" w:rsidR="00485C94" w:rsidRDefault="00485C94" w:rsidP="00485C94">
            <w:pPr>
              <w:keepNext/>
              <w:spacing w:after="0" w:line="300" w:lineRule="auto"/>
              <w:rPr>
                <w:rFonts w:ascii="Arial" w:hAnsi="Arial" w:cs="Arial"/>
              </w:rPr>
            </w:pPr>
            <w:r>
              <w:rPr>
                <w:rFonts w:ascii="Arial" w:hAnsi="Arial" w:cs="Arial"/>
              </w:rPr>
              <w:t>Terraced</w:t>
            </w:r>
          </w:p>
        </w:tc>
        <w:tc>
          <w:tcPr>
            <w:tcW w:w="2188" w:type="dxa"/>
            <w:tcBorders>
              <w:top w:val="single" w:sz="4" w:space="0" w:color="auto"/>
              <w:left w:val="single" w:sz="4" w:space="0" w:color="auto"/>
              <w:bottom w:val="single" w:sz="4" w:space="0" w:color="auto"/>
              <w:right w:val="single" w:sz="4" w:space="0" w:color="auto"/>
            </w:tcBorders>
            <w:vAlign w:val="bottom"/>
          </w:tcPr>
          <w:p w14:paraId="17082A77" w14:textId="03C8A492"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12.6%</w:t>
            </w:r>
          </w:p>
        </w:tc>
        <w:tc>
          <w:tcPr>
            <w:tcW w:w="2188" w:type="dxa"/>
            <w:tcBorders>
              <w:top w:val="single" w:sz="4" w:space="0" w:color="auto"/>
              <w:left w:val="single" w:sz="4" w:space="0" w:color="auto"/>
              <w:bottom w:val="single" w:sz="4" w:space="0" w:color="auto"/>
              <w:right w:val="single" w:sz="4" w:space="0" w:color="auto"/>
            </w:tcBorders>
            <w:vAlign w:val="bottom"/>
          </w:tcPr>
          <w:p w14:paraId="2F51E395" w14:textId="435E32EE"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46%</w:t>
            </w:r>
          </w:p>
        </w:tc>
        <w:tc>
          <w:tcPr>
            <w:tcW w:w="2126" w:type="dxa"/>
            <w:tcBorders>
              <w:top w:val="single" w:sz="4" w:space="0" w:color="auto"/>
              <w:left w:val="single" w:sz="4" w:space="0" w:color="auto"/>
              <w:bottom w:val="single" w:sz="4" w:space="0" w:color="auto"/>
              <w:right w:val="single" w:sz="4" w:space="0" w:color="auto"/>
            </w:tcBorders>
            <w:vAlign w:val="bottom"/>
          </w:tcPr>
          <w:p w14:paraId="7394A87D" w14:textId="0FD4AFA7"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5.8%</w:t>
            </w:r>
          </w:p>
        </w:tc>
      </w:tr>
      <w:tr w:rsidR="00485C94" w14:paraId="2FABA2F7"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7F4A9C86" w14:textId="77777777" w:rsidR="00485C94" w:rsidRDefault="00485C94" w:rsidP="00485C94">
            <w:pPr>
              <w:keepNext/>
              <w:spacing w:after="0" w:line="300" w:lineRule="auto"/>
              <w:rPr>
                <w:rFonts w:ascii="Arial" w:hAnsi="Arial" w:cs="Arial"/>
              </w:rPr>
            </w:pPr>
            <w:r>
              <w:rPr>
                <w:rFonts w:ascii="Arial" w:hAnsi="Arial" w:cs="Arial"/>
              </w:rPr>
              <w:t>Semi-detached</w:t>
            </w:r>
          </w:p>
        </w:tc>
        <w:tc>
          <w:tcPr>
            <w:tcW w:w="2188" w:type="dxa"/>
            <w:tcBorders>
              <w:top w:val="single" w:sz="4" w:space="0" w:color="auto"/>
              <w:left w:val="single" w:sz="4" w:space="0" w:color="auto"/>
              <w:bottom w:val="single" w:sz="4" w:space="0" w:color="auto"/>
              <w:right w:val="single" w:sz="4" w:space="0" w:color="auto"/>
            </w:tcBorders>
            <w:vAlign w:val="bottom"/>
          </w:tcPr>
          <w:p w14:paraId="6C63CDD8" w14:textId="6D634F50"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33.3%</w:t>
            </w:r>
          </w:p>
        </w:tc>
        <w:tc>
          <w:tcPr>
            <w:tcW w:w="2188" w:type="dxa"/>
            <w:tcBorders>
              <w:top w:val="single" w:sz="4" w:space="0" w:color="auto"/>
              <w:left w:val="single" w:sz="4" w:space="0" w:color="auto"/>
              <w:bottom w:val="single" w:sz="4" w:space="0" w:color="auto"/>
              <w:right w:val="single" w:sz="4" w:space="0" w:color="auto"/>
            </w:tcBorders>
            <w:vAlign w:val="bottom"/>
          </w:tcPr>
          <w:p w14:paraId="4BDCB966" w14:textId="15E6B25E"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29%</w:t>
            </w:r>
          </w:p>
        </w:tc>
        <w:tc>
          <w:tcPr>
            <w:tcW w:w="2126" w:type="dxa"/>
            <w:tcBorders>
              <w:top w:val="single" w:sz="4" w:space="0" w:color="auto"/>
              <w:left w:val="single" w:sz="4" w:space="0" w:color="auto"/>
              <w:bottom w:val="single" w:sz="4" w:space="0" w:color="auto"/>
              <w:right w:val="single" w:sz="4" w:space="0" w:color="auto"/>
            </w:tcBorders>
            <w:vAlign w:val="bottom"/>
          </w:tcPr>
          <w:p w14:paraId="6DC1677A" w14:textId="4E556ED4"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9.6%</w:t>
            </w:r>
          </w:p>
        </w:tc>
      </w:tr>
      <w:tr w:rsidR="00485C94" w14:paraId="2F357C7A"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6697AA15" w14:textId="77777777" w:rsidR="00485C94" w:rsidRDefault="00485C94" w:rsidP="00485C94">
            <w:pPr>
              <w:keepNext/>
              <w:spacing w:after="0" w:line="300" w:lineRule="auto"/>
              <w:rPr>
                <w:rFonts w:ascii="Arial" w:hAnsi="Arial" w:cs="Arial"/>
              </w:rPr>
            </w:pPr>
            <w:r>
              <w:rPr>
                <w:rFonts w:ascii="Arial" w:hAnsi="Arial" w:cs="Arial"/>
              </w:rPr>
              <w:t>Detached</w:t>
            </w:r>
          </w:p>
        </w:tc>
        <w:tc>
          <w:tcPr>
            <w:tcW w:w="2188" w:type="dxa"/>
            <w:tcBorders>
              <w:top w:val="single" w:sz="4" w:space="0" w:color="auto"/>
              <w:left w:val="single" w:sz="4" w:space="0" w:color="auto"/>
              <w:bottom w:val="single" w:sz="4" w:space="0" w:color="auto"/>
              <w:right w:val="single" w:sz="4" w:space="0" w:color="auto"/>
            </w:tcBorders>
            <w:vAlign w:val="bottom"/>
          </w:tcPr>
          <w:p w14:paraId="6364C4FD" w14:textId="3E899B13"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30.0%</w:t>
            </w:r>
          </w:p>
        </w:tc>
        <w:tc>
          <w:tcPr>
            <w:tcW w:w="2188" w:type="dxa"/>
            <w:tcBorders>
              <w:top w:val="single" w:sz="4" w:space="0" w:color="auto"/>
              <w:left w:val="single" w:sz="4" w:space="0" w:color="auto"/>
              <w:bottom w:val="single" w:sz="4" w:space="0" w:color="auto"/>
              <w:right w:val="single" w:sz="4" w:space="0" w:color="auto"/>
            </w:tcBorders>
            <w:vAlign w:val="bottom"/>
          </w:tcPr>
          <w:p w14:paraId="2BE60430" w14:textId="400EFC7F"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22%</w:t>
            </w:r>
          </w:p>
        </w:tc>
        <w:tc>
          <w:tcPr>
            <w:tcW w:w="2126" w:type="dxa"/>
            <w:tcBorders>
              <w:top w:val="single" w:sz="4" w:space="0" w:color="auto"/>
              <w:left w:val="single" w:sz="4" w:space="0" w:color="auto"/>
              <w:bottom w:val="single" w:sz="4" w:space="0" w:color="auto"/>
              <w:right w:val="single" w:sz="4" w:space="0" w:color="auto"/>
            </w:tcBorders>
            <w:vAlign w:val="bottom"/>
          </w:tcPr>
          <w:p w14:paraId="323B7CF4" w14:textId="19F970C0"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6.6%</w:t>
            </w:r>
          </w:p>
        </w:tc>
      </w:tr>
      <w:tr w:rsidR="00485C94" w14:paraId="376BE177" w14:textId="77777777" w:rsidTr="0031523C">
        <w:tc>
          <w:tcPr>
            <w:tcW w:w="2275" w:type="dxa"/>
            <w:tcBorders>
              <w:top w:val="single" w:sz="4" w:space="0" w:color="auto"/>
              <w:left w:val="single" w:sz="4" w:space="0" w:color="auto"/>
              <w:bottom w:val="single" w:sz="4" w:space="0" w:color="auto"/>
              <w:right w:val="single" w:sz="4" w:space="0" w:color="auto"/>
            </w:tcBorders>
            <w:hideMark/>
          </w:tcPr>
          <w:p w14:paraId="31F51403" w14:textId="77777777" w:rsidR="00485C94" w:rsidRDefault="00485C94" w:rsidP="00485C94">
            <w:pPr>
              <w:keepNext/>
              <w:spacing w:after="0" w:line="300" w:lineRule="auto"/>
              <w:rPr>
                <w:rFonts w:ascii="Arial" w:hAnsi="Arial" w:cs="Arial"/>
              </w:rPr>
            </w:pPr>
            <w:r>
              <w:rPr>
                <w:rFonts w:ascii="Arial" w:hAnsi="Arial" w:cs="Arial"/>
              </w:rPr>
              <w:t>All dwellings</w:t>
            </w:r>
          </w:p>
        </w:tc>
        <w:tc>
          <w:tcPr>
            <w:tcW w:w="2188" w:type="dxa"/>
            <w:tcBorders>
              <w:top w:val="single" w:sz="4" w:space="0" w:color="auto"/>
              <w:left w:val="single" w:sz="4" w:space="0" w:color="auto"/>
              <w:bottom w:val="single" w:sz="4" w:space="0" w:color="auto"/>
              <w:right w:val="single" w:sz="4" w:space="0" w:color="auto"/>
            </w:tcBorders>
            <w:vAlign w:val="bottom"/>
          </w:tcPr>
          <w:p w14:paraId="220D79B4" w14:textId="11673CB6"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100.0%</w:t>
            </w:r>
          </w:p>
        </w:tc>
        <w:tc>
          <w:tcPr>
            <w:tcW w:w="2188" w:type="dxa"/>
            <w:tcBorders>
              <w:top w:val="single" w:sz="4" w:space="0" w:color="auto"/>
              <w:left w:val="single" w:sz="4" w:space="0" w:color="auto"/>
              <w:bottom w:val="single" w:sz="4" w:space="0" w:color="auto"/>
              <w:right w:val="single" w:sz="4" w:space="0" w:color="auto"/>
            </w:tcBorders>
          </w:tcPr>
          <w:p w14:paraId="7A02B438" w14:textId="4090C61E"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color w:val="000000" w:themeColor="text1"/>
              </w:rPr>
              <w:t>-</w:t>
            </w:r>
          </w:p>
        </w:tc>
        <w:tc>
          <w:tcPr>
            <w:tcW w:w="2126" w:type="dxa"/>
            <w:tcBorders>
              <w:top w:val="single" w:sz="4" w:space="0" w:color="auto"/>
              <w:left w:val="single" w:sz="4" w:space="0" w:color="auto"/>
              <w:bottom w:val="single" w:sz="4" w:space="0" w:color="auto"/>
              <w:right w:val="single" w:sz="4" w:space="0" w:color="auto"/>
            </w:tcBorders>
            <w:vAlign w:val="bottom"/>
          </w:tcPr>
          <w:p w14:paraId="54C8D3A2" w14:textId="0D0D48FD" w:rsidR="00485C94" w:rsidRPr="009C6D1F" w:rsidRDefault="00485C94" w:rsidP="00485C94">
            <w:pPr>
              <w:keepNext/>
              <w:spacing w:after="0" w:line="300" w:lineRule="auto"/>
              <w:jc w:val="center"/>
              <w:rPr>
                <w:rFonts w:ascii="Arial" w:hAnsi="Arial" w:cs="Arial"/>
                <w:color w:val="000000" w:themeColor="text1"/>
              </w:rPr>
            </w:pPr>
            <w:r w:rsidRPr="009C6D1F">
              <w:rPr>
                <w:rFonts w:ascii="Arial" w:hAnsi="Arial" w:cs="Arial"/>
                <w:b/>
                <w:bCs/>
                <w:color w:val="000000" w:themeColor="text1"/>
              </w:rPr>
              <w:t>33%</w:t>
            </w:r>
          </w:p>
        </w:tc>
      </w:tr>
    </w:tbl>
    <w:p w14:paraId="40B5767C" w14:textId="77777777" w:rsidR="00426E61" w:rsidRDefault="00426E61" w:rsidP="00426E61">
      <w:pPr>
        <w:spacing w:line="300" w:lineRule="auto"/>
        <w:rPr>
          <w:rFonts w:ascii="Arial" w:hAnsi="Arial" w:cs="Arial"/>
          <w:i/>
          <w:iCs/>
          <w:sz w:val="16"/>
          <w:szCs w:val="16"/>
        </w:rPr>
      </w:pPr>
      <w:r>
        <w:rPr>
          <w:rFonts w:ascii="Arial" w:hAnsi="Arial" w:cs="Arial"/>
          <w:i/>
          <w:iCs/>
          <w:sz w:val="16"/>
          <w:szCs w:val="16"/>
        </w:rPr>
        <w:t>Source: Land Registry</w:t>
      </w:r>
    </w:p>
    <w:p w14:paraId="2C2F42BB" w14:textId="1616FA7E" w:rsidR="0070576A" w:rsidRDefault="000601C1" w:rsidP="00D27525">
      <w:pPr>
        <w:pStyle w:val="BodyText"/>
        <w:tabs>
          <w:tab w:val="num" w:pos="1134"/>
        </w:tabs>
        <w:rPr>
          <w:rFonts w:eastAsiaTheme="majorEastAsia"/>
        </w:rPr>
      </w:pPr>
      <w:r>
        <w:t>The</w:t>
      </w:r>
      <w:r w:rsidR="0070576A">
        <w:t xml:space="preserve"> figures for different dwelling types have therefore been standardised</w:t>
      </w:r>
      <w:r w:rsidR="00426E61">
        <w:t xml:space="preserve"> across all authorities</w:t>
      </w:r>
      <w:r w:rsidR="0070576A">
        <w:t xml:space="preserve"> on the basis of the volume of sales in different categories</w:t>
      </w:r>
      <w:r w:rsidR="00426E61">
        <w:t xml:space="preserve"> as has been shown in the example Tables above for Broxtowe</w:t>
      </w:r>
      <w:r w:rsidR="0070576A">
        <w:t>. From this it is estimated that the typical newbuild premium in the study area is between 17% and 34% -</w:t>
      </w:r>
      <w:r w:rsidR="0070576A">
        <w:rPr>
          <w:rFonts w:eastAsiaTheme="majorEastAsia"/>
        </w:rPr>
        <w:t xml:space="preserve"> </w:t>
      </w:r>
      <w:r w:rsidR="0070576A">
        <w:t>these figures have been used in calculations of OMV against which a discount can be judged. For each authority the premiums calculated are:</w:t>
      </w:r>
    </w:p>
    <w:p w14:paraId="2C1FDD72"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Ashfield – 34%;</w:t>
      </w:r>
    </w:p>
    <w:p w14:paraId="5D7F2C43"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Broxtowe – 33%;</w:t>
      </w:r>
    </w:p>
    <w:p w14:paraId="72D1FBF9"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Erewash – 17%;</w:t>
      </w:r>
    </w:p>
    <w:p w14:paraId="7CBC8666"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Gedling – 24%;</w:t>
      </w:r>
    </w:p>
    <w:p w14:paraId="677CFC80" w14:textId="77777777" w:rsidR="0070576A" w:rsidRDefault="0070576A" w:rsidP="0070576A">
      <w:pPr>
        <w:pStyle w:val="ListBullet2"/>
        <w:numPr>
          <w:ilvl w:val="0"/>
          <w:numId w:val="24"/>
        </w:numPr>
        <w:tabs>
          <w:tab w:val="clear" w:pos="643"/>
          <w:tab w:val="left" w:pos="720"/>
        </w:tabs>
        <w:spacing w:after="120"/>
        <w:ind w:left="641" w:hanging="357"/>
        <w:jc w:val="left"/>
        <w:rPr>
          <w:rFonts w:ascii="Arial" w:hAnsi="Arial" w:cs="Arial"/>
        </w:rPr>
      </w:pPr>
      <w:r>
        <w:t>Rushcliffe – 18%; and</w:t>
      </w:r>
    </w:p>
    <w:p w14:paraId="40EFA7AC" w14:textId="0FFB807D" w:rsidR="0070576A" w:rsidRPr="0070576A" w:rsidRDefault="0070576A" w:rsidP="0070576A">
      <w:pPr>
        <w:pStyle w:val="ListBullet2"/>
        <w:numPr>
          <w:ilvl w:val="0"/>
          <w:numId w:val="24"/>
        </w:numPr>
        <w:tabs>
          <w:tab w:val="clear" w:pos="643"/>
          <w:tab w:val="left" w:pos="720"/>
        </w:tabs>
        <w:spacing w:after="360"/>
        <w:ind w:left="641" w:hanging="357"/>
        <w:jc w:val="left"/>
        <w:rPr>
          <w:rFonts w:ascii="Arial" w:hAnsi="Arial" w:cs="Arial"/>
        </w:rPr>
      </w:pPr>
      <w:r>
        <w:t>Nottingham – 29%</w:t>
      </w:r>
    </w:p>
    <w:p w14:paraId="3E7CF39B" w14:textId="63F0CEDC" w:rsidR="0070576A" w:rsidRDefault="0070576A" w:rsidP="0070576A">
      <w:pPr>
        <w:pStyle w:val="BodyText"/>
      </w:pPr>
      <w:r>
        <w:t xml:space="preserve">These premiums are </w:t>
      </w:r>
      <w:r w:rsidR="00AC2760">
        <w:t>taken forward into the First Homes analysis in the next section</w:t>
      </w:r>
      <w:r w:rsidR="00B15677">
        <w:t xml:space="preserve"> to consider the levels of discount likely to be required to make homes affordable</w:t>
      </w:r>
      <w:r>
        <w:t>.</w:t>
      </w:r>
      <w:r w:rsidR="00641F7D">
        <w:t xml:space="preserve"> The analysis is carried out by number of bedrooms in a property, so for example a lower quartile 2-bedroom home in Ashfield (existing housing) was estimated to cost £105,000 and therefore a newbuild 2-bedroom home is estimated to have a cost of £140,700 (£105,000 plus 34%).</w:t>
      </w:r>
    </w:p>
    <w:p w14:paraId="1B85329B" w14:textId="77777777" w:rsidR="00AC2760" w:rsidRDefault="00AC2760">
      <w:pPr>
        <w:spacing w:after="0" w:line="240" w:lineRule="auto"/>
        <w:jc w:val="left"/>
        <w:rPr>
          <w:rFonts w:ascii="Arial" w:hAnsi="Arial" w:cs="Arial"/>
          <w:i/>
          <w:iCs/>
          <w:sz w:val="16"/>
          <w:szCs w:val="16"/>
        </w:rPr>
      </w:pPr>
      <w:r>
        <w:rPr>
          <w:rFonts w:ascii="Arial" w:hAnsi="Arial" w:cs="Arial"/>
          <w:i/>
          <w:iCs/>
          <w:sz w:val="16"/>
          <w:szCs w:val="16"/>
        </w:rPr>
        <w:br w:type="page"/>
      </w:r>
    </w:p>
    <w:p w14:paraId="6ED58B3D" w14:textId="3082106F" w:rsidR="0070576A" w:rsidRDefault="00AC2760" w:rsidP="00AC2760">
      <w:pPr>
        <w:pStyle w:val="Heading1"/>
      </w:pPr>
      <w:bookmarkStart w:id="5" w:name="_Toc114046954"/>
      <w:r>
        <w:t>first homes analysis</w:t>
      </w:r>
      <w:bookmarkEnd w:id="5"/>
    </w:p>
    <w:p w14:paraId="0FF3AD68" w14:textId="1BBC3201" w:rsidR="00AC2760" w:rsidRDefault="00AC2760" w:rsidP="00AC2760">
      <w:pPr>
        <w:pStyle w:val="BodyText"/>
        <w:numPr>
          <w:ilvl w:val="1"/>
          <w:numId w:val="16"/>
        </w:numPr>
        <w:tabs>
          <w:tab w:val="num" w:pos="0"/>
        </w:tabs>
        <w:ind w:left="0" w:hanging="709"/>
        <w:rPr>
          <w:rFonts w:eastAsiaTheme="majorEastAsia"/>
        </w:rPr>
      </w:pPr>
      <w:r>
        <w:t xml:space="preserve">The analysis below looks at the likely cost of a First Home for it to be considered as genuinely affordable in a local context. </w:t>
      </w:r>
      <w:r w:rsidRPr="006F6561">
        <w:t>As noted in the previous section, the problem with having a percentage discount is that it is possible in some locations or types of property that such a discount still means that the discounted housing is more expensive than that typically available in the open market. This is often the case as new build housing itself attracts a premium.</w:t>
      </w:r>
    </w:p>
    <w:p w14:paraId="125034D8" w14:textId="77777777" w:rsidR="00AC2760" w:rsidRDefault="00AC2760" w:rsidP="00AC2760">
      <w:pPr>
        <w:pStyle w:val="BodyText"/>
        <w:numPr>
          <w:ilvl w:val="1"/>
          <w:numId w:val="16"/>
        </w:numPr>
        <w:tabs>
          <w:tab w:val="num" w:pos="0"/>
        </w:tabs>
        <w:ind w:left="0" w:hanging="709"/>
        <w:rPr>
          <w:rFonts w:eastAsiaTheme="majorEastAsia"/>
        </w:rPr>
      </w:pPr>
      <w:r>
        <w:t>The preferred approach in this report is to set out a series of purchase costs for different sizes of accommodation which ensure these products are affordable for the intended group. These purchase costs are based on current lower quartile rental prices and also consideration of the income required to access the private rented sector and then estimating what property price this level of income might support (assuming a 10% deposit and a 4 times mortgage multiple – the same assumptions as used in the Housing Needs Assessment). Below is an example of a calculation based on a 2-bedroom home in Broxtowe:</w:t>
      </w:r>
    </w:p>
    <w:p w14:paraId="2A07EF94"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Previous analysis has shown that the lower quartile rent for a 2-bedroom home in Broxtowe is £575 per month;</w:t>
      </w:r>
    </w:p>
    <w:p w14:paraId="0D7EC195"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On the basis of a household spending no more than 27% of their income on housing (the threshold used in the HNA), a household would need an income of around £2,130 per month to afford (575/0.27) or £25,600 per annum (rounded);</w:t>
      </w:r>
    </w:p>
    <w:p w14:paraId="52D5292D" w14:textId="77777777" w:rsidR="00AC2760" w:rsidRDefault="00AC2760" w:rsidP="00AC2760">
      <w:pPr>
        <w:pStyle w:val="ListBullet2"/>
        <w:numPr>
          <w:ilvl w:val="0"/>
          <w:numId w:val="24"/>
        </w:numPr>
        <w:tabs>
          <w:tab w:val="clear" w:pos="643"/>
          <w:tab w:val="left" w:pos="720"/>
        </w:tabs>
        <w:spacing w:after="360"/>
        <w:ind w:left="641" w:hanging="357"/>
        <w:jc w:val="left"/>
        <w:rPr>
          <w:rFonts w:ascii="Arial" w:hAnsi="Arial" w:cs="Arial"/>
        </w:rPr>
      </w:pPr>
      <w:r>
        <w:t>With an income of £25,600, it is estimated that a household could afford to buy a home for around £113,600. This is based on assuming a 10% deposit and a four times mortgage multiple – calculated as 25,600*4/0.9 (rounded).</w:t>
      </w:r>
    </w:p>
    <w:p w14:paraId="56997817" w14:textId="410E3896" w:rsidR="00AC2760" w:rsidRDefault="00AC2760" w:rsidP="00AC2760">
      <w:pPr>
        <w:pStyle w:val="BodyText"/>
        <w:numPr>
          <w:ilvl w:val="1"/>
          <w:numId w:val="16"/>
        </w:numPr>
        <w:tabs>
          <w:tab w:val="num" w:pos="0"/>
        </w:tabs>
        <w:ind w:left="0" w:hanging="709"/>
        <w:rPr>
          <w:rFonts w:eastAsiaTheme="majorEastAsia"/>
        </w:rPr>
      </w:pPr>
      <w:r>
        <w:t xml:space="preserve">Therefore, £113,600 is a suggested purchase price to make First Homes/discounted home ownership affordable for households in the rent/buy gap. This figure is essentially the equivalent price that is affordable to a household who can just afford to rent privately. In reality, there will be a range of incomes in the rent/buy gap and so some households could afford a higher price; </w:t>
      </w:r>
      <w:r w:rsidR="007A7A64">
        <w:t>however,</w:t>
      </w:r>
      <w:r>
        <w:t xml:space="preserve"> setting all homes at a higher price would mean that some households will still be unable to afford.</w:t>
      </w:r>
    </w:p>
    <w:p w14:paraId="58A0F4E7" w14:textId="16D701F9" w:rsidR="00AC2760" w:rsidRDefault="00AC2760" w:rsidP="00AC2760">
      <w:pPr>
        <w:pStyle w:val="BodyText"/>
        <w:numPr>
          <w:ilvl w:val="1"/>
          <w:numId w:val="16"/>
        </w:numPr>
        <w:tabs>
          <w:tab w:val="num" w:pos="0"/>
        </w:tabs>
        <w:ind w:left="0" w:hanging="709"/>
        <w:rPr>
          <w:rFonts w:eastAsiaTheme="majorEastAsia"/>
        </w:rPr>
      </w:pPr>
      <w:r>
        <w:t>On this basis, it is considered reasonable to look at the cost of First Homes/discounted home ownership as a range, from the equivalent private rent figure up to a midpoint of the cost of open market purchase and the relevant private rented figure (for a 2-bedroom home this is £135,000, giving a midpoint of £124,300). The use of a midpoint would mean that only around half of households in the rent/buy gap could afford</w:t>
      </w:r>
      <w:r w:rsidR="009D517F">
        <w:t xml:space="preserve"> the cost</w:t>
      </w:r>
      <w:r>
        <w:t>, and therefore any housing provided at such a cost would need to also be supplemented by an equivalent number at a lower cost (which might include other tenures such as shared ownership).</w:t>
      </w:r>
    </w:p>
    <w:p w14:paraId="31E026FF" w14:textId="77777777" w:rsidR="00AC2760" w:rsidRDefault="00AC2760" w:rsidP="00AC2760">
      <w:pPr>
        <w:pStyle w:val="BodyText"/>
        <w:numPr>
          <w:ilvl w:val="1"/>
          <w:numId w:val="16"/>
        </w:numPr>
        <w:tabs>
          <w:tab w:val="num" w:pos="0"/>
        </w:tabs>
        <w:ind w:left="0" w:hanging="709"/>
        <w:rPr>
          <w:rFonts w:eastAsiaTheme="majorEastAsia"/>
        </w:rPr>
      </w:pPr>
      <w:r>
        <w:t>To work out what level of discount might be required to make a home affordable it is also necessary to estimate the likely cost of newbuild homes of different sizes (as it will be this price against which any discount would be applied). OMV for newbuild homes were estimated in the previous section.</w:t>
      </w:r>
    </w:p>
    <w:p w14:paraId="7F44DFBF" w14:textId="75779EA5" w:rsidR="00AC2760" w:rsidRDefault="00AC2760" w:rsidP="00AC2760">
      <w:pPr>
        <w:pStyle w:val="BodyText"/>
        <w:numPr>
          <w:ilvl w:val="1"/>
          <w:numId w:val="16"/>
        </w:numPr>
        <w:tabs>
          <w:tab w:val="num" w:pos="0"/>
        </w:tabs>
        <w:ind w:left="0" w:hanging="709"/>
        <w:rPr>
          <w:rFonts w:eastAsiaTheme="majorEastAsia"/>
        </w:rPr>
      </w:pPr>
      <w:r>
        <w:t>The series of tables below therefore set out a suggested purchase price for First Homes in each local authority across the study area. The table</w:t>
      </w:r>
      <w:r w:rsidR="009D517F">
        <w:t>s</w:t>
      </w:r>
      <w:r>
        <w:t xml:space="preserve"> also show the estimated OMV and the level of discount likely to be required to achieve affordability.</w:t>
      </w:r>
    </w:p>
    <w:p w14:paraId="10489DCC" w14:textId="77777777" w:rsidR="00AC2760" w:rsidRDefault="00AC2760" w:rsidP="00AC2760">
      <w:pPr>
        <w:pStyle w:val="BodyText"/>
        <w:numPr>
          <w:ilvl w:val="1"/>
          <w:numId w:val="16"/>
        </w:numPr>
        <w:tabs>
          <w:tab w:val="num" w:pos="0"/>
        </w:tabs>
        <w:ind w:left="0" w:hanging="709"/>
        <w:rPr>
          <w:rFonts w:eastAsiaTheme="majorEastAsia"/>
        </w:rPr>
      </w:pPr>
      <w:r>
        <w:t>It should be noted that the discounts are based on the OMV as estimated, in reality the OMV might be quite different for specific schemes and therefore the percentage discount would not be applicable. For example, if the OMV for a 2-bedroom home in Broxtowe were to actually be £200,000 (rather than the modelled £179,600) then the discount would be in the range of 38% and 43%.</w:t>
      </w:r>
    </w:p>
    <w:p w14:paraId="4CDA54E1" w14:textId="090E13DC" w:rsidR="00AC2760" w:rsidRDefault="00AC2760" w:rsidP="00AC2760">
      <w:pPr>
        <w:pStyle w:val="BodyText"/>
        <w:numPr>
          <w:ilvl w:val="1"/>
          <w:numId w:val="16"/>
        </w:numPr>
        <w:tabs>
          <w:tab w:val="num" w:pos="0"/>
        </w:tabs>
        <w:ind w:left="0" w:hanging="709"/>
        <w:rPr>
          <w:rFonts w:eastAsiaTheme="majorEastAsia"/>
        </w:rPr>
      </w:pPr>
      <w:r>
        <w:t>On the basis of the assumptions used, the analysis points to a discount of around 30% for homes with 2</w:t>
      </w:r>
      <w:r w:rsidR="00942AC1">
        <w:t xml:space="preserve"> </w:t>
      </w:r>
      <w:r>
        <w:t>bedrooms, with a higher discount of 40% being appropriate for 3-bedroom homes. Given that a single discount figure is likely to be needed for plan making purposes the Councils may need to consider the likely mix of First Homes. If the majority of First Homes are likely to be 2-bedroom homes then a 30% figure would be appropriate.</w:t>
      </w:r>
    </w:p>
    <w:p w14:paraId="6EF7174C" w14:textId="1FBF44AB" w:rsidR="00AC2760" w:rsidRDefault="00AC2760" w:rsidP="00AC2760">
      <w:pPr>
        <w:pStyle w:val="BodyText"/>
        <w:numPr>
          <w:ilvl w:val="1"/>
          <w:numId w:val="16"/>
        </w:numPr>
        <w:tabs>
          <w:tab w:val="num" w:pos="0"/>
        </w:tabs>
        <w:ind w:left="0" w:hanging="709"/>
        <w:rPr>
          <w:rFonts w:eastAsiaTheme="majorEastAsia"/>
        </w:rPr>
      </w:pPr>
      <w:r>
        <w:t>In setting any discount above 30% it will be important for the Councils to ensure that the viability of providing other forms of affordable housing (notably rented tenures) is not compromised. On the basis of affordability, a 30% discount looks to be right for Greater Nottingham generally (assuming a high proportion of 2-bedroom homes) and therefore the viability issue is less relevant, although the scale of delivery of First Homes will also need to be considered against the delivery of other forms of affordable housing.</w:t>
      </w:r>
      <w:r w:rsidR="00641F7D">
        <w:t xml:space="preserve"> The Housing Needs Assessment suggested the main need for affordable home ownership was for 2-bedroom homes (followed by 3-bedrooms) in all areas.</w:t>
      </w:r>
    </w:p>
    <w:p w14:paraId="1845BD77" w14:textId="77777777" w:rsidR="00AC2760" w:rsidRDefault="00AC2760" w:rsidP="00AC2760">
      <w:pPr>
        <w:pStyle w:val="BodyText"/>
        <w:numPr>
          <w:ilvl w:val="1"/>
          <w:numId w:val="16"/>
        </w:numPr>
        <w:tabs>
          <w:tab w:val="num" w:pos="0"/>
        </w:tabs>
        <w:ind w:left="0" w:hanging="709"/>
        <w:rPr>
          <w:rFonts w:eastAsiaTheme="majorEastAsia"/>
        </w:rPr>
      </w:pPr>
      <w:r>
        <w:t>The data for a number of areas (Ashfield, Broxtowe, Erewash and Nottingham) is interesting in that for 1-bedroom homes the equivalent price associated with privately renting is actually higher than the estimated price to buy a home of that size in the existing market – for this size of home (in these areas) it has therefore been assumed that the price of a home should not exceed the current second-hand price.</w:t>
      </w:r>
    </w:p>
    <w:p w14:paraId="468245A3" w14:textId="77777777" w:rsidR="00AC2760" w:rsidRDefault="00AC2760" w:rsidP="00AC2760">
      <w:pPr>
        <w:pStyle w:val="Heading4"/>
      </w:pPr>
      <w:r>
        <w:t>Affordable home ownership prices – data for year to September 2021 – Ashfield</w:t>
      </w:r>
    </w:p>
    <w:tbl>
      <w:tblPr>
        <w:tblStyle w:val="TableTheme"/>
        <w:tblW w:w="5000" w:type="pct"/>
        <w:tblInd w:w="0" w:type="dxa"/>
        <w:tblLook w:val="04A0" w:firstRow="1" w:lastRow="0" w:firstColumn="1" w:lastColumn="0" w:noHBand="0" w:noVBand="1"/>
        <w:tblCaption w:val="Table 4.1 Affordable home ownership prices – data for year to September 2021 – Ashfield"/>
      </w:tblPr>
      <w:tblGrid>
        <w:gridCol w:w="2192"/>
        <w:gridCol w:w="2195"/>
        <w:gridCol w:w="2195"/>
        <w:gridCol w:w="2195"/>
      </w:tblGrid>
      <w:tr w:rsidR="00AC2760" w14:paraId="38AC6AAF"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0EB65C07"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4F53BE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F07F21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7EDE7E9E"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7F0AF8B4"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9859C02"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5BEC9C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£75,000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350857B" w14:textId="77777777" w:rsidR="00AC2760" w:rsidRDefault="00AC2760">
            <w:pPr>
              <w:pStyle w:val="11Bodytext"/>
              <w:keepNext/>
              <w:numPr>
                <w:ilvl w:val="0"/>
                <w:numId w:val="0"/>
              </w:numPr>
              <w:tabs>
                <w:tab w:val="left" w:pos="720"/>
              </w:tabs>
              <w:spacing w:before="0" w:after="0" w:line="300" w:lineRule="auto"/>
              <w:jc w:val="center"/>
            </w:pPr>
            <w:r>
              <w:t>£100,500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31D888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25%</w:t>
            </w:r>
          </w:p>
        </w:tc>
      </w:tr>
      <w:tr w:rsidR="00AC2760" w14:paraId="544423A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62F41FE7"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A78CD57"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£97,400-£101,200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76A5614" w14:textId="77777777" w:rsidR="00AC2760" w:rsidRDefault="00AC2760">
            <w:pPr>
              <w:pStyle w:val="11Bodytext"/>
              <w:keepNext/>
              <w:numPr>
                <w:ilvl w:val="0"/>
                <w:numId w:val="0"/>
              </w:numPr>
              <w:tabs>
                <w:tab w:val="left" w:pos="720"/>
              </w:tabs>
              <w:spacing w:before="0" w:after="0" w:line="300" w:lineRule="auto"/>
              <w:jc w:val="center"/>
              <w:rPr>
                <w:color w:val="auto"/>
              </w:rPr>
            </w:pPr>
            <w:r>
              <w:t>£140,700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574FE14"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28%-31%</w:t>
            </w:r>
          </w:p>
        </w:tc>
      </w:tr>
      <w:tr w:rsidR="00AC2760" w14:paraId="26FC864C"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5197897"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D342367"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£104,600-£127,300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43F0B7F" w14:textId="77777777" w:rsidR="00AC2760" w:rsidRDefault="00AC2760">
            <w:pPr>
              <w:pStyle w:val="11Bodytext"/>
              <w:keepNext/>
              <w:numPr>
                <w:ilvl w:val="0"/>
                <w:numId w:val="0"/>
              </w:numPr>
              <w:tabs>
                <w:tab w:val="left" w:pos="720"/>
              </w:tabs>
              <w:spacing w:before="0" w:after="0" w:line="300" w:lineRule="auto"/>
              <w:jc w:val="center"/>
              <w:rPr>
                <w:color w:val="auto"/>
              </w:rPr>
            </w:pPr>
            <w:r>
              <w:t>£201,000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1A8E23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37%-48%</w:t>
            </w:r>
          </w:p>
        </w:tc>
      </w:tr>
      <w:tr w:rsidR="00AC2760" w14:paraId="325EE349"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0B8CB4E"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C5C43E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£146,300-£198,000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AA6DE12" w14:textId="77777777" w:rsidR="00AC2760" w:rsidRDefault="00AC2760">
            <w:pPr>
              <w:pStyle w:val="11Bodytext"/>
              <w:keepNext/>
              <w:numPr>
                <w:ilvl w:val="0"/>
                <w:numId w:val="0"/>
              </w:numPr>
              <w:tabs>
                <w:tab w:val="left" w:pos="720"/>
              </w:tabs>
              <w:spacing w:before="0" w:after="0" w:line="300" w:lineRule="auto"/>
              <w:jc w:val="center"/>
              <w:rPr>
                <w:color w:val="auto"/>
              </w:rPr>
            </w:pPr>
            <w:r>
              <w:t>£335,000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EA245DB"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41%-56%</w:t>
            </w:r>
          </w:p>
        </w:tc>
      </w:tr>
    </w:tbl>
    <w:p w14:paraId="7D4243C1" w14:textId="71F04B03" w:rsidR="00AC2760" w:rsidRDefault="00AC2760" w:rsidP="00AC2760">
      <w:pPr>
        <w:pStyle w:val="11Bodytext"/>
        <w:numPr>
          <w:ilvl w:val="0"/>
          <w:numId w:val="0"/>
        </w:numPr>
        <w:tabs>
          <w:tab w:val="left" w:pos="720"/>
        </w:tabs>
        <w:spacing w:before="0" w:after="360"/>
        <w:rPr>
          <w:i/>
          <w:iCs/>
          <w:sz w:val="16"/>
          <w:szCs w:val="16"/>
        </w:rPr>
      </w:pPr>
      <w:r>
        <w:rPr>
          <w:i/>
          <w:iCs/>
          <w:sz w:val="16"/>
          <w:szCs w:val="16"/>
        </w:rPr>
        <w:t xml:space="preserve">Source: </w:t>
      </w:r>
      <w:r w:rsidR="00BD6426">
        <w:rPr>
          <w:i/>
          <w:iCs/>
          <w:sz w:val="16"/>
          <w:szCs w:val="16"/>
        </w:rPr>
        <w:t>Iceni analysis d</w:t>
      </w:r>
      <w:r>
        <w:rPr>
          <w:i/>
          <w:iCs/>
          <w:sz w:val="16"/>
          <w:szCs w:val="16"/>
        </w:rPr>
        <w:t xml:space="preserve">erived from a range of </w:t>
      </w:r>
      <w:r w:rsidR="00BD6426">
        <w:rPr>
          <w:i/>
          <w:iCs/>
          <w:sz w:val="16"/>
          <w:szCs w:val="16"/>
        </w:rPr>
        <w:t>data</w:t>
      </w:r>
    </w:p>
    <w:p w14:paraId="722E33F4" w14:textId="77777777" w:rsidR="00AC2760" w:rsidRDefault="00AC2760" w:rsidP="00AC2760">
      <w:pPr>
        <w:pStyle w:val="Heading4"/>
        <w:numPr>
          <w:ilvl w:val="2"/>
          <w:numId w:val="16"/>
        </w:numPr>
        <w:ind w:firstLine="0"/>
      </w:pPr>
      <w:r w:rsidRPr="00AC2760">
        <w:t>Affordable home ownership prices – data for year to September 2021 – Broxtowe</w:t>
      </w:r>
    </w:p>
    <w:tbl>
      <w:tblPr>
        <w:tblStyle w:val="TableTheme"/>
        <w:tblW w:w="5000" w:type="pct"/>
        <w:tblInd w:w="0" w:type="dxa"/>
        <w:tblLook w:val="04A0" w:firstRow="1" w:lastRow="0" w:firstColumn="1" w:lastColumn="0" w:noHBand="0" w:noVBand="1"/>
        <w:tblCaption w:val="Table 4.2 Affordable home ownership prices – data for year to September 2021 – Broxtowe"/>
      </w:tblPr>
      <w:tblGrid>
        <w:gridCol w:w="2192"/>
        <w:gridCol w:w="2195"/>
        <w:gridCol w:w="2195"/>
        <w:gridCol w:w="2195"/>
      </w:tblGrid>
      <w:tr w:rsidR="00AC2760" w14:paraId="629E9801"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718C06C2"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3EC28B4"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5E24E5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5E44E5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2FE7195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93A38E0"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9A4D36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£85,000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34ECACB" w14:textId="77777777" w:rsidR="00AC2760" w:rsidRDefault="00AC2760">
            <w:pPr>
              <w:pStyle w:val="11Bodytext"/>
              <w:keepNext/>
              <w:numPr>
                <w:ilvl w:val="0"/>
                <w:numId w:val="0"/>
              </w:numPr>
              <w:tabs>
                <w:tab w:val="left" w:pos="720"/>
              </w:tabs>
              <w:spacing w:before="0" w:after="0" w:line="300" w:lineRule="auto"/>
              <w:jc w:val="center"/>
            </w:pPr>
            <w:r>
              <w:t>£113,100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0C6A65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25%</w:t>
            </w:r>
          </w:p>
        </w:tc>
      </w:tr>
      <w:tr w:rsidR="00AC2760" w14:paraId="23F08345"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FC4D781"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D8C5E1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£113,600-£124,300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D022CE3" w14:textId="77777777" w:rsidR="00AC2760" w:rsidRDefault="00AC2760">
            <w:pPr>
              <w:pStyle w:val="11Bodytext"/>
              <w:keepNext/>
              <w:numPr>
                <w:ilvl w:val="0"/>
                <w:numId w:val="0"/>
              </w:numPr>
              <w:tabs>
                <w:tab w:val="left" w:pos="720"/>
              </w:tabs>
              <w:spacing w:before="0" w:after="0" w:line="300" w:lineRule="auto"/>
              <w:jc w:val="center"/>
              <w:rPr>
                <w:color w:val="auto"/>
              </w:rPr>
            </w:pPr>
            <w:r>
              <w:t>£179,600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780D17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31%-37%</w:t>
            </w:r>
          </w:p>
        </w:tc>
      </w:tr>
      <w:tr w:rsidR="00AC2760" w14:paraId="5FBD27A3"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CE8BB0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75B773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£128,400-£156,700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AF8A4D6" w14:textId="77777777" w:rsidR="00AC2760" w:rsidRDefault="00AC2760">
            <w:pPr>
              <w:pStyle w:val="11Bodytext"/>
              <w:keepNext/>
              <w:numPr>
                <w:ilvl w:val="0"/>
                <w:numId w:val="0"/>
              </w:numPr>
              <w:tabs>
                <w:tab w:val="left" w:pos="720"/>
              </w:tabs>
              <w:spacing w:before="0" w:after="0" w:line="300" w:lineRule="auto"/>
              <w:jc w:val="center"/>
              <w:rPr>
                <w:color w:val="auto"/>
              </w:rPr>
            </w:pPr>
            <w:r>
              <w:t>£246,100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FD8804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36%-48%</w:t>
            </w:r>
          </w:p>
        </w:tc>
      </w:tr>
      <w:tr w:rsidR="00AC2760" w14:paraId="3AF1FA56"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6A672F3"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A94D334"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£177,800-£233,900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A7766B4" w14:textId="77777777" w:rsidR="00AC2760" w:rsidRDefault="00AC2760">
            <w:pPr>
              <w:pStyle w:val="11Bodytext"/>
              <w:keepNext/>
              <w:numPr>
                <w:ilvl w:val="0"/>
                <w:numId w:val="0"/>
              </w:numPr>
              <w:tabs>
                <w:tab w:val="left" w:pos="720"/>
              </w:tabs>
              <w:spacing w:before="0" w:after="0" w:line="300" w:lineRule="auto"/>
              <w:jc w:val="center"/>
              <w:rPr>
                <w:color w:val="auto"/>
              </w:rPr>
            </w:pPr>
            <w:r>
              <w:t>£385,700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1ABE80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39%-54%</w:t>
            </w:r>
          </w:p>
        </w:tc>
      </w:tr>
    </w:tbl>
    <w:p w14:paraId="0815B918"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3A405335" w14:textId="77777777" w:rsidR="00AC2760" w:rsidRDefault="00AC2760" w:rsidP="00AC2760">
      <w:pPr>
        <w:pStyle w:val="Heading4"/>
        <w:numPr>
          <w:ilvl w:val="2"/>
          <w:numId w:val="16"/>
        </w:numPr>
        <w:ind w:firstLine="0"/>
      </w:pPr>
      <w:r w:rsidRPr="00AC2760">
        <w:t>Affordable home ownership prices – data for year to September 2021 – Erewash</w:t>
      </w:r>
    </w:p>
    <w:tbl>
      <w:tblPr>
        <w:tblStyle w:val="TableTheme"/>
        <w:tblW w:w="5000" w:type="pct"/>
        <w:tblInd w:w="0" w:type="dxa"/>
        <w:tblLook w:val="04A0" w:firstRow="1" w:lastRow="0" w:firstColumn="1" w:lastColumn="0" w:noHBand="0" w:noVBand="1"/>
        <w:tblCaption w:val="Table 1.1 Affordable home ownership prices – data for year to September 2021 – Erewash"/>
      </w:tblPr>
      <w:tblGrid>
        <w:gridCol w:w="2192"/>
        <w:gridCol w:w="2195"/>
        <w:gridCol w:w="2195"/>
        <w:gridCol w:w="2195"/>
      </w:tblGrid>
      <w:tr w:rsidR="00AC2760" w14:paraId="7C99CD25"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50C4F3E4"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ECD514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15B4471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0183AF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42429636"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35FFAFB"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42C307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£80,000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E4B6746" w14:textId="77777777" w:rsidR="00AC2760" w:rsidRDefault="00AC2760">
            <w:pPr>
              <w:pStyle w:val="11Bodytext"/>
              <w:keepNext/>
              <w:numPr>
                <w:ilvl w:val="0"/>
                <w:numId w:val="0"/>
              </w:numPr>
              <w:tabs>
                <w:tab w:val="left" w:pos="720"/>
              </w:tabs>
              <w:spacing w:before="0" w:after="0" w:line="300" w:lineRule="auto"/>
              <w:jc w:val="center"/>
            </w:pPr>
            <w:r>
              <w:t>£93,600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DC5A47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15%</w:t>
            </w:r>
          </w:p>
        </w:tc>
      </w:tr>
      <w:tr w:rsidR="00AC2760" w14:paraId="51915382"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0F896592"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50A3E4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£106,700-£118,300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502D72C" w14:textId="77777777" w:rsidR="00AC2760" w:rsidRDefault="00AC2760">
            <w:pPr>
              <w:pStyle w:val="11Bodytext"/>
              <w:keepNext/>
              <w:numPr>
                <w:ilvl w:val="0"/>
                <w:numId w:val="0"/>
              </w:numPr>
              <w:tabs>
                <w:tab w:val="left" w:pos="720"/>
              </w:tabs>
              <w:spacing w:before="0" w:after="0" w:line="300" w:lineRule="auto"/>
              <w:jc w:val="center"/>
              <w:rPr>
                <w:color w:val="auto"/>
              </w:rPr>
            </w:pPr>
            <w:r>
              <w:t>£152,100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905761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22%-30%</w:t>
            </w:r>
          </w:p>
        </w:tc>
      </w:tr>
      <w:tr w:rsidR="00AC2760" w14:paraId="4FD8CA0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F3D90AC"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7E3E64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£123,500-£149,200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D064327" w14:textId="77777777" w:rsidR="00AC2760" w:rsidRDefault="00AC2760">
            <w:pPr>
              <w:pStyle w:val="11Bodytext"/>
              <w:keepNext/>
              <w:numPr>
                <w:ilvl w:val="0"/>
                <w:numId w:val="0"/>
              </w:numPr>
              <w:tabs>
                <w:tab w:val="left" w:pos="720"/>
              </w:tabs>
              <w:spacing w:before="0" w:after="0" w:line="300" w:lineRule="auto"/>
              <w:jc w:val="center"/>
              <w:rPr>
                <w:color w:val="auto"/>
              </w:rPr>
            </w:pPr>
            <w:r>
              <w:t>£204,800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44B17B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27%-40%</w:t>
            </w:r>
          </w:p>
        </w:tc>
      </w:tr>
      <w:tr w:rsidR="00AC2760" w14:paraId="1065A7B8"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ACC2C0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5C1606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£153,100-£211,500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69B5BA8" w14:textId="77777777" w:rsidR="00AC2760" w:rsidRDefault="00AC2760">
            <w:pPr>
              <w:pStyle w:val="11Bodytext"/>
              <w:keepNext/>
              <w:numPr>
                <w:ilvl w:val="0"/>
                <w:numId w:val="0"/>
              </w:numPr>
              <w:tabs>
                <w:tab w:val="left" w:pos="720"/>
              </w:tabs>
              <w:spacing w:before="0" w:after="0" w:line="300" w:lineRule="auto"/>
              <w:jc w:val="center"/>
              <w:rPr>
                <w:color w:val="auto"/>
              </w:rPr>
            </w:pPr>
            <w:r>
              <w:t>£315,900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117FD8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33%-52%</w:t>
            </w:r>
          </w:p>
        </w:tc>
      </w:tr>
    </w:tbl>
    <w:p w14:paraId="1D6DA76D"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77A71A8E" w14:textId="77777777" w:rsidR="00AC2760" w:rsidRDefault="00AC2760" w:rsidP="00AC2760">
      <w:pPr>
        <w:pStyle w:val="Heading4"/>
        <w:numPr>
          <w:ilvl w:val="2"/>
          <w:numId w:val="16"/>
        </w:numPr>
        <w:ind w:firstLine="0"/>
      </w:pPr>
      <w:r w:rsidRPr="00AC2760">
        <w:t>Affordable home ownership prices – data for year to September 2021 – Gedling</w:t>
      </w:r>
    </w:p>
    <w:tbl>
      <w:tblPr>
        <w:tblStyle w:val="TableTheme"/>
        <w:tblW w:w="5000" w:type="pct"/>
        <w:tblInd w:w="0" w:type="dxa"/>
        <w:tblLook w:val="04A0" w:firstRow="1" w:lastRow="0" w:firstColumn="1" w:lastColumn="0" w:noHBand="0" w:noVBand="1"/>
        <w:tblCaption w:val="Table 4.4 Affordable home ownership prices – data for year to September 2021 – Gedling"/>
      </w:tblPr>
      <w:tblGrid>
        <w:gridCol w:w="2192"/>
        <w:gridCol w:w="2195"/>
        <w:gridCol w:w="2195"/>
        <w:gridCol w:w="2195"/>
      </w:tblGrid>
      <w:tr w:rsidR="00AC2760" w14:paraId="4933379E"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60B2B3FB"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42AF861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2B8EFE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6BD799C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4205085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CE97773"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398427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£76,200-£80,600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33A4783" w14:textId="77777777" w:rsidR="00AC2760" w:rsidRDefault="00AC2760">
            <w:pPr>
              <w:pStyle w:val="11Bodytext"/>
              <w:keepNext/>
              <w:numPr>
                <w:ilvl w:val="0"/>
                <w:numId w:val="0"/>
              </w:numPr>
              <w:tabs>
                <w:tab w:val="left" w:pos="720"/>
              </w:tabs>
              <w:spacing w:before="0" w:after="0" w:line="300" w:lineRule="auto"/>
              <w:jc w:val="center"/>
            </w:pPr>
            <w:r>
              <w:t>£105,400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DD6519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24%-28%</w:t>
            </w:r>
          </w:p>
        </w:tc>
      </w:tr>
      <w:tr w:rsidR="00AC2760" w14:paraId="11332001"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61EB0F3"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27739F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£104,800-£114,900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2F76A7B" w14:textId="77777777" w:rsidR="00AC2760" w:rsidRDefault="00AC2760">
            <w:pPr>
              <w:pStyle w:val="11Bodytext"/>
              <w:keepNext/>
              <w:numPr>
                <w:ilvl w:val="0"/>
                <w:numId w:val="0"/>
              </w:numPr>
              <w:tabs>
                <w:tab w:val="left" w:pos="720"/>
              </w:tabs>
              <w:spacing w:before="0" w:after="0" w:line="300" w:lineRule="auto"/>
              <w:jc w:val="center"/>
              <w:rPr>
                <w:color w:val="auto"/>
              </w:rPr>
            </w:pPr>
            <w:r>
              <w:t>£155,000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8BCE1E6"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26%-32%</w:t>
            </w:r>
          </w:p>
        </w:tc>
      </w:tr>
      <w:tr w:rsidR="00AC2760" w14:paraId="2BBABF65"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15F8BF8"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9899F7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£119,000-£157,000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FB80B39" w14:textId="77777777" w:rsidR="00AC2760" w:rsidRDefault="00AC2760">
            <w:pPr>
              <w:pStyle w:val="11Bodytext"/>
              <w:keepNext/>
              <w:numPr>
                <w:ilvl w:val="0"/>
                <w:numId w:val="0"/>
              </w:numPr>
              <w:tabs>
                <w:tab w:val="left" w:pos="720"/>
              </w:tabs>
              <w:spacing w:before="0" w:after="0" w:line="300" w:lineRule="auto"/>
              <w:jc w:val="center"/>
              <w:rPr>
                <w:color w:val="auto"/>
              </w:rPr>
            </w:pPr>
            <w:r>
              <w:t>£241,800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29365F2"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35%-51%</w:t>
            </w:r>
          </w:p>
        </w:tc>
      </w:tr>
      <w:tr w:rsidR="00AC2760" w14:paraId="176D8603"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64D4E4C"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4EC193D3"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£171,000-£233,000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350D3CD" w14:textId="77777777" w:rsidR="00AC2760" w:rsidRDefault="00AC2760">
            <w:pPr>
              <w:pStyle w:val="11Bodytext"/>
              <w:keepNext/>
              <w:numPr>
                <w:ilvl w:val="0"/>
                <w:numId w:val="0"/>
              </w:numPr>
              <w:tabs>
                <w:tab w:val="left" w:pos="720"/>
              </w:tabs>
              <w:spacing w:before="0" w:after="0" w:line="300" w:lineRule="auto"/>
              <w:jc w:val="center"/>
              <w:rPr>
                <w:color w:val="auto"/>
              </w:rPr>
            </w:pPr>
            <w:r>
              <w:t>£365,800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EDA4A9E"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36%-53%</w:t>
            </w:r>
          </w:p>
        </w:tc>
      </w:tr>
    </w:tbl>
    <w:p w14:paraId="21059B07"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2092ECA8" w14:textId="77777777" w:rsidR="00AC2760" w:rsidRDefault="00AC2760" w:rsidP="00AC2760">
      <w:pPr>
        <w:pStyle w:val="Heading4"/>
        <w:numPr>
          <w:ilvl w:val="2"/>
          <w:numId w:val="16"/>
        </w:numPr>
        <w:ind w:firstLine="0"/>
      </w:pPr>
      <w:r w:rsidRPr="00AC2760">
        <w:t>Affordable home ownership prices – data for year to September 2021 – Rushcliffe</w:t>
      </w:r>
    </w:p>
    <w:tbl>
      <w:tblPr>
        <w:tblStyle w:val="TableTheme"/>
        <w:tblW w:w="5000" w:type="pct"/>
        <w:tblInd w:w="0" w:type="dxa"/>
        <w:tblLook w:val="04A0" w:firstRow="1" w:lastRow="0" w:firstColumn="1" w:lastColumn="0" w:noHBand="0" w:noVBand="1"/>
        <w:tblCaption w:val="Table 4.5 Affordable home ownership prices – data for year to September 2021 – Rushcliffe"/>
      </w:tblPr>
      <w:tblGrid>
        <w:gridCol w:w="2192"/>
        <w:gridCol w:w="2195"/>
        <w:gridCol w:w="2195"/>
        <w:gridCol w:w="2195"/>
      </w:tblGrid>
      <w:tr w:rsidR="00AC2760" w14:paraId="7F7BC508"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3F8DA98B"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8AE226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B6A61E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B3B5D6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37B1AA9E"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A42CB1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7F758BD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£94,900-£104,900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5B81AAB0" w14:textId="77777777" w:rsidR="00AC2760" w:rsidRDefault="00AC2760">
            <w:pPr>
              <w:pStyle w:val="11Bodytext"/>
              <w:keepNext/>
              <w:numPr>
                <w:ilvl w:val="0"/>
                <w:numId w:val="0"/>
              </w:numPr>
              <w:tabs>
                <w:tab w:val="left" w:pos="720"/>
              </w:tabs>
              <w:spacing w:before="0" w:after="0" w:line="300" w:lineRule="auto"/>
              <w:jc w:val="center"/>
            </w:pPr>
            <w:r>
              <w:t>£135,700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87E132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23%-30%</w:t>
            </w:r>
          </w:p>
        </w:tc>
      </w:tr>
      <w:tr w:rsidR="00AC2760" w14:paraId="505F7EDE"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5EB3502"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B5D5DC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£114,300-£142,100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67E2684A" w14:textId="77777777" w:rsidR="00AC2760" w:rsidRDefault="00AC2760">
            <w:pPr>
              <w:pStyle w:val="11Bodytext"/>
              <w:keepNext/>
              <w:numPr>
                <w:ilvl w:val="0"/>
                <w:numId w:val="0"/>
              </w:numPr>
              <w:tabs>
                <w:tab w:val="left" w:pos="720"/>
              </w:tabs>
              <w:spacing w:before="0" w:after="0" w:line="300" w:lineRule="auto"/>
              <w:jc w:val="center"/>
              <w:rPr>
                <w:color w:val="auto"/>
              </w:rPr>
            </w:pPr>
            <w:r>
              <w:t>£200,600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3C7BB0B"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29%-43%</w:t>
            </w:r>
          </w:p>
        </w:tc>
      </w:tr>
      <w:tr w:rsidR="00AC2760" w14:paraId="12AE5E58"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A92FDCF"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41FF55E"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£142,900-£188,900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09150B11" w14:textId="77777777" w:rsidR="00AC2760" w:rsidRDefault="00AC2760">
            <w:pPr>
              <w:pStyle w:val="11Bodytext"/>
              <w:keepNext/>
              <w:numPr>
                <w:ilvl w:val="0"/>
                <w:numId w:val="0"/>
              </w:numPr>
              <w:tabs>
                <w:tab w:val="left" w:pos="720"/>
              </w:tabs>
              <w:spacing w:before="0" w:after="0" w:line="300" w:lineRule="auto"/>
              <w:jc w:val="center"/>
              <w:rPr>
                <w:color w:val="auto"/>
              </w:rPr>
            </w:pPr>
            <w:r>
              <w:t>£277,300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07563EA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32%-48%</w:t>
            </w:r>
          </w:p>
        </w:tc>
      </w:tr>
      <w:tr w:rsidR="00AC2760" w14:paraId="16E9D68F"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466608FF"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5373ECD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£190,500-£285,200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152A60A" w14:textId="77777777" w:rsidR="00AC2760" w:rsidRDefault="00AC2760">
            <w:pPr>
              <w:pStyle w:val="11Bodytext"/>
              <w:keepNext/>
              <w:numPr>
                <w:ilvl w:val="0"/>
                <w:numId w:val="0"/>
              </w:numPr>
              <w:tabs>
                <w:tab w:val="left" w:pos="720"/>
              </w:tabs>
              <w:spacing w:before="0" w:after="0" w:line="300" w:lineRule="auto"/>
              <w:jc w:val="center"/>
              <w:rPr>
                <w:color w:val="auto"/>
              </w:rPr>
            </w:pPr>
            <w:r>
              <w:t>£448,400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7AB8999B"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36%-58%</w:t>
            </w:r>
          </w:p>
        </w:tc>
      </w:tr>
    </w:tbl>
    <w:p w14:paraId="350A79BC"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5136F352" w14:textId="77777777" w:rsidR="00AC2760" w:rsidRDefault="00AC2760" w:rsidP="00AC2760">
      <w:pPr>
        <w:pStyle w:val="Heading4"/>
        <w:numPr>
          <w:ilvl w:val="2"/>
          <w:numId w:val="16"/>
        </w:numPr>
        <w:ind w:firstLine="0"/>
      </w:pPr>
      <w:r w:rsidRPr="00AC2760">
        <w:t>Affordable home ownership prices – data for year to September 2021 – Nottingham</w:t>
      </w:r>
    </w:p>
    <w:tbl>
      <w:tblPr>
        <w:tblStyle w:val="TableTheme"/>
        <w:tblW w:w="5000" w:type="pct"/>
        <w:tblInd w:w="0" w:type="dxa"/>
        <w:tblLook w:val="04A0" w:firstRow="1" w:lastRow="0" w:firstColumn="1" w:lastColumn="0" w:noHBand="0" w:noVBand="1"/>
        <w:tblCaption w:val="Table 4.6 Affordable home ownership prices – data for year to September 2021 – Nottingham"/>
      </w:tblPr>
      <w:tblGrid>
        <w:gridCol w:w="2192"/>
        <w:gridCol w:w="2195"/>
        <w:gridCol w:w="2195"/>
        <w:gridCol w:w="2195"/>
      </w:tblGrid>
      <w:tr w:rsidR="00AC2760" w14:paraId="297DDF14" w14:textId="77777777" w:rsidTr="009C6D1F">
        <w:trPr>
          <w:tblHeader/>
        </w:trPr>
        <w:tc>
          <w:tcPr>
            <w:tcW w:w="2192" w:type="dxa"/>
            <w:tcBorders>
              <w:top w:val="single" w:sz="4" w:space="0" w:color="auto"/>
              <w:left w:val="single" w:sz="4" w:space="0" w:color="auto"/>
              <w:bottom w:val="single" w:sz="4" w:space="0" w:color="auto"/>
              <w:right w:val="single" w:sz="4" w:space="0" w:color="auto"/>
            </w:tcBorders>
            <w:shd w:val="clear" w:color="auto" w:fill="002060"/>
          </w:tcPr>
          <w:p w14:paraId="44217E1C" w14:textId="77777777" w:rsidR="00AC2760" w:rsidRDefault="00AC2760">
            <w:pPr>
              <w:keepNext/>
              <w:spacing w:after="0" w:line="240" w:lineRule="auto"/>
              <w:jc w:val="left"/>
            </w:pP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53EFD289"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Affordable Price</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26CADD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Estimated newbuild OMV</w:t>
            </w:r>
          </w:p>
        </w:tc>
        <w:tc>
          <w:tcPr>
            <w:tcW w:w="2195"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0E568D7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Discount required</w:t>
            </w:r>
          </w:p>
        </w:tc>
      </w:tr>
      <w:tr w:rsidR="00AC2760" w14:paraId="1BA5A8E6"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5CE3DBBB"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1-bedroom</w:t>
            </w:r>
          </w:p>
        </w:tc>
        <w:tc>
          <w:tcPr>
            <w:tcW w:w="2195" w:type="dxa"/>
            <w:tcBorders>
              <w:top w:val="single" w:sz="4" w:space="0" w:color="auto"/>
              <w:left w:val="single" w:sz="4" w:space="0" w:color="auto"/>
              <w:bottom w:val="single" w:sz="4" w:space="0" w:color="auto"/>
              <w:right w:val="single" w:sz="4" w:space="0" w:color="auto"/>
            </w:tcBorders>
            <w:vAlign w:val="center"/>
            <w:hideMark/>
          </w:tcPr>
          <w:p w14:paraId="2C716A21"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£80,000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6013B9F" w14:textId="77777777" w:rsidR="00AC2760" w:rsidRDefault="00AC2760">
            <w:pPr>
              <w:pStyle w:val="11Bodytext"/>
              <w:keepNext/>
              <w:numPr>
                <w:ilvl w:val="0"/>
                <w:numId w:val="0"/>
              </w:numPr>
              <w:tabs>
                <w:tab w:val="left" w:pos="720"/>
              </w:tabs>
              <w:spacing w:before="0" w:after="0" w:line="300" w:lineRule="auto"/>
              <w:jc w:val="center"/>
            </w:pPr>
            <w:r>
              <w:t>£103,200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8590F1D"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22%</w:t>
            </w:r>
          </w:p>
        </w:tc>
      </w:tr>
      <w:tr w:rsidR="00AC2760" w14:paraId="2D2ED77C"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3D4D3F78"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2-bedrooms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5788B61C"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£113,600-£121,800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32BF3002" w14:textId="77777777" w:rsidR="00AC2760" w:rsidRDefault="00AC2760">
            <w:pPr>
              <w:pStyle w:val="11Bodytext"/>
              <w:keepNext/>
              <w:numPr>
                <w:ilvl w:val="0"/>
                <w:numId w:val="0"/>
              </w:numPr>
              <w:tabs>
                <w:tab w:val="left" w:pos="720"/>
              </w:tabs>
              <w:spacing w:before="0" w:after="0" w:line="300" w:lineRule="auto"/>
              <w:jc w:val="center"/>
              <w:rPr>
                <w:color w:val="auto"/>
              </w:rPr>
            </w:pPr>
            <w:r>
              <w:t>£167,700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6BA17C6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27%-32%</w:t>
            </w:r>
          </w:p>
        </w:tc>
      </w:tr>
      <w:tr w:rsidR="00AC2760" w14:paraId="799C6DDE"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790D75F4"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3-bedrooms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472FD8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£124,400-£142,200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1A756031" w14:textId="77777777" w:rsidR="00AC2760" w:rsidRDefault="00AC2760">
            <w:pPr>
              <w:pStyle w:val="11Bodytext"/>
              <w:keepNext/>
              <w:numPr>
                <w:ilvl w:val="0"/>
                <w:numId w:val="0"/>
              </w:numPr>
              <w:tabs>
                <w:tab w:val="left" w:pos="720"/>
              </w:tabs>
              <w:spacing w:before="0" w:after="0" w:line="300" w:lineRule="auto"/>
              <w:jc w:val="center"/>
              <w:rPr>
                <w:color w:val="auto"/>
              </w:rPr>
            </w:pPr>
            <w:r>
              <w:t>£206,400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3F7EF1A"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31%-40%</w:t>
            </w:r>
          </w:p>
        </w:tc>
      </w:tr>
      <w:tr w:rsidR="00AC2760" w14:paraId="74F1363D" w14:textId="77777777" w:rsidTr="00AC2760">
        <w:tc>
          <w:tcPr>
            <w:tcW w:w="2192" w:type="dxa"/>
            <w:tcBorders>
              <w:top w:val="single" w:sz="4" w:space="0" w:color="auto"/>
              <w:left w:val="single" w:sz="4" w:space="0" w:color="auto"/>
              <w:bottom w:val="single" w:sz="4" w:space="0" w:color="auto"/>
              <w:right w:val="single" w:sz="4" w:space="0" w:color="auto"/>
            </w:tcBorders>
            <w:hideMark/>
          </w:tcPr>
          <w:p w14:paraId="012FCB0C"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4+-bedrooms</w:t>
            </w:r>
          </w:p>
        </w:tc>
        <w:tc>
          <w:tcPr>
            <w:tcW w:w="2195" w:type="dxa"/>
            <w:tcBorders>
              <w:top w:val="single" w:sz="4" w:space="0" w:color="auto"/>
              <w:left w:val="single" w:sz="4" w:space="0" w:color="auto"/>
              <w:bottom w:val="single" w:sz="4" w:space="0" w:color="auto"/>
              <w:right w:val="single" w:sz="4" w:space="0" w:color="auto"/>
            </w:tcBorders>
            <w:vAlign w:val="bottom"/>
            <w:hideMark/>
          </w:tcPr>
          <w:p w14:paraId="218D4655"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£158,000-£189,000</w:t>
            </w:r>
          </w:p>
        </w:tc>
        <w:tc>
          <w:tcPr>
            <w:tcW w:w="2195" w:type="dxa"/>
            <w:tcBorders>
              <w:top w:val="single" w:sz="4" w:space="0" w:color="auto"/>
              <w:left w:val="single" w:sz="4" w:space="0" w:color="auto"/>
              <w:bottom w:val="single" w:sz="4" w:space="0" w:color="auto"/>
              <w:right w:val="single" w:sz="4" w:space="0" w:color="auto"/>
            </w:tcBorders>
            <w:vAlign w:val="center"/>
            <w:hideMark/>
          </w:tcPr>
          <w:p w14:paraId="43CFDC7C" w14:textId="77777777" w:rsidR="00AC2760" w:rsidRDefault="00AC2760">
            <w:pPr>
              <w:pStyle w:val="11Bodytext"/>
              <w:keepNext/>
              <w:numPr>
                <w:ilvl w:val="0"/>
                <w:numId w:val="0"/>
              </w:numPr>
              <w:tabs>
                <w:tab w:val="left" w:pos="720"/>
              </w:tabs>
              <w:spacing w:before="0" w:after="0" w:line="300" w:lineRule="auto"/>
              <w:jc w:val="center"/>
              <w:rPr>
                <w:color w:val="auto"/>
              </w:rPr>
            </w:pPr>
            <w:r>
              <w:t>£283,800</w:t>
            </w:r>
          </w:p>
        </w:tc>
        <w:tc>
          <w:tcPr>
            <w:tcW w:w="2195" w:type="dxa"/>
            <w:tcBorders>
              <w:top w:val="single" w:sz="4" w:space="0" w:color="auto"/>
              <w:left w:val="single" w:sz="4" w:space="0" w:color="auto"/>
              <w:bottom w:val="single" w:sz="4" w:space="0" w:color="auto"/>
              <w:right w:val="single" w:sz="4" w:space="0" w:color="auto"/>
            </w:tcBorders>
            <w:vAlign w:val="bottom"/>
            <w:hideMark/>
          </w:tcPr>
          <w:p w14:paraId="184A4978"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33%-44%</w:t>
            </w:r>
          </w:p>
        </w:tc>
      </w:tr>
    </w:tbl>
    <w:p w14:paraId="0A44C9BD" w14:textId="77777777" w:rsidR="00BD6426" w:rsidRDefault="00BD6426" w:rsidP="00BD6426">
      <w:pPr>
        <w:pStyle w:val="11Bodytext"/>
        <w:numPr>
          <w:ilvl w:val="0"/>
          <w:numId w:val="0"/>
        </w:numPr>
        <w:tabs>
          <w:tab w:val="left" w:pos="720"/>
        </w:tabs>
        <w:spacing w:before="0" w:after="360"/>
        <w:rPr>
          <w:i/>
          <w:iCs/>
          <w:sz w:val="16"/>
          <w:szCs w:val="16"/>
        </w:rPr>
      </w:pPr>
      <w:r>
        <w:rPr>
          <w:i/>
          <w:iCs/>
          <w:sz w:val="16"/>
          <w:szCs w:val="16"/>
        </w:rPr>
        <w:t>Source: Iceni analysis derived from a range of data</w:t>
      </w:r>
    </w:p>
    <w:p w14:paraId="6C0FB7E9" w14:textId="68C50090" w:rsidR="00AC2760" w:rsidRPr="00AC2760" w:rsidRDefault="00AC2760" w:rsidP="00AC2760">
      <w:pPr>
        <w:pStyle w:val="Heading2"/>
      </w:pPr>
      <w:r w:rsidRPr="00AC2760">
        <w:rPr>
          <w:rFonts w:eastAsiaTheme="majorEastAsia"/>
        </w:rPr>
        <w:t xml:space="preserve">Key </w:t>
      </w:r>
      <w:r>
        <w:rPr>
          <w:rFonts w:eastAsiaTheme="majorEastAsia"/>
        </w:rPr>
        <w:t>Questions and Answers</w:t>
      </w:r>
      <w:r w:rsidRPr="00AC2760">
        <w:rPr>
          <w:rFonts w:eastAsiaTheme="majorEastAsia"/>
        </w:rPr>
        <w:t xml:space="preserve"> in Relation to First Homes</w:t>
      </w:r>
    </w:p>
    <w:p w14:paraId="320F45B4" w14:textId="175E189D" w:rsidR="00AC2760" w:rsidRDefault="00AC2760" w:rsidP="00AC2760">
      <w:pPr>
        <w:pStyle w:val="BodyText"/>
        <w:numPr>
          <w:ilvl w:val="1"/>
          <w:numId w:val="16"/>
        </w:numPr>
        <w:tabs>
          <w:tab w:val="num" w:pos="0"/>
        </w:tabs>
        <w:ind w:left="0" w:hanging="709"/>
        <w:rPr>
          <w:rFonts w:eastAsiaTheme="majorEastAsia"/>
        </w:rPr>
      </w:pPr>
      <w:r>
        <w:t>The paragraphs below seek to answer a series of questions in relation to First Homes which are posed via PPG. This should help the Councils in deciding the appropriate approach, although ultimately there will be choices and decisions to be made by the Councils that this report can only comment on. Whilst the analysis above has focussed on pricing, the discussion below also draws on this information to consider whether there are any specific local criteria that could be applied.</w:t>
      </w:r>
    </w:p>
    <w:p w14:paraId="0EF1DF23" w14:textId="77777777" w:rsidR="00AC2760" w:rsidRDefault="00AC2760" w:rsidP="00AC2760">
      <w:pPr>
        <w:pStyle w:val="Heading3"/>
        <w:spacing w:after="120"/>
      </w:pPr>
      <w:r>
        <w:t>Is there a justification for a discount of greater than 30%, if so, what should it be, and should the discount be variable depending upon property size?</w:t>
      </w:r>
    </w:p>
    <w:p w14:paraId="700A05E6" w14:textId="77777777" w:rsidR="00AC2760" w:rsidRDefault="00AC2760" w:rsidP="00AC2760">
      <w:pPr>
        <w:pStyle w:val="BodyText"/>
        <w:numPr>
          <w:ilvl w:val="1"/>
          <w:numId w:val="16"/>
        </w:numPr>
        <w:tabs>
          <w:tab w:val="num" w:pos="0"/>
        </w:tabs>
        <w:ind w:left="0" w:hanging="709"/>
        <w:rPr>
          <w:rFonts w:eastAsiaTheme="majorEastAsia"/>
        </w:rPr>
      </w:pPr>
      <w:r>
        <w:t xml:space="preserve">There is no obvious case to seek a discount in excess of 30% - whilst a higher discount will certainly make homes cheaper and therefore potentially open up additional households as being able to afford it seems likely that many households (particularly those seeking smaller homes) could already afford to buy a home in the existing market, subject to having sufficient funds for a deposit (a deposit would also be required for a First Home). Providing a higher discount may well have an impact on viability, meaning the Councils will not be able to provide as many homes in other tenures (such as rented affordable housing which is likely to be needed by those with more acute needs and fewer choices in the housing market). </w:t>
      </w:r>
    </w:p>
    <w:p w14:paraId="4B912DA2" w14:textId="2793BAA4" w:rsidR="00AC2760" w:rsidRDefault="00AC2760" w:rsidP="00AC2760">
      <w:pPr>
        <w:pStyle w:val="BodyText"/>
        <w:numPr>
          <w:ilvl w:val="1"/>
          <w:numId w:val="16"/>
        </w:numPr>
        <w:tabs>
          <w:tab w:val="num" w:pos="0"/>
        </w:tabs>
        <w:ind w:left="0" w:hanging="709"/>
        <w:rPr>
          <w:rFonts w:eastAsiaTheme="majorEastAsia"/>
        </w:rPr>
      </w:pPr>
      <w:r>
        <w:t>Although not specifically set out in the PPG, it does seem likely that the Councils would need to have a single discount for all dwelling sizes and in any case, across Greater Nottingham, there is no strong argument that different sizes of homes will have such different pricing/affordability that different discounts would be appropriate anyway (other than for 4+-bedroom homes which are unlikely to be deliver</w:t>
      </w:r>
      <w:r w:rsidR="00433735">
        <w:t>ed</w:t>
      </w:r>
      <w:r>
        <w:t xml:space="preserve"> in any great quantity as First Homes).</w:t>
      </w:r>
    </w:p>
    <w:p w14:paraId="1B907B0B" w14:textId="5CC7AB8F" w:rsidR="00AC2760" w:rsidRDefault="00AC2760" w:rsidP="00AC2760">
      <w:pPr>
        <w:pStyle w:val="Heading3"/>
        <w:spacing w:after="120"/>
      </w:pPr>
      <w:r>
        <w:t xml:space="preserve">Is the maximum price of £250K after discount </w:t>
      </w:r>
      <w:r w:rsidR="00A60458">
        <w:t xml:space="preserve">for initial sale </w:t>
      </w:r>
      <w:r>
        <w:t>an appropriate maximum sales value?</w:t>
      </w:r>
    </w:p>
    <w:p w14:paraId="10CD0AA6"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color w:val="0B0C0C"/>
        </w:rPr>
        <w:t xml:space="preserve">Looking at the tables above, it can be seen that all of the affordable prices (apart from the upper end 4+-bedroom estimate for Rushcliffe) sit well below the £250,000 cap and therefore it is arguable that a lower cap </w:t>
      </w:r>
      <w:r>
        <w:rPr>
          <w:rFonts w:ascii="Arial" w:hAnsi="Arial" w:cs="Arial"/>
        </w:rPr>
        <w:t>would be appropriate. Given that First Homes will be likely to focus on 2- and 3-bedroom homes) there are good reasons for looking at a lower cap.</w:t>
      </w:r>
    </w:p>
    <w:p w14:paraId="251E37E1"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A lower cap would help to ensure that homes are affordable even on schemes where the OMV is relatively high (although consideration about viability and potential loss of other forms of affordable housing will also be a consideration). The table below sets out a view of possible price caps, these are based on the upper end estimate of the 3-bedroom affordable price, to which 10% has been added to allow for some degree of future proofing – the figures could however be regularly monitored by reference to local house price and private rental data.</w:t>
      </w:r>
    </w:p>
    <w:p w14:paraId="135287B6" w14:textId="77777777" w:rsidR="00AC2760" w:rsidRDefault="00AC2760" w:rsidP="007A7A64">
      <w:pPr>
        <w:pStyle w:val="Heading4"/>
        <w:numPr>
          <w:ilvl w:val="2"/>
          <w:numId w:val="16"/>
        </w:numPr>
        <w:ind w:firstLine="0"/>
      </w:pPr>
      <w:r w:rsidRPr="007A7A64">
        <w:t>Possible Price Caps for First Homes (based on a 3-bedroom home)</w:t>
      </w:r>
    </w:p>
    <w:tbl>
      <w:tblPr>
        <w:tblStyle w:val="TableTheme"/>
        <w:tblW w:w="5000" w:type="pct"/>
        <w:tblInd w:w="0" w:type="dxa"/>
        <w:tblLook w:val="04A0" w:firstRow="1" w:lastRow="0" w:firstColumn="1" w:lastColumn="0" w:noHBand="0" w:noVBand="1"/>
        <w:tblCaption w:val="Table 4.7 Possible Price Caps for First Homes (based on a 3-bedroom home)"/>
      </w:tblPr>
      <w:tblGrid>
        <w:gridCol w:w="2923"/>
        <w:gridCol w:w="2927"/>
        <w:gridCol w:w="2927"/>
      </w:tblGrid>
      <w:tr w:rsidR="00AC2760" w14:paraId="2AF1F08B" w14:textId="77777777" w:rsidTr="009C6D1F">
        <w:trPr>
          <w:tblHeader/>
        </w:trPr>
        <w:tc>
          <w:tcPr>
            <w:tcW w:w="2923" w:type="dxa"/>
            <w:tcBorders>
              <w:top w:val="single" w:sz="4" w:space="0" w:color="auto"/>
              <w:left w:val="single" w:sz="4" w:space="0" w:color="auto"/>
              <w:bottom w:val="single" w:sz="4" w:space="0" w:color="auto"/>
              <w:right w:val="single" w:sz="4" w:space="0" w:color="auto"/>
            </w:tcBorders>
            <w:shd w:val="clear" w:color="auto" w:fill="002060"/>
          </w:tcPr>
          <w:p w14:paraId="602D03D8" w14:textId="77777777" w:rsidR="00AC2760" w:rsidRDefault="00AC2760">
            <w:pPr>
              <w:keepNext/>
              <w:spacing w:after="0" w:line="240" w:lineRule="auto"/>
              <w:jc w:val="left"/>
            </w:pPr>
          </w:p>
        </w:tc>
        <w:tc>
          <w:tcPr>
            <w:tcW w:w="29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9F94E2F"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Upper End Affordable Price</w:t>
            </w:r>
          </w:p>
        </w:tc>
        <w:tc>
          <w:tcPr>
            <w:tcW w:w="292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2C393D50" w14:textId="77777777" w:rsidR="00AC2760" w:rsidRDefault="00AC2760">
            <w:pPr>
              <w:pStyle w:val="11Bodytext"/>
              <w:keepNext/>
              <w:numPr>
                <w:ilvl w:val="0"/>
                <w:numId w:val="0"/>
              </w:numPr>
              <w:tabs>
                <w:tab w:val="left" w:pos="720"/>
              </w:tabs>
              <w:spacing w:before="0" w:after="0" w:line="300" w:lineRule="auto"/>
              <w:jc w:val="center"/>
              <w:rPr>
                <w:color w:val="auto"/>
              </w:rPr>
            </w:pPr>
            <w:r>
              <w:rPr>
                <w:color w:val="auto"/>
              </w:rPr>
              <w:t>Price + 10% (possible cap)</w:t>
            </w:r>
          </w:p>
        </w:tc>
      </w:tr>
      <w:tr w:rsidR="00AC2760" w14:paraId="576FB4A4"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1EA5CD1B"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Ashfield</w:t>
            </w:r>
          </w:p>
        </w:tc>
        <w:tc>
          <w:tcPr>
            <w:tcW w:w="2927" w:type="dxa"/>
            <w:tcBorders>
              <w:top w:val="single" w:sz="4" w:space="0" w:color="auto"/>
              <w:left w:val="single" w:sz="4" w:space="0" w:color="auto"/>
              <w:bottom w:val="single" w:sz="4" w:space="0" w:color="auto"/>
              <w:right w:val="single" w:sz="4" w:space="0" w:color="auto"/>
            </w:tcBorders>
            <w:vAlign w:val="bottom"/>
            <w:hideMark/>
          </w:tcPr>
          <w:p w14:paraId="59BA38A8" w14:textId="77777777" w:rsidR="00AC2760" w:rsidRDefault="00AC2760">
            <w:pPr>
              <w:pStyle w:val="11Bodytext"/>
              <w:keepNext/>
              <w:numPr>
                <w:ilvl w:val="0"/>
                <w:numId w:val="0"/>
              </w:numPr>
              <w:tabs>
                <w:tab w:val="left" w:pos="720"/>
              </w:tabs>
              <w:spacing w:before="0" w:after="0" w:line="300" w:lineRule="auto"/>
              <w:jc w:val="center"/>
              <w:rPr>
                <w:color w:val="auto"/>
              </w:rPr>
            </w:pPr>
            <w:r>
              <w:t>£127,300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581C798B" w14:textId="77777777" w:rsidR="00AC2760" w:rsidRDefault="00AC2760">
            <w:pPr>
              <w:pStyle w:val="11Bodytext"/>
              <w:keepNext/>
              <w:numPr>
                <w:ilvl w:val="0"/>
                <w:numId w:val="0"/>
              </w:numPr>
              <w:tabs>
                <w:tab w:val="left" w:pos="720"/>
              </w:tabs>
              <w:spacing w:before="0" w:after="0" w:line="300" w:lineRule="auto"/>
              <w:jc w:val="center"/>
            </w:pPr>
            <w:r>
              <w:t>£140,000</w:t>
            </w:r>
          </w:p>
        </w:tc>
      </w:tr>
      <w:tr w:rsidR="00AC2760" w14:paraId="0E12983A"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7371EE09"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Broxtowe</w:t>
            </w:r>
          </w:p>
        </w:tc>
        <w:tc>
          <w:tcPr>
            <w:tcW w:w="2927" w:type="dxa"/>
            <w:tcBorders>
              <w:top w:val="single" w:sz="4" w:space="0" w:color="auto"/>
              <w:left w:val="single" w:sz="4" w:space="0" w:color="auto"/>
              <w:bottom w:val="single" w:sz="4" w:space="0" w:color="auto"/>
              <w:right w:val="single" w:sz="4" w:space="0" w:color="auto"/>
            </w:tcBorders>
            <w:vAlign w:val="bottom"/>
            <w:hideMark/>
          </w:tcPr>
          <w:p w14:paraId="74C5D623" w14:textId="77777777" w:rsidR="00AC2760" w:rsidRDefault="00AC2760">
            <w:pPr>
              <w:pStyle w:val="11Bodytext"/>
              <w:keepNext/>
              <w:numPr>
                <w:ilvl w:val="0"/>
                <w:numId w:val="0"/>
              </w:numPr>
              <w:tabs>
                <w:tab w:val="left" w:pos="720"/>
              </w:tabs>
              <w:spacing w:before="0" w:after="0" w:line="300" w:lineRule="auto"/>
              <w:jc w:val="center"/>
              <w:rPr>
                <w:color w:val="auto"/>
              </w:rPr>
            </w:pPr>
            <w:r>
              <w:t>£156,700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4B4FB1E" w14:textId="77777777" w:rsidR="00AC2760" w:rsidRDefault="00AC2760">
            <w:pPr>
              <w:pStyle w:val="11Bodytext"/>
              <w:keepNext/>
              <w:numPr>
                <w:ilvl w:val="0"/>
                <w:numId w:val="0"/>
              </w:numPr>
              <w:tabs>
                <w:tab w:val="left" w:pos="720"/>
              </w:tabs>
              <w:spacing w:before="0" w:after="0" w:line="300" w:lineRule="auto"/>
              <w:jc w:val="center"/>
              <w:rPr>
                <w:color w:val="auto"/>
              </w:rPr>
            </w:pPr>
            <w:r>
              <w:t>£172,000</w:t>
            </w:r>
          </w:p>
        </w:tc>
      </w:tr>
      <w:tr w:rsidR="00AC2760" w14:paraId="526E200C"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7A6692E1"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Erewash</w:t>
            </w:r>
          </w:p>
        </w:tc>
        <w:tc>
          <w:tcPr>
            <w:tcW w:w="2927" w:type="dxa"/>
            <w:tcBorders>
              <w:top w:val="single" w:sz="4" w:space="0" w:color="auto"/>
              <w:left w:val="single" w:sz="4" w:space="0" w:color="auto"/>
              <w:bottom w:val="single" w:sz="4" w:space="0" w:color="auto"/>
              <w:right w:val="single" w:sz="4" w:space="0" w:color="auto"/>
            </w:tcBorders>
            <w:vAlign w:val="bottom"/>
            <w:hideMark/>
          </w:tcPr>
          <w:p w14:paraId="4C1DA937" w14:textId="77777777" w:rsidR="00AC2760" w:rsidRDefault="00AC2760">
            <w:pPr>
              <w:pStyle w:val="11Bodytext"/>
              <w:keepNext/>
              <w:numPr>
                <w:ilvl w:val="0"/>
                <w:numId w:val="0"/>
              </w:numPr>
              <w:tabs>
                <w:tab w:val="left" w:pos="720"/>
              </w:tabs>
              <w:spacing w:before="0" w:after="0" w:line="300" w:lineRule="auto"/>
              <w:jc w:val="center"/>
              <w:rPr>
                <w:color w:val="auto"/>
              </w:rPr>
            </w:pPr>
            <w:r>
              <w:t>£149,200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28F176FA" w14:textId="77777777" w:rsidR="00AC2760" w:rsidRDefault="00AC2760">
            <w:pPr>
              <w:pStyle w:val="11Bodytext"/>
              <w:keepNext/>
              <w:numPr>
                <w:ilvl w:val="0"/>
                <w:numId w:val="0"/>
              </w:numPr>
              <w:tabs>
                <w:tab w:val="left" w:pos="720"/>
              </w:tabs>
              <w:spacing w:before="0" w:after="0" w:line="300" w:lineRule="auto"/>
              <w:jc w:val="center"/>
              <w:rPr>
                <w:color w:val="auto"/>
              </w:rPr>
            </w:pPr>
            <w:r>
              <w:t>£164,000</w:t>
            </w:r>
          </w:p>
        </w:tc>
      </w:tr>
      <w:tr w:rsidR="00AC2760" w14:paraId="362A58B8"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65D05448"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Gedling</w:t>
            </w:r>
          </w:p>
        </w:tc>
        <w:tc>
          <w:tcPr>
            <w:tcW w:w="2927" w:type="dxa"/>
            <w:tcBorders>
              <w:top w:val="single" w:sz="4" w:space="0" w:color="auto"/>
              <w:left w:val="single" w:sz="4" w:space="0" w:color="auto"/>
              <w:bottom w:val="single" w:sz="4" w:space="0" w:color="auto"/>
              <w:right w:val="single" w:sz="4" w:space="0" w:color="auto"/>
            </w:tcBorders>
            <w:vAlign w:val="bottom"/>
            <w:hideMark/>
          </w:tcPr>
          <w:p w14:paraId="043E4BE4" w14:textId="77777777" w:rsidR="00AC2760" w:rsidRDefault="00AC2760">
            <w:pPr>
              <w:pStyle w:val="11Bodytext"/>
              <w:keepNext/>
              <w:numPr>
                <w:ilvl w:val="0"/>
                <w:numId w:val="0"/>
              </w:numPr>
              <w:tabs>
                <w:tab w:val="left" w:pos="720"/>
              </w:tabs>
              <w:spacing w:before="0" w:after="0" w:line="300" w:lineRule="auto"/>
              <w:jc w:val="center"/>
              <w:rPr>
                <w:color w:val="auto"/>
              </w:rPr>
            </w:pPr>
            <w:r>
              <w:t>£157,000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4F2155C" w14:textId="77777777" w:rsidR="00AC2760" w:rsidRDefault="00AC2760">
            <w:pPr>
              <w:pStyle w:val="11Bodytext"/>
              <w:keepNext/>
              <w:numPr>
                <w:ilvl w:val="0"/>
                <w:numId w:val="0"/>
              </w:numPr>
              <w:tabs>
                <w:tab w:val="left" w:pos="720"/>
              </w:tabs>
              <w:spacing w:before="0" w:after="0" w:line="300" w:lineRule="auto"/>
              <w:jc w:val="center"/>
              <w:rPr>
                <w:color w:val="auto"/>
              </w:rPr>
            </w:pPr>
            <w:r>
              <w:t>£173,000</w:t>
            </w:r>
          </w:p>
        </w:tc>
      </w:tr>
      <w:tr w:rsidR="00AC2760" w14:paraId="5DB2AA22"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119A4CB5"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Rushcliffe</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77D88A1" w14:textId="77777777" w:rsidR="00AC2760" w:rsidRDefault="00AC2760">
            <w:pPr>
              <w:pStyle w:val="11Bodytext"/>
              <w:keepNext/>
              <w:numPr>
                <w:ilvl w:val="0"/>
                <w:numId w:val="0"/>
              </w:numPr>
              <w:tabs>
                <w:tab w:val="left" w:pos="720"/>
              </w:tabs>
              <w:spacing w:before="0" w:after="0" w:line="300" w:lineRule="auto"/>
              <w:jc w:val="center"/>
              <w:rPr>
                <w:color w:val="auto"/>
              </w:rPr>
            </w:pPr>
            <w:r>
              <w:t>£188,900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55EF7043" w14:textId="77777777" w:rsidR="00AC2760" w:rsidRDefault="00AC2760">
            <w:pPr>
              <w:pStyle w:val="11Bodytext"/>
              <w:keepNext/>
              <w:numPr>
                <w:ilvl w:val="0"/>
                <w:numId w:val="0"/>
              </w:numPr>
              <w:tabs>
                <w:tab w:val="left" w:pos="720"/>
              </w:tabs>
              <w:spacing w:before="0" w:after="0" w:line="300" w:lineRule="auto"/>
              <w:jc w:val="center"/>
            </w:pPr>
            <w:r>
              <w:t>£208,000</w:t>
            </w:r>
          </w:p>
        </w:tc>
      </w:tr>
      <w:tr w:rsidR="00AC2760" w14:paraId="7B94495D" w14:textId="77777777" w:rsidTr="00AC2760">
        <w:tc>
          <w:tcPr>
            <w:tcW w:w="2923" w:type="dxa"/>
            <w:tcBorders>
              <w:top w:val="single" w:sz="4" w:space="0" w:color="auto"/>
              <w:left w:val="single" w:sz="4" w:space="0" w:color="auto"/>
              <w:bottom w:val="single" w:sz="4" w:space="0" w:color="auto"/>
              <w:right w:val="single" w:sz="4" w:space="0" w:color="auto"/>
            </w:tcBorders>
            <w:hideMark/>
          </w:tcPr>
          <w:p w14:paraId="2A35B47E" w14:textId="77777777" w:rsidR="00AC2760" w:rsidRDefault="00AC2760">
            <w:pPr>
              <w:pStyle w:val="11Bodytext"/>
              <w:keepNext/>
              <w:numPr>
                <w:ilvl w:val="0"/>
                <w:numId w:val="0"/>
              </w:numPr>
              <w:tabs>
                <w:tab w:val="left" w:pos="720"/>
              </w:tabs>
              <w:spacing w:before="0" w:after="0" w:line="300" w:lineRule="auto"/>
              <w:jc w:val="left"/>
              <w:rPr>
                <w:color w:val="auto"/>
              </w:rPr>
            </w:pPr>
            <w:r>
              <w:rPr>
                <w:color w:val="auto"/>
              </w:rPr>
              <w:t>Nottingham</w:t>
            </w:r>
          </w:p>
        </w:tc>
        <w:tc>
          <w:tcPr>
            <w:tcW w:w="2927" w:type="dxa"/>
            <w:tcBorders>
              <w:top w:val="single" w:sz="4" w:space="0" w:color="auto"/>
              <w:left w:val="single" w:sz="4" w:space="0" w:color="auto"/>
              <w:bottom w:val="single" w:sz="4" w:space="0" w:color="auto"/>
              <w:right w:val="single" w:sz="4" w:space="0" w:color="auto"/>
            </w:tcBorders>
            <w:vAlign w:val="bottom"/>
            <w:hideMark/>
          </w:tcPr>
          <w:p w14:paraId="695A0CF4" w14:textId="77777777" w:rsidR="00AC2760" w:rsidRDefault="00AC2760">
            <w:pPr>
              <w:pStyle w:val="11Bodytext"/>
              <w:keepNext/>
              <w:numPr>
                <w:ilvl w:val="0"/>
                <w:numId w:val="0"/>
              </w:numPr>
              <w:tabs>
                <w:tab w:val="left" w:pos="720"/>
              </w:tabs>
              <w:spacing w:before="0" w:after="0" w:line="300" w:lineRule="auto"/>
              <w:jc w:val="center"/>
              <w:rPr>
                <w:color w:val="auto"/>
              </w:rPr>
            </w:pPr>
            <w:r>
              <w:t>£142,200</w:t>
            </w:r>
          </w:p>
        </w:tc>
        <w:tc>
          <w:tcPr>
            <w:tcW w:w="2927" w:type="dxa"/>
            <w:tcBorders>
              <w:top w:val="single" w:sz="4" w:space="0" w:color="auto"/>
              <w:left w:val="single" w:sz="4" w:space="0" w:color="auto"/>
              <w:bottom w:val="single" w:sz="4" w:space="0" w:color="auto"/>
              <w:right w:val="single" w:sz="4" w:space="0" w:color="auto"/>
            </w:tcBorders>
            <w:vAlign w:val="bottom"/>
            <w:hideMark/>
          </w:tcPr>
          <w:p w14:paraId="3EAFDBE9" w14:textId="77777777" w:rsidR="00AC2760" w:rsidRDefault="00AC2760">
            <w:pPr>
              <w:pStyle w:val="11Bodytext"/>
              <w:keepNext/>
              <w:numPr>
                <w:ilvl w:val="0"/>
                <w:numId w:val="0"/>
              </w:numPr>
              <w:tabs>
                <w:tab w:val="left" w:pos="720"/>
              </w:tabs>
              <w:spacing w:before="0" w:after="0" w:line="300" w:lineRule="auto"/>
              <w:jc w:val="center"/>
            </w:pPr>
            <w:r>
              <w:t>£156,000</w:t>
            </w:r>
          </w:p>
        </w:tc>
      </w:tr>
    </w:tbl>
    <w:p w14:paraId="02CF7F2F" w14:textId="77777777" w:rsidR="00AC2760" w:rsidRDefault="00AC2760" w:rsidP="00AC2760">
      <w:pPr>
        <w:pStyle w:val="11Bodytext"/>
        <w:numPr>
          <w:ilvl w:val="0"/>
          <w:numId w:val="0"/>
        </w:numPr>
        <w:tabs>
          <w:tab w:val="left" w:pos="720"/>
        </w:tabs>
        <w:spacing w:before="0" w:after="360"/>
        <w:rPr>
          <w:i/>
          <w:iCs/>
          <w:sz w:val="16"/>
          <w:szCs w:val="16"/>
        </w:rPr>
      </w:pPr>
      <w:r>
        <w:rPr>
          <w:i/>
          <w:iCs/>
          <w:sz w:val="16"/>
          <w:szCs w:val="16"/>
        </w:rPr>
        <w:t>Source: Derived from a range of sources as described</w:t>
      </w:r>
    </w:p>
    <w:p w14:paraId="6D4ECE11" w14:textId="77777777" w:rsidR="00AC2760" w:rsidRDefault="00AC2760" w:rsidP="007A7A64">
      <w:pPr>
        <w:pStyle w:val="Heading3"/>
        <w:spacing w:after="120"/>
      </w:pPr>
      <w:r>
        <w:t>Is the national threshold of £80,000 for household income appropriate?</w:t>
      </w:r>
    </w:p>
    <w:p w14:paraId="03445187" w14:textId="40A61676"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To study the income threshold, analysis has been provided below to consider the likely incomes required to afford the lower and upper end affordable prices – again based on a 3-bedroom home. This is shown in the table below and shows even the most expensive price would require a </w:t>
      </w:r>
      <w:r w:rsidR="00883B96">
        <w:rPr>
          <w:rFonts w:ascii="Arial" w:hAnsi="Arial" w:cs="Arial"/>
        </w:rPr>
        <w:t xml:space="preserve">local </w:t>
      </w:r>
      <w:r>
        <w:rPr>
          <w:rFonts w:ascii="Arial" w:hAnsi="Arial" w:cs="Arial"/>
        </w:rPr>
        <w:t>income of about £42,500 (Rushcliffe)</w:t>
      </w:r>
      <w:r w:rsidR="00E40111">
        <w:rPr>
          <w:rFonts w:ascii="Arial" w:hAnsi="Arial" w:cs="Arial"/>
        </w:rPr>
        <w:t xml:space="preserve"> – well below the £80,000 threshold</w:t>
      </w:r>
      <w:r>
        <w:rPr>
          <w:rFonts w:ascii="Arial" w:hAnsi="Arial" w:cs="Arial"/>
        </w:rPr>
        <w:t>. It should however be noted that these findings are based on a specific set of assumptions about mortgage multiples and deposit availability (10% deposit and 4 times mortgage multiple) and in reality individual households will have their own specific circumstances.</w:t>
      </w:r>
    </w:p>
    <w:p w14:paraId="6EF84915" w14:textId="7C1C9265"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That said, it is considered that an £80,000 threshold looks to be too high; households with that level of income would be expected to readily buy a home in the area without the need for any discount. On balance, and looking at the figures in the round it is considered that an income cap </w:t>
      </w:r>
      <w:r w:rsidR="00E40111">
        <w:rPr>
          <w:rFonts w:ascii="Arial" w:hAnsi="Arial" w:cs="Arial"/>
        </w:rPr>
        <w:t xml:space="preserve">in the range of around </w:t>
      </w:r>
      <w:r>
        <w:rPr>
          <w:rFonts w:ascii="Arial" w:hAnsi="Arial" w:cs="Arial"/>
        </w:rPr>
        <w:t>£3</w:t>
      </w:r>
      <w:r w:rsidR="00E40111">
        <w:rPr>
          <w:rFonts w:ascii="Arial" w:hAnsi="Arial" w:cs="Arial"/>
        </w:rPr>
        <w:t>2,0</w:t>
      </w:r>
      <w:r>
        <w:rPr>
          <w:rFonts w:ascii="Arial" w:hAnsi="Arial" w:cs="Arial"/>
        </w:rPr>
        <w:t>00</w:t>
      </w:r>
      <w:r w:rsidR="00E40111">
        <w:rPr>
          <w:rFonts w:ascii="Arial" w:hAnsi="Arial" w:cs="Arial"/>
        </w:rPr>
        <w:t xml:space="preserve"> (Ashfield) to </w:t>
      </w:r>
      <w:r>
        <w:rPr>
          <w:rFonts w:ascii="Arial" w:hAnsi="Arial" w:cs="Arial"/>
        </w:rPr>
        <w:t>£4</w:t>
      </w:r>
      <w:r w:rsidR="00E40111">
        <w:rPr>
          <w:rFonts w:ascii="Arial" w:hAnsi="Arial" w:cs="Arial"/>
        </w:rPr>
        <w:t>7</w:t>
      </w:r>
      <w:r>
        <w:rPr>
          <w:rFonts w:ascii="Arial" w:hAnsi="Arial" w:cs="Arial"/>
        </w:rPr>
        <w:t xml:space="preserve">,000 </w:t>
      </w:r>
      <w:r w:rsidR="00E40111">
        <w:rPr>
          <w:rFonts w:ascii="Arial" w:hAnsi="Arial" w:cs="Arial"/>
        </w:rPr>
        <w:t xml:space="preserve">(Rushcliffe) </w:t>
      </w:r>
      <w:r>
        <w:rPr>
          <w:rFonts w:ascii="Arial" w:hAnsi="Arial" w:cs="Arial"/>
        </w:rPr>
        <w:t xml:space="preserve">might be appropriate. In setting a cap, it is suggested that the </w:t>
      </w:r>
      <w:r w:rsidR="00156871">
        <w:rPr>
          <w:rFonts w:ascii="Arial" w:hAnsi="Arial" w:cs="Arial"/>
        </w:rPr>
        <w:t xml:space="preserve">upper end </w:t>
      </w:r>
      <w:r>
        <w:rPr>
          <w:rFonts w:ascii="Arial" w:hAnsi="Arial" w:cs="Arial"/>
        </w:rPr>
        <w:t>income figures shown below are used to which a further factor (</w:t>
      </w:r>
      <w:r w:rsidR="00B21385">
        <w:rPr>
          <w:rFonts w:ascii="Arial" w:hAnsi="Arial" w:cs="Arial"/>
        </w:rPr>
        <w:t>of</w:t>
      </w:r>
      <w:r>
        <w:rPr>
          <w:rFonts w:ascii="Arial" w:hAnsi="Arial" w:cs="Arial"/>
        </w:rPr>
        <w:t xml:space="preserve"> 10%) </w:t>
      </w:r>
      <w:r w:rsidR="00B21385">
        <w:rPr>
          <w:rFonts w:ascii="Arial" w:hAnsi="Arial" w:cs="Arial"/>
        </w:rPr>
        <w:t>has been</w:t>
      </w:r>
      <w:r>
        <w:rPr>
          <w:rFonts w:ascii="Arial" w:hAnsi="Arial" w:cs="Arial"/>
        </w:rPr>
        <w:t xml:space="preserve"> added to provide flexibility and future proof the figures. As with the price cap data, the figures can again be monitored and updated by reference to local housing market costs.</w:t>
      </w:r>
    </w:p>
    <w:p w14:paraId="4618AECE" w14:textId="77777777" w:rsidR="00AC2760" w:rsidRDefault="00AC2760" w:rsidP="007A7A64">
      <w:pPr>
        <w:pStyle w:val="Heading4"/>
        <w:numPr>
          <w:ilvl w:val="2"/>
          <w:numId w:val="16"/>
        </w:numPr>
        <w:ind w:firstLine="0"/>
      </w:pPr>
      <w:r w:rsidRPr="007A7A64">
        <w:t>Incomes Required to Afford a 3-bedroom First Home</w:t>
      </w:r>
    </w:p>
    <w:tbl>
      <w:tblPr>
        <w:tblStyle w:val="TableTheme"/>
        <w:tblW w:w="5000" w:type="pct"/>
        <w:tblInd w:w="0" w:type="dxa"/>
        <w:tblLook w:val="04A0" w:firstRow="1" w:lastRow="0" w:firstColumn="1" w:lastColumn="0" w:noHBand="0" w:noVBand="1"/>
        <w:tblCaption w:val="Table 4.8 Incomes Required to Afford a 3-bedroom First Home"/>
      </w:tblPr>
      <w:tblGrid>
        <w:gridCol w:w="2308"/>
        <w:gridCol w:w="2267"/>
        <w:gridCol w:w="2267"/>
        <w:gridCol w:w="1935"/>
      </w:tblGrid>
      <w:tr w:rsidR="00A60458" w14:paraId="5B708E9A" w14:textId="41AC12B7" w:rsidTr="009C6D1F">
        <w:trPr>
          <w:tblHeader/>
        </w:trPr>
        <w:tc>
          <w:tcPr>
            <w:tcW w:w="2308" w:type="dxa"/>
            <w:tcBorders>
              <w:top w:val="single" w:sz="4" w:space="0" w:color="auto"/>
              <w:left w:val="single" w:sz="4" w:space="0" w:color="auto"/>
              <w:bottom w:val="single" w:sz="4" w:space="0" w:color="auto"/>
              <w:right w:val="single" w:sz="4" w:space="0" w:color="auto"/>
            </w:tcBorders>
            <w:shd w:val="clear" w:color="auto" w:fill="002060"/>
          </w:tcPr>
          <w:p w14:paraId="3BF6EF46" w14:textId="77777777" w:rsidR="00A60458" w:rsidRDefault="00A60458" w:rsidP="00A60458">
            <w:pPr>
              <w:pStyle w:val="11Bodytext"/>
              <w:keepNext/>
              <w:numPr>
                <w:ilvl w:val="0"/>
                <w:numId w:val="0"/>
              </w:numPr>
              <w:tabs>
                <w:tab w:val="left" w:pos="720"/>
              </w:tabs>
              <w:spacing w:before="0" w:after="0" w:line="300" w:lineRule="auto"/>
              <w:rPr>
                <w:color w:val="auto"/>
              </w:rPr>
            </w:pPr>
          </w:p>
        </w:tc>
        <w:tc>
          <w:tcPr>
            <w:tcW w:w="2267" w:type="dxa"/>
            <w:tcBorders>
              <w:top w:val="single" w:sz="4" w:space="0" w:color="auto"/>
              <w:left w:val="single" w:sz="4" w:space="0" w:color="auto"/>
              <w:bottom w:val="single" w:sz="4" w:space="0" w:color="auto"/>
              <w:right w:val="single" w:sz="4" w:space="0" w:color="auto"/>
            </w:tcBorders>
            <w:shd w:val="clear" w:color="auto" w:fill="002060"/>
            <w:hideMark/>
          </w:tcPr>
          <w:p w14:paraId="0B46337D" w14:textId="6B57C595" w:rsidR="00A60458" w:rsidRDefault="00156871" w:rsidP="00A60458">
            <w:pPr>
              <w:pStyle w:val="11Bodytext"/>
              <w:keepNext/>
              <w:numPr>
                <w:ilvl w:val="0"/>
                <w:numId w:val="0"/>
              </w:numPr>
              <w:tabs>
                <w:tab w:val="left" w:pos="720"/>
              </w:tabs>
              <w:spacing w:before="0" w:after="0" w:line="300" w:lineRule="auto"/>
              <w:jc w:val="center"/>
              <w:rPr>
                <w:color w:val="auto"/>
              </w:rPr>
            </w:pPr>
            <w:r>
              <w:rPr>
                <w:color w:val="auto"/>
              </w:rPr>
              <w:t>Incomes</w:t>
            </w:r>
            <w:r w:rsidR="00A60458">
              <w:rPr>
                <w:color w:val="auto"/>
              </w:rPr>
              <w:t xml:space="preserve"> (lower end)</w:t>
            </w:r>
          </w:p>
        </w:tc>
        <w:tc>
          <w:tcPr>
            <w:tcW w:w="2267" w:type="dxa"/>
            <w:tcBorders>
              <w:top w:val="single" w:sz="4" w:space="0" w:color="auto"/>
              <w:left w:val="single" w:sz="4" w:space="0" w:color="auto"/>
              <w:bottom w:val="single" w:sz="4" w:space="0" w:color="auto"/>
              <w:right w:val="single" w:sz="4" w:space="0" w:color="auto"/>
            </w:tcBorders>
            <w:shd w:val="clear" w:color="auto" w:fill="002060"/>
            <w:hideMark/>
          </w:tcPr>
          <w:p w14:paraId="1F31FAD5" w14:textId="2C771114" w:rsidR="00A60458" w:rsidRDefault="00156871" w:rsidP="00A60458">
            <w:pPr>
              <w:pStyle w:val="11Bodytext"/>
              <w:keepNext/>
              <w:numPr>
                <w:ilvl w:val="0"/>
                <w:numId w:val="0"/>
              </w:numPr>
              <w:tabs>
                <w:tab w:val="left" w:pos="720"/>
              </w:tabs>
              <w:spacing w:before="0" w:after="0" w:line="300" w:lineRule="auto"/>
              <w:jc w:val="center"/>
              <w:rPr>
                <w:color w:val="auto"/>
              </w:rPr>
            </w:pPr>
            <w:r>
              <w:rPr>
                <w:color w:val="auto"/>
              </w:rPr>
              <w:t>Incomes</w:t>
            </w:r>
            <w:r w:rsidR="00A60458">
              <w:rPr>
                <w:color w:val="auto"/>
              </w:rPr>
              <w:t xml:space="preserve"> (upper end)</w:t>
            </w:r>
          </w:p>
        </w:tc>
        <w:tc>
          <w:tcPr>
            <w:tcW w:w="1935" w:type="dxa"/>
            <w:tcBorders>
              <w:top w:val="single" w:sz="4" w:space="0" w:color="auto"/>
              <w:left w:val="single" w:sz="4" w:space="0" w:color="auto"/>
              <w:bottom w:val="single" w:sz="4" w:space="0" w:color="auto"/>
              <w:right w:val="single" w:sz="4" w:space="0" w:color="auto"/>
            </w:tcBorders>
            <w:shd w:val="clear" w:color="auto" w:fill="002060"/>
          </w:tcPr>
          <w:p w14:paraId="0156CBFA" w14:textId="6C569CBD" w:rsidR="00A60458" w:rsidRDefault="00156871" w:rsidP="00A60458">
            <w:pPr>
              <w:pStyle w:val="11Bodytext"/>
              <w:keepNext/>
              <w:numPr>
                <w:ilvl w:val="0"/>
                <w:numId w:val="0"/>
              </w:numPr>
              <w:tabs>
                <w:tab w:val="left" w:pos="720"/>
              </w:tabs>
              <w:spacing w:before="0" w:after="0" w:line="300" w:lineRule="auto"/>
              <w:jc w:val="center"/>
              <w:rPr>
                <w:color w:val="auto"/>
              </w:rPr>
            </w:pPr>
            <w:r>
              <w:rPr>
                <w:color w:val="auto"/>
              </w:rPr>
              <w:t>Incomes</w:t>
            </w:r>
            <w:r w:rsidR="00A60458">
              <w:rPr>
                <w:color w:val="auto"/>
              </w:rPr>
              <w:t xml:space="preserve"> (upper end) +10%</w:t>
            </w:r>
          </w:p>
        </w:tc>
      </w:tr>
      <w:tr w:rsidR="00A60458" w14:paraId="5CD68BFB" w14:textId="79DBF2F5" w:rsidTr="00A76A61">
        <w:tc>
          <w:tcPr>
            <w:tcW w:w="2308" w:type="dxa"/>
            <w:tcBorders>
              <w:top w:val="single" w:sz="4" w:space="0" w:color="auto"/>
              <w:left w:val="single" w:sz="4" w:space="0" w:color="auto"/>
              <w:bottom w:val="single" w:sz="4" w:space="0" w:color="auto"/>
              <w:right w:val="single" w:sz="4" w:space="0" w:color="auto"/>
            </w:tcBorders>
            <w:hideMark/>
          </w:tcPr>
          <w:p w14:paraId="081B7FE4"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Ashfield</w:t>
            </w:r>
          </w:p>
        </w:tc>
        <w:tc>
          <w:tcPr>
            <w:tcW w:w="2267" w:type="dxa"/>
            <w:tcBorders>
              <w:top w:val="single" w:sz="4" w:space="0" w:color="auto"/>
              <w:left w:val="single" w:sz="4" w:space="0" w:color="auto"/>
              <w:bottom w:val="single" w:sz="4" w:space="0" w:color="auto"/>
              <w:right w:val="single" w:sz="4" w:space="0" w:color="auto"/>
            </w:tcBorders>
            <w:vAlign w:val="bottom"/>
            <w:hideMark/>
          </w:tcPr>
          <w:p w14:paraId="22060E6B"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£23,500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5D63E860"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£28,600</w:t>
            </w:r>
          </w:p>
        </w:tc>
        <w:tc>
          <w:tcPr>
            <w:tcW w:w="1935" w:type="dxa"/>
            <w:tcBorders>
              <w:top w:val="single" w:sz="4" w:space="0" w:color="auto"/>
              <w:left w:val="single" w:sz="4" w:space="0" w:color="auto"/>
              <w:bottom w:val="single" w:sz="4" w:space="0" w:color="auto"/>
              <w:right w:val="single" w:sz="4" w:space="0" w:color="auto"/>
            </w:tcBorders>
            <w:vAlign w:val="bottom"/>
          </w:tcPr>
          <w:p w14:paraId="0604A99A" w14:textId="32610BAF" w:rsidR="00A60458" w:rsidRPr="00A60458" w:rsidRDefault="00A60458" w:rsidP="00A60458">
            <w:pPr>
              <w:pStyle w:val="11Bodytext"/>
              <w:keepNext/>
              <w:numPr>
                <w:ilvl w:val="0"/>
                <w:numId w:val="0"/>
              </w:numPr>
              <w:tabs>
                <w:tab w:val="left" w:pos="720"/>
              </w:tabs>
              <w:spacing w:before="0" w:after="0" w:line="300" w:lineRule="auto"/>
              <w:jc w:val="center"/>
            </w:pPr>
            <w:r w:rsidRPr="00A76A61">
              <w:t>£31,500</w:t>
            </w:r>
          </w:p>
        </w:tc>
      </w:tr>
      <w:tr w:rsidR="00A60458" w14:paraId="582DE3F7" w14:textId="7BEB3D0D" w:rsidTr="00A76A61">
        <w:tc>
          <w:tcPr>
            <w:tcW w:w="2308" w:type="dxa"/>
            <w:tcBorders>
              <w:top w:val="single" w:sz="4" w:space="0" w:color="auto"/>
              <w:left w:val="single" w:sz="4" w:space="0" w:color="auto"/>
              <w:bottom w:val="single" w:sz="4" w:space="0" w:color="auto"/>
              <w:right w:val="single" w:sz="4" w:space="0" w:color="auto"/>
            </w:tcBorders>
            <w:hideMark/>
          </w:tcPr>
          <w:p w14:paraId="2DC5059C"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Broxtowe</w:t>
            </w:r>
          </w:p>
        </w:tc>
        <w:tc>
          <w:tcPr>
            <w:tcW w:w="2267" w:type="dxa"/>
            <w:tcBorders>
              <w:top w:val="single" w:sz="4" w:space="0" w:color="auto"/>
              <w:left w:val="single" w:sz="4" w:space="0" w:color="auto"/>
              <w:bottom w:val="single" w:sz="4" w:space="0" w:color="auto"/>
              <w:right w:val="single" w:sz="4" w:space="0" w:color="auto"/>
            </w:tcBorders>
            <w:vAlign w:val="bottom"/>
            <w:hideMark/>
          </w:tcPr>
          <w:p w14:paraId="7A74FAF3"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£28,900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74CC2ED7" w14:textId="77777777" w:rsidR="00A60458" w:rsidRDefault="00A60458" w:rsidP="00A60458">
            <w:pPr>
              <w:pStyle w:val="11Bodytext"/>
              <w:keepNext/>
              <w:numPr>
                <w:ilvl w:val="0"/>
                <w:numId w:val="0"/>
              </w:numPr>
              <w:tabs>
                <w:tab w:val="left" w:pos="720"/>
              </w:tabs>
              <w:spacing w:before="0" w:after="0" w:line="300" w:lineRule="auto"/>
              <w:jc w:val="center"/>
              <w:rPr>
                <w:color w:val="auto"/>
              </w:rPr>
            </w:pPr>
            <w:r>
              <w:t>£35,300</w:t>
            </w:r>
          </w:p>
        </w:tc>
        <w:tc>
          <w:tcPr>
            <w:tcW w:w="1935" w:type="dxa"/>
            <w:tcBorders>
              <w:top w:val="single" w:sz="4" w:space="0" w:color="auto"/>
              <w:left w:val="single" w:sz="4" w:space="0" w:color="auto"/>
              <w:bottom w:val="single" w:sz="4" w:space="0" w:color="auto"/>
              <w:right w:val="single" w:sz="4" w:space="0" w:color="auto"/>
            </w:tcBorders>
            <w:vAlign w:val="bottom"/>
          </w:tcPr>
          <w:p w14:paraId="0A922033" w14:textId="500A126A" w:rsidR="00A60458" w:rsidRPr="00A60458" w:rsidRDefault="00A60458" w:rsidP="00A60458">
            <w:pPr>
              <w:pStyle w:val="11Bodytext"/>
              <w:keepNext/>
              <w:numPr>
                <w:ilvl w:val="0"/>
                <w:numId w:val="0"/>
              </w:numPr>
              <w:tabs>
                <w:tab w:val="left" w:pos="720"/>
              </w:tabs>
              <w:spacing w:before="0" w:after="0" w:line="300" w:lineRule="auto"/>
              <w:jc w:val="center"/>
            </w:pPr>
            <w:r w:rsidRPr="00A76A61">
              <w:t>£38,800</w:t>
            </w:r>
          </w:p>
        </w:tc>
      </w:tr>
      <w:tr w:rsidR="00A60458" w14:paraId="62ADDD79" w14:textId="22E9FD66" w:rsidTr="00A76A61">
        <w:tc>
          <w:tcPr>
            <w:tcW w:w="2308" w:type="dxa"/>
            <w:tcBorders>
              <w:top w:val="single" w:sz="4" w:space="0" w:color="auto"/>
              <w:left w:val="single" w:sz="4" w:space="0" w:color="auto"/>
              <w:bottom w:val="single" w:sz="4" w:space="0" w:color="auto"/>
              <w:right w:val="single" w:sz="4" w:space="0" w:color="auto"/>
            </w:tcBorders>
            <w:hideMark/>
          </w:tcPr>
          <w:p w14:paraId="738F704A"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Erewash</w:t>
            </w:r>
          </w:p>
        </w:tc>
        <w:tc>
          <w:tcPr>
            <w:tcW w:w="2267" w:type="dxa"/>
            <w:tcBorders>
              <w:top w:val="single" w:sz="4" w:space="0" w:color="auto"/>
              <w:left w:val="single" w:sz="4" w:space="0" w:color="auto"/>
              <w:bottom w:val="single" w:sz="4" w:space="0" w:color="auto"/>
              <w:right w:val="single" w:sz="4" w:space="0" w:color="auto"/>
            </w:tcBorders>
            <w:vAlign w:val="bottom"/>
            <w:hideMark/>
          </w:tcPr>
          <w:p w14:paraId="60D3C6DC" w14:textId="77777777" w:rsidR="00A60458" w:rsidRDefault="00A60458" w:rsidP="00A60458">
            <w:pPr>
              <w:pStyle w:val="11Bodytext"/>
              <w:keepNext/>
              <w:numPr>
                <w:ilvl w:val="0"/>
                <w:numId w:val="0"/>
              </w:numPr>
              <w:tabs>
                <w:tab w:val="left" w:pos="720"/>
              </w:tabs>
              <w:spacing w:before="0" w:after="0" w:line="300" w:lineRule="auto"/>
              <w:jc w:val="center"/>
            </w:pPr>
            <w:r>
              <w:t>£27,800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3780C90E" w14:textId="77777777" w:rsidR="00A60458" w:rsidRDefault="00A60458" w:rsidP="00A60458">
            <w:pPr>
              <w:pStyle w:val="11Bodytext"/>
              <w:keepNext/>
              <w:numPr>
                <w:ilvl w:val="0"/>
                <w:numId w:val="0"/>
              </w:numPr>
              <w:tabs>
                <w:tab w:val="left" w:pos="720"/>
              </w:tabs>
              <w:spacing w:before="0" w:after="0" w:line="300" w:lineRule="auto"/>
              <w:jc w:val="center"/>
            </w:pPr>
            <w:r>
              <w:t>£33,600</w:t>
            </w:r>
          </w:p>
        </w:tc>
        <w:tc>
          <w:tcPr>
            <w:tcW w:w="1935" w:type="dxa"/>
            <w:tcBorders>
              <w:top w:val="single" w:sz="4" w:space="0" w:color="auto"/>
              <w:left w:val="single" w:sz="4" w:space="0" w:color="auto"/>
              <w:bottom w:val="single" w:sz="4" w:space="0" w:color="auto"/>
              <w:right w:val="single" w:sz="4" w:space="0" w:color="auto"/>
            </w:tcBorders>
            <w:vAlign w:val="bottom"/>
          </w:tcPr>
          <w:p w14:paraId="05AB06BA" w14:textId="2D713E2E" w:rsidR="00A60458" w:rsidRPr="00A60458" w:rsidRDefault="00A60458" w:rsidP="00A60458">
            <w:pPr>
              <w:pStyle w:val="11Bodytext"/>
              <w:keepNext/>
              <w:numPr>
                <w:ilvl w:val="0"/>
                <w:numId w:val="0"/>
              </w:numPr>
              <w:tabs>
                <w:tab w:val="left" w:pos="720"/>
              </w:tabs>
              <w:spacing w:before="0" w:after="0" w:line="300" w:lineRule="auto"/>
              <w:jc w:val="center"/>
            </w:pPr>
            <w:r w:rsidRPr="00A76A61">
              <w:t>£37,000</w:t>
            </w:r>
          </w:p>
        </w:tc>
      </w:tr>
      <w:tr w:rsidR="00A60458" w14:paraId="377318EE" w14:textId="0D2DCACA" w:rsidTr="00A76A61">
        <w:tc>
          <w:tcPr>
            <w:tcW w:w="2308" w:type="dxa"/>
            <w:tcBorders>
              <w:top w:val="single" w:sz="4" w:space="0" w:color="auto"/>
              <w:left w:val="single" w:sz="4" w:space="0" w:color="auto"/>
              <w:bottom w:val="single" w:sz="4" w:space="0" w:color="auto"/>
              <w:right w:val="single" w:sz="4" w:space="0" w:color="auto"/>
            </w:tcBorders>
            <w:hideMark/>
          </w:tcPr>
          <w:p w14:paraId="43165E6C"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Gedling</w:t>
            </w:r>
          </w:p>
        </w:tc>
        <w:tc>
          <w:tcPr>
            <w:tcW w:w="2267" w:type="dxa"/>
            <w:tcBorders>
              <w:top w:val="single" w:sz="4" w:space="0" w:color="auto"/>
              <w:left w:val="single" w:sz="4" w:space="0" w:color="auto"/>
              <w:bottom w:val="single" w:sz="4" w:space="0" w:color="auto"/>
              <w:right w:val="single" w:sz="4" w:space="0" w:color="auto"/>
            </w:tcBorders>
            <w:vAlign w:val="bottom"/>
            <w:hideMark/>
          </w:tcPr>
          <w:p w14:paraId="4C312B8D" w14:textId="77777777" w:rsidR="00A60458" w:rsidRDefault="00A60458" w:rsidP="00A60458">
            <w:pPr>
              <w:pStyle w:val="11Bodytext"/>
              <w:keepNext/>
              <w:numPr>
                <w:ilvl w:val="0"/>
                <w:numId w:val="0"/>
              </w:numPr>
              <w:tabs>
                <w:tab w:val="left" w:pos="720"/>
              </w:tabs>
              <w:spacing w:before="0" w:after="0" w:line="300" w:lineRule="auto"/>
              <w:jc w:val="center"/>
            </w:pPr>
            <w:r>
              <w:t>£26,800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1560A3A8" w14:textId="77777777" w:rsidR="00A60458" w:rsidRDefault="00A60458" w:rsidP="00A60458">
            <w:pPr>
              <w:pStyle w:val="11Bodytext"/>
              <w:keepNext/>
              <w:numPr>
                <w:ilvl w:val="0"/>
                <w:numId w:val="0"/>
              </w:numPr>
              <w:tabs>
                <w:tab w:val="left" w:pos="720"/>
              </w:tabs>
              <w:spacing w:before="0" w:after="0" w:line="300" w:lineRule="auto"/>
              <w:jc w:val="center"/>
            </w:pPr>
            <w:r>
              <w:t>£35,300</w:t>
            </w:r>
          </w:p>
        </w:tc>
        <w:tc>
          <w:tcPr>
            <w:tcW w:w="1935" w:type="dxa"/>
            <w:tcBorders>
              <w:top w:val="single" w:sz="4" w:space="0" w:color="auto"/>
              <w:left w:val="single" w:sz="4" w:space="0" w:color="auto"/>
              <w:bottom w:val="single" w:sz="4" w:space="0" w:color="auto"/>
              <w:right w:val="single" w:sz="4" w:space="0" w:color="auto"/>
            </w:tcBorders>
            <w:vAlign w:val="bottom"/>
          </w:tcPr>
          <w:p w14:paraId="30C96A38" w14:textId="6C6B4419" w:rsidR="00A60458" w:rsidRPr="00A60458" w:rsidRDefault="00A60458" w:rsidP="00A60458">
            <w:pPr>
              <w:pStyle w:val="11Bodytext"/>
              <w:keepNext/>
              <w:numPr>
                <w:ilvl w:val="0"/>
                <w:numId w:val="0"/>
              </w:numPr>
              <w:tabs>
                <w:tab w:val="left" w:pos="720"/>
              </w:tabs>
              <w:spacing w:before="0" w:after="0" w:line="300" w:lineRule="auto"/>
              <w:jc w:val="center"/>
            </w:pPr>
            <w:r w:rsidRPr="00A76A61">
              <w:t>£38,800</w:t>
            </w:r>
          </w:p>
        </w:tc>
      </w:tr>
      <w:tr w:rsidR="00A60458" w14:paraId="12EFC9D8" w14:textId="39FCC115" w:rsidTr="00A76A61">
        <w:tc>
          <w:tcPr>
            <w:tcW w:w="2308" w:type="dxa"/>
            <w:tcBorders>
              <w:top w:val="single" w:sz="4" w:space="0" w:color="auto"/>
              <w:left w:val="single" w:sz="4" w:space="0" w:color="auto"/>
              <w:bottom w:val="single" w:sz="4" w:space="0" w:color="auto"/>
              <w:right w:val="single" w:sz="4" w:space="0" w:color="auto"/>
            </w:tcBorders>
            <w:hideMark/>
          </w:tcPr>
          <w:p w14:paraId="55904571"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Rushcliffe</w:t>
            </w:r>
          </w:p>
        </w:tc>
        <w:tc>
          <w:tcPr>
            <w:tcW w:w="2267" w:type="dxa"/>
            <w:tcBorders>
              <w:top w:val="single" w:sz="4" w:space="0" w:color="auto"/>
              <w:left w:val="single" w:sz="4" w:space="0" w:color="auto"/>
              <w:bottom w:val="single" w:sz="4" w:space="0" w:color="auto"/>
              <w:right w:val="single" w:sz="4" w:space="0" w:color="auto"/>
            </w:tcBorders>
            <w:vAlign w:val="bottom"/>
            <w:hideMark/>
          </w:tcPr>
          <w:p w14:paraId="1AC4D7DF" w14:textId="77777777" w:rsidR="00A60458" w:rsidRDefault="00A60458" w:rsidP="00A60458">
            <w:pPr>
              <w:pStyle w:val="11Bodytext"/>
              <w:keepNext/>
              <w:numPr>
                <w:ilvl w:val="0"/>
                <w:numId w:val="0"/>
              </w:numPr>
              <w:tabs>
                <w:tab w:val="left" w:pos="720"/>
              </w:tabs>
              <w:spacing w:before="0" w:after="0" w:line="300" w:lineRule="auto"/>
              <w:jc w:val="center"/>
            </w:pPr>
            <w:r>
              <w:t>£32,100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0C9A34FF" w14:textId="77777777" w:rsidR="00A60458" w:rsidRDefault="00A60458" w:rsidP="00A60458">
            <w:pPr>
              <w:pStyle w:val="11Bodytext"/>
              <w:keepNext/>
              <w:numPr>
                <w:ilvl w:val="0"/>
                <w:numId w:val="0"/>
              </w:numPr>
              <w:tabs>
                <w:tab w:val="left" w:pos="720"/>
              </w:tabs>
              <w:spacing w:before="0" w:after="0" w:line="300" w:lineRule="auto"/>
              <w:jc w:val="center"/>
            </w:pPr>
            <w:r>
              <w:t>£42,500</w:t>
            </w:r>
          </w:p>
        </w:tc>
        <w:tc>
          <w:tcPr>
            <w:tcW w:w="1935" w:type="dxa"/>
            <w:tcBorders>
              <w:top w:val="single" w:sz="4" w:space="0" w:color="auto"/>
              <w:left w:val="single" w:sz="4" w:space="0" w:color="auto"/>
              <w:bottom w:val="single" w:sz="4" w:space="0" w:color="auto"/>
              <w:right w:val="single" w:sz="4" w:space="0" w:color="auto"/>
            </w:tcBorders>
            <w:vAlign w:val="bottom"/>
          </w:tcPr>
          <w:p w14:paraId="30881B32" w14:textId="6A2067AB" w:rsidR="00A60458" w:rsidRPr="00A60458" w:rsidRDefault="00A60458" w:rsidP="00A60458">
            <w:pPr>
              <w:pStyle w:val="11Bodytext"/>
              <w:keepNext/>
              <w:numPr>
                <w:ilvl w:val="0"/>
                <w:numId w:val="0"/>
              </w:numPr>
              <w:tabs>
                <w:tab w:val="left" w:pos="720"/>
              </w:tabs>
              <w:spacing w:before="0" w:after="0" w:line="300" w:lineRule="auto"/>
              <w:jc w:val="center"/>
            </w:pPr>
            <w:r w:rsidRPr="00A76A61">
              <w:t>£46,800</w:t>
            </w:r>
          </w:p>
        </w:tc>
      </w:tr>
      <w:tr w:rsidR="00A60458" w14:paraId="22594B58" w14:textId="70881B76" w:rsidTr="00A76A61">
        <w:tc>
          <w:tcPr>
            <w:tcW w:w="2308" w:type="dxa"/>
            <w:tcBorders>
              <w:top w:val="single" w:sz="4" w:space="0" w:color="auto"/>
              <w:left w:val="single" w:sz="4" w:space="0" w:color="auto"/>
              <w:bottom w:val="single" w:sz="4" w:space="0" w:color="auto"/>
              <w:right w:val="single" w:sz="4" w:space="0" w:color="auto"/>
            </w:tcBorders>
            <w:hideMark/>
          </w:tcPr>
          <w:p w14:paraId="141F2795" w14:textId="77777777" w:rsidR="00A60458" w:rsidRDefault="00A60458" w:rsidP="00A60458">
            <w:pPr>
              <w:pStyle w:val="11Bodytext"/>
              <w:keepNext/>
              <w:numPr>
                <w:ilvl w:val="0"/>
                <w:numId w:val="0"/>
              </w:numPr>
              <w:tabs>
                <w:tab w:val="left" w:pos="720"/>
              </w:tabs>
              <w:spacing w:before="0" w:after="0" w:line="300" w:lineRule="auto"/>
              <w:jc w:val="left"/>
              <w:rPr>
                <w:color w:val="auto"/>
              </w:rPr>
            </w:pPr>
            <w:r>
              <w:rPr>
                <w:color w:val="auto"/>
              </w:rPr>
              <w:t>Nottingham</w:t>
            </w:r>
          </w:p>
        </w:tc>
        <w:tc>
          <w:tcPr>
            <w:tcW w:w="2267" w:type="dxa"/>
            <w:tcBorders>
              <w:top w:val="single" w:sz="4" w:space="0" w:color="auto"/>
              <w:left w:val="single" w:sz="4" w:space="0" w:color="auto"/>
              <w:bottom w:val="single" w:sz="4" w:space="0" w:color="auto"/>
              <w:right w:val="single" w:sz="4" w:space="0" w:color="auto"/>
            </w:tcBorders>
            <w:vAlign w:val="bottom"/>
            <w:hideMark/>
          </w:tcPr>
          <w:p w14:paraId="0A3E36E1" w14:textId="77777777" w:rsidR="00A60458" w:rsidRDefault="00A60458" w:rsidP="00A60458">
            <w:pPr>
              <w:pStyle w:val="11Bodytext"/>
              <w:keepNext/>
              <w:numPr>
                <w:ilvl w:val="0"/>
                <w:numId w:val="0"/>
              </w:numPr>
              <w:tabs>
                <w:tab w:val="left" w:pos="720"/>
              </w:tabs>
              <w:spacing w:before="0" w:after="0" w:line="300" w:lineRule="auto"/>
              <w:jc w:val="center"/>
            </w:pPr>
            <w:r>
              <w:t>£28,000</w:t>
            </w:r>
          </w:p>
        </w:tc>
        <w:tc>
          <w:tcPr>
            <w:tcW w:w="2267" w:type="dxa"/>
            <w:tcBorders>
              <w:top w:val="single" w:sz="4" w:space="0" w:color="auto"/>
              <w:left w:val="single" w:sz="4" w:space="0" w:color="auto"/>
              <w:bottom w:val="single" w:sz="4" w:space="0" w:color="auto"/>
              <w:right w:val="single" w:sz="4" w:space="0" w:color="auto"/>
            </w:tcBorders>
            <w:vAlign w:val="bottom"/>
            <w:hideMark/>
          </w:tcPr>
          <w:p w14:paraId="0FCC0E9D" w14:textId="77777777" w:rsidR="00A60458" w:rsidRDefault="00A60458" w:rsidP="00A60458">
            <w:pPr>
              <w:pStyle w:val="11Bodytext"/>
              <w:keepNext/>
              <w:numPr>
                <w:ilvl w:val="0"/>
                <w:numId w:val="0"/>
              </w:numPr>
              <w:tabs>
                <w:tab w:val="left" w:pos="720"/>
              </w:tabs>
              <w:spacing w:before="0" w:after="0" w:line="300" w:lineRule="auto"/>
              <w:jc w:val="center"/>
            </w:pPr>
            <w:r>
              <w:t>£32,000</w:t>
            </w:r>
          </w:p>
        </w:tc>
        <w:tc>
          <w:tcPr>
            <w:tcW w:w="1935" w:type="dxa"/>
            <w:tcBorders>
              <w:top w:val="single" w:sz="4" w:space="0" w:color="auto"/>
              <w:left w:val="single" w:sz="4" w:space="0" w:color="auto"/>
              <w:bottom w:val="single" w:sz="4" w:space="0" w:color="auto"/>
              <w:right w:val="single" w:sz="4" w:space="0" w:color="auto"/>
            </w:tcBorders>
            <w:vAlign w:val="bottom"/>
          </w:tcPr>
          <w:p w14:paraId="309276F4" w14:textId="7835FD3C" w:rsidR="00A60458" w:rsidRPr="00A60458" w:rsidRDefault="00A60458" w:rsidP="00A60458">
            <w:pPr>
              <w:pStyle w:val="11Bodytext"/>
              <w:keepNext/>
              <w:numPr>
                <w:ilvl w:val="0"/>
                <w:numId w:val="0"/>
              </w:numPr>
              <w:tabs>
                <w:tab w:val="left" w:pos="720"/>
              </w:tabs>
              <w:spacing w:before="0" w:after="0" w:line="300" w:lineRule="auto"/>
              <w:jc w:val="center"/>
            </w:pPr>
            <w:r w:rsidRPr="00A76A61">
              <w:t>£35,200</w:t>
            </w:r>
          </w:p>
        </w:tc>
      </w:tr>
    </w:tbl>
    <w:p w14:paraId="56AC2C2F" w14:textId="77777777" w:rsidR="00AC2760" w:rsidRDefault="00AC2760" w:rsidP="00AC2760">
      <w:pPr>
        <w:pStyle w:val="11Bodytext"/>
        <w:numPr>
          <w:ilvl w:val="0"/>
          <w:numId w:val="0"/>
        </w:numPr>
        <w:tabs>
          <w:tab w:val="left" w:pos="720"/>
        </w:tabs>
        <w:spacing w:before="0" w:after="360"/>
        <w:jc w:val="left"/>
        <w:rPr>
          <w:i/>
          <w:iCs/>
          <w:color w:val="auto"/>
          <w:sz w:val="16"/>
          <w:szCs w:val="16"/>
        </w:rPr>
      </w:pPr>
      <w:r>
        <w:rPr>
          <w:i/>
          <w:iCs/>
          <w:color w:val="auto"/>
          <w:sz w:val="16"/>
          <w:szCs w:val="16"/>
        </w:rPr>
        <w:t>Source: Derived from a range of sources</w:t>
      </w:r>
    </w:p>
    <w:p w14:paraId="2627F047" w14:textId="77777777" w:rsidR="00AC2760" w:rsidRDefault="00AC2760" w:rsidP="00AC2760">
      <w:pPr>
        <w:pStyle w:val="Heading3"/>
        <w:spacing w:after="120"/>
      </w:pPr>
      <w:r>
        <w:t>What size of property is appropriate to be seen as a First Home?</w:t>
      </w:r>
    </w:p>
    <w:p w14:paraId="6539882A" w14:textId="50649E03" w:rsidR="00AC2760" w:rsidRDefault="00AC2760" w:rsidP="00AC2760">
      <w:pPr>
        <w:pStyle w:val="BodyText"/>
        <w:numPr>
          <w:ilvl w:val="1"/>
          <w:numId w:val="16"/>
        </w:numPr>
        <w:tabs>
          <w:tab w:val="num" w:pos="0"/>
        </w:tabs>
        <w:ind w:left="0" w:hanging="709"/>
        <w:rPr>
          <w:rFonts w:eastAsiaTheme="majorEastAsia"/>
        </w:rPr>
      </w:pPr>
      <w:r>
        <w:rPr>
          <w:rFonts w:ascii="Arial" w:hAnsi="Arial" w:cs="Arial"/>
          <w:color w:val="0B0C0C"/>
        </w:rPr>
        <w:t>To consider the size of homes needed as First Homes the analysis below relies upon that in the Housing Needs Assessment (HNA) and table below shows the conclusions as set out in the summary of that document. The analysis strongly points to First Homes mainly being 2- and to a slightly lesser extent 3-bedroom homes, potentially with a proportion of 1-bedroom homes and an even lower proportion with 4-bedrooms.</w:t>
      </w:r>
      <w:r w:rsidR="00B21385">
        <w:rPr>
          <w:rFonts w:ascii="Arial" w:hAnsi="Arial" w:cs="Arial"/>
          <w:color w:val="0B0C0C"/>
        </w:rPr>
        <w:t xml:space="preserve"> The relevant figures are shown in bold in the table below.</w:t>
      </w:r>
    </w:p>
    <w:p w14:paraId="6B29B22F" w14:textId="77777777" w:rsidR="00AC2760" w:rsidRDefault="00AC2760" w:rsidP="007A7A64">
      <w:pPr>
        <w:pStyle w:val="Heading4"/>
        <w:numPr>
          <w:ilvl w:val="2"/>
          <w:numId w:val="16"/>
        </w:numPr>
        <w:ind w:firstLine="0"/>
      </w:pPr>
      <w:r w:rsidRPr="007A7A64">
        <w:t>Recommended Housing Mix by Size by Type</w:t>
      </w:r>
    </w:p>
    <w:tbl>
      <w:tblPr>
        <w:tblStyle w:val="TableGridLight1"/>
        <w:tblW w:w="5004" w:type="pct"/>
        <w:tblInd w:w="0" w:type="dxa"/>
        <w:tblLook w:val="04A0" w:firstRow="1" w:lastRow="0" w:firstColumn="1" w:lastColumn="0" w:noHBand="0" w:noVBand="1"/>
        <w:tblCaption w:val="Table 4.9 Recommended Housing Mix by Size by Type"/>
      </w:tblPr>
      <w:tblGrid>
        <w:gridCol w:w="1239"/>
        <w:gridCol w:w="2734"/>
        <w:gridCol w:w="1202"/>
        <w:gridCol w:w="1203"/>
        <w:gridCol w:w="1203"/>
        <w:gridCol w:w="1203"/>
      </w:tblGrid>
      <w:tr w:rsidR="00AC2760" w14:paraId="7019174C" w14:textId="77777777" w:rsidTr="009C6D1F">
        <w:trPr>
          <w:tblHeader/>
        </w:trPr>
        <w:tc>
          <w:tcPr>
            <w:tcW w:w="705"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39A5A9BD" w14:textId="77777777" w:rsidR="00AC2760" w:rsidRDefault="00AC2760">
            <w:pPr>
              <w:pStyle w:val="11Body"/>
              <w:keepNext/>
              <w:numPr>
                <w:ilvl w:val="0"/>
                <w:numId w:val="0"/>
              </w:numPr>
              <w:tabs>
                <w:tab w:val="left" w:pos="720"/>
              </w:tabs>
              <w:spacing w:before="0" w:line="300" w:lineRule="auto"/>
              <w:rPr>
                <w:color w:val="FFFFFF" w:themeColor="background1"/>
                <w:lang w:val="en-GB"/>
              </w:rPr>
            </w:pPr>
            <w:r>
              <w:rPr>
                <w:color w:val="FFFFFF" w:themeColor="background1"/>
                <w:lang w:val="en-GB"/>
              </w:rPr>
              <w:t xml:space="preserve">Authority </w:t>
            </w:r>
          </w:p>
        </w:tc>
        <w:tc>
          <w:tcPr>
            <w:tcW w:w="1556" w:type="pct"/>
            <w:tcBorders>
              <w:top w:val="single" w:sz="4" w:space="0" w:color="auto"/>
              <w:left w:val="single" w:sz="4" w:space="0" w:color="auto"/>
              <w:bottom w:val="single" w:sz="4" w:space="0" w:color="auto"/>
              <w:right w:val="single" w:sz="4" w:space="0" w:color="auto"/>
            </w:tcBorders>
            <w:shd w:val="clear" w:color="auto" w:fill="002060"/>
            <w:vAlign w:val="center"/>
            <w:hideMark/>
          </w:tcPr>
          <w:p w14:paraId="236D8A75" w14:textId="77777777" w:rsidR="00AC2760" w:rsidRDefault="00AC2760">
            <w:pPr>
              <w:pStyle w:val="11Body"/>
              <w:keepNext/>
              <w:numPr>
                <w:ilvl w:val="0"/>
                <w:numId w:val="0"/>
              </w:numPr>
              <w:tabs>
                <w:tab w:val="left" w:pos="720"/>
              </w:tabs>
              <w:spacing w:before="0" w:line="300" w:lineRule="auto"/>
              <w:rPr>
                <w:color w:val="FFFFFF" w:themeColor="background1"/>
                <w:lang w:val="en-GB"/>
              </w:rPr>
            </w:pPr>
            <w:r>
              <w:rPr>
                <w:color w:val="FFFFFF" w:themeColor="background1"/>
                <w:lang w:val="en-GB"/>
              </w:rPr>
              <w:t>Housing Type</w:t>
            </w:r>
          </w:p>
        </w:tc>
        <w:tc>
          <w:tcPr>
            <w:tcW w:w="684" w:type="pct"/>
            <w:tcBorders>
              <w:top w:val="single" w:sz="4" w:space="0" w:color="auto"/>
              <w:left w:val="single" w:sz="4" w:space="0" w:color="auto"/>
              <w:bottom w:val="single" w:sz="4" w:space="0" w:color="auto"/>
              <w:right w:val="single" w:sz="4" w:space="0" w:color="auto"/>
            </w:tcBorders>
            <w:shd w:val="clear" w:color="auto" w:fill="002060"/>
            <w:hideMark/>
          </w:tcPr>
          <w:p w14:paraId="3C657954"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1 Bed</w:t>
            </w:r>
          </w:p>
        </w:tc>
        <w:tc>
          <w:tcPr>
            <w:tcW w:w="685" w:type="pct"/>
            <w:tcBorders>
              <w:top w:val="single" w:sz="4" w:space="0" w:color="auto"/>
              <w:left w:val="single" w:sz="4" w:space="0" w:color="auto"/>
              <w:bottom w:val="single" w:sz="4" w:space="0" w:color="auto"/>
              <w:right w:val="single" w:sz="4" w:space="0" w:color="auto"/>
            </w:tcBorders>
            <w:shd w:val="clear" w:color="auto" w:fill="002060"/>
            <w:hideMark/>
          </w:tcPr>
          <w:p w14:paraId="1BEC68A7"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2 Beds</w:t>
            </w:r>
          </w:p>
        </w:tc>
        <w:tc>
          <w:tcPr>
            <w:tcW w:w="685" w:type="pct"/>
            <w:tcBorders>
              <w:top w:val="single" w:sz="4" w:space="0" w:color="auto"/>
              <w:left w:val="single" w:sz="4" w:space="0" w:color="auto"/>
              <w:bottom w:val="single" w:sz="4" w:space="0" w:color="auto"/>
              <w:right w:val="single" w:sz="4" w:space="0" w:color="auto"/>
            </w:tcBorders>
            <w:shd w:val="clear" w:color="auto" w:fill="002060"/>
            <w:hideMark/>
          </w:tcPr>
          <w:p w14:paraId="5777A00A"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3 Beds</w:t>
            </w:r>
          </w:p>
        </w:tc>
        <w:tc>
          <w:tcPr>
            <w:tcW w:w="685" w:type="pct"/>
            <w:tcBorders>
              <w:top w:val="single" w:sz="4" w:space="0" w:color="auto"/>
              <w:left w:val="single" w:sz="4" w:space="0" w:color="auto"/>
              <w:bottom w:val="single" w:sz="4" w:space="0" w:color="auto"/>
              <w:right w:val="single" w:sz="4" w:space="0" w:color="auto"/>
            </w:tcBorders>
            <w:shd w:val="clear" w:color="auto" w:fill="002060"/>
            <w:hideMark/>
          </w:tcPr>
          <w:p w14:paraId="23438384" w14:textId="77777777" w:rsidR="00AC2760" w:rsidRDefault="00AC2760">
            <w:pPr>
              <w:pStyle w:val="11Body"/>
              <w:keepNext/>
              <w:numPr>
                <w:ilvl w:val="0"/>
                <w:numId w:val="0"/>
              </w:numPr>
              <w:tabs>
                <w:tab w:val="left" w:pos="720"/>
              </w:tabs>
              <w:spacing w:before="0" w:line="300" w:lineRule="auto"/>
              <w:jc w:val="center"/>
              <w:rPr>
                <w:color w:val="FFFFFF" w:themeColor="background1"/>
                <w:lang w:val="en-GB"/>
              </w:rPr>
            </w:pPr>
            <w:r>
              <w:rPr>
                <w:color w:val="FFFFFF" w:themeColor="background1"/>
                <w:lang w:val="en-GB"/>
              </w:rPr>
              <w:t>4+ Beds</w:t>
            </w:r>
          </w:p>
        </w:tc>
      </w:tr>
      <w:tr w:rsidR="00AC2760" w14:paraId="750FCD56" w14:textId="77777777" w:rsidTr="00AC2760">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0D9FAF3B" w14:textId="77777777" w:rsidR="00AC2760" w:rsidRDefault="00AC2760">
            <w:pPr>
              <w:pStyle w:val="11Body"/>
              <w:keepNext/>
              <w:numPr>
                <w:ilvl w:val="0"/>
                <w:numId w:val="0"/>
              </w:numPr>
              <w:tabs>
                <w:tab w:val="left" w:pos="720"/>
              </w:tabs>
              <w:spacing w:before="0" w:line="300" w:lineRule="auto"/>
              <w:rPr>
                <w:color w:val="auto"/>
                <w:lang w:val="en-GB"/>
              </w:rPr>
            </w:pPr>
            <w:r>
              <w:rPr>
                <w:color w:val="auto"/>
                <w:lang w:val="en-GB"/>
              </w:rPr>
              <w:t>Ashfield</w:t>
            </w:r>
          </w:p>
        </w:tc>
        <w:tc>
          <w:tcPr>
            <w:tcW w:w="1556" w:type="pct"/>
            <w:tcBorders>
              <w:top w:val="single" w:sz="4" w:space="0" w:color="auto"/>
              <w:left w:val="single" w:sz="4" w:space="0" w:color="auto"/>
              <w:bottom w:val="single" w:sz="4" w:space="0" w:color="auto"/>
              <w:right w:val="single" w:sz="4" w:space="0" w:color="auto"/>
            </w:tcBorders>
            <w:hideMark/>
          </w:tcPr>
          <w:p w14:paraId="42121E36"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vAlign w:val="center"/>
            <w:hideMark/>
          </w:tcPr>
          <w:p w14:paraId="4C1DC4CC" w14:textId="77777777" w:rsidR="00AC2760" w:rsidRDefault="00AC2760">
            <w:pPr>
              <w:keepNext/>
              <w:spacing w:after="0" w:line="300" w:lineRule="auto"/>
              <w:jc w:val="center"/>
              <w:rPr>
                <w:rFonts w:ascii="Arial" w:hAnsi="Arial" w:cs="Arial"/>
                <w:color w:val="000000"/>
              </w:rPr>
            </w:pPr>
            <w:r>
              <w:rPr>
                <w:rFonts w:ascii="Arial" w:hAnsi="Arial" w:cs="Arial"/>
                <w:color w:val="000000"/>
              </w:rPr>
              <w:t>4%</w:t>
            </w:r>
          </w:p>
        </w:tc>
        <w:tc>
          <w:tcPr>
            <w:tcW w:w="685" w:type="pct"/>
            <w:tcBorders>
              <w:top w:val="single" w:sz="4" w:space="0" w:color="auto"/>
              <w:left w:val="single" w:sz="4" w:space="0" w:color="auto"/>
              <w:bottom w:val="single" w:sz="4" w:space="0" w:color="auto"/>
              <w:right w:val="single" w:sz="4" w:space="0" w:color="auto"/>
            </w:tcBorders>
            <w:vAlign w:val="center"/>
            <w:hideMark/>
          </w:tcPr>
          <w:p w14:paraId="2D13B561" w14:textId="77777777" w:rsidR="00AC2760" w:rsidRDefault="00AC2760">
            <w:pPr>
              <w:keepNext/>
              <w:spacing w:after="0" w:line="300" w:lineRule="auto"/>
              <w:jc w:val="center"/>
              <w:rPr>
                <w:rFonts w:ascii="Arial" w:hAnsi="Arial" w:cs="Arial"/>
                <w:color w:val="000000"/>
              </w:rPr>
            </w:pPr>
            <w:r>
              <w:rPr>
                <w:rFonts w:ascii="Arial" w:hAnsi="Arial" w:cs="Arial"/>
                <w:color w:val="000000"/>
              </w:rPr>
              <w:t>27%</w:t>
            </w:r>
          </w:p>
        </w:tc>
        <w:tc>
          <w:tcPr>
            <w:tcW w:w="685" w:type="pct"/>
            <w:tcBorders>
              <w:top w:val="single" w:sz="4" w:space="0" w:color="auto"/>
              <w:left w:val="single" w:sz="4" w:space="0" w:color="auto"/>
              <w:bottom w:val="single" w:sz="4" w:space="0" w:color="auto"/>
              <w:right w:val="single" w:sz="4" w:space="0" w:color="auto"/>
            </w:tcBorders>
            <w:vAlign w:val="center"/>
            <w:hideMark/>
          </w:tcPr>
          <w:p w14:paraId="682219F6" w14:textId="77777777" w:rsidR="00AC2760" w:rsidRDefault="00AC2760">
            <w:pPr>
              <w:keepNext/>
              <w:spacing w:after="0" w:line="300" w:lineRule="auto"/>
              <w:jc w:val="center"/>
              <w:rPr>
                <w:rFonts w:ascii="Arial" w:hAnsi="Arial" w:cs="Arial"/>
                <w:color w:val="000000"/>
              </w:rPr>
            </w:pPr>
            <w:r>
              <w:rPr>
                <w:rFonts w:ascii="Arial" w:hAnsi="Arial" w:cs="Arial"/>
                <w:color w:val="000000"/>
              </w:rPr>
              <w:t>46%</w:t>
            </w:r>
          </w:p>
        </w:tc>
        <w:tc>
          <w:tcPr>
            <w:tcW w:w="685" w:type="pct"/>
            <w:tcBorders>
              <w:top w:val="single" w:sz="4" w:space="0" w:color="auto"/>
              <w:left w:val="single" w:sz="4" w:space="0" w:color="auto"/>
              <w:bottom w:val="single" w:sz="4" w:space="0" w:color="auto"/>
              <w:right w:val="single" w:sz="4" w:space="0" w:color="auto"/>
            </w:tcBorders>
            <w:vAlign w:val="center"/>
            <w:hideMark/>
          </w:tcPr>
          <w:p w14:paraId="7F4AD665" w14:textId="77777777" w:rsidR="00AC2760" w:rsidRDefault="00AC2760">
            <w:pPr>
              <w:keepNext/>
              <w:spacing w:after="0" w:line="300" w:lineRule="auto"/>
              <w:jc w:val="center"/>
              <w:rPr>
                <w:rFonts w:ascii="Arial" w:hAnsi="Arial" w:cs="Arial"/>
                <w:color w:val="000000"/>
              </w:rPr>
            </w:pPr>
            <w:r>
              <w:rPr>
                <w:rFonts w:ascii="Arial" w:hAnsi="Arial" w:cs="Arial"/>
                <w:color w:val="000000"/>
              </w:rPr>
              <w:t>24%</w:t>
            </w:r>
          </w:p>
        </w:tc>
      </w:tr>
      <w:tr w:rsidR="00AC2760" w14:paraId="385998D9"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7A4544C4"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4E6BFC07"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vAlign w:val="center"/>
            <w:hideMark/>
          </w:tcPr>
          <w:p w14:paraId="1FB076E1"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23%</w:t>
            </w:r>
          </w:p>
        </w:tc>
        <w:tc>
          <w:tcPr>
            <w:tcW w:w="685" w:type="pct"/>
            <w:tcBorders>
              <w:top w:val="single" w:sz="4" w:space="0" w:color="auto"/>
              <w:left w:val="single" w:sz="4" w:space="0" w:color="auto"/>
              <w:bottom w:val="single" w:sz="4" w:space="0" w:color="auto"/>
              <w:right w:val="single" w:sz="4" w:space="0" w:color="auto"/>
            </w:tcBorders>
            <w:vAlign w:val="center"/>
            <w:hideMark/>
          </w:tcPr>
          <w:p w14:paraId="4FCD638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38%</w:t>
            </w:r>
          </w:p>
        </w:tc>
        <w:tc>
          <w:tcPr>
            <w:tcW w:w="685" w:type="pct"/>
            <w:tcBorders>
              <w:top w:val="single" w:sz="4" w:space="0" w:color="auto"/>
              <w:left w:val="single" w:sz="4" w:space="0" w:color="auto"/>
              <w:bottom w:val="single" w:sz="4" w:space="0" w:color="auto"/>
              <w:right w:val="single" w:sz="4" w:space="0" w:color="auto"/>
            </w:tcBorders>
            <w:vAlign w:val="center"/>
            <w:hideMark/>
          </w:tcPr>
          <w:p w14:paraId="156F874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24%</w:t>
            </w:r>
          </w:p>
        </w:tc>
        <w:tc>
          <w:tcPr>
            <w:tcW w:w="685" w:type="pct"/>
            <w:tcBorders>
              <w:top w:val="single" w:sz="4" w:space="0" w:color="auto"/>
              <w:left w:val="single" w:sz="4" w:space="0" w:color="auto"/>
              <w:bottom w:val="single" w:sz="4" w:space="0" w:color="auto"/>
              <w:right w:val="single" w:sz="4" w:space="0" w:color="auto"/>
            </w:tcBorders>
            <w:vAlign w:val="center"/>
            <w:hideMark/>
          </w:tcPr>
          <w:p w14:paraId="72A4D3AD"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15%</w:t>
            </w:r>
          </w:p>
        </w:tc>
      </w:tr>
      <w:tr w:rsidR="00AC2760" w14:paraId="7BC5A0E8"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60498031"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7EC7BCF3"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vAlign w:val="center"/>
            <w:hideMark/>
          </w:tcPr>
          <w:p w14:paraId="4FA8BEB9" w14:textId="77777777" w:rsidR="00AC2760" w:rsidRDefault="00AC2760">
            <w:pPr>
              <w:keepNext/>
              <w:spacing w:after="0" w:line="300" w:lineRule="auto"/>
              <w:jc w:val="center"/>
              <w:rPr>
                <w:rFonts w:ascii="Arial" w:hAnsi="Arial" w:cs="Arial"/>
                <w:color w:val="000000"/>
              </w:rPr>
            </w:pPr>
            <w:r>
              <w:rPr>
                <w:rFonts w:ascii="Arial" w:hAnsi="Arial" w:cs="Arial"/>
                <w:color w:val="000000"/>
              </w:rPr>
              <w:t>35%</w:t>
            </w:r>
          </w:p>
        </w:tc>
        <w:tc>
          <w:tcPr>
            <w:tcW w:w="685" w:type="pct"/>
            <w:tcBorders>
              <w:top w:val="single" w:sz="4" w:space="0" w:color="auto"/>
              <w:left w:val="single" w:sz="4" w:space="0" w:color="auto"/>
              <w:bottom w:val="single" w:sz="4" w:space="0" w:color="auto"/>
              <w:right w:val="single" w:sz="4" w:space="0" w:color="auto"/>
            </w:tcBorders>
            <w:vAlign w:val="center"/>
            <w:hideMark/>
          </w:tcPr>
          <w:p w14:paraId="17A99035" w14:textId="77777777" w:rsidR="00AC2760" w:rsidRDefault="00AC2760">
            <w:pPr>
              <w:keepNext/>
              <w:spacing w:after="0" w:line="300" w:lineRule="auto"/>
              <w:jc w:val="center"/>
              <w:rPr>
                <w:rFonts w:ascii="Arial" w:hAnsi="Arial" w:cs="Arial"/>
                <w:color w:val="000000"/>
              </w:rPr>
            </w:pPr>
            <w:r>
              <w:rPr>
                <w:rFonts w:ascii="Arial" w:hAnsi="Arial" w:cs="Arial"/>
                <w:color w:val="000000"/>
              </w:rPr>
              <w:t>37%</w:t>
            </w:r>
          </w:p>
        </w:tc>
        <w:tc>
          <w:tcPr>
            <w:tcW w:w="685" w:type="pct"/>
            <w:tcBorders>
              <w:top w:val="single" w:sz="4" w:space="0" w:color="auto"/>
              <w:left w:val="single" w:sz="4" w:space="0" w:color="auto"/>
              <w:bottom w:val="single" w:sz="4" w:space="0" w:color="auto"/>
              <w:right w:val="single" w:sz="4" w:space="0" w:color="auto"/>
            </w:tcBorders>
            <w:vAlign w:val="center"/>
            <w:hideMark/>
          </w:tcPr>
          <w:p w14:paraId="5F0E024A" w14:textId="77777777" w:rsidR="00AC2760" w:rsidRDefault="00AC2760">
            <w:pPr>
              <w:keepNext/>
              <w:spacing w:after="0" w:line="300" w:lineRule="auto"/>
              <w:jc w:val="center"/>
              <w:rPr>
                <w:rFonts w:ascii="Arial" w:hAnsi="Arial" w:cs="Arial"/>
                <w:color w:val="000000"/>
              </w:rPr>
            </w:pPr>
            <w:r>
              <w:rPr>
                <w:rFonts w:ascii="Arial" w:hAnsi="Arial" w:cs="Arial"/>
                <w:color w:val="000000"/>
              </w:rPr>
              <w:t>25%</w:t>
            </w:r>
          </w:p>
        </w:tc>
        <w:tc>
          <w:tcPr>
            <w:tcW w:w="685" w:type="pct"/>
            <w:tcBorders>
              <w:top w:val="single" w:sz="4" w:space="0" w:color="auto"/>
              <w:left w:val="single" w:sz="4" w:space="0" w:color="auto"/>
              <w:bottom w:val="single" w:sz="4" w:space="0" w:color="auto"/>
              <w:right w:val="single" w:sz="4" w:space="0" w:color="auto"/>
            </w:tcBorders>
            <w:vAlign w:val="center"/>
            <w:hideMark/>
          </w:tcPr>
          <w:p w14:paraId="377AC433" w14:textId="77777777" w:rsidR="00AC2760" w:rsidRDefault="00AC2760">
            <w:pPr>
              <w:keepNext/>
              <w:spacing w:after="0" w:line="300" w:lineRule="auto"/>
              <w:jc w:val="center"/>
              <w:rPr>
                <w:rFonts w:ascii="Arial" w:hAnsi="Arial" w:cs="Arial"/>
                <w:color w:val="000000"/>
              </w:rPr>
            </w:pPr>
            <w:r>
              <w:rPr>
                <w:rFonts w:ascii="Arial" w:hAnsi="Arial" w:cs="Arial"/>
                <w:color w:val="000000"/>
              </w:rPr>
              <w:t>3%</w:t>
            </w:r>
          </w:p>
        </w:tc>
      </w:tr>
      <w:tr w:rsidR="00AC2760" w14:paraId="3754B0F1" w14:textId="77777777" w:rsidTr="00AC2760">
        <w:tc>
          <w:tcPr>
            <w:tcW w:w="7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BACFF3" w14:textId="77777777" w:rsidR="00AC2760" w:rsidRDefault="00AC2760">
            <w:pPr>
              <w:pStyle w:val="11Body"/>
              <w:keepNext/>
              <w:numPr>
                <w:ilvl w:val="0"/>
                <w:numId w:val="0"/>
              </w:numPr>
              <w:tabs>
                <w:tab w:val="left" w:pos="720"/>
              </w:tabs>
              <w:spacing w:before="0" w:line="300" w:lineRule="auto"/>
              <w:rPr>
                <w:rFonts w:cs="Times New Roman"/>
                <w:color w:val="auto"/>
                <w:lang w:val="en-GB"/>
              </w:rPr>
            </w:pPr>
            <w:r>
              <w:rPr>
                <w:lang w:val="en-GB"/>
              </w:rPr>
              <w:t>Broxtowe</w:t>
            </w: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C89E3C"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F6B0811" w14:textId="77777777" w:rsidR="00AC2760" w:rsidRDefault="00AC2760">
            <w:pPr>
              <w:keepNext/>
              <w:spacing w:after="0" w:line="300" w:lineRule="auto"/>
              <w:jc w:val="center"/>
              <w:rPr>
                <w:rFonts w:ascii="Arial" w:hAnsi="Arial" w:cs="Arial"/>
                <w:color w:val="000000"/>
              </w:rPr>
            </w:pPr>
            <w:r>
              <w:rPr>
                <w:rFonts w:ascii="Arial" w:hAnsi="Arial" w:cs="Arial"/>
                <w:color w:val="000000"/>
              </w:rPr>
              <w:t>12%</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821245A" w14:textId="77777777" w:rsidR="00AC2760" w:rsidRDefault="00AC2760">
            <w:pPr>
              <w:keepNext/>
              <w:spacing w:after="0" w:line="300" w:lineRule="auto"/>
              <w:jc w:val="center"/>
              <w:rPr>
                <w:rFonts w:ascii="Arial" w:hAnsi="Arial" w:cs="Arial"/>
                <w:color w:val="000000"/>
              </w:rPr>
            </w:pPr>
            <w:r>
              <w:rPr>
                <w:rFonts w:ascii="Arial" w:hAnsi="Arial" w:cs="Arial"/>
                <w:color w:val="000000"/>
              </w:rPr>
              <w:t>31%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A7C8907"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6A1C6CD" w14:textId="77777777" w:rsidR="00AC2760" w:rsidRDefault="00AC2760">
            <w:pPr>
              <w:keepNext/>
              <w:spacing w:after="0" w:line="300" w:lineRule="auto"/>
              <w:jc w:val="center"/>
              <w:rPr>
                <w:rFonts w:ascii="Arial" w:hAnsi="Arial" w:cs="Arial"/>
                <w:color w:val="000000"/>
              </w:rPr>
            </w:pPr>
            <w:r>
              <w:rPr>
                <w:rFonts w:ascii="Arial" w:hAnsi="Arial" w:cs="Arial"/>
                <w:color w:val="000000"/>
              </w:rPr>
              <w:t>18%</w:t>
            </w:r>
          </w:p>
        </w:tc>
      </w:tr>
      <w:tr w:rsidR="00AC2760" w14:paraId="3A34C710"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4714DACD"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1ACEBB"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D7990C2"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B33E7D"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42%</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6711D59"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32%</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C7FB44D"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6%</w:t>
            </w:r>
          </w:p>
        </w:tc>
      </w:tr>
      <w:tr w:rsidR="00AC2760" w14:paraId="33510BB4"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15C58988"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39DC47"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4C480A4" w14:textId="77777777" w:rsidR="00AC2760" w:rsidRDefault="00AC2760">
            <w:pPr>
              <w:keepNext/>
              <w:spacing w:after="0" w:line="300" w:lineRule="auto"/>
              <w:jc w:val="center"/>
              <w:rPr>
                <w:rFonts w:ascii="Arial" w:hAnsi="Arial" w:cs="Arial"/>
                <w:color w:val="000000"/>
              </w:rPr>
            </w:pPr>
            <w:r>
              <w:rPr>
                <w:rFonts w:ascii="Arial" w:hAnsi="Arial" w:cs="Arial"/>
                <w:color w:val="000000"/>
              </w:rPr>
              <w:t>21%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187B5D3"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E571381" w14:textId="77777777" w:rsidR="00AC2760" w:rsidRDefault="00AC2760">
            <w:pPr>
              <w:keepNext/>
              <w:spacing w:after="0" w:line="300" w:lineRule="auto"/>
              <w:jc w:val="center"/>
              <w:rPr>
                <w:rFonts w:ascii="Arial" w:hAnsi="Arial" w:cs="Arial"/>
                <w:color w:val="000000"/>
              </w:rPr>
            </w:pPr>
            <w:r>
              <w:rPr>
                <w:rFonts w:ascii="Arial" w:hAnsi="Arial" w:cs="Arial"/>
                <w:color w:val="000000"/>
              </w:rPr>
              <w:t>33%</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D940A03" w14:textId="77777777" w:rsidR="00AC2760" w:rsidRDefault="00AC2760">
            <w:pPr>
              <w:keepNext/>
              <w:spacing w:after="0" w:line="300" w:lineRule="auto"/>
              <w:jc w:val="center"/>
              <w:rPr>
                <w:rFonts w:ascii="Arial" w:hAnsi="Arial" w:cs="Arial"/>
                <w:color w:val="000000"/>
              </w:rPr>
            </w:pPr>
            <w:r>
              <w:rPr>
                <w:rFonts w:ascii="Arial" w:hAnsi="Arial" w:cs="Arial"/>
                <w:color w:val="000000"/>
              </w:rPr>
              <w:t>6%</w:t>
            </w:r>
          </w:p>
        </w:tc>
      </w:tr>
      <w:tr w:rsidR="00AC2760" w14:paraId="30E75B8F" w14:textId="77777777" w:rsidTr="00AC2760">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473AC08C" w14:textId="77777777" w:rsidR="00AC2760" w:rsidRDefault="00AC2760">
            <w:pPr>
              <w:pStyle w:val="11Body"/>
              <w:keepNext/>
              <w:numPr>
                <w:ilvl w:val="0"/>
                <w:numId w:val="0"/>
              </w:numPr>
              <w:tabs>
                <w:tab w:val="left" w:pos="720"/>
              </w:tabs>
              <w:spacing w:before="0" w:line="300" w:lineRule="auto"/>
              <w:rPr>
                <w:rFonts w:cs="Times New Roman"/>
                <w:color w:val="auto"/>
                <w:lang w:val="en-GB"/>
              </w:rPr>
            </w:pPr>
            <w:r>
              <w:rPr>
                <w:color w:val="auto"/>
                <w:lang w:val="en-GB"/>
              </w:rPr>
              <w:t>Erewash</w:t>
            </w:r>
          </w:p>
        </w:tc>
        <w:tc>
          <w:tcPr>
            <w:tcW w:w="1556" w:type="pct"/>
            <w:tcBorders>
              <w:top w:val="single" w:sz="4" w:space="0" w:color="auto"/>
              <w:left w:val="single" w:sz="4" w:space="0" w:color="auto"/>
              <w:bottom w:val="single" w:sz="4" w:space="0" w:color="auto"/>
              <w:right w:val="single" w:sz="4" w:space="0" w:color="auto"/>
            </w:tcBorders>
            <w:hideMark/>
          </w:tcPr>
          <w:p w14:paraId="33F991A1"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vAlign w:val="bottom"/>
            <w:hideMark/>
          </w:tcPr>
          <w:p w14:paraId="08548E01" w14:textId="77777777" w:rsidR="00AC2760" w:rsidRDefault="00AC2760">
            <w:pPr>
              <w:keepNext/>
              <w:spacing w:after="0" w:line="300" w:lineRule="auto"/>
              <w:jc w:val="center"/>
              <w:rPr>
                <w:rFonts w:ascii="Arial" w:hAnsi="Arial" w:cs="Arial"/>
                <w:color w:val="000000"/>
              </w:rPr>
            </w:pPr>
            <w:r>
              <w:rPr>
                <w:rFonts w:ascii="Arial" w:hAnsi="Arial" w:cs="Arial"/>
                <w:color w:val="000000"/>
              </w:rPr>
              <w:t>7%</w:t>
            </w:r>
          </w:p>
        </w:tc>
        <w:tc>
          <w:tcPr>
            <w:tcW w:w="685" w:type="pct"/>
            <w:tcBorders>
              <w:top w:val="single" w:sz="4" w:space="0" w:color="auto"/>
              <w:left w:val="single" w:sz="4" w:space="0" w:color="auto"/>
              <w:bottom w:val="single" w:sz="4" w:space="0" w:color="auto"/>
              <w:right w:val="single" w:sz="4" w:space="0" w:color="auto"/>
            </w:tcBorders>
            <w:vAlign w:val="bottom"/>
            <w:hideMark/>
          </w:tcPr>
          <w:p w14:paraId="2ED87EE7" w14:textId="77777777" w:rsidR="00AC2760" w:rsidRDefault="00AC2760">
            <w:pPr>
              <w:keepNext/>
              <w:spacing w:after="0" w:line="300" w:lineRule="auto"/>
              <w:jc w:val="center"/>
              <w:rPr>
                <w:rFonts w:ascii="Arial" w:hAnsi="Arial" w:cs="Arial"/>
                <w:color w:val="000000"/>
              </w:rPr>
            </w:pPr>
            <w:r>
              <w:rPr>
                <w:rFonts w:ascii="Arial" w:hAnsi="Arial" w:cs="Arial"/>
                <w:color w:val="000000"/>
              </w:rPr>
              <w:t>32%</w:t>
            </w:r>
          </w:p>
        </w:tc>
        <w:tc>
          <w:tcPr>
            <w:tcW w:w="685" w:type="pct"/>
            <w:tcBorders>
              <w:top w:val="single" w:sz="4" w:space="0" w:color="auto"/>
              <w:left w:val="single" w:sz="4" w:space="0" w:color="auto"/>
              <w:bottom w:val="single" w:sz="4" w:space="0" w:color="auto"/>
              <w:right w:val="single" w:sz="4" w:space="0" w:color="auto"/>
            </w:tcBorders>
            <w:vAlign w:val="bottom"/>
            <w:hideMark/>
          </w:tcPr>
          <w:p w14:paraId="428922C8" w14:textId="77777777" w:rsidR="00AC2760" w:rsidRDefault="00AC2760">
            <w:pPr>
              <w:keepNext/>
              <w:spacing w:after="0" w:line="300" w:lineRule="auto"/>
              <w:jc w:val="center"/>
              <w:rPr>
                <w:rFonts w:ascii="Arial" w:hAnsi="Arial" w:cs="Arial"/>
                <w:color w:val="000000"/>
              </w:rPr>
            </w:pPr>
            <w:r>
              <w:rPr>
                <w:rFonts w:ascii="Arial" w:hAnsi="Arial" w:cs="Arial"/>
                <w:color w:val="000000"/>
              </w:rPr>
              <w:t>42%</w:t>
            </w:r>
          </w:p>
        </w:tc>
        <w:tc>
          <w:tcPr>
            <w:tcW w:w="685" w:type="pct"/>
            <w:tcBorders>
              <w:top w:val="single" w:sz="4" w:space="0" w:color="auto"/>
              <w:left w:val="single" w:sz="4" w:space="0" w:color="auto"/>
              <w:bottom w:val="single" w:sz="4" w:space="0" w:color="auto"/>
              <w:right w:val="single" w:sz="4" w:space="0" w:color="auto"/>
            </w:tcBorders>
            <w:vAlign w:val="bottom"/>
            <w:hideMark/>
          </w:tcPr>
          <w:p w14:paraId="22083BB5" w14:textId="77777777" w:rsidR="00AC2760" w:rsidRDefault="00AC2760">
            <w:pPr>
              <w:keepNext/>
              <w:spacing w:after="0" w:line="300" w:lineRule="auto"/>
              <w:jc w:val="center"/>
              <w:rPr>
                <w:rFonts w:ascii="Arial" w:hAnsi="Arial" w:cs="Arial"/>
                <w:color w:val="000000"/>
              </w:rPr>
            </w:pPr>
            <w:r>
              <w:rPr>
                <w:rFonts w:ascii="Arial" w:hAnsi="Arial" w:cs="Arial"/>
                <w:color w:val="000000"/>
              </w:rPr>
              <w:t>19%</w:t>
            </w:r>
          </w:p>
        </w:tc>
      </w:tr>
      <w:tr w:rsidR="00AC2760" w14:paraId="658B2141"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36B03765"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2149EB3F"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vAlign w:val="bottom"/>
            <w:hideMark/>
          </w:tcPr>
          <w:p w14:paraId="2BD2834A"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20%</w:t>
            </w:r>
          </w:p>
        </w:tc>
        <w:tc>
          <w:tcPr>
            <w:tcW w:w="685" w:type="pct"/>
            <w:tcBorders>
              <w:top w:val="single" w:sz="4" w:space="0" w:color="auto"/>
              <w:left w:val="single" w:sz="4" w:space="0" w:color="auto"/>
              <w:bottom w:val="single" w:sz="4" w:space="0" w:color="auto"/>
              <w:right w:val="single" w:sz="4" w:space="0" w:color="auto"/>
            </w:tcBorders>
            <w:vAlign w:val="bottom"/>
            <w:hideMark/>
          </w:tcPr>
          <w:p w14:paraId="46037896"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37%</w:t>
            </w:r>
          </w:p>
        </w:tc>
        <w:tc>
          <w:tcPr>
            <w:tcW w:w="685" w:type="pct"/>
            <w:tcBorders>
              <w:top w:val="single" w:sz="4" w:space="0" w:color="auto"/>
              <w:left w:val="single" w:sz="4" w:space="0" w:color="auto"/>
              <w:bottom w:val="single" w:sz="4" w:space="0" w:color="auto"/>
              <w:right w:val="single" w:sz="4" w:space="0" w:color="auto"/>
            </w:tcBorders>
            <w:vAlign w:val="bottom"/>
            <w:hideMark/>
          </w:tcPr>
          <w:p w14:paraId="0E35F002"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32%</w:t>
            </w:r>
          </w:p>
        </w:tc>
        <w:tc>
          <w:tcPr>
            <w:tcW w:w="685" w:type="pct"/>
            <w:tcBorders>
              <w:top w:val="single" w:sz="4" w:space="0" w:color="auto"/>
              <w:left w:val="single" w:sz="4" w:space="0" w:color="auto"/>
              <w:bottom w:val="single" w:sz="4" w:space="0" w:color="auto"/>
              <w:right w:val="single" w:sz="4" w:space="0" w:color="auto"/>
            </w:tcBorders>
            <w:vAlign w:val="bottom"/>
            <w:hideMark/>
          </w:tcPr>
          <w:p w14:paraId="46452437"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12%</w:t>
            </w:r>
          </w:p>
        </w:tc>
      </w:tr>
      <w:tr w:rsidR="00AC2760" w14:paraId="54413558"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25879B33" w14:textId="77777777" w:rsidR="00AC2760" w:rsidRDefault="00AC2760">
            <w:pPr>
              <w:spacing w:after="0" w:line="240" w:lineRule="auto"/>
              <w:jc w:val="left"/>
              <w:rPr>
                <w:rFonts w:ascii="Arial" w:eastAsia="MS Mincho" w:hAnsi="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5E59AC2C"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vAlign w:val="bottom"/>
            <w:hideMark/>
          </w:tcPr>
          <w:p w14:paraId="312EFA1D" w14:textId="77777777" w:rsidR="00AC2760" w:rsidRDefault="00AC2760">
            <w:pPr>
              <w:keepNext/>
              <w:spacing w:after="0" w:line="300" w:lineRule="auto"/>
              <w:jc w:val="center"/>
              <w:rPr>
                <w:rFonts w:ascii="Arial" w:hAnsi="Arial" w:cs="Arial"/>
                <w:color w:val="000000"/>
              </w:rPr>
            </w:pPr>
            <w:r>
              <w:rPr>
                <w:rFonts w:ascii="Arial" w:hAnsi="Arial" w:cs="Arial"/>
                <w:color w:val="000000"/>
              </w:rPr>
              <w:t>26%</w:t>
            </w:r>
          </w:p>
        </w:tc>
        <w:tc>
          <w:tcPr>
            <w:tcW w:w="685" w:type="pct"/>
            <w:tcBorders>
              <w:top w:val="single" w:sz="4" w:space="0" w:color="auto"/>
              <w:left w:val="single" w:sz="4" w:space="0" w:color="auto"/>
              <w:bottom w:val="single" w:sz="4" w:space="0" w:color="auto"/>
              <w:right w:val="single" w:sz="4" w:space="0" w:color="auto"/>
            </w:tcBorders>
            <w:vAlign w:val="bottom"/>
            <w:hideMark/>
          </w:tcPr>
          <w:p w14:paraId="723DF41D" w14:textId="77777777" w:rsidR="00AC2760" w:rsidRDefault="00AC2760">
            <w:pPr>
              <w:keepNext/>
              <w:spacing w:after="0" w:line="300" w:lineRule="auto"/>
              <w:jc w:val="center"/>
              <w:rPr>
                <w:rFonts w:ascii="Arial" w:hAnsi="Arial" w:cs="Arial"/>
                <w:color w:val="000000"/>
              </w:rPr>
            </w:pPr>
            <w:r>
              <w:rPr>
                <w:rFonts w:ascii="Arial" w:hAnsi="Arial" w:cs="Arial"/>
                <w:color w:val="000000"/>
              </w:rPr>
              <w:t>44%</w:t>
            </w:r>
          </w:p>
        </w:tc>
        <w:tc>
          <w:tcPr>
            <w:tcW w:w="685" w:type="pct"/>
            <w:tcBorders>
              <w:top w:val="single" w:sz="4" w:space="0" w:color="auto"/>
              <w:left w:val="single" w:sz="4" w:space="0" w:color="auto"/>
              <w:bottom w:val="single" w:sz="4" w:space="0" w:color="auto"/>
              <w:right w:val="single" w:sz="4" w:space="0" w:color="auto"/>
            </w:tcBorders>
            <w:vAlign w:val="bottom"/>
            <w:hideMark/>
          </w:tcPr>
          <w:p w14:paraId="4DCAE49C" w14:textId="77777777" w:rsidR="00AC2760" w:rsidRDefault="00AC2760">
            <w:pPr>
              <w:keepNext/>
              <w:spacing w:after="0" w:line="300" w:lineRule="auto"/>
              <w:jc w:val="center"/>
              <w:rPr>
                <w:rFonts w:ascii="Arial" w:hAnsi="Arial" w:cs="Arial"/>
                <w:color w:val="000000"/>
              </w:rPr>
            </w:pPr>
            <w:r>
              <w:rPr>
                <w:rFonts w:ascii="Arial" w:hAnsi="Arial" w:cs="Arial"/>
                <w:color w:val="000000"/>
              </w:rPr>
              <w:t>27%</w:t>
            </w:r>
          </w:p>
        </w:tc>
        <w:tc>
          <w:tcPr>
            <w:tcW w:w="685" w:type="pct"/>
            <w:tcBorders>
              <w:top w:val="single" w:sz="4" w:space="0" w:color="auto"/>
              <w:left w:val="single" w:sz="4" w:space="0" w:color="auto"/>
              <w:bottom w:val="single" w:sz="4" w:space="0" w:color="auto"/>
              <w:right w:val="single" w:sz="4" w:space="0" w:color="auto"/>
            </w:tcBorders>
            <w:vAlign w:val="bottom"/>
            <w:hideMark/>
          </w:tcPr>
          <w:p w14:paraId="7BB11A0C" w14:textId="77777777" w:rsidR="00AC2760" w:rsidRDefault="00AC2760">
            <w:pPr>
              <w:keepNext/>
              <w:spacing w:after="0" w:line="300" w:lineRule="auto"/>
              <w:jc w:val="center"/>
              <w:rPr>
                <w:rFonts w:ascii="Arial" w:hAnsi="Arial" w:cs="Arial"/>
                <w:color w:val="000000"/>
              </w:rPr>
            </w:pPr>
            <w:r>
              <w:rPr>
                <w:rFonts w:ascii="Arial" w:hAnsi="Arial" w:cs="Arial"/>
                <w:color w:val="000000"/>
              </w:rPr>
              <w:t>4%</w:t>
            </w:r>
          </w:p>
        </w:tc>
      </w:tr>
      <w:tr w:rsidR="00AC2760" w14:paraId="2D10A9AE" w14:textId="77777777" w:rsidTr="00AC2760">
        <w:tc>
          <w:tcPr>
            <w:tcW w:w="7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4A85BE4" w14:textId="77777777" w:rsidR="00AC2760" w:rsidRDefault="00AC2760">
            <w:pPr>
              <w:keepNext/>
              <w:spacing w:after="0" w:line="240" w:lineRule="auto"/>
              <w:jc w:val="left"/>
              <w:rPr>
                <w:rFonts w:ascii="Arial" w:eastAsia="MS Mincho" w:hAnsi="Arial" w:cs="Arial"/>
                <w:bCs/>
                <w:lang w:eastAsia="ja-JP"/>
              </w:rPr>
            </w:pPr>
            <w:r>
              <w:rPr>
                <w:rFonts w:ascii="Arial" w:eastAsia="MS Mincho" w:hAnsi="Arial" w:cs="Arial"/>
                <w:bCs/>
                <w:lang w:eastAsia="ja-JP"/>
              </w:rPr>
              <w:t>Gedling</w:t>
            </w: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DA1B63"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F596B79" w14:textId="77777777" w:rsidR="00AC2760" w:rsidRDefault="00AC2760">
            <w:pPr>
              <w:keepNext/>
              <w:spacing w:after="0" w:line="300" w:lineRule="auto"/>
              <w:jc w:val="center"/>
              <w:rPr>
                <w:rFonts w:ascii="Arial" w:hAnsi="Arial" w:cs="Arial"/>
                <w:color w:val="000000"/>
              </w:rPr>
            </w:pPr>
            <w:r>
              <w:rPr>
                <w:rFonts w:ascii="Arial" w:hAnsi="Arial" w:cs="Arial"/>
                <w:color w:val="000000"/>
              </w:rPr>
              <w:t>3%</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47CD7E0"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4727AD4" w14:textId="77777777" w:rsidR="00AC2760" w:rsidRDefault="00AC2760">
            <w:pPr>
              <w:keepNext/>
              <w:spacing w:after="0" w:line="300" w:lineRule="auto"/>
              <w:jc w:val="center"/>
              <w:rPr>
                <w:rFonts w:ascii="Arial" w:hAnsi="Arial" w:cs="Arial"/>
                <w:color w:val="000000"/>
              </w:rPr>
            </w:pPr>
            <w:r>
              <w:rPr>
                <w:rFonts w:ascii="Arial" w:hAnsi="Arial" w:cs="Arial"/>
                <w:color w:val="000000"/>
              </w:rPr>
              <w:t>48%</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6DED150" w14:textId="77777777" w:rsidR="00AC2760" w:rsidRDefault="00AC2760">
            <w:pPr>
              <w:keepNext/>
              <w:spacing w:after="0" w:line="300" w:lineRule="auto"/>
              <w:jc w:val="center"/>
              <w:rPr>
                <w:rFonts w:ascii="Arial" w:hAnsi="Arial" w:cs="Arial"/>
                <w:color w:val="000000"/>
              </w:rPr>
            </w:pPr>
            <w:r>
              <w:rPr>
                <w:rFonts w:ascii="Arial" w:hAnsi="Arial" w:cs="Arial"/>
                <w:color w:val="000000"/>
              </w:rPr>
              <w:t>19%</w:t>
            </w:r>
          </w:p>
        </w:tc>
      </w:tr>
      <w:tr w:rsidR="00AC2760" w14:paraId="31AF72DB"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734A33DA"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B42284"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199CE039"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20%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2529C0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38%</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637F200"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B4BB018"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11%</w:t>
            </w:r>
          </w:p>
        </w:tc>
      </w:tr>
      <w:tr w:rsidR="00AC2760" w14:paraId="7E992F0F"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32D60D88"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D1E94E"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07F03972" w14:textId="77777777" w:rsidR="00AC2760" w:rsidRDefault="00AC2760">
            <w:pPr>
              <w:keepNext/>
              <w:spacing w:after="0" w:line="300" w:lineRule="auto"/>
              <w:jc w:val="center"/>
              <w:rPr>
                <w:rFonts w:ascii="Arial" w:hAnsi="Arial" w:cs="Arial"/>
                <w:color w:val="000000"/>
              </w:rPr>
            </w:pPr>
            <w:r>
              <w:rPr>
                <w:rFonts w:ascii="Arial" w:hAnsi="Arial" w:cs="Arial"/>
                <w:color w:val="000000"/>
              </w:rPr>
              <w:t>25%</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5D8714E" w14:textId="77777777" w:rsidR="00AC2760" w:rsidRDefault="00AC2760">
            <w:pPr>
              <w:keepNext/>
              <w:spacing w:after="0" w:line="300" w:lineRule="auto"/>
              <w:jc w:val="center"/>
              <w:rPr>
                <w:rFonts w:ascii="Arial" w:hAnsi="Arial" w:cs="Arial"/>
                <w:color w:val="000000"/>
              </w:rPr>
            </w:pPr>
            <w:r>
              <w:rPr>
                <w:rFonts w:ascii="Arial" w:hAnsi="Arial" w:cs="Arial"/>
                <w:color w:val="000000"/>
              </w:rPr>
              <w:t>44%</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B7F7B39" w14:textId="77777777" w:rsidR="00AC2760" w:rsidRDefault="00AC2760">
            <w:pPr>
              <w:keepNext/>
              <w:spacing w:after="0" w:line="300" w:lineRule="auto"/>
              <w:jc w:val="center"/>
              <w:rPr>
                <w:rFonts w:ascii="Arial" w:hAnsi="Arial" w:cs="Arial"/>
                <w:color w:val="000000"/>
              </w:rPr>
            </w:pPr>
            <w:r>
              <w:rPr>
                <w:rFonts w:ascii="Arial" w:hAnsi="Arial" w:cs="Arial"/>
                <w:color w:val="000000"/>
              </w:rPr>
              <w:t>27%</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4A73B42" w14:textId="77777777" w:rsidR="00AC2760" w:rsidRDefault="00AC2760">
            <w:pPr>
              <w:keepNext/>
              <w:spacing w:after="0" w:line="300" w:lineRule="auto"/>
              <w:jc w:val="center"/>
              <w:rPr>
                <w:rFonts w:ascii="Arial" w:hAnsi="Arial" w:cs="Arial"/>
                <w:color w:val="000000"/>
              </w:rPr>
            </w:pPr>
            <w:r>
              <w:rPr>
                <w:rFonts w:ascii="Arial" w:hAnsi="Arial" w:cs="Arial"/>
                <w:color w:val="000000"/>
              </w:rPr>
              <w:t>3%</w:t>
            </w:r>
          </w:p>
        </w:tc>
      </w:tr>
      <w:tr w:rsidR="00AC2760" w14:paraId="2EAB9D3F" w14:textId="77777777" w:rsidTr="00AC2760">
        <w:tc>
          <w:tcPr>
            <w:tcW w:w="705" w:type="pct"/>
            <w:vMerge w:val="restart"/>
            <w:tcBorders>
              <w:top w:val="single" w:sz="4" w:space="0" w:color="auto"/>
              <w:left w:val="single" w:sz="4" w:space="0" w:color="auto"/>
              <w:bottom w:val="single" w:sz="4" w:space="0" w:color="auto"/>
              <w:right w:val="single" w:sz="4" w:space="0" w:color="auto"/>
            </w:tcBorders>
            <w:vAlign w:val="center"/>
            <w:hideMark/>
          </w:tcPr>
          <w:p w14:paraId="55AF5BB8" w14:textId="77777777" w:rsidR="00AC2760" w:rsidRDefault="00AC2760">
            <w:pPr>
              <w:keepNext/>
              <w:spacing w:after="0" w:line="240" w:lineRule="auto"/>
              <w:jc w:val="left"/>
              <w:rPr>
                <w:rFonts w:ascii="Arial" w:eastAsia="MS Mincho" w:hAnsi="Arial" w:cs="Arial"/>
                <w:bCs/>
                <w:lang w:eastAsia="ja-JP"/>
              </w:rPr>
            </w:pPr>
            <w:r>
              <w:rPr>
                <w:rFonts w:ascii="Arial" w:eastAsia="MS Mincho" w:hAnsi="Arial" w:cs="Arial"/>
                <w:bCs/>
                <w:lang w:eastAsia="ja-JP"/>
              </w:rPr>
              <w:t>Nottingham</w:t>
            </w:r>
          </w:p>
        </w:tc>
        <w:tc>
          <w:tcPr>
            <w:tcW w:w="1556" w:type="pct"/>
            <w:tcBorders>
              <w:top w:val="single" w:sz="4" w:space="0" w:color="auto"/>
              <w:left w:val="single" w:sz="4" w:space="0" w:color="auto"/>
              <w:bottom w:val="single" w:sz="4" w:space="0" w:color="auto"/>
              <w:right w:val="single" w:sz="4" w:space="0" w:color="auto"/>
            </w:tcBorders>
            <w:hideMark/>
          </w:tcPr>
          <w:p w14:paraId="435E72B1"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vAlign w:val="bottom"/>
            <w:hideMark/>
          </w:tcPr>
          <w:p w14:paraId="1962C9C5" w14:textId="77777777" w:rsidR="00AC2760" w:rsidRDefault="00AC2760">
            <w:pPr>
              <w:keepNext/>
              <w:spacing w:after="0" w:line="300" w:lineRule="auto"/>
              <w:jc w:val="center"/>
              <w:rPr>
                <w:rFonts w:ascii="Arial" w:hAnsi="Arial" w:cs="Arial"/>
                <w:color w:val="000000"/>
              </w:rPr>
            </w:pPr>
            <w:r>
              <w:rPr>
                <w:rFonts w:ascii="Arial" w:hAnsi="Arial" w:cs="Arial"/>
                <w:color w:val="000000"/>
              </w:rPr>
              <w:t>11%</w:t>
            </w:r>
          </w:p>
        </w:tc>
        <w:tc>
          <w:tcPr>
            <w:tcW w:w="685" w:type="pct"/>
            <w:tcBorders>
              <w:top w:val="single" w:sz="4" w:space="0" w:color="auto"/>
              <w:left w:val="single" w:sz="4" w:space="0" w:color="auto"/>
              <w:bottom w:val="single" w:sz="4" w:space="0" w:color="auto"/>
              <w:right w:val="single" w:sz="4" w:space="0" w:color="auto"/>
            </w:tcBorders>
            <w:vAlign w:val="bottom"/>
            <w:hideMark/>
          </w:tcPr>
          <w:p w14:paraId="7DE33965" w14:textId="77777777" w:rsidR="00AC2760" w:rsidRDefault="00AC2760">
            <w:pPr>
              <w:keepNext/>
              <w:spacing w:after="0" w:line="300" w:lineRule="auto"/>
              <w:jc w:val="center"/>
              <w:rPr>
                <w:rFonts w:ascii="Arial" w:hAnsi="Arial" w:cs="Arial"/>
                <w:color w:val="000000"/>
              </w:rPr>
            </w:pPr>
            <w:r>
              <w:rPr>
                <w:rFonts w:ascii="Arial" w:hAnsi="Arial" w:cs="Arial"/>
                <w:color w:val="000000"/>
              </w:rPr>
              <w:t>29%</w:t>
            </w:r>
          </w:p>
        </w:tc>
        <w:tc>
          <w:tcPr>
            <w:tcW w:w="685" w:type="pct"/>
            <w:tcBorders>
              <w:top w:val="single" w:sz="4" w:space="0" w:color="auto"/>
              <w:left w:val="single" w:sz="4" w:space="0" w:color="auto"/>
              <w:bottom w:val="single" w:sz="4" w:space="0" w:color="auto"/>
              <w:right w:val="single" w:sz="4" w:space="0" w:color="auto"/>
            </w:tcBorders>
            <w:vAlign w:val="bottom"/>
            <w:hideMark/>
          </w:tcPr>
          <w:p w14:paraId="111DC5B0" w14:textId="77777777" w:rsidR="00AC2760" w:rsidRDefault="00AC2760">
            <w:pPr>
              <w:keepNext/>
              <w:spacing w:after="0" w:line="300" w:lineRule="auto"/>
              <w:jc w:val="center"/>
              <w:rPr>
                <w:rFonts w:ascii="Arial" w:hAnsi="Arial" w:cs="Arial"/>
                <w:color w:val="000000"/>
              </w:rPr>
            </w:pPr>
            <w:r>
              <w:rPr>
                <w:rFonts w:ascii="Arial" w:hAnsi="Arial" w:cs="Arial"/>
                <w:color w:val="000000"/>
              </w:rPr>
              <w:t>42%</w:t>
            </w:r>
          </w:p>
        </w:tc>
        <w:tc>
          <w:tcPr>
            <w:tcW w:w="685" w:type="pct"/>
            <w:tcBorders>
              <w:top w:val="single" w:sz="4" w:space="0" w:color="auto"/>
              <w:left w:val="single" w:sz="4" w:space="0" w:color="auto"/>
              <w:bottom w:val="single" w:sz="4" w:space="0" w:color="auto"/>
              <w:right w:val="single" w:sz="4" w:space="0" w:color="auto"/>
            </w:tcBorders>
            <w:vAlign w:val="bottom"/>
            <w:hideMark/>
          </w:tcPr>
          <w:p w14:paraId="3E35BD4A" w14:textId="77777777" w:rsidR="00AC2760" w:rsidRDefault="00AC2760">
            <w:pPr>
              <w:keepNext/>
              <w:spacing w:after="0" w:line="300" w:lineRule="auto"/>
              <w:jc w:val="center"/>
              <w:rPr>
                <w:rFonts w:ascii="Arial" w:hAnsi="Arial" w:cs="Arial"/>
                <w:color w:val="000000"/>
              </w:rPr>
            </w:pPr>
            <w:r>
              <w:rPr>
                <w:rFonts w:ascii="Arial" w:hAnsi="Arial" w:cs="Arial"/>
                <w:color w:val="000000"/>
              </w:rPr>
              <w:t>18%</w:t>
            </w:r>
          </w:p>
        </w:tc>
      </w:tr>
      <w:tr w:rsidR="00AC2760" w14:paraId="67D49FF7"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08BC39CE"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380244FD"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vAlign w:val="bottom"/>
            <w:hideMark/>
          </w:tcPr>
          <w:p w14:paraId="4A1D7DBE"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15%</w:t>
            </w:r>
          </w:p>
        </w:tc>
        <w:tc>
          <w:tcPr>
            <w:tcW w:w="685" w:type="pct"/>
            <w:tcBorders>
              <w:top w:val="single" w:sz="4" w:space="0" w:color="auto"/>
              <w:left w:val="single" w:sz="4" w:space="0" w:color="auto"/>
              <w:bottom w:val="single" w:sz="4" w:space="0" w:color="auto"/>
              <w:right w:val="single" w:sz="4" w:space="0" w:color="auto"/>
            </w:tcBorders>
            <w:vAlign w:val="bottom"/>
            <w:hideMark/>
          </w:tcPr>
          <w:p w14:paraId="686DC81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46%</w:t>
            </w:r>
          </w:p>
        </w:tc>
        <w:tc>
          <w:tcPr>
            <w:tcW w:w="685" w:type="pct"/>
            <w:tcBorders>
              <w:top w:val="single" w:sz="4" w:space="0" w:color="auto"/>
              <w:left w:val="single" w:sz="4" w:space="0" w:color="auto"/>
              <w:bottom w:val="single" w:sz="4" w:space="0" w:color="auto"/>
              <w:right w:val="single" w:sz="4" w:space="0" w:color="auto"/>
            </w:tcBorders>
            <w:vAlign w:val="bottom"/>
            <w:hideMark/>
          </w:tcPr>
          <w:p w14:paraId="56A169E0"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34%</w:t>
            </w:r>
          </w:p>
        </w:tc>
        <w:tc>
          <w:tcPr>
            <w:tcW w:w="685" w:type="pct"/>
            <w:tcBorders>
              <w:top w:val="single" w:sz="4" w:space="0" w:color="auto"/>
              <w:left w:val="single" w:sz="4" w:space="0" w:color="auto"/>
              <w:bottom w:val="single" w:sz="4" w:space="0" w:color="auto"/>
              <w:right w:val="single" w:sz="4" w:space="0" w:color="auto"/>
            </w:tcBorders>
            <w:vAlign w:val="bottom"/>
            <w:hideMark/>
          </w:tcPr>
          <w:p w14:paraId="0967A293"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5%</w:t>
            </w:r>
          </w:p>
        </w:tc>
      </w:tr>
      <w:tr w:rsidR="00AC2760" w14:paraId="56E1CB7B"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6309BA45"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hideMark/>
          </w:tcPr>
          <w:p w14:paraId="073BC65B"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vAlign w:val="bottom"/>
            <w:hideMark/>
          </w:tcPr>
          <w:p w14:paraId="1B354A02" w14:textId="77777777" w:rsidR="00AC2760" w:rsidRDefault="00AC2760">
            <w:pPr>
              <w:keepNext/>
              <w:spacing w:after="0" w:line="300" w:lineRule="auto"/>
              <w:jc w:val="center"/>
              <w:rPr>
                <w:rFonts w:ascii="Arial" w:hAnsi="Arial" w:cs="Arial"/>
                <w:color w:val="000000"/>
              </w:rPr>
            </w:pPr>
            <w:r>
              <w:rPr>
                <w:rFonts w:ascii="Arial" w:hAnsi="Arial" w:cs="Arial"/>
                <w:color w:val="000000"/>
              </w:rPr>
              <w:t>25%</w:t>
            </w:r>
          </w:p>
        </w:tc>
        <w:tc>
          <w:tcPr>
            <w:tcW w:w="685" w:type="pct"/>
            <w:tcBorders>
              <w:top w:val="single" w:sz="4" w:space="0" w:color="auto"/>
              <w:left w:val="single" w:sz="4" w:space="0" w:color="auto"/>
              <w:bottom w:val="single" w:sz="4" w:space="0" w:color="auto"/>
              <w:right w:val="single" w:sz="4" w:space="0" w:color="auto"/>
            </w:tcBorders>
            <w:vAlign w:val="bottom"/>
            <w:hideMark/>
          </w:tcPr>
          <w:p w14:paraId="6664E400" w14:textId="77777777" w:rsidR="00AC2760" w:rsidRDefault="00AC2760">
            <w:pPr>
              <w:keepNext/>
              <w:spacing w:after="0" w:line="300" w:lineRule="auto"/>
              <w:jc w:val="center"/>
              <w:rPr>
                <w:rFonts w:ascii="Arial" w:hAnsi="Arial" w:cs="Arial"/>
                <w:color w:val="000000"/>
              </w:rPr>
            </w:pPr>
            <w:r>
              <w:rPr>
                <w:rFonts w:ascii="Arial" w:hAnsi="Arial" w:cs="Arial"/>
                <w:color w:val="000000"/>
              </w:rPr>
              <w:t>41%</w:t>
            </w:r>
          </w:p>
        </w:tc>
        <w:tc>
          <w:tcPr>
            <w:tcW w:w="685" w:type="pct"/>
            <w:tcBorders>
              <w:top w:val="single" w:sz="4" w:space="0" w:color="auto"/>
              <w:left w:val="single" w:sz="4" w:space="0" w:color="auto"/>
              <w:bottom w:val="single" w:sz="4" w:space="0" w:color="auto"/>
              <w:right w:val="single" w:sz="4" w:space="0" w:color="auto"/>
            </w:tcBorders>
            <w:vAlign w:val="bottom"/>
            <w:hideMark/>
          </w:tcPr>
          <w:p w14:paraId="478BB375" w14:textId="77777777" w:rsidR="00AC2760" w:rsidRDefault="00AC2760">
            <w:pPr>
              <w:keepNext/>
              <w:spacing w:after="0" w:line="300" w:lineRule="auto"/>
              <w:jc w:val="center"/>
              <w:rPr>
                <w:rFonts w:ascii="Arial" w:hAnsi="Arial" w:cs="Arial"/>
                <w:color w:val="000000"/>
              </w:rPr>
            </w:pPr>
            <w:r>
              <w:rPr>
                <w:rFonts w:ascii="Arial" w:hAnsi="Arial" w:cs="Arial"/>
                <w:color w:val="000000"/>
              </w:rPr>
              <w:t>31%</w:t>
            </w:r>
          </w:p>
        </w:tc>
        <w:tc>
          <w:tcPr>
            <w:tcW w:w="685" w:type="pct"/>
            <w:tcBorders>
              <w:top w:val="single" w:sz="4" w:space="0" w:color="auto"/>
              <w:left w:val="single" w:sz="4" w:space="0" w:color="auto"/>
              <w:bottom w:val="single" w:sz="4" w:space="0" w:color="auto"/>
              <w:right w:val="single" w:sz="4" w:space="0" w:color="auto"/>
            </w:tcBorders>
            <w:vAlign w:val="bottom"/>
            <w:hideMark/>
          </w:tcPr>
          <w:p w14:paraId="55707914" w14:textId="77777777" w:rsidR="00AC2760" w:rsidRDefault="00AC2760">
            <w:pPr>
              <w:keepNext/>
              <w:spacing w:after="0" w:line="300" w:lineRule="auto"/>
              <w:jc w:val="center"/>
              <w:rPr>
                <w:rFonts w:ascii="Arial" w:hAnsi="Arial" w:cs="Arial"/>
                <w:color w:val="000000"/>
              </w:rPr>
            </w:pPr>
            <w:r>
              <w:rPr>
                <w:rFonts w:ascii="Arial" w:hAnsi="Arial" w:cs="Arial"/>
                <w:color w:val="000000"/>
              </w:rPr>
              <w:t>2%</w:t>
            </w:r>
          </w:p>
        </w:tc>
      </w:tr>
      <w:tr w:rsidR="00AC2760" w14:paraId="49B81684" w14:textId="77777777" w:rsidTr="00AC2760">
        <w:tc>
          <w:tcPr>
            <w:tcW w:w="70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81802" w14:textId="77777777" w:rsidR="00AC2760" w:rsidRDefault="00AC2760">
            <w:pPr>
              <w:keepNext/>
              <w:spacing w:after="0" w:line="240" w:lineRule="auto"/>
              <w:jc w:val="left"/>
              <w:rPr>
                <w:rFonts w:ascii="Arial" w:eastAsia="MS Mincho" w:hAnsi="Arial" w:cs="Arial"/>
                <w:bCs/>
                <w:lang w:eastAsia="ja-JP"/>
              </w:rPr>
            </w:pPr>
            <w:r>
              <w:rPr>
                <w:rFonts w:ascii="Arial" w:eastAsia="MS Mincho" w:hAnsi="Arial" w:cs="Arial"/>
                <w:bCs/>
                <w:lang w:eastAsia="ja-JP"/>
              </w:rPr>
              <w:t>Rushcliffe</w:t>
            </w: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CDD4E6" w14:textId="77777777" w:rsidR="00AC2760" w:rsidRDefault="00AC2760">
            <w:pPr>
              <w:keepNext/>
              <w:widowControl w:val="0"/>
              <w:spacing w:after="0" w:line="300" w:lineRule="auto"/>
              <w:rPr>
                <w:rFonts w:ascii="Arial" w:hAnsi="Arial" w:cs="Arial"/>
              </w:rPr>
            </w:pPr>
            <w:r>
              <w:rPr>
                <w:rFonts w:ascii="Arial" w:hAnsi="Arial" w:cs="Arial"/>
              </w:rPr>
              <w:t>Market</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26D6308" w14:textId="77777777" w:rsidR="00AC2760" w:rsidRDefault="00AC2760">
            <w:pPr>
              <w:keepNext/>
              <w:spacing w:after="0" w:line="300" w:lineRule="auto"/>
              <w:jc w:val="center"/>
              <w:rPr>
                <w:rFonts w:ascii="Arial" w:hAnsi="Arial" w:cs="Arial"/>
                <w:color w:val="000000"/>
              </w:rPr>
            </w:pPr>
            <w:r>
              <w:rPr>
                <w:rFonts w:ascii="Arial" w:hAnsi="Arial" w:cs="Arial"/>
                <w:color w:val="000000"/>
              </w:rPr>
              <w:t>11%</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97CFDE6" w14:textId="77777777" w:rsidR="00AC2760" w:rsidRDefault="00AC2760">
            <w:pPr>
              <w:keepNext/>
              <w:spacing w:after="0" w:line="300" w:lineRule="auto"/>
              <w:jc w:val="center"/>
              <w:rPr>
                <w:rFonts w:ascii="Arial" w:hAnsi="Arial" w:cs="Arial"/>
                <w:color w:val="000000"/>
              </w:rPr>
            </w:pPr>
            <w:r>
              <w:rPr>
                <w:rFonts w:ascii="Arial" w:hAnsi="Arial" w:cs="Arial"/>
                <w:color w:val="000000"/>
              </w:rPr>
              <w:t>28%</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B255226"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1CD3D5E" w14:textId="77777777" w:rsidR="00AC2760" w:rsidRDefault="00AC2760">
            <w:pPr>
              <w:keepNext/>
              <w:spacing w:after="0" w:line="300" w:lineRule="auto"/>
              <w:jc w:val="center"/>
              <w:rPr>
                <w:rFonts w:ascii="Arial" w:hAnsi="Arial" w:cs="Arial"/>
                <w:color w:val="000000"/>
              </w:rPr>
            </w:pPr>
            <w:r>
              <w:rPr>
                <w:rFonts w:ascii="Arial" w:hAnsi="Arial" w:cs="Arial"/>
                <w:color w:val="000000"/>
              </w:rPr>
              <w:t>21%</w:t>
            </w:r>
          </w:p>
        </w:tc>
      </w:tr>
      <w:tr w:rsidR="00AC2760" w14:paraId="2B74F0DA"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364497DA"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824E21" w14:textId="77777777" w:rsidR="00AC2760" w:rsidRDefault="00AC2760">
            <w:pPr>
              <w:keepNext/>
              <w:widowControl w:val="0"/>
              <w:spacing w:after="0" w:line="300" w:lineRule="auto"/>
              <w:rPr>
                <w:rFonts w:ascii="Arial Bold" w:hAnsi="Arial Bold" w:cs="Arial"/>
                <w:b/>
                <w:bCs/>
                <w:spacing w:val="-8"/>
              </w:rPr>
            </w:pPr>
            <w:r>
              <w:rPr>
                <w:rFonts w:ascii="Arial Bold" w:hAnsi="Arial Bold" w:cs="Arial" w:hint="cs"/>
                <w:b/>
                <w:bCs/>
                <w:spacing w:val="-8"/>
              </w:rPr>
              <w:t>Affordable Home Ownership</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1FC09DA"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19%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5D12BD12"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32EC4ED1"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98800B" w14:textId="77777777" w:rsidR="00AC2760" w:rsidRDefault="00AC2760">
            <w:pPr>
              <w:keepNext/>
              <w:spacing w:after="0" w:line="300" w:lineRule="auto"/>
              <w:jc w:val="center"/>
              <w:rPr>
                <w:rFonts w:ascii="Arial" w:hAnsi="Arial" w:cs="Arial"/>
                <w:b/>
                <w:bCs/>
                <w:color w:val="000000"/>
              </w:rPr>
            </w:pPr>
            <w:r>
              <w:rPr>
                <w:rFonts w:ascii="Arial" w:hAnsi="Arial" w:cs="Arial"/>
                <w:b/>
                <w:bCs/>
                <w:color w:val="000000"/>
              </w:rPr>
              <w:t>3%</w:t>
            </w:r>
          </w:p>
        </w:tc>
      </w:tr>
      <w:tr w:rsidR="00AC2760" w14:paraId="1242DB16" w14:textId="77777777" w:rsidTr="00AC2760">
        <w:tc>
          <w:tcPr>
            <w:tcW w:w="0" w:type="auto"/>
            <w:vMerge/>
            <w:tcBorders>
              <w:top w:val="single" w:sz="4" w:space="0" w:color="auto"/>
              <w:left w:val="single" w:sz="4" w:space="0" w:color="auto"/>
              <w:bottom w:val="single" w:sz="4" w:space="0" w:color="auto"/>
              <w:right w:val="single" w:sz="4" w:space="0" w:color="auto"/>
            </w:tcBorders>
            <w:vAlign w:val="center"/>
            <w:hideMark/>
          </w:tcPr>
          <w:p w14:paraId="4048A048" w14:textId="77777777" w:rsidR="00AC2760" w:rsidRDefault="00AC2760">
            <w:pPr>
              <w:spacing w:after="0" w:line="240" w:lineRule="auto"/>
              <w:jc w:val="left"/>
              <w:rPr>
                <w:rFonts w:ascii="Arial" w:eastAsia="MS Mincho" w:hAnsi="Arial" w:cs="Arial"/>
                <w:bCs/>
                <w:lang w:eastAsia="ja-JP"/>
              </w:rPr>
            </w:pPr>
          </w:p>
        </w:tc>
        <w:tc>
          <w:tcPr>
            <w:tcW w:w="155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39AFC4" w14:textId="77777777" w:rsidR="00AC2760" w:rsidRDefault="00AC2760">
            <w:pPr>
              <w:keepNext/>
              <w:widowControl w:val="0"/>
              <w:spacing w:after="0" w:line="300" w:lineRule="auto"/>
              <w:rPr>
                <w:rFonts w:ascii="Arial" w:hAnsi="Arial" w:cs="Arial"/>
              </w:rPr>
            </w:pPr>
            <w:r>
              <w:rPr>
                <w:rFonts w:ascii="Arial" w:hAnsi="Arial" w:cs="Arial"/>
              </w:rPr>
              <w:t>Affordable Rented</w:t>
            </w:r>
          </w:p>
        </w:tc>
        <w:tc>
          <w:tcPr>
            <w:tcW w:w="68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6918C239" w14:textId="77777777" w:rsidR="00AC2760" w:rsidRDefault="00AC2760">
            <w:pPr>
              <w:keepNext/>
              <w:spacing w:after="0" w:line="300" w:lineRule="auto"/>
              <w:jc w:val="center"/>
              <w:rPr>
                <w:rFonts w:ascii="Arial" w:hAnsi="Arial" w:cs="Arial"/>
                <w:color w:val="000000"/>
              </w:rPr>
            </w:pPr>
            <w:r>
              <w:rPr>
                <w:rFonts w:ascii="Arial" w:hAnsi="Arial" w:cs="Arial"/>
                <w:color w:val="000000"/>
              </w:rPr>
              <w:t>40%</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75E0049B" w14:textId="77777777" w:rsidR="00AC2760" w:rsidRDefault="00AC2760">
            <w:pPr>
              <w:keepNext/>
              <w:spacing w:after="0" w:line="300" w:lineRule="auto"/>
              <w:jc w:val="center"/>
              <w:rPr>
                <w:rFonts w:ascii="Arial" w:hAnsi="Arial" w:cs="Arial"/>
                <w:color w:val="000000"/>
              </w:rPr>
            </w:pPr>
            <w:r>
              <w:rPr>
                <w:rFonts w:ascii="Arial" w:hAnsi="Arial" w:cs="Arial"/>
                <w:color w:val="000000"/>
              </w:rPr>
              <w:t>29%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2E1DB0D6" w14:textId="77777777" w:rsidR="00AC2760" w:rsidRDefault="00AC2760">
            <w:pPr>
              <w:keepNext/>
              <w:spacing w:after="0" w:line="300" w:lineRule="auto"/>
              <w:jc w:val="center"/>
              <w:rPr>
                <w:rFonts w:ascii="Arial" w:hAnsi="Arial" w:cs="Arial"/>
                <w:color w:val="000000"/>
              </w:rPr>
            </w:pPr>
            <w:r>
              <w:rPr>
                <w:rFonts w:ascii="Arial" w:hAnsi="Arial" w:cs="Arial"/>
                <w:color w:val="000000"/>
              </w:rPr>
              <w:t>29%</w:t>
            </w:r>
          </w:p>
        </w:tc>
        <w:tc>
          <w:tcPr>
            <w:tcW w:w="68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hideMark/>
          </w:tcPr>
          <w:p w14:paraId="4415C567" w14:textId="77777777" w:rsidR="00AC2760" w:rsidRDefault="00AC2760">
            <w:pPr>
              <w:keepNext/>
              <w:spacing w:after="0" w:line="300" w:lineRule="auto"/>
              <w:jc w:val="center"/>
              <w:rPr>
                <w:rFonts w:ascii="Arial" w:hAnsi="Arial" w:cs="Arial"/>
                <w:color w:val="000000"/>
              </w:rPr>
            </w:pPr>
            <w:r>
              <w:rPr>
                <w:rFonts w:ascii="Arial" w:hAnsi="Arial" w:cs="Arial"/>
                <w:color w:val="000000"/>
              </w:rPr>
              <w:t>2%</w:t>
            </w:r>
          </w:p>
        </w:tc>
      </w:tr>
    </w:tbl>
    <w:p w14:paraId="29DB863A" w14:textId="77777777" w:rsidR="00AC2760" w:rsidRDefault="00AC2760" w:rsidP="00AC2760">
      <w:pPr>
        <w:spacing w:line="300" w:lineRule="auto"/>
        <w:rPr>
          <w:rFonts w:ascii="Arial" w:hAnsi="Arial" w:cs="Arial"/>
          <w:i/>
          <w:iCs/>
          <w:color w:val="0B0C0C"/>
          <w:sz w:val="16"/>
          <w:szCs w:val="16"/>
        </w:rPr>
      </w:pPr>
      <w:r>
        <w:rPr>
          <w:rFonts w:ascii="Arial" w:hAnsi="Arial" w:cs="Arial"/>
          <w:i/>
          <w:iCs/>
          <w:color w:val="0B0C0C"/>
          <w:sz w:val="16"/>
          <w:szCs w:val="16"/>
        </w:rPr>
        <w:t>Source: Housing Needs Assessment (Table 8)</w:t>
      </w:r>
      <w:r>
        <w:rPr>
          <w:rStyle w:val="FootnoteReference"/>
          <w:rFonts w:ascii="Arial" w:hAnsi="Arial" w:cs="Arial"/>
          <w:i/>
          <w:iCs/>
          <w:color w:val="0B0C0C"/>
          <w:sz w:val="16"/>
          <w:szCs w:val="16"/>
        </w:rPr>
        <w:footnoteReference w:id="4"/>
      </w:r>
    </w:p>
    <w:p w14:paraId="65B9317D" w14:textId="77777777" w:rsidR="00AC2760" w:rsidRDefault="00AC2760" w:rsidP="00AC2760">
      <w:pPr>
        <w:pStyle w:val="Heading3"/>
        <w:spacing w:after="120"/>
      </w:pPr>
      <w:r>
        <w:t>What is the level of need for such products?</w:t>
      </w:r>
    </w:p>
    <w:p w14:paraId="0CAC8120" w14:textId="77777777" w:rsidR="00AC2760" w:rsidRDefault="00AC2760" w:rsidP="00AC2760">
      <w:pPr>
        <w:pStyle w:val="BodyText"/>
        <w:numPr>
          <w:ilvl w:val="1"/>
          <w:numId w:val="16"/>
        </w:numPr>
        <w:tabs>
          <w:tab w:val="num" w:pos="0"/>
        </w:tabs>
        <w:ind w:left="0" w:hanging="709"/>
        <w:rPr>
          <w:rFonts w:eastAsiaTheme="majorEastAsia"/>
        </w:rPr>
      </w:pPr>
      <w:r>
        <w:t xml:space="preserve">In some ways, this is a difficult question to answer. The analysis in the HNA is clear that there are likely to be a small number </w:t>
      </w:r>
      <w:r>
        <w:rPr>
          <w:color w:val="0B0C0C"/>
        </w:rPr>
        <w:t>of households whose incomes sit in the range of being able to afford to privately rent, but not being able to buy a home. It can be concluded that as long as First Homes are made available for an affordable price, it is likely there will be a strong demand (although some households in the rent/buy gap may not choose a discounted product given that the discount is held in perpetuity). Alternatively, it is possible that First Homes see demand for those who can technically afford housing in the existing market – this would not be meeting a need but would arguably provide some demand for this type of home.</w:t>
      </w:r>
    </w:p>
    <w:p w14:paraId="50E24DA4" w14:textId="77777777" w:rsidR="00AC2760" w:rsidRPr="006F6561" w:rsidRDefault="00AC2760" w:rsidP="00AC2760">
      <w:pPr>
        <w:pStyle w:val="BodyText"/>
        <w:numPr>
          <w:ilvl w:val="1"/>
          <w:numId w:val="16"/>
        </w:numPr>
        <w:tabs>
          <w:tab w:val="num" w:pos="0"/>
        </w:tabs>
        <w:ind w:left="0" w:hanging="709"/>
        <w:rPr>
          <w:rFonts w:eastAsiaTheme="majorEastAsia"/>
        </w:rPr>
      </w:pPr>
      <w:r w:rsidRPr="006F6561">
        <w:rPr>
          <w:color w:val="0B0C0C"/>
        </w:rPr>
        <w:t>Regardless of the need/demand, it is not recommended</w:t>
      </w:r>
      <w:r w:rsidRPr="006F6561">
        <w:t xml:space="preserve"> that the Councils seek to reduce the amount of </w:t>
      </w:r>
      <w:r w:rsidRPr="006F6561">
        <w:rPr>
          <w:color w:val="0B0C0C"/>
        </w:rPr>
        <w:t>social/affordable rented homes by prioritising First Homes. The evidence does not support the Councils in seeking more than 25% of affordable housing in this tenure (and arguably much less).</w:t>
      </w:r>
    </w:p>
    <w:p w14:paraId="14C95C14" w14:textId="77777777" w:rsidR="00AC2760" w:rsidRPr="00B57CBF" w:rsidRDefault="00AC2760" w:rsidP="00AC2760">
      <w:pPr>
        <w:pStyle w:val="BodyText"/>
        <w:numPr>
          <w:ilvl w:val="1"/>
          <w:numId w:val="16"/>
        </w:numPr>
        <w:tabs>
          <w:tab w:val="num" w:pos="0"/>
        </w:tabs>
        <w:ind w:left="0" w:hanging="709"/>
        <w:rPr>
          <w:rFonts w:eastAsiaTheme="majorEastAsia"/>
        </w:rPr>
      </w:pPr>
      <w:r w:rsidRPr="006F6561">
        <w:t>This is a difficult point which at the time of writing is unclear. It seems clear from the evidence in the HNA that the Councils could challenge the current NPPF position that 10% of all housing (on qualifying sites) should be for affordable home ownership (AHO)</w:t>
      </w:r>
      <w:r w:rsidRPr="00B57CBF">
        <w:t xml:space="preserve"> – this is due to the need clearly being greater for rented products.</w:t>
      </w:r>
    </w:p>
    <w:p w14:paraId="0BDE3A65" w14:textId="6F2924B9" w:rsidR="00AC2760" w:rsidRPr="00B57CBF" w:rsidRDefault="00DF4459" w:rsidP="00AC2760">
      <w:pPr>
        <w:pStyle w:val="BodyText"/>
        <w:numPr>
          <w:ilvl w:val="1"/>
          <w:numId w:val="16"/>
        </w:numPr>
        <w:tabs>
          <w:tab w:val="num" w:pos="0"/>
        </w:tabs>
        <w:ind w:left="0" w:hanging="709"/>
        <w:rPr>
          <w:rFonts w:eastAsiaTheme="majorEastAsia"/>
        </w:rPr>
      </w:pPr>
      <w:r>
        <w:t>Furthermore,</w:t>
      </w:r>
      <w:r w:rsidR="00AC2760" w:rsidRPr="00B57CBF">
        <w:t xml:space="preserve"> the evidence would suggest that </w:t>
      </w:r>
      <w:r>
        <w:t xml:space="preserve">requiring </w:t>
      </w:r>
      <w:r w:rsidR="00AC2760" w:rsidRPr="00B57CBF">
        <w:t>a lower proportion</w:t>
      </w:r>
      <w:r>
        <w:t xml:space="preserve"> than the 25% of all affordable housing as First Homes</w:t>
      </w:r>
      <w:r w:rsidR="00AC2760" w:rsidRPr="00B57CBF">
        <w:t xml:space="preserve"> is appropriate in need terms. </w:t>
      </w:r>
      <w:r>
        <w:t xml:space="preserve"> </w:t>
      </w:r>
      <w:r w:rsidR="00AC2760" w:rsidRPr="00B57CBF">
        <w:t>If the Councils are compelled to provide 25% of all affordable housing as First Homes then this could well squeeze out other forms of AHO – notably shared ownership, which is likely to be a product available for households with more marginal affordability (shared ownership typically has lower deposit requirements and outgoings are kept down by having a subsidised rent).</w:t>
      </w:r>
    </w:p>
    <w:p w14:paraId="6772E0F9" w14:textId="3DB821DC" w:rsidR="00AC2760" w:rsidRPr="00A76A61" w:rsidRDefault="00AC2760" w:rsidP="00AC2760">
      <w:pPr>
        <w:pStyle w:val="BodyText"/>
        <w:numPr>
          <w:ilvl w:val="1"/>
          <w:numId w:val="16"/>
        </w:numPr>
        <w:tabs>
          <w:tab w:val="num" w:pos="0"/>
        </w:tabs>
        <w:ind w:left="0" w:hanging="709"/>
        <w:rPr>
          <w:rFonts w:eastAsiaTheme="majorEastAsia"/>
        </w:rPr>
      </w:pPr>
      <w:r w:rsidRPr="00B57CBF">
        <w:t>Ideally therefore the Councils would seek a lower proportion than 10% of all housing as AHO, and within the AHO provide a range of products (which might include First Homes and also shared ownership). This would likely mean that First Homes would make up a (possibly much) lower proportion of affordable housing than the 25% set out in guidance; this would be reasonable in affordable need terms.</w:t>
      </w:r>
    </w:p>
    <w:p w14:paraId="3D2D97B5" w14:textId="77777777" w:rsidR="00AC2760" w:rsidRDefault="00AC2760" w:rsidP="00AC2760">
      <w:pPr>
        <w:pStyle w:val="Heading3"/>
        <w:spacing w:after="120"/>
      </w:pPr>
      <w:r>
        <w:t>Should the Councils set local eligibility criteria?</w:t>
      </w:r>
    </w:p>
    <w:p w14:paraId="1921E022" w14:textId="4AE6B5FB"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First Homes are designed to help people to get on the housing ladder in their local area, and in particular to ensure that key workers providing essential services are able to buy homes in the areas where they work</w:t>
      </w:r>
      <w:r w:rsidR="00E53821">
        <w:rPr>
          <w:rFonts w:ascii="Arial" w:hAnsi="Arial" w:cs="Arial"/>
        </w:rPr>
        <w:t xml:space="preserve"> [see PPG 70-008]</w:t>
      </w:r>
      <w:r>
        <w:rPr>
          <w:rFonts w:ascii="Arial" w:hAnsi="Arial" w:cs="Arial"/>
        </w:rPr>
        <w:t xml:space="preserve">. The Councils can therefore prioritise key workers for First Homes, and are encouraged to do so, especially if they have an identified local need for certain </w:t>
      </w:r>
      <w:r w:rsidR="00E53821">
        <w:rPr>
          <w:rFonts w:ascii="Arial" w:hAnsi="Arial" w:cs="Arial"/>
        </w:rPr>
        <w:t>jobs or workers</w:t>
      </w:r>
      <w:r>
        <w:rPr>
          <w:rFonts w:ascii="Arial" w:hAnsi="Arial" w:cs="Arial"/>
        </w:rPr>
        <w:t>.</w:t>
      </w:r>
    </w:p>
    <w:p w14:paraId="43A048F9" w14:textId="0FE03122"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To ensure First Homes are available to local residents and workers local connection eligibility criteria could be used. This could be in-line with any criteria within local allocations policy and for example could require potential purchasers to demonstrate that they:</w:t>
      </w:r>
    </w:p>
    <w:p w14:paraId="771C6360" w14:textId="16D83111" w:rsidR="00AC2760" w:rsidRDefault="00AC2760" w:rsidP="00AC2760">
      <w:pPr>
        <w:pStyle w:val="ListBullet2"/>
        <w:numPr>
          <w:ilvl w:val="0"/>
          <w:numId w:val="24"/>
        </w:numPr>
        <w:tabs>
          <w:tab w:val="clear" w:pos="643"/>
          <w:tab w:val="left" w:pos="720"/>
        </w:tabs>
        <w:ind w:left="641" w:hanging="357"/>
        <w:jc w:val="left"/>
        <w:rPr>
          <w:rFonts w:ascii="Arial" w:hAnsi="Arial" w:cs="Arial"/>
        </w:rPr>
      </w:pPr>
      <w:r>
        <w:t>Live in the relevant local authority for a period of time (possibly 2-years);</w:t>
      </w:r>
    </w:p>
    <w:p w14:paraId="171D61CC"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Work over 16 hours a week in the relevant local authority, or</w:t>
      </w:r>
    </w:p>
    <w:p w14:paraId="5D3D95C4" w14:textId="77777777" w:rsidR="00AC2760" w:rsidRDefault="00AC2760" w:rsidP="00AC2760">
      <w:pPr>
        <w:pStyle w:val="ListBullet2"/>
        <w:numPr>
          <w:ilvl w:val="0"/>
          <w:numId w:val="24"/>
        </w:numPr>
        <w:tabs>
          <w:tab w:val="clear" w:pos="643"/>
          <w:tab w:val="left" w:pos="720"/>
        </w:tabs>
        <w:ind w:left="641" w:hanging="357"/>
        <w:jc w:val="left"/>
        <w:rPr>
          <w:rFonts w:ascii="Arial" w:hAnsi="Arial" w:cs="Arial"/>
        </w:rPr>
      </w:pPr>
      <w:r>
        <w:t>Have a close relative (parent, adult son or daughter or adult sibling) who has lived in the relevant local authority for a period of time</w:t>
      </w:r>
    </w:p>
    <w:p w14:paraId="1EA7650F" w14:textId="77777777" w:rsidR="00AC2760" w:rsidRDefault="00AC2760" w:rsidP="00AC2760">
      <w:pPr>
        <w:pStyle w:val="BodyText"/>
        <w:numPr>
          <w:ilvl w:val="1"/>
          <w:numId w:val="16"/>
        </w:numPr>
        <w:tabs>
          <w:tab w:val="num" w:pos="0"/>
        </w:tabs>
        <w:ind w:left="0" w:hanging="709"/>
        <w:rPr>
          <w:rFonts w:eastAsiaTheme="majorEastAsia"/>
        </w:rPr>
      </w:pPr>
      <w:r>
        <w:t xml:space="preserve">Additional preference could be given to essential workers. Annex 2 of the NPPF also includes the needs of essential local workers </w:t>
      </w:r>
      <w:r>
        <w:rPr>
          <w:i/>
          <w:iCs/>
        </w:rPr>
        <w:t xml:space="preserve">‘Affordable housing: housing for sale or rent, for those whose needs are not met by the market (including housing that provided a subsidised route to home ownership and/or is </w:t>
      </w:r>
      <w:r>
        <w:rPr>
          <w:i/>
          <w:iCs/>
          <w:u w:val="single"/>
        </w:rPr>
        <w:t>for essential local workers</w:t>
      </w:r>
      <w:r>
        <w:rPr>
          <w:i/>
          <w:iCs/>
        </w:rPr>
        <w:t xml:space="preserve">’ </w:t>
      </w:r>
      <w:r>
        <w:t xml:space="preserve">[emphasis added]. Essential local workers are defined as </w:t>
      </w:r>
      <w:r>
        <w:rPr>
          <w:i/>
          <w:iCs/>
        </w:rPr>
        <w:t>‘Public sector employees who provide frontline services in areas including health, education and community safety – such as NHS staff, teachers, police, firefighters and military personnel, social care and childcare workers’</w:t>
      </w:r>
      <w:r>
        <w:t>.</w:t>
      </w:r>
    </w:p>
    <w:p w14:paraId="2C582C71" w14:textId="77777777" w:rsidR="00AC2760" w:rsidRDefault="00AC2760" w:rsidP="00AC2760">
      <w:pPr>
        <w:pStyle w:val="BodyText"/>
        <w:numPr>
          <w:ilvl w:val="1"/>
          <w:numId w:val="16"/>
        </w:numPr>
        <w:tabs>
          <w:tab w:val="num" w:pos="0"/>
        </w:tabs>
        <w:ind w:left="0" w:hanging="709"/>
        <w:rPr>
          <w:rFonts w:eastAsiaTheme="majorEastAsia"/>
        </w:rPr>
      </w:pPr>
      <w:r>
        <w:t>To give an indication of the number of essential workers in Greater Nottingham analysis has been undertaken looking at Standard Industrial Classification 2007 (SIC) categories – this shows employment sectors based on industry, and for the purposes of this analysis the public administration, education and health industries have been used to represent ‘essential workers’. The analysis shows that around 30% of resident workers across the study are considered ‘essential workers’ – this figure is similar to (very slightly higher) than seen in other locations.</w:t>
      </w:r>
    </w:p>
    <w:p w14:paraId="4DADA39F" w14:textId="77777777" w:rsidR="00AC2760" w:rsidRDefault="00AC2760" w:rsidP="007A7A64">
      <w:pPr>
        <w:pStyle w:val="Heading4"/>
        <w:numPr>
          <w:ilvl w:val="2"/>
          <w:numId w:val="16"/>
        </w:numPr>
        <w:ind w:firstLine="0"/>
      </w:pPr>
      <w:r w:rsidRPr="007A7A64">
        <w:t>Number and proportion of essential workers</w:t>
      </w:r>
    </w:p>
    <w:tbl>
      <w:tblPr>
        <w:tblStyle w:val="TableTheme"/>
        <w:tblW w:w="5000" w:type="pct"/>
        <w:tblInd w:w="0" w:type="dxa"/>
        <w:tblLayout w:type="fixed"/>
        <w:tblLook w:val="04A0" w:firstRow="1" w:lastRow="0" w:firstColumn="1" w:lastColumn="0" w:noHBand="0" w:noVBand="1"/>
        <w:tblCaption w:val="Table 4.10 Number and proportion of essential workers"/>
      </w:tblPr>
      <w:tblGrid>
        <w:gridCol w:w="2927"/>
        <w:gridCol w:w="2925"/>
        <w:gridCol w:w="2925"/>
      </w:tblGrid>
      <w:tr w:rsidR="00AC2760" w14:paraId="64F44101" w14:textId="77777777" w:rsidTr="009C6D1F">
        <w:trPr>
          <w:trHeight w:val="288"/>
          <w:tblHeader/>
        </w:trPr>
        <w:tc>
          <w:tcPr>
            <w:tcW w:w="2195" w:type="dxa"/>
            <w:tcBorders>
              <w:top w:val="single" w:sz="4" w:space="0" w:color="auto"/>
              <w:left w:val="single" w:sz="4" w:space="0" w:color="auto"/>
              <w:bottom w:val="single" w:sz="4" w:space="0" w:color="auto"/>
              <w:right w:val="single" w:sz="4" w:space="0" w:color="auto"/>
            </w:tcBorders>
            <w:shd w:val="clear" w:color="auto" w:fill="002060"/>
            <w:noWrap/>
          </w:tcPr>
          <w:p w14:paraId="196AE9EC" w14:textId="77777777" w:rsidR="00AC2760" w:rsidRDefault="00AC2760">
            <w:pPr>
              <w:keepNext/>
              <w:spacing w:after="0" w:line="300" w:lineRule="auto"/>
              <w:rPr>
                <w:rFonts w:ascii="Arial" w:hAnsi="Arial" w:cs="Arial"/>
              </w:rPr>
            </w:pPr>
          </w:p>
        </w:tc>
        <w:tc>
          <w:tcPr>
            <w:tcW w:w="2194" w:type="dxa"/>
            <w:tcBorders>
              <w:top w:val="single" w:sz="4" w:space="0" w:color="auto"/>
              <w:left w:val="single" w:sz="4" w:space="0" w:color="auto"/>
              <w:bottom w:val="single" w:sz="4" w:space="0" w:color="auto"/>
              <w:right w:val="single" w:sz="4" w:space="0" w:color="auto"/>
            </w:tcBorders>
            <w:shd w:val="clear" w:color="auto" w:fill="002060"/>
            <w:noWrap/>
            <w:hideMark/>
          </w:tcPr>
          <w:p w14:paraId="359CD070" w14:textId="77777777" w:rsidR="00AC2760" w:rsidRDefault="00AC2760">
            <w:pPr>
              <w:keepNext/>
              <w:spacing w:after="0" w:line="300" w:lineRule="auto"/>
              <w:jc w:val="center"/>
              <w:rPr>
                <w:rFonts w:ascii="Arial" w:hAnsi="Arial" w:cs="Arial"/>
              </w:rPr>
            </w:pPr>
            <w:r>
              <w:rPr>
                <w:rFonts w:ascii="Arial" w:hAnsi="Arial" w:cs="Arial"/>
              </w:rPr>
              <w:t>Resident essential workers</w:t>
            </w:r>
          </w:p>
        </w:tc>
        <w:tc>
          <w:tcPr>
            <w:tcW w:w="2194" w:type="dxa"/>
            <w:tcBorders>
              <w:top w:val="single" w:sz="4" w:space="0" w:color="auto"/>
              <w:left w:val="single" w:sz="4" w:space="0" w:color="auto"/>
              <w:bottom w:val="single" w:sz="4" w:space="0" w:color="auto"/>
              <w:right w:val="single" w:sz="4" w:space="0" w:color="auto"/>
            </w:tcBorders>
            <w:shd w:val="clear" w:color="auto" w:fill="002060"/>
            <w:noWrap/>
            <w:hideMark/>
          </w:tcPr>
          <w:p w14:paraId="5BF51A06" w14:textId="77777777" w:rsidR="00AC2760" w:rsidRDefault="00AC2760">
            <w:pPr>
              <w:keepNext/>
              <w:spacing w:after="0" w:line="300" w:lineRule="auto"/>
              <w:jc w:val="center"/>
              <w:rPr>
                <w:rFonts w:ascii="Arial" w:hAnsi="Arial" w:cs="Arial"/>
              </w:rPr>
            </w:pPr>
            <w:r>
              <w:rPr>
                <w:rFonts w:ascii="Arial" w:hAnsi="Arial" w:cs="Arial"/>
              </w:rPr>
              <w:t>% of workers in area</w:t>
            </w:r>
          </w:p>
        </w:tc>
      </w:tr>
      <w:tr w:rsidR="00AC2760" w14:paraId="34996994"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096EA1A0" w14:textId="77777777" w:rsidR="00AC2760" w:rsidRDefault="00AC2760">
            <w:pPr>
              <w:keepNext/>
              <w:spacing w:after="0" w:line="300" w:lineRule="auto"/>
              <w:rPr>
                <w:rFonts w:ascii="Arial" w:hAnsi="Arial" w:cs="Arial"/>
              </w:rPr>
            </w:pPr>
            <w:r>
              <w:rPr>
                <w:rFonts w:ascii="Arial" w:hAnsi="Arial" w:cs="Arial"/>
              </w:rPr>
              <w:t>Ashfield</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43B3DEE" w14:textId="77777777" w:rsidR="00AC2760" w:rsidRDefault="00AC2760">
            <w:pPr>
              <w:keepNext/>
              <w:spacing w:after="0" w:line="300" w:lineRule="auto"/>
              <w:jc w:val="center"/>
              <w:rPr>
                <w:rFonts w:ascii="Arial" w:hAnsi="Arial" w:cs="Arial"/>
              </w:rPr>
            </w:pPr>
            <w:r>
              <w:rPr>
                <w:rFonts w:ascii="Arial" w:hAnsi="Arial" w:cs="Arial"/>
              </w:rPr>
              <w:t>14,595</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FC3C641" w14:textId="77777777" w:rsidR="00AC2760" w:rsidRDefault="00AC2760">
            <w:pPr>
              <w:keepNext/>
              <w:spacing w:after="0" w:line="300" w:lineRule="auto"/>
              <w:jc w:val="center"/>
              <w:rPr>
                <w:rFonts w:ascii="Arial" w:hAnsi="Arial" w:cs="Arial"/>
              </w:rPr>
            </w:pPr>
            <w:r>
              <w:rPr>
                <w:rFonts w:ascii="Arial" w:hAnsi="Arial" w:cs="Arial"/>
                <w:color w:val="000000"/>
              </w:rPr>
              <w:t>26%</w:t>
            </w:r>
          </w:p>
        </w:tc>
      </w:tr>
      <w:tr w:rsidR="00AC2760" w14:paraId="7D25D900"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7C7434EB" w14:textId="77777777" w:rsidR="00AC2760" w:rsidRDefault="00AC2760">
            <w:pPr>
              <w:keepNext/>
              <w:spacing w:after="0" w:line="300" w:lineRule="auto"/>
              <w:rPr>
                <w:rFonts w:ascii="Arial" w:hAnsi="Arial" w:cs="Arial"/>
              </w:rPr>
            </w:pPr>
            <w:r>
              <w:rPr>
                <w:rFonts w:ascii="Arial" w:hAnsi="Arial" w:cs="Arial"/>
              </w:rPr>
              <w:t>Broxtowe</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11F19A1" w14:textId="77777777" w:rsidR="00AC2760" w:rsidRDefault="00AC2760">
            <w:pPr>
              <w:keepNext/>
              <w:spacing w:after="0" w:line="300" w:lineRule="auto"/>
              <w:jc w:val="center"/>
              <w:rPr>
                <w:rFonts w:ascii="Arial" w:hAnsi="Arial" w:cs="Arial"/>
              </w:rPr>
            </w:pPr>
            <w:r>
              <w:rPr>
                <w:rFonts w:ascii="Arial" w:hAnsi="Arial" w:cs="Arial"/>
              </w:rPr>
              <w:t>17,003</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126EB82" w14:textId="77777777" w:rsidR="00AC2760" w:rsidRDefault="00AC2760">
            <w:pPr>
              <w:keepNext/>
              <w:spacing w:after="0" w:line="300" w:lineRule="auto"/>
              <w:jc w:val="center"/>
              <w:rPr>
                <w:rFonts w:ascii="Arial" w:hAnsi="Arial" w:cs="Arial"/>
              </w:rPr>
            </w:pPr>
            <w:r>
              <w:rPr>
                <w:rFonts w:ascii="Arial" w:hAnsi="Arial" w:cs="Arial"/>
                <w:color w:val="000000"/>
              </w:rPr>
              <w:t>32%</w:t>
            </w:r>
          </w:p>
        </w:tc>
      </w:tr>
      <w:tr w:rsidR="00AC2760" w14:paraId="4C345288"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3002E217" w14:textId="77777777" w:rsidR="00AC2760" w:rsidRDefault="00AC2760">
            <w:pPr>
              <w:keepNext/>
              <w:spacing w:after="0" w:line="300" w:lineRule="auto"/>
              <w:rPr>
                <w:rFonts w:ascii="Arial" w:hAnsi="Arial" w:cs="Arial"/>
              </w:rPr>
            </w:pPr>
            <w:r>
              <w:rPr>
                <w:rFonts w:ascii="Arial" w:hAnsi="Arial" w:cs="Arial"/>
              </w:rPr>
              <w:t>Erewash</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9A86764" w14:textId="77777777" w:rsidR="00AC2760" w:rsidRDefault="00AC2760">
            <w:pPr>
              <w:keepNext/>
              <w:spacing w:after="0" w:line="300" w:lineRule="auto"/>
              <w:jc w:val="center"/>
              <w:rPr>
                <w:rFonts w:ascii="Arial" w:hAnsi="Arial" w:cs="Arial"/>
              </w:rPr>
            </w:pPr>
            <w:r>
              <w:rPr>
                <w:rFonts w:ascii="Arial" w:hAnsi="Arial" w:cs="Arial"/>
              </w:rPr>
              <w:t>14,061</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4C935BC4" w14:textId="77777777" w:rsidR="00AC2760" w:rsidRDefault="00AC2760">
            <w:pPr>
              <w:keepNext/>
              <w:spacing w:after="0" w:line="300" w:lineRule="auto"/>
              <w:jc w:val="center"/>
              <w:rPr>
                <w:rFonts w:ascii="Arial" w:hAnsi="Arial" w:cs="Arial"/>
              </w:rPr>
            </w:pPr>
            <w:r>
              <w:rPr>
                <w:rFonts w:ascii="Arial" w:hAnsi="Arial" w:cs="Arial"/>
                <w:color w:val="000000"/>
              </w:rPr>
              <w:t>26%</w:t>
            </w:r>
          </w:p>
        </w:tc>
      </w:tr>
      <w:tr w:rsidR="00AC2760" w14:paraId="0ED55457"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0E4F0D91" w14:textId="77777777" w:rsidR="00AC2760" w:rsidRDefault="00AC2760">
            <w:pPr>
              <w:keepNext/>
              <w:spacing w:after="0" w:line="300" w:lineRule="auto"/>
              <w:rPr>
                <w:rFonts w:ascii="Arial" w:hAnsi="Arial" w:cs="Arial"/>
              </w:rPr>
            </w:pPr>
            <w:r>
              <w:rPr>
                <w:rFonts w:ascii="Arial" w:hAnsi="Arial" w:cs="Arial"/>
              </w:rPr>
              <w:t>Gedling</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09C82535" w14:textId="77777777" w:rsidR="00AC2760" w:rsidRDefault="00AC2760">
            <w:pPr>
              <w:keepNext/>
              <w:spacing w:after="0" w:line="300" w:lineRule="auto"/>
              <w:jc w:val="center"/>
              <w:rPr>
                <w:rFonts w:ascii="Arial" w:hAnsi="Arial" w:cs="Arial"/>
              </w:rPr>
            </w:pPr>
            <w:r>
              <w:rPr>
                <w:rFonts w:ascii="Arial" w:hAnsi="Arial" w:cs="Arial"/>
              </w:rPr>
              <w:t>17,857</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5E481833" w14:textId="77777777" w:rsidR="00AC2760" w:rsidRDefault="00AC2760">
            <w:pPr>
              <w:keepNext/>
              <w:spacing w:after="0" w:line="300" w:lineRule="auto"/>
              <w:jc w:val="center"/>
              <w:rPr>
                <w:rFonts w:ascii="Arial" w:hAnsi="Arial" w:cs="Arial"/>
              </w:rPr>
            </w:pPr>
            <w:r>
              <w:rPr>
                <w:rFonts w:ascii="Arial" w:hAnsi="Arial" w:cs="Arial"/>
                <w:color w:val="000000"/>
              </w:rPr>
              <w:t>32%</w:t>
            </w:r>
          </w:p>
        </w:tc>
      </w:tr>
      <w:tr w:rsidR="00AC2760" w14:paraId="2B56070A"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29115217" w14:textId="77777777" w:rsidR="00AC2760" w:rsidRDefault="00AC2760">
            <w:pPr>
              <w:keepNext/>
              <w:spacing w:after="0" w:line="300" w:lineRule="auto"/>
              <w:rPr>
                <w:rFonts w:ascii="Arial" w:hAnsi="Arial" w:cs="Arial"/>
                <w:color w:val="000000"/>
              </w:rPr>
            </w:pPr>
            <w:r>
              <w:rPr>
                <w:rFonts w:ascii="Arial" w:hAnsi="Arial" w:cs="Arial"/>
              </w:rPr>
              <w:t>Rushcliffe</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88716F2" w14:textId="77777777" w:rsidR="00AC2760" w:rsidRDefault="00AC2760">
            <w:pPr>
              <w:keepNext/>
              <w:spacing w:after="0" w:line="300" w:lineRule="auto"/>
              <w:jc w:val="center"/>
              <w:rPr>
                <w:rFonts w:ascii="Arial" w:hAnsi="Arial" w:cs="Arial"/>
                <w:color w:val="000000"/>
              </w:rPr>
            </w:pPr>
            <w:r>
              <w:rPr>
                <w:rFonts w:ascii="Arial" w:hAnsi="Arial" w:cs="Arial"/>
              </w:rPr>
              <w:t>18,431</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1880C8C" w14:textId="77777777" w:rsidR="00AC2760" w:rsidRDefault="00AC2760">
            <w:pPr>
              <w:keepNext/>
              <w:spacing w:after="0" w:line="300" w:lineRule="auto"/>
              <w:jc w:val="center"/>
              <w:rPr>
                <w:rFonts w:ascii="Arial" w:hAnsi="Arial" w:cs="Arial"/>
                <w:color w:val="000000"/>
              </w:rPr>
            </w:pPr>
            <w:r>
              <w:rPr>
                <w:rFonts w:ascii="Arial" w:hAnsi="Arial" w:cs="Arial"/>
                <w:color w:val="000000"/>
              </w:rPr>
              <w:t>33%</w:t>
            </w:r>
          </w:p>
        </w:tc>
      </w:tr>
      <w:tr w:rsidR="00AC2760" w14:paraId="01D654AD"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hideMark/>
          </w:tcPr>
          <w:p w14:paraId="1E58DC9B" w14:textId="77777777" w:rsidR="00AC2760" w:rsidRDefault="00AC2760">
            <w:pPr>
              <w:keepNext/>
              <w:spacing w:after="0" w:line="300" w:lineRule="auto"/>
              <w:rPr>
                <w:rFonts w:ascii="Arial" w:hAnsi="Arial" w:cs="Arial"/>
                <w:color w:val="000000"/>
              </w:rPr>
            </w:pPr>
            <w:r>
              <w:rPr>
                <w:rFonts w:ascii="Arial" w:hAnsi="Arial" w:cs="Arial"/>
              </w:rPr>
              <w:t>Nottingham</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5213F535" w14:textId="77777777" w:rsidR="00AC2760" w:rsidRDefault="00AC2760">
            <w:pPr>
              <w:keepNext/>
              <w:spacing w:after="0" w:line="300" w:lineRule="auto"/>
              <w:jc w:val="center"/>
              <w:rPr>
                <w:rFonts w:ascii="Arial" w:hAnsi="Arial" w:cs="Arial"/>
                <w:color w:val="000000"/>
              </w:rPr>
            </w:pPr>
            <w:r>
              <w:rPr>
                <w:rFonts w:ascii="Arial" w:hAnsi="Arial" w:cs="Arial"/>
              </w:rPr>
              <w:t>36,902</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62B2D65B"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r>
      <w:tr w:rsidR="00AC2760" w14:paraId="1D40CDB5"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167B2EBE" w14:textId="77777777" w:rsidR="00AC2760" w:rsidRDefault="00AC2760">
            <w:pPr>
              <w:keepNext/>
              <w:spacing w:after="0" w:line="300" w:lineRule="auto"/>
              <w:rPr>
                <w:rFonts w:ascii="Arial" w:hAnsi="Arial" w:cs="Arial"/>
                <w:color w:val="000000"/>
              </w:rPr>
            </w:pPr>
            <w:r>
              <w:rPr>
                <w:rFonts w:ascii="Arial" w:hAnsi="Arial" w:cs="Arial"/>
                <w:color w:val="000000"/>
              </w:rPr>
              <w:t>Study area</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0EBCE3DB" w14:textId="77777777" w:rsidR="00AC2760" w:rsidRDefault="00AC2760">
            <w:pPr>
              <w:keepNext/>
              <w:spacing w:after="0" w:line="300" w:lineRule="auto"/>
              <w:jc w:val="center"/>
              <w:rPr>
                <w:rFonts w:ascii="Arial" w:hAnsi="Arial" w:cs="Arial"/>
                <w:color w:val="000000"/>
              </w:rPr>
            </w:pPr>
            <w:r>
              <w:rPr>
                <w:rFonts w:ascii="Arial" w:hAnsi="Arial" w:cs="Arial"/>
                <w:color w:val="000000"/>
              </w:rPr>
              <w:t>118,849</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F7DEED8"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r>
      <w:tr w:rsidR="00AC2760" w14:paraId="417D8635"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5A204855" w14:textId="77777777" w:rsidR="00AC2760" w:rsidRDefault="00AC2760">
            <w:pPr>
              <w:keepNext/>
              <w:spacing w:after="0" w:line="300" w:lineRule="auto"/>
              <w:rPr>
                <w:rFonts w:ascii="Arial" w:hAnsi="Arial" w:cs="Arial"/>
                <w:color w:val="000000"/>
              </w:rPr>
            </w:pPr>
            <w:r>
              <w:rPr>
                <w:rFonts w:ascii="Arial" w:hAnsi="Arial" w:cs="Arial"/>
                <w:color w:val="000000"/>
              </w:rPr>
              <w:t>Nottinghamshire</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2383CBD5" w14:textId="77777777" w:rsidR="00AC2760" w:rsidRDefault="00AC2760">
            <w:pPr>
              <w:keepNext/>
              <w:spacing w:after="0" w:line="300" w:lineRule="auto"/>
              <w:jc w:val="center"/>
              <w:rPr>
                <w:rFonts w:ascii="Arial" w:hAnsi="Arial" w:cs="Arial"/>
                <w:color w:val="000000"/>
              </w:rPr>
            </w:pPr>
            <w:r>
              <w:rPr>
                <w:rFonts w:ascii="Arial" w:hAnsi="Arial" w:cs="Arial"/>
                <w:color w:val="000000"/>
              </w:rPr>
              <w:t>-</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22F73E3" w14:textId="77777777" w:rsidR="00AC2760" w:rsidRDefault="00AC2760">
            <w:pPr>
              <w:keepNext/>
              <w:spacing w:after="0" w:line="300" w:lineRule="auto"/>
              <w:jc w:val="center"/>
              <w:rPr>
                <w:rFonts w:ascii="Arial" w:hAnsi="Arial" w:cs="Arial"/>
                <w:color w:val="000000"/>
              </w:rPr>
            </w:pPr>
            <w:r>
              <w:rPr>
                <w:rFonts w:ascii="Arial" w:hAnsi="Arial" w:cs="Arial"/>
                <w:color w:val="000000"/>
              </w:rPr>
              <w:t>30%</w:t>
            </w:r>
          </w:p>
        </w:tc>
      </w:tr>
      <w:tr w:rsidR="00AC2760" w14:paraId="076D8340"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079288AF" w14:textId="77777777" w:rsidR="00AC2760" w:rsidRDefault="00AC2760">
            <w:pPr>
              <w:keepNext/>
              <w:spacing w:after="0" w:line="300" w:lineRule="auto"/>
              <w:rPr>
                <w:rFonts w:ascii="Arial" w:hAnsi="Arial" w:cs="Arial"/>
                <w:color w:val="000000"/>
              </w:rPr>
            </w:pPr>
            <w:r>
              <w:rPr>
                <w:rFonts w:ascii="Arial" w:hAnsi="Arial" w:cs="Arial"/>
                <w:color w:val="000000"/>
              </w:rPr>
              <w:t>East Midlands</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1B92447E" w14:textId="77777777" w:rsidR="00AC2760" w:rsidRDefault="00AC2760">
            <w:pPr>
              <w:keepNext/>
              <w:spacing w:after="0" w:line="300" w:lineRule="auto"/>
              <w:jc w:val="center"/>
              <w:rPr>
                <w:rFonts w:ascii="Arial" w:hAnsi="Arial" w:cs="Arial"/>
                <w:color w:val="000000"/>
              </w:rPr>
            </w:pPr>
            <w:r>
              <w:rPr>
                <w:rFonts w:ascii="Arial" w:hAnsi="Arial" w:cs="Arial"/>
                <w:color w:val="000000"/>
              </w:rPr>
              <w:t>-</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555A61F9" w14:textId="77777777" w:rsidR="00AC2760" w:rsidRDefault="00AC2760">
            <w:pPr>
              <w:keepNext/>
              <w:spacing w:after="0" w:line="300" w:lineRule="auto"/>
              <w:jc w:val="center"/>
              <w:rPr>
                <w:rFonts w:ascii="Arial" w:hAnsi="Arial" w:cs="Arial"/>
                <w:color w:val="000000"/>
              </w:rPr>
            </w:pPr>
            <w:r>
              <w:rPr>
                <w:rFonts w:ascii="Arial" w:hAnsi="Arial" w:cs="Arial"/>
                <w:color w:val="000000"/>
              </w:rPr>
              <w:t>28%</w:t>
            </w:r>
          </w:p>
        </w:tc>
      </w:tr>
      <w:tr w:rsidR="00AC2760" w14:paraId="0D0F0462" w14:textId="77777777" w:rsidTr="00AC2760">
        <w:trPr>
          <w:trHeight w:val="288"/>
        </w:trPr>
        <w:tc>
          <w:tcPr>
            <w:tcW w:w="2195" w:type="dxa"/>
            <w:tcBorders>
              <w:top w:val="single" w:sz="4" w:space="0" w:color="auto"/>
              <w:left w:val="single" w:sz="4" w:space="0" w:color="auto"/>
              <w:bottom w:val="single" w:sz="4" w:space="0" w:color="auto"/>
              <w:right w:val="single" w:sz="4" w:space="0" w:color="auto"/>
            </w:tcBorders>
            <w:noWrap/>
            <w:vAlign w:val="bottom"/>
            <w:hideMark/>
          </w:tcPr>
          <w:p w14:paraId="0F50D00C" w14:textId="77777777" w:rsidR="00AC2760" w:rsidRDefault="00AC2760">
            <w:pPr>
              <w:keepNext/>
              <w:spacing w:after="0" w:line="300" w:lineRule="auto"/>
              <w:rPr>
                <w:rFonts w:ascii="Arial" w:hAnsi="Arial" w:cs="Arial"/>
                <w:color w:val="000000"/>
              </w:rPr>
            </w:pPr>
            <w:r>
              <w:rPr>
                <w:rFonts w:ascii="Arial" w:hAnsi="Arial" w:cs="Arial"/>
                <w:color w:val="000000"/>
              </w:rPr>
              <w:t>England</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2A4A0CC4" w14:textId="77777777" w:rsidR="00AC2760" w:rsidRDefault="00AC2760">
            <w:pPr>
              <w:keepNext/>
              <w:spacing w:after="0" w:line="300" w:lineRule="auto"/>
              <w:jc w:val="center"/>
              <w:rPr>
                <w:rFonts w:ascii="Arial" w:hAnsi="Arial" w:cs="Arial"/>
                <w:color w:val="000000"/>
              </w:rPr>
            </w:pPr>
            <w:r>
              <w:rPr>
                <w:rFonts w:ascii="Arial" w:hAnsi="Arial" w:cs="Arial"/>
                <w:color w:val="000000"/>
              </w:rPr>
              <w:t>-</w:t>
            </w:r>
          </w:p>
        </w:tc>
        <w:tc>
          <w:tcPr>
            <w:tcW w:w="2194" w:type="dxa"/>
            <w:tcBorders>
              <w:top w:val="single" w:sz="4" w:space="0" w:color="auto"/>
              <w:left w:val="single" w:sz="4" w:space="0" w:color="auto"/>
              <w:bottom w:val="single" w:sz="4" w:space="0" w:color="auto"/>
              <w:right w:val="single" w:sz="4" w:space="0" w:color="auto"/>
            </w:tcBorders>
            <w:noWrap/>
            <w:vAlign w:val="bottom"/>
            <w:hideMark/>
          </w:tcPr>
          <w:p w14:paraId="75D87BB7" w14:textId="77777777" w:rsidR="00AC2760" w:rsidRDefault="00AC2760">
            <w:pPr>
              <w:keepNext/>
              <w:spacing w:after="0" w:line="300" w:lineRule="auto"/>
              <w:jc w:val="center"/>
              <w:rPr>
                <w:rFonts w:ascii="Arial" w:hAnsi="Arial" w:cs="Arial"/>
                <w:color w:val="000000"/>
              </w:rPr>
            </w:pPr>
            <w:r>
              <w:rPr>
                <w:rFonts w:ascii="Arial" w:hAnsi="Arial" w:cs="Arial"/>
                <w:color w:val="000000"/>
              </w:rPr>
              <w:t>28%</w:t>
            </w:r>
          </w:p>
        </w:tc>
      </w:tr>
    </w:tbl>
    <w:p w14:paraId="1427E278" w14:textId="77777777" w:rsidR="00AC2760" w:rsidRDefault="00AC2760" w:rsidP="00AC2760">
      <w:pPr>
        <w:spacing w:line="300" w:lineRule="auto"/>
        <w:rPr>
          <w:rFonts w:ascii="Arial" w:hAnsi="Arial" w:cs="Arial"/>
          <w:i/>
          <w:iCs/>
          <w:sz w:val="16"/>
          <w:szCs w:val="16"/>
        </w:rPr>
      </w:pPr>
      <w:r>
        <w:rPr>
          <w:rFonts w:ascii="Arial" w:hAnsi="Arial" w:cs="Arial"/>
          <w:i/>
          <w:iCs/>
          <w:sz w:val="16"/>
          <w:szCs w:val="16"/>
        </w:rPr>
        <w:t>Source: 2011 Census</w:t>
      </w:r>
    </w:p>
    <w:p w14:paraId="5927D847" w14:textId="77777777" w:rsidR="00AC2760" w:rsidRDefault="00AC2760" w:rsidP="00AC2760">
      <w:pPr>
        <w:pStyle w:val="BodyText"/>
        <w:numPr>
          <w:ilvl w:val="1"/>
          <w:numId w:val="16"/>
        </w:numPr>
        <w:tabs>
          <w:tab w:val="num" w:pos="0"/>
        </w:tabs>
        <w:ind w:left="0" w:hanging="709"/>
        <w:rPr>
          <w:rFonts w:eastAsiaTheme="majorEastAsia"/>
        </w:rPr>
      </w:pPr>
      <w:r>
        <w:t>The 2011 Census also enables analysis to be conducted as to the tenure of workers by industry. It can be seen that essential workers see a fairly average profile, with similar levels of owner-occupation, social renting and private renting as is seen across the whole study area – indeed 71% of households in this category are owner-occupiers. It should be noted that this data is from the 2011 Census which is now slightly out of date, the Councils could look at this data again when new data from the 2021 Census is published (likely to be in 2023 on this topic).</w:t>
      </w:r>
    </w:p>
    <w:p w14:paraId="68A10EF5" w14:textId="77777777" w:rsidR="00AC2760" w:rsidRDefault="00AC2760" w:rsidP="007A7A64">
      <w:pPr>
        <w:pStyle w:val="Heading4"/>
        <w:numPr>
          <w:ilvl w:val="2"/>
          <w:numId w:val="16"/>
        </w:numPr>
        <w:ind w:firstLine="0"/>
      </w:pPr>
      <w:r w:rsidRPr="007A7A64">
        <w:t>Housing tenure by industry of employment (2011) – Greater Nottingham</w:t>
      </w:r>
    </w:p>
    <w:tbl>
      <w:tblPr>
        <w:tblStyle w:val="TableTheme"/>
        <w:tblW w:w="5000" w:type="pct"/>
        <w:tblInd w:w="0" w:type="dxa"/>
        <w:tblLayout w:type="fixed"/>
        <w:tblLook w:val="04A0" w:firstRow="1" w:lastRow="0" w:firstColumn="1" w:lastColumn="0" w:noHBand="0" w:noVBand="1"/>
        <w:tblCaption w:val="Table 4.11 Housing tenure by industry of employment (2011) – Greater Nottingham"/>
      </w:tblPr>
      <w:tblGrid>
        <w:gridCol w:w="4547"/>
        <w:gridCol w:w="1410"/>
        <w:gridCol w:w="1410"/>
        <w:gridCol w:w="1410"/>
      </w:tblGrid>
      <w:tr w:rsidR="00AC2760" w14:paraId="1BE2AA5C" w14:textId="77777777" w:rsidTr="009C6D1F">
        <w:trPr>
          <w:trHeight w:val="288"/>
          <w:tblHeader/>
        </w:trPr>
        <w:tc>
          <w:tcPr>
            <w:tcW w:w="4547" w:type="dxa"/>
            <w:tcBorders>
              <w:top w:val="single" w:sz="4" w:space="0" w:color="auto"/>
              <w:left w:val="single" w:sz="4" w:space="0" w:color="auto"/>
              <w:bottom w:val="single" w:sz="4" w:space="0" w:color="auto"/>
              <w:right w:val="single" w:sz="4" w:space="0" w:color="auto"/>
            </w:tcBorders>
            <w:shd w:val="clear" w:color="auto" w:fill="002060"/>
            <w:noWrap/>
          </w:tcPr>
          <w:p w14:paraId="05C7ADD1" w14:textId="77777777" w:rsidR="00AC2760" w:rsidRDefault="00AC2760">
            <w:pPr>
              <w:keepNext/>
              <w:spacing w:after="0" w:line="240" w:lineRule="auto"/>
              <w:jc w:val="left"/>
              <w:rPr>
                <w:rFonts w:ascii="Arial" w:hAnsi="Arial" w:cs="Arial"/>
              </w:rPr>
            </w:pPr>
          </w:p>
        </w:tc>
        <w:tc>
          <w:tcPr>
            <w:tcW w:w="141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863D21D" w14:textId="77777777" w:rsidR="00AC2760" w:rsidRDefault="00AC2760">
            <w:pPr>
              <w:keepNext/>
              <w:spacing w:after="0" w:line="300" w:lineRule="auto"/>
              <w:jc w:val="center"/>
              <w:rPr>
                <w:rFonts w:ascii="Arial" w:hAnsi="Arial" w:cs="Arial"/>
              </w:rPr>
            </w:pPr>
            <w:r>
              <w:rPr>
                <w:rFonts w:ascii="Arial" w:hAnsi="Arial" w:cs="Arial"/>
              </w:rPr>
              <w:t>Owner-occupied</w:t>
            </w:r>
          </w:p>
        </w:tc>
        <w:tc>
          <w:tcPr>
            <w:tcW w:w="141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8807C4E" w14:textId="77777777" w:rsidR="00AC2760" w:rsidRDefault="00AC2760">
            <w:pPr>
              <w:keepNext/>
              <w:spacing w:after="0" w:line="300" w:lineRule="auto"/>
              <w:jc w:val="center"/>
              <w:rPr>
                <w:rFonts w:ascii="Arial" w:hAnsi="Arial" w:cs="Arial"/>
              </w:rPr>
            </w:pPr>
            <w:r>
              <w:rPr>
                <w:rFonts w:ascii="Arial" w:hAnsi="Arial" w:cs="Arial"/>
              </w:rPr>
              <w:t>Social rented</w:t>
            </w:r>
          </w:p>
        </w:tc>
        <w:tc>
          <w:tcPr>
            <w:tcW w:w="1410"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442D60AD" w14:textId="77777777" w:rsidR="00AC2760" w:rsidRDefault="00AC2760">
            <w:pPr>
              <w:keepNext/>
              <w:spacing w:after="0" w:line="300" w:lineRule="auto"/>
              <w:jc w:val="center"/>
              <w:rPr>
                <w:rFonts w:ascii="Arial" w:hAnsi="Arial" w:cs="Arial"/>
              </w:rPr>
            </w:pPr>
            <w:r>
              <w:rPr>
                <w:rFonts w:ascii="Arial" w:hAnsi="Arial" w:cs="Arial"/>
              </w:rPr>
              <w:t>Private rented</w:t>
            </w:r>
          </w:p>
        </w:tc>
      </w:tr>
      <w:tr w:rsidR="00AC2760" w14:paraId="77CF343A"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61AE5945" w14:textId="77777777" w:rsidR="00AC2760" w:rsidRDefault="00AC2760">
            <w:pPr>
              <w:keepNext/>
              <w:spacing w:after="0" w:line="300" w:lineRule="auto"/>
              <w:rPr>
                <w:rFonts w:ascii="Arial" w:hAnsi="Arial" w:cs="Arial"/>
              </w:rPr>
            </w:pPr>
            <w:r>
              <w:rPr>
                <w:rFonts w:ascii="Arial" w:hAnsi="Arial" w:cs="Arial"/>
              </w:rPr>
              <w:t>Agriculture, energy and water</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78A3A1B3" w14:textId="77777777" w:rsidR="00AC2760" w:rsidRDefault="00AC2760">
            <w:pPr>
              <w:keepNext/>
              <w:spacing w:after="0" w:line="300" w:lineRule="auto"/>
              <w:jc w:val="center"/>
              <w:rPr>
                <w:rFonts w:ascii="Arial" w:hAnsi="Arial" w:cs="Arial"/>
              </w:rPr>
            </w:pPr>
            <w:r>
              <w:rPr>
                <w:rFonts w:ascii="Arial" w:hAnsi="Arial" w:cs="Arial"/>
                <w:color w:val="000000"/>
              </w:rPr>
              <w:t>71%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87F56F9" w14:textId="77777777" w:rsidR="00AC2760" w:rsidRDefault="00AC2760">
            <w:pPr>
              <w:keepNext/>
              <w:spacing w:after="0" w:line="300" w:lineRule="auto"/>
              <w:jc w:val="center"/>
              <w:rPr>
                <w:rFonts w:ascii="Arial" w:hAnsi="Arial" w:cs="Arial"/>
              </w:rPr>
            </w:pPr>
            <w:r>
              <w:rPr>
                <w:rFonts w:ascii="Arial" w:hAnsi="Arial" w:cs="Arial"/>
                <w:color w:val="000000"/>
              </w:rPr>
              <w:t>8%</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08386D8B" w14:textId="77777777" w:rsidR="00AC2760" w:rsidRDefault="00AC2760">
            <w:pPr>
              <w:keepNext/>
              <w:spacing w:after="0" w:line="300" w:lineRule="auto"/>
              <w:jc w:val="center"/>
              <w:rPr>
                <w:rFonts w:ascii="Arial" w:hAnsi="Arial" w:cs="Arial"/>
              </w:rPr>
            </w:pPr>
            <w:r>
              <w:rPr>
                <w:rFonts w:ascii="Arial" w:hAnsi="Arial" w:cs="Arial"/>
                <w:color w:val="000000"/>
              </w:rPr>
              <w:t>20%</w:t>
            </w:r>
          </w:p>
        </w:tc>
      </w:tr>
      <w:tr w:rsidR="00AC2760" w14:paraId="388D926D"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631380E4" w14:textId="77777777" w:rsidR="00AC2760" w:rsidRDefault="00AC2760">
            <w:pPr>
              <w:keepNext/>
              <w:spacing w:after="0" w:line="300" w:lineRule="auto"/>
              <w:rPr>
                <w:rFonts w:ascii="Arial" w:hAnsi="Arial" w:cs="Arial"/>
              </w:rPr>
            </w:pPr>
            <w:r>
              <w:rPr>
                <w:rFonts w:ascii="Arial" w:hAnsi="Arial" w:cs="Arial"/>
              </w:rPr>
              <w:t>Manufacturing</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7E44935A" w14:textId="77777777" w:rsidR="00AC2760" w:rsidRDefault="00AC2760">
            <w:pPr>
              <w:keepNext/>
              <w:spacing w:after="0" w:line="300" w:lineRule="auto"/>
              <w:jc w:val="center"/>
              <w:rPr>
                <w:rFonts w:ascii="Arial" w:hAnsi="Arial" w:cs="Arial"/>
              </w:rPr>
            </w:pPr>
            <w:r>
              <w:rPr>
                <w:rFonts w:ascii="Arial" w:hAnsi="Arial" w:cs="Arial"/>
                <w:color w:val="000000"/>
              </w:rPr>
              <w:t>77%</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7D5CC72" w14:textId="77777777" w:rsidR="00AC2760" w:rsidRDefault="00AC2760">
            <w:pPr>
              <w:keepNext/>
              <w:spacing w:after="0" w:line="300" w:lineRule="auto"/>
              <w:jc w:val="center"/>
              <w:rPr>
                <w:rFonts w:ascii="Arial" w:hAnsi="Arial" w:cs="Arial"/>
              </w:rPr>
            </w:pPr>
            <w:r>
              <w:rPr>
                <w:rFonts w:ascii="Arial" w:hAnsi="Arial" w:cs="Arial"/>
                <w:color w:val="000000"/>
              </w:rPr>
              <w:t>9%</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01108DB" w14:textId="77777777" w:rsidR="00AC2760" w:rsidRDefault="00AC2760">
            <w:pPr>
              <w:keepNext/>
              <w:spacing w:after="0" w:line="300" w:lineRule="auto"/>
              <w:jc w:val="center"/>
              <w:rPr>
                <w:rFonts w:ascii="Arial" w:hAnsi="Arial" w:cs="Arial"/>
              </w:rPr>
            </w:pPr>
            <w:r>
              <w:rPr>
                <w:rFonts w:ascii="Arial" w:hAnsi="Arial" w:cs="Arial"/>
                <w:color w:val="000000"/>
              </w:rPr>
              <w:t>14%</w:t>
            </w:r>
          </w:p>
        </w:tc>
      </w:tr>
      <w:tr w:rsidR="00AC2760" w14:paraId="18CEECA7"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2A372369" w14:textId="77777777" w:rsidR="00AC2760" w:rsidRDefault="00AC2760">
            <w:pPr>
              <w:keepNext/>
              <w:spacing w:after="0" w:line="300" w:lineRule="auto"/>
              <w:rPr>
                <w:rFonts w:ascii="Arial" w:hAnsi="Arial" w:cs="Arial"/>
              </w:rPr>
            </w:pPr>
            <w:r>
              <w:rPr>
                <w:rFonts w:ascii="Arial" w:hAnsi="Arial" w:cs="Arial"/>
              </w:rPr>
              <w:t>Construction</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0563562" w14:textId="77777777" w:rsidR="00AC2760" w:rsidRDefault="00AC2760">
            <w:pPr>
              <w:keepNext/>
              <w:spacing w:after="0" w:line="300" w:lineRule="auto"/>
              <w:jc w:val="center"/>
              <w:rPr>
                <w:rFonts w:ascii="Arial" w:hAnsi="Arial" w:cs="Arial"/>
              </w:rPr>
            </w:pPr>
            <w:r>
              <w:rPr>
                <w:rFonts w:ascii="Arial" w:hAnsi="Arial" w:cs="Arial"/>
                <w:color w:val="000000"/>
              </w:rPr>
              <w:t>78%</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64AB9F5" w14:textId="77777777" w:rsidR="00AC2760" w:rsidRDefault="00AC2760">
            <w:pPr>
              <w:keepNext/>
              <w:spacing w:after="0" w:line="300" w:lineRule="auto"/>
              <w:jc w:val="center"/>
              <w:rPr>
                <w:rFonts w:ascii="Arial" w:hAnsi="Arial" w:cs="Arial"/>
              </w:rPr>
            </w:pPr>
            <w:r>
              <w:rPr>
                <w:rFonts w:ascii="Arial" w:hAnsi="Arial" w:cs="Arial"/>
                <w:color w:val="000000"/>
              </w:rPr>
              <w:t>8%</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1BCCBF2D" w14:textId="77777777" w:rsidR="00AC2760" w:rsidRDefault="00AC2760">
            <w:pPr>
              <w:keepNext/>
              <w:spacing w:after="0" w:line="300" w:lineRule="auto"/>
              <w:jc w:val="center"/>
              <w:rPr>
                <w:rFonts w:ascii="Arial" w:hAnsi="Arial" w:cs="Arial"/>
              </w:rPr>
            </w:pPr>
            <w:r>
              <w:rPr>
                <w:rFonts w:ascii="Arial" w:hAnsi="Arial" w:cs="Arial"/>
                <w:color w:val="000000"/>
              </w:rPr>
              <w:t>14%</w:t>
            </w:r>
          </w:p>
        </w:tc>
      </w:tr>
      <w:tr w:rsidR="00AC2760" w14:paraId="62930C97"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55598B33" w14:textId="77777777" w:rsidR="00AC2760" w:rsidRDefault="00AC2760">
            <w:pPr>
              <w:keepNext/>
              <w:spacing w:after="0" w:line="300" w:lineRule="auto"/>
              <w:rPr>
                <w:rFonts w:ascii="Arial" w:hAnsi="Arial" w:cs="Arial"/>
              </w:rPr>
            </w:pPr>
            <w:r>
              <w:rPr>
                <w:rFonts w:ascii="Arial" w:hAnsi="Arial" w:cs="Arial"/>
              </w:rPr>
              <w:t>Distribution, hotels and restaurants</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673DF6C5" w14:textId="77777777" w:rsidR="00AC2760" w:rsidRDefault="00AC2760">
            <w:pPr>
              <w:keepNext/>
              <w:spacing w:after="0" w:line="300" w:lineRule="auto"/>
              <w:jc w:val="center"/>
              <w:rPr>
                <w:rFonts w:ascii="Arial" w:hAnsi="Arial" w:cs="Arial"/>
              </w:rPr>
            </w:pPr>
            <w:r>
              <w:rPr>
                <w:rFonts w:ascii="Arial" w:hAnsi="Arial" w:cs="Arial"/>
                <w:color w:val="000000"/>
              </w:rPr>
              <w:t>60%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4F30DC33" w14:textId="77777777" w:rsidR="00AC2760" w:rsidRDefault="00AC2760">
            <w:pPr>
              <w:keepNext/>
              <w:spacing w:after="0" w:line="300" w:lineRule="auto"/>
              <w:jc w:val="center"/>
              <w:rPr>
                <w:rFonts w:ascii="Arial" w:hAnsi="Arial" w:cs="Arial"/>
              </w:rPr>
            </w:pPr>
            <w:r>
              <w:rPr>
                <w:rFonts w:ascii="Arial" w:hAnsi="Arial" w:cs="Arial"/>
                <w:color w:val="000000"/>
              </w:rPr>
              <w:t>15%</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07C7B4D" w14:textId="77777777" w:rsidR="00AC2760" w:rsidRDefault="00AC2760">
            <w:pPr>
              <w:keepNext/>
              <w:spacing w:after="0" w:line="300" w:lineRule="auto"/>
              <w:jc w:val="center"/>
              <w:rPr>
                <w:rFonts w:ascii="Arial" w:hAnsi="Arial" w:cs="Arial"/>
              </w:rPr>
            </w:pPr>
            <w:r>
              <w:rPr>
                <w:rFonts w:ascii="Arial" w:hAnsi="Arial" w:cs="Arial"/>
                <w:color w:val="000000"/>
              </w:rPr>
              <w:t>25%</w:t>
            </w:r>
          </w:p>
        </w:tc>
      </w:tr>
      <w:tr w:rsidR="00AC2760" w14:paraId="418D6E55"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3E56F1F8" w14:textId="77777777" w:rsidR="00AC2760" w:rsidRDefault="00AC2760">
            <w:pPr>
              <w:keepNext/>
              <w:spacing w:after="0" w:line="300" w:lineRule="auto"/>
              <w:rPr>
                <w:rFonts w:ascii="Arial" w:hAnsi="Arial" w:cs="Arial"/>
              </w:rPr>
            </w:pPr>
            <w:r>
              <w:rPr>
                <w:rFonts w:ascii="Arial" w:hAnsi="Arial" w:cs="Arial"/>
              </w:rPr>
              <w:t>Transport and communication</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88D8D43" w14:textId="77777777" w:rsidR="00AC2760" w:rsidRDefault="00AC2760">
            <w:pPr>
              <w:keepNext/>
              <w:spacing w:after="0" w:line="300" w:lineRule="auto"/>
              <w:jc w:val="center"/>
              <w:rPr>
                <w:rFonts w:ascii="Arial" w:hAnsi="Arial" w:cs="Arial"/>
              </w:rPr>
            </w:pPr>
            <w:r>
              <w:rPr>
                <w:rFonts w:ascii="Arial" w:hAnsi="Arial" w:cs="Arial"/>
                <w:color w:val="000000"/>
              </w:rPr>
              <w:t>71%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97118D5" w14:textId="77777777" w:rsidR="00AC2760" w:rsidRDefault="00AC2760">
            <w:pPr>
              <w:keepNext/>
              <w:spacing w:after="0" w:line="300" w:lineRule="auto"/>
              <w:jc w:val="center"/>
              <w:rPr>
                <w:rFonts w:ascii="Arial" w:hAnsi="Arial" w:cs="Arial"/>
              </w:rPr>
            </w:pPr>
            <w:r>
              <w:rPr>
                <w:rFonts w:ascii="Arial" w:hAnsi="Arial" w:cs="Arial"/>
                <w:color w:val="000000"/>
              </w:rPr>
              <w:t>10%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62D286E2" w14:textId="77777777" w:rsidR="00AC2760" w:rsidRDefault="00AC2760">
            <w:pPr>
              <w:keepNext/>
              <w:spacing w:after="0" w:line="300" w:lineRule="auto"/>
              <w:jc w:val="center"/>
              <w:rPr>
                <w:rFonts w:ascii="Arial" w:hAnsi="Arial" w:cs="Arial"/>
              </w:rPr>
            </w:pPr>
            <w:r>
              <w:rPr>
                <w:rFonts w:ascii="Arial" w:hAnsi="Arial" w:cs="Arial"/>
                <w:color w:val="000000"/>
              </w:rPr>
              <w:t>19%</w:t>
            </w:r>
          </w:p>
        </w:tc>
      </w:tr>
      <w:tr w:rsidR="00AC2760" w14:paraId="0BAB96A5"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69CE91BC" w14:textId="77777777" w:rsidR="00AC2760" w:rsidRDefault="00AC2760">
            <w:pPr>
              <w:keepNext/>
              <w:spacing w:after="0" w:line="300" w:lineRule="auto"/>
              <w:rPr>
                <w:rFonts w:ascii="Arial Narrow" w:hAnsi="Arial Narrow" w:cs="Arial"/>
              </w:rPr>
            </w:pPr>
            <w:r>
              <w:rPr>
                <w:rFonts w:ascii="Arial Narrow" w:hAnsi="Arial Narrow" w:cs="Arial"/>
              </w:rPr>
              <w:t>Financial, Real Estate, Professional and Administration</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4B9D7DA" w14:textId="77777777" w:rsidR="00AC2760" w:rsidRDefault="00AC2760">
            <w:pPr>
              <w:keepNext/>
              <w:spacing w:after="0" w:line="300" w:lineRule="auto"/>
              <w:jc w:val="center"/>
              <w:rPr>
                <w:rFonts w:ascii="Arial" w:hAnsi="Arial" w:cs="Arial"/>
              </w:rPr>
            </w:pPr>
            <w:r>
              <w:rPr>
                <w:rFonts w:ascii="Arial" w:hAnsi="Arial" w:cs="Arial"/>
                <w:color w:val="000000"/>
              </w:rPr>
              <w:t>70%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89A9804" w14:textId="77777777" w:rsidR="00AC2760" w:rsidRDefault="00AC2760">
            <w:pPr>
              <w:keepNext/>
              <w:spacing w:after="0" w:line="300" w:lineRule="auto"/>
              <w:jc w:val="center"/>
              <w:rPr>
                <w:rFonts w:ascii="Arial" w:hAnsi="Arial" w:cs="Arial"/>
              </w:rPr>
            </w:pPr>
            <w:r>
              <w:rPr>
                <w:rFonts w:ascii="Arial" w:hAnsi="Arial" w:cs="Arial"/>
                <w:color w:val="000000"/>
              </w:rPr>
              <w:t>10%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DC6B8C8" w14:textId="77777777" w:rsidR="00AC2760" w:rsidRDefault="00AC2760">
            <w:pPr>
              <w:keepNext/>
              <w:spacing w:after="0" w:line="300" w:lineRule="auto"/>
              <w:jc w:val="center"/>
              <w:rPr>
                <w:rFonts w:ascii="Arial" w:hAnsi="Arial" w:cs="Arial"/>
              </w:rPr>
            </w:pPr>
            <w:r>
              <w:rPr>
                <w:rFonts w:ascii="Arial" w:hAnsi="Arial" w:cs="Arial"/>
                <w:color w:val="000000"/>
              </w:rPr>
              <w:t>20%</w:t>
            </w:r>
          </w:p>
        </w:tc>
      </w:tr>
      <w:tr w:rsidR="00AC2760" w14:paraId="6BF4CE5F"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50BEDE14" w14:textId="77777777" w:rsidR="00AC2760" w:rsidRDefault="00AC2760">
            <w:pPr>
              <w:keepNext/>
              <w:spacing w:after="0" w:line="300" w:lineRule="auto"/>
              <w:rPr>
                <w:rFonts w:ascii="Arial" w:hAnsi="Arial" w:cs="Arial"/>
              </w:rPr>
            </w:pPr>
            <w:r>
              <w:rPr>
                <w:rFonts w:ascii="Arial" w:hAnsi="Arial" w:cs="Arial"/>
              </w:rPr>
              <w:t>Public administration, education and health</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455A9090" w14:textId="77777777" w:rsidR="00AC2760" w:rsidRDefault="00AC2760">
            <w:pPr>
              <w:keepNext/>
              <w:spacing w:after="0" w:line="300" w:lineRule="auto"/>
              <w:jc w:val="center"/>
              <w:rPr>
                <w:rFonts w:ascii="Arial" w:hAnsi="Arial" w:cs="Arial"/>
              </w:rPr>
            </w:pPr>
            <w:r>
              <w:rPr>
                <w:rFonts w:ascii="Arial" w:hAnsi="Arial" w:cs="Arial"/>
                <w:color w:val="000000"/>
              </w:rPr>
              <w:t>71%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E68C259" w14:textId="77777777" w:rsidR="00AC2760" w:rsidRDefault="00AC2760">
            <w:pPr>
              <w:keepNext/>
              <w:spacing w:after="0" w:line="300" w:lineRule="auto"/>
              <w:jc w:val="center"/>
              <w:rPr>
                <w:rFonts w:ascii="Arial" w:hAnsi="Arial" w:cs="Arial"/>
              </w:rPr>
            </w:pPr>
            <w:r>
              <w:rPr>
                <w:rFonts w:ascii="Arial" w:hAnsi="Arial" w:cs="Arial"/>
                <w:color w:val="000000"/>
              </w:rPr>
              <w:t>10%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3F4A899" w14:textId="77777777" w:rsidR="00AC2760" w:rsidRDefault="00AC2760">
            <w:pPr>
              <w:keepNext/>
              <w:spacing w:after="0" w:line="300" w:lineRule="auto"/>
              <w:jc w:val="center"/>
              <w:rPr>
                <w:rFonts w:ascii="Arial" w:hAnsi="Arial" w:cs="Arial"/>
              </w:rPr>
            </w:pPr>
            <w:r>
              <w:rPr>
                <w:rFonts w:ascii="Arial" w:hAnsi="Arial" w:cs="Arial"/>
                <w:color w:val="000000"/>
              </w:rPr>
              <w:t>19%</w:t>
            </w:r>
          </w:p>
        </w:tc>
      </w:tr>
      <w:tr w:rsidR="00AC2760" w14:paraId="0923A34D"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299DF5B8" w14:textId="77777777" w:rsidR="00AC2760" w:rsidRDefault="00AC2760">
            <w:pPr>
              <w:keepNext/>
              <w:spacing w:after="0" w:line="300" w:lineRule="auto"/>
              <w:rPr>
                <w:rFonts w:ascii="Arial" w:hAnsi="Arial" w:cs="Arial"/>
              </w:rPr>
            </w:pPr>
            <w:r>
              <w:rPr>
                <w:rFonts w:ascii="Arial" w:hAnsi="Arial" w:cs="Arial"/>
              </w:rPr>
              <w:t>Other</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BE85A34" w14:textId="77777777" w:rsidR="00AC2760" w:rsidRDefault="00AC2760">
            <w:pPr>
              <w:keepNext/>
              <w:spacing w:after="0" w:line="300" w:lineRule="auto"/>
              <w:jc w:val="center"/>
              <w:rPr>
                <w:rFonts w:ascii="Arial" w:hAnsi="Arial" w:cs="Arial"/>
              </w:rPr>
            </w:pPr>
            <w:r>
              <w:rPr>
                <w:rFonts w:ascii="Arial" w:hAnsi="Arial" w:cs="Arial"/>
                <w:color w:val="000000"/>
              </w:rPr>
              <w:t>60%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0BD945E0" w14:textId="77777777" w:rsidR="00AC2760" w:rsidRDefault="00AC2760">
            <w:pPr>
              <w:keepNext/>
              <w:spacing w:after="0" w:line="300" w:lineRule="auto"/>
              <w:jc w:val="center"/>
              <w:rPr>
                <w:rFonts w:ascii="Arial" w:hAnsi="Arial" w:cs="Arial"/>
              </w:rPr>
            </w:pPr>
            <w:r>
              <w:rPr>
                <w:rFonts w:ascii="Arial" w:hAnsi="Arial" w:cs="Arial"/>
                <w:color w:val="000000"/>
              </w:rPr>
              <w:t>13%</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95A52B5" w14:textId="77777777" w:rsidR="00AC2760" w:rsidRDefault="00AC2760">
            <w:pPr>
              <w:keepNext/>
              <w:spacing w:after="0" w:line="300" w:lineRule="auto"/>
              <w:jc w:val="center"/>
              <w:rPr>
                <w:rFonts w:ascii="Arial" w:hAnsi="Arial" w:cs="Arial"/>
              </w:rPr>
            </w:pPr>
            <w:r>
              <w:rPr>
                <w:rFonts w:ascii="Arial" w:hAnsi="Arial" w:cs="Arial"/>
                <w:color w:val="000000"/>
              </w:rPr>
              <w:t>27%</w:t>
            </w:r>
          </w:p>
        </w:tc>
      </w:tr>
      <w:tr w:rsidR="00AC2760" w14:paraId="3C41040C" w14:textId="77777777" w:rsidTr="00AC2760">
        <w:trPr>
          <w:trHeight w:val="288"/>
        </w:trPr>
        <w:tc>
          <w:tcPr>
            <w:tcW w:w="4547" w:type="dxa"/>
            <w:tcBorders>
              <w:top w:val="single" w:sz="4" w:space="0" w:color="auto"/>
              <w:left w:val="single" w:sz="4" w:space="0" w:color="auto"/>
              <w:bottom w:val="single" w:sz="4" w:space="0" w:color="auto"/>
              <w:right w:val="single" w:sz="4" w:space="0" w:color="auto"/>
            </w:tcBorders>
            <w:noWrap/>
            <w:hideMark/>
          </w:tcPr>
          <w:p w14:paraId="373C87A2" w14:textId="77777777" w:rsidR="00AC2760" w:rsidRDefault="00AC2760">
            <w:pPr>
              <w:keepNext/>
              <w:spacing w:after="0" w:line="300" w:lineRule="auto"/>
              <w:rPr>
                <w:rFonts w:ascii="Arial" w:hAnsi="Arial" w:cs="Arial"/>
              </w:rPr>
            </w:pPr>
            <w:r>
              <w:rPr>
                <w:rFonts w:ascii="Arial" w:hAnsi="Arial" w:cs="Arial"/>
              </w:rPr>
              <w:t>All industries</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282C1058" w14:textId="77777777" w:rsidR="00AC2760" w:rsidRDefault="00AC2760">
            <w:pPr>
              <w:keepNext/>
              <w:spacing w:after="0" w:line="300" w:lineRule="auto"/>
              <w:jc w:val="center"/>
              <w:rPr>
                <w:rFonts w:ascii="Arial" w:hAnsi="Arial" w:cs="Arial"/>
              </w:rPr>
            </w:pPr>
            <w:r>
              <w:rPr>
                <w:rFonts w:ascii="Arial" w:hAnsi="Arial" w:cs="Arial"/>
                <w:color w:val="000000"/>
              </w:rPr>
              <w:t>70%</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3D7BC62D" w14:textId="77777777" w:rsidR="00AC2760" w:rsidRDefault="00AC2760">
            <w:pPr>
              <w:keepNext/>
              <w:spacing w:after="0" w:line="300" w:lineRule="auto"/>
              <w:jc w:val="center"/>
              <w:rPr>
                <w:rFonts w:ascii="Arial" w:hAnsi="Arial" w:cs="Arial"/>
              </w:rPr>
            </w:pPr>
            <w:r>
              <w:rPr>
                <w:rFonts w:ascii="Arial" w:hAnsi="Arial" w:cs="Arial"/>
                <w:color w:val="000000"/>
              </w:rPr>
              <w:t>11%</w:t>
            </w:r>
          </w:p>
        </w:tc>
        <w:tc>
          <w:tcPr>
            <w:tcW w:w="1410" w:type="dxa"/>
            <w:tcBorders>
              <w:top w:val="single" w:sz="4" w:space="0" w:color="auto"/>
              <w:left w:val="single" w:sz="4" w:space="0" w:color="auto"/>
              <w:bottom w:val="single" w:sz="4" w:space="0" w:color="auto"/>
              <w:right w:val="single" w:sz="4" w:space="0" w:color="auto"/>
            </w:tcBorders>
            <w:noWrap/>
            <w:vAlign w:val="bottom"/>
            <w:hideMark/>
          </w:tcPr>
          <w:p w14:paraId="506E8DC1" w14:textId="77777777" w:rsidR="00AC2760" w:rsidRDefault="00AC2760">
            <w:pPr>
              <w:keepNext/>
              <w:spacing w:after="0" w:line="300" w:lineRule="auto"/>
              <w:jc w:val="center"/>
              <w:rPr>
                <w:rFonts w:ascii="Arial" w:hAnsi="Arial" w:cs="Arial"/>
              </w:rPr>
            </w:pPr>
            <w:r>
              <w:rPr>
                <w:rFonts w:ascii="Arial" w:hAnsi="Arial" w:cs="Arial"/>
                <w:color w:val="000000"/>
              </w:rPr>
              <w:t>19%</w:t>
            </w:r>
          </w:p>
        </w:tc>
      </w:tr>
    </w:tbl>
    <w:p w14:paraId="25451F85" w14:textId="77777777" w:rsidR="00AC2760" w:rsidRDefault="00AC2760" w:rsidP="00AC2760">
      <w:pPr>
        <w:spacing w:line="300" w:lineRule="auto"/>
        <w:rPr>
          <w:rFonts w:ascii="Arial" w:hAnsi="Arial" w:cs="Arial"/>
          <w:i/>
          <w:iCs/>
          <w:sz w:val="16"/>
          <w:szCs w:val="16"/>
        </w:rPr>
      </w:pPr>
      <w:r>
        <w:rPr>
          <w:rFonts w:ascii="Arial" w:hAnsi="Arial" w:cs="Arial"/>
          <w:i/>
          <w:iCs/>
          <w:sz w:val="16"/>
          <w:szCs w:val="16"/>
        </w:rPr>
        <w:t>Source: 2011 Census</w:t>
      </w:r>
    </w:p>
    <w:p w14:paraId="67D6FF04" w14:textId="77777777" w:rsidR="00AC2760" w:rsidRDefault="00AC2760" w:rsidP="00AC2760">
      <w:pPr>
        <w:pStyle w:val="BodyText"/>
        <w:numPr>
          <w:ilvl w:val="1"/>
          <w:numId w:val="16"/>
        </w:numPr>
        <w:tabs>
          <w:tab w:val="num" w:pos="0"/>
        </w:tabs>
        <w:ind w:left="0" w:hanging="709"/>
        <w:rPr>
          <w:rFonts w:eastAsiaTheme="majorEastAsia"/>
        </w:rPr>
      </w:pPr>
      <w:r>
        <w:rPr>
          <w:rFonts w:cs="Arial"/>
        </w:rPr>
        <w:t>It is also possible to consider the affordability of housing for essential workers by considering local salaries. An online assessment of local jobs (across Nottinghamshire (including Nottingham)) for nurses, firefighters, teachers, police officers and childcare was undertaken in May 2022. This showed a range of salaries, but typically in the range of about £20,000 to £30,000 per annum. The average salary was around £25,000 although it does need to be noted that there are a variety of roles with a range of salaries in these professions depending on level of expertise and experience.</w:t>
      </w:r>
    </w:p>
    <w:p w14:paraId="3E022428" w14:textId="77777777" w:rsidR="00AC2760" w:rsidRDefault="00AC2760" w:rsidP="00AC2760">
      <w:pPr>
        <w:pStyle w:val="BodyText"/>
        <w:numPr>
          <w:ilvl w:val="1"/>
          <w:numId w:val="16"/>
        </w:numPr>
        <w:tabs>
          <w:tab w:val="num" w:pos="0"/>
        </w:tabs>
        <w:ind w:left="0" w:hanging="709"/>
        <w:rPr>
          <w:rFonts w:eastAsiaTheme="majorEastAsia"/>
        </w:rPr>
      </w:pPr>
      <w:r>
        <w:rPr>
          <w:rFonts w:cs="Arial"/>
        </w:rPr>
        <w:t>With a salary of £25,000, an individual might be able to buy a home for around £110,000 (based on a 10% deposit and 4 times mortgage multiple) and with two salaries at this level would be able to afford around £220,000. This latter figure would allow the household to afford to buy a home across much of the study area, but the single income would possibly make home ownership difficult (particularly in higher value locations), and this population could be a potential target for affordable home ownership products.</w:t>
      </w:r>
    </w:p>
    <w:p w14:paraId="7331D4FD" w14:textId="77777777" w:rsidR="00AC2760" w:rsidRDefault="00AC2760" w:rsidP="00AC2760">
      <w:pPr>
        <w:pStyle w:val="BodyText"/>
        <w:numPr>
          <w:ilvl w:val="1"/>
          <w:numId w:val="16"/>
        </w:numPr>
        <w:tabs>
          <w:tab w:val="num" w:pos="0"/>
        </w:tabs>
        <w:ind w:left="0" w:hanging="709"/>
        <w:rPr>
          <w:rFonts w:eastAsiaTheme="majorEastAsia"/>
        </w:rPr>
      </w:pPr>
      <w:bookmarkStart w:id="6" w:name="_Hlk63340672"/>
      <w:r>
        <w:rPr>
          <w:rFonts w:cs="Arial"/>
        </w:rPr>
        <w:t>Overall, the analysis does not point towards there being a particular and specific need for affordable housing for essential workers. Such workers make up a similar part of the workforce as is the case in many areas, and they are as likely to be owner-occupiers as other industry groups. However, on the basis of local incomes (notably for single income essential workers), access to the owner-occupied sector may be restricted by income and it may be appropriate to consider whether or not some affordable properties should be set aside for single income essential local workers</w:t>
      </w:r>
      <w:bookmarkEnd w:id="6"/>
      <w:r>
        <w:rPr>
          <w:rFonts w:cs="Arial"/>
        </w:rPr>
        <w:t>.</w:t>
      </w:r>
    </w:p>
    <w:p w14:paraId="59C4F288" w14:textId="77777777" w:rsidR="00AC2760" w:rsidRDefault="00AC2760" w:rsidP="00AC2760">
      <w:pPr>
        <w:pStyle w:val="Heading3"/>
        <w:spacing w:after="120"/>
      </w:pPr>
      <w:r>
        <w:t>Will existing social housing tenants be able to afford First Homes?</w:t>
      </w:r>
    </w:p>
    <w:p w14:paraId="739938B9"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As well as considering the pricing of First Homes it is interesting to consider where the demand for such homes might come from. Overall, it is thought that First Homes would predominantly be targeted at households who are currently in private rented accommodation and also newly forming households (for example grown up children living with parents). It is worth additionally considering if any current tenants of social housing are likely to have a demand for such homes.</w:t>
      </w:r>
    </w:p>
    <w:p w14:paraId="582211EF" w14:textId="58023AB6"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In short, it is considered that there is unlikely to be any significant demand from households who currently live in social housing. This is because income levels are typically low and in many cases, if a household wanted to buy then it would be financially beneficial to use Right-to-Buy rather than buying a discounted product where the discount is held in perpetuity.</w:t>
      </w:r>
    </w:p>
    <w:p w14:paraId="2E16DA10" w14:textId="77777777"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Regarding income levels, there is no source of data specifically for Greater Nottingham, it is however possible to look at national data, and there is no reason to believe that tenants in the study area have a substantially different income profile. The table below shows estimates of the incomes of households in the social rented sector drawn from ONS data (taken from the Household Finances Survey)</w:t>
      </w:r>
      <w:r>
        <w:rPr>
          <w:rStyle w:val="FootnoteReference"/>
          <w:rFonts w:ascii="Arial" w:hAnsi="Arial" w:cs="Arial"/>
        </w:rPr>
        <w:footnoteReference w:id="5"/>
      </w:r>
      <w:r>
        <w:rPr>
          <w:rFonts w:ascii="Arial" w:hAnsi="Arial" w:cs="Arial"/>
        </w:rPr>
        <w:t xml:space="preserve"> – data has been shown for 2017 to 2020.</w:t>
      </w:r>
    </w:p>
    <w:p w14:paraId="3DB8624B" w14:textId="68934E94" w:rsidR="00AC2760" w:rsidRDefault="00AC2760" w:rsidP="00AC2760">
      <w:pPr>
        <w:pStyle w:val="BodyText"/>
        <w:numPr>
          <w:ilvl w:val="1"/>
          <w:numId w:val="16"/>
        </w:numPr>
        <w:tabs>
          <w:tab w:val="num" w:pos="0"/>
        </w:tabs>
        <w:ind w:left="0" w:hanging="709"/>
        <w:rPr>
          <w:rFonts w:eastAsiaTheme="majorEastAsia"/>
        </w:rPr>
      </w:pPr>
      <w:r>
        <w:rPr>
          <w:rFonts w:ascii="Arial" w:hAnsi="Arial" w:cs="Arial"/>
        </w:rPr>
        <w:t xml:space="preserve">The analysis shows that households in the social sector have an average income of around £24,000-£26,000 per annum (gross); </w:t>
      </w:r>
      <w:r w:rsidR="00433735">
        <w:rPr>
          <w:rFonts w:ascii="Arial" w:hAnsi="Arial" w:cs="Arial"/>
        </w:rPr>
        <w:t>however,</w:t>
      </w:r>
      <w:r>
        <w:rPr>
          <w:rFonts w:ascii="Arial" w:hAnsi="Arial" w:cs="Arial"/>
        </w:rPr>
        <w:t xml:space="preserve"> between 40% and 44% of this is in the form of cash benefits, which in many cases would not be eligible to use to secure a mortgage. Excluding benefits from the income shows an average in the range of £13,500 and £15,500 – likely to fall well short of buying a home and (as noted) if eligible for Right-to-Buy then unlikely to be a financially beneficial move. Whilst these figures are just averages, and there will be other tenants with higher (and lower) incomes it is considered that the numbers able to afford are likely to be small, and in most cases would not see buying a First Home as being a better option than buying their current accommodation.</w:t>
      </w:r>
    </w:p>
    <w:p w14:paraId="659F9FDA" w14:textId="77777777" w:rsidR="00AC2760" w:rsidRPr="007A7A64" w:rsidRDefault="00AC2760" w:rsidP="007A7A64">
      <w:pPr>
        <w:pStyle w:val="Heading4"/>
        <w:numPr>
          <w:ilvl w:val="2"/>
          <w:numId w:val="16"/>
        </w:numPr>
        <w:ind w:firstLine="0"/>
      </w:pPr>
      <w:r w:rsidRPr="007A7A64">
        <w:t>Average incomes of social housing tenants (UK)</w:t>
      </w:r>
    </w:p>
    <w:tbl>
      <w:tblPr>
        <w:tblStyle w:val="TableTheme"/>
        <w:tblW w:w="5000" w:type="pct"/>
        <w:tblInd w:w="0" w:type="dxa"/>
        <w:tblLook w:val="04A0" w:firstRow="1" w:lastRow="0" w:firstColumn="1" w:lastColumn="0" w:noHBand="0" w:noVBand="1"/>
        <w:tblCaption w:val="Table 4.12 Average incomes of social housing tenants (UK)"/>
      </w:tblPr>
      <w:tblGrid>
        <w:gridCol w:w="2192"/>
        <w:gridCol w:w="2195"/>
        <w:gridCol w:w="2195"/>
        <w:gridCol w:w="2195"/>
      </w:tblGrid>
      <w:tr w:rsidR="00AC2760" w14:paraId="1F530047" w14:textId="77777777" w:rsidTr="009C6D1F">
        <w:trPr>
          <w:tblHeader/>
        </w:trPr>
        <w:tc>
          <w:tcPr>
            <w:tcW w:w="2049" w:type="dxa"/>
            <w:tcBorders>
              <w:top w:val="single" w:sz="4" w:space="0" w:color="auto"/>
              <w:left w:val="single" w:sz="4" w:space="0" w:color="auto"/>
              <w:bottom w:val="single" w:sz="4" w:space="0" w:color="auto"/>
              <w:right w:val="single" w:sz="4" w:space="0" w:color="auto"/>
            </w:tcBorders>
            <w:shd w:val="clear" w:color="auto" w:fill="002060"/>
            <w:hideMark/>
          </w:tcPr>
          <w:p w14:paraId="37C44869" w14:textId="77777777" w:rsidR="00AC2760" w:rsidRDefault="00AC2760">
            <w:pPr>
              <w:keepNext/>
              <w:spacing w:after="0" w:line="300" w:lineRule="auto"/>
              <w:rPr>
                <w:rFonts w:ascii="Arial" w:hAnsi="Arial" w:cs="Arial"/>
              </w:rPr>
            </w:pPr>
            <w:r>
              <w:rPr>
                <w:rFonts w:ascii="Arial" w:hAnsi="Arial" w:cs="Arial"/>
              </w:rPr>
              <w:t>Year</w:t>
            </w:r>
          </w:p>
        </w:tc>
        <w:tc>
          <w:tcPr>
            <w:tcW w:w="2050" w:type="dxa"/>
            <w:tcBorders>
              <w:top w:val="single" w:sz="4" w:space="0" w:color="auto"/>
              <w:left w:val="single" w:sz="4" w:space="0" w:color="auto"/>
              <w:bottom w:val="single" w:sz="4" w:space="0" w:color="auto"/>
              <w:right w:val="single" w:sz="4" w:space="0" w:color="auto"/>
            </w:tcBorders>
            <w:shd w:val="clear" w:color="auto" w:fill="002060"/>
            <w:hideMark/>
          </w:tcPr>
          <w:p w14:paraId="001AB24D" w14:textId="77777777" w:rsidR="00AC2760" w:rsidRDefault="00AC2760">
            <w:pPr>
              <w:keepNext/>
              <w:spacing w:after="0" w:line="300" w:lineRule="auto"/>
              <w:jc w:val="center"/>
              <w:rPr>
                <w:rFonts w:ascii="Arial" w:hAnsi="Arial" w:cs="Arial"/>
              </w:rPr>
            </w:pPr>
            <w:r>
              <w:rPr>
                <w:rFonts w:ascii="Arial" w:hAnsi="Arial" w:cs="Arial"/>
              </w:rPr>
              <w:t>Gross income</w:t>
            </w:r>
          </w:p>
        </w:tc>
        <w:tc>
          <w:tcPr>
            <w:tcW w:w="2050" w:type="dxa"/>
            <w:tcBorders>
              <w:top w:val="single" w:sz="4" w:space="0" w:color="auto"/>
              <w:left w:val="single" w:sz="4" w:space="0" w:color="auto"/>
              <w:bottom w:val="single" w:sz="4" w:space="0" w:color="auto"/>
              <w:right w:val="single" w:sz="4" w:space="0" w:color="auto"/>
            </w:tcBorders>
            <w:shd w:val="clear" w:color="auto" w:fill="002060"/>
            <w:hideMark/>
          </w:tcPr>
          <w:p w14:paraId="1B36D265" w14:textId="77777777" w:rsidR="00AC2760" w:rsidRDefault="00AC2760">
            <w:pPr>
              <w:keepNext/>
              <w:spacing w:after="0" w:line="300" w:lineRule="auto"/>
              <w:jc w:val="center"/>
              <w:rPr>
                <w:rFonts w:ascii="Arial" w:hAnsi="Arial" w:cs="Arial"/>
              </w:rPr>
            </w:pPr>
            <w:r>
              <w:rPr>
                <w:rFonts w:ascii="Arial" w:hAnsi="Arial" w:cs="Arial"/>
              </w:rPr>
              <w:t>% as cash benefits</w:t>
            </w:r>
          </w:p>
        </w:tc>
        <w:tc>
          <w:tcPr>
            <w:tcW w:w="2050" w:type="dxa"/>
            <w:tcBorders>
              <w:top w:val="single" w:sz="4" w:space="0" w:color="auto"/>
              <w:left w:val="single" w:sz="4" w:space="0" w:color="auto"/>
              <w:bottom w:val="single" w:sz="4" w:space="0" w:color="auto"/>
              <w:right w:val="single" w:sz="4" w:space="0" w:color="auto"/>
            </w:tcBorders>
            <w:shd w:val="clear" w:color="auto" w:fill="002060"/>
            <w:hideMark/>
          </w:tcPr>
          <w:p w14:paraId="21323CCB" w14:textId="77777777" w:rsidR="00AC2760" w:rsidRDefault="00AC2760">
            <w:pPr>
              <w:keepNext/>
              <w:spacing w:after="0" w:line="300" w:lineRule="auto"/>
              <w:jc w:val="center"/>
              <w:rPr>
                <w:rFonts w:ascii="Arial" w:hAnsi="Arial" w:cs="Arial"/>
              </w:rPr>
            </w:pPr>
            <w:r>
              <w:rPr>
                <w:rFonts w:ascii="Arial" w:hAnsi="Arial" w:cs="Arial"/>
              </w:rPr>
              <w:t>Income excluding cash benefits</w:t>
            </w:r>
          </w:p>
        </w:tc>
      </w:tr>
      <w:tr w:rsidR="00AC2760" w14:paraId="13DB057D" w14:textId="77777777" w:rsidTr="00AC2760">
        <w:tc>
          <w:tcPr>
            <w:tcW w:w="2049" w:type="dxa"/>
            <w:tcBorders>
              <w:top w:val="single" w:sz="4" w:space="0" w:color="auto"/>
              <w:left w:val="single" w:sz="4" w:space="0" w:color="auto"/>
              <w:bottom w:val="single" w:sz="4" w:space="0" w:color="auto"/>
              <w:right w:val="single" w:sz="4" w:space="0" w:color="auto"/>
            </w:tcBorders>
            <w:hideMark/>
          </w:tcPr>
          <w:p w14:paraId="4E3E770A" w14:textId="77777777" w:rsidR="00AC2760" w:rsidRDefault="00AC2760">
            <w:pPr>
              <w:keepNext/>
              <w:spacing w:after="0" w:line="300" w:lineRule="auto"/>
              <w:rPr>
                <w:rFonts w:ascii="Arial" w:hAnsi="Arial" w:cs="Arial"/>
              </w:rPr>
            </w:pPr>
            <w:r>
              <w:rPr>
                <w:rFonts w:ascii="Arial" w:hAnsi="Arial" w:cs="Arial"/>
              </w:rPr>
              <w:t>2017/18</w:t>
            </w:r>
          </w:p>
        </w:tc>
        <w:tc>
          <w:tcPr>
            <w:tcW w:w="2050" w:type="dxa"/>
            <w:tcBorders>
              <w:top w:val="single" w:sz="4" w:space="0" w:color="auto"/>
              <w:left w:val="single" w:sz="4" w:space="0" w:color="auto"/>
              <w:bottom w:val="single" w:sz="4" w:space="0" w:color="auto"/>
              <w:right w:val="single" w:sz="4" w:space="0" w:color="auto"/>
            </w:tcBorders>
            <w:hideMark/>
          </w:tcPr>
          <w:p w14:paraId="4D698CE7" w14:textId="77777777" w:rsidR="00AC2760" w:rsidRDefault="00AC2760">
            <w:pPr>
              <w:keepNext/>
              <w:spacing w:after="0" w:line="300" w:lineRule="auto"/>
              <w:jc w:val="center"/>
              <w:rPr>
                <w:rFonts w:ascii="Arial" w:hAnsi="Arial" w:cs="Arial"/>
              </w:rPr>
            </w:pPr>
            <w:r>
              <w:rPr>
                <w:rFonts w:ascii="Arial" w:hAnsi="Arial" w:cs="Arial"/>
                <w:color w:val="000000"/>
              </w:rPr>
              <w:t>£24,070</w:t>
            </w:r>
          </w:p>
        </w:tc>
        <w:tc>
          <w:tcPr>
            <w:tcW w:w="2050" w:type="dxa"/>
            <w:tcBorders>
              <w:top w:val="single" w:sz="4" w:space="0" w:color="auto"/>
              <w:left w:val="single" w:sz="4" w:space="0" w:color="auto"/>
              <w:bottom w:val="single" w:sz="4" w:space="0" w:color="auto"/>
              <w:right w:val="single" w:sz="4" w:space="0" w:color="auto"/>
            </w:tcBorders>
            <w:hideMark/>
          </w:tcPr>
          <w:p w14:paraId="654F64B0" w14:textId="77777777" w:rsidR="00AC2760" w:rsidRDefault="00AC2760">
            <w:pPr>
              <w:keepNext/>
              <w:spacing w:after="0" w:line="300" w:lineRule="auto"/>
              <w:jc w:val="center"/>
              <w:rPr>
                <w:rFonts w:ascii="Arial" w:hAnsi="Arial" w:cs="Arial"/>
              </w:rPr>
            </w:pPr>
            <w:r>
              <w:rPr>
                <w:rFonts w:ascii="Arial" w:hAnsi="Arial" w:cs="Arial"/>
                <w:color w:val="000000"/>
              </w:rPr>
              <w:t>44%</w:t>
            </w:r>
          </w:p>
        </w:tc>
        <w:tc>
          <w:tcPr>
            <w:tcW w:w="2050" w:type="dxa"/>
            <w:tcBorders>
              <w:top w:val="single" w:sz="4" w:space="0" w:color="auto"/>
              <w:left w:val="single" w:sz="4" w:space="0" w:color="auto"/>
              <w:bottom w:val="single" w:sz="4" w:space="0" w:color="auto"/>
              <w:right w:val="single" w:sz="4" w:space="0" w:color="auto"/>
            </w:tcBorders>
            <w:hideMark/>
          </w:tcPr>
          <w:p w14:paraId="31D6ADEC" w14:textId="77777777" w:rsidR="00AC2760" w:rsidRDefault="00AC2760">
            <w:pPr>
              <w:keepNext/>
              <w:spacing w:after="0" w:line="300" w:lineRule="auto"/>
              <w:jc w:val="center"/>
              <w:rPr>
                <w:rFonts w:ascii="Arial" w:hAnsi="Arial" w:cs="Arial"/>
              </w:rPr>
            </w:pPr>
            <w:r>
              <w:rPr>
                <w:rFonts w:ascii="Arial" w:hAnsi="Arial" w:cs="Arial"/>
                <w:color w:val="000000"/>
              </w:rPr>
              <w:t>£13,479</w:t>
            </w:r>
          </w:p>
        </w:tc>
      </w:tr>
      <w:tr w:rsidR="00AC2760" w14:paraId="5B2192F1" w14:textId="77777777" w:rsidTr="00AC2760">
        <w:tc>
          <w:tcPr>
            <w:tcW w:w="2049" w:type="dxa"/>
            <w:tcBorders>
              <w:top w:val="single" w:sz="4" w:space="0" w:color="auto"/>
              <w:left w:val="single" w:sz="4" w:space="0" w:color="auto"/>
              <w:bottom w:val="single" w:sz="4" w:space="0" w:color="auto"/>
              <w:right w:val="single" w:sz="4" w:space="0" w:color="auto"/>
            </w:tcBorders>
            <w:hideMark/>
          </w:tcPr>
          <w:p w14:paraId="546E3C37" w14:textId="77777777" w:rsidR="00AC2760" w:rsidRDefault="00AC2760">
            <w:pPr>
              <w:keepNext/>
              <w:spacing w:after="0" w:line="300" w:lineRule="auto"/>
              <w:rPr>
                <w:rFonts w:ascii="Arial" w:hAnsi="Arial" w:cs="Arial"/>
              </w:rPr>
            </w:pPr>
            <w:r>
              <w:rPr>
                <w:rFonts w:ascii="Arial" w:hAnsi="Arial" w:cs="Arial"/>
              </w:rPr>
              <w:t>2018/19</w:t>
            </w:r>
          </w:p>
        </w:tc>
        <w:tc>
          <w:tcPr>
            <w:tcW w:w="2050" w:type="dxa"/>
            <w:tcBorders>
              <w:top w:val="single" w:sz="4" w:space="0" w:color="auto"/>
              <w:left w:val="single" w:sz="4" w:space="0" w:color="auto"/>
              <w:bottom w:val="single" w:sz="4" w:space="0" w:color="auto"/>
              <w:right w:val="single" w:sz="4" w:space="0" w:color="auto"/>
            </w:tcBorders>
            <w:hideMark/>
          </w:tcPr>
          <w:p w14:paraId="2408DF7A" w14:textId="77777777" w:rsidR="00AC2760" w:rsidRDefault="00AC2760">
            <w:pPr>
              <w:keepNext/>
              <w:spacing w:after="0" w:line="300" w:lineRule="auto"/>
              <w:jc w:val="center"/>
              <w:rPr>
                <w:rFonts w:ascii="Arial" w:hAnsi="Arial" w:cs="Arial"/>
              </w:rPr>
            </w:pPr>
            <w:r>
              <w:rPr>
                <w:rFonts w:ascii="Arial" w:hAnsi="Arial" w:cs="Arial"/>
                <w:color w:val="000000"/>
              </w:rPr>
              <w:t>£25,384</w:t>
            </w:r>
          </w:p>
        </w:tc>
        <w:tc>
          <w:tcPr>
            <w:tcW w:w="2050" w:type="dxa"/>
            <w:tcBorders>
              <w:top w:val="single" w:sz="4" w:space="0" w:color="auto"/>
              <w:left w:val="single" w:sz="4" w:space="0" w:color="auto"/>
              <w:bottom w:val="single" w:sz="4" w:space="0" w:color="auto"/>
              <w:right w:val="single" w:sz="4" w:space="0" w:color="auto"/>
            </w:tcBorders>
            <w:hideMark/>
          </w:tcPr>
          <w:p w14:paraId="03720877" w14:textId="77777777" w:rsidR="00AC2760" w:rsidRDefault="00AC2760">
            <w:pPr>
              <w:keepNext/>
              <w:spacing w:after="0" w:line="300" w:lineRule="auto"/>
              <w:jc w:val="center"/>
              <w:rPr>
                <w:rFonts w:ascii="Arial" w:hAnsi="Arial" w:cs="Arial"/>
              </w:rPr>
            </w:pPr>
            <w:r>
              <w:rPr>
                <w:rFonts w:ascii="Arial" w:hAnsi="Arial" w:cs="Arial"/>
                <w:color w:val="000000"/>
              </w:rPr>
              <w:t>42%</w:t>
            </w:r>
          </w:p>
        </w:tc>
        <w:tc>
          <w:tcPr>
            <w:tcW w:w="2050" w:type="dxa"/>
            <w:tcBorders>
              <w:top w:val="single" w:sz="4" w:space="0" w:color="auto"/>
              <w:left w:val="single" w:sz="4" w:space="0" w:color="auto"/>
              <w:bottom w:val="single" w:sz="4" w:space="0" w:color="auto"/>
              <w:right w:val="single" w:sz="4" w:space="0" w:color="auto"/>
            </w:tcBorders>
            <w:hideMark/>
          </w:tcPr>
          <w:p w14:paraId="48BB7919" w14:textId="77777777" w:rsidR="00AC2760" w:rsidRDefault="00AC2760">
            <w:pPr>
              <w:keepNext/>
              <w:spacing w:after="0" w:line="300" w:lineRule="auto"/>
              <w:jc w:val="center"/>
              <w:rPr>
                <w:rFonts w:ascii="Arial" w:hAnsi="Arial" w:cs="Arial"/>
              </w:rPr>
            </w:pPr>
            <w:r>
              <w:rPr>
                <w:rFonts w:ascii="Arial" w:hAnsi="Arial" w:cs="Arial"/>
                <w:color w:val="000000"/>
              </w:rPr>
              <w:t>£14,723</w:t>
            </w:r>
          </w:p>
        </w:tc>
      </w:tr>
      <w:tr w:rsidR="00AC2760" w14:paraId="34D12B39" w14:textId="77777777" w:rsidTr="00AC2760">
        <w:tc>
          <w:tcPr>
            <w:tcW w:w="2049" w:type="dxa"/>
            <w:tcBorders>
              <w:top w:val="single" w:sz="4" w:space="0" w:color="auto"/>
              <w:left w:val="single" w:sz="4" w:space="0" w:color="auto"/>
              <w:bottom w:val="single" w:sz="4" w:space="0" w:color="auto"/>
              <w:right w:val="single" w:sz="4" w:space="0" w:color="auto"/>
            </w:tcBorders>
            <w:hideMark/>
          </w:tcPr>
          <w:p w14:paraId="320EFFBE" w14:textId="77777777" w:rsidR="00AC2760" w:rsidRDefault="00AC2760">
            <w:pPr>
              <w:keepNext/>
              <w:spacing w:after="0" w:line="300" w:lineRule="auto"/>
              <w:rPr>
                <w:rFonts w:ascii="Arial" w:hAnsi="Arial" w:cs="Arial"/>
              </w:rPr>
            </w:pPr>
            <w:r>
              <w:rPr>
                <w:rFonts w:ascii="Arial" w:hAnsi="Arial" w:cs="Arial"/>
              </w:rPr>
              <w:t>2019/20</w:t>
            </w:r>
          </w:p>
        </w:tc>
        <w:tc>
          <w:tcPr>
            <w:tcW w:w="2050" w:type="dxa"/>
            <w:tcBorders>
              <w:top w:val="single" w:sz="4" w:space="0" w:color="auto"/>
              <w:left w:val="single" w:sz="4" w:space="0" w:color="auto"/>
              <w:bottom w:val="single" w:sz="4" w:space="0" w:color="auto"/>
              <w:right w:val="single" w:sz="4" w:space="0" w:color="auto"/>
            </w:tcBorders>
            <w:hideMark/>
          </w:tcPr>
          <w:p w14:paraId="0475EDD9" w14:textId="77777777" w:rsidR="00AC2760" w:rsidRDefault="00AC2760">
            <w:pPr>
              <w:keepNext/>
              <w:spacing w:after="0" w:line="300" w:lineRule="auto"/>
              <w:jc w:val="center"/>
              <w:rPr>
                <w:rFonts w:ascii="Arial" w:hAnsi="Arial" w:cs="Arial"/>
              </w:rPr>
            </w:pPr>
            <w:r>
              <w:rPr>
                <w:rFonts w:ascii="Arial" w:hAnsi="Arial" w:cs="Arial"/>
                <w:color w:val="000000"/>
              </w:rPr>
              <w:t>£25,787</w:t>
            </w:r>
          </w:p>
        </w:tc>
        <w:tc>
          <w:tcPr>
            <w:tcW w:w="2050" w:type="dxa"/>
            <w:tcBorders>
              <w:top w:val="single" w:sz="4" w:space="0" w:color="auto"/>
              <w:left w:val="single" w:sz="4" w:space="0" w:color="auto"/>
              <w:bottom w:val="single" w:sz="4" w:space="0" w:color="auto"/>
              <w:right w:val="single" w:sz="4" w:space="0" w:color="auto"/>
            </w:tcBorders>
            <w:hideMark/>
          </w:tcPr>
          <w:p w14:paraId="3B325ECC" w14:textId="77777777" w:rsidR="00AC2760" w:rsidRDefault="00AC2760">
            <w:pPr>
              <w:keepNext/>
              <w:spacing w:after="0" w:line="300" w:lineRule="auto"/>
              <w:jc w:val="center"/>
              <w:rPr>
                <w:rFonts w:ascii="Arial" w:hAnsi="Arial" w:cs="Arial"/>
              </w:rPr>
            </w:pPr>
            <w:r>
              <w:rPr>
                <w:rFonts w:ascii="Arial" w:hAnsi="Arial" w:cs="Arial"/>
                <w:color w:val="000000"/>
              </w:rPr>
              <w:t>40%</w:t>
            </w:r>
          </w:p>
        </w:tc>
        <w:tc>
          <w:tcPr>
            <w:tcW w:w="2050" w:type="dxa"/>
            <w:tcBorders>
              <w:top w:val="single" w:sz="4" w:space="0" w:color="auto"/>
              <w:left w:val="single" w:sz="4" w:space="0" w:color="auto"/>
              <w:bottom w:val="single" w:sz="4" w:space="0" w:color="auto"/>
              <w:right w:val="single" w:sz="4" w:space="0" w:color="auto"/>
            </w:tcBorders>
            <w:hideMark/>
          </w:tcPr>
          <w:p w14:paraId="166B7E18" w14:textId="77777777" w:rsidR="00AC2760" w:rsidRDefault="00AC2760">
            <w:pPr>
              <w:keepNext/>
              <w:spacing w:after="0" w:line="300" w:lineRule="auto"/>
              <w:jc w:val="center"/>
              <w:rPr>
                <w:rFonts w:ascii="Arial" w:hAnsi="Arial" w:cs="Arial"/>
              </w:rPr>
            </w:pPr>
            <w:r>
              <w:rPr>
                <w:rFonts w:ascii="Arial" w:hAnsi="Arial" w:cs="Arial"/>
                <w:color w:val="000000"/>
              </w:rPr>
              <w:t>£15,472</w:t>
            </w:r>
          </w:p>
        </w:tc>
      </w:tr>
    </w:tbl>
    <w:p w14:paraId="5773EEA4" w14:textId="77777777" w:rsidR="00AC2760" w:rsidRDefault="00AC2760" w:rsidP="00AC2760">
      <w:pPr>
        <w:jc w:val="left"/>
        <w:rPr>
          <w:rFonts w:ascii="Arial" w:hAnsi="Arial" w:cs="Arial"/>
          <w:i/>
          <w:iCs/>
          <w:sz w:val="16"/>
          <w:szCs w:val="16"/>
        </w:rPr>
      </w:pPr>
      <w:r>
        <w:rPr>
          <w:rFonts w:ascii="Arial" w:hAnsi="Arial" w:cs="Arial"/>
          <w:i/>
          <w:iCs/>
          <w:sz w:val="16"/>
          <w:szCs w:val="16"/>
        </w:rPr>
        <w:t>Source: ONS</w:t>
      </w:r>
    </w:p>
    <w:p w14:paraId="08BD3264" w14:textId="21542D83" w:rsidR="007A7A64" w:rsidRDefault="00AC2760" w:rsidP="00AC2760">
      <w:pPr>
        <w:pStyle w:val="BodyText"/>
        <w:numPr>
          <w:ilvl w:val="1"/>
          <w:numId w:val="16"/>
        </w:numPr>
        <w:tabs>
          <w:tab w:val="num" w:pos="0"/>
        </w:tabs>
        <w:ind w:left="0" w:hanging="709"/>
        <w:rPr>
          <w:rFonts w:ascii="Arial" w:hAnsi="Arial" w:cs="Arial"/>
        </w:rPr>
      </w:pPr>
      <w:r>
        <w:rPr>
          <w:rFonts w:ascii="Arial" w:hAnsi="Arial" w:cs="Arial"/>
        </w:rPr>
        <w:t>The analysis looks at incomes only and it would be the case that households would also need a deposit to be able to buy a home. Data from the English Housing Survey (2018-19) showed that 80% of all social tenants had no savings or investments; this source also did not record a single household as having moved from social rented accommodation to owner-occupation (the same finding was also seen in the previous year). All of this points to there being likely to be a very low (or no) need/demand for First Homes from current social housing tenants.</w:t>
      </w:r>
    </w:p>
    <w:p w14:paraId="3562C0CC" w14:textId="77777777" w:rsidR="007A7A64" w:rsidRDefault="007A7A64">
      <w:pPr>
        <w:spacing w:after="0" w:line="240" w:lineRule="auto"/>
        <w:jc w:val="left"/>
        <w:rPr>
          <w:rFonts w:ascii="Arial" w:hAnsi="Arial" w:cs="Arial"/>
        </w:rPr>
      </w:pPr>
      <w:r>
        <w:rPr>
          <w:rFonts w:ascii="Arial" w:hAnsi="Arial" w:cs="Arial"/>
        </w:rPr>
        <w:br w:type="page"/>
      </w:r>
    </w:p>
    <w:p w14:paraId="5F9990C8" w14:textId="742B21C9" w:rsidR="00AC2760" w:rsidRDefault="007A7A64" w:rsidP="007A7A64">
      <w:pPr>
        <w:pStyle w:val="Heading1"/>
      </w:pPr>
      <w:bookmarkStart w:id="7" w:name="_Toc114046955"/>
      <w:r>
        <w:t>summary and conclusion</w:t>
      </w:r>
      <w:bookmarkEnd w:id="7"/>
    </w:p>
    <w:p w14:paraId="3D825FDB" w14:textId="77777777" w:rsidR="0071142F" w:rsidRPr="00A76A61" w:rsidRDefault="007A7A64" w:rsidP="007A7A64">
      <w:pPr>
        <w:pStyle w:val="BodyText"/>
        <w:rPr>
          <w:rFonts w:eastAsiaTheme="majorEastAsia"/>
        </w:rPr>
      </w:pPr>
      <w:bookmarkStart w:id="8" w:name="_Hlk103757736"/>
      <w:r>
        <w:rPr>
          <w:rFonts w:ascii="Arial" w:hAnsi="Arial" w:cs="Arial"/>
        </w:rPr>
        <w:t xml:space="preserve">This report provides analysis of the affordability of First Homes in Greater Nottingham. The Government announced their new discounted market tenure, for England, First Homes, in May 2021. First Homes should account for at least 25% of all affordable housing units delivered by developers and is the Government’s preferred form of affordable home ownership (AHO). </w:t>
      </w:r>
    </w:p>
    <w:p w14:paraId="7EA2F6C6" w14:textId="3925A979" w:rsidR="007A7A64" w:rsidRPr="00A76A61" w:rsidRDefault="00EB7BFA" w:rsidP="007A7A64">
      <w:pPr>
        <w:pStyle w:val="BodyText"/>
        <w:rPr>
          <w:rFonts w:eastAsiaTheme="majorEastAsia"/>
        </w:rPr>
      </w:pPr>
      <w:r>
        <w:rPr>
          <w:rFonts w:ascii="Arial" w:hAnsi="Arial" w:cs="Arial"/>
        </w:rPr>
        <w:t>Separately, t</w:t>
      </w:r>
      <w:r w:rsidR="007A7A64">
        <w:rPr>
          <w:rFonts w:ascii="Arial" w:hAnsi="Arial" w:cs="Arial"/>
        </w:rPr>
        <w:t>he latest National Planning Policy Framework (NPPF) states that AHO should represent at least 10% of new homes on qualifying sites</w:t>
      </w:r>
      <w:r w:rsidR="00FF6258">
        <w:rPr>
          <w:rFonts w:ascii="Arial" w:hAnsi="Arial" w:cs="Arial"/>
        </w:rPr>
        <w:t>,</w:t>
      </w:r>
      <w:r w:rsidR="007A7A64">
        <w:rPr>
          <w:rFonts w:ascii="Arial" w:hAnsi="Arial" w:cs="Arial"/>
        </w:rPr>
        <w:t xml:space="preserve"> although this figure can be challenged where evidence of a lack of need for such housing can be shown</w:t>
      </w:r>
      <w:r w:rsidR="00E53821">
        <w:rPr>
          <w:rFonts w:ascii="Arial" w:hAnsi="Arial" w:cs="Arial"/>
        </w:rPr>
        <w:t xml:space="preserve"> (paragraph 65 of the NPPF</w:t>
      </w:r>
      <w:r w:rsidR="007A7A64">
        <w:rPr>
          <w:rFonts w:ascii="Arial" w:hAnsi="Arial" w:cs="Arial"/>
        </w:rPr>
        <w:t>).</w:t>
      </w:r>
    </w:p>
    <w:p w14:paraId="53FB62A5" w14:textId="684C962A" w:rsidR="00E53821" w:rsidRPr="00A76A61" w:rsidRDefault="00E53821" w:rsidP="007A7A64">
      <w:pPr>
        <w:pStyle w:val="BodyText"/>
        <w:rPr>
          <w:rFonts w:eastAsiaTheme="majorEastAsia"/>
        </w:rPr>
      </w:pPr>
      <w:r>
        <w:rPr>
          <w:rFonts w:ascii="Arial" w:hAnsi="Arial" w:cs="Arial"/>
        </w:rPr>
        <w:t>In Greater Nottingham</w:t>
      </w:r>
      <w:r w:rsidR="00FF6258">
        <w:rPr>
          <w:rFonts w:ascii="Arial" w:hAnsi="Arial" w:cs="Arial"/>
        </w:rPr>
        <w:t xml:space="preserve">, the evidence of the need for affordable housing very clearly points to a situation where provision of AHO could </w:t>
      </w:r>
      <w:r w:rsidR="00FF6258">
        <w:rPr>
          <w:rFonts w:ascii="Arial" w:hAnsi="Arial" w:cs="Arial"/>
          <w:i/>
          <w:iCs/>
        </w:rPr>
        <w:t>‘</w:t>
      </w:r>
      <w:r w:rsidR="00586923">
        <w:rPr>
          <w:rFonts w:ascii="Arial" w:hAnsi="Arial" w:cs="Arial"/>
          <w:i/>
          <w:iCs/>
        </w:rPr>
        <w:t>significantly</w:t>
      </w:r>
      <w:r w:rsidR="00FF6258">
        <w:rPr>
          <w:rFonts w:ascii="Arial" w:hAnsi="Arial" w:cs="Arial"/>
          <w:i/>
          <w:iCs/>
        </w:rPr>
        <w:t xml:space="preserve"> prejudice the ability to meet the identified affordable housing needs of specific groups’ </w:t>
      </w:r>
      <w:r w:rsidR="00FF6258">
        <w:rPr>
          <w:rFonts w:ascii="Arial" w:hAnsi="Arial" w:cs="Arial"/>
        </w:rPr>
        <w:t>– notably the needs of households who require a rented affordable product (social/affordable rents).</w:t>
      </w:r>
    </w:p>
    <w:p w14:paraId="2BA5CA6C" w14:textId="185B06CD" w:rsidR="0071142F" w:rsidRPr="0071142F" w:rsidRDefault="0071142F" w:rsidP="0071142F">
      <w:pPr>
        <w:pStyle w:val="BodyText"/>
        <w:rPr>
          <w:rFonts w:eastAsiaTheme="majorEastAsia"/>
        </w:rPr>
      </w:pPr>
      <w:r>
        <w:rPr>
          <w:rFonts w:eastAsiaTheme="majorEastAsia"/>
        </w:rPr>
        <w:t xml:space="preserve">In other words, </w:t>
      </w:r>
      <w:r w:rsidRPr="0071142F">
        <w:rPr>
          <w:rFonts w:eastAsiaTheme="majorEastAsia"/>
        </w:rPr>
        <w:t xml:space="preserve">Iceni consider that the evidence of need and for different types of affordable housing (specifically rented versus affordable home ownership (AHO)) means that the 10% of all housing as being affordable home ownership is not appropriate across the study area. </w:t>
      </w:r>
    </w:p>
    <w:p w14:paraId="23038350" w14:textId="7EC693D2" w:rsidR="0071142F" w:rsidRPr="0071142F" w:rsidRDefault="0071142F" w:rsidP="0071142F">
      <w:pPr>
        <w:pStyle w:val="BodyText"/>
        <w:rPr>
          <w:rFonts w:eastAsiaTheme="majorEastAsia"/>
        </w:rPr>
      </w:pPr>
      <w:r w:rsidRPr="0071142F">
        <w:rPr>
          <w:rFonts w:eastAsiaTheme="majorEastAsia"/>
        </w:rPr>
        <w:t>Any decision to move away from the 10% AHO</w:t>
      </w:r>
      <w:r>
        <w:rPr>
          <w:rFonts w:eastAsiaTheme="majorEastAsia"/>
        </w:rPr>
        <w:t xml:space="preserve"> requirement</w:t>
      </w:r>
      <w:r w:rsidRPr="0071142F">
        <w:rPr>
          <w:rFonts w:eastAsiaTheme="majorEastAsia"/>
        </w:rPr>
        <w:t xml:space="preserve"> would likely need to be set out in new Local Plans and would potentially be challenged through the examination process. To date, we are only aware of one authority </w:t>
      </w:r>
      <w:r w:rsidR="00EB7BFA">
        <w:rPr>
          <w:rFonts w:eastAsiaTheme="majorEastAsia"/>
        </w:rPr>
        <w:t xml:space="preserve">– </w:t>
      </w:r>
      <w:r w:rsidRPr="0071142F">
        <w:rPr>
          <w:rFonts w:eastAsiaTheme="majorEastAsia"/>
        </w:rPr>
        <w:t>Doncaster</w:t>
      </w:r>
      <w:r w:rsidR="00EB7BFA">
        <w:rPr>
          <w:rFonts w:eastAsiaTheme="majorEastAsia"/>
        </w:rPr>
        <w:t xml:space="preserve"> -</w:t>
      </w:r>
      <w:r w:rsidRPr="0071142F">
        <w:rPr>
          <w:rFonts w:eastAsiaTheme="majorEastAsia"/>
        </w:rPr>
        <w:t xml:space="preserve"> who have sought to bring forward a plan under the new NPPF and not provide 10% AHO – the case put forward by the Council was accepted by the </w:t>
      </w:r>
      <w:r w:rsidR="00EB7BFA">
        <w:rPr>
          <w:rFonts w:eastAsiaTheme="majorEastAsia"/>
        </w:rPr>
        <w:t>I</w:t>
      </w:r>
      <w:r w:rsidRPr="0071142F">
        <w:rPr>
          <w:rFonts w:eastAsiaTheme="majorEastAsia"/>
        </w:rPr>
        <w:t xml:space="preserve">nspector. </w:t>
      </w:r>
      <w:r w:rsidR="00EB7BFA">
        <w:rPr>
          <w:rFonts w:eastAsiaTheme="majorEastAsia"/>
        </w:rPr>
        <w:t xml:space="preserve"> </w:t>
      </w:r>
      <w:r w:rsidRPr="0071142F">
        <w:rPr>
          <w:rFonts w:eastAsiaTheme="majorEastAsia"/>
        </w:rPr>
        <w:t>In addition, it should be noted that we are not aware of any cases where Councils seeking to move away from the 10% have been unsuccessful.</w:t>
      </w:r>
    </w:p>
    <w:p w14:paraId="71CBD29E" w14:textId="6C5EE3A3" w:rsidR="0071142F" w:rsidRPr="0071142F" w:rsidRDefault="0071142F" w:rsidP="0071142F">
      <w:pPr>
        <w:pStyle w:val="BodyText"/>
        <w:rPr>
          <w:rFonts w:eastAsiaTheme="majorEastAsia"/>
        </w:rPr>
      </w:pPr>
      <w:r w:rsidRPr="0071142F">
        <w:rPr>
          <w:rFonts w:eastAsiaTheme="majorEastAsia"/>
        </w:rPr>
        <w:t>Specifically, the Doncaster inspector stated the following (Paragraph 177) and we would consider that the situation regarding need for AHO in this study area is similar to Doncaster (although an alternative tenure split, potentially with a lower proportion of AHO might be appropriate):</w:t>
      </w:r>
    </w:p>
    <w:p w14:paraId="5D29ABF0" w14:textId="11CB7310" w:rsidR="0071142F" w:rsidRDefault="0071142F" w:rsidP="00EB7BFA">
      <w:pPr>
        <w:pStyle w:val="BodyText"/>
        <w:numPr>
          <w:ilvl w:val="0"/>
          <w:numId w:val="0"/>
        </w:numPr>
        <w:ind w:left="720"/>
        <w:rPr>
          <w:rFonts w:eastAsiaTheme="majorEastAsia"/>
        </w:rPr>
      </w:pPr>
      <w:r w:rsidRPr="0071142F">
        <w:rPr>
          <w:rFonts w:eastAsiaTheme="majorEastAsia"/>
        </w:rPr>
        <w:t>‘Paragraph 6.9 refers to 75% of the affordable homes being for rent and 25% for low cost home ownership. This would not deliver 10% of homes on major developments as affordable home ownership products, but it is based on the findings of the Council’s Housing Needs Study which shows that it is necessary to meet the needs of specific groups. The tenure split is therefore justified and consistent with national policy’.</w:t>
      </w:r>
    </w:p>
    <w:p w14:paraId="4509D9EB" w14:textId="1872CD1D" w:rsidR="00EB7BFA" w:rsidRDefault="00EB7BFA" w:rsidP="00EB7BFA">
      <w:pPr>
        <w:pStyle w:val="BodyText"/>
        <w:rPr>
          <w:rFonts w:eastAsiaTheme="majorEastAsia"/>
        </w:rPr>
      </w:pPr>
      <w:r>
        <w:rPr>
          <w:rFonts w:eastAsiaTheme="majorEastAsia"/>
        </w:rPr>
        <w:t xml:space="preserve">The circumstances applicable in Doncaster closely mirror the circumstances in Greater Nottingham.  There is clear evidence to support the Councils focussing on meeting the needs of specific groups, which in this case, is the needs of those in need of social and affordable rented products.  Delivering the full requirement for AHO could jeopardise the ability to meet </w:t>
      </w:r>
      <w:r w:rsidR="00942AC1">
        <w:rPr>
          <w:rFonts w:eastAsiaTheme="majorEastAsia"/>
        </w:rPr>
        <w:t xml:space="preserve">the needs of those </w:t>
      </w:r>
      <w:r>
        <w:rPr>
          <w:rFonts w:eastAsiaTheme="majorEastAsia"/>
        </w:rPr>
        <w:t>most in need in an area where AHO is not expected to play a significant role in the context of affordable housing.</w:t>
      </w:r>
    </w:p>
    <w:p w14:paraId="397CF3C4" w14:textId="124AC322" w:rsidR="0071142F" w:rsidRDefault="0071142F" w:rsidP="00A76A61">
      <w:pPr>
        <w:pStyle w:val="Heading3"/>
        <w:rPr>
          <w:rFonts w:eastAsiaTheme="majorEastAsia"/>
        </w:rPr>
      </w:pPr>
      <w:r>
        <w:rPr>
          <w:rFonts w:eastAsiaTheme="majorEastAsia"/>
        </w:rPr>
        <w:t>First Homes</w:t>
      </w:r>
    </w:p>
    <w:p w14:paraId="4CE201E4" w14:textId="453E9DC5" w:rsidR="007A7A64" w:rsidRDefault="007A7A64" w:rsidP="007A7A64">
      <w:pPr>
        <w:pStyle w:val="BodyText"/>
        <w:rPr>
          <w:rFonts w:eastAsiaTheme="majorEastAsia"/>
        </w:rPr>
      </w:pPr>
      <w:r>
        <w:rPr>
          <w:rFonts w:ascii="Arial" w:hAnsi="Arial" w:cs="Arial"/>
        </w:rPr>
        <w:t>The analysis carried out is mindful of the PPG – in particular, that related to First Homes (May 2021) – this sets out the levels of discount to be applied, along with price and income caps. The First Homes PPG also provides detail on qualifying (i.e. what makes something a First Home) and eligibility criteria.</w:t>
      </w:r>
    </w:p>
    <w:bookmarkEnd w:id="8"/>
    <w:p w14:paraId="156F65DE" w14:textId="14165CCB" w:rsidR="007A7A64" w:rsidRDefault="007A7A64" w:rsidP="007A7A64">
      <w:pPr>
        <w:pStyle w:val="BodyText"/>
        <w:rPr>
          <w:rFonts w:eastAsiaTheme="majorEastAsia"/>
        </w:rPr>
      </w:pPr>
      <w:r>
        <w:rPr>
          <w:rFonts w:ascii="Arial" w:hAnsi="Arial" w:cs="Arial"/>
        </w:rPr>
        <w:t>Analysis has been undertaken to look at the cost of housing to buy and rent in the study area (and different parts of the area). This is important when looking at the affordability of First Homes (or indeed other forms of AHO) as clearly any housing delivered that is more expensive than readily available in the existing market cannot be consider</w:t>
      </w:r>
      <w:r w:rsidR="00FF6258">
        <w:rPr>
          <w:rFonts w:ascii="Arial" w:hAnsi="Arial" w:cs="Arial"/>
        </w:rPr>
        <w:t>ed</w:t>
      </w:r>
      <w:r>
        <w:rPr>
          <w:rFonts w:ascii="Arial" w:hAnsi="Arial" w:cs="Arial"/>
        </w:rPr>
        <w:t xml:space="preserve"> as genuinely affordable (even if provided at a discount to Open Market Value (OMV)).</w:t>
      </w:r>
    </w:p>
    <w:p w14:paraId="6DA3A78C" w14:textId="1C56CCB7" w:rsidR="007A7A64" w:rsidRDefault="007A7A64" w:rsidP="007A7A64">
      <w:pPr>
        <w:pStyle w:val="BodyText"/>
        <w:rPr>
          <w:rFonts w:eastAsiaTheme="majorEastAsia"/>
        </w:rPr>
      </w:pPr>
      <w:r>
        <w:rPr>
          <w:rFonts w:ascii="Arial" w:hAnsi="Arial" w:cs="Arial"/>
        </w:rPr>
        <w:t xml:space="preserve">Drawing on the price and rent analysis, calculations were carried out to consider what price a First </w:t>
      </w:r>
      <w:r w:rsidR="000E2C40">
        <w:rPr>
          <w:rFonts w:ascii="Arial" w:hAnsi="Arial" w:cs="Arial"/>
        </w:rPr>
        <w:t>H</w:t>
      </w:r>
      <w:r>
        <w:rPr>
          <w:rFonts w:ascii="Arial" w:hAnsi="Arial" w:cs="Arial"/>
        </w:rPr>
        <w:t xml:space="preserve">ome should be sold for so it can be called genuinely affordable, essentially this is a price that can be afforded by the majority of people in the rent/buy gap (i.e. who can afford to rent a home privately but cannot afford prices to buy within the existing housing market). Analysis also looked at the case for there to be price and income caps for households to be eligible for First Homes as well as a number of other relevant points. </w:t>
      </w:r>
      <w:r w:rsidR="000E2C40">
        <w:rPr>
          <w:rFonts w:ascii="Arial" w:hAnsi="Arial" w:cs="Arial"/>
        </w:rPr>
        <w:t xml:space="preserve"> </w:t>
      </w:r>
      <w:r>
        <w:rPr>
          <w:rFonts w:ascii="Arial" w:hAnsi="Arial" w:cs="Arial"/>
        </w:rPr>
        <w:t>Below is a summary of key findings and conclusions:</w:t>
      </w:r>
    </w:p>
    <w:p w14:paraId="3A5FA503" w14:textId="0C6E983C" w:rsidR="007A7A64" w:rsidRDefault="007A7A64" w:rsidP="007A7A64">
      <w:pPr>
        <w:pStyle w:val="BodyText"/>
        <w:rPr>
          <w:rFonts w:eastAsiaTheme="majorEastAsia"/>
        </w:rPr>
      </w:pPr>
      <w:r>
        <w:rPr>
          <w:rFonts w:ascii="Arial" w:hAnsi="Arial" w:cs="Arial"/>
          <w:b/>
        </w:rPr>
        <w:t>Level of discount</w:t>
      </w:r>
      <w:r>
        <w:rPr>
          <w:rFonts w:ascii="Arial" w:hAnsi="Arial" w:cs="Arial"/>
        </w:rPr>
        <w:t xml:space="preserve"> – there is </w:t>
      </w:r>
      <w:r w:rsidRPr="00080D2B">
        <w:rPr>
          <w:rFonts w:ascii="Arial" w:hAnsi="Arial"/>
        </w:rPr>
        <w:t>no strong case for the Councils to seek a greater discount than the standard 30%; a 30% discount</w:t>
      </w:r>
      <w:r>
        <w:rPr>
          <w:rFonts w:ascii="Arial" w:hAnsi="Arial" w:cs="Arial"/>
        </w:rPr>
        <w:t xml:space="preserve"> on estimated OMV is likely to make homes affordable for most sizes of accommodation (most notably apart from 4</w:t>
      </w:r>
      <w:r w:rsidR="000E2C40">
        <w:rPr>
          <w:rFonts w:ascii="Arial" w:hAnsi="Arial" w:cs="Arial"/>
        </w:rPr>
        <w:t xml:space="preserve"> or more </w:t>
      </w:r>
      <w:r>
        <w:rPr>
          <w:rFonts w:ascii="Arial" w:hAnsi="Arial" w:cs="Arial"/>
        </w:rPr>
        <w:t xml:space="preserve">bedroom homes, which are unlikely to be delivered in any great quantity as First Homes). </w:t>
      </w:r>
      <w:r w:rsidR="000E2C40">
        <w:rPr>
          <w:rFonts w:ascii="Arial" w:hAnsi="Arial" w:cs="Arial"/>
        </w:rPr>
        <w:t xml:space="preserve"> </w:t>
      </w:r>
      <w:r>
        <w:rPr>
          <w:rFonts w:ascii="Arial" w:hAnsi="Arial" w:cs="Arial"/>
        </w:rPr>
        <w:t xml:space="preserve">Additionally, </w:t>
      </w:r>
      <w:r w:rsidRPr="00080D2B">
        <w:rPr>
          <w:rFonts w:ascii="Arial" w:hAnsi="Arial"/>
        </w:rPr>
        <w:t xml:space="preserve">a higher discount could potentially have </w:t>
      </w:r>
      <w:r w:rsidR="00FF6258">
        <w:rPr>
          <w:rFonts w:ascii="Arial" w:hAnsi="Arial"/>
        </w:rPr>
        <w:t>an</w:t>
      </w:r>
      <w:r w:rsidR="00FF6258" w:rsidRPr="00080D2B">
        <w:rPr>
          <w:rFonts w:ascii="Arial" w:hAnsi="Arial"/>
        </w:rPr>
        <w:t xml:space="preserve"> </w:t>
      </w:r>
      <w:r w:rsidRPr="00080D2B">
        <w:rPr>
          <w:rFonts w:ascii="Arial" w:hAnsi="Arial"/>
        </w:rPr>
        <w:t>impact on the viability of providing other forms of affordable housing such as social/affordable rented housing which is likely to be needed by those with more acute needs and fewer choices in the housing market.</w:t>
      </w:r>
      <w:r w:rsidR="000E2C40">
        <w:rPr>
          <w:rFonts w:ascii="Arial" w:hAnsi="Arial" w:cs="Arial"/>
        </w:rPr>
        <w:t xml:space="preserve">  This is consistent with the conclusions of the 2020 HNA.</w:t>
      </w:r>
    </w:p>
    <w:p w14:paraId="024A4760" w14:textId="03C22C80" w:rsidR="007A7A64" w:rsidRDefault="007A7A64" w:rsidP="007A7A64">
      <w:pPr>
        <w:pStyle w:val="BodyText"/>
        <w:rPr>
          <w:rFonts w:eastAsiaTheme="majorEastAsia"/>
        </w:rPr>
      </w:pPr>
      <w:r>
        <w:rPr>
          <w:rFonts w:ascii="Arial" w:hAnsi="Arial" w:cs="Arial"/>
          <w:b/>
        </w:rPr>
        <w:t>Price cap</w:t>
      </w:r>
      <w:r>
        <w:rPr>
          <w:rFonts w:ascii="Arial" w:hAnsi="Arial" w:cs="Arial"/>
        </w:rPr>
        <w:t xml:space="preserve"> – given the cost of housing in the area and calculations about the cost of First Homes to be affordable it is considered that there is a </w:t>
      </w:r>
      <w:r w:rsidRPr="00080D2B">
        <w:rPr>
          <w:rFonts w:ascii="Arial" w:hAnsi="Arial"/>
        </w:rPr>
        <w:t>strong case for setting a price cap</w:t>
      </w:r>
      <w:r w:rsidR="002A4331">
        <w:rPr>
          <w:rFonts w:ascii="Arial" w:hAnsi="Arial" w:cs="Arial"/>
        </w:rPr>
        <w:t xml:space="preserve"> on the initial sale</w:t>
      </w:r>
      <w:r>
        <w:rPr>
          <w:rFonts w:ascii="Arial" w:hAnsi="Arial" w:cs="Arial"/>
        </w:rPr>
        <w:t>. Taken in the round, recognising differing prices in different locations and the likely profile of First Homes by size</w:t>
      </w:r>
      <w:r w:rsidR="00A545C2">
        <w:rPr>
          <w:rFonts w:ascii="Arial" w:hAnsi="Arial" w:cs="Arial"/>
        </w:rPr>
        <w:t>,</w:t>
      </w:r>
      <w:r>
        <w:rPr>
          <w:rFonts w:ascii="Arial" w:hAnsi="Arial" w:cs="Arial"/>
        </w:rPr>
        <w:t xml:space="preserve"> the Councils could consider a price cap which this report suggests linking to the cost required to make 3-bedroom homes affordable.</w:t>
      </w:r>
      <w:r w:rsidR="00A545C2">
        <w:rPr>
          <w:rFonts w:ascii="Arial" w:hAnsi="Arial" w:cs="Arial"/>
        </w:rPr>
        <w:t xml:space="preserve">  The </w:t>
      </w:r>
      <w:r w:rsidR="00DF4459">
        <w:rPr>
          <w:rFonts w:ascii="Arial" w:hAnsi="Arial" w:cs="Arial"/>
        </w:rPr>
        <w:t xml:space="preserve">possible </w:t>
      </w:r>
      <w:r w:rsidR="00A545C2">
        <w:rPr>
          <w:rFonts w:ascii="Arial" w:hAnsi="Arial" w:cs="Arial"/>
        </w:rPr>
        <w:t xml:space="preserve">caps </w:t>
      </w:r>
      <w:r w:rsidR="00DF4459">
        <w:rPr>
          <w:rFonts w:ascii="Arial" w:hAnsi="Arial" w:cs="Arial"/>
        </w:rPr>
        <w:t xml:space="preserve">for each authority to consider </w:t>
      </w:r>
      <w:r w:rsidR="00A545C2">
        <w:rPr>
          <w:rFonts w:ascii="Arial" w:hAnsi="Arial" w:cs="Arial"/>
        </w:rPr>
        <w:t>are set out in Table 4.7 of this report.</w:t>
      </w:r>
    </w:p>
    <w:p w14:paraId="76A0D4D6" w14:textId="6E576169" w:rsidR="007A7A64" w:rsidRDefault="007A7A64" w:rsidP="007A7A64">
      <w:pPr>
        <w:pStyle w:val="BodyText"/>
        <w:rPr>
          <w:rFonts w:eastAsiaTheme="majorEastAsia"/>
        </w:rPr>
      </w:pPr>
      <w:r>
        <w:rPr>
          <w:rFonts w:ascii="Arial" w:hAnsi="Arial" w:cs="Arial"/>
          <w:b/>
        </w:rPr>
        <w:t>Income threshold</w:t>
      </w:r>
      <w:r>
        <w:rPr>
          <w:rFonts w:ascii="Arial" w:hAnsi="Arial" w:cs="Arial"/>
        </w:rPr>
        <w:t xml:space="preserve"> – linked to the suggestion of a price cap it follows that an income cap could also be applied. </w:t>
      </w:r>
      <w:r w:rsidR="00A545C2">
        <w:rPr>
          <w:rFonts w:ascii="Arial" w:hAnsi="Arial" w:cs="Arial"/>
        </w:rPr>
        <w:t xml:space="preserve"> </w:t>
      </w:r>
      <w:r w:rsidRPr="00080D2B">
        <w:rPr>
          <w:rFonts w:ascii="Arial" w:hAnsi="Arial"/>
        </w:rPr>
        <w:t xml:space="preserve">In this case it is suggested that the Councils consider an income cap </w:t>
      </w:r>
      <w:r w:rsidR="00FF6258">
        <w:rPr>
          <w:rFonts w:ascii="Arial" w:hAnsi="Arial"/>
        </w:rPr>
        <w:t>below £80,000</w:t>
      </w:r>
      <w:r w:rsidRPr="00080D2B">
        <w:rPr>
          <w:rFonts w:ascii="Arial" w:hAnsi="Arial"/>
        </w:rPr>
        <w:t xml:space="preserve"> (depending on area and again linked to affordable costs for 3-bedroom homes)</w:t>
      </w:r>
      <w:r w:rsidR="0015437E">
        <w:rPr>
          <w:rFonts w:ascii="Arial" w:hAnsi="Arial"/>
        </w:rPr>
        <w:t xml:space="preserve"> – potential income caps are set out in Table 4.8 of this report</w:t>
      </w:r>
      <w:r w:rsidR="00072ABA">
        <w:rPr>
          <w:rFonts w:ascii="Arial" w:hAnsi="Arial"/>
        </w:rPr>
        <w:t xml:space="preserve"> and the local authorities can use these figures should they decide to move below the income cap</w:t>
      </w:r>
      <w:r w:rsidRPr="00080D2B">
        <w:rPr>
          <w:rFonts w:ascii="Arial" w:hAnsi="Arial"/>
        </w:rPr>
        <w:t>.</w:t>
      </w:r>
      <w:r>
        <w:rPr>
          <w:rFonts w:ascii="Arial" w:hAnsi="Arial" w:cs="Arial"/>
        </w:rPr>
        <w:t xml:space="preserve"> On the basis of local pricing, the analysis suggests that households with an income in excess of </w:t>
      </w:r>
      <w:r w:rsidR="0015437E">
        <w:rPr>
          <w:rFonts w:ascii="Arial" w:hAnsi="Arial" w:cs="Arial"/>
        </w:rPr>
        <w:t>the figures in Table 4.8</w:t>
      </w:r>
      <w:r>
        <w:rPr>
          <w:rFonts w:ascii="Arial" w:hAnsi="Arial" w:cs="Arial"/>
        </w:rPr>
        <w:t xml:space="preserve"> are likely to be able to buy a home </w:t>
      </w:r>
      <w:r w:rsidR="0015437E">
        <w:rPr>
          <w:rFonts w:ascii="Arial" w:hAnsi="Arial" w:cs="Arial"/>
        </w:rPr>
        <w:t xml:space="preserve">and </w:t>
      </w:r>
      <w:r>
        <w:rPr>
          <w:rFonts w:ascii="Arial" w:hAnsi="Arial" w:cs="Arial"/>
        </w:rPr>
        <w:t>so applying a cap can help to ensure that housing is provided for those with is a greater need (more marginal affordability).</w:t>
      </w:r>
      <w:r w:rsidR="0015437E">
        <w:rPr>
          <w:rFonts w:ascii="Arial" w:hAnsi="Arial" w:cs="Arial"/>
        </w:rPr>
        <w:t xml:space="preserve"> It will however be for each local authority to decide if they want a cap, and if so at what level.</w:t>
      </w:r>
    </w:p>
    <w:p w14:paraId="131200F8" w14:textId="25CEB0F2" w:rsidR="007A7A64" w:rsidRDefault="007A7A64" w:rsidP="007A7A64">
      <w:pPr>
        <w:pStyle w:val="BodyText"/>
        <w:rPr>
          <w:rFonts w:eastAsiaTheme="majorEastAsia"/>
        </w:rPr>
      </w:pPr>
      <w:r>
        <w:rPr>
          <w:rFonts w:ascii="Arial" w:hAnsi="Arial" w:cs="Arial"/>
          <w:b/>
        </w:rPr>
        <w:t>Size of First Homes</w:t>
      </w:r>
      <w:r>
        <w:rPr>
          <w:rFonts w:ascii="Arial" w:hAnsi="Arial" w:cs="Arial"/>
        </w:rPr>
        <w:t xml:space="preserve"> – based on previous research in the </w:t>
      </w:r>
      <w:r w:rsidR="00A545C2">
        <w:rPr>
          <w:rFonts w:ascii="Arial" w:hAnsi="Arial" w:cs="Arial"/>
        </w:rPr>
        <w:t>2020 HNA</w:t>
      </w:r>
      <w:r>
        <w:rPr>
          <w:rFonts w:ascii="Arial" w:hAnsi="Arial" w:cs="Arial"/>
        </w:rPr>
        <w:t xml:space="preserve">, it seems likely </w:t>
      </w:r>
      <w:r w:rsidRPr="00080D2B">
        <w:rPr>
          <w:rFonts w:ascii="Arial" w:hAnsi="Arial"/>
        </w:rPr>
        <w:t>that the focus of First Homes will be on 2- and (to a slightly lesser extent) 3-bedroom properties,</w:t>
      </w:r>
      <w:r>
        <w:rPr>
          <w:rFonts w:ascii="Arial" w:hAnsi="Arial" w:cs="Arial"/>
        </w:rPr>
        <w:t xml:space="preserve"> along with a smaller proportion with 1-bedroom. The need for larger (</w:t>
      </w:r>
      <w:r w:rsidR="00A545C2">
        <w:rPr>
          <w:rFonts w:ascii="Arial" w:hAnsi="Arial" w:cs="Arial"/>
        </w:rPr>
        <w:t xml:space="preserve">4 or more </w:t>
      </w:r>
      <w:r>
        <w:rPr>
          <w:rFonts w:ascii="Arial" w:hAnsi="Arial" w:cs="Arial"/>
        </w:rPr>
        <w:t>bedroom) homes is not expected to be significant.</w:t>
      </w:r>
    </w:p>
    <w:p w14:paraId="34BBF1CD" w14:textId="731788C6" w:rsidR="007A7A64" w:rsidRDefault="007A7A64" w:rsidP="007A7A64">
      <w:pPr>
        <w:pStyle w:val="BodyText"/>
        <w:rPr>
          <w:rFonts w:eastAsiaTheme="majorEastAsia"/>
        </w:rPr>
      </w:pPr>
      <w:r>
        <w:rPr>
          <w:rFonts w:ascii="Arial" w:hAnsi="Arial" w:cs="Arial"/>
          <w:b/>
        </w:rPr>
        <w:t>Local eligibility criteria</w:t>
      </w:r>
      <w:r>
        <w:rPr>
          <w:rFonts w:ascii="Arial" w:hAnsi="Arial" w:cs="Arial"/>
        </w:rPr>
        <w:t xml:space="preserve"> – the Councils are able to prioritise First Homes for certain groups and also apply eligibility criteria. </w:t>
      </w:r>
      <w:r w:rsidR="0015437E">
        <w:rPr>
          <w:rFonts w:ascii="Arial" w:hAnsi="Arial" w:cs="Arial"/>
        </w:rPr>
        <w:t>The Councils could</w:t>
      </w:r>
      <w:r w:rsidRPr="001363F5">
        <w:rPr>
          <w:rFonts w:ascii="Arial" w:hAnsi="Arial"/>
        </w:rPr>
        <w:t xml:space="preserve"> consider including any local connection criteria that may exist within current allocations policies</w:t>
      </w:r>
      <w:r>
        <w:rPr>
          <w:rFonts w:ascii="Arial" w:hAnsi="Arial" w:cs="Arial"/>
        </w:rPr>
        <w:t xml:space="preserve"> (and could include priority for people living or working in the area, or with strong family ties). The Councils could also think about giving key workers/essential local workers some degree of priority, although analysis does not suggest that such groups are necessarily disadvantaged in the housing market at the current time.</w:t>
      </w:r>
    </w:p>
    <w:p w14:paraId="293818CB" w14:textId="0566FCD3" w:rsidR="007A7A64" w:rsidRDefault="007A7A64" w:rsidP="007A7A64">
      <w:pPr>
        <w:pStyle w:val="BodyText"/>
        <w:rPr>
          <w:rFonts w:eastAsiaTheme="majorEastAsia"/>
        </w:rPr>
      </w:pPr>
      <w:r>
        <w:rPr>
          <w:rFonts w:ascii="Arial" w:hAnsi="Arial" w:cs="Arial"/>
        </w:rPr>
        <w:t xml:space="preserve">It seems unlikely that there would be much demand from existing social housing tenants for First Homes. </w:t>
      </w:r>
      <w:r w:rsidR="00A545C2">
        <w:rPr>
          <w:rFonts w:ascii="Arial" w:hAnsi="Arial" w:cs="Arial"/>
        </w:rPr>
        <w:t xml:space="preserve"> </w:t>
      </w:r>
      <w:r>
        <w:rPr>
          <w:rFonts w:ascii="Arial" w:hAnsi="Arial" w:cs="Arial"/>
        </w:rPr>
        <w:t>Income levels (and access to savings) are likely to be low and in any case, using the Right-to-Buy is likely to be more financially beneficial for these households.</w:t>
      </w:r>
    </w:p>
    <w:p w14:paraId="35BC0DFD" w14:textId="0828E80A" w:rsidR="007A7A64" w:rsidRPr="007A7A64" w:rsidRDefault="007A7A64" w:rsidP="007A7A64">
      <w:pPr>
        <w:pStyle w:val="BodyText"/>
        <w:rPr>
          <w:rFonts w:eastAsiaTheme="majorEastAsia"/>
        </w:rPr>
      </w:pPr>
      <w:r>
        <w:rPr>
          <w:rFonts w:ascii="Arial" w:hAnsi="Arial" w:cs="Arial"/>
        </w:rPr>
        <w:t>Any need for First Homes should not be seen as an additional need over and above the housing requirement in adopted and emerging Local Plans, but the Councils will need to consider how such housing will fit into their overall strategy including for affordable housing generally</w:t>
      </w:r>
      <w:r w:rsidRPr="00080D2B">
        <w:rPr>
          <w:rFonts w:ascii="Arial" w:hAnsi="Arial"/>
        </w:rPr>
        <w:t xml:space="preserve">. </w:t>
      </w:r>
      <w:r w:rsidR="000E2C40" w:rsidRPr="00080D2B">
        <w:rPr>
          <w:rFonts w:ascii="Arial" w:hAnsi="Arial"/>
        </w:rPr>
        <w:t xml:space="preserve"> </w:t>
      </w:r>
      <w:r w:rsidRPr="00080D2B">
        <w:rPr>
          <w:rFonts w:ascii="Arial" w:hAnsi="Arial"/>
        </w:rPr>
        <w:t xml:space="preserve">If possible, it is recommended that the Councils minimise </w:t>
      </w:r>
      <w:r w:rsidR="00A545C2" w:rsidRPr="00080D2B">
        <w:rPr>
          <w:rFonts w:ascii="Arial" w:hAnsi="Arial"/>
        </w:rPr>
        <w:t xml:space="preserve">the </w:t>
      </w:r>
      <w:r w:rsidRPr="00080D2B">
        <w:rPr>
          <w:rFonts w:ascii="Arial" w:hAnsi="Arial"/>
        </w:rPr>
        <w:t>delivery of AHO generally</w:t>
      </w:r>
      <w:r w:rsidR="00FE2A24">
        <w:rPr>
          <w:rFonts w:ascii="Arial" w:hAnsi="Arial"/>
        </w:rPr>
        <w:t>, including First Homes</w:t>
      </w:r>
      <w:r w:rsidR="00A545C2" w:rsidRPr="00080D2B">
        <w:rPr>
          <w:rFonts w:ascii="Arial" w:hAnsi="Arial"/>
        </w:rPr>
        <w:t>.</w:t>
      </w:r>
      <w:r w:rsidR="00A545C2">
        <w:rPr>
          <w:rFonts w:ascii="Arial" w:hAnsi="Arial" w:cs="Arial"/>
        </w:rPr>
        <w:t xml:space="preserve">  This is to ensure</w:t>
      </w:r>
      <w:r>
        <w:rPr>
          <w:rFonts w:ascii="Arial" w:hAnsi="Arial" w:cs="Arial"/>
        </w:rPr>
        <w:t xml:space="preserve"> </w:t>
      </w:r>
      <w:r w:rsidR="00A545C2">
        <w:rPr>
          <w:rFonts w:ascii="Arial" w:hAnsi="Arial" w:cs="Arial"/>
        </w:rPr>
        <w:t>the</w:t>
      </w:r>
      <w:r>
        <w:rPr>
          <w:rFonts w:ascii="Arial" w:hAnsi="Arial" w:cs="Arial"/>
        </w:rPr>
        <w:t xml:space="preserve"> focus</w:t>
      </w:r>
      <w:r w:rsidR="00A545C2">
        <w:rPr>
          <w:rFonts w:ascii="Arial" w:hAnsi="Arial" w:cs="Arial"/>
        </w:rPr>
        <w:t xml:space="preserve"> is</w:t>
      </w:r>
      <w:r>
        <w:rPr>
          <w:rFonts w:ascii="Arial" w:hAnsi="Arial" w:cs="Arial"/>
        </w:rPr>
        <w:t xml:space="preserve"> on providing rented affordable products – such housing will be available to households with more acute needs and fewer choices in the housing market.</w:t>
      </w:r>
    </w:p>
    <w:sectPr w:rsidR="007A7A64" w:rsidRPr="007A7A64" w:rsidSect="008C7AF2">
      <w:headerReference w:type="default" r:id="rId16"/>
      <w:headerReference w:type="first" r:id="rId17"/>
      <w:footerReference w:type="first" r:id="rId18"/>
      <w:pgSz w:w="11906" w:h="16838" w:code="9"/>
      <w:pgMar w:top="1701" w:right="1134" w:bottom="1134" w:left="1985" w:header="567" w:footer="397"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113C51" w14:textId="77777777" w:rsidR="002579F3" w:rsidRDefault="002579F3" w:rsidP="00F35753">
      <w:r>
        <w:separator/>
      </w:r>
    </w:p>
  </w:endnote>
  <w:endnote w:type="continuationSeparator" w:id="0">
    <w:p w14:paraId="70A0A3F0" w14:textId="77777777" w:rsidR="002579F3" w:rsidRDefault="002579F3" w:rsidP="00F35753">
      <w:r>
        <w:continuationSeparator/>
      </w:r>
    </w:p>
  </w:endnote>
  <w:endnote w:type="continuationNotice" w:id="1">
    <w:p w14:paraId="6177218F" w14:textId="77777777" w:rsidR="002579F3" w:rsidRDefault="00257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DC41B" w14:textId="4AE7AF79" w:rsidR="00045D43" w:rsidRDefault="00045D43">
    <w:pPr>
      <w:pStyle w:val="Footer"/>
    </w:pPr>
    <w:r>
      <w:t>Iceni Projects</w:t>
    </w:r>
    <w:r>
      <w:tab/>
    </w:r>
    <w:sdt>
      <w:sdtPr>
        <w:id w:val="-63742239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275EC">
          <w:rPr>
            <w:noProof/>
          </w:rPr>
          <w:t>24</w:t>
        </w:r>
        <w:r>
          <w:rPr>
            <w:noProof/>
          </w:rPr>
          <w:fldChar w:fldCharType="end"/>
        </w:r>
      </w:sdtContent>
    </w:sdt>
  </w:p>
  <w:p w14:paraId="2DF82DF1" w14:textId="1ADD18E0" w:rsidR="00BA6B96" w:rsidRPr="00D30CCF" w:rsidRDefault="00BA6B96" w:rsidP="00ED11FB">
    <w:pPr>
      <w:pStyle w:val="Footer"/>
      <w:pBdr>
        <w:top w:val="single" w:sz="4" w:space="6" w:color="808080" w:themeColor="background1" w:themeShade="80"/>
      </w:pBd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413B" w14:textId="4437E7EF" w:rsidR="00BA6B96" w:rsidRPr="00CB57AC" w:rsidRDefault="00BA6B96" w:rsidP="000040E0">
    <w:pPr>
      <w:tabs>
        <w:tab w:val="left" w:pos="945"/>
      </w:tabs>
    </w:pPr>
    <w:r>
      <w:rPr>
        <w:noProof/>
      </w:rPr>
      <mc:AlternateContent>
        <mc:Choice Requires="wps">
          <w:drawing>
            <wp:inline distT="0" distB="0" distL="0" distR="0" wp14:anchorId="5D506C9B" wp14:editId="31C1F6B1">
              <wp:extent cx="4569460" cy="1617345"/>
              <wp:effectExtent l="0" t="0" r="2540" b="1905"/>
              <wp:docPr id="3" name="Text Box 3"/>
              <wp:cNvGraphicFramePr/>
              <a:graphic xmlns:a="http://schemas.openxmlformats.org/drawingml/2006/main">
                <a:graphicData uri="http://schemas.microsoft.com/office/word/2010/wordprocessingShape">
                  <wps:wsp>
                    <wps:cNvSpPr txBox="1"/>
                    <wps:spPr>
                      <a:xfrm>
                        <a:off x="0" y="0"/>
                        <a:ext cx="4569460" cy="16173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8C9ADF" w14:textId="6D00AC96" w:rsidR="00BA6B96" w:rsidRDefault="00BA6B96" w:rsidP="00F35753">
                          <w:pPr>
                            <w:pStyle w:val="Contactdetails"/>
                          </w:pPr>
                          <w:r w:rsidRPr="006F2F0B">
                            <w:rPr>
                              <w:rStyle w:val="Bold"/>
                            </w:rPr>
                            <w:t>Iceni</w:t>
                          </w:r>
                          <w:r w:rsidRPr="00C07BC6">
                            <w:t xml:space="preserve"> </w:t>
                          </w:r>
                          <w:r>
                            <w:rPr>
                              <w:rStyle w:val="Bold"/>
                            </w:rPr>
                            <w:t>Projects</w:t>
                          </w:r>
                          <w:r>
                            <w:t xml:space="preserve"> </w:t>
                          </w:r>
                        </w:p>
                        <w:p w14:paraId="4DE9D6B3" w14:textId="7D3E5410" w:rsidR="00BA6B96" w:rsidRDefault="00BA6B96" w:rsidP="00F35753">
                          <w:pPr>
                            <w:pStyle w:val="Contactdetails"/>
                          </w:pPr>
                          <w:r>
                            <w:t xml:space="preserve">Birmingham: </w:t>
                          </w:r>
                          <w:r w:rsidRPr="00173BB1">
                            <w:t>The Colmore Building, 20 Colmore Circus Queensway, Birmingham B4 6AT</w:t>
                          </w:r>
                        </w:p>
                        <w:p w14:paraId="641E1595" w14:textId="231E55E1" w:rsidR="00BA6B96" w:rsidRDefault="00BA6B96" w:rsidP="00F35753">
                          <w:pPr>
                            <w:pStyle w:val="Contactdetails"/>
                          </w:pPr>
                          <w:r>
                            <w:t>London: Da Vinci House, 44 Saffron Hill, London, EC1N 8FH</w:t>
                          </w:r>
                        </w:p>
                        <w:p w14:paraId="5DD16A1C" w14:textId="782C27AD" w:rsidR="00BA6B96" w:rsidRDefault="00BA6B96" w:rsidP="00F35753">
                          <w:pPr>
                            <w:pStyle w:val="Contactdetails"/>
                          </w:pPr>
                          <w:r>
                            <w:t>Edinburgh: 11 Alva Street, Edinburgh, EH2 4PH</w:t>
                          </w:r>
                        </w:p>
                        <w:p w14:paraId="13EB60BA" w14:textId="6A14B878" w:rsidR="00BA6B96" w:rsidRDefault="00BA6B96" w:rsidP="00F35753">
                          <w:pPr>
                            <w:pStyle w:val="Contactdetails"/>
                          </w:pPr>
                          <w:r>
                            <w:t>Glasgow: 177 West George Street, Glasgow, G2 2LB</w:t>
                          </w:r>
                        </w:p>
                        <w:p w14:paraId="07946D50" w14:textId="4826CE2B" w:rsidR="00BA6B96" w:rsidRDefault="00BA6B96" w:rsidP="00F35753">
                          <w:pPr>
                            <w:pStyle w:val="Contactdetails"/>
                          </w:pPr>
                          <w:r>
                            <w:t>Manchester: This is the Space, 68 Quay Street, Manchester, M3 3EJ</w:t>
                          </w:r>
                        </w:p>
                        <w:p w14:paraId="47EA6E40" w14:textId="77777777" w:rsidR="00BA6B96" w:rsidRDefault="00BA6B96" w:rsidP="00F35753">
                          <w:pPr>
                            <w:pStyle w:val="Contactdetails"/>
                          </w:pPr>
                        </w:p>
                        <w:p w14:paraId="42837698" w14:textId="77777777" w:rsidR="00BA6B96" w:rsidRDefault="00BA6B96" w:rsidP="00F35753">
                          <w:pPr>
                            <w:pStyle w:val="Contactdetails"/>
                          </w:pPr>
                        </w:p>
                        <w:p w14:paraId="712ED449" w14:textId="77777777" w:rsidR="00BA6B96" w:rsidRDefault="00BA6B96" w:rsidP="00F35753">
                          <w:pPr>
                            <w:pStyle w:val="Contactdetails"/>
                            <w:rPr>
                              <w:lang w:val="fr-FR"/>
                            </w:rPr>
                          </w:pPr>
                          <w:r>
                            <w:rPr>
                              <w:rStyle w:val="Bold"/>
                            </w:rPr>
                            <w:t xml:space="preserve">t: </w:t>
                          </w:r>
                          <w:r w:rsidRPr="00690AD6">
                            <w:rPr>
                              <w:lang w:val="fr-FR"/>
                            </w:rPr>
                            <w:t xml:space="preserve">020 3640 8508 </w:t>
                          </w:r>
                          <w:r>
                            <w:rPr>
                              <w:rStyle w:val="Bold"/>
                            </w:rPr>
                            <w:t>| w:</w:t>
                          </w:r>
                          <w:r w:rsidRPr="00690AD6">
                            <w:rPr>
                              <w:lang w:val="fr-FR"/>
                            </w:rPr>
                            <w:t xml:space="preserve"> iceniprojects.com</w:t>
                          </w:r>
                          <w:r>
                            <w:rPr>
                              <w:lang w:val="fr-FR"/>
                            </w:rPr>
                            <w:t xml:space="preserve"> | </w:t>
                          </w:r>
                          <w:r w:rsidRPr="00093E39">
                            <w:rPr>
                              <w:b/>
                              <w:lang w:val="fr-FR"/>
                            </w:rPr>
                            <w:t>e:</w:t>
                          </w:r>
                          <w:r>
                            <w:rPr>
                              <w:lang w:val="fr-FR"/>
                            </w:rPr>
                            <w:t xml:space="preserve"> </w:t>
                          </w:r>
                          <w:r w:rsidRPr="00093E39">
                            <w:rPr>
                              <w:lang w:val="fr-FR"/>
                            </w:rPr>
                            <w:t>mail@iceniprojects.com</w:t>
                          </w:r>
                          <w:r>
                            <w:rPr>
                              <w:lang w:val="fr-FR"/>
                            </w:rPr>
                            <w:t xml:space="preserve"> </w:t>
                          </w:r>
                        </w:p>
                        <w:p w14:paraId="2C92E896" w14:textId="48698A4C" w:rsidR="00BA6B96" w:rsidRDefault="00BA6B96" w:rsidP="00F35753">
                          <w:pPr>
                            <w:pStyle w:val="Contactdetails"/>
                          </w:pPr>
                          <w:r>
                            <w:rPr>
                              <w:b/>
                              <w:lang w:val="fr-FR"/>
                            </w:rPr>
                            <w:t>linkedin</w:t>
                          </w:r>
                          <w:r w:rsidRPr="00093E39">
                            <w:rPr>
                              <w:b/>
                              <w:lang w:val="fr-FR"/>
                            </w:rPr>
                            <w:t>:</w:t>
                          </w:r>
                          <w:r>
                            <w:rPr>
                              <w:lang w:val="fr-FR"/>
                            </w:rPr>
                            <w:t xml:space="preserve"> </w:t>
                          </w:r>
                          <w:r w:rsidRPr="00093E39">
                            <w:rPr>
                              <w:lang w:val="fr-FR"/>
                            </w:rPr>
                            <w:t>linkedin.com/company/iceni-projects</w:t>
                          </w:r>
                          <w:r>
                            <w:rPr>
                              <w:lang w:val="fr-FR"/>
                            </w:rPr>
                            <w:t xml:space="preserve"> |</w:t>
                          </w:r>
                          <w:r w:rsidRPr="00093E39">
                            <w:rPr>
                              <w:b/>
                              <w:lang w:val="fr-FR"/>
                            </w:rPr>
                            <w:t xml:space="preserve"> tw</w:t>
                          </w:r>
                          <w:r>
                            <w:rPr>
                              <w:b/>
                              <w:lang w:val="fr-FR"/>
                            </w:rPr>
                            <w:t>itter</w:t>
                          </w:r>
                          <w:r>
                            <w:rPr>
                              <w:lang w:val="fr-FR"/>
                            </w:rPr>
                            <w:t>: @iceniprojects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D506C9B" id="_x0000_t202" coordsize="21600,21600" o:spt="202" path="m,l,21600r21600,l21600,xe">
              <v:stroke joinstyle="miter"/>
              <v:path gradientshapeok="t" o:connecttype="rect"/>
            </v:shapetype>
            <v:shape id="Text Box 3" o:spid="_x0000_s1036" type="#_x0000_t202" style="width:359.8pt;height:1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lTNYwIAADUFAAAOAAAAZHJzL2Uyb0RvYy54bWysVN1v0zAQf0fif7D8ztLuo0C1dCqbhpCm&#10;bWJDPLuOvUY4PnO+Nil/PWcnaafByxAvzsX3u999+/yia5zYGow1+FJOjyZSGK+hqv1TKb89Xr/7&#10;IEUk5SvlwJtS7kyUF4u3b87bMDfHsAZXGRRM4uO8DaVcE4V5UUS9No2KRxCMZ6UFbBTxLz4VFaqW&#10;2RtXHE8ms6IFrAKCNjHy7VWvlIvMb63RdGdtNCRcKTk2yifmc5XOYnGu5k+owrrWQxjqH6JoVO3Z&#10;6Z7qSpESG6z/oGpqjRDB0pGGpgBra21yDpzNdPIim4e1CibnwsWJYV+m+P9o9e32IdyjoO4TdNzA&#10;VJA2xHnky5RPZ7FJX45UsJ5LuNuXzXQkNF+ens0+ns5YpVk3nU3fn5yeJZ7iYB4w0mcDjUhCKZH7&#10;ksultjeReugISd48XNfO5d44L9pSzk7OJtlgr2Fy5xPW5C4PNIfQs0Q7ZxLG+a/GirrKGaSLPF/m&#10;0qHYKp4MpbXxlJPPvIxOKMtBvMZwwB+ieo1xn8foGTztjZvaA+bsX4Rd/RhDtj2ea/4s7yRSt+o4&#10;8VKejJ1dQbXjhiP0uxCDvq65KTcq0r1CHn5uJC803fFhHXDxYZCkWAP++tt9wvNMslaKlpeplPHn&#10;RqGRwn3xPK1p80YBR2E1Cn7TXAJ3YcpPRdBZZAMkN4oWofnOe75MXlilvGZfpaRRvKR+pfmd0Ga5&#10;zCDer6Doxj8EnahTU9KIPXbfFYZhDolH+BbGNVPzF+PYY5Olh+WGwNZ5VlNd+yoO9ebdzNM+vCNp&#10;+Z//Z9ThtVv8BgAA//8DAFBLAwQUAAYACAAAACEAItyrj9wAAAAFAQAADwAAAGRycy9kb3ducmV2&#10;LnhtbEyPS0/DMBCE70j8B2uRuFEnFbQQ4lSIx41nAQluTrwkEfY6sjdp+PcYLnBZaTSjmW/Lzeys&#10;mDDE3pOCfJGBQGq86alV8PJ8c3QKIrImo60nVPCFETbV/l6pC+N39ITTlluRSigWWkHHPBRSxqZD&#10;p+PCD0jJ+/DBaU4ytNIEvUvlzspllq2k0z2lhU4PeNlh87kdnQL7FsNtnfH7dNXe8eODHF+v83ul&#10;Dg/mi3MQjDP/heEHP6FDlZhqP5KJwipIj/DvTd46P1uBqBUsT47XIKtS/qevvgEAAP//AwBQSwEC&#10;LQAUAAYACAAAACEAtoM4kv4AAADhAQAAEwAAAAAAAAAAAAAAAAAAAAAAW0NvbnRlbnRfVHlwZXNd&#10;LnhtbFBLAQItABQABgAIAAAAIQA4/SH/1gAAAJQBAAALAAAAAAAAAAAAAAAAAC8BAABfcmVscy8u&#10;cmVsc1BLAQItABQABgAIAAAAIQBPmlTNYwIAADUFAAAOAAAAAAAAAAAAAAAAAC4CAABkcnMvZTJv&#10;RG9jLnhtbFBLAQItABQABgAIAAAAIQAi3KuP3AAAAAUBAAAPAAAAAAAAAAAAAAAAAL0EAABkcnMv&#10;ZG93bnJldi54bWxQSwUGAAAAAAQABADzAAAAxgUAAAAA&#10;" filled="f" stroked="f" strokeweight=".5pt">
              <v:textbox inset="0,0,0,0">
                <w:txbxContent>
                  <w:p w14:paraId="238C9ADF" w14:textId="6D00AC96" w:rsidR="00BA6B96" w:rsidRDefault="00BA6B96" w:rsidP="00F35753">
                    <w:pPr>
                      <w:pStyle w:val="Contactdetails"/>
                    </w:pPr>
                    <w:r w:rsidRPr="006F2F0B">
                      <w:rPr>
                        <w:rStyle w:val="Bold"/>
                      </w:rPr>
                      <w:t>Iceni</w:t>
                    </w:r>
                    <w:r w:rsidRPr="00C07BC6">
                      <w:t xml:space="preserve"> </w:t>
                    </w:r>
                    <w:r>
                      <w:rPr>
                        <w:rStyle w:val="Bold"/>
                      </w:rPr>
                      <w:t>Projects</w:t>
                    </w:r>
                    <w:r>
                      <w:t xml:space="preserve"> </w:t>
                    </w:r>
                  </w:p>
                  <w:p w14:paraId="4DE9D6B3" w14:textId="7D3E5410" w:rsidR="00BA6B96" w:rsidRDefault="00BA6B96" w:rsidP="00F35753">
                    <w:pPr>
                      <w:pStyle w:val="Contactdetails"/>
                    </w:pPr>
                    <w:r>
                      <w:t xml:space="preserve">Birmingham: </w:t>
                    </w:r>
                    <w:r w:rsidRPr="00173BB1">
                      <w:t>The Colmore Building, 20 Colmore Circus Queensway, Birmingham B4 6AT</w:t>
                    </w:r>
                  </w:p>
                  <w:p w14:paraId="641E1595" w14:textId="231E55E1" w:rsidR="00BA6B96" w:rsidRDefault="00BA6B96" w:rsidP="00F35753">
                    <w:pPr>
                      <w:pStyle w:val="Contactdetails"/>
                    </w:pPr>
                    <w:r>
                      <w:t>London: Da Vinci House, 44 Saffron Hill, London, EC1N 8FH</w:t>
                    </w:r>
                  </w:p>
                  <w:p w14:paraId="5DD16A1C" w14:textId="782C27AD" w:rsidR="00BA6B96" w:rsidRDefault="00BA6B96" w:rsidP="00F35753">
                    <w:pPr>
                      <w:pStyle w:val="Contactdetails"/>
                    </w:pPr>
                    <w:r>
                      <w:t>Edinburgh: 11 Alva Street, Edinburgh, EH2 4PH</w:t>
                    </w:r>
                  </w:p>
                  <w:p w14:paraId="13EB60BA" w14:textId="6A14B878" w:rsidR="00BA6B96" w:rsidRDefault="00BA6B96" w:rsidP="00F35753">
                    <w:pPr>
                      <w:pStyle w:val="Contactdetails"/>
                    </w:pPr>
                    <w:r>
                      <w:t>Glasgow: 177 West George Street, Glasgow, G2 2LB</w:t>
                    </w:r>
                  </w:p>
                  <w:p w14:paraId="07946D50" w14:textId="4826CE2B" w:rsidR="00BA6B96" w:rsidRDefault="00BA6B96" w:rsidP="00F35753">
                    <w:pPr>
                      <w:pStyle w:val="Contactdetails"/>
                    </w:pPr>
                    <w:r>
                      <w:t>Manchester: This is the Space, 68 Quay Street, Manchester, M3 3EJ</w:t>
                    </w:r>
                  </w:p>
                  <w:p w14:paraId="47EA6E40" w14:textId="77777777" w:rsidR="00BA6B96" w:rsidRDefault="00BA6B96" w:rsidP="00F35753">
                    <w:pPr>
                      <w:pStyle w:val="Contactdetails"/>
                    </w:pPr>
                  </w:p>
                  <w:p w14:paraId="42837698" w14:textId="77777777" w:rsidR="00BA6B96" w:rsidRDefault="00BA6B96" w:rsidP="00F35753">
                    <w:pPr>
                      <w:pStyle w:val="Contactdetails"/>
                    </w:pPr>
                  </w:p>
                  <w:p w14:paraId="712ED449" w14:textId="77777777" w:rsidR="00BA6B96" w:rsidRDefault="00BA6B96" w:rsidP="00F35753">
                    <w:pPr>
                      <w:pStyle w:val="Contactdetails"/>
                      <w:rPr>
                        <w:lang w:val="fr-FR"/>
                      </w:rPr>
                    </w:pPr>
                    <w:r>
                      <w:rPr>
                        <w:rStyle w:val="Bold"/>
                      </w:rPr>
                      <w:t xml:space="preserve">t: </w:t>
                    </w:r>
                    <w:r w:rsidRPr="00690AD6">
                      <w:rPr>
                        <w:lang w:val="fr-FR"/>
                      </w:rPr>
                      <w:t xml:space="preserve">020 3640 8508 </w:t>
                    </w:r>
                    <w:r>
                      <w:rPr>
                        <w:rStyle w:val="Bold"/>
                      </w:rPr>
                      <w:t>| w:</w:t>
                    </w:r>
                    <w:r w:rsidRPr="00690AD6">
                      <w:rPr>
                        <w:lang w:val="fr-FR"/>
                      </w:rPr>
                      <w:t xml:space="preserve"> iceniprojects.com</w:t>
                    </w:r>
                    <w:r>
                      <w:rPr>
                        <w:lang w:val="fr-FR"/>
                      </w:rPr>
                      <w:t xml:space="preserve"> | </w:t>
                    </w:r>
                    <w:r w:rsidRPr="00093E39">
                      <w:rPr>
                        <w:b/>
                        <w:lang w:val="fr-FR"/>
                      </w:rPr>
                      <w:t>e:</w:t>
                    </w:r>
                    <w:r>
                      <w:rPr>
                        <w:lang w:val="fr-FR"/>
                      </w:rPr>
                      <w:t xml:space="preserve"> </w:t>
                    </w:r>
                    <w:r w:rsidRPr="00093E39">
                      <w:rPr>
                        <w:lang w:val="fr-FR"/>
                      </w:rPr>
                      <w:t>mail@iceniprojects.com</w:t>
                    </w:r>
                    <w:r>
                      <w:rPr>
                        <w:lang w:val="fr-FR"/>
                      </w:rPr>
                      <w:t xml:space="preserve"> </w:t>
                    </w:r>
                  </w:p>
                  <w:p w14:paraId="2C92E896" w14:textId="48698A4C" w:rsidR="00BA6B96" w:rsidRDefault="00BA6B96" w:rsidP="00F35753">
                    <w:pPr>
                      <w:pStyle w:val="Contactdetails"/>
                    </w:pPr>
                    <w:r>
                      <w:rPr>
                        <w:b/>
                        <w:lang w:val="fr-FR"/>
                      </w:rPr>
                      <w:t>linkedin</w:t>
                    </w:r>
                    <w:r w:rsidRPr="00093E39">
                      <w:rPr>
                        <w:b/>
                        <w:lang w:val="fr-FR"/>
                      </w:rPr>
                      <w:t>:</w:t>
                    </w:r>
                    <w:r>
                      <w:rPr>
                        <w:lang w:val="fr-FR"/>
                      </w:rPr>
                      <w:t xml:space="preserve"> </w:t>
                    </w:r>
                    <w:r w:rsidRPr="00093E39">
                      <w:rPr>
                        <w:lang w:val="fr-FR"/>
                      </w:rPr>
                      <w:t>linkedin.com/company/iceni-projects</w:t>
                    </w:r>
                    <w:r>
                      <w:rPr>
                        <w:lang w:val="fr-FR"/>
                      </w:rPr>
                      <w:t xml:space="preserve"> |</w:t>
                    </w:r>
                    <w:r w:rsidRPr="00093E39">
                      <w:rPr>
                        <w:b/>
                        <w:lang w:val="fr-FR"/>
                      </w:rPr>
                      <w:t xml:space="preserve"> tw</w:t>
                    </w:r>
                    <w:r>
                      <w:rPr>
                        <w:b/>
                        <w:lang w:val="fr-FR"/>
                      </w:rPr>
                      <w:t>itter</w:t>
                    </w:r>
                    <w:r>
                      <w:rPr>
                        <w:lang w:val="fr-FR"/>
                      </w:rPr>
                      <w:t>: @iceniprojects</w:t>
                    </w:r>
                  </w:p>
                </w:txbxContent>
              </v:textbox>
              <w10:anchorlock/>
            </v:shape>
          </w:pict>
        </mc:Fallback>
      </mc:AlternateConten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0360" w14:textId="56EE25EE" w:rsidR="00BA6B96" w:rsidRDefault="00BA6B96" w:rsidP="00F35753">
    <w:pPr>
      <w:pStyle w:val="Footer"/>
    </w:pPr>
    <w:r w:rsidRPr="00D27525">
      <w:rPr>
        <w:rFonts w:asciiTheme="majorHAnsi" w:eastAsiaTheme="majorEastAsia" w:hAnsiTheme="majorHAnsi"/>
        <w:sz w:val="28"/>
      </w:rPr>
      <w:t xml:space="preserve">pg. </w:t>
    </w:r>
    <w:r w:rsidRPr="00D27525">
      <w:rPr>
        <w:rFonts w:eastAsiaTheme="minorEastAsia" w:cstheme="minorBidi"/>
        <w:sz w:val="22"/>
        <w:szCs w:val="22"/>
      </w:rPr>
      <w:fldChar w:fldCharType="begin"/>
    </w:r>
    <w:r>
      <w:instrText xml:space="preserve"> PAGE    \* MERGEFORMAT </w:instrText>
    </w:r>
    <w:r w:rsidRPr="00D27525">
      <w:rPr>
        <w:rFonts w:eastAsiaTheme="minorEastAsia" w:cstheme="minorBidi"/>
        <w:sz w:val="22"/>
        <w:szCs w:val="22"/>
      </w:rPr>
      <w:fldChar w:fldCharType="separate"/>
    </w:r>
    <w:r w:rsidRPr="00A76A61">
      <w:rPr>
        <w:rFonts w:ascii="Calibri Light" w:eastAsiaTheme="majorEastAsia" w:hAnsi="Calibri Light"/>
        <w:sz w:val="28"/>
      </w:rPr>
      <w:t>0</w:t>
    </w:r>
    <w:r w:rsidRPr="00D27525">
      <w:rPr>
        <w:rFonts w:asciiTheme="majorHAnsi" w:eastAsiaTheme="majorEastAsia" w:hAnsiTheme="majorHAnsi"/>
        <w:sz w:val="28"/>
      </w:rPr>
      <w:fldChar w:fldCharType="end"/>
    </w:r>
    <w:r>
      <w:t xml:space="preserve">Page | </w:t>
    </w:r>
    <w:r>
      <w:fldChar w:fldCharType="begin"/>
    </w:r>
    <w:r>
      <w:instrText xml:space="preserve"> PAGE   \* MERGEFORMAT </w:instrText>
    </w:r>
    <w:r>
      <w:fldChar w:fldCharType="separate"/>
    </w:r>
    <w:r>
      <w:rPr>
        <w:noProof/>
      </w:rPr>
      <w:t>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F6F54" w14:textId="77777777" w:rsidR="002579F3" w:rsidRDefault="002579F3" w:rsidP="00F35753">
      <w:r>
        <w:separator/>
      </w:r>
    </w:p>
  </w:footnote>
  <w:footnote w:type="continuationSeparator" w:id="0">
    <w:p w14:paraId="559AF287" w14:textId="77777777" w:rsidR="002579F3" w:rsidRDefault="002579F3" w:rsidP="00F35753">
      <w:r>
        <w:continuationSeparator/>
      </w:r>
    </w:p>
  </w:footnote>
  <w:footnote w:type="continuationNotice" w:id="1">
    <w:p w14:paraId="09B9278D" w14:textId="77777777" w:rsidR="002579F3" w:rsidRDefault="002579F3">
      <w:pPr>
        <w:spacing w:after="0" w:line="240" w:lineRule="auto"/>
      </w:pPr>
    </w:p>
  </w:footnote>
  <w:footnote w:id="2">
    <w:p w14:paraId="770A1E69" w14:textId="77777777" w:rsidR="00BA6B96" w:rsidRDefault="00BA6B96" w:rsidP="00B45F40">
      <w:pPr>
        <w:pStyle w:val="FootnoteText"/>
        <w:rPr>
          <w:szCs w:val="16"/>
        </w:rPr>
      </w:pPr>
      <w:r>
        <w:rPr>
          <w:rStyle w:val="FootnoteReference"/>
        </w:rPr>
        <w:footnoteRef/>
      </w:r>
      <w:r>
        <w:rPr>
          <w:sz w:val="14"/>
          <w:szCs w:val="14"/>
        </w:rPr>
        <w:t xml:space="preserve"> </w:t>
      </w:r>
      <w:hyperlink r:id="rId1" w:history="1">
        <w:r>
          <w:rPr>
            <w:rStyle w:val="Hyperlink"/>
            <w:rFonts w:eastAsiaTheme="majorEastAsia"/>
            <w:szCs w:val="16"/>
          </w:rPr>
          <w:t>https://www.gov.uk/government/publications/national-planning-policy-framework--2</w:t>
        </w:r>
      </w:hyperlink>
    </w:p>
  </w:footnote>
  <w:footnote w:id="3">
    <w:p w14:paraId="5A3D9469" w14:textId="77777777" w:rsidR="00BA6B96" w:rsidRDefault="00BA6B96" w:rsidP="00B45F40">
      <w:pPr>
        <w:pStyle w:val="FootnoteText"/>
        <w:rPr>
          <w:szCs w:val="16"/>
        </w:rPr>
      </w:pPr>
      <w:r>
        <w:rPr>
          <w:rStyle w:val="FootnoteReference"/>
        </w:rPr>
        <w:footnoteRef/>
      </w:r>
      <w:r>
        <w:rPr>
          <w:sz w:val="14"/>
          <w:szCs w:val="14"/>
        </w:rPr>
        <w:t xml:space="preserve"> </w:t>
      </w:r>
      <w:hyperlink r:id="rId2" w:history="1">
        <w:r>
          <w:rPr>
            <w:rStyle w:val="Hyperlink"/>
            <w:rFonts w:eastAsiaTheme="majorEastAsia"/>
            <w:szCs w:val="16"/>
          </w:rPr>
          <w:t>https://www.gov.uk/government/collections/planning-practice-guidance</w:t>
        </w:r>
      </w:hyperlink>
      <w:r>
        <w:rPr>
          <w:szCs w:val="16"/>
        </w:rPr>
        <w:t xml:space="preserve"> </w:t>
      </w:r>
    </w:p>
  </w:footnote>
  <w:footnote w:id="4">
    <w:p w14:paraId="59404A4D" w14:textId="77777777" w:rsidR="00BA6B96" w:rsidRDefault="00BA6B96" w:rsidP="00AC2760">
      <w:pPr>
        <w:pStyle w:val="FootnoteText"/>
      </w:pPr>
      <w:r>
        <w:rPr>
          <w:rStyle w:val="FootnoteReference"/>
          <w:sz w:val="20"/>
          <w:szCs w:val="24"/>
        </w:rPr>
        <w:footnoteRef/>
      </w:r>
      <w:r>
        <w:t xml:space="preserve"> </w:t>
      </w:r>
      <w:hyperlink r:id="rId3" w:history="1">
        <w:r>
          <w:rPr>
            <w:rStyle w:val="Hyperlink"/>
            <w:rFonts w:eastAsiaTheme="majorEastAsia"/>
          </w:rPr>
          <w:t>https://www.gnplan.org.uk/media/3371769/housing-needs-assessment-2020.pdf</w:t>
        </w:r>
      </w:hyperlink>
      <w:r>
        <w:t xml:space="preserve"> </w:t>
      </w:r>
    </w:p>
  </w:footnote>
  <w:footnote w:id="5">
    <w:p w14:paraId="126F44C4" w14:textId="77777777" w:rsidR="00BA6B96" w:rsidRDefault="00BA6B96" w:rsidP="00AC2760">
      <w:pPr>
        <w:pStyle w:val="FootnoteText"/>
        <w:rPr>
          <w:szCs w:val="16"/>
        </w:rPr>
      </w:pPr>
      <w:r>
        <w:rPr>
          <w:rStyle w:val="FootnoteReference"/>
        </w:rPr>
        <w:footnoteRef/>
      </w:r>
      <w:r>
        <w:rPr>
          <w:szCs w:val="16"/>
        </w:rPr>
        <w:t xml:space="preserve"> </w:t>
      </w:r>
      <w:hyperlink r:id="rId4" w:history="1">
        <w:r>
          <w:rPr>
            <w:rStyle w:val="Hyperlink"/>
            <w:rFonts w:eastAsiaTheme="majorEastAsia"/>
            <w:szCs w:val="16"/>
          </w:rPr>
          <w:t>https://www.ons.gov.uk/peoplepopulationandcommunity/personalandhouseholdfinances/incomeandwealth/adhocs/12845averageincomebytenure</w:t>
        </w:r>
      </w:hyperlink>
      <w:r>
        <w:rPr>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B03F0" w14:textId="77777777" w:rsidR="00BA6B96" w:rsidRDefault="00BA6B96" w:rsidP="00A97B16">
    <w:pPr>
      <w:tabs>
        <w:tab w:val="left" w:pos="1844"/>
      </w:tabs>
    </w:pPr>
  </w:p>
  <w:p w14:paraId="4883240A" w14:textId="699886DF" w:rsidR="00BA6B96" w:rsidRDefault="00BA6B96" w:rsidP="00A97B16">
    <w:pPr>
      <w:tabs>
        <w:tab w:val="left" w:pos="1844"/>
      </w:tabs>
    </w:pPr>
    <w:r>
      <w:rPr>
        <w:noProof/>
      </w:rPr>
      <w:drawing>
        <wp:anchor distT="0" distB="0" distL="114300" distR="114300" simplePos="0" relativeHeight="251687936" behindDoc="0" locked="1" layoutInCell="1" allowOverlap="1" wp14:anchorId="7CD26BC2" wp14:editId="1AA36391">
          <wp:simplePos x="0" y="0"/>
          <wp:positionH relativeFrom="page">
            <wp:posOffset>1255923</wp:posOffset>
          </wp:positionH>
          <wp:positionV relativeFrom="topMargin">
            <wp:posOffset>795655</wp:posOffset>
          </wp:positionV>
          <wp:extent cx="1078992" cy="1078992"/>
          <wp:effectExtent l="0" t="0" r="6985" b="6985"/>
          <wp:wrapNone/>
          <wp:docPr id="31" name="Picture 31" title="Ic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eni Logo Blue.png"/>
                  <pic:cNvPicPr/>
                </pic:nvPicPr>
                <pic:blipFill>
                  <a:blip r:embed="rId1">
                    <a:extLst>
                      <a:ext uri="{28A0092B-C50C-407E-A947-70E740481C1C}">
                        <a14:useLocalDpi xmlns:a14="http://schemas.microsoft.com/office/drawing/2010/main" val="0"/>
                      </a:ext>
                    </a:extLst>
                  </a:blip>
                  <a:stretch>
                    <a:fillRect/>
                  </a:stretch>
                </pic:blipFill>
                <pic:spPr>
                  <a:xfrm>
                    <a:off x="0" y="0"/>
                    <a:ext cx="1078992" cy="1078992"/>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84864" behindDoc="0" locked="0" layoutInCell="1" allowOverlap="1" wp14:anchorId="669B5A07" wp14:editId="57EB8C56">
              <wp:simplePos x="0" y="0"/>
              <wp:positionH relativeFrom="column">
                <wp:posOffset>5122545</wp:posOffset>
              </wp:positionH>
              <wp:positionV relativeFrom="paragraph">
                <wp:posOffset>269240</wp:posOffset>
              </wp:positionV>
              <wp:extent cx="895985" cy="9391650"/>
              <wp:effectExtent l="0" t="0" r="0" b="0"/>
              <wp:wrapNone/>
              <wp:docPr id="22" name="Group 22" title="Inceni Banner"/>
              <wp:cNvGraphicFramePr/>
              <a:graphic xmlns:a="http://schemas.openxmlformats.org/drawingml/2006/main">
                <a:graphicData uri="http://schemas.microsoft.com/office/word/2010/wordprocessingGroup">
                  <wpg:wgp>
                    <wpg:cNvGrpSpPr/>
                    <wpg:grpSpPr>
                      <a:xfrm>
                        <a:off x="0" y="0"/>
                        <a:ext cx="895985" cy="9391650"/>
                        <a:chOff x="0" y="-172528"/>
                        <a:chExt cx="896400" cy="9392128"/>
                      </a:xfrm>
                    </wpg:grpSpPr>
                    <wpg:grpSp>
                      <wpg:cNvPr id="19" name="Group 19"/>
                      <wpg:cNvGrpSpPr/>
                      <wpg:grpSpPr>
                        <a:xfrm>
                          <a:off x="0" y="-172528"/>
                          <a:ext cx="896400" cy="1162528"/>
                          <a:chOff x="0" y="-172528"/>
                          <a:chExt cx="896400" cy="1162528"/>
                        </a:xfrm>
                      </wpg:grpSpPr>
                      <wps:wsp>
                        <wps:cNvPr id="11" name="Rectangle 11"/>
                        <wps:cNvSpPr/>
                        <wps:spPr>
                          <a:xfrm>
                            <a:off x="0" y="-172528"/>
                            <a:ext cx="895350" cy="108692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8A125C" w14:textId="1F0FA798" w:rsidR="00BA6B96" w:rsidRDefault="00BA6B96" w:rsidP="00F35753">
                              <w:pPr>
                                <w:pStyle w:val="Sidebartext1"/>
                                <w:rPr>
                                  <w:rStyle w:val="Bold"/>
                                </w:rPr>
                              </w:pPr>
                              <w:r>
                                <w:rPr>
                                  <w:rStyle w:val="Bold"/>
                                </w:rPr>
                                <w:fldChar w:fldCharType="begin"/>
                              </w:r>
                              <w:r>
                                <w:rPr>
                                  <w:rStyle w:val="Bold"/>
                                </w:rPr>
                                <w:instrText xml:space="preserve"> STYLEREF  "Date_link to footer"  \* MERGEFORMAT </w:instrText>
                              </w:r>
                              <w:r>
                                <w:rPr>
                                  <w:rStyle w:val="Bold"/>
                                </w:rPr>
                                <w:fldChar w:fldCharType="separate"/>
                              </w:r>
                              <w:r w:rsidR="00F2591C">
                                <w:rPr>
                                  <w:rStyle w:val="Bold"/>
                                  <w:noProof/>
                                </w:rPr>
                                <w:t>September 2022</w:t>
                              </w:r>
                              <w:r>
                                <w:rPr>
                                  <w:rStyle w:val="Bold"/>
                                </w:rPr>
                                <w:fldChar w:fldCharType="end"/>
                              </w:r>
                            </w:p>
                            <w:p w14:paraId="71EF380C" w14:textId="77777777" w:rsidR="00BA6B96" w:rsidRPr="00E25E80" w:rsidRDefault="00BA6B96" w:rsidP="00F35753">
                              <w:pPr>
                                <w:pStyle w:val="Sidebartext1"/>
                                <w:rPr>
                                  <w:rStyle w:val="Bold"/>
                                </w:rPr>
                              </w:pP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s:wsp>
                        <wps:cNvPr id="15" name="Rectangle 15"/>
                        <wps:cNvSpPr/>
                        <wps:spPr>
                          <a:xfrm>
                            <a:off x="0" y="914400"/>
                            <a:ext cx="896400" cy="75600"/>
                          </a:xfrm>
                          <a:prstGeom prst="rect">
                            <a:avLst/>
                          </a:prstGeom>
                          <a:solidFill>
                            <a:srgbClr val="DD003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 18"/>
                      <wpg:cNvGrpSpPr/>
                      <wpg:grpSpPr>
                        <a:xfrm>
                          <a:off x="0" y="3228975"/>
                          <a:ext cx="895985" cy="1961515"/>
                          <a:chOff x="0" y="476250"/>
                          <a:chExt cx="895985" cy="1961515"/>
                        </a:xfrm>
                      </wpg:grpSpPr>
                      <wps:wsp>
                        <wps:cNvPr id="12" name="Rectangle 12"/>
                        <wps:cNvSpPr/>
                        <wps:spPr>
                          <a:xfrm>
                            <a:off x="0" y="476250"/>
                            <a:ext cx="895350" cy="188591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A21DE2" w14:textId="46C46370" w:rsidR="00BA6B96" w:rsidRPr="00E25E80" w:rsidRDefault="00BA6B96" w:rsidP="00F35753">
                              <w:pPr>
                                <w:pStyle w:val="Sidebartext1"/>
                              </w:pPr>
                              <w:r w:rsidRPr="00E25E80">
                                <w:rPr>
                                  <w:rFonts w:eastAsiaTheme="majorEastAsia"/>
                                </w:rPr>
                                <w:fldChar w:fldCharType="begin"/>
                              </w:r>
                              <w:r w:rsidRPr="00E25E80">
                                <w:rPr>
                                  <w:rFonts w:eastAsiaTheme="majorEastAsia"/>
                                </w:rPr>
                                <w:instrText xml:space="preserve"> STYLEREF  "Client_link to footer"  \* MERGEFORMAT </w:instrText>
                              </w:r>
                              <w:r w:rsidRPr="00E25E80">
                                <w:rPr>
                                  <w:rFonts w:eastAsiaTheme="majorEastAsia"/>
                                </w:rPr>
                                <w:fldChar w:fldCharType="separate"/>
                              </w:r>
                              <w:r w:rsidR="00F2591C">
                                <w:rPr>
                                  <w:rFonts w:eastAsiaTheme="majorEastAsia"/>
                                  <w:noProof/>
                                </w:rPr>
                                <w:t>Iceni Projects Limited on behalf of Greater Nottingham Planning Partnership</w:t>
                              </w:r>
                              <w:r w:rsidRPr="00E25E80">
                                <w:rPr>
                                  <w:rFonts w:eastAsiaTheme="majorEastAsia"/>
                                </w:rPr>
                                <w:fldChar w:fldCharType="end"/>
                              </w: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s:wsp>
                        <wps:cNvPr id="16" name="Rectangle 16"/>
                        <wps:cNvSpPr/>
                        <wps:spPr>
                          <a:xfrm>
                            <a:off x="0" y="2362200"/>
                            <a:ext cx="895985" cy="75565"/>
                          </a:xfrm>
                          <a:prstGeom prst="rect">
                            <a:avLst/>
                          </a:prstGeom>
                          <a:solidFill>
                            <a:srgbClr val="3FAE2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Group 21"/>
                      <wpg:cNvGrpSpPr/>
                      <wpg:grpSpPr>
                        <a:xfrm>
                          <a:off x="0" y="5676900"/>
                          <a:ext cx="896400" cy="3542700"/>
                          <a:chOff x="0" y="238125"/>
                          <a:chExt cx="896400" cy="3542700"/>
                        </a:xfrm>
                      </wpg:grpSpPr>
                      <wps:wsp>
                        <wps:cNvPr id="13" name="Rectangle 13"/>
                        <wps:cNvSpPr/>
                        <wps:spPr>
                          <a:xfrm>
                            <a:off x="0" y="238125"/>
                            <a:ext cx="895350" cy="3467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B43BDB" w14:textId="45D4DABB" w:rsidR="00BA6B96" w:rsidRDefault="00BA6B96" w:rsidP="00F35753">
                              <w:pPr>
                                <w:pStyle w:val="Sidebartext2"/>
                              </w:pPr>
                              <w:r>
                                <w:rPr>
                                  <w:noProof/>
                                </w:rPr>
                                <w:fldChar w:fldCharType="begin"/>
                              </w:r>
                              <w:r>
                                <w:rPr>
                                  <w:noProof/>
                                </w:rPr>
                                <w:instrText xml:space="preserve"> STYLEREF  Title  \* MERGEFORMAT </w:instrText>
                              </w:r>
                              <w:r>
                                <w:rPr>
                                  <w:noProof/>
                                </w:rPr>
                                <w:fldChar w:fldCharType="separate"/>
                              </w:r>
                              <w:r w:rsidR="00F2591C">
                                <w:rPr>
                                  <w:noProof/>
                                </w:rPr>
                                <w:t>First Homes Assessment</w:t>
                              </w:r>
                              <w:r>
                                <w:rPr>
                                  <w:noProof/>
                                </w:rPr>
                                <w:fldChar w:fldCharType="end"/>
                              </w:r>
                            </w:p>
                            <w:p w14:paraId="0568FF0D" w14:textId="2A429E30" w:rsidR="00BA6B96" w:rsidRPr="00E25E80" w:rsidRDefault="00BA6B96" w:rsidP="00F35753">
                              <w:pPr>
                                <w:pStyle w:val="Sidebartext1"/>
                                <w:rPr>
                                  <w:rStyle w:val="Bold"/>
                                </w:rPr>
                              </w:pPr>
                              <w:r w:rsidRPr="00E25E80">
                                <w:rPr>
                                  <w:rStyle w:val="Bold"/>
                                </w:rPr>
                                <w:fldChar w:fldCharType="begin"/>
                              </w:r>
                              <w:r w:rsidRPr="00E25E80">
                                <w:rPr>
                                  <w:rStyle w:val="Bold"/>
                                </w:rPr>
                                <w:instrText xml:space="preserve"> STYLEREF  Sub-title  \* MERGEFORMAT </w:instrText>
                              </w:r>
                              <w:r w:rsidRPr="00E25E80">
                                <w:rPr>
                                  <w:rStyle w:val="Bold"/>
                                </w:rPr>
                                <w:fldChar w:fldCharType="separate"/>
                              </w:r>
                              <w:r w:rsidR="00F2591C">
                                <w:rPr>
                                  <w:rStyle w:val="Bold"/>
                                  <w:noProof/>
                                </w:rPr>
                                <w:t>Greater Nottingham</w:t>
                              </w:r>
                              <w:r w:rsidRPr="00E25E80">
                                <w:rPr>
                                  <w:rStyle w:val="Bold"/>
                                </w:rPr>
                                <w:fldChar w:fldCharType="end"/>
                              </w:r>
                            </w:p>
                          </w:txbxContent>
                        </wps:txbx>
                        <wps:bodyPr rot="0" spcFirstLastPara="0" vertOverflow="overflow" horzOverflow="overflow" vert="vert270" wrap="square" lIns="0" tIns="0" rIns="0" bIns="0" numCol="1" spcCol="0" rtlCol="0" fromWordArt="0" anchor="b" anchorCtr="0" forceAA="0" compatLnSpc="1">
                          <a:prstTxWarp prst="textNoShape">
                            <a:avLst/>
                          </a:prstTxWarp>
                          <a:noAutofit/>
                        </wps:bodyPr>
                      </wps:wsp>
                      <wps:wsp>
                        <wps:cNvPr id="17" name="Rectangle 17"/>
                        <wps:cNvSpPr/>
                        <wps:spPr>
                          <a:xfrm>
                            <a:off x="0" y="3705225"/>
                            <a:ext cx="896400" cy="75600"/>
                          </a:xfrm>
                          <a:prstGeom prst="rect">
                            <a:avLst/>
                          </a:prstGeom>
                          <a:solidFill>
                            <a:srgbClr val="222C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669B5A07" id="Group 22" o:spid="_x0000_s1026" alt="Title: Inceni Banner" style="position:absolute;left:0;text-align:left;margin-left:403.35pt;margin-top:21.2pt;width:70.55pt;height:739.5pt;z-index:251684864;mso-height-relative:margin" coordorigin=",-1725" coordsize="8964,93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V4swQAAOIcAAAOAAAAZHJzL2Uyb0RvYy54bWzsWVFv2zYQfh+w/yDovbFEWZIlRCmMpAkG&#10;BG3QdOgzLVO2AInUSCZ29ut3JEXKdpytduttBZwHh6LI493pvk8fqcv367bxngkXNaOFH14Evkdo&#10;yeY1XRT+719u3018T0hM57hhlBT+CxH++6tff7lcdTlBbMmaOeEeGKEiX3WFv5Syy0cjUS5Ji8UF&#10;6wiFmxXjLZZwyRejOccrsN42IxQEyWjF+LzjrCRCQO+NuelfaftVRUr5qaoEkV5T+OCb1L9c/87U&#10;7+jqEucLjrtlXfZu4CO8aHFNYVFn6gZL7D3x+pWpti45E6ySFyVrR6yq6pLoGCCaMNiJ5o6zp07H&#10;sshXi86lCVK7k6ejzZYfn+9499g9cMjEqltALvSVimVd8Vb9By+9tU7Zi0sZWUuvhM5JFmeT2PdK&#10;uJVFWZjEfU7LJSR+mPYuTFGMJibf5fKDm56MA3gu/XQUmiEju/hoyyV3YVwF3x+4V8+h7jLfo7iF&#10;+tIp8+C6D+fg+LYcHaIc3AzDZDOSQ6PcmP5mlAAFMTxt8X1P+3GJO6KLSOQbGQttxj4DRjBdNMQL&#10;Q5M1Pc6VhMgFVMeb9fBGvuIICkE/1jCYJBlKlGkXMM47LuQdYa2nGoXPwQmNH/x8L6QZaoeopSm7&#10;rZsG+nHe0K0OsKl6oFCso7olXxpiRn8mFdQIlCrSC2hmIdcN954xcAIuS0JlaG4t8ZyY7jiAv95l&#10;N0MH0FAwqCxX4JCz3RtQrPXatgmnH6+mEk1MbnLwd46ZyW6GXplR6Sa3NWV8n4EGoupXNuNtkkxq&#10;VJbkeraGIao5Y/MXABNnhiFFV97W8GTusZAPmAMlwtMEmpef4Kdq2KrwWd/yvSXjf+7rV+MLX/2i&#10;FKavgGULX/zxhDnxveY3CoUN3dI2uG3MbIM+tdcMHhLUKjikmzCBy8Y2K87ar/ACmKqF4BamJThT&#10;+DPbvJaG6+EFUpLpVA8C4u2wvKePXalMq4yqUvuy/op519ejBOR/ZBY6ON8pSzNWzaRs+iRZVeua&#10;HRLZ5xpgbNJ7ejwDBxsG3MBzfASes3CsGBnKAup0D0unceKQYV8QFqnfCGbBmnqu8KzWEHwxc2i8&#10;uQmCyJbt1rAz6qsfhfrTQV0RwX6c66qyWB/HKVI41jDv7xjM93eOxn0p+f8J+YN62dBWr7QLKOQt&#10;7aJFkpI6B2uXCKFJlmrUb4J3UGhhloRx2A/YUWjjFHSNE2+DQNs7273JhxCVRlAEeHqqQzZhG1SH&#10;jqC6zYgHqttQLpNJnIVWBhxJdmflojZhVjP9KA5TysUof/vcT8dqZwHzr6A62YNqvWtQpAJU+K0b&#10;EhQlCE4GdhXMQGNpHCeaAh2JHbwd2ZImWwomup1+QFO1OFjfGnZWMGcF8887l59RwSB3lmBOX+Ba&#10;7yqPUDBxkibZa/AOpy9RPIbNpJMpW6cvKJqEyImbQcHsne3A/18omGgP10X2TXYQ1w0R71Mw0ThJ&#10;w+/drp0VzEkVjFOuZwXzkx/BpHtQnR6B6igNYmSJbID1QGMnPYNBCF3H9rj2rGBOc/J6Oqyfz2DU&#10;QYT+HKBPX4fXu+7VH9K0OO8/+qkvdZvXetTwafLqLwAAAP//AwBQSwMEFAAGAAgAAAAhAAp/Dw/i&#10;AAAACwEAAA8AAABkcnMvZG93bnJldi54bWxMj01Lw0AQhu+C/2EZwZvdJKYfxmxKKeqpCLaCeNtm&#10;p0lodjZkt0n67x1Pehzm4X2fN19PthUD9r5xpCCeRSCQSmcaqhR8Hl4fViB80GR06wgVXNHDuri9&#10;yXVm3EgfOOxDJTiEfKYV1CF0mZS+rNFqP3MdEv9Orrc68NlX0vR65HDbyiSKFtLqhrih1h1uayzP&#10;+4tV8DbqcfMYvwy782l7/T7M3792MSp1fzdtnkEEnMIfDL/6rA4FOx3dhYwXrYJVtFgyqiBNUhAM&#10;PKVL3nJkcp7EKcgil/83FD8AAAD//wMAUEsBAi0AFAAGAAgAAAAhALaDOJL+AAAA4QEAABMAAAAA&#10;AAAAAAAAAAAAAAAAAFtDb250ZW50X1R5cGVzXS54bWxQSwECLQAUAAYACAAAACEAOP0h/9YAAACU&#10;AQAACwAAAAAAAAAAAAAAAAAvAQAAX3JlbHMvLnJlbHNQSwECLQAUAAYACAAAACEAozf1eLMEAADi&#10;HAAADgAAAAAAAAAAAAAAAAAuAgAAZHJzL2Uyb0RvYy54bWxQSwECLQAUAAYACAAAACEACn8PD+IA&#10;AAALAQAADwAAAAAAAAAAAAAAAAANBwAAZHJzL2Rvd25yZXYueG1sUEsFBgAAAAAEAAQA8wAAABwI&#10;AAAAAA==&#10;">
              <v:group id="Group 19" o:spid="_x0000_s1027" style="position:absolute;top:-1725;width:8964;height:11625" coordorigin=",-1725" coordsize="8964,1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11" o:spid="_x0000_s1028" style="position:absolute;top:-1725;width:8953;height:1086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52wQAAANsAAAAPAAAAZHJzL2Rvd25yZXYueG1sRE87a8Mw&#10;EN4D/Q/iCtkSKR1CcKOEUhro4A55Dd0O62qZSidXUh3n30eBQrf7+J633o7eiYFi6gJrWMwVCOIm&#10;mI5bDafjbrYCkTKyQReYNFwpwXbzMFljZcKF9zQccitKCKcKNdic+0rK1FjymOahJy7cV4gec4Gx&#10;lSbipYR7J5+UWkqPHZcGiz29Wmq+D79ew1v7Ux8/nRo+rueTVbJudtHVWk8fx5dnEJnG/C/+c7+b&#10;Mn8B91/KAXJzAwAA//8DAFBLAQItABQABgAIAAAAIQDb4fbL7gAAAIUBAAATAAAAAAAAAAAAAAAA&#10;AAAAAABbQ29udGVudF9UeXBlc10ueG1sUEsBAi0AFAAGAAgAAAAhAFr0LFu/AAAAFQEAAAsAAAAA&#10;AAAAAAAAAAAAHwEAAF9yZWxzLy5yZWxzUEsBAi0AFAAGAAgAAAAhAM8CjnbBAAAA2wAAAA8AAAAA&#10;AAAAAAAAAAAABwIAAGRycy9kb3ducmV2LnhtbFBLBQYAAAAAAwADALcAAAD1AgAAAAA=&#10;" filled="f" stroked="f" strokeweight="1pt">
                  <v:textbox style="layout-flow:vertical;mso-layout-flow-alt:bottom-to-top" inset="0,0,0,0">
                    <w:txbxContent>
                      <w:p w14:paraId="5E8A125C" w14:textId="1F0FA798" w:rsidR="00BA6B96" w:rsidRDefault="00BA6B96" w:rsidP="00F35753">
                        <w:pPr>
                          <w:pStyle w:val="Sidebartext1"/>
                          <w:rPr>
                            <w:rStyle w:val="Bold"/>
                          </w:rPr>
                        </w:pPr>
                        <w:r>
                          <w:rPr>
                            <w:rStyle w:val="Bold"/>
                          </w:rPr>
                          <w:fldChar w:fldCharType="begin"/>
                        </w:r>
                        <w:r>
                          <w:rPr>
                            <w:rStyle w:val="Bold"/>
                          </w:rPr>
                          <w:instrText xml:space="preserve"> STYLEREF  "Date_link to footer"  \* MERGEFORMAT </w:instrText>
                        </w:r>
                        <w:r>
                          <w:rPr>
                            <w:rStyle w:val="Bold"/>
                          </w:rPr>
                          <w:fldChar w:fldCharType="separate"/>
                        </w:r>
                        <w:r w:rsidR="00F2591C">
                          <w:rPr>
                            <w:rStyle w:val="Bold"/>
                            <w:noProof/>
                          </w:rPr>
                          <w:t>September 2022</w:t>
                        </w:r>
                        <w:r>
                          <w:rPr>
                            <w:rStyle w:val="Bold"/>
                          </w:rPr>
                          <w:fldChar w:fldCharType="end"/>
                        </w:r>
                      </w:p>
                      <w:p w14:paraId="71EF380C" w14:textId="77777777" w:rsidR="00BA6B96" w:rsidRPr="00E25E80" w:rsidRDefault="00BA6B96" w:rsidP="00F35753">
                        <w:pPr>
                          <w:pStyle w:val="Sidebartext1"/>
                          <w:rPr>
                            <w:rStyle w:val="Bold"/>
                          </w:rPr>
                        </w:pPr>
                      </w:p>
                    </w:txbxContent>
                  </v:textbox>
                </v:rect>
                <v:rect id="Rectangle 15" o:spid="_x0000_s1029" style="position:absolute;top:9144;width:896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sXUwAAAANsAAAAPAAAAZHJzL2Rvd25yZXYueG1sRE9Na8JA&#10;EL0X/A/LCN7qxoJWo6uIIHgrtQGvQ3ZM0u7OhuzUxP76rlDobR7vcza7wTt1oy42gQ3Mphko4jLY&#10;hisDxcfxeQkqCrJFF5gM3CnCbjt62mBuQ8/vdDtLpVIIxxwN1CJtrnUsa/IYp6ElTtw1dB4lwa7S&#10;tsM+hXunX7JsoT02nBpqbOlQU/l1/vYG+uKtYf/6WVzFtZfVwa3sz12MmYyH/RqU0CD/4j/3yab5&#10;c3j8kg7Q218AAAD//wMAUEsBAi0AFAAGAAgAAAAhANvh9svuAAAAhQEAABMAAAAAAAAAAAAAAAAA&#10;AAAAAFtDb250ZW50X1R5cGVzXS54bWxQSwECLQAUAAYACAAAACEAWvQsW78AAAAVAQAACwAAAAAA&#10;AAAAAAAAAAAfAQAAX3JlbHMvLnJlbHNQSwECLQAUAAYACAAAACEAHAbF1MAAAADbAAAADwAAAAAA&#10;AAAAAAAAAAAHAgAAZHJzL2Rvd25yZXYueG1sUEsFBgAAAAADAAMAtwAAAPQCAAAAAA==&#10;" fillcolor="#dd0031" stroked="f" strokeweight="1pt"/>
              </v:group>
              <v:group id="Group 18" o:spid="_x0000_s1030" style="position:absolute;top:32289;width:8959;height:19615" coordorigin=",4762" coordsize="8959,1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Rectangle 12" o:spid="_x0000_s1031" style="position:absolute;top:4762;width:8953;height:18859;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BwQAAANsAAAAPAAAAZHJzL2Rvd25yZXYueG1sRE87a8Mw&#10;EN4D/Q/iCt0SqRlKcaOEUhro4Ax5Dd0O62qZSidXUhzn30eFQLb7+J63WI3eiYFi6gJreJ4pEMRN&#10;MB23Gg779fQVRMrIBl1g0nChBKvlw2SBlQln3tKwy60oIZwq1GBz7ispU2PJY5qFnrhwPyF6zAXG&#10;VpqI5xLunZwr9SI9dlwaLPb0Yan53Z28hs/2r95/OzVsLseDVbJu1tHVWj89ju9vIDKN+S6+ub9M&#10;mT+H/1/KAXJ5BQAA//8DAFBLAQItABQABgAIAAAAIQDb4fbL7gAAAIUBAAATAAAAAAAAAAAAAAAA&#10;AAAAAABbQ29udGVudF9UeXBlc10ueG1sUEsBAi0AFAAGAAgAAAAhAFr0LFu/AAAAFQEAAAsAAAAA&#10;AAAAAAAAAAAAHwEAAF9yZWxzLy5yZWxzUEsBAi0AFAAGAAgAAAAhAD/QEAHBAAAA2wAAAA8AAAAA&#10;AAAAAAAAAAAABwIAAGRycy9kb3ducmV2LnhtbFBLBQYAAAAAAwADALcAAAD1AgAAAAA=&#10;" filled="f" stroked="f" strokeweight="1pt">
                  <v:textbox style="layout-flow:vertical;mso-layout-flow-alt:bottom-to-top" inset="0,0,0,0">
                    <w:txbxContent>
                      <w:p w14:paraId="7AA21DE2" w14:textId="46C46370" w:rsidR="00BA6B96" w:rsidRPr="00E25E80" w:rsidRDefault="00BA6B96" w:rsidP="00F35753">
                        <w:pPr>
                          <w:pStyle w:val="Sidebartext1"/>
                        </w:pPr>
                        <w:r w:rsidRPr="00E25E80">
                          <w:rPr>
                            <w:rFonts w:eastAsiaTheme="majorEastAsia"/>
                          </w:rPr>
                          <w:fldChar w:fldCharType="begin"/>
                        </w:r>
                        <w:r w:rsidRPr="00E25E80">
                          <w:rPr>
                            <w:rFonts w:eastAsiaTheme="majorEastAsia"/>
                          </w:rPr>
                          <w:instrText xml:space="preserve"> STYLEREF  "Client_link to footer"  \* MERGEFORMAT </w:instrText>
                        </w:r>
                        <w:r w:rsidRPr="00E25E80">
                          <w:rPr>
                            <w:rFonts w:eastAsiaTheme="majorEastAsia"/>
                          </w:rPr>
                          <w:fldChar w:fldCharType="separate"/>
                        </w:r>
                        <w:r w:rsidR="00F2591C">
                          <w:rPr>
                            <w:rFonts w:eastAsiaTheme="majorEastAsia"/>
                            <w:noProof/>
                          </w:rPr>
                          <w:t>Iceni Projects Limited on behalf of Greater Nottingham Planning Partnership</w:t>
                        </w:r>
                        <w:r w:rsidRPr="00E25E80">
                          <w:rPr>
                            <w:rFonts w:eastAsiaTheme="majorEastAsia"/>
                          </w:rPr>
                          <w:fldChar w:fldCharType="end"/>
                        </w:r>
                      </w:p>
                    </w:txbxContent>
                  </v:textbox>
                </v:rect>
                <v:rect id="Rectangle 16" o:spid="_x0000_s1032" style="position:absolute;top:23622;width:8959;height: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SRMwAAAANsAAAAPAAAAZHJzL2Rvd25yZXYueG1sRE9NSwMx&#10;EL0L/ocwQi/SJhbplrVpEWGhV6OFHofNdHdxMwlJtl3/vREEb/N4n7M7zG4UV4pp8KzhaaVAELfe&#10;Dtxp+PxollsQKSNbHD2Thm9KcNjf3+2wtv7G73Q1uRMlhFONGvqcQy1lantymFY+EBfu4qPDXGDs&#10;pI14K+FulGulNtLhwKWhx0BvPbVfZnIaqkodmymoUzTVaft8bszjFIzWi4f59QVEpjn/i//cR1vm&#10;b+D3l3KA3P8AAAD//wMAUEsBAi0AFAAGAAgAAAAhANvh9svuAAAAhQEAABMAAAAAAAAAAAAAAAAA&#10;AAAAAFtDb250ZW50X1R5cGVzXS54bWxQSwECLQAUAAYACAAAACEAWvQsW78AAAAVAQAACwAAAAAA&#10;AAAAAAAAAAAfAQAAX3JlbHMvLnJlbHNQSwECLQAUAAYACAAAACEAV30kTMAAAADbAAAADwAAAAAA&#10;AAAAAAAAAAAHAgAAZHJzL2Rvd25yZXYueG1sUEsFBgAAAAADAAMAtwAAAPQCAAAAAA==&#10;" fillcolor="#3fae2a" stroked="f" strokeweight="1pt"/>
              </v:group>
              <v:group id="Group 21" o:spid="_x0000_s1033" style="position:absolute;top:56769;width:8964;height:35427" coordorigin=",2381" coordsize="8964,35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Rectangle 13" o:spid="_x0000_s1034" style="position:absolute;top:2381;width:8953;height:3467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LWawgAAANsAAAAPAAAAZHJzL2Rvd25yZXYueG1sRE9LSwMx&#10;EL4L/ocwgjebqCBlbVpKseBhPdjHwduwmW6WJpM1idvtvzeFQm/z8T1nthi9EwPF1AXW8DxRIIib&#10;YDpuNey266cpiJSRDbrApOFMCRbz+7sZViac+JuGTW5FCeFUoQabc19JmRpLHtMk9MSFO4ToMRcY&#10;W2kinkq4d/JFqTfpsePSYLGnlaXmuPnzGj7a33r749Twdd7vrJJ1s46u1vrxYVy+g8g05pv46v40&#10;Zf4rXH4pB8j5PwAAAP//AwBQSwECLQAUAAYACAAAACEA2+H2y+4AAACFAQAAEwAAAAAAAAAAAAAA&#10;AAAAAAAAW0NvbnRlbnRfVHlwZXNdLnhtbFBLAQItABQABgAIAAAAIQBa9CxbvwAAABUBAAALAAAA&#10;AAAAAAAAAAAAAB8BAABfcmVscy8ucmVsc1BLAQItABQABgAIAAAAIQBQnLWawgAAANsAAAAPAAAA&#10;AAAAAAAAAAAAAAcCAABkcnMvZG93bnJldi54bWxQSwUGAAAAAAMAAwC3AAAA9gIAAAAA&#10;" filled="f" stroked="f" strokeweight="1pt">
                  <v:textbox style="layout-flow:vertical;mso-layout-flow-alt:bottom-to-top" inset="0,0,0,0">
                    <w:txbxContent>
                      <w:p w14:paraId="08B43BDB" w14:textId="45D4DABB" w:rsidR="00BA6B96" w:rsidRDefault="00BA6B96" w:rsidP="00F35753">
                        <w:pPr>
                          <w:pStyle w:val="Sidebartext2"/>
                        </w:pPr>
                        <w:r>
                          <w:rPr>
                            <w:noProof/>
                          </w:rPr>
                          <w:fldChar w:fldCharType="begin"/>
                        </w:r>
                        <w:r>
                          <w:rPr>
                            <w:noProof/>
                          </w:rPr>
                          <w:instrText xml:space="preserve"> STYLEREF  Title  \* MERGEFORMAT </w:instrText>
                        </w:r>
                        <w:r>
                          <w:rPr>
                            <w:noProof/>
                          </w:rPr>
                          <w:fldChar w:fldCharType="separate"/>
                        </w:r>
                        <w:r w:rsidR="00F2591C">
                          <w:rPr>
                            <w:noProof/>
                          </w:rPr>
                          <w:t>First Homes Assessment</w:t>
                        </w:r>
                        <w:r>
                          <w:rPr>
                            <w:noProof/>
                          </w:rPr>
                          <w:fldChar w:fldCharType="end"/>
                        </w:r>
                      </w:p>
                      <w:p w14:paraId="0568FF0D" w14:textId="2A429E30" w:rsidR="00BA6B96" w:rsidRPr="00E25E80" w:rsidRDefault="00BA6B96" w:rsidP="00F35753">
                        <w:pPr>
                          <w:pStyle w:val="Sidebartext1"/>
                          <w:rPr>
                            <w:rStyle w:val="Bold"/>
                          </w:rPr>
                        </w:pPr>
                        <w:r w:rsidRPr="00E25E80">
                          <w:rPr>
                            <w:rStyle w:val="Bold"/>
                          </w:rPr>
                          <w:fldChar w:fldCharType="begin"/>
                        </w:r>
                        <w:r w:rsidRPr="00E25E80">
                          <w:rPr>
                            <w:rStyle w:val="Bold"/>
                          </w:rPr>
                          <w:instrText xml:space="preserve"> STYLEREF  Sub-title  \* MERGEFORMAT </w:instrText>
                        </w:r>
                        <w:r w:rsidRPr="00E25E80">
                          <w:rPr>
                            <w:rStyle w:val="Bold"/>
                          </w:rPr>
                          <w:fldChar w:fldCharType="separate"/>
                        </w:r>
                        <w:r w:rsidR="00F2591C">
                          <w:rPr>
                            <w:rStyle w:val="Bold"/>
                            <w:noProof/>
                          </w:rPr>
                          <w:t>Greater Nottingham</w:t>
                        </w:r>
                        <w:r w:rsidRPr="00E25E80">
                          <w:rPr>
                            <w:rStyle w:val="Bold"/>
                          </w:rPr>
                          <w:fldChar w:fldCharType="end"/>
                        </w:r>
                      </w:p>
                    </w:txbxContent>
                  </v:textbox>
                </v:rect>
                <v:rect id="Rectangle 17" o:spid="_x0000_s1035" style="position:absolute;top:37052;width:8964;height:7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F0wgAAANsAAAAPAAAAZHJzL2Rvd25yZXYueG1sRE9La8JA&#10;EL4X/A/LCL3VjQoqqZtQBcGbjz6PQ3aapM3Oxuw2if56VxB6m4/vOcu0N5VoqXGlZQXjUQSCOLO6&#10;5FzB2+vmaQHCeWSNlWVScCYHaTJ4WGKsbccHao8+FyGEXYwKCu/rWEqXFWTQjWxNHLhv2xj0ATa5&#10;1A12IdxUchJFM2mw5NBQYE3rgrLf459R8LGLfvazrZ6uaGE+u/V7ezl97ZR6HPYvzyA89f5ffHdv&#10;dZg/h9sv4QCZXAEAAP//AwBQSwECLQAUAAYACAAAACEA2+H2y+4AAACFAQAAEwAAAAAAAAAAAAAA&#10;AAAAAAAAW0NvbnRlbnRfVHlwZXNdLnhtbFBLAQItABQABgAIAAAAIQBa9CxbvwAAABUBAAALAAAA&#10;AAAAAAAAAAAAAB8BAABfcmVscy8ucmVsc1BLAQItABQABgAIAAAAIQAbZVF0wgAAANsAAAAPAAAA&#10;AAAAAAAAAAAAAAcCAABkcnMvZG93bnJldi54bWxQSwUGAAAAAAMAAwC3AAAA9gIAAAAA&#10;" fillcolor="#222c56" stroked="f" strokeweight="1pt"/>
              </v:group>
            </v:group>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ED747" w14:textId="76BED5A0" w:rsidR="00BA6B96" w:rsidRDefault="00045D43">
    <w:pPr>
      <w:pStyle w:val="Header"/>
    </w:pPr>
    <w:r>
      <w:t>Greater Nottingham Authorities</w:t>
    </w:r>
    <w:r>
      <w:tab/>
    </w:r>
    <w:r>
      <w:tab/>
    </w:r>
    <w:r w:rsidR="00A76A61">
      <w:t>September</w:t>
    </w:r>
    <w:r>
      <w:t xml:space="preserve"> 2022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62AC4" w14:textId="77777777" w:rsidR="00BA6B96" w:rsidRDefault="00BA6B96" w:rsidP="00F357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9C92087A"/>
    <w:lvl w:ilvl="0">
      <w:start w:val="1"/>
      <w:numFmt w:val="decimal"/>
      <w:pStyle w:val="ListNumber2"/>
      <w:lvlText w:val="%1."/>
      <w:lvlJc w:val="left"/>
      <w:pPr>
        <w:tabs>
          <w:tab w:val="num" w:pos="643"/>
        </w:tabs>
        <w:ind w:left="643" w:hanging="360"/>
      </w:pPr>
    </w:lvl>
  </w:abstractNum>
  <w:abstractNum w:abstractNumId="1" w15:restartNumberingAfterBreak="0">
    <w:nsid w:val="FFFFFF83"/>
    <w:multiLevelType w:val="singleLevel"/>
    <w:tmpl w:val="7A4C585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E1C421C"/>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30827B5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370C0E"/>
    <w:multiLevelType w:val="multilevel"/>
    <w:tmpl w:val="837C94F4"/>
    <w:lvl w:ilvl="0">
      <w:start w:val="1"/>
      <w:numFmt w:val="decimal"/>
      <w:pStyle w:val="03NumberedHeadings"/>
      <w:lvlText w:val="%1."/>
      <w:lvlJc w:val="left"/>
      <w:pPr>
        <w:tabs>
          <w:tab w:val="num" w:pos="1021"/>
        </w:tabs>
        <w:ind w:left="1021" w:hanging="1021"/>
      </w:pPr>
      <w:rPr>
        <w:rFonts w:ascii="Arial" w:hAnsi="Arial" w:cs="Times New Roman" w:hint="default"/>
        <w:b/>
        <w:bCs/>
        <w:i w:val="0"/>
        <w:iCs w:val="0"/>
        <w:strike w:val="0"/>
        <w:dstrike w:val="0"/>
        <w:color w:val="auto"/>
        <w:u w:val="none"/>
        <w:effect w:val="none"/>
      </w:rPr>
    </w:lvl>
    <w:lvl w:ilvl="1">
      <w:start w:val="1"/>
      <w:numFmt w:val="decimal"/>
      <w:pStyle w:val="11Body"/>
      <w:lvlText w:val="%1.%2."/>
      <w:lvlJc w:val="left"/>
      <w:pPr>
        <w:tabs>
          <w:tab w:val="num" w:pos="1305"/>
        </w:tabs>
        <w:ind w:left="1305" w:hanging="1021"/>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2">
      <w:start w:val="1"/>
      <w:numFmt w:val="decimal"/>
      <w:pStyle w:val="111BodyList"/>
      <w:lvlText w:val="%1.%2.%3."/>
      <w:lvlJc w:val="left"/>
      <w:pPr>
        <w:tabs>
          <w:tab w:val="num" w:pos="1021"/>
        </w:tabs>
        <w:ind w:left="1021" w:hanging="1021"/>
      </w:pPr>
      <w:rPr>
        <w:rFonts w:ascii="Arial" w:hAnsi="Arial" w:cs="Times New Roman" w:hint="default"/>
        <w:b w:val="0"/>
        <w:bCs w:val="0"/>
        <w:i w:val="0"/>
        <w:iCs w:val="0"/>
        <w:strike w:val="0"/>
        <w:dstrike w:val="0"/>
        <w:color w:val="auto"/>
        <w:u w:val="none"/>
        <w:effect w:val="none"/>
      </w:rPr>
    </w:lvl>
    <w:lvl w:ilvl="3">
      <w:start w:val="1"/>
      <w:numFmt w:val="decimal"/>
      <w:lvlText w:val="%1.%2.%3.%4."/>
      <w:lvlJc w:val="left"/>
      <w:pPr>
        <w:tabs>
          <w:tab w:val="num" w:pos="1021"/>
        </w:tabs>
        <w:ind w:left="1021" w:hanging="1021"/>
      </w:pPr>
      <w:rPr>
        <w:rFonts w:ascii="Arial" w:hAnsi="Arial" w:cs="Times New Roman" w:hint="default"/>
        <w:b w:val="0"/>
        <w:bCs w:val="0"/>
        <w:i w:val="0"/>
        <w:iCs w:val="0"/>
        <w:strike w:val="0"/>
        <w:dstrike w:val="0"/>
        <w:color w:val="auto"/>
        <w:u w:val="none"/>
        <w:effect w:val="none"/>
      </w:rPr>
    </w:lvl>
    <w:lvl w:ilvl="4">
      <w:start w:val="1"/>
      <w:numFmt w:val="decimal"/>
      <w:lvlText w:val="%1.%2.%3.%4.%5."/>
      <w:lvlJc w:val="left"/>
      <w:pPr>
        <w:tabs>
          <w:tab w:val="num" w:pos="879"/>
        </w:tabs>
        <w:ind w:left="879" w:hanging="1021"/>
      </w:pPr>
      <w:rPr>
        <w:rFonts w:cs="Times New Roman"/>
      </w:rPr>
    </w:lvl>
    <w:lvl w:ilvl="5">
      <w:start w:val="1"/>
      <w:numFmt w:val="decimal"/>
      <w:lvlText w:val="%1.%2.%3.%4.%5.%6."/>
      <w:lvlJc w:val="left"/>
      <w:pPr>
        <w:ind w:left="2452" w:hanging="936"/>
      </w:pPr>
      <w:rPr>
        <w:rFonts w:cs="Times New Roman"/>
      </w:rPr>
    </w:lvl>
    <w:lvl w:ilvl="6">
      <w:start w:val="1"/>
      <w:numFmt w:val="decimal"/>
      <w:lvlText w:val="%1.%2.%3.%4.%5.%6.%7."/>
      <w:lvlJc w:val="left"/>
      <w:pPr>
        <w:ind w:left="2956" w:hanging="1080"/>
      </w:pPr>
      <w:rPr>
        <w:rFonts w:cs="Times New Roman"/>
      </w:rPr>
    </w:lvl>
    <w:lvl w:ilvl="7">
      <w:start w:val="1"/>
      <w:numFmt w:val="decimal"/>
      <w:lvlText w:val="%1.%2.%3.%4.%5.%6.%7.%8."/>
      <w:lvlJc w:val="left"/>
      <w:pPr>
        <w:ind w:left="3460" w:hanging="1224"/>
      </w:pPr>
      <w:rPr>
        <w:rFonts w:cs="Times New Roman"/>
      </w:rPr>
    </w:lvl>
    <w:lvl w:ilvl="8">
      <w:start w:val="1"/>
      <w:numFmt w:val="decimal"/>
      <w:lvlText w:val="%1.%2.%3.%4.%5.%6.%7.%8.%9."/>
      <w:lvlJc w:val="left"/>
      <w:pPr>
        <w:ind w:left="4036" w:hanging="1440"/>
      </w:pPr>
      <w:rPr>
        <w:rFonts w:cs="Times New Roman"/>
      </w:rPr>
    </w:lvl>
  </w:abstractNum>
  <w:abstractNum w:abstractNumId="5" w15:restartNumberingAfterBreak="0">
    <w:nsid w:val="08B5371D"/>
    <w:multiLevelType w:val="multilevel"/>
    <w:tmpl w:val="3A7C1BDE"/>
    <w:lvl w:ilvl="0">
      <w:start w:val="1"/>
      <w:numFmt w:val="decimal"/>
      <w:pStyle w:val="1Bodytext"/>
      <w:lvlText w:val="%1"/>
      <w:lvlJc w:val="left"/>
      <w:pPr>
        <w:tabs>
          <w:tab w:val="num" w:pos="794"/>
        </w:tabs>
        <w:ind w:left="794" w:hanging="794"/>
      </w:pPr>
      <w:rPr>
        <w:rFonts w:ascii="Arial" w:hAnsi="Arial" w:cs="Times New Roman" w:hint="default"/>
        <w:b/>
        <w:bCs/>
        <w:i w:val="0"/>
        <w:iCs w:val="0"/>
        <w:strike w:val="0"/>
        <w:dstrike w:val="0"/>
        <w:color w:val="auto"/>
        <w:sz w:val="20"/>
        <w:szCs w:val="20"/>
        <w:u w:val="none"/>
        <w:effect w:val="none"/>
      </w:rPr>
    </w:lvl>
    <w:lvl w:ilvl="1">
      <w:start w:val="1"/>
      <w:numFmt w:val="decimal"/>
      <w:pStyle w:val="11Bodytext"/>
      <w:lvlText w:val="5.%2"/>
      <w:lvlJc w:val="left"/>
      <w:pPr>
        <w:tabs>
          <w:tab w:val="num" w:pos="794"/>
        </w:tabs>
        <w:ind w:left="794" w:hanging="794"/>
      </w:pPr>
      <w:rPr>
        <w:b w:val="0"/>
        <w:bCs w:val="0"/>
        <w:i w:val="0"/>
        <w:iCs w:val="0"/>
        <w:strike w:val="0"/>
        <w:dstrike w:val="0"/>
        <w:color w:val="000000"/>
        <w:sz w:val="20"/>
        <w:szCs w:val="20"/>
        <w:u w:val="none"/>
        <w:effect w:val="none"/>
      </w:rPr>
    </w:lvl>
    <w:lvl w:ilvl="2">
      <w:start w:val="1"/>
      <w:numFmt w:val="decimal"/>
      <w:lvlRestart w:val="0"/>
      <w:lvlText w:val="%1.%2"/>
      <w:lvlJc w:val="left"/>
      <w:pPr>
        <w:tabs>
          <w:tab w:val="num" w:pos="794"/>
        </w:tabs>
        <w:ind w:left="794" w:hanging="794"/>
      </w:pPr>
      <w:rPr>
        <w:rFonts w:ascii="Arial" w:hAnsi="Arial" w:cs="Times New Roman" w:hint="default"/>
        <w:b w:val="0"/>
        <w:bCs w:val="0"/>
        <w:i w:val="0"/>
        <w:iCs w:val="0"/>
        <w:strike w:val="0"/>
        <w:dstrike w:val="0"/>
        <w:color w:val="auto"/>
        <w:sz w:val="20"/>
        <w:szCs w:val="20"/>
        <w:u w:val="none"/>
        <w:effect w:val="none"/>
      </w:rPr>
    </w:lvl>
    <w:lvl w:ilvl="3">
      <w:start w:val="1"/>
      <w:numFmt w:val="decimal"/>
      <w:pStyle w:val="111Bodytext"/>
      <w:lvlText w:val="%1.%2.%4"/>
      <w:lvlJc w:val="left"/>
      <w:pPr>
        <w:ind w:left="1870" w:hanging="1728"/>
      </w:pPr>
      <w:rPr>
        <w:rFonts w:ascii="Arial" w:hAnsi="Arial" w:cs="Times New Roman" w:hint="default"/>
        <w:b w:val="0"/>
        <w:bCs w:val="0"/>
        <w:i w:val="0"/>
        <w:iCs w:val="0"/>
        <w:strike w:val="0"/>
        <w:dstrike w:val="0"/>
        <w:color w:val="auto"/>
        <w:sz w:val="20"/>
        <w:szCs w:val="20"/>
        <w:u w:val="none"/>
        <w:effect w:val="none"/>
      </w:rPr>
    </w:lvl>
    <w:lvl w:ilvl="4">
      <w:start w:val="1"/>
      <w:numFmt w:val="decimal"/>
      <w:lvlText w:val="%1.%2.3"/>
      <w:lvlJc w:val="left"/>
      <w:pPr>
        <w:tabs>
          <w:tab w:val="num" w:pos="794"/>
        </w:tabs>
        <w:ind w:left="794" w:hanging="794"/>
      </w:pPr>
      <w:rPr>
        <w:rFonts w:ascii="Arial" w:hAnsi="Arial" w:cs="Times New Roman" w:hint="default"/>
        <w:b w:val="0"/>
        <w:bCs w:val="0"/>
        <w:i w:val="0"/>
        <w:iCs w:val="0"/>
        <w:sz w:val="20"/>
        <w:szCs w:val="20"/>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195D45B2"/>
    <w:multiLevelType w:val="hybridMultilevel"/>
    <w:tmpl w:val="9EC8D6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AF2CDE"/>
    <w:multiLevelType w:val="multilevel"/>
    <w:tmpl w:val="65AA98AC"/>
    <w:lvl w:ilvl="0">
      <w:start w:val="1"/>
      <w:numFmt w:val="decimal"/>
      <w:lvlText w:val="%1."/>
      <w:lvlJc w:val="left"/>
      <w:pPr>
        <w:ind w:left="0" w:hanging="1134"/>
      </w:pPr>
      <w:rPr>
        <w:rFonts w:hint="default"/>
      </w:rPr>
    </w:lvl>
    <w:lvl w:ilvl="1">
      <w:start w:val="1"/>
      <w:numFmt w:val="decimal"/>
      <w:lvlText w:val="Table %1.%2."/>
      <w:lvlJc w:val="left"/>
      <w:pPr>
        <w:tabs>
          <w:tab w:val="num" w:pos="1134"/>
        </w:tabs>
        <w:ind w:left="1134" w:hanging="1134"/>
      </w:pPr>
      <w:rPr>
        <w:rFonts w:hint="default"/>
      </w:rPr>
    </w:lvl>
    <w:lvl w:ilvl="2">
      <w:start w:val="1"/>
      <w:numFmt w:val="decimal"/>
      <w:lvlRestart w:val="1"/>
      <w:lvlText w:val="%1.%3."/>
      <w:lvlJc w:val="left"/>
      <w:pPr>
        <w:ind w:left="0" w:hanging="1134"/>
      </w:pPr>
      <w:rPr>
        <w:rFonts w:hint="default"/>
      </w:rPr>
    </w:lvl>
    <w:lvl w:ilvl="3">
      <w:start w:val="1"/>
      <w:numFmt w:val="decimal"/>
      <w:lvlRestart w:val="1"/>
      <w:lvlText w:val="Table %1.%4."/>
      <w:lvlJc w:val="left"/>
      <w:pPr>
        <w:ind w:left="993"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213B15D7"/>
    <w:multiLevelType w:val="multilevel"/>
    <w:tmpl w:val="36886692"/>
    <w:lvl w:ilvl="0">
      <w:start w:val="1"/>
      <w:numFmt w:val="decimal"/>
      <w:lvlText w:val="%1."/>
      <w:lvlJc w:val="left"/>
      <w:pPr>
        <w:ind w:left="0" w:hanging="1134"/>
      </w:pPr>
      <w:rPr>
        <w:rFonts w:hint="default"/>
      </w:rPr>
    </w:lvl>
    <w:lvl w:ilvl="1">
      <w:start w:val="1"/>
      <w:numFmt w:val="decimal"/>
      <w:lvlText w:val="Table %1.%2."/>
      <w:lvlJc w:val="left"/>
      <w:pPr>
        <w:tabs>
          <w:tab w:val="num" w:pos="1134"/>
        </w:tabs>
        <w:ind w:left="1134" w:hanging="1134"/>
      </w:pPr>
      <w:rPr>
        <w:rFonts w:hint="default"/>
      </w:rPr>
    </w:lvl>
    <w:lvl w:ilvl="2">
      <w:start w:val="1"/>
      <w:numFmt w:val="decimal"/>
      <w:lvlRestart w:val="1"/>
      <w:lvlText w:val="%1.%3."/>
      <w:lvlJc w:val="left"/>
      <w:pPr>
        <w:ind w:left="0" w:hanging="1134"/>
      </w:pPr>
      <w:rPr>
        <w:rFonts w:hint="default"/>
      </w:rPr>
    </w:lvl>
    <w:lvl w:ilvl="3">
      <w:start w:val="1"/>
      <w:numFmt w:val="decimal"/>
      <w:lvlRestart w:val="1"/>
      <w:lvlText w:val="Table %1.%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23EF5266"/>
    <w:multiLevelType w:val="multilevel"/>
    <w:tmpl w:val="D15A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835337"/>
    <w:multiLevelType w:val="hybridMultilevel"/>
    <w:tmpl w:val="A074F4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515854"/>
    <w:multiLevelType w:val="hybridMultilevel"/>
    <w:tmpl w:val="442CD7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CB093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523EA8"/>
    <w:multiLevelType w:val="hybridMultilevel"/>
    <w:tmpl w:val="F34AE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82C5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4D06DEF"/>
    <w:multiLevelType w:val="multilevel"/>
    <w:tmpl w:val="2A94C7C8"/>
    <w:lvl w:ilvl="0">
      <w:start w:val="1"/>
      <w:numFmt w:val="decimal"/>
      <w:lvlText w:val="%1."/>
      <w:lvlJc w:val="left"/>
      <w:pPr>
        <w:ind w:left="0" w:hanging="1134"/>
      </w:pPr>
      <w:rPr>
        <w:rFonts w:hint="default"/>
      </w:rPr>
    </w:lvl>
    <w:lvl w:ilvl="1">
      <w:start w:val="1"/>
      <w:numFmt w:val="decimal"/>
      <w:lvlText w:val="Table %1.%2"/>
      <w:lvlJc w:val="left"/>
      <w:pPr>
        <w:tabs>
          <w:tab w:val="num" w:pos="1134"/>
        </w:tabs>
        <w:ind w:left="1134" w:hanging="1134"/>
      </w:pPr>
      <w:rPr>
        <w:rFonts w:hint="default"/>
      </w:rPr>
    </w:lvl>
    <w:lvl w:ilvl="2">
      <w:start w:val="1"/>
      <w:numFmt w:val="decimal"/>
      <w:lvlRestart w:val="1"/>
      <w:lvlText w:val="%1.%3."/>
      <w:lvlJc w:val="left"/>
      <w:pPr>
        <w:ind w:left="0" w:hanging="113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610B1D32"/>
    <w:multiLevelType w:val="multilevel"/>
    <w:tmpl w:val="B7C22C36"/>
    <w:lvl w:ilvl="0">
      <w:start w:val="1"/>
      <w:numFmt w:val="decimal"/>
      <w:lvlText w:val="A%1."/>
      <w:lvlJc w:val="left"/>
      <w:pPr>
        <w:ind w:left="-414" w:hanging="360"/>
      </w:pPr>
      <w:rPr>
        <w:rFonts w:hint="default"/>
        <w:color w:val="000000" w:themeColor="text1"/>
      </w:rPr>
    </w:lvl>
    <w:lvl w:ilvl="1">
      <w:start w:val="1"/>
      <w:numFmt w:val="lowerLetter"/>
      <w:lvlText w:val="%2."/>
      <w:lvlJc w:val="left"/>
      <w:pPr>
        <w:ind w:left="306" w:hanging="360"/>
      </w:pPr>
      <w:rPr>
        <w:rFonts w:hint="default"/>
      </w:rPr>
    </w:lvl>
    <w:lvl w:ilvl="2">
      <w:start w:val="1"/>
      <w:numFmt w:val="lowerRoman"/>
      <w:lvlText w:val="%3."/>
      <w:lvlJc w:val="right"/>
      <w:pPr>
        <w:ind w:left="1026" w:hanging="180"/>
      </w:pPr>
      <w:rPr>
        <w:rFonts w:hint="default"/>
      </w:rPr>
    </w:lvl>
    <w:lvl w:ilvl="3">
      <w:start w:val="1"/>
      <w:numFmt w:val="decimal"/>
      <w:lvlText w:val="%4."/>
      <w:lvlJc w:val="left"/>
      <w:pPr>
        <w:ind w:left="1746" w:hanging="360"/>
      </w:pPr>
      <w:rPr>
        <w:rFonts w:hint="default"/>
      </w:rPr>
    </w:lvl>
    <w:lvl w:ilvl="4">
      <w:start w:val="1"/>
      <w:numFmt w:val="lowerLetter"/>
      <w:lvlText w:val="%5."/>
      <w:lvlJc w:val="left"/>
      <w:pPr>
        <w:ind w:left="2466" w:hanging="360"/>
      </w:pPr>
      <w:rPr>
        <w:rFonts w:hint="default"/>
      </w:rPr>
    </w:lvl>
    <w:lvl w:ilvl="5">
      <w:start w:val="1"/>
      <w:numFmt w:val="lowerRoman"/>
      <w:lvlText w:val="%6."/>
      <w:lvlJc w:val="right"/>
      <w:pPr>
        <w:ind w:left="3186" w:hanging="180"/>
      </w:pPr>
      <w:rPr>
        <w:rFonts w:hint="default"/>
      </w:rPr>
    </w:lvl>
    <w:lvl w:ilvl="6">
      <w:start w:val="1"/>
      <w:numFmt w:val="decimal"/>
      <w:lvlText w:val="%7."/>
      <w:lvlJc w:val="left"/>
      <w:pPr>
        <w:ind w:left="3906" w:hanging="360"/>
      </w:pPr>
      <w:rPr>
        <w:rFonts w:hint="default"/>
      </w:rPr>
    </w:lvl>
    <w:lvl w:ilvl="7">
      <w:start w:val="1"/>
      <w:numFmt w:val="lowerLetter"/>
      <w:lvlText w:val="%8."/>
      <w:lvlJc w:val="left"/>
      <w:pPr>
        <w:ind w:left="4626" w:hanging="360"/>
      </w:pPr>
      <w:rPr>
        <w:rFonts w:hint="default"/>
      </w:rPr>
    </w:lvl>
    <w:lvl w:ilvl="8">
      <w:start w:val="1"/>
      <w:numFmt w:val="lowerRoman"/>
      <w:lvlText w:val="%9."/>
      <w:lvlJc w:val="right"/>
      <w:pPr>
        <w:ind w:left="5346" w:hanging="180"/>
      </w:pPr>
      <w:rPr>
        <w:rFonts w:hint="default"/>
      </w:rPr>
    </w:lvl>
  </w:abstractNum>
  <w:abstractNum w:abstractNumId="17" w15:restartNumberingAfterBreak="0">
    <w:nsid w:val="6B5C663E"/>
    <w:multiLevelType w:val="hybridMultilevel"/>
    <w:tmpl w:val="48E038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1324A2"/>
    <w:multiLevelType w:val="multilevel"/>
    <w:tmpl w:val="3D1A76FA"/>
    <w:lvl w:ilvl="0">
      <w:start w:val="1"/>
      <w:numFmt w:val="decimal"/>
      <w:lvlText w:val="%1."/>
      <w:lvlJc w:val="left"/>
      <w:pPr>
        <w:ind w:left="0" w:hanging="1134"/>
      </w:pPr>
      <w:rPr>
        <w:rFonts w:hint="default"/>
      </w:rPr>
    </w:lvl>
    <w:lvl w:ilvl="1">
      <w:start w:val="1"/>
      <w:numFmt w:val="decimal"/>
      <w:isLgl/>
      <w:lvlText w:val="Table %1.%2."/>
      <w:lvlJc w:val="left"/>
      <w:pPr>
        <w:ind w:left="1134" w:hanging="1134"/>
      </w:pPr>
      <w:rPr>
        <w:rFonts w:hint="default"/>
      </w:rPr>
    </w:lvl>
    <w:lvl w:ilvl="2">
      <w:start w:val="1"/>
      <w:numFmt w:val="decimal"/>
      <w:lvlRestart w:val="1"/>
      <w:lvlText w:val="%1.%3."/>
      <w:lvlJc w:val="left"/>
      <w:pPr>
        <w:ind w:left="0" w:hanging="113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F024E3B"/>
    <w:multiLevelType w:val="multilevel"/>
    <w:tmpl w:val="6B0C268E"/>
    <w:lvl w:ilvl="0">
      <w:start w:val="1"/>
      <w:numFmt w:val="decimal"/>
      <w:pStyle w:val="Heading1"/>
      <w:lvlText w:val="%1."/>
      <w:lvlJc w:val="left"/>
      <w:pPr>
        <w:ind w:left="0" w:hanging="1134"/>
      </w:pPr>
      <w:rPr>
        <w:rFonts w:ascii="Arial Bold" w:hAnsi="Arial Bold" w:hint="default"/>
        <w:b/>
        <w:bCs w:val="0"/>
        <w:i w:val="0"/>
        <w:iCs w:val="0"/>
        <w:caps w:val="0"/>
        <w:smallCaps w:val="0"/>
        <w:strike w:val="0"/>
        <w:dstrike w:val="0"/>
        <w:noProof w:val="0"/>
        <w:vanish w:val="0"/>
        <w:color w:val="000000" w:themeColor="text1"/>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odyText"/>
      <w:lvlText w:val="%1.%2"/>
      <w:lvlJc w:val="left"/>
      <w:pPr>
        <w:tabs>
          <w:tab w:val="num" w:pos="1134"/>
        </w:tabs>
        <w:ind w:left="1134" w:hanging="1134"/>
      </w:pPr>
      <w:rPr>
        <w:rFonts w:hint="default"/>
      </w:rPr>
    </w:lvl>
    <w:lvl w:ilvl="2">
      <w:start w:val="1"/>
      <w:numFmt w:val="decimal"/>
      <w:lvlRestart w:val="1"/>
      <w:pStyle w:val="Heading4"/>
      <w:lvlText w:val="Table %1.%3"/>
      <w:lvlJc w:val="left"/>
      <w:pPr>
        <w:ind w:left="0" w:hanging="1134"/>
      </w:pPr>
      <w:rPr>
        <w:rFonts w:hint="default"/>
      </w:rPr>
    </w:lvl>
    <w:lvl w:ilvl="3">
      <w:start w:val="1"/>
      <w:numFmt w:val="decimal"/>
      <w:lvlRestart w:val="1"/>
      <w:pStyle w:val="HeadingAppendices"/>
      <w:lvlText w:val="A%4."/>
      <w:lvlJc w:val="left"/>
      <w:pPr>
        <w:ind w:left="993" w:firstLine="0"/>
      </w:pPr>
      <w:rPr>
        <w:rFonts w:hint="default"/>
      </w:rPr>
    </w:lvl>
    <w:lvl w:ilvl="4">
      <w:start w:val="1"/>
      <w:numFmt w:val="decimal"/>
      <w:pStyle w:val="BodytextAppendices"/>
      <w:lvlText w:val="A%4.%5"/>
      <w:lvlJc w:val="left"/>
      <w:pPr>
        <w:ind w:left="0" w:firstLine="0"/>
      </w:pPr>
      <w:rPr>
        <w:rFonts w:hint="default"/>
      </w:rPr>
    </w:lvl>
    <w:lvl w:ilvl="5">
      <w:start w:val="1"/>
      <w:numFmt w:val="decimal"/>
      <w:lvlRestart w:val="4"/>
      <w:pStyle w:val="Heading5"/>
      <w:lvlText w:val="Table A%4.%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399063955">
    <w:abstractNumId w:val="3"/>
  </w:num>
  <w:num w:numId="2" w16cid:durableId="807626407">
    <w:abstractNumId w:val="18"/>
  </w:num>
  <w:num w:numId="3" w16cid:durableId="1890259351">
    <w:abstractNumId w:val="12"/>
  </w:num>
  <w:num w:numId="4" w16cid:durableId="928194845">
    <w:abstractNumId w:val="8"/>
  </w:num>
  <w:num w:numId="5" w16cid:durableId="1182742935">
    <w:abstractNumId w:val="1"/>
  </w:num>
  <w:num w:numId="6" w16cid:durableId="1690910819">
    <w:abstractNumId w:val="2"/>
  </w:num>
  <w:num w:numId="7" w16cid:durableId="1363088749">
    <w:abstractNumId w:val="0"/>
  </w:num>
  <w:num w:numId="8" w16cid:durableId="196295157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76974585">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6058181">
    <w:abstractNumId w:val="15"/>
  </w:num>
  <w:num w:numId="11" w16cid:durableId="111281865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5560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3459216">
    <w:abstractNumId w:val="19"/>
  </w:num>
  <w:num w:numId="14" w16cid:durableId="1613590966">
    <w:abstractNumId w:val="16"/>
  </w:num>
  <w:num w:numId="15" w16cid:durableId="1169517413">
    <w:abstractNumId w:val="14"/>
  </w:num>
  <w:num w:numId="16" w16cid:durableId="15262874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5863503">
    <w:abstractNumId w:val="7"/>
  </w:num>
  <w:num w:numId="18" w16cid:durableId="10195035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10908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1134165">
    <w:abstractNumId w:val="19"/>
    <w:lvlOverride w:ilvl="0">
      <w:startOverride w:val="6"/>
    </w:lvlOverride>
    <w:lvlOverride w:ilvl="1">
      <w:startOverride w:val="10"/>
    </w:lvlOverride>
    <w:lvlOverride w:ilvl="2"/>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5712154">
    <w:abstractNumId w:val="13"/>
  </w:num>
  <w:num w:numId="22" w16cid:durableId="915163989">
    <w:abstractNumId w:val="2"/>
    <w:lvlOverride w:ilvl="0">
      <w:startOverride w:val="1"/>
    </w:lvlOverride>
  </w:num>
  <w:num w:numId="23" w16cid:durableId="884408649">
    <w:abstractNumId w:val="19"/>
  </w:num>
  <w:num w:numId="24" w16cid:durableId="271597855">
    <w:abstractNumId w:val="1"/>
  </w:num>
  <w:num w:numId="25" w16cid:durableId="21208800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9679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1373617">
    <w:abstractNumId w:val="11"/>
  </w:num>
  <w:num w:numId="28" w16cid:durableId="1047686303">
    <w:abstractNumId w:val="6"/>
  </w:num>
  <w:num w:numId="29" w16cid:durableId="1177307343">
    <w:abstractNumId w:val="17"/>
  </w:num>
  <w:num w:numId="30" w16cid:durableId="549612364">
    <w:abstractNumId w:val="10"/>
  </w:num>
  <w:num w:numId="31" w16cid:durableId="11655903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MwMDGxMLE0MTQ1NjdW0lEKTi0uzszPAykwrAUAMKe3BiwAAAA="/>
  </w:docVars>
  <w:rsids>
    <w:rsidRoot w:val="00A71A4B"/>
    <w:rsid w:val="000040E0"/>
    <w:rsid w:val="000239C5"/>
    <w:rsid w:val="00031FE4"/>
    <w:rsid w:val="00032C3A"/>
    <w:rsid w:val="0004427A"/>
    <w:rsid w:val="00045D43"/>
    <w:rsid w:val="0004768C"/>
    <w:rsid w:val="0005691F"/>
    <w:rsid w:val="00057E05"/>
    <w:rsid w:val="000601C1"/>
    <w:rsid w:val="00072ABA"/>
    <w:rsid w:val="00080D2B"/>
    <w:rsid w:val="0009012F"/>
    <w:rsid w:val="000928BB"/>
    <w:rsid w:val="00093E39"/>
    <w:rsid w:val="000A398F"/>
    <w:rsid w:val="000A492D"/>
    <w:rsid w:val="000C4312"/>
    <w:rsid w:val="000E2C40"/>
    <w:rsid w:val="000E5F71"/>
    <w:rsid w:val="000F27CF"/>
    <w:rsid w:val="000F553F"/>
    <w:rsid w:val="000F7E90"/>
    <w:rsid w:val="00101A8D"/>
    <w:rsid w:val="00125021"/>
    <w:rsid w:val="001275EC"/>
    <w:rsid w:val="001363F5"/>
    <w:rsid w:val="0015437E"/>
    <w:rsid w:val="00156871"/>
    <w:rsid w:val="00173BB1"/>
    <w:rsid w:val="00176DDA"/>
    <w:rsid w:val="00191670"/>
    <w:rsid w:val="00195A68"/>
    <w:rsid w:val="001A060D"/>
    <w:rsid w:val="001C0B51"/>
    <w:rsid w:val="001C5D1B"/>
    <w:rsid w:val="001C7A3A"/>
    <w:rsid w:val="001E0B96"/>
    <w:rsid w:val="001F4248"/>
    <w:rsid w:val="001F5A75"/>
    <w:rsid w:val="002125A6"/>
    <w:rsid w:val="00212B67"/>
    <w:rsid w:val="00230C7F"/>
    <w:rsid w:val="002350D1"/>
    <w:rsid w:val="00241FE4"/>
    <w:rsid w:val="002579F3"/>
    <w:rsid w:val="00267688"/>
    <w:rsid w:val="002912CA"/>
    <w:rsid w:val="002A4331"/>
    <w:rsid w:val="002A7016"/>
    <w:rsid w:val="002C1270"/>
    <w:rsid w:val="002C7DBD"/>
    <w:rsid w:val="002D5260"/>
    <w:rsid w:val="002E733C"/>
    <w:rsid w:val="002F52EA"/>
    <w:rsid w:val="0030143E"/>
    <w:rsid w:val="003137A6"/>
    <w:rsid w:val="0031523C"/>
    <w:rsid w:val="00320754"/>
    <w:rsid w:val="003217B5"/>
    <w:rsid w:val="003257DE"/>
    <w:rsid w:val="00326E3F"/>
    <w:rsid w:val="00334065"/>
    <w:rsid w:val="00343C7D"/>
    <w:rsid w:val="00346895"/>
    <w:rsid w:val="00376BAB"/>
    <w:rsid w:val="00384239"/>
    <w:rsid w:val="003915B4"/>
    <w:rsid w:val="003B61D5"/>
    <w:rsid w:val="003C63D4"/>
    <w:rsid w:val="003C6B05"/>
    <w:rsid w:val="003D20D0"/>
    <w:rsid w:val="003D27FA"/>
    <w:rsid w:val="003D3491"/>
    <w:rsid w:val="00405F80"/>
    <w:rsid w:val="00415425"/>
    <w:rsid w:val="00416435"/>
    <w:rsid w:val="00422DB7"/>
    <w:rsid w:val="00426E61"/>
    <w:rsid w:val="00427159"/>
    <w:rsid w:val="00433735"/>
    <w:rsid w:val="00436758"/>
    <w:rsid w:val="0044046B"/>
    <w:rsid w:val="00444996"/>
    <w:rsid w:val="00455EC4"/>
    <w:rsid w:val="00485C94"/>
    <w:rsid w:val="004B2572"/>
    <w:rsid w:val="004B3BB1"/>
    <w:rsid w:val="00534411"/>
    <w:rsid w:val="00546D58"/>
    <w:rsid w:val="00546E95"/>
    <w:rsid w:val="005565A8"/>
    <w:rsid w:val="005753EC"/>
    <w:rsid w:val="00576396"/>
    <w:rsid w:val="00586065"/>
    <w:rsid w:val="00586923"/>
    <w:rsid w:val="0059738B"/>
    <w:rsid w:val="005A7A7B"/>
    <w:rsid w:val="005B597E"/>
    <w:rsid w:val="005C0E05"/>
    <w:rsid w:val="005C33F6"/>
    <w:rsid w:val="005D03FE"/>
    <w:rsid w:val="005F5948"/>
    <w:rsid w:val="00607E11"/>
    <w:rsid w:val="00614574"/>
    <w:rsid w:val="006154CF"/>
    <w:rsid w:val="00641F7D"/>
    <w:rsid w:val="00662FF1"/>
    <w:rsid w:val="00666A5C"/>
    <w:rsid w:val="00671CB6"/>
    <w:rsid w:val="00673D0D"/>
    <w:rsid w:val="00675BCD"/>
    <w:rsid w:val="00677F83"/>
    <w:rsid w:val="00681669"/>
    <w:rsid w:val="0068691F"/>
    <w:rsid w:val="00690AD6"/>
    <w:rsid w:val="006931F3"/>
    <w:rsid w:val="006B3E54"/>
    <w:rsid w:val="006B468A"/>
    <w:rsid w:val="006D0E73"/>
    <w:rsid w:val="006E06A8"/>
    <w:rsid w:val="006E173E"/>
    <w:rsid w:val="006E43EB"/>
    <w:rsid w:val="006E4FBD"/>
    <w:rsid w:val="006E695B"/>
    <w:rsid w:val="006F0E5D"/>
    <w:rsid w:val="006F2DB7"/>
    <w:rsid w:val="006F2F0B"/>
    <w:rsid w:val="006F6561"/>
    <w:rsid w:val="00700103"/>
    <w:rsid w:val="0070576A"/>
    <w:rsid w:val="0071142F"/>
    <w:rsid w:val="0071179E"/>
    <w:rsid w:val="00732491"/>
    <w:rsid w:val="00755EFE"/>
    <w:rsid w:val="0075798F"/>
    <w:rsid w:val="00765FD7"/>
    <w:rsid w:val="0078306F"/>
    <w:rsid w:val="0079693C"/>
    <w:rsid w:val="007A7A64"/>
    <w:rsid w:val="007B48A1"/>
    <w:rsid w:val="007C5D54"/>
    <w:rsid w:val="007D3E0A"/>
    <w:rsid w:val="007D46D7"/>
    <w:rsid w:val="007D7664"/>
    <w:rsid w:val="007E34FC"/>
    <w:rsid w:val="007E36A0"/>
    <w:rsid w:val="007F59EA"/>
    <w:rsid w:val="007F7BA1"/>
    <w:rsid w:val="008014DD"/>
    <w:rsid w:val="008102A3"/>
    <w:rsid w:val="00811100"/>
    <w:rsid w:val="00814030"/>
    <w:rsid w:val="00825D12"/>
    <w:rsid w:val="00826525"/>
    <w:rsid w:val="00844C10"/>
    <w:rsid w:val="00857463"/>
    <w:rsid w:val="0086741C"/>
    <w:rsid w:val="00874DED"/>
    <w:rsid w:val="008838FF"/>
    <w:rsid w:val="00883B96"/>
    <w:rsid w:val="008A7400"/>
    <w:rsid w:val="008C7AF2"/>
    <w:rsid w:val="008D27F9"/>
    <w:rsid w:val="008D2ECB"/>
    <w:rsid w:val="008D7613"/>
    <w:rsid w:val="008F0787"/>
    <w:rsid w:val="009065EA"/>
    <w:rsid w:val="009143E4"/>
    <w:rsid w:val="0091447C"/>
    <w:rsid w:val="00940468"/>
    <w:rsid w:val="00942AC1"/>
    <w:rsid w:val="009447AD"/>
    <w:rsid w:val="00961732"/>
    <w:rsid w:val="00972E38"/>
    <w:rsid w:val="009909FC"/>
    <w:rsid w:val="00994026"/>
    <w:rsid w:val="009C6D1F"/>
    <w:rsid w:val="009C7726"/>
    <w:rsid w:val="009D14A4"/>
    <w:rsid w:val="009D517F"/>
    <w:rsid w:val="009D5423"/>
    <w:rsid w:val="009E1861"/>
    <w:rsid w:val="009E43FA"/>
    <w:rsid w:val="00A13337"/>
    <w:rsid w:val="00A35CE4"/>
    <w:rsid w:val="00A47E9B"/>
    <w:rsid w:val="00A545C2"/>
    <w:rsid w:val="00A60458"/>
    <w:rsid w:val="00A61500"/>
    <w:rsid w:val="00A63320"/>
    <w:rsid w:val="00A643CF"/>
    <w:rsid w:val="00A6634B"/>
    <w:rsid w:val="00A711B2"/>
    <w:rsid w:val="00A71A4B"/>
    <w:rsid w:val="00A7631A"/>
    <w:rsid w:val="00A76A61"/>
    <w:rsid w:val="00A86AD8"/>
    <w:rsid w:val="00A87D4F"/>
    <w:rsid w:val="00A903F1"/>
    <w:rsid w:val="00A90BC7"/>
    <w:rsid w:val="00A94691"/>
    <w:rsid w:val="00A97B16"/>
    <w:rsid w:val="00AB0498"/>
    <w:rsid w:val="00AC2760"/>
    <w:rsid w:val="00AD41FC"/>
    <w:rsid w:val="00AE03D1"/>
    <w:rsid w:val="00AE69C1"/>
    <w:rsid w:val="00AF0649"/>
    <w:rsid w:val="00B11CDF"/>
    <w:rsid w:val="00B15677"/>
    <w:rsid w:val="00B21385"/>
    <w:rsid w:val="00B27F48"/>
    <w:rsid w:val="00B45F40"/>
    <w:rsid w:val="00B57CBF"/>
    <w:rsid w:val="00B60537"/>
    <w:rsid w:val="00B8034B"/>
    <w:rsid w:val="00B91A51"/>
    <w:rsid w:val="00B96DD7"/>
    <w:rsid w:val="00BA3588"/>
    <w:rsid w:val="00BA398C"/>
    <w:rsid w:val="00BA6B96"/>
    <w:rsid w:val="00BB5A5F"/>
    <w:rsid w:val="00BD6426"/>
    <w:rsid w:val="00BE537C"/>
    <w:rsid w:val="00BE57F7"/>
    <w:rsid w:val="00BF36D9"/>
    <w:rsid w:val="00C1408C"/>
    <w:rsid w:val="00C20546"/>
    <w:rsid w:val="00C22FBA"/>
    <w:rsid w:val="00C238E4"/>
    <w:rsid w:val="00C4521B"/>
    <w:rsid w:val="00C5298F"/>
    <w:rsid w:val="00C60613"/>
    <w:rsid w:val="00C71AD3"/>
    <w:rsid w:val="00C727F8"/>
    <w:rsid w:val="00C7515D"/>
    <w:rsid w:val="00CB57AC"/>
    <w:rsid w:val="00CD41C6"/>
    <w:rsid w:val="00CE3260"/>
    <w:rsid w:val="00CE37DE"/>
    <w:rsid w:val="00CE4565"/>
    <w:rsid w:val="00CE6AF1"/>
    <w:rsid w:val="00CF0C42"/>
    <w:rsid w:val="00CF7BE7"/>
    <w:rsid w:val="00D1509E"/>
    <w:rsid w:val="00D20C3D"/>
    <w:rsid w:val="00D23451"/>
    <w:rsid w:val="00D24E1B"/>
    <w:rsid w:val="00D2689D"/>
    <w:rsid w:val="00D27525"/>
    <w:rsid w:val="00D30CCF"/>
    <w:rsid w:val="00D323CC"/>
    <w:rsid w:val="00D33534"/>
    <w:rsid w:val="00D41A14"/>
    <w:rsid w:val="00D437DC"/>
    <w:rsid w:val="00D43DC0"/>
    <w:rsid w:val="00D50A00"/>
    <w:rsid w:val="00D62B27"/>
    <w:rsid w:val="00D66A27"/>
    <w:rsid w:val="00D674CC"/>
    <w:rsid w:val="00D707C5"/>
    <w:rsid w:val="00DA59A2"/>
    <w:rsid w:val="00DA7D24"/>
    <w:rsid w:val="00DB30C6"/>
    <w:rsid w:val="00DB47AA"/>
    <w:rsid w:val="00DC09D6"/>
    <w:rsid w:val="00DC7193"/>
    <w:rsid w:val="00DF0E80"/>
    <w:rsid w:val="00DF4459"/>
    <w:rsid w:val="00E06987"/>
    <w:rsid w:val="00E11196"/>
    <w:rsid w:val="00E16F74"/>
    <w:rsid w:val="00E244F6"/>
    <w:rsid w:val="00E25E80"/>
    <w:rsid w:val="00E26086"/>
    <w:rsid w:val="00E37307"/>
    <w:rsid w:val="00E40111"/>
    <w:rsid w:val="00E40F2C"/>
    <w:rsid w:val="00E4324B"/>
    <w:rsid w:val="00E4466A"/>
    <w:rsid w:val="00E44EDE"/>
    <w:rsid w:val="00E53821"/>
    <w:rsid w:val="00E5445D"/>
    <w:rsid w:val="00E84F52"/>
    <w:rsid w:val="00E86166"/>
    <w:rsid w:val="00E90C24"/>
    <w:rsid w:val="00E954ED"/>
    <w:rsid w:val="00E96FF0"/>
    <w:rsid w:val="00EA7759"/>
    <w:rsid w:val="00EB1E5D"/>
    <w:rsid w:val="00EB7BFA"/>
    <w:rsid w:val="00EC2686"/>
    <w:rsid w:val="00EC5053"/>
    <w:rsid w:val="00ED11FB"/>
    <w:rsid w:val="00ED1B91"/>
    <w:rsid w:val="00ED2BF8"/>
    <w:rsid w:val="00ED4661"/>
    <w:rsid w:val="00EE347A"/>
    <w:rsid w:val="00EE7D39"/>
    <w:rsid w:val="00F14ADC"/>
    <w:rsid w:val="00F25641"/>
    <w:rsid w:val="00F2591C"/>
    <w:rsid w:val="00F27A9F"/>
    <w:rsid w:val="00F35753"/>
    <w:rsid w:val="00F3773B"/>
    <w:rsid w:val="00F54459"/>
    <w:rsid w:val="00F66044"/>
    <w:rsid w:val="00F762FD"/>
    <w:rsid w:val="00FB5DC6"/>
    <w:rsid w:val="00FB6070"/>
    <w:rsid w:val="00FC4A83"/>
    <w:rsid w:val="00FE2A24"/>
    <w:rsid w:val="00FE2B9D"/>
    <w:rsid w:val="00FF0772"/>
    <w:rsid w:val="00FF62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8E0CE"/>
  <w15:docId w15:val="{77859412-D3E0-4CC3-9EF3-2178CE23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7"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1" w:unhideWhenUsed="1"/>
    <w:lsdException w:name="envelope return" w:semiHidden="1" w:uiPriority="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lsdException w:name="List 2" w:semiHidden="1" w:unhideWhenUsed="1"/>
    <w:lsdException w:name="List 3" w:semiHidden="1" w:unhideWhenUsed="1"/>
    <w:lsdException w:name="List 4" w:semiHidden="1"/>
    <w:lsdException w:name="List 5" w:semiHidden="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iPriority="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qFormat="1"/>
    <w:lsdException w:name="Emphasis" w:uiPriority="1" w:qFormat="1"/>
    <w:lsdException w:name="Document Map" w:semiHidden="1" w:uiPriority="1" w:unhideWhenUsed="1"/>
    <w:lsdException w:name="Plain Text" w:semiHidden="1" w:unhideWhenUsed="1"/>
    <w:lsdException w:name="E-mail Signature" w:semiHidden="1" w:uiPriority="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6"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7"/>
    <w:rsid w:val="00AE69C1"/>
    <w:pPr>
      <w:spacing w:after="360" w:line="360" w:lineRule="auto"/>
      <w:jc w:val="both"/>
    </w:pPr>
    <w:rPr>
      <w:rFonts w:asciiTheme="minorHAnsi" w:hAnsiTheme="minorHAnsi"/>
    </w:rPr>
  </w:style>
  <w:style w:type="paragraph" w:styleId="Heading1">
    <w:name w:val="heading 1"/>
    <w:aliases w:val="Heading,Heading 1 - chapter,Chapter,Chapter head,L1,CH,. (1.0),Do Not Use,Numbered 1,H1,H11,H12,Chapter1,Chapter2,Chapter Hdg,Section Heading,Heading 1 Char Char,Heading 1 Char Char Char Char Char Char,Outline1,1 ghost,g,Oscar Faber 1,Section"/>
    <w:basedOn w:val="Normal"/>
    <w:next w:val="BodyText"/>
    <w:link w:val="Heading1Char"/>
    <w:uiPriority w:val="2"/>
    <w:qFormat/>
    <w:rsid w:val="00D27525"/>
    <w:pPr>
      <w:keepNext/>
      <w:keepLines/>
      <w:pageBreakBefore/>
      <w:numPr>
        <w:numId w:val="13"/>
      </w:numPr>
      <w:spacing w:after="600"/>
      <w:ind w:hanging="709"/>
      <w:outlineLvl w:val="0"/>
    </w:pPr>
    <w:rPr>
      <w:rFonts w:asciiTheme="majorHAnsi" w:eastAsiaTheme="majorEastAsia" w:hAnsiTheme="majorHAnsi" w:cstheme="majorBidi"/>
      <w:b/>
      <w:bCs/>
      <w:caps/>
      <w:color w:val="000000" w:themeColor="text1"/>
      <w:sz w:val="28"/>
      <w:szCs w:val="28"/>
    </w:rPr>
  </w:style>
  <w:style w:type="paragraph" w:styleId="Heading2">
    <w:name w:val="heading 2"/>
    <w:aliases w:val="F7 Sub Heading,Main Heading,Main Headi,Heading 2a,Sub Heading,Numbered - 2,do not use,h2,2,Titre 2,l2,list + change bar,???,h21,ASection,ash,KJL:1st Level,Reset numbering,PARA2,S Heading,S Heading 2,1.1.1 heading,m,H2,TF-Overskrit 2,2m"/>
    <w:basedOn w:val="Normal"/>
    <w:next w:val="BodyText"/>
    <w:link w:val="Heading2Char"/>
    <w:uiPriority w:val="2"/>
    <w:qFormat/>
    <w:rsid w:val="00A711B2"/>
    <w:pPr>
      <w:keepNext/>
      <w:keepLines/>
      <w:pBdr>
        <w:bottom w:val="single" w:sz="4" w:space="1" w:color="000000" w:themeColor="text1"/>
      </w:pBdr>
      <w:spacing w:before="360" w:after="240"/>
      <w:outlineLvl w:val="1"/>
    </w:pPr>
    <w:rPr>
      <w:b/>
      <w:color w:val="000000" w:themeColor="text1"/>
    </w:rPr>
  </w:style>
  <w:style w:type="paragraph" w:styleId="Heading3">
    <w:name w:val="heading 3"/>
    <w:basedOn w:val="Normal"/>
    <w:next w:val="BodyText"/>
    <w:link w:val="Heading3Char"/>
    <w:uiPriority w:val="2"/>
    <w:qFormat/>
    <w:rsid w:val="00F35753"/>
    <w:pPr>
      <w:keepNext/>
      <w:keepLines/>
      <w:spacing w:before="240" w:after="0"/>
      <w:outlineLvl w:val="2"/>
    </w:pPr>
    <w:rPr>
      <w:b/>
      <w:color w:val="808080" w:themeColor="background1" w:themeShade="80"/>
    </w:rPr>
  </w:style>
  <w:style w:type="paragraph" w:styleId="Heading4">
    <w:name w:val="heading 4"/>
    <w:aliases w:val="Table"/>
    <w:basedOn w:val="Normal"/>
    <w:next w:val="Normal"/>
    <w:link w:val="Heading4Char"/>
    <w:uiPriority w:val="2"/>
    <w:qFormat/>
    <w:rsid w:val="00D27525"/>
    <w:pPr>
      <w:keepNext/>
      <w:numPr>
        <w:ilvl w:val="2"/>
        <w:numId w:val="13"/>
      </w:numPr>
      <w:tabs>
        <w:tab w:val="left" w:pos="1134"/>
      </w:tabs>
      <w:spacing w:before="200" w:after="0"/>
      <w:ind w:left="1134"/>
      <w:outlineLvl w:val="3"/>
    </w:pPr>
    <w:rPr>
      <w:b/>
      <w:color w:val="646464" w:themeColor="background2"/>
    </w:rPr>
  </w:style>
  <w:style w:type="paragraph" w:styleId="Heading5">
    <w:name w:val="heading 5"/>
    <w:aliases w:val="Table Appendices,Level 3 - i,h5,1cm Indent,Heading 5(unused),Level 3 - (i),Third Level Heading,Response Type,Response Type1,Response Type2,Response Type3,Response Type4,Response Type5,Response Type6,Response Type7,Appendix A to X,H5"/>
    <w:basedOn w:val="Normal"/>
    <w:next w:val="Normal"/>
    <w:link w:val="Heading5Char"/>
    <w:uiPriority w:val="2"/>
    <w:qFormat/>
    <w:rsid w:val="00A63320"/>
    <w:pPr>
      <w:keepNext/>
      <w:numPr>
        <w:ilvl w:val="5"/>
        <w:numId w:val="13"/>
      </w:numPr>
      <w:tabs>
        <w:tab w:val="left" w:pos="1418"/>
      </w:tabs>
      <w:spacing w:before="200" w:after="0"/>
      <w:outlineLvl w:val="4"/>
    </w:pPr>
    <w:rPr>
      <w:rFonts w:asciiTheme="majorHAnsi" w:eastAsiaTheme="majorEastAsia" w:hAnsiTheme="majorHAnsi" w:cstheme="majorBidi"/>
      <w:b/>
      <w:color w:val="646464"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Heading 1 - chapter Char,Chapter Char,Chapter head Char,L1 Char,CH Char,. (1.0) Char,Do Not Use Char,Numbered 1 Char,H1 Char,H11 Char,H12 Char,Chapter1 Char,Chapter2 Char,Chapter Hdg Char,Section Heading Char,Outline1 Char"/>
    <w:basedOn w:val="DefaultParagraphFont"/>
    <w:link w:val="Heading1"/>
    <w:uiPriority w:val="2"/>
    <w:rsid w:val="00586065"/>
    <w:rPr>
      <w:rFonts w:asciiTheme="majorHAnsi" w:eastAsiaTheme="majorEastAsia" w:hAnsiTheme="majorHAnsi" w:cstheme="majorBidi"/>
      <w:b/>
      <w:bCs/>
      <w:caps/>
      <w:color w:val="000000" w:themeColor="text1"/>
      <w:sz w:val="28"/>
      <w:szCs w:val="28"/>
    </w:rPr>
  </w:style>
  <w:style w:type="character" w:customStyle="1" w:styleId="Heading2Char">
    <w:name w:val="Heading 2 Char"/>
    <w:aliases w:val="F7 Sub Heading Char,Main Heading Char,Main Headi Char,Heading 2a Char,Sub Heading Char,Numbered - 2 Char,do not use Char,h2 Char,2 Char,Titre 2 Char,l2 Char,list + change bar Char,??? Char,h21 Char,ASection Char,ash Char,PARA2 Char,m Char"/>
    <w:basedOn w:val="DefaultParagraphFont"/>
    <w:link w:val="Heading2"/>
    <w:uiPriority w:val="2"/>
    <w:rsid w:val="00A711B2"/>
    <w:rPr>
      <w:rFonts w:asciiTheme="minorHAnsi" w:hAnsiTheme="minorHAnsi"/>
      <w:b/>
      <w:color w:val="000000" w:themeColor="text1"/>
    </w:rPr>
  </w:style>
  <w:style w:type="character" w:customStyle="1" w:styleId="Heading3Char">
    <w:name w:val="Heading 3 Char"/>
    <w:basedOn w:val="DefaultParagraphFont"/>
    <w:link w:val="Heading3"/>
    <w:uiPriority w:val="2"/>
    <w:rsid w:val="00F35753"/>
    <w:rPr>
      <w:rFonts w:asciiTheme="minorHAnsi" w:hAnsiTheme="minorHAnsi"/>
      <w:b/>
      <w:color w:val="808080" w:themeColor="background1" w:themeShade="80"/>
    </w:rPr>
  </w:style>
  <w:style w:type="character" w:customStyle="1" w:styleId="Heading4Char">
    <w:name w:val="Heading 4 Char"/>
    <w:aliases w:val="Table Char"/>
    <w:basedOn w:val="DefaultParagraphFont"/>
    <w:link w:val="Heading4"/>
    <w:uiPriority w:val="2"/>
    <w:rsid w:val="00671CB6"/>
    <w:rPr>
      <w:rFonts w:asciiTheme="minorHAnsi" w:hAnsiTheme="minorHAnsi"/>
      <w:b/>
      <w:color w:val="646464" w:themeColor="background2"/>
    </w:rPr>
  </w:style>
  <w:style w:type="paragraph" w:styleId="Quote">
    <w:name w:val="Quote"/>
    <w:basedOn w:val="Normal"/>
    <w:next w:val="BodyText"/>
    <w:link w:val="QuoteChar"/>
    <w:uiPriority w:val="6"/>
    <w:rsid w:val="00A903F1"/>
    <w:pPr>
      <w:shd w:val="clear" w:color="auto" w:fill="222C56"/>
      <w:ind w:left="142" w:right="142"/>
      <w:jc w:val="left"/>
    </w:pPr>
    <w:rPr>
      <w:i/>
      <w:iCs/>
      <w:color w:val="FFFFFF" w:themeColor="background1"/>
      <w:szCs w:val="24"/>
    </w:rPr>
  </w:style>
  <w:style w:type="character" w:customStyle="1" w:styleId="QuoteChar">
    <w:name w:val="Quote Char"/>
    <w:basedOn w:val="DefaultParagraphFont"/>
    <w:link w:val="Quote"/>
    <w:uiPriority w:val="6"/>
    <w:rsid w:val="00A903F1"/>
    <w:rPr>
      <w:rFonts w:asciiTheme="minorHAnsi" w:hAnsiTheme="minorHAnsi"/>
      <w:i/>
      <w:iCs/>
      <w:color w:val="FFFFFF" w:themeColor="background1"/>
      <w:szCs w:val="24"/>
      <w:shd w:val="clear" w:color="auto" w:fill="222C56"/>
    </w:rPr>
  </w:style>
  <w:style w:type="paragraph" w:styleId="BodyText">
    <w:name w:val="Body Text"/>
    <w:basedOn w:val="Normal"/>
    <w:link w:val="BodyTextChar"/>
    <w:uiPriority w:val="1"/>
    <w:qFormat/>
    <w:rsid w:val="00D27525"/>
    <w:pPr>
      <w:numPr>
        <w:ilvl w:val="1"/>
        <w:numId w:val="13"/>
      </w:numPr>
      <w:tabs>
        <w:tab w:val="clear" w:pos="1134"/>
        <w:tab w:val="num" w:pos="0"/>
      </w:tabs>
      <w:ind w:left="0" w:hanging="709"/>
    </w:pPr>
  </w:style>
  <w:style w:type="character" w:customStyle="1" w:styleId="BodyTextChar">
    <w:name w:val="Body Text Char"/>
    <w:basedOn w:val="DefaultParagraphFont"/>
    <w:link w:val="BodyText"/>
    <w:uiPriority w:val="1"/>
    <w:rsid w:val="00F35753"/>
    <w:rPr>
      <w:rFonts w:asciiTheme="minorHAnsi" w:hAnsiTheme="minorHAnsi"/>
    </w:rPr>
  </w:style>
  <w:style w:type="paragraph" w:styleId="ListBullet">
    <w:name w:val="List Bullet"/>
    <w:basedOn w:val="Normal"/>
    <w:uiPriority w:val="1"/>
    <w:qFormat/>
    <w:rsid w:val="00A903F1"/>
    <w:pPr>
      <w:numPr>
        <w:numId w:val="1"/>
      </w:numPr>
      <w:spacing w:after="240"/>
      <w:ind w:left="357" w:hanging="357"/>
    </w:pPr>
  </w:style>
  <w:style w:type="paragraph" w:customStyle="1" w:styleId="BodyTextfortables">
    <w:name w:val="Body Text_for tables"/>
    <w:basedOn w:val="BodyText"/>
    <w:uiPriority w:val="1"/>
    <w:rsid w:val="00F35753"/>
    <w:pPr>
      <w:numPr>
        <w:ilvl w:val="0"/>
        <w:numId w:val="0"/>
      </w:numPr>
      <w:spacing w:before="60" w:after="60" w:line="264" w:lineRule="auto"/>
      <w:jc w:val="left"/>
    </w:pPr>
  </w:style>
  <w:style w:type="paragraph" w:customStyle="1" w:styleId="BodyTextbeforebullet">
    <w:name w:val="Body Text_before bullet"/>
    <w:basedOn w:val="BodyText"/>
    <w:next w:val="ListBullet"/>
    <w:uiPriority w:val="1"/>
    <w:qFormat/>
    <w:rsid w:val="00690AD6"/>
    <w:pPr>
      <w:keepNext/>
      <w:keepLines/>
      <w:spacing w:after="120"/>
    </w:pPr>
  </w:style>
  <w:style w:type="paragraph" w:customStyle="1" w:styleId="Notes">
    <w:name w:val="Notes"/>
    <w:basedOn w:val="Normal"/>
    <w:next w:val="BodyText"/>
    <w:uiPriority w:val="6"/>
    <w:rsid w:val="00241FE4"/>
    <w:pPr>
      <w:tabs>
        <w:tab w:val="left" w:pos="709"/>
      </w:tabs>
      <w:spacing w:before="60" w:after="240" w:line="480" w:lineRule="auto"/>
      <w:jc w:val="left"/>
    </w:pPr>
    <w:rPr>
      <w:color w:val="808080" w:themeColor="background1" w:themeShade="80"/>
      <w:sz w:val="18"/>
      <w:szCs w:val="18"/>
    </w:rPr>
  </w:style>
  <w:style w:type="paragraph" w:customStyle="1" w:styleId="NormalIndent">
    <w:name w:val="Normal_Indent"/>
    <w:basedOn w:val="Normal"/>
    <w:uiPriority w:val="7"/>
    <w:rsid w:val="00F35753"/>
    <w:pPr>
      <w:ind w:left="567" w:hanging="567"/>
    </w:pPr>
  </w:style>
  <w:style w:type="paragraph" w:customStyle="1" w:styleId="Normalbeforebullet">
    <w:name w:val="Normal_before bullet"/>
    <w:basedOn w:val="Normal"/>
    <w:uiPriority w:val="7"/>
    <w:rsid w:val="00690AD6"/>
    <w:pPr>
      <w:spacing w:after="120"/>
    </w:pPr>
  </w:style>
  <w:style w:type="paragraph" w:customStyle="1" w:styleId="TOCtitle">
    <w:name w:val="TOC title"/>
    <w:basedOn w:val="Normal"/>
    <w:uiPriority w:val="9"/>
    <w:semiHidden/>
    <w:rsid w:val="00690AD6"/>
    <w:pPr>
      <w:keepNext/>
      <w:keepLines/>
      <w:pageBreakBefore/>
      <w:spacing w:after="1440"/>
    </w:pPr>
    <w:rPr>
      <w:b/>
      <w:caps/>
      <w:color w:val="000000" w:themeColor="text1"/>
      <w:sz w:val="28"/>
      <w:szCs w:val="28"/>
    </w:rPr>
  </w:style>
  <w:style w:type="character" w:styleId="Hyperlink">
    <w:name w:val="Hyperlink"/>
    <w:basedOn w:val="DefaultParagraphFont"/>
    <w:uiPriority w:val="99"/>
    <w:rsid w:val="00690AD6"/>
    <w:rPr>
      <w:color w:val="2C2A6B" w:themeColor="hyperlink"/>
      <w:u w:val="single"/>
    </w:rPr>
  </w:style>
  <w:style w:type="paragraph" w:styleId="TOC1">
    <w:name w:val="toc 1"/>
    <w:basedOn w:val="Normal"/>
    <w:next w:val="Normal"/>
    <w:autoRedefine/>
    <w:uiPriority w:val="39"/>
    <w:rsid w:val="00607E11"/>
    <w:pPr>
      <w:tabs>
        <w:tab w:val="left" w:pos="440"/>
        <w:tab w:val="right" w:leader="dot" w:pos="7938"/>
      </w:tabs>
      <w:spacing w:after="100"/>
      <w:ind w:right="1983"/>
    </w:pPr>
    <w:rPr>
      <w:caps/>
      <w:noProof/>
    </w:rPr>
  </w:style>
  <w:style w:type="paragraph" w:styleId="Title">
    <w:name w:val="Title"/>
    <w:basedOn w:val="Normal"/>
    <w:next w:val="Normal"/>
    <w:link w:val="TitleChar"/>
    <w:uiPriority w:val="3"/>
    <w:semiHidden/>
    <w:rsid w:val="00AE69C1"/>
    <w:pPr>
      <w:spacing w:after="300" w:line="240" w:lineRule="auto"/>
      <w:contextualSpacing/>
      <w:jc w:val="left"/>
    </w:pPr>
    <w:rPr>
      <w:rFonts w:asciiTheme="majorHAnsi" w:eastAsiaTheme="majorEastAsia" w:hAnsiTheme="majorHAnsi" w:cstheme="majorBidi"/>
      <w:color w:val="000000" w:themeColor="text1"/>
      <w:spacing w:val="5"/>
      <w:kern w:val="28"/>
      <w:sz w:val="48"/>
      <w:szCs w:val="52"/>
    </w:rPr>
  </w:style>
  <w:style w:type="character" w:customStyle="1" w:styleId="TitleChar">
    <w:name w:val="Title Char"/>
    <w:basedOn w:val="DefaultParagraphFont"/>
    <w:link w:val="Title"/>
    <w:uiPriority w:val="3"/>
    <w:semiHidden/>
    <w:rsid w:val="00AE69C1"/>
    <w:rPr>
      <w:rFonts w:asciiTheme="majorHAnsi" w:eastAsiaTheme="majorEastAsia" w:hAnsiTheme="majorHAnsi" w:cstheme="majorBidi"/>
      <w:color w:val="000000" w:themeColor="text1"/>
      <w:spacing w:val="5"/>
      <w:kern w:val="28"/>
      <w:sz w:val="48"/>
      <w:szCs w:val="52"/>
    </w:rPr>
  </w:style>
  <w:style w:type="paragraph" w:styleId="Subtitle">
    <w:name w:val="Subtitle"/>
    <w:basedOn w:val="Normal"/>
    <w:next w:val="Normal"/>
    <w:link w:val="SubtitleChar"/>
    <w:uiPriority w:val="4"/>
    <w:semiHidden/>
    <w:rsid w:val="00EE347A"/>
    <w:pPr>
      <w:spacing w:after="0" w:line="240" w:lineRule="auto"/>
    </w:pPr>
    <w:rPr>
      <w:sz w:val="32"/>
      <w:szCs w:val="32"/>
    </w:rPr>
  </w:style>
  <w:style w:type="character" w:customStyle="1" w:styleId="SubtitleChar">
    <w:name w:val="Subtitle Char"/>
    <w:basedOn w:val="DefaultParagraphFont"/>
    <w:link w:val="Subtitle"/>
    <w:uiPriority w:val="4"/>
    <w:semiHidden/>
    <w:rsid w:val="00EE347A"/>
    <w:rPr>
      <w:rFonts w:asciiTheme="minorHAnsi" w:hAnsiTheme="minorHAnsi"/>
      <w:sz w:val="32"/>
      <w:szCs w:val="32"/>
    </w:rPr>
  </w:style>
  <w:style w:type="paragraph" w:styleId="Header">
    <w:name w:val="header"/>
    <w:basedOn w:val="Normal"/>
    <w:link w:val="HeaderChar"/>
    <w:uiPriority w:val="1"/>
    <w:semiHidden/>
    <w:rsid w:val="00690AD6"/>
    <w:pPr>
      <w:pBdr>
        <w:bottom w:val="single" w:sz="4" w:space="6" w:color="808080" w:themeColor="background1" w:themeShade="80"/>
      </w:pBdr>
      <w:tabs>
        <w:tab w:val="center" w:pos="4513"/>
        <w:tab w:val="right" w:pos="9026"/>
      </w:tabs>
      <w:spacing w:after="0" w:line="240" w:lineRule="auto"/>
    </w:pPr>
    <w:rPr>
      <w:noProof/>
      <w:color w:val="808080" w:themeColor="background1" w:themeShade="80"/>
      <w:sz w:val="16"/>
      <w:szCs w:val="16"/>
    </w:rPr>
  </w:style>
  <w:style w:type="character" w:customStyle="1" w:styleId="HeaderChar">
    <w:name w:val="Header Char"/>
    <w:basedOn w:val="DefaultParagraphFont"/>
    <w:link w:val="Header"/>
    <w:uiPriority w:val="1"/>
    <w:semiHidden/>
    <w:rsid w:val="00427159"/>
    <w:rPr>
      <w:rFonts w:asciiTheme="minorHAnsi" w:hAnsiTheme="minorHAnsi"/>
      <w:noProof/>
      <w:color w:val="808080" w:themeColor="background1" w:themeShade="80"/>
      <w:sz w:val="16"/>
      <w:szCs w:val="16"/>
    </w:rPr>
  </w:style>
  <w:style w:type="paragraph" w:styleId="Footer">
    <w:name w:val="footer"/>
    <w:basedOn w:val="Normal"/>
    <w:link w:val="FooterChar"/>
    <w:uiPriority w:val="99"/>
    <w:rsid w:val="00F35753"/>
    <w:pPr>
      <w:pBdr>
        <w:top w:val="single" w:sz="4" w:space="5" w:color="808080" w:themeColor="background1" w:themeShade="80"/>
      </w:pBdr>
      <w:tabs>
        <w:tab w:val="right" w:pos="8789"/>
      </w:tabs>
      <w:spacing w:after="0" w:line="240" w:lineRule="auto"/>
    </w:pPr>
    <w:rPr>
      <w:color w:val="808080" w:themeColor="background1" w:themeShade="80"/>
      <w:sz w:val="16"/>
      <w:szCs w:val="16"/>
    </w:rPr>
  </w:style>
  <w:style w:type="character" w:customStyle="1" w:styleId="FooterChar">
    <w:name w:val="Footer Char"/>
    <w:basedOn w:val="DefaultParagraphFont"/>
    <w:link w:val="Footer"/>
    <w:uiPriority w:val="99"/>
    <w:rsid w:val="00F35753"/>
    <w:rPr>
      <w:rFonts w:asciiTheme="minorHAnsi" w:hAnsiTheme="minorHAnsi"/>
      <w:color w:val="808080" w:themeColor="background1" w:themeShade="80"/>
      <w:sz w:val="16"/>
      <w:szCs w:val="16"/>
    </w:rPr>
  </w:style>
  <w:style w:type="paragraph" w:customStyle="1" w:styleId="Clientlinktofooter">
    <w:name w:val="Client_link to footer"/>
    <w:basedOn w:val="Normal"/>
    <w:uiPriority w:val="5"/>
    <w:semiHidden/>
    <w:rsid w:val="00F35753"/>
    <w:pPr>
      <w:ind w:right="4005"/>
      <w:jc w:val="left"/>
    </w:pPr>
    <w:rPr>
      <w:sz w:val="24"/>
    </w:rPr>
  </w:style>
  <w:style w:type="paragraph" w:customStyle="1" w:styleId="Datelinktofooter">
    <w:name w:val="Date_link to footer"/>
    <w:basedOn w:val="Normal"/>
    <w:uiPriority w:val="5"/>
    <w:semiHidden/>
    <w:rsid w:val="00E96FF0"/>
    <w:rPr>
      <w:sz w:val="24"/>
      <w:szCs w:val="28"/>
    </w:rPr>
  </w:style>
  <w:style w:type="paragraph" w:customStyle="1" w:styleId="Contactdetails">
    <w:name w:val="Contact details"/>
    <w:basedOn w:val="Normal"/>
    <w:uiPriority w:val="5"/>
    <w:semiHidden/>
    <w:rsid w:val="006F2F0B"/>
    <w:pPr>
      <w:spacing w:after="0" w:line="288" w:lineRule="auto"/>
    </w:pPr>
    <w:rPr>
      <w:sz w:val="18"/>
    </w:rPr>
  </w:style>
  <w:style w:type="table" w:customStyle="1" w:styleId="ICENITABLES">
    <w:name w:val="¬ICENI TABLES"/>
    <w:basedOn w:val="TableNormal"/>
    <w:uiPriority w:val="99"/>
    <w:rsid w:val="00690AD6"/>
    <w:pPr>
      <w:jc w:val="center"/>
    </w:p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rPr>
      <w:cantSplit/>
    </w:trPr>
    <w:tcPr>
      <w:shd w:val="clear" w:color="auto" w:fill="FFFFFF" w:themeFill="background1"/>
    </w:tcPr>
    <w:tblStylePr w:type="firstRow">
      <w:tblPr/>
      <w:tcPr>
        <w:tcBorders>
          <w:bottom w:val="single" w:sz="4" w:space="0" w:color="000000" w:themeColor="text1"/>
        </w:tcBorders>
        <w:shd w:val="clear" w:color="auto" w:fill="F2F2F2" w:themeFill="background1" w:themeFillShade="F2"/>
      </w:tcPr>
    </w:tblStylePr>
    <w:tblStylePr w:type="firstCol">
      <w:pPr>
        <w:wordWrap/>
        <w:jc w:val="left"/>
      </w:pPr>
    </w:tblStylePr>
  </w:style>
  <w:style w:type="paragraph" w:styleId="BalloonText">
    <w:name w:val="Balloon Text"/>
    <w:basedOn w:val="Normal"/>
    <w:link w:val="BalloonTextChar"/>
    <w:uiPriority w:val="99"/>
    <w:semiHidden/>
    <w:rsid w:val="00883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8FF"/>
    <w:rPr>
      <w:rFonts w:ascii="Tahoma" w:hAnsi="Tahoma" w:cs="Tahoma"/>
      <w:sz w:val="16"/>
      <w:szCs w:val="16"/>
    </w:rPr>
  </w:style>
  <w:style w:type="character" w:customStyle="1" w:styleId="Bold">
    <w:name w:val="Bold"/>
    <w:basedOn w:val="DefaultParagraphFont"/>
    <w:semiHidden/>
    <w:rsid w:val="006F2F0B"/>
    <w:rPr>
      <w:b/>
    </w:rPr>
  </w:style>
  <w:style w:type="paragraph" w:customStyle="1" w:styleId="Sidebartext1">
    <w:name w:val="Sidebar text1"/>
    <w:basedOn w:val="Normal"/>
    <w:uiPriority w:val="5"/>
    <w:semiHidden/>
    <w:rsid w:val="00D66A27"/>
    <w:pPr>
      <w:spacing w:after="0" w:line="240" w:lineRule="auto"/>
      <w:ind w:left="113" w:right="113"/>
    </w:pPr>
    <w:rPr>
      <w:caps/>
      <w:color w:val="1E1C5B"/>
    </w:rPr>
  </w:style>
  <w:style w:type="paragraph" w:styleId="FootnoteText">
    <w:name w:val="footnote text"/>
    <w:aliases w:val="Char Char,Footnote Text Char Char,Char Char Char,Char Char1,~Footnote,Harestanes Ref,RSK-FT,RSK-FT1,RSK-FT2"/>
    <w:basedOn w:val="Normal"/>
    <w:link w:val="FootnoteTextChar"/>
    <w:qFormat/>
    <w:rsid w:val="00F35753"/>
    <w:pPr>
      <w:spacing w:after="0" w:line="480" w:lineRule="auto"/>
    </w:pPr>
    <w:rPr>
      <w:sz w:val="16"/>
    </w:rPr>
  </w:style>
  <w:style w:type="character" w:customStyle="1" w:styleId="FootnoteTextChar">
    <w:name w:val="Footnote Text Char"/>
    <w:aliases w:val="Char Char Char1,Footnote Text Char Char Char,Char Char Char Char,Char Char1 Char,~Footnote Char,Harestanes Ref Char,RSK-FT Char,RSK-FT1 Char,RSK-FT2 Char"/>
    <w:basedOn w:val="DefaultParagraphFont"/>
    <w:link w:val="FootnoteText"/>
    <w:uiPriority w:val="6"/>
    <w:rsid w:val="00F35753"/>
    <w:rPr>
      <w:rFonts w:asciiTheme="minorHAnsi" w:hAnsiTheme="minorHAnsi"/>
      <w:sz w:val="16"/>
    </w:rPr>
  </w:style>
  <w:style w:type="character" w:styleId="FootnoteReference">
    <w:name w:val="footnote reference"/>
    <w:basedOn w:val="DefaultParagraphFont"/>
    <w:semiHidden/>
    <w:rsid w:val="00814030"/>
    <w:rPr>
      <w:vertAlign w:val="superscript"/>
    </w:rPr>
  </w:style>
  <w:style w:type="paragraph" w:customStyle="1" w:styleId="Normalwhite">
    <w:name w:val="Normal_white"/>
    <w:basedOn w:val="Normal"/>
    <w:uiPriority w:val="7"/>
    <w:rsid w:val="00CE3260"/>
    <w:rPr>
      <w:color w:val="FFFFFF" w:themeColor="background1"/>
    </w:rPr>
  </w:style>
  <w:style w:type="table" w:styleId="TableGrid">
    <w:name w:val="Table Grid"/>
    <w:basedOn w:val="TableNormal"/>
    <w:rsid w:val="006E0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ll-outheading">
    <w:name w:val="Pull-out heading"/>
    <w:basedOn w:val="Normal"/>
    <w:next w:val="Normal"/>
    <w:uiPriority w:val="7"/>
    <w:rsid w:val="006E06A8"/>
    <w:pPr>
      <w:spacing w:before="180"/>
    </w:pPr>
    <w:rPr>
      <w:b/>
    </w:rPr>
  </w:style>
  <w:style w:type="paragraph" w:customStyle="1" w:styleId="BodytextAppendices">
    <w:name w:val="Body text_Appendices"/>
    <w:basedOn w:val="Normal"/>
    <w:uiPriority w:val="1"/>
    <w:qFormat/>
    <w:rsid w:val="00D27525"/>
    <w:pPr>
      <w:numPr>
        <w:ilvl w:val="4"/>
        <w:numId w:val="13"/>
      </w:numPr>
      <w:tabs>
        <w:tab w:val="left" w:pos="0"/>
      </w:tabs>
      <w:ind w:hanging="709"/>
    </w:pPr>
  </w:style>
  <w:style w:type="paragraph" w:customStyle="1" w:styleId="HeadingAppendices">
    <w:name w:val="Heading Appendices"/>
    <w:basedOn w:val="Normal"/>
    <w:next w:val="BodytextAppendices"/>
    <w:uiPriority w:val="2"/>
    <w:qFormat/>
    <w:rsid w:val="00D27525"/>
    <w:pPr>
      <w:keepNext/>
      <w:keepLines/>
      <w:pageBreakBefore/>
      <w:numPr>
        <w:ilvl w:val="3"/>
        <w:numId w:val="13"/>
      </w:numPr>
      <w:spacing w:after="600"/>
      <w:ind w:left="0" w:hanging="709"/>
    </w:pPr>
    <w:rPr>
      <w:rFonts w:asciiTheme="majorHAnsi" w:hAnsiTheme="majorHAnsi"/>
      <w:b/>
      <w:caps/>
      <w:sz w:val="28"/>
    </w:rPr>
  </w:style>
  <w:style w:type="character" w:customStyle="1" w:styleId="Heading5Char">
    <w:name w:val="Heading 5 Char"/>
    <w:aliases w:val="Table Appendices Char,Level 3 - i Char,h5 Char,1cm Indent Char,Heading 5(unused) Char,Level 3 - (i) Char,Third Level Heading Char,Response Type Char,Response Type1 Char,Response Type2 Char,Response Type3 Char,Response Type4 Char,H5 Char"/>
    <w:basedOn w:val="DefaultParagraphFont"/>
    <w:link w:val="Heading5"/>
    <w:uiPriority w:val="2"/>
    <w:rsid w:val="00A63320"/>
    <w:rPr>
      <w:rFonts w:asciiTheme="majorHAnsi" w:eastAsiaTheme="majorEastAsia" w:hAnsiTheme="majorHAnsi" w:cstheme="majorBidi"/>
      <w:b/>
      <w:color w:val="646464" w:themeColor="background2"/>
    </w:rPr>
  </w:style>
  <w:style w:type="paragraph" w:customStyle="1" w:styleId="Pull-outheadingwhite">
    <w:name w:val="Pull-out heading_white"/>
    <w:basedOn w:val="Pull-outheading"/>
    <w:next w:val="Normalwhite"/>
    <w:uiPriority w:val="7"/>
    <w:rsid w:val="00CE3260"/>
    <w:rPr>
      <w:color w:val="FFFFFF" w:themeColor="background1"/>
    </w:rPr>
  </w:style>
  <w:style w:type="paragraph" w:customStyle="1" w:styleId="Logo">
    <w:name w:val="Logo"/>
    <w:basedOn w:val="Normal"/>
    <w:uiPriority w:val="7"/>
    <w:semiHidden/>
    <w:rsid w:val="00961732"/>
    <w:pPr>
      <w:spacing w:before="720" w:after="0" w:line="240" w:lineRule="auto"/>
    </w:pPr>
    <w:rPr>
      <w:noProof/>
    </w:rPr>
  </w:style>
  <w:style w:type="paragraph" w:customStyle="1" w:styleId="Sidebartext2">
    <w:name w:val="Sidebar text2"/>
    <w:basedOn w:val="Sidebartext1"/>
    <w:uiPriority w:val="5"/>
    <w:semiHidden/>
    <w:rsid w:val="00961732"/>
    <w:rPr>
      <w:b/>
      <w:caps w:val="0"/>
      <w:sz w:val="28"/>
    </w:rPr>
  </w:style>
  <w:style w:type="paragraph" w:customStyle="1" w:styleId="Sub-title">
    <w:name w:val="Sub-title"/>
    <w:basedOn w:val="Subtitle"/>
    <w:uiPriority w:val="4"/>
    <w:semiHidden/>
    <w:rsid w:val="00F35753"/>
    <w:pPr>
      <w:jc w:val="left"/>
    </w:pPr>
  </w:style>
  <w:style w:type="paragraph" w:styleId="ListBullet2">
    <w:name w:val="List Bullet 2"/>
    <w:basedOn w:val="Normal"/>
    <w:uiPriority w:val="1"/>
    <w:qFormat/>
    <w:rsid w:val="00A903F1"/>
    <w:pPr>
      <w:numPr>
        <w:numId w:val="5"/>
      </w:numPr>
      <w:spacing w:after="240"/>
      <w:ind w:left="641" w:hanging="357"/>
    </w:pPr>
  </w:style>
  <w:style w:type="paragraph" w:styleId="ListNumber">
    <w:name w:val="List Number"/>
    <w:basedOn w:val="Normal"/>
    <w:uiPriority w:val="1"/>
    <w:rsid w:val="00A903F1"/>
    <w:pPr>
      <w:numPr>
        <w:numId w:val="6"/>
      </w:numPr>
      <w:contextualSpacing/>
    </w:pPr>
  </w:style>
  <w:style w:type="paragraph" w:styleId="ListNumber2">
    <w:name w:val="List Number 2"/>
    <w:basedOn w:val="Normal"/>
    <w:uiPriority w:val="1"/>
    <w:rsid w:val="00A903F1"/>
    <w:pPr>
      <w:numPr>
        <w:numId w:val="7"/>
      </w:numPr>
      <w:contextualSpacing/>
    </w:pPr>
  </w:style>
  <w:style w:type="paragraph" w:customStyle="1" w:styleId="Contents">
    <w:name w:val="Contents"/>
    <w:basedOn w:val="TOCtitle"/>
    <w:uiPriority w:val="7"/>
    <w:rsid w:val="00ED4661"/>
  </w:style>
  <w:style w:type="paragraph" w:styleId="TOC3">
    <w:name w:val="toc 3"/>
    <w:basedOn w:val="Normal"/>
    <w:next w:val="Normal"/>
    <w:autoRedefine/>
    <w:uiPriority w:val="39"/>
    <w:rsid w:val="00ED4661"/>
    <w:pPr>
      <w:spacing w:after="100"/>
      <w:ind w:left="400"/>
    </w:pPr>
  </w:style>
  <w:style w:type="paragraph" w:styleId="TOC2">
    <w:name w:val="toc 2"/>
    <w:basedOn w:val="Normal"/>
    <w:next w:val="Normal"/>
    <w:autoRedefine/>
    <w:uiPriority w:val="39"/>
    <w:rsid w:val="00ED4661"/>
    <w:pPr>
      <w:spacing w:after="100"/>
      <w:ind w:left="200"/>
    </w:pPr>
  </w:style>
  <w:style w:type="paragraph" w:styleId="NormalWeb">
    <w:name w:val="Normal (Web)"/>
    <w:basedOn w:val="Normal"/>
    <w:uiPriority w:val="99"/>
    <w:semiHidden/>
    <w:unhideWhenUsed/>
    <w:rsid w:val="00B45F40"/>
    <w:pPr>
      <w:spacing w:before="100" w:after="100" w:line="300" w:lineRule="auto"/>
      <w:jc w:val="left"/>
    </w:pPr>
    <w:rPr>
      <w:rFonts w:ascii="Times New Roman" w:hAnsi="Times New Roman"/>
      <w:sz w:val="24"/>
      <w:szCs w:val="24"/>
    </w:rPr>
  </w:style>
  <w:style w:type="table" w:styleId="TableTheme">
    <w:name w:val="Table Theme"/>
    <w:basedOn w:val="TableNormal"/>
    <w:semiHidden/>
    <w:unhideWhenUsed/>
    <w:rsid w:val="00EA77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BodytextChar">
    <w:name w:val="1.1 Body text Char"/>
    <w:link w:val="11Bodytext"/>
    <w:locked/>
    <w:rsid w:val="00AC2760"/>
    <w:rPr>
      <w:rFonts w:ascii="Arial" w:eastAsia="MS PGothic" w:hAnsi="Arial" w:cs="Arial"/>
      <w:bCs/>
      <w:color w:val="000000"/>
      <w:lang w:eastAsia="ja-JP"/>
    </w:rPr>
  </w:style>
  <w:style w:type="paragraph" w:customStyle="1" w:styleId="11Bodytext">
    <w:name w:val="1.1 Body text"/>
    <w:basedOn w:val="Normal"/>
    <w:link w:val="11BodytextChar"/>
    <w:qFormat/>
    <w:rsid w:val="00AC2760"/>
    <w:pPr>
      <w:numPr>
        <w:ilvl w:val="1"/>
        <w:numId w:val="25"/>
      </w:numPr>
      <w:spacing w:before="240" w:after="120"/>
    </w:pPr>
    <w:rPr>
      <w:rFonts w:ascii="Arial" w:eastAsia="MS PGothic" w:hAnsi="Arial" w:cs="Arial"/>
      <w:bCs/>
      <w:color w:val="000000"/>
      <w:lang w:eastAsia="ja-JP"/>
    </w:rPr>
  </w:style>
  <w:style w:type="paragraph" w:customStyle="1" w:styleId="111Bodytext">
    <w:name w:val="1.1.1 Body text"/>
    <w:basedOn w:val="11Bodytext"/>
    <w:qFormat/>
    <w:rsid w:val="00AC2760"/>
    <w:pPr>
      <w:numPr>
        <w:ilvl w:val="3"/>
      </w:numPr>
      <w:tabs>
        <w:tab w:val="num" w:pos="360"/>
        <w:tab w:val="num" w:pos="643"/>
        <w:tab w:val="num" w:pos="720"/>
      </w:tabs>
      <w:spacing w:after="0"/>
      <w:ind w:left="360" w:hanging="360"/>
    </w:pPr>
    <w:rPr>
      <w:bCs w:val="0"/>
    </w:rPr>
  </w:style>
  <w:style w:type="paragraph" w:customStyle="1" w:styleId="1Bodytext">
    <w:name w:val="1 Body text"/>
    <w:basedOn w:val="Normal"/>
    <w:qFormat/>
    <w:rsid w:val="00AC2760"/>
    <w:pPr>
      <w:numPr>
        <w:numId w:val="25"/>
      </w:numPr>
      <w:spacing w:before="240" w:after="0" w:line="240" w:lineRule="atLeast"/>
      <w:jc w:val="left"/>
    </w:pPr>
    <w:rPr>
      <w:rFonts w:ascii="Arial" w:eastAsia="MS PGothic" w:hAnsi="Arial" w:cs="Arial"/>
      <w:b/>
      <w:bCs/>
      <w:caps/>
      <w:color w:val="000000"/>
      <w:sz w:val="24"/>
      <w:lang w:eastAsia="ja-JP"/>
    </w:rPr>
  </w:style>
  <w:style w:type="paragraph" w:customStyle="1" w:styleId="03NumberedHeadings">
    <w:name w:val="03 Numbered Headings"/>
    <w:basedOn w:val="Normal"/>
    <w:next w:val="Normal"/>
    <w:qFormat/>
    <w:rsid w:val="00AC2760"/>
    <w:pPr>
      <w:numPr>
        <w:numId w:val="26"/>
      </w:numPr>
      <w:spacing w:before="240" w:after="0" w:line="240" w:lineRule="exact"/>
      <w:jc w:val="left"/>
    </w:pPr>
    <w:rPr>
      <w:rFonts w:ascii="Arial" w:eastAsia="MS Mincho" w:hAnsi="Arial"/>
      <w:b/>
      <w:bCs/>
      <w:caps/>
      <w:color w:val="000000"/>
      <w:lang w:val="en-US" w:eastAsia="ja-JP"/>
    </w:rPr>
  </w:style>
  <w:style w:type="character" w:customStyle="1" w:styleId="11BodyChar">
    <w:name w:val="1.1 Body Char"/>
    <w:link w:val="11Body"/>
    <w:locked/>
    <w:rsid w:val="00AC2760"/>
    <w:rPr>
      <w:rFonts w:ascii="Arial" w:eastAsia="MS Mincho" w:hAnsi="Arial" w:cs="Arial"/>
      <w:bCs/>
      <w:color w:val="000000"/>
      <w:lang w:val="en-US" w:eastAsia="ja-JP"/>
    </w:rPr>
  </w:style>
  <w:style w:type="paragraph" w:customStyle="1" w:styleId="11Body">
    <w:name w:val="1.1 Body"/>
    <w:basedOn w:val="03NumberedHeadings"/>
    <w:link w:val="11BodyChar"/>
    <w:qFormat/>
    <w:rsid w:val="00AC2760"/>
    <w:pPr>
      <w:numPr>
        <w:ilvl w:val="1"/>
      </w:numPr>
    </w:pPr>
    <w:rPr>
      <w:rFonts w:cs="Arial"/>
      <w:b w:val="0"/>
      <w:caps w:val="0"/>
    </w:rPr>
  </w:style>
  <w:style w:type="paragraph" w:customStyle="1" w:styleId="111BodyList">
    <w:name w:val="1.1.1 Body List"/>
    <w:basedOn w:val="03NumberedHeadings"/>
    <w:qFormat/>
    <w:rsid w:val="00AC2760"/>
    <w:pPr>
      <w:numPr>
        <w:ilvl w:val="2"/>
      </w:numPr>
      <w:tabs>
        <w:tab w:val="left" w:pos="1304"/>
      </w:tabs>
    </w:pPr>
    <w:rPr>
      <w:b w:val="0"/>
      <w:caps w:val="0"/>
    </w:rPr>
  </w:style>
  <w:style w:type="table" w:customStyle="1" w:styleId="TableGridLight1">
    <w:name w:val="Table Grid Light1"/>
    <w:basedOn w:val="TableNormal"/>
    <w:uiPriority w:val="40"/>
    <w:rsid w:val="00AC2760"/>
    <w:rPr>
      <w:rFonts w:ascii="Calibri" w:hAnsi="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24E1B"/>
    <w:rPr>
      <w:sz w:val="16"/>
      <w:szCs w:val="16"/>
    </w:rPr>
  </w:style>
  <w:style w:type="paragraph" w:styleId="CommentText">
    <w:name w:val="annotation text"/>
    <w:basedOn w:val="Normal"/>
    <w:link w:val="CommentTextChar"/>
    <w:uiPriority w:val="99"/>
    <w:unhideWhenUsed/>
    <w:rsid w:val="00D24E1B"/>
    <w:pPr>
      <w:spacing w:line="240" w:lineRule="auto"/>
    </w:pPr>
  </w:style>
  <w:style w:type="character" w:customStyle="1" w:styleId="CommentTextChar">
    <w:name w:val="Comment Text Char"/>
    <w:basedOn w:val="DefaultParagraphFont"/>
    <w:link w:val="CommentText"/>
    <w:uiPriority w:val="99"/>
    <w:rsid w:val="00D24E1B"/>
    <w:rPr>
      <w:rFonts w:asciiTheme="minorHAnsi" w:hAnsiTheme="minorHAnsi"/>
    </w:rPr>
  </w:style>
  <w:style w:type="paragraph" w:styleId="CommentSubject">
    <w:name w:val="annotation subject"/>
    <w:basedOn w:val="CommentText"/>
    <w:next w:val="CommentText"/>
    <w:link w:val="CommentSubjectChar"/>
    <w:uiPriority w:val="99"/>
    <w:semiHidden/>
    <w:unhideWhenUsed/>
    <w:rsid w:val="00D24E1B"/>
    <w:rPr>
      <w:b/>
      <w:bCs/>
    </w:rPr>
  </w:style>
  <w:style w:type="character" w:customStyle="1" w:styleId="CommentSubjectChar">
    <w:name w:val="Comment Subject Char"/>
    <w:basedOn w:val="CommentTextChar"/>
    <w:link w:val="CommentSubject"/>
    <w:uiPriority w:val="99"/>
    <w:semiHidden/>
    <w:rsid w:val="00D24E1B"/>
    <w:rPr>
      <w:rFonts w:asciiTheme="minorHAnsi" w:hAnsiTheme="minorHAnsi"/>
      <w:b/>
      <w:bCs/>
    </w:rPr>
  </w:style>
  <w:style w:type="paragraph" w:styleId="ListParagraph">
    <w:name w:val="List Paragraph"/>
    <w:basedOn w:val="Normal"/>
    <w:uiPriority w:val="99"/>
    <w:qFormat/>
    <w:rsid w:val="00ED11FB"/>
    <w:pPr>
      <w:ind w:left="720"/>
      <w:contextualSpacing/>
    </w:pPr>
  </w:style>
  <w:style w:type="paragraph" w:styleId="Revision">
    <w:name w:val="Revision"/>
    <w:hidden/>
    <w:uiPriority w:val="99"/>
    <w:semiHidden/>
    <w:rsid w:val="00B57CBF"/>
    <w:rPr>
      <w:rFonts w:asciiTheme="minorHAnsi" w:hAnsiTheme="minorHAnsi"/>
    </w:rPr>
  </w:style>
  <w:style w:type="character" w:customStyle="1" w:styleId="cf01">
    <w:name w:val="cf01"/>
    <w:basedOn w:val="DefaultParagraphFont"/>
    <w:rsid w:val="00586923"/>
    <w:rPr>
      <w:rFonts w:ascii="Segoe UI" w:hAnsi="Segoe UI" w:cs="Segoe UI" w:hint="default"/>
      <w:sz w:val="18"/>
      <w:szCs w:val="18"/>
    </w:rPr>
  </w:style>
  <w:style w:type="paragraph" w:customStyle="1" w:styleId="Disclaimerheading1">
    <w:name w:val="Disclaimer heading 1"/>
    <w:basedOn w:val="Heading1"/>
    <w:link w:val="Disclaimerheading1Char"/>
    <w:uiPriority w:val="7"/>
    <w:qFormat/>
    <w:rsid w:val="00D33534"/>
    <w:pPr>
      <w:numPr>
        <w:numId w:val="0"/>
      </w:numPr>
      <w:jc w:val="left"/>
    </w:pPr>
  </w:style>
  <w:style w:type="character" w:customStyle="1" w:styleId="Disclaimerheading1Char">
    <w:name w:val="Disclaimer heading 1 Char"/>
    <w:basedOn w:val="Heading1Char"/>
    <w:link w:val="Disclaimerheading1"/>
    <w:uiPriority w:val="7"/>
    <w:rsid w:val="00D33534"/>
    <w:rPr>
      <w:rFonts w:asciiTheme="majorHAnsi" w:eastAsiaTheme="majorEastAsia" w:hAnsiTheme="majorHAnsi" w:cstheme="majorBidi"/>
      <w:b/>
      <w:bCs/>
      <w:caps/>
      <w:color w:val="000000" w:themeColor="text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61835">
      <w:bodyDiv w:val="1"/>
      <w:marLeft w:val="0"/>
      <w:marRight w:val="0"/>
      <w:marTop w:val="0"/>
      <w:marBottom w:val="0"/>
      <w:divBdr>
        <w:top w:val="none" w:sz="0" w:space="0" w:color="auto"/>
        <w:left w:val="none" w:sz="0" w:space="0" w:color="auto"/>
        <w:bottom w:val="none" w:sz="0" w:space="0" w:color="auto"/>
        <w:right w:val="none" w:sz="0" w:space="0" w:color="auto"/>
      </w:divBdr>
    </w:div>
    <w:div w:id="493421738">
      <w:bodyDiv w:val="1"/>
      <w:marLeft w:val="0"/>
      <w:marRight w:val="0"/>
      <w:marTop w:val="0"/>
      <w:marBottom w:val="0"/>
      <w:divBdr>
        <w:top w:val="none" w:sz="0" w:space="0" w:color="auto"/>
        <w:left w:val="none" w:sz="0" w:space="0" w:color="auto"/>
        <w:bottom w:val="none" w:sz="0" w:space="0" w:color="auto"/>
        <w:right w:val="none" w:sz="0" w:space="0" w:color="auto"/>
      </w:divBdr>
    </w:div>
    <w:div w:id="511144038">
      <w:bodyDiv w:val="1"/>
      <w:marLeft w:val="0"/>
      <w:marRight w:val="0"/>
      <w:marTop w:val="0"/>
      <w:marBottom w:val="0"/>
      <w:divBdr>
        <w:top w:val="none" w:sz="0" w:space="0" w:color="auto"/>
        <w:left w:val="none" w:sz="0" w:space="0" w:color="auto"/>
        <w:bottom w:val="none" w:sz="0" w:space="0" w:color="auto"/>
        <w:right w:val="none" w:sz="0" w:space="0" w:color="auto"/>
      </w:divBdr>
    </w:div>
    <w:div w:id="564145663">
      <w:bodyDiv w:val="1"/>
      <w:marLeft w:val="0"/>
      <w:marRight w:val="0"/>
      <w:marTop w:val="0"/>
      <w:marBottom w:val="0"/>
      <w:divBdr>
        <w:top w:val="none" w:sz="0" w:space="0" w:color="auto"/>
        <w:left w:val="none" w:sz="0" w:space="0" w:color="auto"/>
        <w:bottom w:val="none" w:sz="0" w:space="0" w:color="auto"/>
        <w:right w:val="none" w:sz="0" w:space="0" w:color="auto"/>
      </w:divBdr>
    </w:div>
    <w:div w:id="939721620">
      <w:bodyDiv w:val="1"/>
      <w:marLeft w:val="0"/>
      <w:marRight w:val="0"/>
      <w:marTop w:val="0"/>
      <w:marBottom w:val="0"/>
      <w:divBdr>
        <w:top w:val="none" w:sz="0" w:space="0" w:color="auto"/>
        <w:left w:val="none" w:sz="0" w:space="0" w:color="auto"/>
        <w:bottom w:val="none" w:sz="0" w:space="0" w:color="auto"/>
        <w:right w:val="none" w:sz="0" w:space="0" w:color="auto"/>
      </w:divBdr>
    </w:div>
    <w:div w:id="1051928159">
      <w:bodyDiv w:val="1"/>
      <w:marLeft w:val="0"/>
      <w:marRight w:val="0"/>
      <w:marTop w:val="0"/>
      <w:marBottom w:val="0"/>
      <w:divBdr>
        <w:top w:val="none" w:sz="0" w:space="0" w:color="auto"/>
        <w:left w:val="none" w:sz="0" w:space="0" w:color="auto"/>
        <w:bottom w:val="none" w:sz="0" w:space="0" w:color="auto"/>
        <w:right w:val="none" w:sz="0" w:space="0" w:color="auto"/>
      </w:divBdr>
    </w:div>
    <w:div w:id="1102190702">
      <w:bodyDiv w:val="1"/>
      <w:marLeft w:val="0"/>
      <w:marRight w:val="0"/>
      <w:marTop w:val="0"/>
      <w:marBottom w:val="0"/>
      <w:divBdr>
        <w:top w:val="none" w:sz="0" w:space="0" w:color="auto"/>
        <w:left w:val="none" w:sz="0" w:space="0" w:color="auto"/>
        <w:bottom w:val="none" w:sz="0" w:space="0" w:color="auto"/>
        <w:right w:val="none" w:sz="0" w:space="0" w:color="auto"/>
      </w:divBdr>
    </w:div>
    <w:div w:id="1397168309">
      <w:bodyDiv w:val="1"/>
      <w:marLeft w:val="0"/>
      <w:marRight w:val="0"/>
      <w:marTop w:val="0"/>
      <w:marBottom w:val="0"/>
      <w:divBdr>
        <w:top w:val="none" w:sz="0" w:space="0" w:color="auto"/>
        <w:left w:val="none" w:sz="0" w:space="0" w:color="auto"/>
        <w:bottom w:val="none" w:sz="0" w:space="0" w:color="auto"/>
        <w:right w:val="none" w:sz="0" w:space="0" w:color="auto"/>
      </w:divBdr>
    </w:div>
    <w:div w:id="1493452593">
      <w:bodyDiv w:val="1"/>
      <w:marLeft w:val="0"/>
      <w:marRight w:val="0"/>
      <w:marTop w:val="0"/>
      <w:marBottom w:val="0"/>
      <w:divBdr>
        <w:top w:val="none" w:sz="0" w:space="0" w:color="auto"/>
        <w:left w:val="none" w:sz="0" w:space="0" w:color="auto"/>
        <w:bottom w:val="none" w:sz="0" w:space="0" w:color="auto"/>
        <w:right w:val="none" w:sz="0" w:space="0" w:color="auto"/>
      </w:divBdr>
    </w:div>
    <w:div w:id="1691955936">
      <w:bodyDiv w:val="1"/>
      <w:marLeft w:val="0"/>
      <w:marRight w:val="0"/>
      <w:marTop w:val="0"/>
      <w:marBottom w:val="0"/>
      <w:divBdr>
        <w:top w:val="none" w:sz="0" w:space="0" w:color="auto"/>
        <w:left w:val="none" w:sz="0" w:space="0" w:color="auto"/>
        <w:bottom w:val="none" w:sz="0" w:space="0" w:color="auto"/>
        <w:right w:val="none" w:sz="0" w:space="0" w:color="auto"/>
      </w:divBdr>
    </w:div>
    <w:div w:id="191169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calplan@ashfield.gov.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nplan.org.uk/media/3371769/housing-needs-assessment-2020.pdf" TargetMode="External"/><Relationship Id="rId2" Type="http://schemas.openxmlformats.org/officeDocument/2006/relationships/hyperlink" Target="https://www.gov.uk/government/collections/planning-practice-guidance" TargetMode="External"/><Relationship Id="rId1" Type="http://schemas.openxmlformats.org/officeDocument/2006/relationships/hyperlink" Target="https://www.gov.uk/government/publications/national-planning-policy-framework--2" TargetMode="External"/><Relationship Id="rId4" Type="http://schemas.openxmlformats.org/officeDocument/2006/relationships/hyperlink" Target="https://www.ons.gov.uk/peoplepopulationandcommunity/personalandhouseholdfinances/incomeandwealth/adhocs/12845averageincomebytenur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Iceni Projects">
      <a:dk1>
        <a:sysClr val="windowText" lastClr="000000"/>
      </a:dk1>
      <a:lt1>
        <a:sysClr val="window" lastClr="FFFFFF"/>
      </a:lt1>
      <a:dk2>
        <a:srgbClr val="2C2A6B"/>
      </a:dk2>
      <a:lt2>
        <a:srgbClr val="646464"/>
      </a:lt2>
      <a:accent1>
        <a:srgbClr val="D40536"/>
      </a:accent1>
      <a:accent2>
        <a:srgbClr val="007866"/>
      </a:accent2>
      <a:accent3>
        <a:srgbClr val="52AD33"/>
      </a:accent3>
      <a:accent4>
        <a:srgbClr val="B1B1B1"/>
      </a:accent4>
      <a:accent5>
        <a:srgbClr val="B9CDE5"/>
      </a:accent5>
      <a:accent6>
        <a:srgbClr val="A7DBA3"/>
      </a:accent6>
      <a:hlink>
        <a:srgbClr val="2C2A6B"/>
      </a:hlink>
      <a:folHlink>
        <a:srgbClr val="64646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BF7148BF-8147-41F5-BA08-6ADB82E7F144}">
  <ds:schemaRefs>
    <ds:schemaRef ds:uri="http://schemas.openxmlformats.org/officeDocument/2006/bibliography"/>
  </ds:schemaRefs>
</ds:datastoreItem>
</file>

<file path=customXml/itemProps2.xml><?xml version="1.0" encoding="utf-8"?>
<ds:datastoreItem xmlns:ds="http://schemas.openxmlformats.org/officeDocument/2006/customXml" ds:itemID="{C0FC02DE-FEEA-42EF-8A69-57AFC4F2B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C6514-0747-4B48-95BE-0C4CD81F4B1F}">
  <ds:schemaRefs>
    <ds:schemaRef ds:uri="http://schemas.microsoft.com/sharepoint/v3/contenttype/forms"/>
  </ds:schemaRefs>
</ds:datastoreItem>
</file>

<file path=customXml/itemProps4.xml><?xml version="1.0" encoding="utf-8"?>
<ds:datastoreItem xmlns:ds="http://schemas.openxmlformats.org/officeDocument/2006/customXml" ds:itemID="{4A1E7BEF-8945-430E-AA55-EA884350F04D}">
  <ds:schemaRefs>
    <ds:schemaRef ds:uri="http://schemas.microsoft.com/office/2006/metadata/properties"/>
    <ds:schemaRef ds:uri="http://purl.org/dc/terms/"/>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e402b34e-0bec-4698-9443-e54c1d6c1a4e"/>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8375</Words>
  <Characters>47742</Characters>
  <Application>Microsoft Office Word</Application>
  <DocSecurity>2</DocSecurity>
  <Lines>397</Lines>
  <Paragraphs>112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Homes Assessment - Greater Nottingham</dc:title>
  <dc:creator>James Bompas</dc:creator>
  <cp:lastModifiedBy>James.Carr</cp:lastModifiedBy>
  <cp:revision>2</cp:revision>
  <cp:lastPrinted>2022-09-16T08:16:00Z</cp:lastPrinted>
  <dcterms:created xsi:type="dcterms:W3CDTF">2024-05-07T11:02:00Z</dcterms:created>
  <dcterms:modified xsi:type="dcterms:W3CDTF">2024-05-07T11:02:00Z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