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5511" w14:textId="4ACF131F" w:rsidR="001C7576" w:rsidRDefault="00695B02" w:rsidP="00A40110">
      <w:pPr>
        <w:pStyle w:val="Heading1"/>
        <w:rPr>
          <w:b w:val="0"/>
        </w:rPr>
      </w:pPr>
      <w:r>
        <w:t>Ashfield</w:t>
      </w:r>
      <w:r w:rsidR="001C7576">
        <w:t xml:space="preserve"> Community Safety Partnership</w:t>
      </w:r>
    </w:p>
    <w:p w14:paraId="490A5624" w14:textId="77777777" w:rsidR="00214DDD" w:rsidRDefault="00214DDD" w:rsidP="00A40110">
      <w:pPr>
        <w:pStyle w:val="Heading2"/>
        <w:rPr>
          <w:b w:val="0"/>
        </w:rPr>
      </w:pPr>
      <w:r w:rsidRPr="00D63210">
        <w:t xml:space="preserve">Domestic Homicide Review </w:t>
      </w:r>
      <w:r w:rsidR="00695B02">
        <w:t>– Highwire</w:t>
      </w:r>
    </w:p>
    <w:p w14:paraId="4B918A2E" w14:textId="77777777" w:rsidR="00214DDD" w:rsidRPr="00D63210" w:rsidRDefault="00214DDD" w:rsidP="00A40110">
      <w:pPr>
        <w:pStyle w:val="Heading2"/>
      </w:pPr>
      <w:r>
        <w:t>Action Plan</w:t>
      </w:r>
    </w:p>
    <w:p w14:paraId="1D75953A" w14:textId="77777777" w:rsidR="00214DDD" w:rsidRPr="001D51F5" w:rsidRDefault="00214DDD" w:rsidP="00214DD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648"/>
        <w:gridCol w:w="3458"/>
        <w:gridCol w:w="1843"/>
        <w:gridCol w:w="1984"/>
        <w:gridCol w:w="2694"/>
        <w:gridCol w:w="1984"/>
        <w:gridCol w:w="992"/>
        <w:gridCol w:w="1445"/>
      </w:tblGrid>
      <w:tr w:rsidR="00214DDD" w:rsidRPr="00B9711B" w14:paraId="67E12039" w14:textId="77777777" w:rsidTr="00A40110">
        <w:trPr>
          <w:trHeight w:val="937"/>
        </w:trPr>
        <w:tc>
          <w:tcPr>
            <w:tcW w:w="648" w:type="dxa"/>
            <w:shd w:val="clear" w:color="auto" w:fill="D9D9D9" w:themeFill="background1" w:themeFillShade="D9"/>
            <w:vAlign w:val="bottom"/>
          </w:tcPr>
          <w:p w14:paraId="7B8EAF38" w14:textId="77777777" w:rsidR="00214DDD" w:rsidRPr="00B9711B" w:rsidRDefault="00214DDD" w:rsidP="00A4011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9711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2BE5033D" w14:textId="77777777" w:rsidR="00214DDD" w:rsidRPr="00B9711B" w:rsidRDefault="00214DDD" w:rsidP="003710F1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711B">
              <w:rPr>
                <w:rFonts w:ascii="Arial" w:hAnsi="Arial" w:cs="Arial"/>
                <w:b/>
                <w:sz w:val="20"/>
                <w:szCs w:val="20"/>
              </w:rPr>
              <w:t>Recommendation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7BCAC9B" w14:textId="713B16CE" w:rsidR="00214DDD" w:rsidRPr="00B9711B" w:rsidRDefault="00214DDD" w:rsidP="00A401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711B">
              <w:rPr>
                <w:rFonts w:ascii="Arial" w:hAnsi="Arial" w:cs="Arial"/>
                <w:b/>
                <w:sz w:val="20"/>
                <w:szCs w:val="20"/>
              </w:rPr>
              <w:t>Scope: District/</w:t>
            </w:r>
            <w:r w:rsidR="00A401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9711B">
              <w:rPr>
                <w:rFonts w:ascii="Arial" w:hAnsi="Arial" w:cs="Arial"/>
                <w:b/>
                <w:sz w:val="20"/>
                <w:szCs w:val="20"/>
              </w:rPr>
              <w:t xml:space="preserve">County/ National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C36BADC" w14:textId="77777777" w:rsidR="00214DDD" w:rsidRPr="00B9711B" w:rsidRDefault="00214DDD" w:rsidP="003710F1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711B">
              <w:rPr>
                <w:rFonts w:ascii="Arial" w:hAnsi="Arial" w:cs="Arial"/>
                <w:b/>
                <w:sz w:val="20"/>
                <w:szCs w:val="20"/>
              </w:rPr>
              <w:t>Action to take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AAB49D5" w14:textId="77777777" w:rsidR="00214DDD" w:rsidRPr="00B9711B" w:rsidRDefault="00214DDD" w:rsidP="003710F1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711B">
              <w:rPr>
                <w:rFonts w:ascii="Arial" w:hAnsi="Arial" w:cs="Arial"/>
                <w:b/>
                <w:sz w:val="20"/>
                <w:szCs w:val="20"/>
              </w:rPr>
              <w:t>Lead Agency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83C6E43" w14:textId="77777777" w:rsidR="00214DDD" w:rsidRPr="00B9711B" w:rsidRDefault="001C7576" w:rsidP="003710F1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Update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15EB9CF" w14:textId="77777777" w:rsidR="00214DDD" w:rsidRPr="00B9711B" w:rsidRDefault="00214DDD" w:rsidP="003710F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9711B">
              <w:rPr>
                <w:rFonts w:ascii="Arial" w:hAnsi="Arial" w:cs="Arial"/>
                <w:b/>
                <w:sz w:val="20"/>
                <w:szCs w:val="20"/>
              </w:rPr>
              <w:t>Target Date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14:paraId="0A0B2041" w14:textId="77777777" w:rsidR="00214DDD" w:rsidRPr="00B9711B" w:rsidRDefault="00214DDD" w:rsidP="003710F1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711B">
              <w:rPr>
                <w:rFonts w:ascii="Arial" w:hAnsi="Arial" w:cs="Arial"/>
                <w:b/>
                <w:sz w:val="20"/>
                <w:szCs w:val="20"/>
              </w:rPr>
              <w:t>Date of completion and Outcome</w:t>
            </w:r>
          </w:p>
        </w:tc>
      </w:tr>
      <w:tr w:rsidR="00214DDD" w:rsidRPr="00B9711B" w14:paraId="610CF420" w14:textId="77777777" w:rsidTr="00A40110">
        <w:tc>
          <w:tcPr>
            <w:tcW w:w="648" w:type="dxa"/>
          </w:tcPr>
          <w:p w14:paraId="429E16E7" w14:textId="77777777" w:rsidR="00214DDD" w:rsidRPr="00B9711B" w:rsidRDefault="00214DDD" w:rsidP="003710F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711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458" w:type="dxa"/>
          </w:tcPr>
          <w:p w14:paraId="45E180D9" w14:textId="77777777" w:rsidR="00695B02" w:rsidRDefault="00695B02" w:rsidP="00695B02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It is recommended that Nottinghamshire schools have a clear policy about how they will</w:t>
            </w:r>
          </w:p>
          <w:p w14:paraId="7718D201" w14:textId="77777777" w:rsidR="00695B02" w:rsidRDefault="00695B02" w:rsidP="00695B02">
            <w:pPr>
              <w:autoSpaceDE w:val="0"/>
              <w:autoSpaceDN w:val="0"/>
            </w:pPr>
            <w:r>
              <w:t>respond when they are made aware that parents have separated to ensure that there is</w:t>
            </w:r>
          </w:p>
          <w:p w14:paraId="0E3D7404" w14:textId="77777777" w:rsidR="00695B02" w:rsidRDefault="00695B02" w:rsidP="00695B02">
            <w:pPr>
              <w:autoSpaceDE w:val="0"/>
              <w:autoSpaceDN w:val="0"/>
            </w:pPr>
            <w:r>
              <w:t>clarity about how issues, such as collection of children and altercations in the playground,</w:t>
            </w:r>
          </w:p>
          <w:p w14:paraId="66987679" w14:textId="77777777" w:rsidR="00695B02" w:rsidRDefault="00695B02" w:rsidP="00695B02">
            <w:pPr>
              <w:autoSpaceDE w:val="0"/>
              <w:autoSpaceDN w:val="0"/>
            </w:pPr>
            <w:r>
              <w:t>will be dealt with.</w:t>
            </w:r>
          </w:p>
          <w:p w14:paraId="0205E291" w14:textId="77777777" w:rsidR="00214DDD" w:rsidRPr="00B9711B" w:rsidRDefault="00214DDD" w:rsidP="00695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D189A7" w14:textId="77777777" w:rsidR="00214DDD" w:rsidRPr="00B9711B" w:rsidRDefault="001C7576" w:rsidP="00371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</w:t>
            </w:r>
          </w:p>
        </w:tc>
        <w:tc>
          <w:tcPr>
            <w:tcW w:w="1984" w:type="dxa"/>
          </w:tcPr>
          <w:p w14:paraId="1F9A8F42" w14:textId="77777777" w:rsidR="00214DDD" w:rsidRPr="00B9711B" w:rsidRDefault="00214DDD" w:rsidP="00371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769B51" w14:textId="77777777" w:rsidR="00695B02" w:rsidRDefault="00695B02" w:rsidP="00695B02">
            <w:pPr>
              <w:autoSpaceDE w:val="0"/>
              <w:autoSpaceDN w:val="0"/>
              <w:rPr>
                <w:rFonts w:ascii="Calibri-Bold" w:hAnsi="Calibri-Bold"/>
                <w:b/>
                <w:bCs/>
                <w:sz w:val="22"/>
                <w:szCs w:val="22"/>
              </w:rPr>
            </w:pPr>
            <w:r>
              <w:rPr>
                <w:rFonts w:ascii="Calibri-Bold" w:hAnsi="Calibri-Bold"/>
                <w:b/>
                <w:bCs/>
              </w:rPr>
              <w:t>Nottinghamshire Schools</w:t>
            </w:r>
          </w:p>
          <w:p w14:paraId="6C3118B6" w14:textId="77777777" w:rsidR="00214DDD" w:rsidRPr="001C7576" w:rsidRDefault="00214DDD" w:rsidP="00695B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8DF75A" w14:textId="77777777" w:rsidR="00214DDD" w:rsidRPr="00B9711B" w:rsidRDefault="00C92950" w:rsidP="00371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992" w:type="dxa"/>
          </w:tcPr>
          <w:p w14:paraId="0B570DA4" w14:textId="77777777" w:rsidR="00214DDD" w:rsidRPr="00B9711B" w:rsidRDefault="00214DDD" w:rsidP="00371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14:paraId="25B30D2B" w14:textId="77777777" w:rsidR="00214DDD" w:rsidRPr="00B9711B" w:rsidRDefault="00214DDD" w:rsidP="003710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DDD" w:rsidRPr="00B9711B" w14:paraId="36C81B3E" w14:textId="77777777" w:rsidTr="00A40110">
        <w:tc>
          <w:tcPr>
            <w:tcW w:w="648" w:type="dxa"/>
          </w:tcPr>
          <w:p w14:paraId="48FE50BB" w14:textId="77777777" w:rsidR="00214DDD" w:rsidRPr="00B9711B" w:rsidRDefault="00214DDD" w:rsidP="003710F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711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458" w:type="dxa"/>
          </w:tcPr>
          <w:p w14:paraId="5F6BFF5B" w14:textId="77777777" w:rsidR="00695B02" w:rsidRPr="00695B02" w:rsidRDefault="00695B02" w:rsidP="00695B02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It is recommended that Nottinghamshire Police raise awareness of the change in its policy</w:t>
            </w:r>
            <w:r>
              <w:rPr>
                <w:sz w:val="22"/>
                <w:szCs w:val="22"/>
              </w:rPr>
              <w:t xml:space="preserve"> </w:t>
            </w:r>
            <w:r>
              <w:t>in July 2018 which means that, in this case a risk assessment would have been undertaken.</w:t>
            </w:r>
            <w:r>
              <w:rPr>
                <w:sz w:val="22"/>
                <w:szCs w:val="22"/>
              </w:rPr>
              <w:t xml:space="preserve"> </w:t>
            </w:r>
            <w:r>
              <w:t>Awareness should be raised in order that officers understand that incidents where a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relationship has come to an end or where complaints are </w:t>
            </w:r>
            <w:r>
              <w:lastRenderedPageBreak/>
              <w:t>withdrawn increase the risk to the victim,</w:t>
            </w:r>
          </w:p>
          <w:p w14:paraId="4D3035B4" w14:textId="77777777" w:rsidR="00214DDD" w:rsidRPr="00B9711B" w:rsidRDefault="00214DDD" w:rsidP="00695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890698" w14:textId="77777777" w:rsidR="00214DDD" w:rsidRPr="00B9711B" w:rsidRDefault="001C7576" w:rsidP="00371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County</w:t>
            </w:r>
          </w:p>
        </w:tc>
        <w:tc>
          <w:tcPr>
            <w:tcW w:w="1984" w:type="dxa"/>
          </w:tcPr>
          <w:p w14:paraId="1CCEC4A5" w14:textId="77777777" w:rsidR="00214DDD" w:rsidRPr="00B9711B" w:rsidRDefault="00214DDD" w:rsidP="00371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5AB619" w14:textId="77777777" w:rsidR="00695B02" w:rsidRDefault="00695B02" w:rsidP="00695B02">
            <w:pPr>
              <w:autoSpaceDE w:val="0"/>
              <w:autoSpaceDN w:val="0"/>
              <w:rPr>
                <w:rFonts w:ascii="Calibri-Bold" w:hAnsi="Calibri-Bold"/>
                <w:b/>
                <w:bCs/>
                <w:sz w:val="22"/>
                <w:szCs w:val="22"/>
              </w:rPr>
            </w:pPr>
            <w:r>
              <w:rPr>
                <w:rFonts w:ascii="Calibri-Bold" w:hAnsi="Calibri-Bold"/>
                <w:b/>
                <w:bCs/>
              </w:rPr>
              <w:t>Nottinghamshire Police</w:t>
            </w:r>
          </w:p>
          <w:p w14:paraId="0A08B3DA" w14:textId="77777777" w:rsidR="00214DDD" w:rsidRPr="001C7576" w:rsidRDefault="00214DDD" w:rsidP="00695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E872B6" w14:textId="77777777" w:rsidR="00214DDD" w:rsidRPr="00B9711B" w:rsidRDefault="00C92950" w:rsidP="00371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992" w:type="dxa"/>
          </w:tcPr>
          <w:p w14:paraId="128572A8" w14:textId="77777777" w:rsidR="00214DDD" w:rsidRPr="00B9711B" w:rsidRDefault="00214DDD" w:rsidP="00371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14:paraId="248C55E6" w14:textId="77777777" w:rsidR="00214DDD" w:rsidRPr="00B9711B" w:rsidRDefault="00214DDD" w:rsidP="003710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576" w:rsidRPr="00B9711B" w14:paraId="1D5A9132" w14:textId="77777777" w:rsidTr="00A40110">
        <w:tc>
          <w:tcPr>
            <w:tcW w:w="648" w:type="dxa"/>
          </w:tcPr>
          <w:p w14:paraId="35C9E653" w14:textId="77777777" w:rsidR="001C7576" w:rsidRDefault="001C7576" w:rsidP="001C7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95DEF6" w14:textId="77777777" w:rsidR="001C7576" w:rsidRPr="00B9711B" w:rsidRDefault="001C7576" w:rsidP="001C7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711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58" w:type="dxa"/>
          </w:tcPr>
          <w:p w14:paraId="199750EC" w14:textId="77777777" w:rsidR="001C7576" w:rsidRDefault="001C7576" w:rsidP="001C75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082122" w14:textId="77777777" w:rsidR="00695B02" w:rsidRPr="00695B02" w:rsidRDefault="00695B02" w:rsidP="00695B02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It is recommended that the GP practice reminds all practitioners of the importance of using</w:t>
            </w:r>
            <w:r>
              <w:rPr>
                <w:sz w:val="22"/>
                <w:szCs w:val="22"/>
              </w:rPr>
              <w:t xml:space="preserve"> </w:t>
            </w:r>
            <w:r>
              <w:t>their professional curiosity and asking about domestic abuse at every opportunity, especially</w:t>
            </w:r>
          </w:p>
          <w:p w14:paraId="1BEC066C" w14:textId="77777777" w:rsidR="00695B02" w:rsidRDefault="00695B02" w:rsidP="00695B02">
            <w:pPr>
              <w:autoSpaceDE w:val="0"/>
              <w:autoSpaceDN w:val="0"/>
            </w:pPr>
            <w:r>
              <w:t>when dealing with those who are pregnant or presenting with anxiety.</w:t>
            </w:r>
          </w:p>
          <w:p w14:paraId="48BF1462" w14:textId="77777777" w:rsidR="001C7576" w:rsidRDefault="001C7576" w:rsidP="001C75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7DC173" w14:textId="77777777" w:rsidR="001C7576" w:rsidRPr="00B9711B" w:rsidRDefault="001C7576" w:rsidP="001C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734E6B" w14:textId="77777777" w:rsidR="001C7576" w:rsidRDefault="001C7576" w:rsidP="001C75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941916" w14:textId="77777777" w:rsidR="001C7576" w:rsidRPr="00B9711B" w:rsidRDefault="001C7576" w:rsidP="001C7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</w:t>
            </w:r>
          </w:p>
        </w:tc>
        <w:tc>
          <w:tcPr>
            <w:tcW w:w="1984" w:type="dxa"/>
          </w:tcPr>
          <w:p w14:paraId="2A93665E" w14:textId="77777777" w:rsidR="001C7576" w:rsidRPr="00B9711B" w:rsidRDefault="001C7576" w:rsidP="001C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CAE3E9" w14:textId="77777777" w:rsidR="00695B02" w:rsidRDefault="00695B02" w:rsidP="00695B02">
            <w:pPr>
              <w:autoSpaceDE w:val="0"/>
              <w:autoSpaceDN w:val="0"/>
              <w:rPr>
                <w:rFonts w:ascii="Calibri-Bold" w:hAnsi="Calibri-Bold"/>
                <w:b/>
                <w:bCs/>
                <w:sz w:val="22"/>
                <w:szCs w:val="22"/>
              </w:rPr>
            </w:pPr>
            <w:r>
              <w:rPr>
                <w:rFonts w:ascii="Calibri-Bold" w:hAnsi="Calibri-Bold"/>
                <w:b/>
                <w:bCs/>
              </w:rPr>
              <w:t>GP practice</w:t>
            </w:r>
          </w:p>
          <w:p w14:paraId="49965196" w14:textId="77777777" w:rsidR="001C7576" w:rsidRPr="00B9711B" w:rsidRDefault="001C7576" w:rsidP="00695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C4CFB8" w14:textId="77777777" w:rsidR="001C7576" w:rsidRPr="00B9711B" w:rsidRDefault="00C92950" w:rsidP="001C7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992" w:type="dxa"/>
          </w:tcPr>
          <w:p w14:paraId="676192B8" w14:textId="77777777" w:rsidR="001C7576" w:rsidRPr="00B9711B" w:rsidRDefault="001C7576" w:rsidP="001C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14:paraId="2546849F" w14:textId="77777777" w:rsidR="001C7576" w:rsidRPr="00B9711B" w:rsidRDefault="001C7576" w:rsidP="001C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576" w:rsidRPr="00B9711B" w14:paraId="57CFA8C0" w14:textId="77777777" w:rsidTr="00A40110">
        <w:tc>
          <w:tcPr>
            <w:tcW w:w="648" w:type="dxa"/>
          </w:tcPr>
          <w:p w14:paraId="3680DEF1" w14:textId="77777777" w:rsidR="001C7576" w:rsidRDefault="001C7576" w:rsidP="001C7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F58ABD" w14:textId="77777777" w:rsidR="001C7576" w:rsidRPr="00B9711B" w:rsidRDefault="001C7576" w:rsidP="001C7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711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458" w:type="dxa"/>
          </w:tcPr>
          <w:p w14:paraId="4ED81734" w14:textId="77777777" w:rsidR="00695B02" w:rsidRPr="00695B02" w:rsidRDefault="00695B02" w:rsidP="00695B02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Whilst it is acknowledged that there is much work done to raise awareness, it is</w:t>
            </w:r>
            <w:r>
              <w:rPr>
                <w:sz w:val="22"/>
                <w:szCs w:val="22"/>
              </w:rPr>
              <w:t xml:space="preserve"> </w:t>
            </w:r>
            <w:r>
              <w:t>recommended that the partnership considers more innovative ways of getting the messages to young women, such as Caroline, who are not having contact with agencies.</w:t>
            </w:r>
          </w:p>
          <w:p w14:paraId="52FEF59D" w14:textId="77777777" w:rsidR="00695B02" w:rsidRDefault="00695B02" w:rsidP="00695B02">
            <w:pPr>
              <w:autoSpaceDE w:val="0"/>
              <w:autoSpaceDN w:val="0"/>
            </w:pPr>
            <w:r>
              <w:t>It is recommended that publicity messages focus upon the support that social services can provide to women experiencing domestic abuse with a view to allaying their fears that their children will be taken away.</w:t>
            </w:r>
          </w:p>
          <w:p w14:paraId="1A216C11" w14:textId="77777777" w:rsidR="001C7576" w:rsidRPr="00B9711B" w:rsidRDefault="001C7576" w:rsidP="00695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3B8E76" w14:textId="77777777" w:rsidR="001C7576" w:rsidRDefault="001C7576" w:rsidP="001C75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506E0" w14:textId="77777777" w:rsidR="001C7576" w:rsidRPr="00B9711B" w:rsidRDefault="001C7576" w:rsidP="001C7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</w:t>
            </w:r>
          </w:p>
        </w:tc>
        <w:tc>
          <w:tcPr>
            <w:tcW w:w="1984" w:type="dxa"/>
          </w:tcPr>
          <w:p w14:paraId="5975C08D" w14:textId="77777777" w:rsidR="001C7576" w:rsidRPr="00B9711B" w:rsidRDefault="001C7576" w:rsidP="001C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68C0C2" w14:textId="77777777" w:rsidR="001C7576" w:rsidRDefault="001C7576" w:rsidP="001C75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B79CA7" w14:textId="77777777" w:rsidR="00695B02" w:rsidRDefault="00695B02" w:rsidP="00695B02">
            <w:pPr>
              <w:autoSpaceDE w:val="0"/>
              <w:autoSpaceDN w:val="0"/>
              <w:rPr>
                <w:rFonts w:ascii="Calibri-Bold" w:hAnsi="Calibri-Bold"/>
                <w:b/>
                <w:bCs/>
                <w:sz w:val="22"/>
                <w:szCs w:val="22"/>
              </w:rPr>
            </w:pPr>
            <w:r>
              <w:rPr>
                <w:rFonts w:ascii="Calibri-Bold" w:hAnsi="Calibri-Bold"/>
                <w:b/>
                <w:bCs/>
              </w:rPr>
              <w:t>Ashfield Community Partnership</w:t>
            </w:r>
          </w:p>
          <w:p w14:paraId="1501AC21" w14:textId="77777777" w:rsidR="001C7576" w:rsidRPr="00B9711B" w:rsidRDefault="001C7576" w:rsidP="00695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353265" w14:textId="77777777" w:rsidR="001C7576" w:rsidRPr="00B9711B" w:rsidRDefault="00C92950" w:rsidP="001C7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992" w:type="dxa"/>
          </w:tcPr>
          <w:p w14:paraId="1FDB46AD" w14:textId="77777777" w:rsidR="001C7576" w:rsidRPr="00B9711B" w:rsidRDefault="001C7576" w:rsidP="001C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14:paraId="3A332999" w14:textId="77777777" w:rsidR="001C7576" w:rsidRPr="00B9711B" w:rsidRDefault="001C7576" w:rsidP="001C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B02" w:rsidRPr="00B9711B" w14:paraId="3E9CE7D6" w14:textId="77777777" w:rsidTr="00A40110">
        <w:tc>
          <w:tcPr>
            <w:tcW w:w="648" w:type="dxa"/>
          </w:tcPr>
          <w:p w14:paraId="5489A33E" w14:textId="77777777" w:rsidR="00695B02" w:rsidRDefault="00695B02" w:rsidP="001C7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3458" w:type="dxa"/>
          </w:tcPr>
          <w:p w14:paraId="3F486507" w14:textId="77777777" w:rsidR="00695B02" w:rsidRDefault="00695B02" w:rsidP="00695B02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It is recommended that the role of school safeguarding leads is reviewed and incorporates</w:t>
            </w:r>
          </w:p>
          <w:p w14:paraId="57589FC6" w14:textId="77777777" w:rsidR="00695B02" w:rsidRPr="00692732" w:rsidRDefault="00695B02" w:rsidP="00692732">
            <w:pPr>
              <w:autoSpaceDE w:val="0"/>
              <w:autoSpaceDN w:val="0"/>
            </w:pPr>
            <w:r>
              <w:t>the opportunity for victims of domestic abuse and others who have concerns to have</w:t>
            </w:r>
            <w:r w:rsidR="00692732">
              <w:t xml:space="preserve"> </w:t>
            </w:r>
            <w:r>
              <w:t>confidential conversations and make reports in a safe environment.</w:t>
            </w:r>
          </w:p>
          <w:p w14:paraId="7DF64DC9" w14:textId="77777777" w:rsidR="00695B02" w:rsidRDefault="00695B02" w:rsidP="001C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131692" w14:textId="77777777" w:rsidR="00695B02" w:rsidRDefault="00695B02" w:rsidP="001C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55D74D" w14:textId="77777777" w:rsidR="00695B02" w:rsidRPr="00B9711B" w:rsidRDefault="00695B02" w:rsidP="001C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8316CFB" w14:textId="77777777" w:rsidR="00695B02" w:rsidRDefault="00695B02" w:rsidP="00695B02">
            <w:pPr>
              <w:autoSpaceDE w:val="0"/>
              <w:autoSpaceDN w:val="0"/>
              <w:rPr>
                <w:rFonts w:ascii="Calibri-Bold" w:hAnsi="Calibri-Bold"/>
                <w:b/>
                <w:bCs/>
                <w:sz w:val="22"/>
                <w:szCs w:val="22"/>
              </w:rPr>
            </w:pPr>
            <w:r>
              <w:rPr>
                <w:rFonts w:ascii="Calibri-Bold" w:hAnsi="Calibri-Bold"/>
                <w:b/>
                <w:bCs/>
              </w:rPr>
              <w:t>Nottinghamshire Safeguarding Children Board</w:t>
            </w:r>
          </w:p>
          <w:p w14:paraId="2B2EA204" w14:textId="77777777" w:rsidR="00695B02" w:rsidRDefault="00695B02" w:rsidP="001C75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0A3C36" w14:textId="77777777" w:rsidR="00695B02" w:rsidRDefault="00254AC2" w:rsidP="001C7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992" w:type="dxa"/>
          </w:tcPr>
          <w:p w14:paraId="1EB4A568" w14:textId="77777777" w:rsidR="00695B02" w:rsidRPr="00B9711B" w:rsidRDefault="00695B02" w:rsidP="001C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14:paraId="133A4CB1" w14:textId="77777777" w:rsidR="00695B02" w:rsidRPr="00B9711B" w:rsidRDefault="00695B02" w:rsidP="001C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A4A" w:rsidRPr="00B9711B" w14:paraId="297A57F2" w14:textId="77777777" w:rsidTr="00A40110">
        <w:tc>
          <w:tcPr>
            <w:tcW w:w="648" w:type="dxa"/>
          </w:tcPr>
          <w:p w14:paraId="4CB307C5" w14:textId="4656B3AF" w:rsidR="00217A4A" w:rsidRDefault="00217A4A" w:rsidP="001C7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3458" w:type="dxa"/>
          </w:tcPr>
          <w:p w14:paraId="72CAC07E" w14:textId="6832FB2A" w:rsidR="00217A4A" w:rsidRPr="00217A4A" w:rsidRDefault="00217A4A" w:rsidP="00217A4A">
            <w:pPr>
              <w:pStyle w:val="Default"/>
              <w:rPr>
                <w:rFonts w:ascii="Times New Roman" w:hAnsi="Times New Roman" w:cs="Times New Roman"/>
              </w:rPr>
            </w:pPr>
            <w:r w:rsidRPr="00217A4A">
              <w:rPr>
                <w:rFonts w:ascii="Times New Roman" w:hAnsi="Times New Roman" w:cs="Times New Roman"/>
              </w:rPr>
              <w:t xml:space="preserve">It is recommended that </w:t>
            </w:r>
            <w:r w:rsidRPr="00217A4A">
              <w:rPr>
                <w:rFonts w:ascii="Times New Roman" w:hAnsi="Times New Roman" w:cs="Times New Roman"/>
                <w:sz w:val="23"/>
                <w:szCs w:val="23"/>
              </w:rPr>
              <w:t xml:space="preserve">local awareness raising campaign are undertaken. </w:t>
            </w:r>
          </w:p>
          <w:p w14:paraId="0B3DFCEB" w14:textId="77777777" w:rsidR="00217A4A" w:rsidRDefault="00217A4A" w:rsidP="00695B02">
            <w:pPr>
              <w:autoSpaceDE w:val="0"/>
              <w:autoSpaceDN w:val="0"/>
            </w:pPr>
          </w:p>
        </w:tc>
        <w:tc>
          <w:tcPr>
            <w:tcW w:w="1843" w:type="dxa"/>
          </w:tcPr>
          <w:p w14:paraId="641C6982" w14:textId="77777777" w:rsidR="00217A4A" w:rsidRDefault="00217A4A" w:rsidP="001C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088B86" w14:textId="25E1A0A6" w:rsidR="00217A4A" w:rsidRPr="00B9711B" w:rsidRDefault="00217A4A" w:rsidP="001C7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Ashfield District Council is White Ribbon Accredited and is the lead agency for coo-ordinating awareness campaigns. These are done in on a yearly basis as part of the 16 days of activism. A comms strategy has been developed whereby comms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updates and community stalls in key locations of the district are put in place to raise awareness of domestic abuse. In addition staff DV/Vulnerability training has been implemented to raise awareness of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signs and symptoms</w:t>
            </w:r>
          </w:p>
        </w:tc>
        <w:tc>
          <w:tcPr>
            <w:tcW w:w="2694" w:type="dxa"/>
          </w:tcPr>
          <w:p w14:paraId="2FDD71B7" w14:textId="58F01F0C" w:rsidR="00217A4A" w:rsidRDefault="00217A4A" w:rsidP="00695B02">
            <w:pPr>
              <w:autoSpaceDE w:val="0"/>
              <w:autoSpaceDN w:val="0"/>
              <w:rPr>
                <w:rFonts w:ascii="Calibri-Bold" w:hAnsi="Calibri-Bold"/>
                <w:b/>
                <w:bCs/>
              </w:rPr>
            </w:pPr>
            <w:r>
              <w:rPr>
                <w:rFonts w:ascii="Calibri-Bold" w:hAnsi="Calibri-Bold"/>
                <w:b/>
                <w:bCs/>
              </w:rPr>
              <w:lastRenderedPageBreak/>
              <w:t xml:space="preserve">Ashfield Community Safety Partnership </w:t>
            </w:r>
          </w:p>
        </w:tc>
        <w:tc>
          <w:tcPr>
            <w:tcW w:w="1984" w:type="dxa"/>
          </w:tcPr>
          <w:p w14:paraId="5D6051BF" w14:textId="4F17FB85" w:rsidR="00217A4A" w:rsidRDefault="00217A4A" w:rsidP="001C7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</w:t>
            </w:r>
          </w:p>
        </w:tc>
        <w:tc>
          <w:tcPr>
            <w:tcW w:w="992" w:type="dxa"/>
          </w:tcPr>
          <w:p w14:paraId="532CE52D" w14:textId="77777777" w:rsidR="00217A4A" w:rsidRPr="00B9711B" w:rsidRDefault="00217A4A" w:rsidP="001C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14:paraId="7C60D28D" w14:textId="77777777" w:rsidR="00217A4A" w:rsidRPr="00B9711B" w:rsidRDefault="00217A4A" w:rsidP="001C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76C5CD" w14:textId="77777777" w:rsidR="002F2E8A" w:rsidRDefault="002F2E8A"/>
    <w:sectPr w:rsidR="002F2E8A" w:rsidSect="00214D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4989"/>
    <w:multiLevelType w:val="hybridMultilevel"/>
    <w:tmpl w:val="8C2E4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44985"/>
    <w:multiLevelType w:val="hybridMultilevel"/>
    <w:tmpl w:val="C6D995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DD"/>
    <w:rsid w:val="001C7576"/>
    <w:rsid w:val="00214DDD"/>
    <w:rsid w:val="00217A4A"/>
    <w:rsid w:val="00254AC2"/>
    <w:rsid w:val="002F2E8A"/>
    <w:rsid w:val="003A1E59"/>
    <w:rsid w:val="00692732"/>
    <w:rsid w:val="00695B02"/>
    <w:rsid w:val="007C5902"/>
    <w:rsid w:val="00A40110"/>
    <w:rsid w:val="00C9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615B"/>
  <w15:chartTrackingRefBased/>
  <w15:docId w15:val="{091BBCE5-A668-4D41-93F0-13CE092E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110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40110"/>
    <w:pPr>
      <w:keepNext/>
      <w:keepLines/>
      <w:spacing w:before="40" w:after="2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14D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17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4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40110"/>
    <w:rPr>
      <w:rFonts w:ascii="Arial" w:eastAsiaTheme="majorEastAsia" w:hAnsi="Arial" w:cstheme="majorBidi"/>
      <w:b/>
      <w:color w:val="000000" w:themeColor="text1"/>
      <w:sz w:val="24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40110"/>
    <w:rPr>
      <w:rFonts w:ascii="Arial" w:eastAsiaTheme="majorEastAsia" w:hAnsi="Arial" w:cstheme="majorBidi"/>
      <w:b/>
      <w:color w:val="000000" w:themeColor="text1"/>
      <w:sz w:val="24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Taylor</dc:creator>
  <cp:keywords/>
  <dc:description/>
  <cp:lastModifiedBy>Sharon.Simcox</cp:lastModifiedBy>
  <cp:revision>2</cp:revision>
  <dcterms:created xsi:type="dcterms:W3CDTF">2022-02-07T10:34:00Z</dcterms:created>
  <dcterms:modified xsi:type="dcterms:W3CDTF">2022-02-07T10:34:00Z</dcterms:modified>
</cp:coreProperties>
</file>