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Layout w:type="fixed"/>
        <w:tblLook w:val="01E0" w:firstRow="1" w:lastRow="1" w:firstColumn="1" w:lastColumn="1" w:noHBand="0" w:noVBand="0"/>
      </w:tblPr>
      <w:tblGrid>
        <w:gridCol w:w="2977"/>
        <w:gridCol w:w="3152"/>
        <w:gridCol w:w="1080"/>
        <w:gridCol w:w="3139"/>
      </w:tblGrid>
      <w:tr w:rsidR="00925F8E" w:rsidTr="00BA7B9E">
        <w:trPr>
          <w:trHeight w:val="568"/>
        </w:trPr>
        <w:tc>
          <w:tcPr>
            <w:tcW w:w="2977" w:type="dxa"/>
            <w:tcBorders>
              <w:bottom w:val="thinThickSmallGap" w:sz="24" w:space="0" w:color="auto"/>
            </w:tcBorders>
            <w:vAlign w:val="center"/>
          </w:tcPr>
          <w:p w:rsidR="001807C4" w:rsidRPr="004908D8" w:rsidRDefault="007F1FE9" w:rsidP="00DD671D">
            <w:pPr>
              <w:tabs>
                <w:tab w:val="left" w:pos="4253"/>
              </w:tabs>
              <w:spacing w:before="120"/>
              <w:rPr>
                <w:b/>
                <w:color w:val="000000" w:themeColor="text1"/>
              </w:rPr>
            </w:pPr>
            <w:bookmarkStart w:id="0" w:name="_GoBack"/>
            <w:bookmarkEnd w:id="0"/>
          </w:p>
        </w:tc>
        <w:tc>
          <w:tcPr>
            <w:tcW w:w="3152" w:type="dxa"/>
            <w:tcBorders>
              <w:bottom w:val="thinThickSmallGap" w:sz="24" w:space="0" w:color="auto"/>
            </w:tcBorders>
            <w:vAlign w:val="center"/>
          </w:tcPr>
          <w:p w:rsidR="001807C4" w:rsidRDefault="007F1FE9" w:rsidP="00812E11">
            <w:pPr>
              <w:tabs>
                <w:tab w:val="left" w:pos="4253"/>
              </w:tabs>
              <w:spacing w:before="120"/>
              <w:rPr>
                <w:b/>
                <w:color w:val="000000" w:themeColor="text1"/>
              </w:rPr>
            </w:pPr>
          </w:p>
        </w:tc>
        <w:tc>
          <w:tcPr>
            <w:tcW w:w="1080" w:type="dxa"/>
            <w:tcBorders>
              <w:bottom w:val="thinThickSmallGap" w:sz="24" w:space="0" w:color="auto"/>
            </w:tcBorders>
            <w:vAlign w:val="center"/>
          </w:tcPr>
          <w:p w:rsidR="001807C4" w:rsidRPr="004908D8" w:rsidRDefault="007F1FE9" w:rsidP="00DD671D">
            <w:pPr>
              <w:tabs>
                <w:tab w:val="left" w:pos="4253"/>
              </w:tabs>
              <w:spacing w:before="120"/>
              <w:rPr>
                <w:b/>
                <w:color w:val="000000" w:themeColor="text1"/>
              </w:rPr>
            </w:pPr>
          </w:p>
        </w:tc>
        <w:tc>
          <w:tcPr>
            <w:tcW w:w="3139" w:type="dxa"/>
            <w:tcBorders>
              <w:left w:val="nil"/>
              <w:bottom w:val="thinThickSmallGap" w:sz="24" w:space="0" w:color="auto"/>
            </w:tcBorders>
            <w:vAlign w:val="center"/>
          </w:tcPr>
          <w:p w:rsidR="001807C4" w:rsidRDefault="002D7D26" w:rsidP="00DD671D">
            <w:pPr>
              <w:tabs>
                <w:tab w:val="left" w:pos="4253"/>
              </w:tabs>
              <w:spacing w:before="120"/>
              <w:rPr>
                <w:b/>
                <w:color w:val="000000" w:themeColor="text1"/>
              </w:rPr>
            </w:pPr>
            <w:r w:rsidRPr="001807C4">
              <w:rPr>
                <w:b/>
                <w:noProof/>
                <w:color w:val="000000" w:themeColor="text1"/>
                <w:lang w:eastAsia="en-GB"/>
              </w:rPr>
              <w:drawing>
                <wp:inline distT="0" distB="0" distL="0" distR="0">
                  <wp:extent cx="1943450" cy="1036049"/>
                  <wp:effectExtent l="0" t="0" r="0" b="0"/>
                  <wp:docPr id="1" name="Picture 1" descr="C:\Users\ad34001\AppData\Local\Microsoft\Windows\Temporary Internet Files\Content.Outlook\WFTJ196G\ANT-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34001\AppData\Local\Microsoft\Windows\Temporary Internet Files\Content.Outlook\WFTJ196G\ANT-DC.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977452" cy="1054175"/>
                          </a:xfrm>
                          <a:prstGeom prst="rect">
                            <a:avLst/>
                          </a:prstGeom>
                          <a:noFill/>
                          <a:ln>
                            <a:noFill/>
                          </a:ln>
                        </pic:spPr>
                      </pic:pic>
                    </a:graphicData>
                  </a:graphic>
                </wp:inline>
              </w:drawing>
            </w:r>
          </w:p>
        </w:tc>
      </w:tr>
      <w:tr w:rsidR="00925F8E" w:rsidTr="00BA7B9E">
        <w:trPr>
          <w:trHeight w:val="568"/>
        </w:trPr>
        <w:tc>
          <w:tcPr>
            <w:tcW w:w="2977" w:type="dxa"/>
            <w:tcBorders>
              <w:top w:val="thinThickSmallGap" w:sz="24" w:space="0" w:color="auto"/>
              <w:left w:val="thinThickSmallGap" w:sz="24" w:space="0" w:color="auto"/>
              <w:bottom w:val="single" w:sz="4" w:space="0" w:color="auto"/>
              <w:right w:val="single" w:sz="4" w:space="0" w:color="auto"/>
            </w:tcBorders>
            <w:vAlign w:val="center"/>
          </w:tcPr>
          <w:p w:rsidR="00D51554" w:rsidRPr="004908D8" w:rsidRDefault="002D7D26" w:rsidP="00DD671D">
            <w:pPr>
              <w:tabs>
                <w:tab w:val="left" w:pos="4253"/>
              </w:tabs>
              <w:spacing w:before="120"/>
              <w:rPr>
                <w:b/>
                <w:color w:val="000000" w:themeColor="text1"/>
              </w:rPr>
            </w:pPr>
            <w:r w:rsidRPr="004908D8">
              <w:rPr>
                <w:b/>
                <w:color w:val="000000" w:themeColor="text1"/>
              </w:rPr>
              <w:t>Report To:</w:t>
            </w:r>
          </w:p>
        </w:tc>
        <w:tc>
          <w:tcPr>
            <w:tcW w:w="3152" w:type="dxa"/>
            <w:tcBorders>
              <w:top w:val="thinThickSmallGap" w:sz="24" w:space="0" w:color="auto"/>
              <w:left w:val="single" w:sz="4" w:space="0" w:color="auto"/>
              <w:bottom w:val="single" w:sz="4" w:space="0" w:color="auto"/>
              <w:right w:val="single" w:sz="4" w:space="0" w:color="auto"/>
            </w:tcBorders>
            <w:vAlign w:val="center"/>
          </w:tcPr>
          <w:p w:rsidR="00D51554" w:rsidRPr="005050AF" w:rsidRDefault="002D7D26" w:rsidP="00812E11">
            <w:pPr>
              <w:tabs>
                <w:tab w:val="left" w:pos="4253"/>
              </w:tabs>
              <w:spacing w:before="120"/>
              <w:rPr>
                <w:b/>
                <w:color w:val="000000" w:themeColor="text1"/>
              </w:rPr>
            </w:pPr>
            <w:r w:rsidRPr="000E5CDF">
              <w:rPr>
                <w:b/>
              </w:rPr>
              <w:t>CABINET</w:t>
            </w:r>
          </w:p>
        </w:tc>
        <w:tc>
          <w:tcPr>
            <w:tcW w:w="1080" w:type="dxa"/>
            <w:tcBorders>
              <w:top w:val="thinThickSmallGap" w:sz="24" w:space="0" w:color="auto"/>
              <w:left w:val="single" w:sz="4" w:space="0" w:color="auto"/>
              <w:bottom w:val="single" w:sz="4" w:space="0" w:color="auto"/>
              <w:right w:val="single" w:sz="4" w:space="0" w:color="auto"/>
            </w:tcBorders>
            <w:vAlign w:val="center"/>
          </w:tcPr>
          <w:p w:rsidR="00D51554" w:rsidRPr="004908D8" w:rsidRDefault="002D7D26" w:rsidP="005956D0">
            <w:pPr>
              <w:tabs>
                <w:tab w:val="left" w:pos="4253"/>
              </w:tabs>
              <w:spacing w:before="120"/>
              <w:rPr>
                <w:b/>
                <w:color w:val="000000" w:themeColor="text1"/>
              </w:rPr>
            </w:pPr>
            <w:r>
              <w:rPr>
                <w:b/>
                <w:color w:val="000000" w:themeColor="text1"/>
              </w:rPr>
              <w:t>Date</w:t>
            </w:r>
            <w:r w:rsidRPr="004908D8">
              <w:rPr>
                <w:b/>
                <w:color w:val="000000" w:themeColor="text1"/>
              </w:rPr>
              <w:t>:</w:t>
            </w:r>
          </w:p>
        </w:tc>
        <w:tc>
          <w:tcPr>
            <w:tcW w:w="3139" w:type="dxa"/>
            <w:tcBorders>
              <w:top w:val="thinThickSmallGap" w:sz="24" w:space="0" w:color="auto"/>
              <w:left w:val="single" w:sz="4" w:space="0" w:color="auto"/>
              <w:bottom w:val="single" w:sz="4" w:space="0" w:color="auto"/>
              <w:right w:val="thickThinSmallGap" w:sz="24" w:space="0" w:color="auto"/>
            </w:tcBorders>
            <w:vAlign w:val="center"/>
          </w:tcPr>
          <w:p w:rsidR="00D51554" w:rsidRPr="000E0F3B" w:rsidRDefault="002D7D26" w:rsidP="00016D97">
            <w:pPr>
              <w:tabs>
                <w:tab w:val="left" w:pos="4253"/>
              </w:tabs>
              <w:spacing w:before="120"/>
              <w:rPr>
                <w:b/>
                <w:color w:val="000000" w:themeColor="text1"/>
              </w:rPr>
            </w:pPr>
            <w:r w:rsidRPr="00881A72">
              <w:rPr>
                <w:b/>
                <w:color w:val="000000" w:themeColor="text1"/>
              </w:rPr>
              <w:t>18</w:t>
            </w:r>
            <w:r>
              <w:rPr>
                <w:b/>
                <w:color w:val="000000" w:themeColor="text1"/>
                <w:vertAlign w:val="superscript"/>
              </w:rPr>
              <w:t xml:space="preserve"> </w:t>
            </w:r>
            <w:r w:rsidRPr="00881A72">
              <w:rPr>
                <w:b/>
                <w:color w:val="000000" w:themeColor="text1"/>
              </w:rPr>
              <w:t>FEBRUARY 2019</w:t>
            </w:r>
          </w:p>
        </w:tc>
      </w:tr>
      <w:tr w:rsidR="00925F8E" w:rsidTr="00BA7B9E">
        <w:trPr>
          <w:trHeight w:val="577"/>
        </w:trPr>
        <w:tc>
          <w:tcPr>
            <w:tcW w:w="2977" w:type="dxa"/>
            <w:tcBorders>
              <w:top w:val="single" w:sz="4" w:space="0" w:color="auto"/>
              <w:left w:val="thinThickSmallGap" w:sz="24" w:space="0" w:color="auto"/>
              <w:bottom w:val="single" w:sz="4" w:space="0" w:color="auto"/>
              <w:right w:val="single" w:sz="4" w:space="0" w:color="auto"/>
            </w:tcBorders>
            <w:vAlign w:val="center"/>
          </w:tcPr>
          <w:p w:rsidR="00D51554" w:rsidRPr="004908D8" w:rsidRDefault="002D7D26" w:rsidP="00DD671D">
            <w:pPr>
              <w:tabs>
                <w:tab w:val="left" w:pos="3294"/>
              </w:tabs>
              <w:rPr>
                <w:b/>
                <w:caps/>
                <w:color w:val="000000" w:themeColor="text1"/>
              </w:rPr>
            </w:pPr>
            <w:r w:rsidRPr="004908D8">
              <w:rPr>
                <w:b/>
                <w:color w:val="000000" w:themeColor="text1"/>
              </w:rPr>
              <w:t>Heading:</w:t>
            </w:r>
          </w:p>
        </w:tc>
        <w:tc>
          <w:tcPr>
            <w:tcW w:w="7371" w:type="dxa"/>
            <w:gridSpan w:val="3"/>
            <w:tcBorders>
              <w:top w:val="single" w:sz="4" w:space="0" w:color="auto"/>
              <w:left w:val="single" w:sz="4" w:space="0" w:color="auto"/>
              <w:bottom w:val="single" w:sz="4" w:space="0" w:color="auto"/>
              <w:right w:val="thickThinSmallGap" w:sz="24" w:space="0" w:color="auto"/>
            </w:tcBorders>
            <w:vAlign w:val="center"/>
          </w:tcPr>
          <w:p w:rsidR="00D51554" w:rsidRPr="005050AF" w:rsidRDefault="002D7D26" w:rsidP="009513CF">
            <w:pPr>
              <w:outlineLvl w:val="0"/>
              <w:rPr>
                <w:b/>
                <w:caps/>
                <w:color w:val="000000" w:themeColor="text1"/>
              </w:rPr>
            </w:pPr>
            <w:r>
              <w:rPr>
                <w:b/>
                <w:caps/>
                <w:color w:val="000000" w:themeColor="text1"/>
              </w:rPr>
              <w:t>TREASURY MANAGEMENT STRATEGY STATEMENT, MINIMUM REVENUE POLICY and prudential iNDicators</w:t>
            </w:r>
          </w:p>
        </w:tc>
      </w:tr>
      <w:tr w:rsidR="00925F8E" w:rsidTr="00BA7B9E">
        <w:trPr>
          <w:trHeight w:val="541"/>
        </w:trPr>
        <w:tc>
          <w:tcPr>
            <w:tcW w:w="2977" w:type="dxa"/>
            <w:tcBorders>
              <w:top w:val="single" w:sz="4" w:space="0" w:color="auto"/>
              <w:left w:val="thinThickSmallGap" w:sz="24" w:space="0" w:color="auto"/>
              <w:bottom w:val="single" w:sz="4" w:space="0" w:color="auto"/>
              <w:right w:val="single" w:sz="4" w:space="0" w:color="auto"/>
            </w:tcBorders>
            <w:vAlign w:val="center"/>
          </w:tcPr>
          <w:p w:rsidR="00D51554" w:rsidRPr="004908D8" w:rsidRDefault="002D7D26" w:rsidP="00DD671D">
            <w:pPr>
              <w:tabs>
                <w:tab w:val="left" w:pos="3294"/>
              </w:tabs>
              <w:rPr>
                <w:b/>
                <w:caps/>
                <w:color w:val="000000" w:themeColor="text1"/>
              </w:rPr>
            </w:pPr>
            <w:r w:rsidRPr="004908D8">
              <w:rPr>
                <w:b/>
                <w:color w:val="000000" w:themeColor="text1"/>
              </w:rPr>
              <w:t>Portfolio Holder:</w:t>
            </w:r>
          </w:p>
        </w:tc>
        <w:tc>
          <w:tcPr>
            <w:tcW w:w="7371" w:type="dxa"/>
            <w:gridSpan w:val="3"/>
            <w:tcBorders>
              <w:top w:val="single" w:sz="4" w:space="0" w:color="auto"/>
              <w:left w:val="single" w:sz="4" w:space="0" w:color="auto"/>
              <w:bottom w:val="single" w:sz="4" w:space="0" w:color="auto"/>
              <w:right w:val="thickThinSmallGap" w:sz="24" w:space="0" w:color="auto"/>
            </w:tcBorders>
            <w:vAlign w:val="center"/>
          </w:tcPr>
          <w:p w:rsidR="00D51554" w:rsidRPr="002829CC" w:rsidRDefault="002D7D26" w:rsidP="00881A72">
            <w:pPr>
              <w:tabs>
                <w:tab w:val="left" w:pos="4253"/>
              </w:tabs>
              <w:spacing w:before="120"/>
              <w:rPr>
                <w:b/>
              </w:rPr>
            </w:pPr>
            <w:r w:rsidRPr="00331768">
              <w:rPr>
                <w:b/>
              </w:rPr>
              <w:t>CABINET MEMBER (INWARD)</w:t>
            </w:r>
            <w:r>
              <w:rPr>
                <w:b/>
              </w:rPr>
              <w:t xml:space="preserve">, </w:t>
            </w:r>
            <w:r w:rsidRPr="00331768">
              <w:rPr>
                <w:b/>
              </w:rPr>
              <w:t>CO</w:t>
            </w:r>
            <w:r>
              <w:rPr>
                <w:b/>
              </w:rPr>
              <w:t>UNCILLOR ROBERT SEARS-PICCAVEY</w:t>
            </w:r>
          </w:p>
        </w:tc>
      </w:tr>
      <w:tr w:rsidR="00925F8E" w:rsidTr="00BA7B9E">
        <w:trPr>
          <w:trHeight w:val="541"/>
        </w:trPr>
        <w:tc>
          <w:tcPr>
            <w:tcW w:w="2977" w:type="dxa"/>
            <w:tcBorders>
              <w:top w:val="single" w:sz="4" w:space="0" w:color="auto"/>
              <w:left w:val="thinThickSmallGap" w:sz="24" w:space="0" w:color="auto"/>
              <w:bottom w:val="single" w:sz="4" w:space="0" w:color="auto"/>
              <w:right w:val="single" w:sz="4" w:space="0" w:color="auto"/>
            </w:tcBorders>
            <w:vAlign w:val="center"/>
          </w:tcPr>
          <w:p w:rsidR="001807C4" w:rsidRPr="004908D8" w:rsidRDefault="002D7D26" w:rsidP="00016D97">
            <w:pPr>
              <w:tabs>
                <w:tab w:val="left" w:pos="3294"/>
              </w:tabs>
              <w:rPr>
                <w:b/>
                <w:caps/>
                <w:color w:val="000000" w:themeColor="text1"/>
              </w:rPr>
            </w:pPr>
            <w:r>
              <w:rPr>
                <w:b/>
                <w:color w:val="000000" w:themeColor="text1"/>
              </w:rPr>
              <w:t xml:space="preserve">Ward/s: </w:t>
            </w:r>
          </w:p>
        </w:tc>
        <w:tc>
          <w:tcPr>
            <w:tcW w:w="7371" w:type="dxa"/>
            <w:gridSpan w:val="3"/>
            <w:tcBorders>
              <w:top w:val="single" w:sz="4" w:space="0" w:color="auto"/>
              <w:left w:val="single" w:sz="4" w:space="0" w:color="auto"/>
              <w:bottom w:val="single" w:sz="4" w:space="0" w:color="auto"/>
              <w:right w:val="thickThinSmallGap" w:sz="24" w:space="0" w:color="auto"/>
            </w:tcBorders>
            <w:vAlign w:val="center"/>
          </w:tcPr>
          <w:p w:rsidR="001807C4" w:rsidRPr="005050AF" w:rsidRDefault="007F1FE9" w:rsidP="00672554">
            <w:pPr>
              <w:tabs>
                <w:tab w:val="left" w:pos="4253"/>
              </w:tabs>
              <w:spacing w:before="120"/>
              <w:rPr>
                <w:b/>
                <w:caps/>
                <w:color w:val="000000" w:themeColor="text1"/>
              </w:rPr>
            </w:pPr>
          </w:p>
        </w:tc>
      </w:tr>
      <w:tr w:rsidR="00925F8E" w:rsidTr="00BA7B9E">
        <w:trPr>
          <w:trHeight w:val="541"/>
        </w:trPr>
        <w:tc>
          <w:tcPr>
            <w:tcW w:w="2977" w:type="dxa"/>
            <w:tcBorders>
              <w:top w:val="single" w:sz="4" w:space="0" w:color="auto"/>
              <w:left w:val="thinThickSmallGap" w:sz="24" w:space="0" w:color="auto"/>
              <w:bottom w:val="single" w:sz="4" w:space="0" w:color="auto"/>
              <w:right w:val="single" w:sz="4" w:space="0" w:color="auto"/>
            </w:tcBorders>
            <w:vAlign w:val="center"/>
          </w:tcPr>
          <w:p w:rsidR="009513CF" w:rsidRDefault="002D7D26" w:rsidP="00016D97">
            <w:pPr>
              <w:tabs>
                <w:tab w:val="left" w:pos="3294"/>
              </w:tabs>
              <w:rPr>
                <w:b/>
                <w:caps/>
                <w:color w:val="000000" w:themeColor="text1"/>
              </w:rPr>
            </w:pPr>
            <w:r w:rsidRPr="004908D8">
              <w:rPr>
                <w:b/>
                <w:color w:val="000000" w:themeColor="text1"/>
              </w:rPr>
              <w:t>Key Decision:</w:t>
            </w:r>
          </w:p>
        </w:tc>
        <w:tc>
          <w:tcPr>
            <w:tcW w:w="7371" w:type="dxa"/>
            <w:gridSpan w:val="3"/>
            <w:tcBorders>
              <w:top w:val="single" w:sz="4" w:space="0" w:color="auto"/>
              <w:left w:val="single" w:sz="4" w:space="0" w:color="auto"/>
              <w:bottom w:val="single" w:sz="4" w:space="0" w:color="auto"/>
              <w:right w:val="thickThinSmallGap" w:sz="24" w:space="0" w:color="auto"/>
            </w:tcBorders>
            <w:vAlign w:val="center"/>
          </w:tcPr>
          <w:p w:rsidR="009513CF" w:rsidRPr="00BC5977" w:rsidRDefault="002D7D26" w:rsidP="00672554">
            <w:pPr>
              <w:tabs>
                <w:tab w:val="left" w:pos="4253"/>
              </w:tabs>
              <w:spacing w:before="120"/>
              <w:rPr>
                <w:b/>
                <w:color w:val="000000" w:themeColor="text1"/>
              </w:rPr>
            </w:pPr>
            <w:r>
              <w:rPr>
                <w:b/>
                <w:color w:val="000000" w:themeColor="text1"/>
              </w:rPr>
              <w:t>YES</w:t>
            </w:r>
          </w:p>
        </w:tc>
      </w:tr>
      <w:tr w:rsidR="00925F8E" w:rsidTr="00BA7B9E">
        <w:trPr>
          <w:trHeight w:val="541"/>
        </w:trPr>
        <w:tc>
          <w:tcPr>
            <w:tcW w:w="2977" w:type="dxa"/>
            <w:tcBorders>
              <w:top w:val="single" w:sz="4" w:space="0" w:color="auto"/>
              <w:left w:val="thinThickSmallGap" w:sz="24" w:space="0" w:color="auto"/>
              <w:bottom w:val="thickThinSmallGap" w:sz="24" w:space="0" w:color="auto"/>
              <w:right w:val="single" w:sz="4" w:space="0" w:color="auto"/>
            </w:tcBorders>
            <w:vAlign w:val="center"/>
          </w:tcPr>
          <w:p w:rsidR="009513CF" w:rsidRPr="004908D8" w:rsidRDefault="002D7D26" w:rsidP="00933467">
            <w:pPr>
              <w:tabs>
                <w:tab w:val="left" w:pos="3294"/>
              </w:tabs>
              <w:rPr>
                <w:b/>
                <w:color w:val="000000" w:themeColor="text1"/>
              </w:rPr>
            </w:pPr>
            <w:r w:rsidRPr="004908D8">
              <w:rPr>
                <w:b/>
                <w:color w:val="000000" w:themeColor="text1"/>
              </w:rPr>
              <w:t xml:space="preserve">Subject </w:t>
            </w:r>
            <w:r>
              <w:rPr>
                <w:b/>
                <w:color w:val="000000" w:themeColor="text1"/>
              </w:rPr>
              <w:t>t</w:t>
            </w:r>
            <w:r w:rsidRPr="004908D8">
              <w:rPr>
                <w:b/>
                <w:color w:val="000000" w:themeColor="text1"/>
              </w:rPr>
              <w:t>o Call-In:</w:t>
            </w:r>
          </w:p>
        </w:tc>
        <w:tc>
          <w:tcPr>
            <w:tcW w:w="7371" w:type="dxa"/>
            <w:gridSpan w:val="3"/>
            <w:tcBorders>
              <w:top w:val="single" w:sz="4" w:space="0" w:color="auto"/>
              <w:left w:val="single" w:sz="4" w:space="0" w:color="auto"/>
              <w:bottom w:val="thickThinSmallGap" w:sz="24" w:space="0" w:color="auto"/>
              <w:right w:val="thickThinSmallGap" w:sz="24" w:space="0" w:color="auto"/>
            </w:tcBorders>
            <w:vAlign w:val="center"/>
          </w:tcPr>
          <w:p w:rsidR="009513CF" w:rsidRPr="00BC5977" w:rsidRDefault="002D7D26" w:rsidP="00672554">
            <w:pPr>
              <w:tabs>
                <w:tab w:val="left" w:pos="4253"/>
              </w:tabs>
              <w:spacing w:before="120"/>
              <w:rPr>
                <w:b/>
                <w:color w:val="000000" w:themeColor="text1"/>
              </w:rPr>
            </w:pPr>
            <w:r>
              <w:rPr>
                <w:b/>
                <w:color w:val="000000" w:themeColor="text1"/>
              </w:rPr>
              <w:t>YES</w:t>
            </w:r>
          </w:p>
        </w:tc>
      </w:tr>
    </w:tbl>
    <w:p w:rsidR="00944081" w:rsidRDefault="007F1FE9"/>
    <w:p w:rsidR="00BA7B9E" w:rsidRPr="00BA7B9E" w:rsidRDefault="002D7D26">
      <w:pPr>
        <w:rPr>
          <w:b/>
          <w:u w:val="single"/>
        </w:rPr>
      </w:pPr>
      <w:r w:rsidRPr="00BA7B9E">
        <w:rPr>
          <w:b/>
          <w:u w:val="single"/>
        </w:rPr>
        <w:t>Purpose of Report</w:t>
      </w:r>
    </w:p>
    <w:p w:rsidR="00BA7B9E" w:rsidRDefault="007F1FE9"/>
    <w:p w:rsidR="00BA7B9E" w:rsidRPr="00881A72" w:rsidRDefault="002D7D26" w:rsidP="00881A72">
      <w:r w:rsidRPr="00881A72">
        <w:t xml:space="preserve">This report sets out the </w:t>
      </w:r>
      <w:r>
        <w:t>Council’s</w:t>
      </w:r>
      <w:r w:rsidRPr="00881A72">
        <w:t xml:space="preserve"> </w:t>
      </w:r>
      <w:r>
        <w:t xml:space="preserve">proposed </w:t>
      </w:r>
      <w:r w:rsidRPr="00881A72">
        <w:t>Treasury Management Strategy (TMSS) for 201</w:t>
      </w:r>
      <w:r>
        <w:t>9/20</w:t>
      </w:r>
      <w:r w:rsidRPr="00881A72">
        <w:t xml:space="preserve"> (including the Treasury Management Policy; Minimum Revenue Provision Policy; Investment Strategy; </w:t>
      </w:r>
      <w:r>
        <w:t>P</w:t>
      </w:r>
      <w:r w:rsidRPr="00881A72">
        <w:t xml:space="preserve">rudential </w:t>
      </w:r>
      <w:r>
        <w:t>I</w:t>
      </w:r>
      <w:r w:rsidRPr="00881A72">
        <w:t>ndicators and Treasury Management Practices: Main Principles). It has been prepared in accordance with the Treasury Management in the Public Services Code of Practice (the Code), issued by the Chartered Institute of Public Finance and Accountancy (CIPFA), and relevant legislation.</w:t>
      </w:r>
    </w:p>
    <w:p w:rsidR="00BA7B9E" w:rsidRDefault="007F1FE9"/>
    <w:p w:rsidR="00944081" w:rsidRDefault="007F1FE9"/>
    <w:tbl>
      <w:tblPr>
        <w:tblW w:w="10378" w:type="dxa"/>
        <w:tblInd w:w="-45" w:type="dxa"/>
        <w:tblLayout w:type="fixed"/>
        <w:tblLook w:val="01E0" w:firstRow="1" w:lastRow="1" w:firstColumn="1" w:lastColumn="1" w:noHBand="0" w:noVBand="0"/>
      </w:tblPr>
      <w:tblGrid>
        <w:gridCol w:w="10378"/>
      </w:tblGrid>
      <w:tr w:rsidR="00925F8E" w:rsidTr="00BA7B9E">
        <w:trPr>
          <w:trHeight w:val="1693"/>
        </w:trPr>
        <w:tc>
          <w:tcPr>
            <w:tcW w:w="10378" w:type="dxa"/>
            <w:tcBorders>
              <w:top w:val="thinThickSmallGap" w:sz="24" w:space="0" w:color="auto"/>
              <w:left w:val="thinThickSmallGap" w:sz="24" w:space="0" w:color="auto"/>
              <w:bottom w:val="thickThinSmallGap" w:sz="24" w:space="0" w:color="auto"/>
              <w:right w:val="thickThinSmallGap" w:sz="24" w:space="0" w:color="auto"/>
            </w:tcBorders>
          </w:tcPr>
          <w:p w:rsidR="005050AF" w:rsidRDefault="002D7D26" w:rsidP="005050AF">
            <w:pPr>
              <w:pStyle w:val="Heading1"/>
              <w:numPr>
                <w:ilvl w:val="0"/>
                <w:numId w:val="0"/>
              </w:numPr>
              <w:rPr>
                <w:rFonts w:ascii="Arial" w:hAnsi="Arial"/>
                <w:color w:val="000000" w:themeColor="text1"/>
                <w:sz w:val="24"/>
                <w:szCs w:val="24"/>
                <w:u w:val="single"/>
              </w:rPr>
            </w:pPr>
            <w:r w:rsidRPr="00CD24C5">
              <w:rPr>
                <w:rFonts w:ascii="Arial" w:hAnsi="Arial"/>
                <w:color w:val="000000" w:themeColor="text1"/>
                <w:sz w:val="24"/>
                <w:szCs w:val="24"/>
                <w:u w:val="single"/>
              </w:rPr>
              <w:t>Recommendation(s)</w:t>
            </w:r>
          </w:p>
          <w:p w:rsidR="005050AF" w:rsidRDefault="002D7D26" w:rsidP="005050AF">
            <w:pPr>
              <w:rPr>
                <w:b/>
              </w:rPr>
            </w:pPr>
            <w:r>
              <w:rPr>
                <w:b/>
              </w:rPr>
              <w:t>Cabinet recommends to Council:</w:t>
            </w:r>
          </w:p>
          <w:p w:rsidR="00343213" w:rsidRPr="000D1004" w:rsidRDefault="007F1FE9" w:rsidP="005050AF">
            <w:pPr>
              <w:rPr>
                <w:b/>
              </w:rPr>
            </w:pPr>
          </w:p>
          <w:p w:rsidR="005050AF" w:rsidRDefault="002D7D26" w:rsidP="006E5C4B">
            <w:pPr>
              <w:pStyle w:val="ListParagraph"/>
              <w:numPr>
                <w:ilvl w:val="0"/>
                <w:numId w:val="37"/>
              </w:numPr>
              <w:rPr>
                <w:b/>
              </w:rPr>
            </w:pPr>
            <w:r>
              <w:rPr>
                <w:b/>
              </w:rPr>
              <w:t>Approval of the Annual Investment Strategy;</w:t>
            </w:r>
          </w:p>
          <w:p w:rsidR="006E5C4B" w:rsidRDefault="002D7D26" w:rsidP="006E5C4B">
            <w:pPr>
              <w:pStyle w:val="ListParagraph"/>
              <w:numPr>
                <w:ilvl w:val="0"/>
                <w:numId w:val="37"/>
              </w:numPr>
              <w:rPr>
                <w:b/>
              </w:rPr>
            </w:pPr>
            <w:r>
              <w:rPr>
                <w:b/>
              </w:rPr>
              <w:t>Approval of the revised Minimum Revenue Provision (MRP) Policy;</w:t>
            </w:r>
          </w:p>
          <w:p w:rsidR="006E5C4B" w:rsidRDefault="002D7D26" w:rsidP="006E5C4B">
            <w:pPr>
              <w:pStyle w:val="ListParagraph"/>
              <w:numPr>
                <w:ilvl w:val="0"/>
                <w:numId w:val="37"/>
              </w:numPr>
              <w:rPr>
                <w:b/>
              </w:rPr>
            </w:pPr>
            <w:r>
              <w:rPr>
                <w:b/>
              </w:rPr>
              <w:t>Adoption of the proposed Prudential Indicators; and</w:t>
            </w:r>
          </w:p>
          <w:p w:rsidR="006E5C4B" w:rsidRPr="006E5C4B" w:rsidRDefault="002D7D26">
            <w:pPr>
              <w:pStyle w:val="ListParagraph"/>
              <w:numPr>
                <w:ilvl w:val="0"/>
                <w:numId w:val="37"/>
              </w:numPr>
              <w:rPr>
                <w:b/>
              </w:rPr>
            </w:pPr>
            <w:r>
              <w:rPr>
                <w:b/>
              </w:rPr>
              <w:t>That it notes the remaining contents of the report.</w:t>
            </w:r>
          </w:p>
        </w:tc>
      </w:tr>
    </w:tbl>
    <w:p w:rsidR="00944081" w:rsidRDefault="007F1FE9"/>
    <w:p w:rsidR="00BA7B9E" w:rsidRDefault="007F1FE9"/>
    <w:p w:rsidR="00BA7B9E" w:rsidRDefault="002D7D26">
      <w:pPr>
        <w:rPr>
          <w:b/>
          <w:u w:val="single"/>
        </w:rPr>
      </w:pPr>
      <w:r>
        <w:rPr>
          <w:b/>
          <w:u w:val="single"/>
        </w:rPr>
        <w:t>Reasons for Recommendation(s)</w:t>
      </w:r>
    </w:p>
    <w:p w:rsidR="00BA7B9E" w:rsidRPr="00B73CE8" w:rsidRDefault="007F1FE9"/>
    <w:p w:rsidR="006E5C4B" w:rsidRDefault="002D7D26" w:rsidP="006E5C4B">
      <w:pPr>
        <w:autoSpaceDE w:val="0"/>
        <w:autoSpaceDN w:val="0"/>
        <w:adjustRightInd w:val="0"/>
        <w:rPr>
          <w:lang w:eastAsia="en-GB"/>
        </w:rPr>
      </w:pPr>
      <w:r>
        <w:rPr>
          <w:lang w:eastAsia="en-GB"/>
        </w:rPr>
        <w:t>The Treasury Management Strategy Statement recommendations will allow for effective Treasury</w:t>
      </w:r>
    </w:p>
    <w:p w:rsidR="00BA7B9E" w:rsidRPr="008C6A0C" w:rsidRDefault="002D7D26" w:rsidP="006E5C4B">
      <w:pPr>
        <w:autoSpaceDE w:val="0"/>
        <w:autoSpaceDN w:val="0"/>
        <w:adjustRightInd w:val="0"/>
        <w:rPr>
          <w:lang w:eastAsia="en-GB"/>
        </w:rPr>
      </w:pPr>
      <w:r>
        <w:rPr>
          <w:lang w:eastAsia="en-GB"/>
        </w:rPr>
        <w:t>Management operations within the Authority, the revised Minimum Revenue Provision Policy will ensure that Minimum Revenue Provision (MRP) charges will be applied more effectively and the Prudential Indicator ratios offer a benchmark by which any future capital expenditure decisions should be made. The Treasury Management Code of Practice requires Council approval of these Policies.</w:t>
      </w:r>
    </w:p>
    <w:p w:rsidR="00BA7B9E" w:rsidRDefault="007F1FE9">
      <w:pPr>
        <w:rPr>
          <w:b/>
          <w:u w:val="single"/>
        </w:rPr>
      </w:pPr>
    </w:p>
    <w:p w:rsidR="00670C06" w:rsidRDefault="007F1FE9">
      <w:pPr>
        <w:rPr>
          <w:b/>
          <w:u w:val="single"/>
        </w:rPr>
      </w:pPr>
    </w:p>
    <w:p w:rsidR="00670C06" w:rsidRDefault="007F1FE9">
      <w:pPr>
        <w:rPr>
          <w:b/>
          <w:u w:val="single"/>
        </w:rPr>
      </w:pPr>
    </w:p>
    <w:p w:rsidR="00670C06" w:rsidRDefault="007F1FE9">
      <w:pPr>
        <w:rPr>
          <w:b/>
          <w:u w:val="single"/>
        </w:rPr>
      </w:pPr>
    </w:p>
    <w:p w:rsidR="00CF111F" w:rsidRDefault="002D7D26">
      <w:pPr>
        <w:rPr>
          <w:b/>
          <w:u w:val="single"/>
        </w:rPr>
      </w:pPr>
      <w:r>
        <w:rPr>
          <w:b/>
          <w:u w:val="single"/>
        </w:rPr>
        <w:t>Alternative Options Considered</w:t>
      </w:r>
    </w:p>
    <w:p w:rsidR="00BA7B9E" w:rsidRDefault="007F1FE9">
      <w:pPr>
        <w:rPr>
          <w:i/>
        </w:rPr>
      </w:pPr>
    </w:p>
    <w:p w:rsidR="006E5C4B" w:rsidRPr="006E5C4B" w:rsidRDefault="002D7D26">
      <w:r>
        <w:t xml:space="preserve">None. It is a requirement of the CIPFA Treasury Management Code for all Local Authorities to have a Treasury Management Strategy Statement (TMSS). </w:t>
      </w:r>
    </w:p>
    <w:p w:rsidR="00BA7B9E" w:rsidRDefault="007F1FE9"/>
    <w:p w:rsidR="008C6A0C" w:rsidRDefault="007F1FE9"/>
    <w:p w:rsidR="00BA7B9E" w:rsidRPr="00BA7B9E" w:rsidRDefault="002D7D26">
      <w:pPr>
        <w:rPr>
          <w:b/>
          <w:u w:val="single"/>
        </w:rPr>
      </w:pPr>
      <w:r w:rsidRPr="00BA7B9E">
        <w:rPr>
          <w:b/>
          <w:u w:val="single"/>
        </w:rPr>
        <w:t>Detailed Information</w:t>
      </w:r>
    </w:p>
    <w:p w:rsidR="00BA7B9E" w:rsidRDefault="007F1FE9"/>
    <w:p w:rsidR="00BA7B9E" w:rsidRDefault="002D7D26">
      <w:r>
        <w:t>The TMSS contains the Annual Investment Strategy which sets limits for the maximum amounts to be invested and the types of investments the Council may consider, and the MRP Policy which states how the Council will apply MRP charges. Annex A of Appendix 1 contains the proposed Prudential Indicators for the Authority, Annex B shows the borrowing and investment position of the Council as at 31</w:t>
      </w:r>
      <w:r w:rsidRPr="00352F77">
        <w:rPr>
          <w:vertAlign w:val="superscript"/>
        </w:rPr>
        <w:t>st</w:t>
      </w:r>
      <w:r>
        <w:t xml:space="preserve"> December 2018 as well as projections for future interest rates and Annex C shows the Treasury Management Practices (TMPs) of the Authority.</w:t>
      </w:r>
    </w:p>
    <w:p w:rsidR="00BA7B9E" w:rsidRDefault="007F1FE9"/>
    <w:p w:rsidR="006E672A" w:rsidRDefault="002D7D26" w:rsidP="006E672A">
      <w:pPr>
        <w:pStyle w:val="ListParagraph"/>
        <w:numPr>
          <w:ilvl w:val="0"/>
          <w:numId w:val="38"/>
        </w:numPr>
      </w:pPr>
      <w:r>
        <w:t>Operational Boundary and Authorised Limits</w:t>
      </w:r>
    </w:p>
    <w:p w:rsidR="006E672A" w:rsidRDefault="007F1FE9" w:rsidP="006E672A">
      <w:pPr>
        <w:pStyle w:val="ListParagraph"/>
      </w:pPr>
    </w:p>
    <w:p w:rsidR="00C440F7" w:rsidRDefault="002D7D26" w:rsidP="006E672A">
      <w:pPr>
        <w:pStyle w:val="ListParagraph"/>
      </w:pPr>
      <w:r>
        <w:t>The Authority is looking to increase its borrowing requirement primarily to fund the proposed acquisition of new Investment Properties and the borrowing requirements associated with the new Kirkby Leisure Centre</w:t>
      </w:r>
      <w:r w:rsidR="00FF31EB">
        <w:t xml:space="preserve"> and pool</w:t>
      </w:r>
      <w:r>
        <w:t>. The additional borrowing is added to the Capital Financing Requirement (CFR). The CFR represents Capital Expenditure which is still to be financed. The Council should under normal circumstances not borrow any more than its CFR. The Operational Boundary sets a warning level for which total external debt should not exceed. The proposed Operational Boundary has been set at a level which is slightly above the CFR. The Authorised Limit is the absolute maximum level for external debt. The proposed Authorised Limit has been set at a level which is £10m greater than the proposed Operational Boundary; this is consistent with previous years.</w:t>
      </w:r>
    </w:p>
    <w:p w:rsidR="00C440F7" w:rsidRDefault="007F1FE9" w:rsidP="006E672A">
      <w:pPr>
        <w:pStyle w:val="ListParagraph"/>
      </w:pPr>
    </w:p>
    <w:p w:rsidR="00C440F7" w:rsidRDefault="002D7D26" w:rsidP="00C440F7">
      <w:pPr>
        <w:pStyle w:val="ListParagraph"/>
        <w:numPr>
          <w:ilvl w:val="0"/>
          <w:numId w:val="38"/>
        </w:numPr>
      </w:pPr>
      <w:r>
        <w:t>Minimum Revenue Provision (MRP) Policy</w:t>
      </w:r>
    </w:p>
    <w:p w:rsidR="00C440F7" w:rsidRDefault="007F1FE9" w:rsidP="00C440F7">
      <w:pPr>
        <w:pStyle w:val="ListParagraph"/>
      </w:pPr>
    </w:p>
    <w:p w:rsidR="00F2528F" w:rsidRPr="00F2528F" w:rsidRDefault="002D7D26" w:rsidP="00F2528F">
      <w:pPr>
        <w:pStyle w:val="ListParagraph"/>
        <w:rPr>
          <w:color w:val="222222"/>
        </w:rPr>
      </w:pPr>
      <w:r w:rsidRPr="00F2528F">
        <w:rPr>
          <w:color w:val="222222"/>
        </w:rPr>
        <w:t xml:space="preserve">The </w:t>
      </w:r>
      <w:r w:rsidRPr="00F2528F">
        <w:rPr>
          <w:bCs/>
          <w:color w:val="222222"/>
        </w:rPr>
        <w:t xml:space="preserve">Minimum Revenue </w:t>
      </w:r>
      <w:r>
        <w:rPr>
          <w:bCs/>
          <w:color w:val="222222"/>
        </w:rPr>
        <w:t>P</w:t>
      </w:r>
      <w:r w:rsidRPr="00F2528F">
        <w:rPr>
          <w:bCs/>
          <w:color w:val="222222"/>
        </w:rPr>
        <w:t>rovision</w:t>
      </w:r>
      <w:r w:rsidRPr="00F2528F">
        <w:rPr>
          <w:color w:val="222222"/>
        </w:rPr>
        <w:t xml:space="preserve"> charge is the means by which capital expenditure which is financed by borrowing or credit arrangements</w:t>
      </w:r>
      <w:r>
        <w:rPr>
          <w:color w:val="222222"/>
        </w:rPr>
        <w:t>,</w:t>
      </w:r>
      <w:r w:rsidRPr="00F2528F">
        <w:rPr>
          <w:color w:val="222222"/>
        </w:rPr>
        <w:t xml:space="preserve"> is paid for by council tax payers. Local Authorities are required each year to set aside some of their </w:t>
      </w:r>
      <w:r w:rsidRPr="00F2528F">
        <w:rPr>
          <w:bCs/>
          <w:color w:val="222222"/>
        </w:rPr>
        <w:t>revenues</w:t>
      </w:r>
      <w:r w:rsidRPr="00F2528F">
        <w:rPr>
          <w:color w:val="222222"/>
        </w:rPr>
        <w:t xml:space="preserve"> as </w:t>
      </w:r>
      <w:r w:rsidRPr="00F2528F">
        <w:rPr>
          <w:bCs/>
          <w:color w:val="222222"/>
        </w:rPr>
        <w:t>provision</w:t>
      </w:r>
      <w:r w:rsidRPr="00F2528F">
        <w:rPr>
          <w:color w:val="222222"/>
        </w:rPr>
        <w:t xml:space="preserve"> for this debt. </w:t>
      </w:r>
    </w:p>
    <w:p w:rsidR="0002156D" w:rsidRDefault="007F1FE9" w:rsidP="00C440F7">
      <w:pPr>
        <w:pStyle w:val="ListParagraph"/>
      </w:pPr>
    </w:p>
    <w:p w:rsidR="00C440F7" w:rsidRDefault="002D7D26" w:rsidP="00C440F7">
      <w:pPr>
        <w:pStyle w:val="ListParagraph"/>
      </w:pPr>
      <w:r>
        <w:t>The Council is proposing to change its MRP policy to allow an annuity calculation to be used when the asset life is expected to exceed 10 years. The Annuity calculation charges a lower rate of MRP in the early years of the asset life and a higher charge in the later years of the asset life. It is proposed to continue to use the straight line method for those assets with an estimated life of 10 years or below. The straight line method for MRP charges a fixed amount of  MRP per annum over the asset life. Note the total MRP charge over the life of the assets will still be the same amount using either methodology.</w:t>
      </w:r>
    </w:p>
    <w:p w:rsidR="000D659F" w:rsidRDefault="007F1FE9" w:rsidP="00C440F7">
      <w:pPr>
        <w:pStyle w:val="ListParagraph"/>
      </w:pPr>
    </w:p>
    <w:p w:rsidR="000D659F" w:rsidRDefault="002D7D26" w:rsidP="00C440F7">
      <w:pPr>
        <w:pStyle w:val="ListParagraph"/>
      </w:pPr>
      <w:r>
        <w:t xml:space="preserve">Assuming the proposed Capital Programme (elsewhere on this agenda) is approved and the actual capital expenditure in 2018/19 is the same as the proposed 2018/19 Capital Programme, using the existing straight line MRP calculation the MRP charge in 2019/20 would be £2.018m. If the proposed change to the MRP policy is approved then the MRP charge would be £1.703m for 2019/20. This amounts to a revenue saving of £315k for 2019/20.  </w:t>
      </w:r>
    </w:p>
    <w:p w:rsidR="00D51ED9" w:rsidRDefault="007F1FE9" w:rsidP="00C440F7">
      <w:pPr>
        <w:pStyle w:val="ListParagraph"/>
      </w:pPr>
    </w:p>
    <w:p w:rsidR="00D51ED9" w:rsidRDefault="002D7D26" w:rsidP="00C440F7">
      <w:pPr>
        <w:pStyle w:val="ListParagraph"/>
      </w:pPr>
      <w:r>
        <w:t>The example below based on an asset costing £10m with a 40 year life illustrates the differences between the two MRP calculation approaches.</w:t>
      </w:r>
    </w:p>
    <w:p w:rsidR="00E146AA" w:rsidRDefault="007F1FE9" w:rsidP="00C440F7">
      <w:pPr>
        <w:pStyle w:val="ListParagraph"/>
      </w:pPr>
    </w:p>
    <w:p w:rsidR="00D51ED9" w:rsidRDefault="007F1FE9" w:rsidP="00C440F7">
      <w:pPr>
        <w:pStyle w:val="ListParagrap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25pt;height:134.85pt">
            <v:imagedata r:id="rId7" o:title=""/>
          </v:shape>
        </w:pict>
      </w:r>
    </w:p>
    <w:p w:rsidR="00E146AA" w:rsidRDefault="007F1FE9" w:rsidP="00C440F7">
      <w:pPr>
        <w:pStyle w:val="ListParagraph"/>
      </w:pPr>
    </w:p>
    <w:p w:rsidR="00E146AA" w:rsidRDefault="002D7D26" w:rsidP="00C440F7">
      <w:pPr>
        <w:pStyle w:val="ListParagraph"/>
      </w:pPr>
      <w:r>
        <w:t>In absolute terms there is no difference over 40 years between the two methods of MRP calculation. However, when you factor in the fact that the value of money diminishes each year (assumed by 3.5% in the above example – this being the amount recommend in the HM Treasury Green Book for appraisal of projects), the Annuity version in today’s money terms is actually £595k less expensive over the life of the asset.</w:t>
      </w:r>
    </w:p>
    <w:p w:rsidR="00A03FE2" w:rsidRDefault="007F1FE9" w:rsidP="00C440F7">
      <w:pPr>
        <w:pStyle w:val="ListParagraph"/>
      </w:pPr>
    </w:p>
    <w:p w:rsidR="00A03FE2" w:rsidRDefault="002D7D26" w:rsidP="00A03FE2">
      <w:pPr>
        <w:pStyle w:val="ListParagraph"/>
        <w:numPr>
          <w:ilvl w:val="0"/>
          <w:numId w:val="38"/>
        </w:numPr>
      </w:pPr>
      <w:r>
        <w:t>Prudential Indicators</w:t>
      </w:r>
    </w:p>
    <w:p w:rsidR="00A03FE2" w:rsidRDefault="007F1FE9" w:rsidP="00A03FE2">
      <w:pPr>
        <w:pStyle w:val="ListParagraph"/>
      </w:pPr>
    </w:p>
    <w:p w:rsidR="0016535E" w:rsidRDefault="002D7D26" w:rsidP="0072040A">
      <w:pPr>
        <w:pStyle w:val="ListParagraph"/>
      </w:pPr>
      <w:r>
        <w:t xml:space="preserve">The Prudential Indicators are designed to show the estimated effect that future Capital Expenditure will have on Individual Council Tax payers and on each Council Dwelling. The Prudential Indicators also set appropriate levels for the total debt of the Authority. </w:t>
      </w:r>
    </w:p>
    <w:p w:rsidR="0002156D" w:rsidRDefault="007F1FE9" w:rsidP="00A03FE2">
      <w:pPr>
        <w:pStyle w:val="ListParagraph"/>
      </w:pPr>
    </w:p>
    <w:p w:rsidR="00A03FE2" w:rsidRPr="00A03FE2" w:rsidRDefault="002D7D26" w:rsidP="00CE6388">
      <w:pPr>
        <w:ind w:left="720"/>
      </w:pPr>
      <w:r w:rsidRPr="00D476B9">
        <w:t>The estimate of the ratio of financing costs to net revenue stream for the Housing Revenue Account (HRA) remains relatively static over the three years. (See paragraph a) Annex A). The reason for this is that there is not expected to be any new borrowing costs; the ratios will fall slightly as HRA historic debt costs are expected to remain static in future years and HRA revenues are expected to increase slightly.</w:t>
      </w:r>
    </w:p>
    <w:p w:rsidR="00C440F7" w:rsidRDefault="007F1FE9" w:rsidP="006E672A">
      <w:pPr>
        <w:pStyle w:val="ListParagraph"/>
      </w:pPr>
    </w:p>
    <w:p w:rsidR="00A03FE2" w:rsidRDefault="002D7D26" w:rsidP="00A03FE2">
      <w:pPr>
        <w:pStyle w:val="ListParagraph"/>
        <w:rPr>
          <w:rFonts w:cs="Arial"/>
        </w:rPr>
      </w:pPr>
      <w:r>
        <w:rPr>
          <w:rFonts w:cs="Arial"/>
        </w:rPr>
        <w:t>The e</w:t>
      </w:r>
      <w:r w:rsidRPr="00A03FE2">
        <w:rPr>
          <w:rFonts w:cs="Arial"/>
        </w:rPr>
        <w:t xml:space="preserve">stimate of </w:t>
      </w:r>
      <w:r>
        <w:rPr>
          <w:rFonts w:cs="Arial"/>
        </w:rPr>
        <w:t xml:space="preserve">the </w:t>
      </w:r>
      <w:r w:rsidRPr="00A03FE2">
        <w:rPr>
          <w:rFonts w:cs="Arial"/>
        </w:rPr>
        <w:t xml:space="preserve">ratio of financing costs to net revenue stream for the </w:t>
      </w:r>
      <w:r>
        <w:rPr>
          <w:rFonts w:cs="Arial"/>
        </w:rPr>
        <w:t>General Fund is expected to increase significantly as a result of additional borrowing for the proposed acquisition of Investment Properties and for new Kirkby Leisure Centre.</w:t>
      </w:r>
    </w:p>
    <w:p w:rsidR="0055778B" w:rsidRDefault="007F1FE9" w:rsidP="00A03FE2">
      <w:pPr>
        <w:pStyle w:val="ListParagraph"/>
        <w:rPr>
          <w:rFonts w:cs="Arial"/>
        </w:rPr>
      </w:pPr>
    </w:p>
    <w:p w:rsidR="0055778B" w:rsidRDefault="002D7D26" w:rsidP="00A03FE2">
      <w:pPr>
        <w:pStyle w:val="ListParagraph"/>
        <w:rPr>
          <w:rFonts w:cs="Arial"/>
        </w:rPr>
      </w:pPr>
      <w:r w:rsidRPr="0055778B">
        <w:rPr>
          <w:rFonts w:cs="Arial"/>
        </w:rPr>
        <w:t>Estimate</w:t>
      </w:r>
      <w:r>
        <w:rPr>
          <w:rFonts w:cs="Arial"/>
        </w:rPr>
        <w:t>s</w:t>
      </w:r>
      <w:r w:rsidRPr="0055778B">
        <w:rPr>
          <w:rFonts w:cs="Arial"/>
        </w:rPr>
        <w:t xml:space="preserve"> of the incremental impact of capital investment decisions on Council Tax </w:t>
      </w:r>
      <w:r>
        <w:rPr>
          <w:rFonts w:cs="Arial"/>
        </w:rPr>
        <w:t>Band D equivalents is £27.42 in 2019/20, £25.29 in 2020/21 and £20.66 in 2021/22. This represents the estimated amount of Council Tax within the District’s annual Council Tax charge from each Band D equivalent that will be used to fund future capital investment. These levels also reflect the use of borrowing to purchase the Investment Properties and to build the new Kirkby Leisure Centre</w:t>
      </w:r>
      <w:r w:rsidR="00FF31EB">
        <w:rPr>
          <w:rFonts w:cs="Arial"/>
        </w:rPr>
        <w:t xml:space="preserve"> and pool</w:t>
      </w:r>
      <w:r>
        <w:rPr>
          <w:rFonts w:cs="Arial"/>
        </w:rPr>
        <w:t>. There is no incremental impact to Council Dwelling Rent payers as there is no borrowing proposed for the HRA.</w:t>
      </w:r>
    </w:p>
    <w:p w:rsidR="0055778B" w:rsidRDefault="007F1FE9" w:rsidP="00A03FE2">
      <w:pPr>
        <w:pStyle w:val="ListParagraph"/>
        <w:rPr>
          <w:rFonts w:cs="Arial"/>
        </w:rPr>
      </w:pPr>
    </w:p>
    <w:p w:rsidR="0055778B" w:rsidRDefault="002D7D26" w:rsidP="002E1B48">
      <w:pPr>
        <w:pStyle w:val="ListParagraph"/>
        <w:numPr>
          <w:ilvl w:val="0"/>
          <w:numId w:val="38"/>
        </w:numPr>
      </w:pPr>
      <w:r>
        <w:t>Treasury Management Practices (TMPs)</w:t>
      </w:r>
    </w:p>
    <w:p w:rsidR="002E1B48" w:rsidRDefault="007F1FE9" w:rsidP="002E1B48"/>
    <w:p w:rsidR="002E1B48" w:rsidRPr="00433CF1" w:rsidRDefault="002D7D26" w:rsidP="002E1B48">
      <w:pPr>
        <w:pStyle w:val="NoSpacing"/>
        <w:ind w:left="709"/>
        <w:jc w:val="both"/>
        <w:rPr>
          <w:rFonts w:ascii="Arial" w:hAnsi="Arial" w:cs="Arial"/>
          <w:b/>
          <w:bCs/>
          <w:sz w:val="24"/>
          <w:szCs w:val="24"/>
        </w:rPr>
      </w:pPr>
      <w:r w:rsidRPr="00433CF1">
        <w:rPr>
          <w:rFonts w:ascii="Arial" w:hAnsi="Arial" w:cs="Arial"/>
          <w:sz w:val="24"/>
          <w:szCs w:val="24"/>
        </w:rPr>
        <w:t xml:space="preserve">The Treasury Management Practices were last revised in 2012. The main </w:t>
      </w:r>
      <w:r>
        <w:rPr>
          <w:rFonts w:ascii="Arial" w:hAnsi="Arial" w:cs="Arial"/>
          <w:sz w:val="24"/>
          <w:szCs w:val="24"/>
        </w:rPr>
        <w:t xml:space="preserve">proposed </w:t>
      </w:r>
      <w:r w:rsidRPr="00433CF1">
        <w:rPr>
          <w:rFonts w:ascii="Arial" w:hAnsi="Arial" w:cs="Arial"/>
          <w:sz w:val="24"/>
          <w:szCs w:val="24"/>
        </w:rPr>
        <w:t>changes to the TMPs are as follows</w:t>
      </w:r>
      <w:r w:rsidRPr="00433CF1">
        <w:rPr>
          <w:rFonts w:ascii="Arial" w:hAnsi="Arial" w:cs="Arial"/>
          <w:b/>
          <w:bCs/>
          <w:sz w:val="24"/>
          <w:szCs w:val="24"/>
        </w:rPr>
        <w:t>:</w:t>
      </w:r>
    </w:p>
    <w:p w:rsidR="002E1B48" w:rsidRPr="00433CF1" w:rsidRDefault="007F1FE9" w:rsidP="002E1B48">
      <w:pPr>
        <w:pStyle w:val="NoSpacing"/>
        <w:ind w:left="709"/>
        <w:jc w:val="both"/>
        <w:rPr>
          <w:rFonts w:ascii="Arial" w:hAnsi="Arial" w:cs="Arial"/>
          <w:b/>
          <w:bCs/>
          <w:sz w:val="24"/>
          <w:szCs w:val="24"/>
        </w:rPr>
      </w:pPr>
    </w:p>
    <w:p w:rsidR="002E1B48" w:rsidRPr="00433CF1" w:rsidRDefault="002D7D26" w:rsidP="002E1B48">
      <w:pPr>
        <w:pStyle w:val="NoSpacing"/>
        <w:ind w:left="709"/>
        <w:jc w:val="both"/>
        <w:rPr>
          <w:rFonts w:ascii="Arial" w:hAnsi="Arial" w:cs="Arial"/>
          <w:bCs/>
          <w:sz w:val="24"/>
          <w:szCs w:val="24"/>
        </w:rPr>
      </w:pPr>
      <w:r w:rsidRPr="00433CF1">
        <w:rPr>
          <w:rFonts w:ascii="Arial" w:hAnsi="Arial" w:cs="Arial"/>
          <w:b/>
          <w:bCs/>
          <w:sz w:val="24"/>
          <w:szCs w:val="24"/>
        </w:rPr>
        <w:t xml:space="preserve">TMP5 Organisation, Clarity and Segregation of Responsibilities and Dealing Arrangements – </w:t>
      </w:r>
      <w:r w:rsidRPr="00433CF1">
        <w:rPr>
          <w:rFonts w:ascii="Arial" w:hAnsi="Arial" w:cs="Arial"/>
          <w:bCs/>
          <w:sz w:val="24"/>
          <w:szCs w:val="24"/>
        </w:rPr>
        <w:t>t</w:t>
      </w:r>
      <w:r w:rsidRPr="00433CF1">
        <w:rPr>
          <w:rFonts w:ascii="Arial" w:hAnsi="Arial" w:cs="Arial"/>
          <w:sz w:val="24"/>
          <w:szCs w:val="24"/>
        </w:rPr>
        <w:t>his has been revised to reflect current establishment</w:t>
      </w:r>
    </w:p>
    <w:p w:rsidR="002E1B48" w:rsidRPr="0042265A" w:rsidRDefault="007F1FE9" w:rsidP="002E1B48">
      <w:pPr>
        <w:ind w:left="720"/>
      </w:pPr>
    </w:p>
    <w:p w:rsidR="00062ECA" w:rsidRDefault="002D7D26" w:rsidP="00062ECA">
      <w:pPr>
        <w:pStyle w:val="NoSpacing"/>
        <w:ind w:left="709"/>
        <w:jc w:val="both"/>
        <w:rPr>
          <w:rFonts w:ascii="Arial" w:hAnsi="Arial" w:cs="Arial"/>
          <w:bCs/>
          <w:sz w:val="24"/>
          <w:szCs w:val="24"/>
        </w:rPr>
      </w:pPr>
      <w:r w:rsidRPr="00433CF1">
        <w:rPr>
          <w:rFonts w:ascii="Arial" w:hAnsi="Arial" w:cs="Arial"/>
          <w:b/>
          <w:bCs/>
          <w:sz w:val="24"/>
          <w:szCs w:val="24"/>
        </w:rPr>
        <w:t xml:space="preserve">TMP8 Cash and Cash Flow Management – </w:t>
      </w:r>
      <w:r w:rsidRPr="00433CF1">
        <w:rPr>
          <w:rFonts w:ascii="Arial" w:hAnsi="Arial" w:cs="Arial"/>
          <w:bCs/>
          <w:sz w:val="24"/>
          <w:szCs w:val="24"/>
        </w:rPr>
        <w:t>this has been updated to reflect how the Council forecasts its future cashflow requirement.</w:t>
      </w:r>
    </w:p>
    <w:p w:rsidR="0042265A" w:rsidRDefault="007F1FE9" w:rsidP="00062ECA">
      <w:pPr>
        <w:pStyle w:val="NoSpacing"/>
        <w:ind w:left="709"/>
        <w:jc w:val="both"/>
        <w:rPr>
          <w:rFonts w:ascii="Arial" w:hAnsi="Arial" w:cs="Arial"/>
          <w:bCs/>
          <w:sz w:val="24"/>
          <w:szCs w:val="24"/>
        </w:rPr>
      </w:pPr>
    </w:p>
    <w:p w:rsidR="0042265A" w:rsidRPr="00433CF1" w:rsidRDefault="002D7D26" w:rsidP="00062ECA">
      <w:pPr>
        <w:pStyle w:val="NoSpacing"/>
        <w:ind w:left="709"/>
        <w:jc w:val="both"/>
        <w:rPr>
          <w:rFonts w:ascii="Arial" w:hAnsi="Arial" w:cs="Arial"/>
          <w:bCs/>
          <w:sz w:val="24"/>
          <w:szCs w:val="24"/>
        </w:rPr>
      </w:pPr>
      <w:r>
        <w:rPr>
          <w:rFonts w:ascii="Arial" w:hAnsi="Arial" w:cs="Arial"/>
          <w:bCs/>
          <w:sz w:val="24"/>
          <w:szCs w:val="24"/>
        </w:rPr>
        <w:lastRenderedPageBreak/>
        <w:t>Details of the proposed TMP’s are attached in Annex C.</w:t>
      </w:r>
    </w:p>
    <w:p w:rsidR="00062ECA" w:rsidRPr="0055778B" w:rsidRDefault="007F1FE9" w:rsidP="002E1B48">
      <w:pPr>
        <w:ind w:left="720"/>
      </w:pPr>
    </w:p>
    <w:p w:rsidR="00E146AA" w:rsidRDefault="007F1FE9" w:rsidP="006E672A">
      <w:pPr>
        <w:pStyle w:val="ListParagraph"/>
      </w:pPr>
    </w:p>
    <w:p w:rsidR="00BA7B9E" w:rsidRPr="00BA7B9E" w:rsidRDefault="002D7D26">
      <w:pPr>
        <w:rPr>
          <w:b/>
          <w:u w:val="single"/>
        </w:rPr>
      </w:pPr>
      <w:r w:rsidRPr="00BA7B9E">
        <w:rPr>
          <w:b/>
          <w:u w:val="single"/>
        </w:rPr>
        <w:t>Implications</w:t>
      </w:r>
    </w:p>
    <w:p w:rsidR="00BA7B9E" w:rsidRDefault="007F1FE9"/>
    <w:p w:rsidR="00944081" w:rsidRPr="00BA7B9E" w:rsidRDefault="002D7D26">
      <w:pPr>
        <w:rPr>
          <w:b/>
        </w:rPr>
      </w:pPr>
      <w:r w:rsidRPr="00BA7B9E">
        <w:rPr>
          <w:b/>
        </w:rPr>
        <w:t>Corporate Plan:</w:t>
      </w:r>
    </w:p>
    <w:p w:rsidR="00BA7B9E" w:rsidRDefault="007F1FE9"/>
    <w:p w:rsidR="00BA7B9E" w:rsidRDefault="002D7D26">
      <w:r>
        <w:t>The Treasury Management Strategy Statement will support delivery of the priorities in the Corporate Plan.</w:t>
      </w:r>
    </w:p>
    <w:p w:rsidR="00150158" w:rsidRDefault="007F1FE9"/>
    <w:p w:rsidR="00670C06" w:rsidRDefault="007F1FE9"/>
    <w:p w:rsidR="00BA7B9E" w:rsidRPr="00BA7B9E" w:rsidRDefault="002D7D26">
      <w:pPr>
        <w:rPr>
          <w:b/>
        </w:rPr>
      </w:pPr>
      <w:r w:rsidRPr="00BA7B9E">
        <w:rPr>
          <w:b/>
        </w:rPr>
        <w:t>Legal:</w:t>
      </w:r>
    </w:p>
    <w:p w:rsidR="00062ECA" w:rsidRDefault="002D7D26" w:rsidP="00062ECA">
      <w:r>
        <w:t>It is a requirement of the CIPFA Treasury Management Code for all Local Authorities to have a Treasury Management Strategy Statement.</w:t>
      </w:r>
    </w:p>
    <w:p w:rsidR="00FF2438" w:rsidRDefault="007F1FE9" w:rsidP="00062ECA"/>
    <w:p w:rsidR="00BA7B9E" w:rsidRDefault="007F1FE9"/>
    <w:p w:rsidR="00BA7B9E" w:rsidRDefault="002D7D26">
      <w:r w:rsidRPr="00BA7B9E">
        <w:rPr>
          <w:b/>
        </w:rPr>
        <w:t>Finance:</w:t>
      </w:r>
    </w:p>
    <w:tbl>
      <w:tblPr>
        <w:tblStyle w:val="TableGrid"/>
        <w:tblpPr w:leftFromText="180" w:rightFromText="180" w:vertAnchor="text" w:horzAnchor="margin" w:tblpY="29"/>
        <w:tblOverlap w:val="never"/>
        <w:tblW w:w="9908" w:type="dxa"/>
        <w:tblLayout w:type="fixed"/>
        <w:tblLook w:val="04A0" w:firstRow="1" w:lastRow="0" w:firstColumn="1" w:lastColumn="0" w:noHBand="0" w:noVBand="1"/>
      </w:tblPr>
      <w:tblGrid>
        <w:gridCol w:w="3813"/>
        <w:gridCol w:w="6095"/>
      </w:tblGrid>
      <w:tr w:rsidR="00925F8E" w:rsidTr="00881A72">
        <w:trPr>
          <w:trHeight w:val="301"/>
        </w:trPr>
        <w:tc>
          <w:tcPr>
            <w:tcW w:w="3813" w:type="dxa"/>
            <w:shd w:val="clear" w:color="auto" w:fill="FFFFFF" w:themeFill="background1"/>
          </w:tcPr>
          <w:p w:rsidR="00BA7B9E" w:rsidRPr="00FB0C3F" w:rsidRDefault="002D7D26" w:rsidP="00881A72">
            <w:pPr>
              <w:jc w:val="center"/>
              <w:rPr>
                <w:b/>
              </w:rPr>
            </w:pPr>
            <w:r>
              <w:rPr>
                <w:b/>
              </w:rPr>
              <w:t>Budget A</w:t>
            </w:r>
            <w:r w:rsidRPr="00FB0C3F">
              <w:rPr>
                <w:b/>
              </w:rPr>
              <w:t>rea</w:t>
            </w:r>
          </w:p>
        </w:tc>
        <w:tc>
          <w:tcPr>
            <w:tcW w:w="6095" w:type="dxa"/>
            <w:shd w:val="clear" w:color="auto" w:fill="FFFFFF" w:themeFill="background1"/>
          </w:tcPr>
          <w:p w:rsidR="00BA7B9E" w:rsidRDefault="002D7D26" w:rsidP="00881A72">
            <w:pPr>
              <w:jc w:val="center"/>
              <w:rPr>
                <w:b/>
              </w:rPr>
            </w:pPr>
            <w:r w:rsidRPr="00FB0C3F">
              <w:rPr>
                <w:b/>
              </w:rPr>
              <w:t>Implication</w:t>
            </w:r>
          </w:p>
          <w:p w:rsidR="00BA7B9E" w:rsidRPr="00FB0C3F" w:rsidRDefault="007F1FE9" w:rsidP="00881A72">
            <w:pPr>
              <w:jc w:val="center"/>
              <w:rPr>
                <w:b/>
              </w:rPr>
            </w:pPr>
          </w:p>
        </w:tc>
      </w:tr>
      <w:tr w:rsidR="00925F8E" w:rsidTr="008C6A0C">
        <w:trPr>
          <w:trHeight w:val="301"/>
        </w:trPr>
        <w:tc>
          <w:tcPr>
            <w:tcW w:w="3813" w:type="dxa"/>
            <w:vAlign w:val="bottom"/>
          </w:tcPr>
          <w:p w:rsidR="00BA7B9E" w:rsidRDefault="002D7D26" w:rsidP="008C6A0C">
            <w:r>
              <w:t>General Fund – Revenue Budget</w:t>
            </w:r>
          </w:p>
          <w:p w:rsidR="008C6A0C" w:rsidRPr="00FB0C3F" w:rsidRDefault="007F1FE9" w:rsidP="008C6A0C"/>
        </w:tc>
        <w:tc>
          <w:tcPr>
            <w:tcW w:w="6095" w:type="dxa"/>
          </w:tcPr>
          <w:p w:rsidR="00BA7B9E" w:rsidRPr="00FB0C3F" w:rsidRDefault="002D7D26" w:rsidP="008A538D">
            <w:r>
              <w:t>The change to the MRP policy will not affect the total amount of MRP charged over the life of an asset. The revised MRP policy, depending on the life of the asset, may mean that a lesser amount of MRP is charged in the early years but an increased amount is charged in future years.</w:t>
            </w:r>
          </w:p>
        </w:tc>
      </w:tr>
      <w:tr w:rsidR="00925F8E" w:rsidTr="008C6A0C">
        <w:trPr>
          <w:trHeight w:val="313"/>
        </w:trPr>
        <w:tc>
          <w:tcPr>
            <w:tcW w:w="3813" w:type="dxa"/>
            <w:vAlign w:val="bottom"/>
          </w:tcPr>
          <w:p w:rsidR="009A38F0" w:rsidRPr="00FB0C3F" w:rsidRDefault="002D7D26" w:rsidP="008C6A0C">
            <w:r>
              <w:t>General Fund – Capital Programme</w:t>
            </w:r>
          </w:p>
        </w:tc>
        <w:tc>
          <w:tcPr>
            <w:tcW w:w="6095" w:type="dxa"/>
            <w:vMerge w:val="restart"/>
          </w:tcPr>
          <w:p w:rsidR="009A38F0" w:rsidRDefault="007F1FE9" w:rsidP="009A38F0">
            <w:pPr>
              <w:jc w:val="center"/>
            </w:pPr>
          </w:p>
          <w:p w:rsidR="009A38F0" w:rsidRDefault="007F1FE9" w:rsidP="009A38F0">
            <w:pPr>
              <w:jc w:val="center"/>
            </w:pPr>
          </w:p>
          <w:p w:rsidR="009A38F0" w:rsidRPr="00FB0C3F" w:rsidRDefault="002D7D26" w:rsidP="009A38F0">
            <w:pPr>
              <w:jc w:val="center"/>
            </w:pPr>
            <w:r>
              <w:t>No Implications</w:t>
            </w:r>
          </w:p>
        </w:tc>
      </w:tr>
      <w:tr w:rsidR="00925F8E" w:rsidTr="008C6A0C">
        <w:trPr>
          <w:trHeight w:val="602"/>
        </w:trPr>
        <w:tc>
          <w:tcPr>
            <w:tcW w:w="3813" w:type="dxa"/>
            <w:tcBorders>
              <w:bottom w:val="single" w:sz="4" w:space="0" w:color="auto"/>
            </w:tcBorders>
            <w:vAlign w:val="bottom"/>
          </w:tcPr>
          <w:p w:rsidR="009A38F0" w:rsidRPr="00FB0C3F" w:rsidRDefault="002D7D26" w:rsidP="008C6A0C">
            <w:r>
              <w:t>Housing Revenue Account – Revenue Budget</w:t>
            </w:r>
          </w:p>
        </w:tc>
        <w:tc>
          <w:tcPr>
            <w:tcW w:w="6095" w:type="dxa"/>
            <w:vMerge/>
          </w:tcPr>
          <w:p w:rsidR="009A38F0" w:rsidRPr="00FB0C3F" w:rsidRDefault="007F1FE9" w:rsidP="00623F82"/>
        </w:tc>
      </w:tr>
      <w:tr w:rsidR="00925F8E" w:rsidTr="008C6A0C">
        <w:trPr>
          <w:trHeight w:val="616"/>
        </w:trPr>
        <w:tc>
          <w:tcPr>
            <w:tcW w:w="3813" w:type="dxa"/>
            <w:vAlign w:val="bottom"/>
          </w:tcPr>
          <w:p w:rsidR="009A38F0" w:rsidRPr="00FB0C3F" w:rsidRDefault="002D7D26" w:rsidP="008C6A0C">
            <w:r>
              <w:t>Housing Revenue Account – Capital Programme</w:t>
            </w:r>
          </w:p>
        </w:tc>
        <w:tc>
          <w:tcPr>
            <w:tcW w:w="6095" w:type="dxa"/>
            <w:vMerge/>
          </w:tcPr>
          <w:p w:rsidR="009A38F0" w:rsidRPr="00FB0C3F" w:rsidRDefault="007F1FE9" w:rsidP="00881A72"/>
        </w:tc>
      </w:tr>
    </w:tbl>
    <w:p w:rsidR="00944081" w:rsidRDefault="007F1FE9"/>
    <w:p w:rsidR="00944081" w:rsidRDefault="007F1FE9"/>
    <w:p w:rsidR="00944081" w:rsidRDefault="007F1FE9"/>
    <w:p w:rsidR="00944081" w:rsidRDefault="007F1FE9"/>
    <w:p w:rsidR="00BA7B9E" w:rsidRDefault="007F1FE9">
      <w:pPr>
        <w:rPr>
          <w:b/>
        </w:rPr>
      </w:pPr>
    </w:p>
    <w:p w:rsidR="00BA7B9E" w:rsidRDefault="007F1FE9">
      <w:pPr>
        <w:rPr>
          <w:b/>
        </w:rPr>
      </w:pPr>
    </w:p>
    <w:p w:rsidR="00BA7B9E" w:rsidRDefault="007F1FE9">
      <w:pPr>
        <w:rPr>
          <w:b/>
        </w:rPr>
      </w:pPr>
    </w:p>
    <w:p w:rsidR="00BA7B9E" w:rsidRDefault="007F1FE9">
      <w:pPr>
        <w:rPr>
          <w:b/>
        </w:rPr>
      </w:pPr>
    </w:p>
    <w:p w:rsidR="00BA7B9E" w:rsidRDefault="007F1FE9">
      <w:pPr>
        <w:rPr>
          <w:b/>
        </w:rPr>
      </w:pPr>
    </w:p>
    <w:p w:rsidR="00BA7B9E" w:rsidRDefault="007F1FE9">
      <w:pPr>
        <w:rPr>
          <w:b/>
        </w:rPr>
      </w:pPr>
    </w:p>
    <w:p w:rsidR="00BA7B9E" w:rsidRDefault="007F1FE9">
      <w:pPr>
        <w:rPr>
          <w:b/>
        </w:rPr>
      </w:pPr>
    </w:p>
    <w:p w:rsidR="00BA7B9E" w:rsidRDefault="007F1FE9">
      <w:pPr>
        <w:rPr>
          <w:b/>
        </w:rPr>
      </w:pPr>
    </w:p>
    <w:p w:rsidR="009A38F0" w:rsidRDefault="007F1FE9">
      <w:pPr>
        <w:rPr>
          <w:b/>
        </w:rPr>
      </w:pPr>
    </w:p>
    <w:p w:rsidR="009A38F0" w:rsidRDefault="007F1FE9">
      <w:pPr>
        <w:rPr>
          <w:b/>
        </w:rPr>
      </w:pPr>
    </w:p>
    <w:p w:rsidR="008B0FEA" w:rsidRDefault="007F1FE9">
      <w:pPr>
        <w:rPr>
          <w:b/>
        </w:rPr>
      </w:pPr>
    </w:p>
    <w:p w:rsidR="008B0FEA" w:rsidRDefault="007F1FE9">
      <w:pPr>
        <w:rPr>
          <w:b/>
        </w:rPr>
      </w:pPr>
    </w:p>
    <w:p w:rsidR="00BA7B9E" w:rsidRDefault="002D7D26">
      <w:r>
        <w:rPr>
          <w:b/>
        </w:rPr>
        <w:t>Risk:</w:t>
      </w:r>
    </w:p>
    <w:tbl>
      <w:tblPr>
        <w:tblStyle w:val="TableGrid"/>
        <w:tblpPr w:leftFromText="180" w:rightFromText="180" w:vertAnchor="text" w:horzAnchor="margin" w:tblpY="29"/>
        <w:tblOverlap w:val="never"/>
        <w:tblW w:w="9908" w:type="dxa"/>
        <w:tblLayout w:type="fixed"/>
        <w:tblLook w:val="04A0" w:firstRow="1" w:lastRow="0" w:firstColumn="1" w:lastColumn="0" w:noHBand="0" w:noVBand="1"/>
      </w:tblPr>
      <w:tblGrid>
        <w:gridCol w:w="3813"/>
        <w:gridCol w:w="6095"/>
      </w:tblGrid>
      <w:tr w:rsidR="00925F8E" w:rsidTr="00881A72">
        <w:trPr>
          <w:trHeight w:val="301"/>
        </w:trPr>
        <w:tc>
          <w:tcPr>
            <w:tcW w:w="3813" w:type="dxa"/>
            <w:shd w:val="clear" w:color="auto" w:fill="FFFFFF" w:themeFill="background1"/>
          </w:tcPr>
          <w:p w:rsidR="00BA7B9E" w:rsidRPr="00A64A45" w:rsidRDefault="002D7D26" w:rsidP="00881A72">
            <w:pPr>
              <w:tabs>
                <w:tab w:val="left" w:pos="4253"/>
              </w:tabs>
              <w:jc w:val="center"/>
              <w:rPr>
                <w:b/>
                <w:color w:val="000000" w:themeColor="text1"/>
              </w:rPr>
            </w:pPr>
            <w:r w:rsidRPr="00A64A45">
              <w:rPr>
                <w:b/>
                <w:color w:val="000000" w:themeColor="text1"/>
              </w:rPr>
              <w:t>Risk</w:t>
            </w:r>
          </w:p>
          <w:p w:rsidR="00BA7B9E" w:rsidRPr="00FB0C3F" w:rsidRDefault="007F1FE9" w:rsidP="00881A72">
            <w:pPr>
              <w:jc w:val="center"/>
              <w:rPr>
                <w:b/>
              </w:rPr>
            </w:pPr>
          </w:p>
        </w:tc>
        <w:tc>
          <w:tcPr>
            <w:tcW w:w="6095" w:type="dxa"/>
            <w:shd w:val="clear" w:color="auto" w:fill="FFFFFF" w:themeFill="background1"/>
          </w:tcPr>
          <w:p w:rsidR="00BA7B9E" w:rsidRPr="00FB0C3F" w:rsidRDefault="002D7D26" w:rsidP="00881A72">
            <w:pPr>
              <w:jc w:val="center"/>
              <w:rPr>
                <w:b/>
              </w:rPr>
            </w:pPr>
            <w:r w:rsidRPr="00A64A45">
              <w:rPr>
                <w:b/>
                <w:color w:val="000000" w:themeColor="text1"/>
              </w:rPr>
              <w:t>Mitigation</w:t>
            </w:r>
            <w:r w:rsidRPr="00FB0C3F">
              <w:rPr>
                <w:b/>
              </w:rPr>
              <w:t xml:space="preserve"> </w:t>
            </w:r>
          </w:p>
        </w:tc>
      </w:tr>
      <w:tr w:rsidR="00925F8E" w:rsidTr="00881A72">
        <w:trPr>
          <w:trHeight w:val="301"/>
        </w:trPr>
        <w:tc>
          <w:tcPr>
            <w:tcW w:w="3813" w:type="dxa"/>
          </w:tcPr>
          <w:p w:rsidR="00BA7B9E" w:rsidRPr="00FB0C3F" w:rsidRDefault="002D7D26" w:rsidP="00881A72">
            <w:r>
              <w:t>The Minimum Revenue Provision (MRP) policy is no longer suitable.</w:t>
            </w:r>
            <w:r>
              <w:br/>
            </w:r>
          </w:p>
        </w:tc>
        <w:tc>
          <w:tcPr>
            <w:tcW w:w="6095" w:type="dxa"/>
          </w:tcPr>
          <w:p w:rsidR="00BA7B9E" w:rsidRPr="00FB0C3F" w:rsidRDefault="002D7D26" w:rsidP="00433CF1">
            <w:r>
              <w:t>Careful monthly monitoring of Capital Expenditure should ensure an appropriate and prudent MRP provision is made annually. Revisions to the Policy in line with Code of Practice updates.</w:t>
            </w:r>
          </w:p>
        </w:tc>
      </w:tr>
      <w:tr w:rsidR="00925F8E" w:rsidTr="002A157E">
        <w:trPr>
          <w:trHeight w:val="566"/>
        </w:trPr>
        <w:tc>
          <w:tcPr>
            <w:tcW w:w="3813" w:type="dxa"/>
          </w:tcPr>
          <w:p w:rsidR="002A157E" w:rsidRDefault="002D7D26" w:rsidP="00881A72">
            <w:r>
              <w:t>The Annual Investment Strategy is no longer suitable for the Authority.</w:t>
            </w:r>
          </w:p>
        </w:tc>
        <w:tc>
          <w:tcPr>
            <w:tcW w:w="6095" w:type="dxa"/>
          </w:tcPr>
          <w:p w:rsidR="002A157E" w:rsidRPr="00FB0C3F" w:rsidRDefault="002D7D26" w:rsidP="00881A72">
            <w:r>
              <w:t>Information received from our Treasury Management Advisors should allow the Council to take necessary action to mitigate against any risks.</w:t>
            </w:r>
          </w:p>
        </w:tc>
      </w:tr>
    </w:tbl>
    <w:p w:rsidR="00BA7B9E" w:rsidRDefault="007F1FE9"/>
    <w:p w:rsidR="00BA7B9E" w:rsidRDefault="007F1FE9"/>
    <w:p w:rsidR="00BA7B9E" w:rsidRDefault="007F1FE9"/>
    <w:p w:rsidR="00BA7B9E" w:rsidRDefault="007F1FE9"/>
    <w:p w:rsidR="00944081" w:rsidRDefault="007F1FE9"/>
    <w:p w:rsidR="00BA7B9E" w:rsidRDefault="007F1FE9">
      <w:pPr>
        <w:rPr>
          <w:b/>
        </w:rPr>
      </w:pPr>
    </w:p>
    <w:p w:rsidR="0042265A" w:rsidRDefault="007F1FE9">
      <w:pPr>
        <w:rPr>
          <w:b/>
        </w:rPr>
      </w:pPr>
    </w:p>
    <w:p w:rsidR="0042265A" w:rsidRDefault="007F1FE9">
      <w:pPr>
        <w:rPr>
          <w:b/>
        </w:rPr>
      </w:pPr>
    </w:p>
    <w:p w:rsidR="0042265A" w:rsidRDefault="007F1FE9">
      <w:pPr>
        <w:rPr>
          <w:b/>
        </w:rPr>
      </w:pPr>
    </w:p>
    <w:p w:rsidR="008B0FEA" w:rsidRDefault="007F1FE9">
      <w:pPr>
        <w:rPr>
          <w:b/>
        </w:rPr>
      </w:pPr>
    </w:p>
    <w:p w:rsidR="00BA7B9E" w:rsidRPr="00BA7B9E" w:rsidRDefault="002D7D26">
      <w:pPr>
        <w:rPr>
          <w:b/>
        </w:rPr>
      </w:pPr>
      <w:r w:rsidRPr="00BA7B9E">
        <w:rPr>
          <w:b/>
        </w:rPr>
        <w:t>Human Resources</w:t>
      </w:r>
      <w:r>
        <w:rPr>
          <w:b/>
        </w:rPr>
        <w:t>:</w:t>
      </w:r>
    </w:p>
    <w:p w:rsidR="00BA7B9E" w:rsidRDefault="002D7D26">
      <w:r>
        <w:t>Not Applicable</w:t>
      </w:r>
    </w:p>
    <w:p w:rsidR="00BA7B9E" w:rsidRDefault="007F1FE9">
      <w:pPr>
        <w:rPr>
          <w:b/>
        </w:rPr>
      </w:pPr>
    </w:p>
    <w:p w:rsidR="00BA7B9E" w:rsidRDefault="002D7D26">
      <w:pPr>
        <w:rPr>
          <w:b/>
        </w:rPr>
      </w:pPr>
      <w:r w:rsidRPr="00BA7B9E">
        <w:rPr>
          <w:b/>
        </w:rPr>
        <w:t>Equalities</w:t>
      </w:r>
      <w:r>
        <w:rPr>
          <w:b/>
        </w:rPr>
        <w:t>:</w:t>
      </w:r>
    </w:p>
    <w:p w:rsidR="00BA7B9E" w:rsidRPr="00062ECA" w:rsidRDefault="002D7D26">
      <w:r>
        <w:t>Not Applicable</w:t>
      </w:r>
    </w:p>
    <w:p w:rsidR="00BA7B9E" w:rsidRDefault="007F1FE9">
      <w:pPr>
        <w:rPr>
          <w:b/>
        </w:rPr>
      </w:pPr>
    </w:p>
    <w:p w:rsidR="00BA7B9E" w:rsidRDefault="002D7D26">
      <w:pPr>
        <w:rPr>
          <w:b/>
        </w:rPr>
      </w:pPr>
      <w:r w:rsidRPr="00BA7B9E">
        <w:rPr>
          <w:b/>
        </w:rPr>
        <w:t>Other Implications:</w:t>
      </w:r>
    </w:p>
    <w:p w:rsidR="00244BEE" w:rsidRPr="00062ECA" w:rsidRDefault="002D7D26">
      <w:r>
        <w:t>Not Applicable</w:t>
      </w:r>
    </w:p>
    <w:p w:rsidR="00BA7B9E" w:rsidRDefault="007F1FE9"/>
    <w:p w:rsidR="00BA7B9E" w:rsidRDefault="002D7D26">
      <w:pPr>
        <w:rPr>
          <w:b/>
          <w:u w:val="single"/>
        </w:rPr>
      </w:pPr>
      <w:r w:rsidRPr="00BA7B9E">
        <w:rPr>
          <w:b/>
          <w:u w:val="single"/>
        </w:rPr>
        <w:lastRenderedPageBreak/>
        <w:t xml:space="preserve">Reason(s) for Urgency </w:t>
      </w:r>
    </w:p>
    <w:p w:rsidR="00062ECA" w:rsidRPr="00062ECA" w:rsidRDefault="002D7D26" w:rsidP="00062ECA">
      <w:r>
        <w:t>Not Applicable</w:t>
      </w:r>
    </w:p>
    <w:p w:rsidR="00BA7B9E" w:rsidRPr="008C6A0C" w:rsidRDefault="007F1FE9"/>
    <w:p w:rsidR="00BA7B9E" w:rsidRDefault="007F1FE9">
      <w:pPr>
        <w:rPr>
          <w:b/>
          <w:u w:val="single"/>
        </w:rPr>
      </w:pPr>
    </w:p>
    <w:p w:rsidR="00BA7B9E" w:rsidRDefault="002D7D26">
      <w:pPr>
        <w:rPr>
          <w:b/>
          <w:u w:val="single"/>
        </w:rPr>
      </w:pPr>
      <w:r>
        <w:rPr>
          <w:b/>
          <w:u w:val="single"/>
        </w:rPr>
        <w:t>Reason(s) for Exemption</w:t>
      </w:r>
    </w:p>
    <w:p w:rsidR="00062ECA" w:rsidRPr="00062ECA" w:rsidRDefault="002D7D26" w:rsidP="00062ECA">
      <w:r>
        <w:t>Not Applicable</w:t>
      </w:r>
    </w:p>
    <w:p w:rsidR="00BA7B9E" w:rsidRPr="008C6A0C" w:rsidRDefault="007F1FE9"/>
    <w:p w:rsidR="00670C06" w:rsidRDefault="007F1FE9">
      <w:pPr>
        <w:rPr>
          <w:b/>
          <w:u w:val="single"/>
        </w:rPr>
      </w:pPr>
    </w:p>
    <w:p w:rsidR="00670C06" w:rsidRPr="00BA7B9E" w:rsidRDefault="007F1FE9">
      <w:pPr>
        <w:rPr>
          <w:b/>
          <w:u w:val="single"/>
        </w:rPr>
      </w:pPr>
    </w:p>
    <w:p w:rsidR="00BA7B9E" w:rsidRDefault="002D7D26">
      <w:pPr>
        <w:rPr>
          <w:b/>
          <w:u w:val="single"/>
        </w:rPr>
      </w:pPr>
      <w:r w:rsidRPr="00BA7B9E">
        <w:rPr>
          <w:b/>
          <w:u w:val="single"/>
        </w:rPr>
        <w:t>Background Papers</w:t>
      </w:r>
    </w:p>
    <w:p w:rsidR="00062ECA" w:rsidRPr="00BA7B9E" w:rsidRDefault="007F1FE9">
      <w:pPr>
        <w:rPr>
          <w:b/>
          <w:u w:val="single"/>
        </w:rPr>
      </w:pPr>
    </w:p>
    <w:p w:rsidR="00062ECA" w:rsidRDefault="002D7D26" w:rsidP="00062ECA">
      <w:pPr>
        <w:pStyle w:val="ListParagraph"/>
        <w:numPr>
          <w:ilvl w:val="0"/>
          <w:numId w:val="39"/>
        </w:numPr>
      </w:pPr>
      <w:r>
        <w:t>CIPFA Prudential Code 2017 Edition</w:t>
      </w:r>
    </w:p>
    <w:p w:rsidR="00062ECA" w:rsidRDefault="002D7D26" w:rsidP="00062ECA">
      <w:pPr>
        <w:pStyle w:val="ListParagraph"/>
        <w:numPr>
          <w:ilvl w:val="0"/>
          <w:numId w:val="39"/>
        </w:numPr>
      </w:pPr>
      <w:r>
        <w:t>CIPFA Treasury Management Code 2017 Edition</w:t>
      </w:r>
    </w:p>
    <w:p w:rsidR="00062ECA" w:rsidRPr="00E42C39" w:rsidRDefault="002D7D26" w:rsidP="00062ECA">
      <w:pPr>
        <w:pStyle w:val="ListParagraph"/>
        <w:numPr>
          <w:ilvl w:val="0"/>
          <w:numId w:val="39"/>
        </w:numPr>
      </w:pPr>
      <w:r>
        <w:t>Statutory Guidance on Local Government Investments (3</w:t>
      </w:r>
      <w:r w:rsidRPr="00E42C39">
        <w:rPr>
          <w:vertAlign w:val="superscript"/>
        </w:rPr>
        <w:t>rd</w:t>
      </w:r>
      <w:r>
        <w:t xml:space="preserve"> Edition) Issued under Section 15(1)(a) of the Local Government Act 2003.</w:t>
      </w:r>
    </w:p>
    <w:p w:rsidR="00BA7B9E" w:rsidRDefault="007F1FE9"/>
    <w:p w:rsidR="00944081" w:rsidRDefault="007F1FE9"/>
    <w:p w:rsidR="00944081" w:rsidRPr="00BA7B9E" w:rsidRDefault="002D7D26">
      <w:pPr>
        <w:rPr>
          <w:b/>
          <w:u w:val="single"/>
        </w:rPr>
      </w:pPr>
      <w:r w:rsidRPr="00BA7B9E">
        <w:rPr>
          <w:b/>
          <w:u w:val="single"/>
        </w:rPr>
        <w:t>Report Author and Contact Officer</w:t>
      </w:r>
    </w:p>
    <w:p w:rsidR="00253F85" w:rsidRDefault="002D7D26">
      <w:pPr>
        <w:rPr>
          <w:b/>
        </w:rPr>
      </w:pPr>
      <w:r>
        <w:rPr>
          <w:b/>
        </w:rPr>
        <w:t>Pete Hudson</w:t>
      </w:r>
    </w:p>
    <w:p w:rsidR="00253F85" w:rsidRDefault="002D7D26">
      <w:pPr>
        <w:rPr>
          <w:b/>
        </w:rPr>
      </w:pPr>
      <w:r>
        <w:rPr>
          <w:b/>
        </w:rPr>
        <w:t>Corporate Finance Manager (and S151 Officer)</w:t>
      </w:r>
    </w:p>
    <w:p w:rsidR="00253F85" w:rsidRDefault="007F1FE9">
      <w:pPr>
        <w:rPr>
          <w:b/>
        </w:rPr>
      </w:pPr>
      <w:hyperlink r:id="rId8" w:history="1">
        <w:r w:rsidR="002D7D26" w:rsidRPr="00744350">
          <w:rPr>
            <w:rStyle w:val="Hyperlink"/>
            <w:b/>
          </w:rPr>
          <w:t>p.hudson@ashfield.gov.uk</w:t>
        </w:r>
      </w:hyperlink>
    </w:p>
    <w:p w:rsidR="00253F85" w:rsidRDefault="002D7D26">
      <w:r>
        <w:rPr>
          <w:b/>
        </w:rPr>
        <w:t>01623 457362</w:t>
      </w:r>
    </w:p>
    <w:sectPr w:rsidR="00253F85" w:rsidSect="00150158">
      <w:pgSz w:w="11906" w:h="16838" w:code="9"/>
      <w:pgMar w:top="720" w:right="567" w:bottom="1418" w:left="720" w:header="454" w:footer="4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5456C"/>
    <w:multiLevelType w:val="hybridMultilevel"/>
    <w:tmpl w:val="B81A5CCC"/>
    <w:lvl w:ilvl="0" w:tplc="8B4A1FBE">
      <w:start w:val="1"/>
      <w:numFmt w:val="bullet"/>
      <w:lvlText w:val=""/>
      <w:lvlJc w:val="left"/>
      <w:pPr>
        <w:ind w:left="720" w:hanging="360"/>
      </w:pPr>
      <w:rPr>
        <w:rFonts w:ascii="Symbol" w:hAnsi="Symbol" w:hint="default"/>
      </w:rPr>
    </w:lvl>
    <w:lvl w:ilvl="1" w:tplc="2AA6AA86" w:tentative="1">
      <w:start w:val="1"/>
      <w:numFmt w:val="bullet"/>
      <w:lvlText w:val="o"/>
      <w:lvlJc w:val="left"/>
      <w:pPr>
        <w:ind w:left="1440" w:hanging="360"/>
      </w:pPr>
      <w:rPr>
        <w:rFonts w:ascii="Courier New" w:hAnsi="Courier New" w:cs="Courier New" w:hint="default"/>
      </w:rPr>
    </w:lvl>
    <w:lvl w:ilvl="2" w:tplc="7B3401DA" w:tentative="1">
      <w:start w:val="1"/>
      <w:numFmt w:val="bullet"/>
      <w:lvlText w:val=""/>
      <w:lvlJc w:val="left"/>
      <w:pPr>
        <w:ind w:left="2160" w:hanging="360"/>
      </w:pPr>
      <w:rPr>
        <w:rFonts w:ascii="Wingdings" w:hAnsi="Wingdings" w:hint="default"/>
      </w:rPr>
    </w:lvl>
    <w:lvl w:ilvl="3" w:tplc="68C27496" w:tentative="1">
      <w:start w:val="1"/>
      <w:numFmt w:val="bullet"/>
      <w:lvlText w:val=""/>
      <w:lvlJc w:val="left"/>
      <w:pPr>
        <w:ind w:left="2880" w:hanging="360"/>
      </w:pPr>
      <w:rPr>
        <w:rFonts w:ascii="Symbol" w:hAnsi="Symbol" w:hint="default"/>
      </w:rPr>
    </w:lvl>
    <w:lvl w:ilvl="4" w:tplc="3A842512" w:tentative="1">
      <w:start w:val="1"/>
      <w:numFmt w:val="bullet"/>
      <w:lvlText w:val="o"/>
      <w:lvlJc w:val="left"/>
      <w:pPr>
        <w:ind w:left="3600" w:hanging="360"/>
      </w:pPr>
      <w:rPr>
        <w:rFonts w:ascii="Courier New" w:hAnsi="Courier New" w:cs="Courier New" w:hint="default"/>
      </w:rPr>
    </w:lvl>
    <w:lvl w:ilvl="5" w:tplc="89088D76" w:tentative="1">
      <w:start w:val="1"/>
      <w:numFmt w:val="bullet"/>
      <w:lvlText w:val=""/>
      <w:lvlJc w:val="left"/>
      <w:pPr>
        <w:ind w:left="4320" w:hanging="360"/>
      </w:pPr>
      <w:rPr>
        <w:rFonts w:ascii="Wingdings" w:hAnsi="Wingdings" w:hint="default"/>
      </w:rPr>
    </w:lvl>
    <w:lvl w:ilvl="6" w:tplc="83D650CC" w:tentative="1">
      <w:start w:val="1"/>
      <w:numFmt w:val="bullet"/>
      <w:lvlText w:val=""/>
      <w:lvlJc w:val="left"/>
      <w:pPr>
        <w:ind w:left="5040" w:hanging="360"/>
      </w:pPr>
      <w:rPr>
        <w:rFonts w:ascii="Symbol" w:hAnsi="Symbol" w:hint="default"/>
      </w:rPr>
    </w:lvl>
    <w:lvl w:ilvl="7" w:tplc="3BAA75C4" w:tentative="1">
      <w:start w:val="1"/>
      <w:numFmt w:val="bullet"/>
      <w:lvlText w:val="o"/>
      <w:lvlJc w:val="left"/>
      <w:pPr>
        <w:ind w:left="5760" w:hanging="360"/>
      </w:pPr>
      <w:rPr>
        <w:rFonts w:ascii="Courier New" w:hAnsi="Courier New" w:cs="Courier New" w:hint="default"/>
      </w:rPr>
    </w:lvl>
    <w:lvl w:ilvl="8" w:tplc="620E2778" w:tentative="1">
      <w:start w:val="1"/>
      <w:numFmt w:val="bullet"/>
      <w:lvlText w:val=""/>
      <w:lvlJc w:val="left"/>
      <w:pPr>
        <w:ind w:left="6480" w:hanging="360"/>
      </w:pPr>
      <w:rPr>
        <w:rFonts w:ascii="Wingdings" w:hAnsi="Wingdings" w:hint="default"/>
      </w:rPr>
    </w:lvl>
  </w:abstractNum>
  <w:abstractNum w:abstractNumId="1" w15:restartNumberingAfterBreak="0">
    <w:nsid w:val="1ABF51CF"/>
    <w:multiLevelType w:val="hybridMultilevel"/>
    <w:tmpl w:val="A3881C26"/>
    <w:lvl w:ilvl="0" w:tplc="6298D080">
      <w:start w:val="1"/>
      <w:numFmt w:val="decimal"/>
      <w:lvlText w:val="%1)"/>
      <w:lvlJc w:val="left"/>
      <w:pPr>
        <w:ind w:left="720" w:hanging="360"/>
      </w:pPr>
      <w:rPr>
        <w:rFonts w:hint="default"/>
      </w:rPr>
    </w:lvl>
    <w:lvl w:ilvl="1" w:tplc="48228D64" w:tentative="1">
      <w:start w:val="1"/>
      <w:numFmt w:val="lowerLetter"/>
      <w:lvlText w:val="%2."/>
      <w:lvlJc w:val="left"/>
      <w:pPr>
        <w:ind w:left="1440" w:hanging="360"/>
      </w:pPr>
    </w:lvl>
    <w:lvl w:ilvl="2" w:tplc="B8843486" w:tentative="1">
      <w:start w:val="1"/>
      <w:numFmt w:val="lowerRoman"/>
      <w:lvlText w:val="%3."/>
      <w:lvlJc w:val="right"/>
      <w:pPr>
        <w:ind w:left="2160" w:hanging="180"/>
      </w:pPr>
    </w:lvl>
    <w:lvl w:ilvl="3" w:tplc="828C9A60" w:tentative="1">
      <w:start w:val="1"/>
      <w:numFmt w:val="decimal"/>
      <w:lvlText w:val="%4."/>
      <w:lvlJc w:val="left"/>
      <w:pPr>
        <w:ind w:left="2880" w:hanging="360"/>
      </w:pPr>
    </w:lvl>
    <w:lvl w:ilvl="4" w:tplc="E5125E58" w:tentative="1">
      <w:start w:val="1"/>
      <w:numFmt w:val="lowerLetter"/>
      <w:lvlText w:val="%5."/>
      <w:lvlJc w:val="left"/>
      <w:pPr>
        <w:ind w:left="3600" w:hanging="360"/>
      </w:pPr>
    </w:lvl>
    <w:lvl w:ilvl="5" w:tplc="A9EEC534" w:tentative="1">
      <w:start w:val="1"/>
      <w:numFmt w:val="lowerRoman"/>
      <w:lvlText w:val="%6."/>
      <w:lvlJc w:val="right"/>
      <w:pPr>
        <w:ind w:left="4320" w:hanging="180"/>
      </w:pPr>
    </w:lvl>
    <w:lvl w:ilvl="6" w:tplc="DDBC092E" w:tentative="1">
      <w:start w:val="1"/>
      <w:numFmt w:val="decimal"/>
      <w:lvlText w:val="%7."/>
      <w:lvlJc w:val="left"/>
      <w:pPr>
        <w:ind w:left="5040" w:hanging="360"/>
      </w:pPr>
    </w:lvl>
    <w:lvl w:ilvl="7" w:tplc="97B44E36" w:tentative="1">
      <w:start w:val="1"/>
      <w:numFmt w:val="lowerLetter"/>
      <w:lvlText w:val="%8."/>
      <w:lvlJc w:val="left"/>
      <w:pPr>
        <w:ind w:left="5760" w:hanging="360"/>
      </w:pPr>
    </w:lvl>
    <w:lvl w:ilvl="8" w:tplc="E28A696C" w:tentative="1">
      <w:start w:val="1"/>
      <w:numFmt w:val="lowerRoman"/>
      <w:lvlText w:val="%9."/>
      <w:lvlJc w:val="right"/>
      <w:pPr>
        <w:ind w:left="6480" w:hanging="180"/>
      </w:pPr>
    </w:lvl>
  </w:abstractNum>
  <w:abstractNum w:abstractNumId="2" w15:restartNumberingAfterBreak="0">
    <w:nsid w:val="241B6471"/>
    <w:multiLevelType w:val="hybridMultilevel"/>
    <w:tmpl w:val="FF0C1462"/>
    <w:lvl w:ilvl="0" w:tplc="AC84E310">
      <w:start w:val="1"/>
      <w:numFmt w:val="lowerLetter"/>
      <w:lvlText w:val="(%1)"/>
      <w:lvlJc w:val="left"/>
      <w:pPr>
        <w:tabs>
          <w:tab w:val="num" w:pos="540"/>
        </w:tabs>
        <w:ind w:left="540" w:hanging="360"/>
      </w:pPr>
      <w:rPr>
        <w:rFonts w:hint="default"/>
      </w:rPr>
    </w:lvl>
    <w:lvl w:ilvl="1" w:tplc="81D43924" w:tentative="1">
      <w:start w:val="1"/>
      <w:numFmt w:val="lowerLetter"/>
      <w:lvlText w:val="%2."/>
      <w:lvlJc w:val="left"/>
      <w:pPr>
        <w:tabs>
          <w:tab w:val="num" w:pos="1260"/>
        </w:tabs>
        <w:ind w:left="1260" w:hanging="360"/>
      </w:pPr>
    </w:lvl>
    <w:lvl w:ilvl="2" w:tplc="6B02A4D6" w:tentative="1">
      <w:start w:val="1"/>
      <w:numFmt w:val="lowerRoman"/>
      <w:lvlText w:val="%3."/>
      <w:lvlJc w:val="right"/>
      <w:pPr>
        <w:tabs>
          <w:tab w:val="num" w:pos="1980"/>
        </w:tabs>
        <w:ind w:left="1980" w:hanging="180"/>
      </w:pPr>
    </w:lvl>
    <w:lvl w:ilvl="3" w:tplc="0EAC2E04" w:tentative="1">
      <w:start w:val="1"/>
      <w:numFmt w:val="decimal"/>
      <w:lvlText w:val="%4."/>
      <w:lvlJc w:val="left"/>
      <w:pPr>
        <w:tabs>
          <w:tab w:val="num" w:pos="2700"/>
        </w:tabs>
        <w:ind w:left="2700" w:hanging="360"/>
      </w:pPr>
    </w:lvl>
    <w:lvl w:ilvl="4" w:tplc="D5BC2A2A" w:tentative="1">
      <w:start w:val="1"/>
      <w:numFmt w:val="lowerLetter"/>
      <w:lvlText w:val="%5."/>
      <w:lvlJc w:val="left"/>
      <w:pPr>
        <w:tabs>
          <w:tab w:val="num" w:pos="3420"/>
        </w:tabs>
        <w:ind w:left="3420" w:hanging="360"/>
      </w:pPr>
    </w:lvl>
    <w:lvl w:ilvl="5" w:tplc="EC7CE2DC" w:tentative="1">
      <w:start w:val="1"/>
      <w:numFmt w:val="lowerRoman"/>
      <w:lvlText w:val="%6."/>
      <w:lvlJc w:val="right"/>
      <w:pPr>
        <w:tabs>
          <w:tab w:val="num" w:pos="4140"/>
        </w:tabs>
        <w:ind w:left="4140" w:hanging="180"/>
      </w:pPr>
    </w:lvl>
    <w:lvl w:ilvl="6" w:tplc="C764FD0C" w:tentative="1">
      <w:start w:val="1"/>
      <w:numFmt w:val="decimal"/>
      <w:lvlText w:val="%7."/>
      <w:lvlJc w:val="left"/>
      <w:pPr>
        <w:tabs>
          <w:tab w:val="num" w:pos="4860"/>
        </w:tabs>
        <w:ind w:left="4860" w:hanging="360"/>
      </w:pPr>
    </w:lvl>
    <w:lvl w:ilvl="7" w:tplc="524E09E0" w:tentative="1">
      <w:start w:val="1"/>
      <w:numFmt w:val="lowerLetter"/>
      <w:lvlText w:val="%8."/>
      <w:lvlJc w:val="left"/>
      <w:pPr>
        <w:tabs>
          <w:tab w:val="num" w:pos="5580"/>
        </w:tabs>
        <w:ind w:left="5580" w:hanging="360"/>
      </w:pPr>
    </w:lvl>
    <w:lvl w:ilvl="8" w:tplc="1DACAE5E" w:tentative="1">
      <w:start w:val="1"/>
      <w:numFmt w:val="lowerRoman"/>
      <w:lvlText w:val="%9."/>
      <w:lvlJc w:val="right"/>
      <w:pPr>
        <w:tabs>
          <w:tab w:val="num" w:pos="6300"/>
        </w:tabs>
        <w:ind w:left="6300" w:hanging="180"/>
      </w:pPr>
    </w:lvl>
  </w:abstractNum>
  <w:abstractNum w:abstractNumId="3" w15:restartNumberingAfterBreak="0">
    <w:nsid w:val="2B1201E9"/>
    <w:multiLevelType w:val="multilevel"/>
    <w:tmpl w:val="0860A7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17414"/>
    <w:multiLevelType w:val="multilevel"/>
    <w:tmpl w:val="E34C9FB4"/>
    <w:lvl w:ilvl="0">
      <w:start w:val="1"/>
      <w:numFmt w:val="decimal"/>
      <w:pStyle w:val="Heading1"/>
      <w:lvlText w:val="%1"/>
      <w:lvlJc w:val="left"/>
      <w:pPr>
        <w:ind w:left="432" w:hanging="432"/>
      </w:pPr>
    </w:lvl>
    <w:lvl w:ilvl="1">
      <w:start w:val="1"/>
      <w:numFmt w:val="decimal"/>
      <w:pStyle w:val="Heading2"/>
      <w:lvlText w:val="%1.%2"/>
      <w:lvlJc w:val="left"/>
      <w:pPr>
        <w:ind w:left="816" w:hanging="576"/>
      </w:pPr>
      <w:rPr>
        <w:rFonts w:ascii="Arial" w:hAnsi="Arial" w:cs="Arial" w:hint="default"/>
        <w:i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7ED4E7B"/>
    <w:multiLevelType w:val="multilevel"/>
    <w:tmpl w:val="08090025"/>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 w15:restartNumberingAfterBreak="0">
    <w:nsid w:val="444B22AF"/>
    <w:multiLevelType w:val="hybridMultilevel"/>
    <w:tmpl w:val="29540018"/>
    <w:lvl w:ilvl="0" w:tplc="6AB62F26">
      <w:start w:val="1"/>
      <w:numFmt w:val="bullet"/>
      <w:lvlText w:val=""/>
      <w:lvlJc w:val="left"/>
      <w:pPr>
        <w:ind w:left="720" w:hanging="360"/>
      </w:pPr>
      <w:rPr>
        <w:rFonts w:ascii="Symbol" w:hAnsi="Symbol" w:hint="default"/>
      </w:rPr>
    </w:lvl>
    <w:lvl w:ilvl="1" w:tplc="4A5E7492">
      <w:start w:val="1"/>
      <w:numFmt w:val="bullet"/>
      <w:lvlText w:val="o"/>
      <w:lvlJc w:val="left"/>
      <w:pPr>
        <w:ind w:left="1440" w:hanging="360"/>
      </w:pPr>
      <w:rPr>
        <w:rFonts w:ascii="Courier New" w:hAnsi="Courier New" w:cs="Courier New" w:hint="default"/>
      </w:rPr>
    </w:lvl>
    <w:lvl w:ilvl="2" w:tplc="65EA2F18">
      <w:start w:val="1"/>
      <w:numFmt w:val="bullet"/>
      <w:lvlText w:val=""/>
      <w:lvlJc w:val="left"/>
      <w:pPr>
        <w:ind w:left="2160" w:hanging="360"/>
      </w:pPr>
      <w:rPr>
        <w:rFonts w:ascii="Wingdings" w:hAnsi="Wingdings" w:hint="default"/>
      </w:rPr>
    </w:lvl>
    <w:lvl w:ilvl="3" w:tplc="28E67F36">
      <w:start w:val="1"/>
      <w:numFmt w:val="bullet"/>
      <w:lvlText w:val=""/>
      <w:lvlJc w:val="left"/>
      <w:pPr>
        <w:ind w:left="2880" w:hanging="360"/>
      </w:pPr>
      <w:rPr>
        <w:rFonts w:ascii="Symbol" w:hAnsi="Symbol" w:hint="default"/>
      </w:rPr>
    </w:lvl>
    <w:lvl w:ilvl="4" w:tplc="BBBA4BFC">
      <w:start w:val="1"/>
      <w:numFmt w:val="bullet"/>
      <w:lvlText w:val="o"/>
      <w:lvlJc w:val="left"/>
      <w:pPr>
        <w:ind w:left="3600" w:hanging="360"/>
      </w:pPr>
      <w:rPr>
        <w:rFonts w:ascii="Courier New" w:hAnsi="Courier New" w:cs="Courier New" w:hint="default"/>
      </w:rPr>
    </w:lvl>
    <w:lvl w:ilvl="5" w:tplc="66E00A3C">
      <w:start w:val="1"/>
      <w:numFmt w:val="bullet"/>
      <w:lvlText w:val=""/>
      <w:lvlJc w:val="left"/>
      <w:pPr>
        <w:ind w:left="4320" w:hanging="360"/>
      </w:pPr>
      <w:rPr>
        <w:rFonts w:ascii="Wingdings" w:hAnsi="Wingdings" w:hint="default"/>
      </w:rPr>
    </w:lvl>
    <w:lvl w:ilvl="6" w:tplc="EFBA3FC6">
      <w:start w:val="1"/>
      <w:numFmt w:val="bullet"/>
      <w:lvlText w:val=""/>
      <w:lvlJc w:val="left"/>
      <w:pPr>
        <w:ind w:left="5040" w:hanging="360"/>
      </w:pPr>
      <w:rPr>
        <w:rFonts w:ascii="Symbol" w:hAnsi="Symbol" w:hint="default"/>
      </w:rPr>
    </w:lvl>
    <w:lvl w:ilvl="7" w:tplc="0926501E">
      <w:start w:val="1"/>
      <w:numFmt w:val="bullet"/>
      <w:lvlText w:val="o"/>
      <w:lvlJc w:val="left"/>
      <w:pPr>
        <w:ind w:left="5760" w:hanging="360"/>
      </w:pPr>
      <w:rPr>
        <w:rFonts w:ascii="Courier New" w:hAnsi="Courier New" w:cs="Courier New" w:hint="default"/>
      </w:rPr>
    </w:lvl>
    <w:lvl w:ilvl="8" w:tplc="078E3CD6">
      <w:start w:val="1"/>
      <w:numFmt w:val="bullet"/>
      <w:lvlText w:val=""/>
      <w:lvlJc w:val="left"/>
      <w:pPr>
        <w:ind w:left="6480" w:hanging="360"/>
      </w:pPr>
      <w:rPr>
        <w:rFonts w:ascii="Wingdings" w:hAnsi="Wingdings" w:hint="default"/>
      </w:rPr>
    </w:lvl>
  </w:abstractNum>
  <w:abstractNum w:abstractNumId="7" w15:restartNumberingAfterBreak="0">
    <w:nsid w:val="475669ED"/>
    <w:multiLevelType w:val="hybridMultilevel"/>
    <w:tmpl w:val="F55A2A2A"/>
    <w:lvl w:ilvl="0" w:tplc="510A4F9A">
      <w:start w:val="1"/>
      <w:numFmt w:val="decimal"/>
      <w:lvlText w:val="%1."/>
      <w:lvlJc w:val="left"/>
      <w:pPr>
        <w:ind w:left="720" w:hanging="360"/>
      </w:pPr>
      <w:rPr>
        <w:rFonts w:hint="default"/>
      </w:rPr>
    </w:lvl>
    <w:lvl w:ilvl="1" w:tplc="4EB04CB6" w:tentative="1">
      <w:start w:val="1"/>
      <w:numFmt w:val="lowerLetter"/>
      <w:lvlText w:val="%2."/>
      <w:lvlJc w:val="left"/>
      <w:pPr>
        <w:ind w:left="1440" w:hanging="360"/>
      </w:pPr>
    </w:lvl>
    <w:lvl w:ilvl="2" w:tplc="549AEDC2" w:tentative="1">
      <w:start w:val="1"/>
      <w:numFmt w:val="lowerRoman"/>
      <w:lvlText w:val="%3."/>
      <w:lvlJc w:val="right"/>
      <w:pPr>
        <w:ind w:left="2160" w:hanging="180"/>
      </w:pPr>
    </w:lvl>
    <w:lvl w:ilvl="3" w:tplc="CF6634C0" w:tentative="1">
      <w:start w:val="1"/>
      <w:numFmt w:val="decimal"/>
      <w:lvlText w:val="%4."/>
      <w:lvlJc w:val="left"/>
      <w:pPr>
        <w:ind w:left="2880" w:hanging="360"/>
      </w:pPr>
    </w:lvl>
    <w:lvl w:ilvl="4" w:tplc="21C4B066" w:tentative="1">
      <w:start w:val="1"/>
      <w:numFmt w:val="lowerLetter"/>
      <w:lvlText w:val="%5."/>
      <w:lvlJc w:val="left"/>
      <w:pPr>
        <w:ind w:left="3600" w:hanging="360"/>
      </w:pPr>
    </w:lvl>
    <w:lvl w:ilvl="5" w:tplc="D5D283F2" w:tentative="1">
      <w:start w:val="1"/>
      <w:numFmt w:val="lowerRoman"/>
      <w:lvlText w:val="%6."/>
      <w:lvlJc w:val="right"/>
      <w:pPr>
        <w:ind w:left="4320" w:hanging="180"/>
      </w:pPr>
    </w:lvl>
    <w:lvl w:ilvl="6" w:tplc="6270F192" w:tentative="1">
      <w:start w:val="1"/>
      <w:numFmt w:val="decimal"/>
      <w:lvlText w:val="%7."/>
      <w:lvlJc w:val="left"/>
      <w:pPr>
        <w:ind w:left="5040" w:hanging="360"/>
      </w:pPr>
    </w:lvl>
    <w:lvl w:ilvl="7" w:tplc="074A151A" w:tentative="1">
      <w:start w:val="1"/>
      <w:numFmt w:val="lowerLetter"/>
      <w:lvlText w:val="%8."/>
      <w:lvlJc w:val="left"/>
      <w:pPr>
        <w:ind w:left="5760" w:hanging="360"/>
      </w:pPr>
    </w:lvl>
    <w:lvl w:ilvl="8" w:tplc="D9D2091A" w:tentative="1">
      <w:start w:val="1"/>
      <w:numFmt w:val="lowerRoman"/>
      <w:lvlText w:val="%9."/>
      <w:lvlJc w:val="right"/>
      <w:pPr>
        <w:ind w:left="6480" w:hanging="180"/>
      </w:pPr>
    </w:lvl>
  </w:abstractNum>
  <w:abstractNum w:abstractNumId="8" w15:restartNumberingAfterBreak="0">
    <w:nsid w:val="4E277548"/>
    <w:multiLevelType w:val="hybridMultilevel"/>
    <w:tmpl w:val="2A0698FE"/>
    <w:lvl w:ilvl="0" w:tplc="D6B20706">
      <w:start w:val="1"/>
      <w:numFmt w:val="bullet"/>
      <w:lvlText w:val=""/>
      <w:lvlJc w:val="left"/>
      <w:pPr>
        <w:ind w:left="720" w:hanging="360"/>
      </w:pPr>
      <w:rPr>
        <w:rFonts w:ascii="Symbol" w:hAnsi="Symbol" w:hint="default"/>
      </w:rPr>
    </w:lvl>
    <w:lvl w:ilvl="1" w:tplc="B88ECC52" w:tentative="1">
      <w:start w:val="1"/>
      <w:numFmt w:val="bullet"/>
      <w:lvlText w:val="o"/>
      <w:lvlJc w:val="left"/>
      <w:pPr>
        <w:ind w:left="1440" w:hanging="360"/>
      </w:pPr>
      <w:rPr>
        <w:rFonts w:ascii="Courier New" w:hAnsi="Courier New" w:cs="Courier New" w:hint="default"/>
      </w:rPr>
    </w:lvl>
    <w:lvl w:ilvl="2" w:tplc="238E7D58" w:tentative="1">
      <w:start w:val="1"/>
      <w:numFmt w:val="bullet"/>
      <w:lvlText w:val=""/>
      <w:lvlJc w:val="left"/>
      <w:pPr>
        <w:ind w:left="2160" w:hanging="360"/>
      </w:pPr>
      <w:rPr>
        <w:rFonts w:ascii="Wingdings" w:hAnsi="Wingdings" w:hint="default"/>
      </w:rPr>
    </w:lvl>
    <w:lvl w:ilvl="3" w:tplc="0DF4BE66" w:tentative="1">
      <w:start w:val="1"/>
      <w:numFmt w:val="bullet"/>
      <w:lvlText w:val=""/>
      <w:lvlJc w:val="left"/>
      <w:pPr>
        <w:ind w:left="2880" w:hanging="360"/>
      </w:pPr>
      <w:rPr>
        <w:rFonts w:ascii="Symbol" w:hAnsi="Symbol" w:hint="default"/>
      </w:rPr>
    </w:lvl>
    <w:lvl w:ilvl="4" w:tplc="DEAE4E8E" w:tentative="1">
      <w:start w:val="1"/>
      <w:numFmt w:val="bullet"/>
      <w:lvlText w:val="o"/>
      <w:lvlJc w:val="left"/>
      <w:pPr>
        <w:ind w:left="3600" w:hanging="360"/>
      </w:pPr>
      <w:rPr>
        <w:rFonts w:ascii="Courier New" w:hAnsi="Courier New" w:cs="Courier New" w:hint="default"/>
      </w:rPr>
    </w:lvl>
    <w:lvl w:ilvl="5" w:tplc="FD1A99EE" w:tentative="1">
      <w:start w:val="1"/>
      <w:numFmt w:val="bullet"/>
      <w:lvlText w:val=""/>
      <w:lvlJc w:val="left"/>
      <w:pPr>
        <w:ind w:left="4320" w:hanging="360"/>
      </w:pPr>
      <w:rPr>
        <w:rFonts w:ascii="Wingdings" w:hAnsi="Wingdings" w:hint="default"/>
      </w:rPr>
    </w:lvl>
    <w:lvl w:ilvl="6" w:tplc="AF30557E" w:tentative="1">
      <w:start w:val="1"/>
      <w:numFmt w:val="bullet"/>
      <w:lvlText w:val=""/>
      <w:lvlJc w:val="left"/>
      <w:pPr>
        <w:ind w:left="5040" w:hanging="360"/>
      </w:pPr>
      <w:rPr>
        <w:rFonts w:ascii="Symbol" w:hAnsi="Symbol" w:hint="default"/>
      </w:rPr>
    </w:lvl>
    <w:lvl w:ilvl="7" w:tplc="4F34EE2A" w:tentative="1">
      <w:start w:val="1"/>
      <w:numFmt w:val="bullet"/>
      <w:lvlText w:val="o"/>
      <w:lvlJc w:val="left"/>
      <w:pPr>
        <w:ind w:left="5760" w:hanging="360"/>
      </w:pPr>
      <w:rPr>
        <w:rFonts w:ascii="Courier New" w:hAnsi="Courier New" w:cs="Courier New" w:hint="default"/>
      </w:rPr>
    </w:lvl>
    <w:lvl w:ilvl="8" w:tplc="5B8C643E" w:tentative="1">
      <w:start w:val="1"/>
      <w:numFmt w:val="bullet"/>
      <w:lvlText w:val=""/>
      <w:lvlJc w:val="left"/>
      <w:pPr>
        <w:ind w:left="6480" w:hanging="360"/>
      </w:pPr>
      <w:rPr>
        <w:rFonts w:ascii="Wingdings" w:hAnsi="Wingdings" w:hint="default"/>
      </w:rPr>
    </w:lvl>
  </w:abstractNum>
  <w:abstractNum w:abstractNumId="9" w15:restartNumberingAfterBreak="0">
    <w:nsid w:val="53C853F7"/>
    <w:multiLevelType w:val="hybridMultilevel"/>
    <w:tmpl w:val="D03E8628"/>
    <w:lvl w:ilvl="0" w:tplc="7592EF50">
      <w:start w:val="1"/>
      <w:numFmt w:val="bullet"/>
      <w:lvlText w:val=""/>
      <w:lvlJc w:val="left"/>
      <w:pPr>
        <w:ind w:left="720" w:hanging="360"/>
      </w:pPr>
      <w:rPr>
        <w:rFonts w:ascii="Symbol" w:hAnsi="Symbol" w:hint="default"/>
      </w:rPr>
    </w:lvl>
    <w:lvl w:ilvl="1" w:tplc="94261664" w:tentative="1">
      <w:start w:val="1"/>
      <w:numFmt w:val="bullet"/>
      <w:lvlText w:val="o"/>
      <w:lvlJc w:val="left"/>
      <w:pPr>
        <w:ind w:left="1440" w:hanging="360"/>
      </w:pPr>
      <w:rPr>
        <w:rFonts w:ascii="Courier New" w:hAnsi="Courier New" w:cs="Courier New" w:hint="default"/>
      </w:rPr>
    </w:lvl>
    <w:lvl w:ilvl="2" w:tplc="6856443A" w:tentative="1">
      <w:start w:val="1"/>
      <w:numFmt w:val="bullet"/>
      <w:lvlText w:val=""/>
      <w:lvlJc w:val="left"/>
      <w:pPr>
        <w:ind w:left="2160" w:hanging="360"/>
      </w:pPr>
      <w:rPr>
        <w:rFonts w:ascii="Wingdings" w:hAnsi="Wingdings" w:hint="default"/>
      </w:rPr>
    </w:lvl>
    <w:lvl w:ilvl="3" w:tplc="EB04BFD8" w:tentative="1">
      <w:start w:val="1"/>
      <w:numFmt w:val="bullet"/>
      <w:lvlText w:val=""/>
      <w:lvlJc w:val="left"/>
      <w:pPr>
        <w:ind w:left="2880" w:hanging="360"/>
      </w:pPr>
      <w:rPr>
        <w:rFonts w:ascii="Symbol" w:hAnsi="Symbol" w:hint="default"/>
      </w:rPr>
    </w:lvl>
    <w:lvl w:ilvl="4" w:tplc="5B181A60" w:tentative="1">
      <w:start w:val="1"/>
      <w:numFmt w:val="bullet"/>
      <w:lvlText w:val="o"/>
      <w:lvlJc w:val="left"/>
      <w:pPr>
        <w:ind w:left="3600" w:hanging="360"/>
      </w:pPr>
      <w:rPr>
        <w:rFonts w:ascii="Courier New" w:hAnsi="Courier New" w:cs="Courier New" w:hint="default"/>
      </w:rPr>
    </w:lvl>
    <w:lvl w:ilvl="5" w:tplc="5B3EB568" w:tentative="1">
      <w:start w:val="1"/>
      <w:numFmt w:val="bullet"/>
      <w:lvlText w:val=""/>
      <w:lvlJc w:val="left"/>
      <w:pPr>
        <w:ind w:left="4320" w:hanging="360"/>
      </w:pPr>
      <w:rPr>
        <w:rFonts w:ascii="Wingdings" w:hAnsi="Wingdings" w:hint="default"/>
      </w:rPr>
    </w:lvl>
    <w:lvl w:ilvl="6" w:tplc="D0ECAD72" w:tentative="1">
      <w:start w:val="1"/>
      <w:numFmt w:val="bullet"/>
      <w:lvlText w:val=""/>
      <w:lvlJc w:val="left"/>
      <w:pPr>
        <w:ind w:left="5040" w:hanging="360"/>
      </w:pPr>
      <w:rPr>
        <w:rFonts w:ascii="Symbol" w:hAnsi="Symbol" w:hint="default"/>
      </w:rPr>
    </w:lvl>
    <w:lvl w:ilvl="7" w:tplc="9D429D10" w:tentative="1">
      <w:start w:val="1"/>
      <w:numFmt w:val="bullet"/>
      <w:lvlText w:val="o"/>
      <w:lvlJc w:val="left"/>
      <w:pPr>
        <w:ind w:left="5760" w:hanging="360"/>
      </w:pPr>
      <w:rPr>
        <w:rFonts w:ascii="Courier New" w:hAnsi="Courier New" w:cs="Courier New" w:hint="default"/>
      </w:rPr>
    </w:lvl>
    <w:lvl w:ilvl="8" w:tplc="FA261090" w:tentative="1">
      <w:start w:val="1"/>
      <w:numFmt w:val="bullet"/>
      <w:lvlText w:val=""/>
      <w:lvlJc w:val="left"/>
      <w:pPr>
        <w:ind w:left="6480" w:hanging="360"/>
      </w:pPr>
      <w:rPr>
        <w:rFonts w:ascii="Wingdings" w:hAnsi="Wingdings" w:hint="default"/>
      </w:rPr>
    </w:lvl>
  </w:abstractNum>
  <w:abstractNum w:abstractNumId="10" w15:restartNumberingAfterBreak="0">
    <w:nsid w:val="579F4194"/>
    <w:multiLevelType w:val="hybridMultilevel"/>
    <w:tmpl w:val="1F6AABB2"/>
    <w:lvl w:ilvl="0" w:tplc="DFDA5766">
      <w:start w:val="1"/>
      <w:numFmt w:val="bullet"/>
      <w:lvlText w:val=""/>
      <w:lvlJc w:val="left"/>
      <w:pPr>
        <w:ind w:left="1500" w:hanging="360"/>
      </w:pPr>
      <w:rPr>
        <w:rFonts w:ascii="Symbol" w:hAnsi="Symbol" w:hint="default"/>
      </w:rPr>
    </w:lvl>
    <w:lvl w:ilvl="1" w:tplc="4274DE5C" w:tentative="1">
      <w:start w:val="1"/>
      <w:numFmt w:val="bullet"/>
      <w:lvlText w:val="o"/>
      <w:lvlJc w:val="left"/>
      <w:pPr>
        <w:ind w:left="2220" w:hanging="360"/>
      </w:pPr>
      <w:rPr>
        <w:rFonts w:ascii="Courier New" w:hAnsi="Courier New" w:cs="Courier New" w:hint="default"/>
      </w:rPr>
    </w:lvl>
    <w:lvl w:ilvl="2" w:tplc="29389E5A" w:tentative="1">
      <w:start w:val="1"/>
      <w:numFmt w:val="bullet"/>
      <w:lvlText w:val=""/>
      <w:lvlJc w:val="left"/>
      <w:pPr>
        <w:ind w:left="2940" w:hanging="360"/>
      </w:pPr>
      <w:rPr>
        <w:rFonts w:ascii="Wingdings" w:hAnsi="Wingdings" w:hint="default"/>
      </w:rPr>
    </w:lvl>
    <w:lvl w:ilvl="3" w:tplc="6A7C7290" w:tentative="1">
      <w:start w:val="1"/>
      <w:numFmt w:val="bullet"/>
      <w:lvlText w:val=""/>
      <w:lvlJc w:val="left"/>
      <w:pPr>
        <w:ind w:left="3660" w:hanging="360"/>
      </w:pPr>
      <w:rPr>
        <w:rFonts w:ascii="Symbol" w:hAnsi="Symbol" w:hint="default"/>
      </w:rPr>
    </w:lvl>
    <w:lvl w:ilvl="4" w:tplc="8BCCAF32" w:tentative="1">
      <w:start w:val="1"/>
      <w:numFmt w:val="bullet"/>
      <w:lvlText w:val="o"/>
      <w:lvlJc w:val="left"/>
      <w:pPr>
        <w:ind w:left="4380" w:hanging="360"/>
      </w:pPr>
      <w:rPr>
        <w:rFonts w:ascii="Courier New" w:hAnsi="Courier New" w:cs="Courier New" w:hint="default"/>
      </w:rPr>
    </w:lvl>
    <w:lvl w:ilvl="5" w:tplc="9ECC72F4" w:tentative="1">
      <w:start w:val="1"/>
      <w:numFmt w:val="bullet"/>
      <w:lvlText w:val=""/>
      <w:lvlJc w:val="left"/>
      <w:pPr>
        <w:ind w:left="5100" w:hanging="360"/>
      </w:pPr>
      <w:rPr>
        <w:rFonts w:ascii="Wingdings" w:hAnsi="Wingdings" w:hint="default"/>
      </w:rPr>
    </w:lvl>
    <w:lvl w:ilvl="6" w:tplc="750253F2" w:tentative="1">
      <w:start w:val="1"/>
      <w:numFmt w:val="bullet"/>
      <w:lvlText w:val=""/>
      <w:lvlJc w:val="left"/>
      <w:pPr>
        <w:ind w:left="5820" w:hanging="360"/>
      </w:pPr>
      <w:rPr>
        <w:rFonts w:ascii="Symbol" w:hAnsi="Symbol" w:hint="default"/>
      </w:rPr>
    </w:lvl>
    <w:lvl w:ilvl="7" w:tplc="D5D4AFF2" w:tentative="1">
      <w:start w:val="1"/>
      <w:numFmt w:val="bullet"/>
      <w:lvlText w:val="o"/>
      <w:lvlJc w:val="left"/>
      <w:pPr>
        <w:ind w:left="6540" w:hanging="360"/>
      </w:pPr>
      <w:rPr>
        <w:rFonts w:ascii="Courier New" w:hAnsi="Courier New" w:cs="Courier New" w:hint="default"/>
      </w:rPr>
    </w:lvl>
    <w:lvl w:ilvl="8" w:tplc="76669B80" w:tentative="1">
      <w:start w:val="1"/>
      <w:numFmt w:val="bullet"/>
      <w:lvlText w:val=""/>
      <w:lvlJc w:val="left"/>
      <w:pPr>
        <w:ind w:left="7260" w:hanging="360"/>
      </w:pPr>
      <w:rPr>
        <w:rFonts w:ascii="Wingdings" w:hAnsi="Wingdings" w:hint="default"/>
      </w:rPr>
    </w:lvl>
  </w:abstractNum>
  <w:abstractNum w:abstractNumId="11" w15:restartNumberingAfterBreak="0">
    <w:nsid w:val="5C586E21"/>
    <w:multiLevelType w:val="hybridMultilevel"/>
    <w:tmpl w:val="4F3C33A0"/>
    <w:lvl w:ilvl="0" w:tplc="EDD47050">
      <w:start w:val="1"/>
      <w:numFmt w:val="bullet"/>
      <w:lvlText w:val=""/>
      <w:lvlJc w:val="left"/>
      <w:pPr>
        <w:ind w:left="720" w:hanging="360"/>
      </w:pPr>
      <w:rPr>
        <w:rFonts w:ascii="Symbol" w:hAnsi="Symbol" w:hint="default"/>
      </w:rPr>
    </w:lvl>
    <w:lvl w:ilvl="1" w:tplc="3F9CD4EA" w:tentative="1">
      <w:start w:val="1"/>
      <w:numFmt w:val="bullet"/>
      <w:lvlText w:val="o"/>
      <w:lvlJc w:val="left"/>
      <w:pPr>
        <w:ind w:left="1440" w:hanging="360"/>
      </w:pPr>
      <w:rPr>
        <w:rFonts w:ascii="Courier New" w:hAnsi="Courier New" w:cs="Courier New" w:hint="default"/>
      </w:rPr>
    </w:lvl>
    <w:lvl w:ilvl="2" w:tplc="8D14D184" w:tentative="1">
      <w:start w:val="1"/>
      <w:numFmt w:val="bullet"/>
      <w:lvlText w:val=""/>
      <w:lvlJc w:val="left"/>
      <w:pPr>
        <w:ind w:left="2160" w:hanging="360"/>
      </w:pPr>
      <w:rPr>
        <w:rFonts w:ascii="Wingdings" w:hAnsi="Wingdings" w:hint="default"/>
      </w:rPr>
    </w:lvl>
    <w:lvl w:ilvl="3" w:tplc="2A92A234" w:tentative="1">
      <w:start w:val="1"/>
      <w:numFmt w:val="bullet"/>
      <w:lvlText w:val=""/>
      <w:lvlJc w:val="left"/>
      <w:pPr>
        <w:ind w:left="2880" w:hanging="360"/>
      </w:pPr>
      <w:rPr>
        <w:rFonts w:ascii="Symbol" w:hAnsi="Symbol" w:hint="default"/>
      </w:rPr>
    </w:lvl>
    <w:lvl w:ilvl="4" w:tplc="317A6138" w:tentative="1">
      <w:start w:val="1"/>
      <w:numFmt w:val="bullet"/>
      <w:lvlText w:val="o"/>
      <w:lvlJc w:val="left"/>
      <w:pPr>
        <w:ind w:left="3600" w:hanging="360"/>
      </w:pPr>
      <w:rPr>
        <w:rFonts w:ascii="Courier New" w:hAnsi="Courier New" w:cs="Courier New" w:hint="default"/>
      </w:rPr>
    </w:lvl>
    <w:lvl w:ilvl="5" w:tplc="05CE2C5C" w:tentative="1">
      <w:start w:val="1"/>
      <w:numFmt w:val="bullet"/>
      <w:lvlText w:val=""/>
      <w:lvlJc w:val="left"/>
      <w:pPr>
        <w:ind w:left="4320" w:hanging="360"/>
      </w:pPr>
      <w:rPr>
        <w:rFonts w:ascii="Wingdings" w:hAnsi="Wingdings" w:hint="default"/>
      </w:rPr>
    </w:lvl>
    <w:lvl w:ilvl="6" w:tplc="46209150" w:tentative="1">
      <w:start w:val="1"/>
      <w:numFmt w:val="bullet"/>
      <w:lvlText w:val=""/>
      <w:lvlJc w:val="left"/>
      <w:pPr>
        <w:ind w:left="5040" w:hanging="360"/>
      </w:pPr>
      <w:rPr>
        <w:rFonts w:ascii="Symbol" w:hAnsi="Symbol" w:hint="default"/>
      </w:rPr>
    </w:lvl>
    <w:lvl w:ilvl="7" w:tplc="39C22746" w:tentative="1">
      <w:start w:val="1"/>
      <w:numFmt w:val="bullet"/>
      <w:lvlText w:val="o"/>
      <w:lvlJc w:val="left"/>
      <w:pPr>
        <w:ind w:left="5760" w:hanging="360"/>
      </w:pPr>
      <w:rPr>
        <w:rFonts w:ascii="Courier New" w:hAnsi="Courier New" w:cs="Courier New" w:hint="default"/>
      </w:rPr>
    </w:lvl>
    <w:lvl w:ilvl="8" w:tplc="0B74CE1C" w:tentative="1">
      <w:start w:val="1"/>
      <w:numFmt w:val="bullet"/>
      <w:lvlText w:val=""/>
      <w:lvlJc w:val="left"/>
      <w:pPr>
        <w:ind w:left="6480" w:hanging="360"/>
      </w:pPr>
      <w:rPr>
        <w:rFonts w:ascii="Wingdings" w:hAnsi="Wingdings" w:hint="default"/>
      </w:rPr>
    </w:lvl>
  </w:abstractNum>
  <w:abstractNum w:abstractNumId="12" w15:restartNumberingAfterBreak="0">
    <w:nsid w:val="63306390"/>
    <w:multiLevelType w:val="hybridMultilevel"/>
    <w:tmpl w:val="319EF294"/>
    <w:lvl w:ilvl="0" w:tplc="0DAAA5DA">
      <w:start w:val="1"/>
      <w:numFmt w:val="decimal"/>
      <w:lvlText w:val="(%1)"/>
      <w:lvlJc w:val="left"/>
      <w:pPr>
        <w:ind w:left="928" w:hanging="360"/>
      </w:pPr>
      <w:rPr>
        <w:rFonts w:hint="default"/>
      </w:rPr>
    </w:lvl>
    <w:lvl w:ilvl="1" w:tplc="078E345C" w:tentative="1">
      <w:start w:val="1"/>
      <w:numFmt w:val="lowerLetter"/>
      <w:lvlText w:val="%2."/>
      <w:lvlJc w:val="left"/>
      <w:pPr>
        <w:ind w:left="1648" w:hanging="360"/>
      </w:pPr>
    </w:lvl>
    <w:lvl w:ilvl="2" w:tplc="3B62A6FA" w:tentative="1">
      <w:start w:val="1"/>
      <w:numFmt w:val="lowerRoman"/>
      <w:lvlText w:val="%3."/>
      <w:lvlJc w:val="right"/>
      <w:pPr>
        <w:ind w:left="2368" w:hanging="180"/>
      </w:pPr>
    </w:lvl>
    <w:lvl w:ilvl="3" w:tplc="752EE14E" w:tentative="1">
      <w:start w:val="1"/>
      <w:numFmt w:val="decimal"/>
      <w:lvlText w:val="%4."/>
      <w:lvlJc w:val="left"/>
      <w:pPr>
        <w:ind w:left="3088" w:hanging="360"/>
      </w:pPr>
    </w:lvl>
    <w:lvl w:ilvl="4" w:tplc="F5D0C4F6" w:tentative="1">
      <w:start w:val="1"/>
      <w:numFmt w:val="lowerLetter"/>
      <w:lvlText w:val="%5."/>
      <w:lvlJc w:val="left"/>
      <w:pPr>
        <w:ind w:left="3808" w:hanging="360"/>
      </w:pPr>
    </w:lvl>
    <w:lvl w:ilvl="5" w:tplc="B17C5214" w:tentative="1">
      <w:start w:val="1"/>
      <w:numFmt w:val="lowerRoman"/>
      <w:lvlText w:val="%6."/>
      <w:lvlJc w:val="right"/>
      <w:pPr>
        <w:ind w:left="4528" w:hanging="180"/>
      </w:pPr>
    </w:lvl>
    <w:lvl w:ilvl="6" w:tplc="502AC45E" w:tentative="1">
      <w:start w:val="1"/>
      <w:numFmt w:val="decimal"/>
      <w:lvlText w:val="%7."/>
      <w:lvlJc w:val="left"/>
      <w:pPr>
        <w:ind w:left="5248" w:hanging="360"/>
      </w:pPr>
    </w:lvl>
    <w:lvl w:ilvl="7" w:tplc="F126088E" w:tentative="1">
      <w:start w:val="1"/>
      <w:numFmt w:val="lowerLetter"/>
      <w:lvlText w:val="%8."/>
      <w:lvlJc w:val="left"/>
      <w:pPr>
        <w:ind w:left="5968" w:hanging="360"/>
      </w:pPr>
    </w:lvl>
    <w:lvl w:ilvl="8" w:tplc="AD448FCC" w:tentative="1">
      <w:start w:val="1"/>
      <w:numFmt w:val="lowerRoman"/>
      <w:lvlText w:val="%9."/>
      <w:lvlJc w:val="right"/>
      <w:pPr>
        <w:ind w:left="6688" w:hanging="180"/>
      </w:pPr>
    </w:lvl>
  </w:abstractNum>
  <w:abstractNum w:abstractNumId="13" w15:restartNumberingAfterBreak="0">
    <w:nsid w:val="6F9A48A3"/>
    <w:multiLevelType w:val="hybridMultilevel"/>
    <w:tmpl w:val="9B184F68"/>
    <w:lvl w:ilvl="0" w:tplc="526A40CC">
      <w:start w:val="1"/>
      <w:numFmt w:val="bullet"/>
      <w:lvlText w:val=""/>
      <w:lvlJc w:val="left"/>
      <w:pPr>
        <w:ind w:left="720" w:hanging="360"/>
      </w:pPr>
      <w:rPr>
        <w:rFonts w:ascii="Symbol" w:hAnsi="Symbol" w:hint="default"/>
      </w:rPr>
    </w:lvl>
    <w:lvl w:ilvl="1" w:tplc="25269B0E" w:tentative="1">
      <w:start w:val="1"/>
      <w:numFmt w:val="bullet"/>
      <w:lvlText w:val="o"/>
      <w:lvlJc w:val="left"/>
      <w:pPr>
        <w:ind w:left="1440" w:hanging="360"/>
      </w:pPr>
      <w:rPr>
        <w:rFonts w:ascii="Courier New" w:hAnsi="Courier New" w:cs="Courier New" w:hint="default"/>
      </w:rPr>
    </w:lvl>
    <w:lvl w:ilvl="2" w:tplc="F7681512" w:tentative="1">
      <w:start w:val="1"/>
      <w:numFmt w:val="bullet"/>
      <w:lvlText w:val=""/>
      <w:lvlJc w:val="left"/>
      <w:pPr>
        <w:ind w:left="2160" w:hanging="360"/>
      </w:pPr>
      <w:rPr>
        <w:rFonts w:ascii="Wingdings" w:hAnsi="Wingdings" w:hint="default"/>
      </w:rPr>
    </w:lvl>
    <w:lvl w:ilvl="3" w:tplc="AA12E59E" w:tentative="1">
      <w:start w:val="1"/>
      <w:numFmt w:val="bullet"/>
      <w:lvlText w:val=""/>
      <w:lvlJc w:val="left"/>
      <w:pPr>
        <w:ind w:left="2880" w:hanging="360"/>
      </w:pPr>
      <w:rPr>
        <w:rFonts w:ascii="Symbol" w:hAnsi="Symbol" w:hint="default"/>
      </w:rPr>
    </w:lvl>
    <w:lvl w:ilvl="4" w:tplc="6EFC48EC" w:tentative="1">
      <w:start w:val="1"/>
      <w:numFmt w:val="bullet"/>
      <w:lvlText w:val="o"/>
      <w:lvlJc w:val="left"/>
      <w:pPr>
        <w:ind w:left="3600" w:hanging="360"/>
      </w:pPr>
      <w:rPr>
        <w:rFonts w:ascii="Courier New" w:hAnsi="Courier New" w:cs="Courier New" w:hint="default"/>
      </w:rPr>
    </w:lvl>
    <w:lvl w:ilvl="5" w:tplc="D8C247E2" w:tentative="1">
      <w:start w:val="1"/>
      <w:numFmt w:val="bullet"/>
      <w:lvlText w:val=""/>
      <w:lvlJc w:val="left"/>
      <w:pPr>
        <w:ind w:left="4320" w:hanging="360"/>
      </w:pPr>
      <w:rPr>
        <w:rFonts w:ascii="Wingdings" w:hAnsi="Wingdings" w:hint="default"/>
      </w:rPr>
    </w:lvl>
    <w:lvl w:ilvl="6" w:tplc="F6F0DD16" w:tentative="1">
      <w:start w:val="1"/>
      <w:numFmt w:val="bullet"/>
      <w:lvlText w:val=""/>
      <w:lvlJc w:val="left"/>
      <w:pPr>
        <w:ind w:left="5040" w:hanging="360"/>
      </w:pPr>
      <w:rPr>
        <w:rFonts w:ascii="Symbol" w:hAnsi="Symbol" w:hint="default"/>
      </w:rPr>
    </w:lvl>
    <w:lvl w:ilvl="7" w:tplc="2712603A" w:tentative="1">
      <w:start w:val="1"/>
      <w:numFmt w:val="bullet"/>
      <w:lvlText w:val="o"/>
      <w:lvlJc w:val="left"/>
      <w:pPr>
        <w:ind w:left="5760" w:hanging="360"/>
      </w:pPr>
      <w:rPr>
        <w:rFonts w:ascii="Courier New" w:hAnsi="Courier New" w:cs="Courier New" w:hint="default"/>
      </w:rPr>
    </w:lvl>
    <w:lvl w:ilvl="8" w:tplc="26DE7142" w:tentative="1">
      <w:start w:val="1"/>
      <w:numFmt w:val="bullet"/>
      <w:lvlText w:val=""/>
      <w:lvlJc w:val="left"/>
      <w:pPr>
        <w:ind w:left="6480" w:hanging="360"/>
      </w:pPr>
      <w:rPr>
        <w:rFonts w:ascii="Wingdings" w:hAnsi="Wingdings" w:hint="default"/>
      </w:rPr>
    </w:lvl>
  </w:abstractNum>
  <w:abstractNum w:abstractNumId="14" w15:restartNumberingAfterBreak="0">
    <w:nsid w:val="72AA2AC2"/>
    <w:multiLevelType w:val="hybridMultilevel"/>
    <w:tmpl w:val="018007CA"/>
    <w:lvl w:ilvl="0" w:tplc="86B8E7C4">
      <w:start w:val="1"/>
      <w:numFmt w:val="bullet"/>
      <w:lvlText w:val=""/>
      <w:lvlJc w:val="left"/>
      <w:pPr>
        <w:ind w:left="720" w:hanging="360"/>
      </w:pPr>
      <w:rPr>
        <w:rFonts w:ascii="Symbol" w:hAnsi="Symbol" w:hint="default"/>
      </w:rPr>
    </w:lvl>
    <w:lvl w:ilvl="1" w:tplc="07D4BD06" w:tentative="1">
      <w:start w:val="1"/>
      <w:numFmt w:val="bullet"/>
      <w:lvlText w:val="o"/>
      <w:lvlJc w:val="left"/>
      <w:pPr>
        <w:ind w:left="1440" w:hanging="360"/>
      </w:pPr>
      <w:rPr>
        <w:rFonts w:ascii="Courier New" w:hAnsi="Courier New" w:cs="Courier New" w:hint="default"/>
      </w:rPr>
    </w:lvl>
    <w:lvl w:ilvl="2" w:tplc="31980DEC" w:tentative="1">
      <w:start w:val="1"/>
      <w:numFmt w:val="bullet"/>
      <w:lvlText w:val=""/>
      <w:lvlJc w:val="left"/>
      <w:pPr>
        <w:ind w:left="2160" w:hanging="360"/>
      </w:pPr>
      <w:rPr>
        <w:rFonts w:ascii="Wingdings" w:hAnsi="Wingdings" w:hint="default"/>
      </w:rPr>
    </w:lvl>
    <w:lvl w:ilvl="3" w:tplc="7492A8F4" w:tentative="1">
      <w:start w:val="1"/>
      <w:numFmt w:val="bullet"/>
      <w:lvlText w:val=""/>
      <w:lvlJc w:val="left"/>
      <w:pPr>
        <w:ind w:left="2880" w:hanging="360"/>
      </w:pPr>
      <w:rPr>
        <w:rFonts w:ascii="Symbol" w:hAnsi="Symbol" w:hint="default"/>
      </w:rPr>
    </w:lvl>
    <w:lvl w:ilvl="4" w:tplc="238ACA6A" w:tentative="1">
      <w:start w:val="1"/>
      <w:numFmt w:val="bullet"/>
      <w:lvlText w:val="o"/>
      <w:lvlJc w:val="left"/>
      <w:pPr>
        <w:ind w:left="3600" w:hanging="360"/>
      </w:pPr>
      <w:rPr>
        <w:rFonts w:ascii="Courier New" w:hAnsi="Courier New" w:cs="Courier New" w:hint="default"/>
      </w:rPr>
    </w:lvl>
    <w:lvl w:ilvl="5" w:tplc="FECED5EE" w:tentative="1">
      <w:start w:val="1"/>
      <w:numFmt w:val="bullet"/>
      <w:lvlText w:val=""/>
      <w:lvlJc w:val="left"/>
      <w:pPr>
        <w:ind w:left="4320" w:hanging="360"/>
      </w:pPr>
      <w:rPr>
        <w:rFonts w:ascii="Wingdings" w:hAnsi="Wingdings" w:hint="default"/>
      </w:rPr>
    </w:lvl>
    <w:lvl w:ilvl="6" w:tplc="9A1CBC3A" w:tentative="1">
      <w:start w:val="1"/>
      <w:numFmt w:val="bullet"/>
      <w:lvlText w:val=""/>
      <w:lvlJc w:val="left"/>
      <w:pPr>
        <w:ind w:left="5040" w:hanging="360"/>
      </w:pPr>
      <w:rPr>
        <w:rFonts w:ascii="Symbol" w:hAnsi="Symbol" w:hint="default"/>
      </w:rPr>
    </w:lvl>
    <w:lvl w:ilvl="7" w:tplc="A49A5390" w:tentative="1">
      <w:start w:val="1"/>
      <w:numFmt w:val="bullet"/>
      <w:lvlText w:val="o"/>
      <w:lvlJc w:val="left"/>
      <w:pPr>
        <w:ind w:left="5760" w:hanging="360"/>
      </w:pPr>
      <w:rPr>
        <w:rFonts w:ascii="Courier New" w:hAnsi="Courier New" w:cs="Courier New" w:hint="default"/>
      </w:rPr>
    </w:lvl>
    <w:lvl w:ilvl="8" w:tplc="34062242" w:tentative="1">
      <w:start w:val="1"/>
      <w:numFmt w:val="bullet"/>
      <w:lvlText w:val=""/>
      <w:lvlJc w:val="left"/>
      <w:pPr>
        <w:ind w:left="6480" w:hanging="360"/>
      </w:pPr>
      <w:rPr>
        <w:rFonts w:ascii="Wingdings" w:hAnsi="Wingdings" w:hint="default"/>
      </w:rPr>
    </w:lvl>
  </w:abstractNum>
  <w:abstractNum w:abstractNumId="15" w15:restartNumberingAfterBreak="0">
    <w:nsid w:val="744544A1"/>
    <w:multiLevelType w:val="hybridMultilevel"/>
    <w:tmpl w:val="3DF093E2"/>
    <w:lvl w:ilvl="0" w:tplc="C9321250">
      <w:start w:val="1"/>
      <w:numFmt w:val="bullet"/>
      <w:lvlText w:val=""/>
      <w:lvlJc w:val="left"/>
      <w:pPr>
        <w:ind w:left="720" w:hanging="360"/>
      </w:pPr>
      <w:rPr>
        <w:rFonts w:ascii="Symbol" w:hAnsi="Symbol" w:hint="default"/>
      </w:rPr>
    </w:lvl>
    <w:lvl w:ilvl="1" w:tplc="C902F732" w:tentative="1">
      <w:start w:val="1"/>
      <w:numFmt w:val="bullet"/>
      <w:lvlText w:val="o"/>
      <w:lvlJc w:val="left"/>
      <w:pPr>
        <w:ind w:left="1440" w:hanging="360"/>
      </w:pPr>
      <w:rPr>
        <w:rFonts w:ascii="Courier New" w:hAnsi="Courier New" w:cs="Courier New" w:hint="default"/>
      </w:rPr>
    </w:lvl>
    <w:lvl w:ilvl="2" w:tplc="C576DE56" w:tentative="1">
      <w:start w:val="1"/>
      <w:numFmt w:val="bullet"/>
      <w:lvlText w:val=""/>
      <w:lvlJc w:val="left"/>
      <w:pPr>
        <w:ind w:left="2160" w:hanging="360"/>
      </w:pPr>
      <w:rPr>
        <w:rFonts w:ascii="Wingdings" w:hAnsi="Wingdings" w:hint="default"/>
      </w:rPr>
    </w:lvl>
    <w:lvl w:ilvl="3" w:tplc="4458443A" w:tentative="1">
      <w:start w:val="1"/>
      <w:numFmt w:val="bullet"/>
      <w:lvlText w:val=""/>
      <w:lvlJc w:val="left"/>
      <w:pPr>
        <w:ind w:left="2880" w:hanging="360"/>
      </w:pPr>
      <w:rPr>
        <w:rFonts w:ascii="Symbol" w:hAnsi="Symbol" w:hint="default"/>
      </w:rPr>
    </w:lvl>
    <w:lvl w:ilvl="4" w:tplc="BD5E5E90" w:tentative="1">
      <w:start w:val="1"/>
      <w:numFmt w:val="bullet"/>
      <w:lvlText w:val="o"/>
      <w:lvlJc w:val="left"/>
      <w:pPr>
        <w:ind w:left="3600" w:hanging="360"/>
      </w:pPr>
      <w:rPr>
        <w:rFonts w:ascii="Courier New" w:hAnsi="Courier New" w:cs="Courier New" w:hint="default"/>
      </w:rPr>
    </w:lvl>
    <w:lvl w:ilvl="5" w:tplc="4B7E9BB2" w:tentative="1">
      <w:start w:val="1"/>
      <w:numFmt w:val="bullet"/>
      <w:lvlText w:val=""/>
      <w:lvlJc w:val="left"/>
      <w:pPr>
        <w:ind w:left="4320" w:hanging="360"/>
      </w:pPr>
      <w:rPr>
        <w:rFonts w:ascii="Wingdings" w:hAnsi="Wingdings" w:hint="default"/>
      </w:rPr>
    </w:lvl>
    <w:lvl w:ilvl="6" w:tplc="6E169B9E" w:tentative="1">
      <w:start w:val="1"/>
      <w:numFmt w:val="bullet"/>
      <w:lvlText w:val=""/>
      <w:lvlJc w:val="left"/>
      <w:pPr>
        <w:ind w:left="5040" w:hanging="360"/>
      </w:pPr>
      <w:rPr>
        <w:rFonts w:ascii="Symbol" w:hAnsi="Symbol" w:hint="default"/>
      </w:rPr>
    </w:lvl>
    <w:lvl w:ilvl="7" w:tplc="A7C82FF8" w:tentative="1">
      <w:start w:val="1"/>
      <w:numFmt w:val="bullet"/>
      <w:lvlText w:val="o"/>
      <w:lvlJc w:val="left"/>
      <w:pPr>
        <w:ind w:left="5760" w:hanging="360"/>
      </w:pPr>
      <w:rPr>
        <w:rFonts w:ascii="Courier New" w:hAnsi="Courier New" w:cs="Courier New" w:hint="default"/>
      </w:rPr>
    </w:lvl>
    <w:lvl w:ilvl="8" w:tplc="B8C0557C" w:tentative="1">
      <w:start w:val="1"/>
      <w:numFmt w:val="bullet"/>
      <w:lvlText w:val=""/>
      <w:lvlJc w:val="left"/>
      <w:pPr>
        <w:ind w:left="6480" w:hanging="360"/>
      </w:pPr>
      <w:rPr>
        <w:rFonts w:ascii="Wingdings" w:hAnsi="Wingdings" w:hint="default"/>
      </w:rPr>
    </w:lvl>
  </w:abstractNum>
  <w:abstractNum w:abstractNumId="16" w15:restartNumberingAfterBreak="0">
    <w:nsid w:val="74EA0017"/>
    <w:multiLevelType w:val="hybridMultilevel"/>
    <w:tmpl w:val="364A26F8"/>
    <w:lvl w:ilvl="0" w:tplc="F0CAFF12">
      <w:start w:val="1"/>
      <w:numFmt w:val="bullet"/>
      <w:lvlText w:val=""/>
      <w:lvlJc w:val="left"/>
      <w:pPr>
        <w:ind w:left="720" w:hanging="360"/>
      </w:pPr>
      <w:rPr>
        <w:rFonts w:ascii="Symbol" w:hAnsi="Symbol" w:hint="default"/>
      </w:rPr>
    </w:lvl>
    <w:lvl w:ilvl="1" w:tplc="0512031A" w:tentative="1">
      <w:start w:val="1"/>
      <w:numFmt w:val="bullet"/>
      <w:lvlText w:val="o"/>
      <w:lvlJc w:val="left"/>
      <w:pPr>
        <w:ind w:left="1440" w:hanging="360"/>
      </w:pPr>
      <w:rPr>
        <w:rFonts w:ascii="Courier New" w:hAnsi="Courier New" w:cs="Courier New" w:hint="default"/>
      </w:rPr>
    </w:lvl>
    <w:lvl w:ilvl="2" w:tplc="711835B8" w:tentative="1">
      <w:start w:val="1"/>
      <w:numFmt w:val="bullet"/>
      <w:lvlText w:val=""/>
      <w:lvlJc w:val="left"/>
      <w:pPr>
        <w:ind w:left="2160" w:hanging="360"/>
      </w:pPr>
      <w:rPr>
        <w:rFonts w:ascii="Wingdings" w:hAnsi="Wingdings" w:hint="default"/>
      </w:rPr>
    </w:lvl>
    <w:lvl w:ilvl="3" w:tplc="2F4CCB02" w:tentative="1">
      <w:start w:val="1"/>
      <w:numFmt w:val="bullet"/>
      <w:lvlText w:val=""/>
      <w:lvlJc w:val="left"/>
      <w:pPr>
        <w:ind w:left="2880" w:hanging="360"/>
      </w:pPr>
      <w:rPr>
        <w:rFonts w:ascii="Symbol" w:hAnsi="Symbol" w:hint="default"/>
      </w:rPr>
    </w:lvl>
    <w:lvl w:ilvl="4" w:tplc="80F0E960" w:tentative="1">
      <w:start w:val="1"/>
      <w:numFmt w:val="bullet"/>
      <w:lvlText w:val="o"/>
      <w:lvlJc w:val="left"/>
      <w:pPr>
        <w:ind w:left="3600" w:hanging="360"/>
      </w:pPr>
      <w:rPr>
        <w:rFonts w:ascii="Courier New" w:hAnsi="Courier New" w:cs="Courier New" w:hint="default"/>
      </w:rPr>
    </w:lvl>
    <w:lvl w:ilvl="5" w:tplc="A164223A" w:tentative="1">
      <w:start w:val="1"/>
      <w:numFmt w:val="bullet"/>
      <w:lvlText w:val=""/>
      <w:lvlJc w:val="left"/>
      <w:pPr>
        <w:ind w:left="4320" w:hanging="360"/>
      </w:pPr>
      <w:rPr>
        <w:rFonts w:ascii="Wingdings" w:hAnsi="Wingdings" w:hint="default"/>
      </w:rPr>
    </w:lvl>
    <w:lvl w:ilvl="6" w:tplc="96B419F0" w:tentative="1">
      <w:start w:val="1"/>
      <w:numFmt w:val="bullet"/>
      <w:lvlText w:val=""/>
      <w:lvlJc w:val="left"/>
      <w:pPr>
        <w:ind w:left="5040" w:hanging="360"/>
      </w:pPr>
      <w:rPr>
        <w:rFonts w:ascii="Symbol" w:hAnsi="Symbol" w:hint="default"/>
      </w:rPr>
    </w:lvl>
    <w:lvl w:ilvl="7" w:tplc="4A146F54" w:tentative="1">
      <w:start w:val="1"/>
      <w:numFmt w:val="bullet"/>
      <w:lvlText w:val="o"/>
      <w:lvlJc w:val="left"/>
      <w:pPr>
        <w:ind w:left="5760" w:hanging="360"/>
      </w:pPr>
      <w:rPr>
        <w:rFonts w:ascii="Courier New" w:hAnsi="Courier New" w:cs="Courier New" w:hint="default"/>
      </w:rPr>
    </w:lvl>
    <w:lvl w:ilvl="8" w:tplc="54B03B9E" w:tentative="1">
      <w:start w:val="1"/>
      <w:numFmt w:val="bullet"/>
      <w:lvlText w:val=""/>
      <w:lvlJc w:val="left"/>
      <w:pPr>
        <w:ind w:left="6480" w:hanging="360"/>
      </w:pPr>
      <w:rPr>
        <w:rFonts w:ascii="Wingdings" w:hAnsi="Wingdings" w:hint="default"/>
      </w:rPr>
    </w:lvl>
  </w:abstractNum>
  <w:abstractNum w:abstractNumId="17" w15:restartNumberingAfterBreak="0">
    <w:nsid w:val="7B413C9A"/>
    <w:multiLevelType w:val="hybridMultilevel"/>
    <w:tmpl w:val="31EC79E0"/>
    <w:lvl w:ilvl="0" w:tplc="213C6120">
      <w:start w:val="1"/>
      <w:numFmt w:val="bullet"/>
      <w:lvlText w:val=""/>
      <w:lvlJc w:val="left"/>
      <w:pPr>
        <w:ind w:left="720" w:hanging="360"/>
      </w:pPr>
      <w:rPr>
        <w:rFonts w:ascii="Symbol" w:hAnsi="Symbol" w:hint="default"/>
      </w:rPr>
    </w:lvl>
    <w:lvl w:ilvl="1" w:tplc="8CE252D2" w:tentative="1">
      <w:start w:val="1"/>
      <w:numFmt w:val="bullet"/>
      <w:lvlText w:val="o"/>
      <w:lvlJc w:val="left"/>
      <w:pPr>
        <w:ind w:left="1440" w:hanging="360"/>
      </w:pPr>
      <w:rPr>
        <w:rFonts w:ascii="Courier New" w:hAnsi="Courier New" w:cs="Courier New" w:hint="default"/>
      </w:rPr>
    </w:lvl>
    <w:lvl w:ilvl="2" w:tplc="D18C73C0" w:tentative="1">
      <w:start w:val="1"/>
      <w:numFmt w:val="bullet"/>
      <w:lvlText w:val=""/>
      <w:lvlJc w:val="left"/>
      <w:pPr>
        <w:ind w:left="2160" w:hanging="360"/>
      </w:pPr>
      <w:rPr>
        <w:rFonts w:ascii="Wingdings" w:hAnsi="Wingdings" w:hint="default"/>
      </w:rPr>
    </w:lvl>
    <w:lvl w:ilvl="3" w:tplc="0F86CFB0" w:tentative="1">
      <w:start w:val="1"/>
      <w:numFmt w:val="bullet"/>
      <w:lvlText w:val=""/>
      <w:lvlJc w:val="left"/>
      <w:pPr>
        <w:ind w:left="2880" w:hanging="360"/>
      </w:pPr>
      <w:rPr>
        <w:rFonts w:ascii="Symbol" w:hAnsi="Symbol" w:hint="default"/>
      </w:rPr>
    </w:lvl>
    <w:lvl w:ilvl="4" w:tplc="35BE1198" w:tentative="1">
      <w:start w:val="1"/>
      <w:numFmt w:val="bullet"/>
      <w:lvlText w:val="o"/>
      <w:lvlJc w:val="left"/>
      <w:pPr>
        <w:ind w:left="3600" w:hanging="360"/>
      </w:pPr>
      <w:rPr>
        <w:rFonts w:ascii="Courier New" w:hAnsi="Courier New" w:cs="Courier New" w:hint="default"/>
      </w:rPr>
    </w:lvl>
    <w:lvl w:ilvl="5" w:tplc="3C6ECDF4" w:tentative="1">
      <w:start w:val="1"/>
      <w:numFmt w:val="bullet"/>
      <w:lvlText w:val=""/>
      <w:lvlJc w:val="left"/>
      <w:pPr>
        <w:ind w:left="4320" w:hanging="360"/>
      </w:pPr>
      <w:rPr>
        <w:rFonts w:ascii="Wingdings" w:hAnsi="Wingdings" w:hint="default"/>
      </w:rPr>
    </w:lvl>
    <w:lvl w:ilvl="6" w:tplc="B936FDA0" w:tentative="1">
      <w:start w:val="1"/>
      <w:numFmt w:val="bullet"/>
      <w:lvlText w:val=""/>
      <w:lvlJc w:val="left"/>
      <w:pPr>
        <w:ind w:left="5040" w:hanging="360"/>
      </w:pPr>
      <w:rPr>
        <w:rFonts w:ascii="Symbol" w:hAnsi="Symbol" w:hint="default"/>
      </w:rPr>
    </w:lvl>
    <w:lvl w:ilvl="7" w:tplc="884A1558" w:tentative="1">
      <w:start w:val="1"/>
      <w:numFmt w:val="bullet"/>
      <w:lvlText w:val="o"/>
      <w:lvlJc w:val="left"/>
      <w:pPr>
        <w:ind w:left="5760" w:hanging="360"/>
      </w:pPr>
      <w:rPr>
        <w:rFonts w:ascii="Courier New" w:hAnsi="Courier New" w:cs="Courier New" w:hint="default"/>
      </w:rPr>
    </w:lvl>
    <w:lvl w:ilvl="8" w:tplc="4614DE5E"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12"/>
  </w:num>
  <w:num w:numId="23">
    <w:abstractNumId w:val="4"/>
    <w:lvlOverride w:ilvl="0">
      <w:startOverride w:val="5"/>
    </w:lvlOverride>
    <w:lvlOverride w:ilvl="1">
      <w:startOverride w:val="1"/>
    </w:lvlOverride>
  </w:num>
  <w:num w:numId="24">
    <w:abstractNumId w:val="4"/>
    <w:lvlOverride w:ilvl="0">
      <w:startOverride w:val="5"/>
    </w:lvlOverride>
    <w:lvlOverride w:ilvl="1">
      <w:startOverride w:val="1"/>
    </w:lvlOverride>
  </w:num>
  <w:num w:numId="25">
    <w:abstractNumId w:val="4"/>
    <w:lvlOverride w:ilvl="0">
      <w:startOverride w:val="5"/>
    </w:lvlOverride>
    <w:lvlOverride w:ilvl="1">
      <w:startOverride w:val="1"/>
    </w:lvlOverride>
  </w:num>
  <w:num w:numId="26">
    <w:abstractNumId w:val="4"/>
    <w:lvlOverride w:ilvl="0">
      <w:startOverride w:val="5"/>
    </w:lvlOverride>
    <w:lvlOverride w:ilvl="1">
      <w:startOverride w:val="2"/>
    </w:lvlOverride>
  </w:num>
  <w:num w:numId="27">
    <w:abstractNumId w:val="3"/>
  </w:num>
  <w:num w:numId="28">
    <w:abstractNumId w:val="15"/>
  </w:num>
  <w:num w:numId="29">
    <w:abstractNumId w:val="16"/>
  </w:num>
  <w:num w:numId="30">
    <w:abstractNumId w:val="9"/>
  </w:num>
  <w:num w:numId="31">
    <w:abstractNumId w:val="6"/>
  </w:num>
  <w:num w:numId="32">
    <w:abstractNumId w:val="6"/>
  </w:num>
  <w:num w:numId="33">
    <w:abstractNumId w:val="11"/>
  </w:num>
  <w:num w:numId="34">
    <w:abstractNumId w:val="14"/>
  </w:num>
  <w:num w:numId="35">
    <w:abstractNumId w:val="13"/>
  </w:num>
  <w:num w:numId="36">
    <w:abstractNumId w:val="0"/>
  </w:num>
  <w:num w:numId="37">
    <w:abstractNumId w:val="1"/>
  </w:num>
  <w:num w:numId="38">
    <w:abstractNumId w:val="7"/>
  </w:num>
  <w:num w:numId="39">
    <w:abstractNumId w:val="17"/>
  </w:num>
  <w:num w:numId="40">
    <w:abstractNumId w:val="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F8E"/>
    <w:rsid w:val="002D7D26"/>
    <w:rsid w:val="007F1FE9"/>
    <w:rsid w:val="00925F8E"/>
    <w:rsid w:val="00FF3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41F6451E-35F7-4B44-8D31-A376022F8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554"/>
    <w:rPr>
      <w:rFonts w:ascii="Arial" w:hAnsi="Arial" w:cs="Arial"/>
      <w:sz w:val="24"/>
      <w:szCs w:val="24"/>
      <w:lang w:eastAsia="en-US"/>
    </w:rPr>
  </w:style>
  <w:style w:type="paragraph" w:styleId="Heading1">
    <w:name w:val="heading 1"/>
    <w:basedOn w:val="Normal"/>
    <w:next w:val="Normal"/>
    <w:link w:val="Heading1Char"/>
    <w:qFormat/>
    <w:rsid w:val="001C3A41"/>
    <w:pPr>
      <w:keepNext/>
      <w:numPr>
        <w:numId w:val="3"/>
      </w:numPr>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1C3A41"/>
    <w:pPr>
      <w:keepNext/>
      <w:numPr>
        <w:ilvl w:val="1"/>
        <w:numId w:val="3"/>
      </w:numPr>
      <w:spacing w:before="240" w:after="60"/>
      <w:ind w:left="576"/>
      <w:outlineLvl w:val="1"/>
    </w:pPr>
    <w:rPr>
      <w:rFonts w:ascii="Cambria" w:hAnsi="Cambria" w:cs="Times New Roman"/>
      <w:b/>
      <w:bCs/>
      <w:i/>
      <w:iCs/>
      <w:sz w:val="28"/>
      <w:szCs w:val="28"/>
    </w:rPr>
  </w:style>
  <w:style w:type="paragraph" w:styleId="Heading3">
    <w:name w:val="heading 3"/>
    <w:basedOn w:val="Normal"/>
    <w:next w:val="Normal"/>
    <w:link w:val="Heading3Char"/>
    <w:uiPriority w:val="9"/>
    <w:unhideWhenUsed/>
    <w:qFormat/>
    <w:rsid w:val="001C3A41"/>
    <w:pPr>
      <w:keepNext/>
      <w:numPr>
        <w:ilvl w:val="2"/>
        <w:numId w:val="3"/>
      </w:numPr>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
    <w:semiHidden/>
    <w:unhideWhenUsed/>
    <w:qFormat/>
    <w:rsid w:val="001C3A41"/>
    <w:pPr>
      <w:keepNext/>
      <w:numPr>
        <w:ilvl w:val="3"/>
        <w:numId w:val="3"/>
      </w:numPr>
      <w:spacing w:before="240" w:after="60"/>
      <w:outlineLvl w:val="3"/>
    </w:pPr>
    <w:rPr>
      <w:rFonts w:ascii="Calibri" w:hAnsi="Calibri" w:cs="Times New Roman"/>
      <w:b/>
      <w:bCs/>
      <w:sz w:val="28"/>
      <w:szCs w:val="28"/>
    </w:rPr>
  </w:style>
  <w:style w:type="paragraph" w:styleId="Heading5">
    <w:name w:val="heading 5"/>
    <w:basedOn w:val="Normal"/>
    <w:next w:val="Normal"/>
    <w:link w:val="Heading5Char"/>
    <w:uiPriority w:val="9"/>
    <w:semiHidden/>
    <w:unhideWhenUsed/>
    <w:qFormat/>
    <w:rsid w:val="001C3A41"/>
    <w:pPr>
      <w:numPr>
        <w:ilvl w:val="4"/>
        <w:numId w:val="3"/>
      </w:num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uiPriority w:val="9"/>
    <w:semiHidden/>
    <w:unhideWhenUsed/>
    <w:qFormat/>
    <w:rsid w:val="001C3A41"/>
    <w:pPr>
      <w:numPr>
        <w:ilvl w:val="5"/>
        <w:numId w:val="3"/>
      </w:numPr>
      <w:spacing w:before="240" w:after="60"/>
      <w:outlineLvl w:val="5"/>
    </w:pPr>
    <w:rPr>
      <w:rFonts w:ascii="Calibri" w:hAnsi="Calibri" w:cs="Times New Roman"/>
      <w:b/>
      <w:bCs/>
      <w:sz w:val="22"/>
      <w:szCs w:val="22"/>
    </w:rPr>
  </w:style>
  <w:style w:type="paragraph" w:styleId="Heading7">
    <w:name w:val="heading 7"/>
    <w:basedOn w:val="Normal"/>
    <w:next w:val="Normal"/>
    <w:link w:val="Heading7Char"/>
    <w:uiPriority w:val="9"/>
    <w:semiHidden/>
    <w:unhideWhenUsed/>
    <w:qFormat/>
    <w:rsid w:val="001C3A41"/>
    <w:pPr>
      <w:numPr>
        <w:ilvl w:val="6"/>
        <w:numId w:val="3"/>
      </w:numPr>
      <w:spacing w:before="240" w:after="60"/>
      <w:outlineLvl w:val="6"/>
    </w:pPr>
    <w:rPr>
      <w:rFonts w:ascii="Calibri" w:hAnsi="Calibri" w:cs="Times New Roman"/>
    </w:rPr>
  </w:style>
  <w:style w:type="paragraph" w:styleId="Heading8">
    <w:name w:val="heading 8"/>
    <w:basedOn w:val="Normal"/>
    <w:next w:val="Normal"/>
    <w:link w:val="Heading8Char"/>
    <w:uiPriority w:val="9"/>
    <w:semiHidden/>
    <w:unhideWhenUsed/>
    <w:qFormat/>
    <w:rsid w:val="001C3A41"/>
    <w:pPr>
      <w:numPr>
        <w:ilvl w:val="7"/>
        <w:numId w:val="3"/>
      </w:numPr>
      <w:spacing w:before="240" w:after="60"/>
      <w:outlineLvl w:val="7"/>
    </w:pPr>
    <w:rPr>
      <w:rFonts w:ascii="Calibri" w:hAnsi="Calibri" w:cs="Times New Roman"/>
      <w:i/>
      <w:iCs/>
    </w:rPr>
  </w:style>
  <w:style w:type="paragraph" w:styleId="Heading9">
    <w:name w:val="heading 9"/>
    <w:basedOn w:val="Normal"/>
    <w:next w:val="Normal"/>
    <w:link w:val="Heading9Char"/>
    <w:uiPriority w:val="9"/>
    <w:semiHidden/>
    <w:unhideWhenUsed/>
    <w:qFormat/>
    <w:rsid w:val="001C3A41"/>
    <w:pPr>
      <w:numPr>
        <w:ilvl w:val="8"/>
        <w:numId w:val="3"/>
      </w:num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51554"/>
    <w:rPr>
      <w:color w:val="0000FF"/>
      <w:u w:val="single"/>
    </w:rPr>
  </w:style>
  <w:style w:type="table" w:styleId="TableGrid">
    <w:name w:val="Table Grid"/>
    <w:basedOn w:val="TableNormal"/>
    <w:uiPriority w:val="59"/>
    <w:rsid w:val="00D5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1554"/>
    <w:pPr>
      <w:overflowPunct w:val="0"/>
      <w:autoSpaceDE w:val="0"/>
      <w:autoSpaceDN w:val="0"/>
      <w:adjustRightInd w:val="0"/>
      <w:ind w:left="720"/>
      <w:contextualSpacing/>
      <w:textAlignment w:val="baseline"/>
    </w:pPr>
    <w:rPr>
      <w:rFonts w:cs="Times New Roman"/>
      <w:szCs w:val="20"/>
    </w:rPr>
  </w:style>
  <w:style w:type="character" w:styleId="LineNumber">
    <w:name w:val="line number"/>
    <w:basedOn w:val="DefaultParagraphFont"/>
    <w:rsid w:val="00060BD2"/>
  </w:style>
  <w:style w:type="character" w:customStyle="1" w:styleId="Heading1Char">
    <w:name w:val="Heading 1 Char"/>
    <w:basedOn w:val="DefaultParagraphFont"/>
    <w:link w:val="Heading1"/>
    <w:rsid w:val="001C3A41"/>
    <w:rPr>
      <w:rFonts w:ascii="Cambria" w:hAnsi="Cambria"/>
      <w:b/>
      <w:bCs/>
      <w:kern w:val="32"/>
      <w:sz w:val="32"/>
      <w:szCs w:val="32"/>
      <w:lang w:eastAsia="en-US"/>
    </w:rPr>
  </w:style>
  <w:style w:type="character" w:customStyle="1" w:styleId="Heading2Char">
    <w:name w:val="Heading 2 Char"/>
    <w:basedOn w:val="DefaultParagraphFont"/>
    <w:link w:val="Heading2"/>
    <w:uiPriority w:val="9"/>
    <w:rsid w:val="001C3A41"/>
    <w:rPr>
      <w:rFonts w:ascii="Cambria" w:hAnsi="Cambria"/>
      <w:b/>
      <w:bCs/>
      <w:i/>
      <w:iCs/>
      <w:sz w:val="28"/>
      <w:szCs w:val="28"/>
      <w:lang w:eastAsia="en-US"/>
    </w:rPr>
  </w:style>
  <w:style w:type="character" w:customStyle="1" w:styleId="Heading3Char">
    <w:name w:val="Heading 3 Char"/>
    <w:basedOn w:val="DefaultParagraphFont"/>
    <w:link w:val="Heading3"/>
    <w:uiPriority w:val="9"/>
    <w:rsid w:val="001C3A41"/>
    <w:rPr>
      <w:rFonts w:ascii="Cambria" w:hAnsi="Cambria"/>
      <w:b/>
      <w:bCs/>
      <w:sz w:val="26"/>
      <w:szCs w:val="26"/>
      <w:lang w:eastAsia="en-US"/>
    </w:rPr>
  </w:style>
  <w:style w:type="character" w:customStyle="1" w:styleId="Heading4Char">
    <w:name w:val="Heading 4 Char"/>
    <w:basedOn w:val="DefaultParagraphFont"/>
    <w:link w:val="Heading4"/>
    <w:uiPriority w:val="9"/>
    <w:semiHidden/>
    <w:rsid w:val="001C3A41"/>
    <w:rPr>
      <w:rFonts w:ascii="Calibri" w:hAnsi="Calibri"/>
      <w:b/>
      <w:bCs/>
      <w:sz w:val="28"/>
      <w:szCs w:val="28"/>
      <w:lang w:eastAsia="en-US"/>
    </w:rPr>
  </w:style>
  <w:style w:type="character" w:customStyle="1" w:styleId="Heading5Char">
    <w:name w:val="Heading 5 Char"/>
    <w:basedOn w:val="DefaultParagraphFont"/>
    <w:link w:val="Heading5"/>
    <w:uiPriority w:val="9"/>
    <w:semiHidden/>
    <w:rsid w:val="001C3A41"/>
    <w:rPr>
      <w:rFonts w:ascii="Calibri" w:hAnsi="Calibri"/>
      <w:b/>
      <w:bCs/>
      <w:i/>
      <w:iCs/>
      <w:sz w:val="26"/>
      <w:szCs w:val="26"/>
      <w:lang w:eastAsia="en-US"/>
    </w:rPr>
  </w:style>
  <w:style w:type="character" w:customStyle="1" w:styleId="Heading6Char">
    <w:name w:val="Heading 6 Char"/>
    <w:basedOn w:val="DefaultParagraphFont"/>
    <w:link w:val="Heading6"/>
    <w:uiPriority w:val="9"/>
    <w:semiHidden/>
    <w:rsid w:val="001C3A41"/>
    <w:rPr>
      <w:rFonts w:ascii="Calibri" w:hAnsi="Calibri"/>
      <w:b/>
      <w:bCs/>
      <w:sz w:val="22"/>
      <w:szCs w:val="22"/>
      <w:lang w:eastAsia="en-US"/>
    </w:rPr>
  </w:style>
  <w:style w:type="character" w:customStyle="1" w:styleId="Heading7Char">
    <w:name w:val="Heading 7 Char"/>
    <w:basedOn w:val="DefaultParagraphFont"/>
    <w:link w:val="Heading7"/>
    <w:uiPriority w:val="9"/>
    <w:semiHidden/>
    <w:rsid w:val="001C3A41"/>
    <w:rPr>
      <w:rFonts w:ascii="Calibri" w:hAnsi="Calibri"/>
      <w:sz w:val="24"/>
      <w:szCs w:val="24"/>
      <w:lang w:eastAsia="en-US"/>
    </w:rPr>
  </w:style>
  <w:style w:type="character" w:customStyle="1" w:styleId="Heading8Char">
    <w:name w:val="Heading 8 Char"/>
    <w:basedOn w:val="DefaultParagraphFont"/>
    <w:link w:val="Heading8"/>
    <w:uiPriority w:val="9"/>
    <w:semiHidden/>
    <w:rsid w:val="001C3A41"/>
    <w:rPr>
      <w:rFonts w:ascii="Calibri" w:hAnsi="Calibri"/>
      <w:i/>
      <w:iCs/>
      <w:sz w:val="24"/>
      <w:szCs w:val="24"/>
      <w:lang w:eastAsia="en-US"/>
    </w:rPr>
  </w:style>
  <w:style w:type="character" w:customStyle="1" w:styleId="Heading9Char">
    <w:name w:val="Heading 9 Char"/>
    <w:basedOn w:val="DefaultParagraphFont"/>
    <w:link w:val="Heading9"/>
    <w:uiPriority w:val="9"/>
    <w:semiHidden/>
    <w:rsid w:val="001C3A41"/>
    <w:rPr>
      <w:rFonts w:ascii="Cambria" w:hAnsi="Cambria"/>
      <w:sz w:val="22"/>
      <w:szCs w:val="22"/>
      <w:lang w:eastAsia="en-US"/>
    </w:rPr>
  </w:style>
  <w:style w:type="character" w:styleId="CommentReference">
    <w:name w:val="annotation reference"/>
    <w:basedOn w:val="DefaultParagraphFont"/>
    <w:uiPriority w:val="99"/>
    <w:unhideWhenUsed/>
    <w:rsid w:val="004B6000"/>
    <w:rPr>
      <w:sz w:val="16"/>
      <w:szCs w:val="16"/>
    </w:rPr>
  </w:style>
  <w:style w:type="paragraph" w:styleId="CommentText">
    <w:name w:val="annotation text"/>
    <w:basedOn w:val="Normal"/>
    <w:link w:val="CommentTextChar"/>
    <w:uiPriority w:val="99"/>
    <w:unhideWhenUsed/>
    <w:rsid w:val="004B6000"/>
    <w:rPr>
      <w:sz w:val="20"/>
      <w:szCs w:val="20"/>
    </w:rPr>
  </w:style>
  <w:style w:type="character" w:customStyle="1" w:styleId="CommentTextChar">
    <w:name w:val="Comment Text Char"/>
    <w:basedOn w:val="DefaultParagraphFont"/>
    <w:link w:val="CommentText"/>
    <w:uiPriority w:val="99"/>
    <w:rsid w:val="004B6000"/>
    <w:rPr>
      <w:rFonts w:ascii="Arial" w:hAnsi="Arial" w:cs="Arial"/>
      <w:lang w:eastAsia="en-US"/>
    </w:rPr>
  </w:style>
  <w:style w:type="paragraph" w:styleId="BalloonText">
    <w:name w:val="Balloon Text"/>
    <w:basedOn w:val="Normal"/>
    <w:link w:val="BalloonTextChar"/>
    <w:rsid w:val="004B6000"/>
    <w:rPr>
      <w:rFonts w:ascii="Tahoma" w:hAnsi="Tahoma" w:cs="Tahoma"/>
      <w:sz w:val="16"/>
      <w:szCs w:val="16"/>
    </w:rPr>
  </w:style>
  <w:style w:type="character" w:customStyle="1" w:styleId="BalloonTextChar">
    <w:name w:val="Balloon Text Char"/>
    <w:basedOn w:val="DefaultParagraphFont"/>
    <w:link w:val="BalloonText"/>
    <w:rsid w:val="004B6000"/>
    <w:rPr>
      <w:rFonts w:ascii="Tahoma" w:hAnsi="Tahoma" w:cs="Tahoma"/>
      <w:sz w:val="16"/>
      <w:szCs w:val="16"/>
      <w:lang w:eastAsia="en-US"/>
    </w:rPr>
  </w:style>
  <w:style w:type="paragraph" w:styleId="Header">
    <w:name w:val="header"/>
    <w:basedOn w:val="Normal"/>
    <w:link w:val="HeaderChar"/>
    <w:rsid w:val="00E36FA0"/>
    <w:pPr>
      <w:tabs>
        <w:tab w:val="center" w:pos="4513"/>
        <w:tab w:val="right" w:pos="9026"/>
      </w:tabs>
    </w:pPr>
  </w:style>
  <w:style w:type="character" w:customStyle="1" w:styleId="HeaderChar">
    <w:name w:val="Header Char"/>
    <w:basedOn w:val="DefaultParagraphFont"/>
    <w:link w:val="Header"/>
    <w:rsid w:val="00E36FA0"/>
    <w:rPr>
      <w:rFonts w:ascii="Arial" w:hAnsi="Arial" w:cs="Arial"/>
      <w:sz w:val="24"/>
      <w:szCs w:val="24"/>
      <w:lang w:eastAsia="en-US"/>
    </w:rPr>
  </w:style>
  <w:style w:type="paragraph" w:styleId="Footer">
    <w:name w:val="footer"/>
    <w:basedOn w:val="Normal"/>
    <w:link w:val="FooterChar"/>
    <w:rsid w:val="00E36FA0"/>
    <w:pPr>
      <w:tabs>
        <w:tab w:val="center" w:pos="4513"/>
        <w:tab w:val="right" w:pos="9026"/>
      </w:tabs>
    </w:pPr>
  </w:style>
  <w:style w:type="character" w:customStyle="1" w:styleId="FooterChar">
    <w:name w:val="Footer Char"/>
    <w:basedOn w:val="DefaultParagraphFont"/>
    <w:link w:val="Footer"/>
    <w:rsid w:val="00E36FA0"/>
    <w:rPr>
      <w:rFonts w:ascii="Arial" w:hAnsi="Arial" w:cs="Arial"/>
      <w:sz w:val="24"/>
      <w:szCs w:val="24"/>
      <w:lang w:eastAsia="en-US"/>
    </w:rPr>
  </w:style>
  <w:style w:type="character" w:styleId="Strong">
    <w:name w:val="Strong"/>
    <w:basedOn w:val="DefaultParagraphFont"/>
    <w:uiPriority w:val="22"/>
    <w:qFormat/>
    <w:rsid w:val="005D48DE"/>
    <w:rPr>
      <w:b/>
      <w:bCs/>
    </w:rPr>
  </w:style>
  <w:style w:type="paragraph" w:styleId="FootnoteText">
    <w:name w:val="footnote text"/>
    <w:basedOn w:val="Normal"/>
    <w:link w:val="FootnoteTextChar"/>
    <w:uiPriority w:val="99"/>
    <w:unhideWhenUsed/>
    <w:rsid w:val="007D62DE"/>
    <w:rPr>
      <w:sz w:val="20"/>
      <w:szCs w:val="20"/>
    </w:rPr>
  </w:style>
  <w:style w:type="character" w:customStyle="1" w:styleId="FootnoteTextChar">
    <w:name w:val="Footnote Text Char"/>
    <w:basedOn w:val="DefaultParagraphFont"/>
    <w:link w:val="FootnoteText"/>
    <w:uiPriority w:val="99"/>
    <w:rsid w:val="007D62DE"/>
    <w:rPr>
      <w:rFonts w:ascii="Arial" w:hAnsi="Arial" w:cs="Arial"/>
      <w:lang w:eastAsia="en-US"/>
    </w:rPr>
  </w:style>
  <w:style w:type="character" w:styleId="FootnoteReference">
    <w:name w:val="footnote reference"/>
    <w:basedOn w:val="DefaultParagraphFont"/>
    <w:uiPriority w:val="99"/>
    <w:unhideWhenUsed/>
    <w:rsid w:val="007D62DE"/>
    <w:rPr>
      <w:vertAlign w:val="superscript"/>
    </w:rPr>
  </w:style>
  <w:style w:type="paragraph" w:styleId="CommentSubject">
    <w:name w:val="annotation subject"/>
    <w:basedOn w:val="CommentText"/>
    <w:next w:val="CommentText"/>
    <w:link w:val="CommentSubjectChar"/>
    <w:rsid w:val="00672554"/>
    <w:rPr>
      <w:b/>
      <w:bCs/>
    </w:rPr>
  </w:style>
  <w:style w:type="character" w:customStyle="1" w:styleId="CommentSubjectChar">
    <w:name w:val="Comment Subject Char"/>
    <w:basedOn w:val="CommentTextChar"/>
    <w:link w:val="CommentSubject"/>
    <w:rsid w:val="00672554"/>
    <w:rPr>
      <w:rFonts w:ascii="Arial" w:hAnsi="Arial" w:cs="Arial"/>
      <w:b/>
      <w:bCs/>
      <w:lang w:eastAsia="en-US"/>
    </w:rPr>
  </w:style>
  <w:style w:type="paragraph" w:styleId="NormalWeb">
    <w:name w:val="Normal (Web)"/>
    <w:basedOn w:val="Normal"/>
    <w:uiPriority w:val="99"/>
    <w:unhideWhenUsed/>
    <w:rsid w:val="00734877"/>
    <w:pPr>
      <w:spacing w:after="135"/>
    </w:pPr>
    <w:rPr>
      <w:lang w:eastAsia="en-GB"/>
    </w:rPr>
  </w:style>
  <w:style w:type="paragraph" w:styleId="Subtitle">
    <w:name w:val="Subtitle"/>
    <w:basedOn w:val="Normal"/>
    <w:link w:val="SubtitleChar"/>
    <w:qFormat/>
    <w:rsid w:val="00B8644F"/>
    <w:pPr>
      <w:jc w:val="center"/>
    </w:pPr>
    <w:rPr>
      <w:rFonts w:cs="Times New Roman"/>
      <w:b/>
      <w:sz w:val="22"/>
      <w:szCs w:val="20"/>
      <w:u w:val="single"/>
    </w:rPr>
  </w:style>
  <w:style w:type="character" w:customStyle="1" w:styleId="SubtitleChar">
    <w:name w:val="Subtitle Char"/>
    <w:basedOn w:val="DefaultParagraphFont"/>
    <w:link w:val="Subtitle"/>
    <w:rsid w:val="00B8644F"/>
    <w:rPr>
      <w:rFonts w:ascii="Arial" w:hAnsi="Arial"/>
      <w:b/>
      <w:sz w:val="22"/>
      <w:u w:val="single"/>
    </w:rPr>
  </w:style>
  <w:style w:type="paragraph" w:customStyle="1" w:styleId="Default">
    <w:name w:val="Default"/>
    <w:rsid w:val="000171F1"/>
    <w:pPr>
      <w:autoSpaceDE w:val="0"/>
      <w:autoSpaceDN w:val="0"/>
      <w:adjustRightInd w:val="0"/>
    </w:pPr>
    <w:rPr>
      <w:rFonts w:ascii="Calibri" w:hAnsi="Calibri" w:cs="Calibri"/>
      <w:color w:val="000000"/>
      <w:sz w:val="24"/>
      <w:szCs w:val="24"/>
    </w:rPr>
  </w:style>
  <w:style w:type="paragraph" w:styleId="NoSpacing">
    <w:name w:val="No Spacing"/>
    <w:uiPriority w:val="1"/>
    <w:qFormat/>
    <w:rsid w:val="002E1B48"/>
    <w:rPr>
      <w:rFonts w:asciiTheme="minorHAnsi" w:eastAsiaTheme="minorHAnsi" w:hAnsiTheme="minorHAnsi" w:cstheme="minorBidi"/>
      <w:sz w:val="22"/>
      <w:szCs w:val="22"/>
      <w:lang w:eastAsia="en-US"/>
    </w:rPr>
  </w:style>
  <w:style w:type="character" w:customStyle="1" w:styleId="ilfuvd">
    <w:name w:val="ilfuvd"/>
    <w:basedOn w:val="DefaultParagraphFont"/>
    <w:rsid w:val="00433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udson@ashfield.gov.uk"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D806FE-BB83-487C-B9A1-BBB9782E8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1383</Words>
  <Characters>7676</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AGENDA ITEM:</vt:lpstr>
    </vt:vector>
  </TitlesOfParts>
  <Company>ADC</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ITEM:</dc:title>
  <dc:creator>ad41002</dc:creator>
  <cp:lastModifiedBy>L.Cain</cp:lastModifiedBy>
  <cp:revision>2</cp:revision>
  <cp:lastPrinted>2017-09-27T12:23:00Z</cp:lastPrinted>
  <dcterms:created xsi:type="dcterms:W3CDTF">2019-12-02T14:08:00Z</dcterms:created>
  <dcterms:modified xsi:type="dcterms:W3CDTF">2019-12-02T14:08:00Z</dcterms:modified>
</cp:coreProperties>
</file>