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143CA" w14:textId="1211F367" w:rsidR="00BD3B85" w:rsidRPr="004137F0" w:rsidRDefault="0091753E">
      <w:pPr>
        <w:rPr>
          <w:rFonts w:ascii="Arial" w:hAnsi="Arial" w:cs="Arial"/>
          <w:b/>
          <w:u w:val="single"/>
        </w:rPr>
      </w:pPr>
      <w:r w:rsidRPr="004137F0">
        <w:rPr>
          <w:rFonts w:ascii="Arial" w:hAnsi="Arial" w:cs="Arial"/>
          <w:b/>
          <w:u w:val="single"/>
        </w:rPr>
        <w:t xml:space="preserve">Strategic tenancy strategy </w:t>
      </w:r>
      <w:r w:rsidR="0068553F">
        <w:rPr>
          <w:rFonts w:ascii="Arial" w:hAnsi="Arial" w:cs="Arial"/>
          <w:b/>
          <w:u w:val="single"/>
        </w:rPr>
        <w:t xml:space="preserve">2018 </w:t>
      </w:r>
      <w:bookmarkStart w:id="0" w:name="_GoBack"/>
      <w:bookmarkEnd w:id="0"/>
      <w:r w:rsidRPr="004137F0">
        <w:rPr>
          <w:rFonts w:ascii="Arial" w:hAnsi="Arial" w:cs="Arial"/>
          <w:b/>
          <w:u w:val="single"/>
        </w:rPr>
        <w:t>draft</w:t>
      </w:r>
    </w:p>
    <w:p w14:paraId="5B9280B6" w14:textId="77777777" w:rsidR="0091753E" w:rsidRPr="004137F0" w:rsidRDefault="0091753E">
      <w:pPr>
        <w:rPr>
          <w:rFonts w:ascii="Arial" w:hAnsi="Arial" w:cs="Arial"/>
          <w:b/>
        </w:rPr>
      </w:pPr>
    </w:p>
    <w:p w14:paraId="1E60A847" w14:textId="77777777" w:rsidR="0091753E" w:rsidRDefault="0091753E">
      <w:pPr>
        <w:rPr>
          <w:rFonts w:ascii="Arial" w:hAnsi="Arial" w:cs="Arial"/>
          <w:b/>
        </w:rPr>
      </w:pPr>
      <w:r w:rsidRPr="004137F0">
        <w:rPr>
          <w:rFonts w:ascii="Arial" w:hAnsi="Arial" w:cs="Arial"/>
          <w:b/>
        </w:rPr>
        <w:t>Introduction</w:t>
      </w:r>
    </w:p>
    <w:p w14:paraId="7D245D51" w14:textId="77777777" w:rsidR="00991F66" w:rsidRDefault="00991F66" w:rsidP="00991F66">
      <w:pPr>
        <w:rPr>
          <w:rFonts w:ascii="Arial" w:hAnsi="Arial" w:cs="Arial"/>
          <w:color w:val="000000"/>
        </w:rPr>
      </w:pPr>
      <w:r w:rsidRPr="00C62150">
        <w:rPr>
          <w:rFonts w:ascii="Arial" w:hAnsi="Arial" w:cs="Arial"/>
          <w:color w:val="000000"/>
        </w:rPr>
        <w:t xml:space="preserve">The Localism Act 2011 places </w:t>
      </w:r>
      <w:r>
        <w:rPr>
          <w:rFonts w:ascii="Arial" w:hAnsi="Arial" w:cs="Arial"/>
          <w:color w:val="000000"/>
        </w:rPr>
        <w:t>a duty on local housing authorities to prepare and publish a Tenancy Strategy. These strategies set out the matters to which registered social providers are to have regard in formulating their policies on tenancies in terms of:</w:t>
      </w:r>
    </w:p>
    <w:p w14:paraId="771CEF19" w14:textId="77777777" w:rsidR="00991F66" w:rsidRDefault="00991F66" w:rsidP="00991F66">
      <w:pPr>
        <w:pStyle w:val="ListParagraph"/>
        <w:numPr>
          <w:ilvl w:val="0"/>
          <w:numId w:val="1"/>
        </w:numPr>
        <w:rPr>
          <w:rFonts w:ascii="Arial" w:hAnsi="Arial" w:cs="Arial"/>
        </w:rPr>
      </w:pPr>
      <w:r>
        <w:rPr>
          <w:rFonts w:ascii="Arial" w:hAnsi="Arial" w:cs="Arial"/>
        </w:rPr>
        <w:t>The kinds of tenancies they grant</w:t>
      </w:r>
    </w:p>
    <w:p w14:paraId="2C0D89E5" w14:textId="77777777" w:rsidR="00991F66" w:rsidRDefault="00991F66" w:rsidP="00991F66">
      <w:pPr>
        <w:pStyle w:val="ListParagraph"/>
        <w:numPr>
          <w:ilvl w:val="0"/>
          <w:numId w:val="1"/>
        </w:numPr>
        <w:rPr>
          <w:rFonts w:ascii="Arial" w:hAnsi="Arial" w:cs="Arial"/>
        </w:rPr>
      </w:pPr>
      <w:r>
        <w:rPr>
          <w:rFonts w:ascii="Arial" w:hAnsi="Arial" w:cs="Arial"/>
        </w:rPr>
        <w:t>The circumstances in which they will grant a tenancy of a particular kind</w:t>
      </w:r>
    </w:p>
    <w:p w14:paraId="1E6FDAC1" w14:textId="77777777" w:rsidR="00991F66" w:rsidRDefault="00991F66" w:rsidP="00991F66">
      <w:pPr>
        <w:pStyle w:val="ListParagraph"/>
        <w:numPr>
          <w:ilvl w:val="0"/>
          <w:numId w:val="1"/>
        </w:numPr>
        <w:rPr>
          <w:rFonts w:ascii="Arial" w:hAnsi="Arial" w:cs="Arial"/>
        </w:rPr>
      </w:pPr>
      <w:r>
        <w:rPr>
          <w:rFonts w:ascii="Arial" w:hAnsi="Arial" w:cs="Arial"/>
        </w:rPr>
        <w:t>Where they grant tenancies for a certain term, the length of the terms, and</w:t>
      </w:r>
    </w:p>
    <w:p w14:paraId="4427D94F" w14:textId="77777777" w:rsidR="00991F66" w:rsidRPr="00C40D9F" w:rsidRDefault="00991F66" w:rsidP="00991F66">
      <w:pPr>
        <w:pStyle w:val="ListParagraph"/>
        <w:numPr>
          <w:ilvl w:val="0"/>
          <w:numId w:val="1"/>
        </w:numPr>
        <w:rPr>
          <w:rFonts w:ascii="Arial" w:hAnsi="Arial" w:cs="Arial"/>
        </w:rPr>
      </w:pPr>
      <w:r>
        <w:rPr>
          <w:rFonts w:ascii="Arial" w:hAnsi="Arial" w:cs="Arial"/>
        </w:rPr>
        <w:t>The circumstances in which they will grant a further tenancy on the coming to an end of an existing tenancy</w:t>
      </w:r>
    </w:p>
    <w:p w14:paraId="47C87235" w14:textId="77777777" w:rsidR="00991F66" w:rsidRDefault="00991F66" w:rsidP="00991F66">
      <w:pPr>
        <w:rPr>
          <w:rFonts w:ascii="Arial" w:hAnsi="Arial" w:cs="Arial"/>
        </w:rPr>
      </w:pPr>
      <w:r>
        <w:rPr>
          <w:rFonts w:ascii="Arial" w:hAnsi="Arial" w:cs="Arial"/>
        </w:rPr>
        <w:t>The Localism Act introduced a radical reform of social housing tenure; social landlords are no longer required to let general needs homes on ‘the most secure form of tenure’ possible. They can now offer tenancies for shorter terms.</w:t>
      </w:r>
    </w:p>
    <w:p w14:paraId="6FD2322B" w14:textId="7B19881C" w:rsidR="00991F66" w:rsidRDefault="00991F66" w:rsidP="00991F66">
      <w:pPr>
        <w:rPr>
          <w:rFonts w:ascii="Arial" w:hAnsi="Arial" w:cs="Arial"/>
        </w:rPr>
      </w:pPr>
      <w:r>
        <w:rPr>
          <w:rFonts w:ascii="Arial" w:hAnsi="Arial" w:cs="Arial"/>
        </w:rPr>
        <w:t>From 1</w:t>
      </w:r>
      <w:r w:rsidRPr="001B65B1">
        <w:rPr>
          <w:rFonts w:ascii="Arial" w:hAnsi="Arial" w:cs="Arial"/>
          <w:vertAlign w:val="superscript"/>
        </w:rPr>
        <w:t>st</w:t>
      </w:r>
      <w:r>
        <w:rPr>
          <w:rFonts w:ascii="Arial" w:hAnsi="Arial" w:cs="Arial"/>
        </w:rPr>
        <w:t xml:space="preserve"> April 2012, the Localism Act introduced a new form of local authority Secure Tenancy: the Flexible Tenancy, which is a fixed term tenancy. </w:t>
      </w:r>
      <w:r w:rsidR="000B5860">
        <w:rPr>
          <w:rFonts w:ascii="Arial" w:hAnsi="Arial" w:cs="Arial"/>
        </w:rPr>
        <w:t xml:space="preserve">For housing associations, </w:t>
      </w:r>
      <w:r>
        <w:rPr>
          <w:rFonts w:ascii="Arial" w:hAnsi="Arial" w:cs="Arial"/>
        </w:rPr>
        <w:t xml:space="preserve">the Tenancy Standard now allows them to grant </w:t>
      </w:r>
      <w:r w:rsidR="000B5860">
        <w:rPr>
          <w:rFonts w:ascii="Arial" w:hAnsi="Arial" w:cs="Arial"/>
        </w:rPr>
        <w:t>Assured Shorthold Tenancies</w:t>
      </w:r>
      <w:r>
        <w:rPr>
          <w:rFonts w:ascii="Arial" w:hAnsi="Arial" w:cs="Arial"/>
        </w:rPr>
        <w:t xml:space="preserve"> for general n</w:t>
      </w:r>
      <w:r w:rsidR="000B5860">
        <w:rPr>
          <w:rFonts w:ascii="Arial" w:hAnsi="Arial" w:cs="Arial"/>
        </w:rPr>
        <w:t>eeds housing let at social rent.</w:t>
      </w:r>
    </w:p>
    <w:p w14:paraId="6DDB906F" w14:textId="77777777" w:rsidR="00991F66" w:rsidRDefault="00991F66" w:rsidP="00991F66">
      <w:pPr>
        <w:rPr>
          <w:rFonts w:ascii="Arial" w:hAnsi="Arial" w:cs="Arial"/>
        </w:rPr>
      </w:pPr>
      <w:r>
        <w:rPr>
          <w:rFonts w:ascii="Arial" w:hAnsi="Arial" w:cs="Arial"/>
        </w:rPr>
        <w:t>The statutory minimum fixed term for both types of tenancy is two years</w:t>
      </w:r>
      <w:r w:rsidR="000B5860">
        <w:rPr>
          <w:rFonts w:ascii="Arial" w:hAnsi="Arial" w:cs="Arial"/>
        </w:rPr>
        <w:t xml:space="preserve">, though this should only be in exceptional circumstances. </w:t>
      </w:r>
      <w:r w:rsidR="00B33395">
        <w:rPr>
          <w:rFonts w:ascii="Arial" w:hAnsi="Arial" w:cs="Arial"/>
        </w:rPr>
        <w:t>Government guidance states the</w:t>
      </w:r>
      <w:r>
        <w:rPr>
          <w:rFonts w:ascii="Arial" w:hAnsi="Arial" w:cs="Arial"/>
        </w:rPr>
        <w:t xml:space="preserve"> minimum term should be five years</w:t>
      </w:r>
      <w:r w:rsidR="000B5860">
        <w:rPr>
          <w:rFonts w:ascii="Arial" w:hAnsi="Arial" w:cs="Arial"/>
        </w:rPr>
        <w:t>.</w:t>
      </w:r>
    </w:p>
    <w:p w14:paraId="1B40D30F" w14:textId="77777777" w:rsidR="00991F66" w:rsidRDefault="00991F66" w:rsidP="00991F66">
      <w:pPr>
        <w:rPr>
          <w:rFonts w:ascii="Arial" w:hAnsi="Arial" w:cs="Arial"/>
        </w:rPr>
      </w:pPr>
      <w:r>
        <w:rPr>
          <w:rFonts w:ascii="Arial" w:hAnsi="Arial" w:cs="Arial"/>
        </w:rPr>
        <w:t>As a result of the Localism Act and the new funding model of Affordable Rent, there are now a range of tenancies on offer from social landlords. Local housing authorities may offer either a Secure or Flexible Tenancy at either social or Affordable rent. Housing associations may offer either an Assured or fixed term Assured Shorthold Tenancy at either social or Affordable rent.</w:t>
      </w:r>
    </w:p>
    <w:p w14:paraId="20EDAD1C" w14:textId="64E21144" w:rsidR="00991F66" w:rsidRPr="00254F7A" w:rsidRDefault="00991F66" w:rsidP="00991F66">
      <w:pPr>
        <w:rPr>
          <w:rFonts w:ascii="Arial" w:hAnsi="Arial" w:cs="Arial"/>
        </w:rPr>
      </w:pPr>
      <w:r>
        <w:rPr>
          <w:rFonts w:ascii="Arial" w:hAnsi="Arial" w:cs="Arial"/>
        </w:rPr>
        <w:t xml:space="preserve">Local housing authorities have a responsibility to provide a strategic lead on </w:t>
      </w:r>
      <w:r w:rsidR="00390001">
        <w:rPr>
          <w:rFonts w:ascii="Arial" w:hAnsi="Arial" w:cs="Arial"/>
        </w:rPr>
        <w:t xml:space="preserve">the use of </w:t>
      </w:r>
      <w:r>
        <w:rPr>
          <w:rFonts w:ascii="Arial" w:hAnsi="Arial" w:cs="Arial"/>
        </w:rPr>
        <w:t xml:space="preserve">tenure </w:t>
      </w:r>
      <w:r w:rsidR="00390001">
        <w:rPr>
          <w:rFonts w:ascii="Arial" w:hAnsi="Arial" w:cs="Arial"/>
        </w:rPr>
        <w:t xml:space="preserve">in social housing </w:t>
      </w:r>
      <w:r>
        <w:rPr>
          <w:rFonts w:ascii="Arial" w:hAnsi="Arial" w:cs="Arial"/>
        </w:rPr>
        <w:t>and to ensure that the way social housing is let support</w:t>
      </w:r>
      <w:r w:rsidR="00B33395">
        <w:rPr>
          <w:rFonts w:ascii="Arial" w:hAnsi="Arial" w:cs="Arial"/>
        </w:rPr>
        <w:t>s</w:t>
      </w:r>
      <w:r>
        <w:rPr>
          <w:rFonts w:ascii="Arial" w:hAnsi="Arial" w:cs="Arial"/>
        </w:rPr>
        <w:t xml:space="preserve"> the </w:t>
      </w:r>
      <w:r w:rsidRPr="00254F7A">
        <w:rPr>
          <w:rFonts w:ascii="Arial" w:hAnsi="Arial" w:cs="Arial"/>
        </w:rPr>
        <w:t>authority’s vision for the local area.</w:t>
      </w:r>
    </w:p>
    <w:p w14:paraId="5916C9A9" w14:textId="12CBE5F7" w:rsidR="00991F66" w:rsidRPr="001214D9" w:rsidRDefault="001214D9" w:rsidP="00991F66">
      <w:pPr>
        <w:rPr>
          <w:rFonts w:ascii="Arial" w:hAnsi="Arial" w:cs="Arial"/>
        </w:rPr>
      </w:pPr>
      <w:r w:rsidRPr="00254F7A">
        <w:rPr>
          <w:rFonts w:ascii="Arial" w:hAnsi="Arial" w:cs="Arial"/>
        </w:rPr>
        <w:t xml:space="preserve">The </w:t>
      </w:r>
      <w:r w:rsidR="00B8643C" w:rsidRPr="00254F7A">
        <w:rPr>
          <w:rFonts w:ascii="Arial" w:hAnsi="Arial" w:cs="Arial"/>
        </w:rPr>
        <w:t>Housing and Planning Act 2016 included provision for the use of fixed term tenancies to be mandatory for all local authorities, at the time of writing</w:t>
      </w:r>
      <w:r w:rsidR="00930736" w:rsidRPr="00254F7A">
        <w:rPr>
          <w:rFonts w:ascii="Arial" w:hAnsi="Arial" w:cs="Arial"/>
        </w:rPr>
        <w:t>, this part of the Act has not y</w:t>
      </w:r>
      <w:r w:rsidR="00B8643C" w:rsidRPr="00254F7A">
        <w:rPr>
          <w:rFonts w:ascii="Arial" w:hAnsi="Arial" w:cs="Arial"/>
        </w:rPr>
        <w:t>et been enacted.</w:t>
      </w:r>
      <w:r w:rsidR="00B8643C" w:rsidRPr="001214D9">
        <w:rPr>
          <w:rFonts w:ascii="Arial" w:hAnsi="Arial" w:cs="Arial"/>
        </w:rPr>
        <w:t xml:space="preserve"> </w:t>
      </w:r>
      <w:r>
        <w:rPr>
          <w:rFonts w:ascii="Arial" w:hAnsi="Arial" w:cs="Arial"/>
        </w:rPr>
        <w:t xml:space="preserve"> </w:t>
      </w:r>
    </w:p>
    <w:p w14:paraId="490E49E0" w14:textId="77777777" w:rsidR="00B023C1" w:rsidRDefault="00B023C1">
      <w:pPr>
        <w:rPr>
          <w:rFonts w:ascii="Arial" w:hAnsi="Arial" w:cs="Arial"/>
          <w:b/>
        </w:rPr>
      </w:pPr>
    </w:p>
    <w:p w14:paraId="5A4344F7" w14:textId="65899C72" w:rsidR="0091753E" w:rsidRDefault="0091753E">
      <w:pPr>
        <w:rPr>
          <w:rFonts w:ascii="Arial" w:hAnsi="Arial" w:cs="Arial"/>
          <w:b/>
        </w:rPr>
      </w:pPr>
      <w:r w:rsidRPr="004137F0">
        <w:rPr>
          <w:rFonts w:ascii="Arial" w:hAnsi="Arial" w:cs="Arial"/>
          <w:b/>
        </w:rPr>
        <w:t xml:space="preserve">Purpose </w:t>
      </w:r>
      <w:r w:rsidR="001214D9">
        <w:rPr>
          <w:rFonts w:ascii="Arial" w:hAnsi="Arial" w:cs="Arial"/>
          <w:b/>
        </w:rPr>
        <w:t>of the strategy</w:t>
      </w:r>
    </w:p>
    <w:p w14:paraId="61B99923" w14:textId="037E7F08" w:rsidR="00991F66" w:rsidRPr="00946C62" w:rsidRDefault="00930736" w:rsidP="00991F66">
      <w:pPr>
        <w:rPr>
          <w:rFonts w:ascii="Arial" w:hAnsi="Arial" w:cs="Arial"/>
        </w:rPr>
      </w:pPr>
      <w:r>
        <w:rPr>
          <w:rFonts w:ascii="Arial" w:hAnsi="Arial" w:cs="Arial"/>
        </w:rPr>
        <w:t>This</w:t>
      </w:r>
      <w:r w:rsidR="001214D9">
        <w:rPr>
          <w:rFonts w:ascii="Arial" w:hAnsi="Arial" w:cs="Arial"/>
        </w:rPr>
        <w:t xml:space="preserve"> strategy has been created in response to the requirements of the Localism Act 2011, the p</w:t>
      </w:r>
      <w:r w:rsidR="00991F66" w:rsidRPr="00946C62">
        <w:rPr>
          <w:rFonts w:ascii="Arial" w:hAnsi="Arial" w:cs="Arial"/>
        </w:rPr>
        <w:t xml:space="preserve">urpose of </w:t>
      </w:r>
      <w:r w:rsidR="001214D9">
        <w:rPr>
          <w:rFonts w:ascii="Arial" w:hAnsi="Arial" w:cs="Arial"/>
        </w:rPr>
        <w:t>changes introduced by this Act are to</w:t>
      </w:r>
      <w:r w:rsidR="00991F66" w:rsidRPr="00946C62">
        <w:rPr>
          <w:rFonts w:ascii="Arial" w:hAnsi="Arial" w:cs="Arial"/>
        </w:rPr>
        <w:t>:</w:t>
      </w:r>
    </w:p>
    <w:p w14:paraId="2834B2A7" w14:textId="77777777" w:rsidR="00991F66" w:rsidRPr="001214D9" w:rsidRDefault="00991F66" w:rsidP="001214D9">
      <w:pPr>
        <w:pStyle w:val="ListParagraph"/>
        <w:numPr>
          <w:ilvl w:val="0"/>
          <w:numId w:val="6"/>
        </w:numPr>
        <w:rPr>
          <w:rFonts w:ascii="Arial" w:hAnsi="Arial" w:cs="Arial"/>
        </w:rPr>
      </w:pPr>
      <w:r w:rsidRPr="001214D9">
        <w:rPr>
          <w:rFonts w:ascii="Arial" w:hAnsi="Arial" w:cs="Arial"/>
        </w:rPr>
        <w:t>Make the best use of housing stock</w:t>
      </w:r>
    </w:p>
    <w:p w14:paraId="08B66978" w14:textId="77777777" w:rsidR="00991F66" w:rsidRPr="001214D9" w:rsidRDefault="00991F66" w:rsidP="001214D9">
      <w:pPr>
        <w:pStyle w:val="ListParagraph"/>
        <w:numPr>
          <w:ilvl w:val="0"/>
          <w:numId w:val="6"/>
        </w:numPr>
        <w:rPr>
          <w:rFonts w:ascii="Arial" w:hAnsi="Arial" w:cs="Arial"/>
        </w:rPr>
      </w:pPr>
      <w:r w:rsidRPr="001214D9">
        <w:rPr>
          <w:rFonts w:ascii="Arial" w:hAnsi="Arial" w:cs="Arial"/>
        </w:rPr>
        <w:t>Ensure those in greatest need are prioritised through the lettings policy</w:t>
      </w:r>
    </w:p>
    <w:p w14:paraId="58F8C7EE" w14:textId="77777777" w:rsidR="00991F66" w:rsidRPr="001214D9" w:rsidRDefault="00991F66" w:rsidP="001214D9">
      <w:pPr>
        <w:pStyle w:val="ListParagraph"/>
        <w:numPr>
          <w:ilvl w:val="0"/>
          <w:numId w:val="6"/>
        </w:numPr>
        <w:rPr>
          <w:rFonts w:ascii="Arial" w:hAnsi="Arial" w:cs="Arial"/>
        </w:rPr>
      </w:pPr>
      <w:r w:rsidRPr="001214D9">
        <w:rPr>
          <w:rFonts w:ascii="Arial" w:hAnsi="Arial" w:cs="Arial"/>
        </w:rPr>
        <w:t>Promote and incentivise work</w:t>
      </w:r>
    </w:p>
    <w:p w14:paraId="5B1ADD29" w14:textId="77777777" w:rsidR="00991F66" w:rsidRPr="001214D9" w:rsidRDefault="00991F66" w:rsidP="001214D9">
      <w:pPr>
        <w:pStyle w:val="ListParagraph"/>
        <w:numPr>
          <w:ilvl w:val="0"/>
          <w:numId w:val="6"/>
        </w:numPr>
        <w:rPr>
          <w:rFonts w:ascii="Arial" w:hAnsi="Arial" w:cs="Arial"/>
        </w:rPr>
      </w:pPr>
      <w:r w:rsidRPr="001214D9">
        <w:rPr>
          <w:rFonts w:ascii="Arial" w:hAnsi="Arial" w:cs="Arial"/>
        </w:rPr>
        <w:t>Provide greater flexibility and simplicity within the lettings process</w:t>
      </w:r>
    </w:p>
    <w:p w14:paraId="30A356B8" w14:textId="02C6C837" w:rsidR="000B5860" w:rsidRDefault="00F12055" w:rsidP="000B5860">
      <w:pPr>
        <w:rPr>
          <w:rFonts w:ascii="Arial" w:hAnsi="Arial" w:cs="Arial"/>
        </w:rPr>
      </w:pPr>
      <w:r>
        <w:rPr>
          <w:rFonts w:ascii="Arial" w:hAnsi="Arial" w:cs="Arial"/>
        </w:rPr>
        <w:lastRenderedPageBreak/>
        <w:t>In addition, t</w:t>
      </w:r>
      <w:r w:rsidR="000B5860">
        <w:rPr>
          <w:rFonts w:ascii="Arial" w:hAnsi="Arial" w:cs="Arial"/>
        </w:rPr>
        <w:t>he Regulatory Framework require</w:t>
      </w:r>
      <w:r w:rsidR="00B33395">
        <w:rPr>
          <w:rFonts w:ascii="Arial" w:hAnsi="Arial" w:cs="Arial"/>
        </w:rPr>
        <w:t>s</w:t>
      </w:r>
      <w:r w:rsidR="000B5860">
        <w:rPr>
          <w:rFonts w:ascii="Arial" w:hAnsi="Arial" w:cs="Arial"/>
        </w:rPr>
        <w:t xml:space="preserve"> that social landlords grant tenancies that are compatible with the:</w:t>
      </w:r>
    </w:p>
    <w:p w14:paraId="0542AF1C" w14:textId="77777777" w:rsidR="000B5860" w:rsidRPr="001214D9" w:rsidRDefault="000B5860" w:rsidP="001214D9">
      <w:pPr>
        <w:pStyle w:val="ListParagraph"/>
        <w:numPr>
          <w:ilvl w:val="0"/>
          <w:numId w:val="5"/>
        </w:numPr>
        <w:rPr>
          <w:rFonts w:ascii="Arial" w:hAnsi="Arial" w:cs="Arial"/>
        </w:rPr>
      </w:pPr>
      <w:r w:rsidRPr="001214D9">
        <w:rPr>
          <w:rFonts w:ascii="Arial" w:hAnsi="Arial" w:cs="Arial"/>
        </w:rPr>
        <w:t>Needs of the individual households</w:t>
      </w:r>
    </w:p>
    <w:p w14:paraId="6A44659D" w14:textId="77777777" w:rsidR="000B5860" w:rsidRPr="001214D9" w:rsidRDefault="000B5860" w:rsidP="001214D9">
      <w:pPr>
        <w:pStyle w:val="ListParagraph"/>
        <w:numPr>
          <w:ilvl w:val="0"/>
          <w:numId w:val="5"/>
        </w:numPr>
        <w:rPr>
          <w:rFonts w:ascii="Arial" w:hAnsi="Arial" w:cs="Arial"/>
        </w:rPr>
      </w:pPr>
      <w:r w:rsidRPr="001214D9">
        <w:rPr>
          <w:rFonts w:ascii="Arial" w:hAnsi="Arial" w:cs="Arial"/>
        </w:rPr>
        <w:t>Efficient use of the housing stock</w:t>
      </w:r>
    </w:p>
    <w:p w14:paraId="5CFB2AD3" w14:textId="77777777" w:rsidR="000B5860" w:rsidRPr="001214D9" w:rsidRDefault="000B5860" w:rsidP="001214D9">
      <w:pPr>
        <w:pStyle w:val="ListParagraph"/>
        <w:numPr>
          <w:ilvl w:val="0"/>
          <w:numId w:val="5"/>
        </w:numPr>
        <w:rPr>
          <w:rFonts w:ascii="Arial" w:hAnsi="Arial" w:cs="Arial"/>
        </w:rPr>
      </w:pPr>
      <w:r w:rsidRPr="001214D9">
        <w:rPr>
          <w:rFonts w:ascii="Arial" w:hAnsi="Arial" w:cs="Arial"/>
        </w:rPr>
        <w:t>Purpose of the accommodation</w:t>
      </w:r>
    </w:p>
    <w:p w14:paraId="2AA6C4FC" w14:textId="77777777" w:rsidR="000B5860" w:rsidRPr="001214D9" w:rsidRDefault="000B5860" w:rsidP="001214D9">
      <w:pPr>
        <w:pStyle w:val="ListParagraph"/>
        <w:numPr>
          <w:ilvl w:val="0"/>
          <w:numId w:val="5"/>
        </w:numPr>
        <w:rPr>
          <w:rFonts w:ascii="Arial" w:hAnsi="Arial" w:cs="Arial"/>
        </w:rPr>
      </w:pPr>
      <w:r w:rsidRPr="001214D9">
        <w:rPr>
          <w:rFonts w:ascii="Arial" w:hAnsi="Arial" w:cs="Arial"/>
        </w:rPr>
        <w:t>Sustainability of the community</w:t>
      </w:r>
    </w:p>
    <w:p w14:paraId="06CE379F" w14:textId="346358E1" w:rsidR="001214D9" w:rsidRDefault="00F12055" w:rsidP="001214D9">
      <w:pPr>
        <w:rPr>
          <w:rFonts w:ascii="Arial" w:hAnsi="Arial" w:cs="Arial"/>
        </w:rPr>
      </w:pPr>
      <w:r>
        <w:rPr>
          <w:rFonts w:ascii="Arial" w:hAnsi="Arial" w:cs="Arial"/>
        </w:rPr>
        <w:t>The</w:t>
      </w:r>
      <w:r w:rsidR="001214D9">
        <w:rPr>
          <w:rFonts w:ascii="Arial" w:hAnsi="Arial" w:cs="Arial"/>
        </w:rPr>
        <w:t xml:space="preserve"> Council has </w:t>
      </w:r>
      <w:r w:rsidR="001214D9" w:rsidRPr="001214D9">
        <w:rPr>
          <w:rFonts w:ascii="Arial" w:hAnsi="Arial" w:cs="Arial"/>
        </w:rPr>
        <w:t>a responsibility to provide a strategic lead on the use of social tenure and to ensure that the way social housing is let supports the authority’s vision for the local area.</w:t>
      </w:r>
    </w:p>
    <w:p w14:paraId="6FDBC898" w14:textId="5CEF8C6F" w:rsidR="001214D9" w:rsidRDefault="001214D9" w:rsidP="001214D9">
      <w:pPr>
        <w:rPr>
          <w:rFonts w:ascii="Arial" w:hAnsi="Arial" w:cs="Arial"/>
        </w:rPr>
      </w:pPr>
      <w:r w:rsidRPr="008F5876">
        <w:rPr>
          <w:rFonts w:ascii="Arial" w:hAnsi="Arial" w:cs="Arial"/>
        </w:rPr>
        <w:t>The Counci</w:t>
      </w:r>
      <w:r>
        <w:rPr>
          <w:rFonts w:ascii="Arial" w:hAnsi="Arial" w:cs="Arial"/>
        </w:rPr>
        <w:t xml:space="preserve">l’s </w:t>
      </w:r>
      <w:r w:rsidR="00D53DB1">
        <w:rPr>
          <w:rFonts w:ascii="Arial" w:hAnsi="Arial" w:cs="Arial"/>
        </w:rPr>
        <w:t xml:space="preserve">housing </w:t>
      </w:r>
      <w:r>
        <w:rPr>
          <w:rFonts w:ascii="Arial" w:hAnsi="Arial" w:cs="Arial"/>
        </w:rPr>
        <w:t xml:space="preserve">vision is: </w:t>
      </w:r>
    </w:p>
    <w:p w14:paraId="5DAB7005" w14:textId="77777777" w:rsidR="001214D9" w:rsidRDefault="001214D9" w:rsidP="001214D9">
      <w:pPr>
        <w:rPr>
          <w:rFonts w:ascii="Arial" w:hAnsi="Arial" w:cs="Arial"/>
        </w:rPr>
      </w:pPr>
      <w:r>
        <w:rPr>
          <w:rFonts w:ascii="Arial" w:hAnsi="Arial" w:cs="Arial"/>
        </w:rPr>
        <w:t>“to ensure the population of Ashfield are living in or can access homes that are affordable, warm and within a safe community that promotes the health and wellbeing of residents”</w:t>
      </w:r>
    </w:p>
    <w:p w14:paraId="5ADFB357" w14:textId="45F4CCF4" w:rsidR="000B5860" w:rsidRDefault="001214D9" w:rsidP="000B5860">
      <w:pPr>
        <w:rPr>
          <w:rFonts w:ascii="Arial" w:hAnsi="Arial" w:cs="Arial"/>
        </w:rPr>
      </w:pPr>
      <w:r>
        <w:rPr>
          <w:rFonts w:ascii="Arial" w:hAnsi="Arial" w:cs="Arial"/>
        </w:rPr>
        <w:t>As such, the a</w:t>
      </w:r>
      <w:r w:rsidR="000B5860">
        <w:rPr>
          <w:rFonts w:ascii="Arial" w:hAnsi="Arial" w:cs="Arial"/>
        </w:rPr>
        <w:t>ims of this strategy</w:t>
      </w:r>
      <w:r>
        <w:rPr>
          <w:rFonts w:ascii="Arial" w:hAnsi="Arial" w:cs="Arial"/>
        </w:rPr>
        <w:t xml:space="preserve"> are</w:t>
      </w:r>
      <w:r w:rsidR="000B5860">
        <w:rPr>
          <w:rFonts w:ascii="Arial" w:hAnsi="Arial" w:cs="Arial"/>
        </w:rPr>
        <w:t>:</w:t>
      </w:r>
    </w:p>
    <w:p w14:paraId="52EFE87F" w14:textId="77777777" w:rsidR="00835E8A" w:rsidRPr="001214D9" w:rsidRDefault="006A6409" w:rsidP="001214D9">
      <w:pPr>
        <w:pStyle w:val="ListParagraph"/>
        <w:numPr>
          <w:ilvl w:val="0"/>
          <w:numId w:val="4"/>
        </w:numPr>
        <w:rPr>
          <w:rFonts w:ascii="Arial" w:hAnsi="Arial" w:cs="Arial"/>
        </w:rPr>
      </w:pPr>
      <w:r w:rsidRPr="001214D9">
        <w:rPr>
          <w:rFonts w:ascii="Arial" w:hAnsi="Arial" w:cs="Arial"/>
        </w:rPr>
        <w:t>To ensure that social housing providers operating in Ashfield</w:t>
      </w:r>
      <w:r w:rsidR="00835E8A" w:rsidRPr="001214D9">
        <w:rPr>
          <w:rFonts w:ascii="Arial" w:hAnsi="Arial" w:cs="Arial"/>
        </w:rPr>
        <w:t xml:space="preserve"> offer the most secure form of tenure compatible with the purpose of the accommodation, the needs of the individual households, the sustainability of the community, and the efficient use of their housing stock.</w:t>
      </w:r>
    </w:p>
    <w:p w14:paraId="6194D341" w14:textId="788C71C5" w:rsidR="00110AD2" w:rsidRPr="001214D9" w:rsidRDefault="00110AD2" w:rsidP="001214D9">
      <w:pPr>
        <w:pStyle w:val="ListParagraph"/>
        <w:numPr>
          <w:ilvl w:val="0"/>
          <w:numId w:val="4"/>
        </w:numPr>
        <w:rPr>
          <w:rFonts w:ascii="Arial" w:hAnsi="Arial" w:cs="Arial"/>
        </w:rPr>
      </w:pPr>
      <w:r w:rsidRPr="001214D9">
        <w:rPr>
          <w:rFonts w:ascii="Arial" w:hAnsi="Arial" w:cs="Arial"/>
        </w:rPr>
        <w:t>To ensure that social housing providers operating in Ashfield support the Council in meet</w:t>
      </w:r>
      <w:r w:rsidR="001214D9" w:rsidRPr="001214D9">
        <w:rPr>
          <w:rFonts w:ascii="Arial" w:hAnsi="Arial" w:cs="Arial"/>
        </w:rPr>
        <w:t>ing</w:t>
      </w:r>
      <w:r w:rsidRPr="001214D9">
        <w:rPr>
          <w:rFonts w:ascii="Arial" w:hAnsi="Arial" w:cs="Arial"/>
        </w:rPr>
        <w:t xml:space="preserve"> its statutory obligations and </w:t>
      </w:r>
      <w:r w:rsidR="001214D9" w:rsidRPr="001214D9">
        <w:rPr>
          <w:rFonts w:ascii="Arial" w:hAnsi="Arial" w:cs="Arial"/>
        </w:rPr>
        <w:t>vision for the District.</w:t>
      </w:r>
    </w:p>
    <w:p w14:paraId="58B72C72" w14:textId="62557BF0" w:rsidR="006A6409" w:rsidRPr="001214D9" w:rsidRDefault="006A6409" w:rsidP="001214D9">
      <w:pPr>
        <w:pStyle w:val="ListParagraph"/>
        <w:numPr>
          <w:ilvl w:val="0"/>
          <w:numId w:val="4"/>
        </w:numPr>
        <w:rPr>
          <w:rFonts w:ascii="Arial" w:hAnsi="Arial" w:cs="Arial"/>
        </w:rPr>
      </w:pPr>
      <w:r w:rsidRPr="001214D9">
        <w:rPr>
          <w:rFonts w:ascii="Arial" w:hAnsi="Arial" w:cs="Arial"/>
        </w:rPr>
        <w:t xml:space="preserve">To ensure that homes let at Affordable Rent remain affordable for low income households, either in or out of work, whilst enabling </w:t>
      </w:r>
      <w:r w:rsidR="00F12055">
        <w:rPr>
          <w:rFonts w:ascii="Arial" w:hAnsi="Arial" w:cs="Arial"/>
        </w:rPr>
        <w:t xml:space="preserve">the </w:t>
      </w:r>
      <w:r w:rsidRPr="001214D9">
        <w:rPr>
          <w:rFonts w:ascii="Arial" w:hAnsi="Arial" w:cs="Arial"/>
        </w:rPr>
        <w:t>supply of new properties in Ashfield.</w:t>
      </w:r>
    </w:p>
    <w:p w14:paraId="0631093A" w14:textId="77777777" w:rsidR="006A6409" w:rsidRPr="001214D9" w:rsidRDefault="006A6409" w:rsidP="001214D9">
      <w:pPr>
        <w:pStyle w:val="ListParagraph"/>
        <w:numPr>
          <w:ilvl w:val="0"/>
          <w:numId w:val="4"/>
        </w:numPr>
        <w:rPr>
          <w:rFonts w:ascii="Arial" w:hAnsi="Arial" w:cs="Arial"/>
        </w:rPr>
      </w:pPr>
      <w:r w:rsidRPr="001214D9">
        <w:rPr>
          <w:rFonts w:ascii="Arial" w:hAnsi="Arial" w:cs="Arial"/>
        </w:rPr>
        <w:t xml:space="preserve">To ensure social housing tenants are supported to achieve their </w:t>
      </w:r>
      <w:r w:rsidR="00CA106A" w:rsidRPr="001214D9">
        <w:rPr>
          <w:rFonts w:ascii="Arial" w:hAnsi="Arial" w:cs="Arial"/>
        </w:rPr>
        <w:t>housing aspirations and not penalised for a change in their circumstances.</w:t>
      </w:r>
    </w:p>
    <w:p w14:paraId="223BBA8F" w14:textId="04809BFB" w:rsidR="00991F66" w:rsidRPr="001214D9" w:rsidRDefault="00B8643C" w:rsidP="001214D9">
      <w:pPr>
        <w:pStyle w:val="ListParagraph"/>
        <w:numPr>
          <w:ilvl w:val="0"/>
          <w:numId w:val="4"/>
        </w:numPr>
        <w:rPr>
          <w:rFonts w:ascii="Arial" w:hAnsi="Arial" w:cs="Arial"/>
        </w:rPr>
      </w:pPr>
      <w:r w:rsidRPr="001214D9">
        <w:rPr>
          <w:rFonts w:ascii="Arial" w:hAnsi="Arial" w:cs="Arial"/>
        </w:rPr>
        <w:t>To ensure households seeking a home in Ashfield can access information on what it means to be offered a fixed term tenancy</w:t>
      </w:r>
      <w:r w:rsidR="00F12055">
        <w:rPr>
          <w:rFonts w:ascii="Arial" w:hAnsi="Arial" w:cs="Arial"/>
        </w:rPr>
        <w:t>.</w:t>
      </w:r>
    </w:p>
    <w:p w14:paraId="6870B42C" w14:textId="0845C0E1" w:rsidR="00AC7B49" w:rsidRDefault="00F12055">
      <w:pPr>
        <w:rPr>
          <w:rFonts w:ascii="Arial" w:hAnsi="Arial" w:cs="Arial"/>
        </w:rPr>
      </w:pPr>
      <w:r>
        <w:rPr>
          <w:rFonts w:ascii="Arial" w:hAnsi="Arial" w:cs="Arial"/>
        </w:rPr>
        <w:t>This Strategy is principally concerned with tenure issues, however, it supports and overlaps with a number of other strategies and consideration has been given to those concernin</w:t>
      </w:r>
      <w:r w:rsidR="00930736">
        <w:rPr>
          <w:rFonts w:ascii="Arial" w:hAnsi="Arial" w:cs="Arial"/>
        </w:rPr>
        <w:t>g homelessness, allocations, the Council’s</w:t>
      </w:r>
      <w:r>
        <w:rPr>
          <w:rFonts w:ascii="Arial" w:hAnsi="Arial" w:cs="Arial"/>
        </w:rPr>
        <w:t xml:space="preserve"> tenancy </w:t>
      </w:r>
      <w:r w:rsidR="00930736">
        <w:rPr>
          <w:rFonts w:ascii="Arial" w:hAnsi="Arial" w:cs="Arial"/>
        </w:rPr>
        <w:t>policy</w:t>
      </w:r>
      <w:r>
        <w:rPr>
          <w:rFonts w:ascii="Arial" w:hAnsi="Arial" w:cs="Arial"/>
        </w:rPr>
        <w:t xml:space="preserve"> and private sector enforcement in the development of this Strategy</w:t>
      </w:r>
    </w:p>
    <w:p w14:paraId="09AB037F" w14:textId="77777777" w:rsidR="00F12055" w:rsidRDefault="00F12055">
      <w:pPr>
        <w:rPr>
          <w:rFonts w:ascii="Arial" w:hAnsi="Arial" w:cs="Arial"/>
          <w:b/>
        </w:rPr>
      </w:pPr>
    </w:p>
    <w:p w14:paraId="58DC095C" w14:textId="77777777" w:rsidR="0091753E" w:rsidRPr="00F12055" w:rsidRDefault="0091753E">
      <w:pPr>
        <w:rPr>
          <w:rFonts w:ascii="Arial" w:hAnsi="Arial" w:cs="Arial"/>
          <w:b/>
        </w:rPr>
      </w:pPr>
      <w:r w:rsidRPr="00F12055">
        <w:rPr>
          <w:rFonts w:ascii="Arial" w:hAnsi="Arial" w:cs="Arial"/>
          <w:b/>
        </w:rPr>
        <w:t>Fixed term tenancies</w:t>
      </w:r>
    </w:p>
    <w:p w14:paraId="530D9F6F" w14:textId="77777777" w:rsidR="001179D3" w:rsidRDefault="001179D3" w:rsidP="001179D3">
      <w:pPr>
        <w:rPr>
          <w:rFonts w:ascii="Arial" w:hAnsi="Arial" w:cs="Arial"/>
        </w:rPr>
      </w:pPr>
      <w:r>
        <w:rPr>
          <w:rFonts w:ascii="Arial" w:hAnsi="Arial" w:cs="Arial"/>
        </w:rPr>
        <w:t>The Council expects that social housing providers operating in Ashfield will offer the most secure form of tenure compatible with the purpose of the accommodation, the needs of the individual households, the sustainability of the community, and the efficient use of their housing stock.</w:t>
      </w:r>
    </w:p>
    <w:p w14:paraId="4CAA4994" w14:textId="3922AE3C" w:rsidR="001179D3" w:rsidRDefault="001179D3" w:rsidP="001179D3">
      <w:pPr>
        <w:rPr>
          <w:rFonts w:ascii="Arial" w:hAnsi="Arial" w:cs="Arial"/>
        </w:rPr>
      </w:pPr>
      <w:r>
        <w:rPr>
          <w:rFonts w:ascii="Arial" w:hAnsi="Arial" w:cs="Arial"/>
        </w:rPr>
        <w:t xml:space="preserve">In particular, the Council expects that permanent tenancies will be granted to those households who are </w:t>
      </w:r>
      <w:r w:rsidR="00F12055">
        <w:rPr>
          <w:rFonts w:ascii="Arial" w:hAnsi="Arial" w:cs="Arial"/>
        </w:rPr>
        <w:t xml:space="preserve">in </w:t>
      </w:r>
      <w:r>
        <w:rPr>
          <w:rFonts w:ascii="Arial" w:hAnsi="Arial" w:cs="Arial"/>
        </w:rPr>
        <w:t>need of settled accommodation and whose situation is unlikely to change, such as households containing older persons or people with a long-term medical</w:t>
      </w:r>
      <w:r w:rsidR="00550011">
        <w:rPr>
          <w:rFonts w:ascii="Arial" w:hAnsi="Arial" w:cs="Arial"/>
        </w:rPr>
        <w:t xml:space="preserve">, support or care </w:t>
      </w:r>
      <w:r>
        <w:rPr>
          <w:rFonts w:ascii="Arial" w:hAnsi="Arial" w:cs="Arial"/>
        </w:rPr>
        <w:t>need</w:t>
      </w:r>
      <w:r w:rsidR="00550011">
        <w:rPr>
          <w:rFonts w:ascii="Arial" w:hAnsi="Arial" w:cs="Arial"/>
        </w:rPr>
        <w:t>s</w:t>
      </w:r>
      <w:r>
        <w:rPr>
          <w:rFonts w:ascii="Arial" w:hAnsi="Arial" w:cs="Arial"/>
        </w:rPr>
        <w:t xml:space="preserve">. </w:t>
      </w:r>
    </w:p>
    <w:p w14:paraId="3BD58DF4" w14:textId="61FD6772" w:rsidR="00D3536F" w:rsidRDefault="00D3536F" w:rsidP="001179D3">
      <w:pPr>
        <w:rPr>
          <w:rFonts w:ascii="Arial" w:hAnsi="Arial" w:cs="Arial"/>
        </w:rPr>
      </w:pPr>
      <w:r>
        <w:rPr>
          <w:rFonts w:ascii="Arial" w:hAnsi="Arial" w:cs="Arial"/>
        </w:rPr>
        <w:t>The Council expects that wherever possi</w:t>
      </w:r>
      <w:r w:rsidR="004126C0">
        <w:rPr>
          <w:rFonts w:ascii="Arial" w:hAnsi="Arial" w:cs="Arial"/>
        </w:rPr>
        <w:t xml:space="preserve">ble, tenants moving through </w:t>
      </w:r>
      <w:r w:rsidR="00C77540">
        <w:rPr>
          <w:rFonts w:ascii="Arial" w:hAnsi="Arial" w:cs="Arial"/>
        </w:rPr>
        <w:t xml:space="preserve">a mutual exchange </w:t>
      </w:r>
      <w:r>
        <w:rPr>
          <w:rFonts w:ascii="Arial" w:hAnsi="Arial" w:cs="Arial"/>
        </w:rPr>
        <w:t>scheme w</w:t>
      </w:r>
      <w:r w:rsidR="00F12055">
        <w:rPr>
          <w:rFonts w:ascii="Arial" w:hAnsi="Arial" w:cs="Arial"/>
        </w:rPr>
        <w:t>ill</w:t>
      </w:r>
      <w:r>
        <w:rPr>
          <w:rFonts w:ascii="Arial" w:hAnsi="Arial" w:cs="Arial"/>
        </w:rPr>
        <w:t xml:space="preserve"> be able to enjoy the same security of tenure in their new property.</w:t>
      </w:r>
    </w:p>
    <w:p w14:paraId="538019D6" w14:textId="71618324" w:rsidR="00580E76" w:rsidRDefault="00580E76" w:rsidP="001179D3">
      <w:pPr>
        <w:rPr>
          <w:rFonts w:ascii="Arial" w:hAnsi="Arial" w:cs="Arial"/>
        </w:rPr>
      </w:pPr>
      <w:r w:rsidRPr="00410785">
        <w:rPr>
          <w:rFonts w:ascii="Arial" w:hAnsi="Arial" w:cs="Arial"/>
        </w:rPr>
        <w:t xml:space="preserve">Fixed term tenancies should not be used in place of introductory or </w:t>
      </w:r>
      <w:r>
        <w:rPr>
          <w:rFonts w:ascii="Arial" w:hAnsi="Arial" w:cs="Arial"/>
        </w:rPr>
        <w:t>starter</w:t>
      </w:r>
      <w:r w:rsidRPr="00410785">
        <w:rPr>
          <w:rFonts w:ascii="Arial" w:hAnsi="Arial" w:cs="Arial"/>
        </w:rPr>
        <w:t xml:space="preserve"> tenancies</w:t>
      </w:r>
      <w:r>
        <w:rPr>
          <w:rFonts w:ascii="Arial" w:hAnsi="Arial" w:cs="Arial"/>
        </w:rPr>
        <w:t>.</w:t>
      </w:r>
    </w:p>
    <w:p w14:paraId="0AB3A5A8" w14:textId="77777777" w:rsidR="00EB2C3A" w:rsidRDefault="001179D3" w:rsidP="001179D3">
      <w:pPr>
        <w:rPr>
          <w:rFonts w:ascii="Arial" w:hAnsi="Arial" w:cs="Arial"/>
        </w:rPr>
      </w:pPr>
      <w:r>
        <w:rPr>
          <w:rFonts w:ascii="Arial" w:hAnsi="Arial" w:cs="Arial"/>
        </w:rPr>
        <w:lastRenderedPageBreak/>
        <w:t xml:space="preserve">The Council only supports the use of fixed term tenancies in limited circumstances. This is because research has shown that people associate security of tenure with a settled and stable home, which is important for laying down roots and planning for the future, such as for those with children or vulnerable people. </w:t>
      </w:r>
    </w:p>
    <w:p w14:paraId="02DFC811" w14:textId="77777777" w:rsidR="00F83E87" w:rsidRDefault="00F83E87" w:rsidP="00F83E87">
      <w:pPr>
        <w:rPr>
          <w:rFonts w:ascii="Arial" w:hAnsi="Arial" w:cs="Arial"/>
        </w:rPr>
      </w:pPr>
      <w:r>
        <w:rPr>
          <w:rFonts w:ascii="Arial" w:hAnsi="Arial" w:cs="Arial"/>
        </w:rPr>
        <w:t xml:space="preserve">Where social housing providers choose to grant fixed term tenancies, the Council encourages them to offer tenancies for longer than the five-year regulatory minimum, particularly where there are dependent children in the household. </w:t>
      </w:r>
    </w:p>
    <w:p w14:paraId="28E6D39B" w14:textId="77777777" w:rsidR="001179D3" w:rsidRDefault="001179D3" w:rsidP="001179D3">
      <w:pPr>
        <w:rPr>
          <w:rFonts w:ascii="Arial" w:hAnsi="Arial" w:cs="Arial"/>
        </w:rPr>
      </w:pPr>
      <w:r>
        <w:rPr>
          <w:rFonts w:ascii="Arial" w:hAnsi="Arial" w:cs="Arial"/>
        </w:rPr>
        <w:t>The Council support</w:t>
      </w:r>
      <w:r w:rsidR="00D773DA">
        <w:rPr>
          <w:rFonts w:ascii="Arial" w:hAnsi="Arial" w:cs="Arial"/>
        </w:rPr>
        <w:t>s</w:t>
      </w:r>
      <w:r>
        <w:rPr>
          <w:rFonts w:ascii="Arial" w:hAnsi="Arial" w:cs="Arial"/>
        </w:rPr>
        <w:t xml:space="preserve"> the use of fixed term tenancies in the following circumstances:</w:t>
      </w:r>
      <w:r w:rsidR="00410785">
        <w:rPr>
          <w:rFonts w:ascii="Arial" w:hAnsi="Arial" w:cs="Arial"/>
        </w:rPr>
        <w:t xml:space="preserve"> </w:t>
      </w:r>
    </w:p>
    <w:p w14:paraId="64E1C065" w14:textId="77777777" w:rsidR="00C77540" w:rsidRPr="00F936BF" w:rsidRDefault="00C77540" w:rsidP="00C77540">
      <w:pPr>
        <w:pStyle w:val="ListParagraph"/>
        <w:numPr>
          <w:ilvl w:val="0"/>
          <w:numId w:val="1"/>
        </w:numPr>
        <w:rPr>
          <w:rFonts w:ascii="Arial" w:hAnsi="Arial" w:cs="Arial"/>
        </w:rPr>
      </w:pPr>
      <w:r w:rsidRPr="00F936BF">
        <w:rPr>
          <w:rFonts w:ascii="Arial" w:hAnsi="Arial" w:cs="Arial"/>
        </w:rPr>
        <w:t>Households where it is likely that the property will be under occupied within 5 years of the start of the tenancy (and therefore subject to Housing Benefit restrictions) i.e. families with teenagers/older children, merged &amp; extended families</w:t>
      </w:r>
    </w:p>
    <w:p w14:paraId="439EC6DF" w14:textId="77777777" w:rsidR="00C77540" w:rsidRPr="00F936BF" w:rsidRDefault="00C77540" w:rsidP="00C77540">
      <w:pPr>
        <w:pStyle w:val="ListParagraph"/>
        <w:numPr>
          <w:ilvl w:val="0"/>
          <w:numId w:val="1"/>
        </w:numPr>
        <w:rPr>
          <w:rFonts w:ascii="Arial" w:hAnsi="Arial" w:cs="Arial"/>
        </w:rPr>
      </w:pPr>
      <w:r w:rsidRPr="00F936BF">
        <w:rPr>
          <w:rFonts w:ascii="Arial" w:hAnsi="Arial" w:cs="Arial"/>
        </w:rPr>
        <w:t>Extreme cases of ASB where families are monitored throughout their tenancy</w:t>
      </w:r>
    </w:p>
    <w:p w14:paraId="3D402D3B" w14:textId="77777777" w:rsidR="00C77540" w:rsidRPr="00F936BF" w:rsidRDefault="00C77540" w:rsidP="00C77540">
      <w:pPr>
        <w:pStyle w:val="ListParagraph"/>
        <w:numPr>
          <w:ilvl w:val="0"/>
          <w:numId w:val="1"/>
        </w:numPr>
        <w:rPr>
          <w:rFonts w:ascii="Arial" w:hAnsi="Arial" w:cs="Arial"/>
        </w:rPr>
      </w:pPr>
      <w:r w:rsidRPr="00F936BF">
        <w:rPr>
          <w:rFonts w:ascii="Arial" w:hAnsi="Arial" w:cs="Arial"/>
        </w:rPr>
        <w:t>Properties which are adapted for disabled use which it is likely the household will not require within 5 ye</w:t>
      </w:r>
      <w:r>
        <w:rPr>
          <w:rFonts w:ascii="Arial" w:hAnsi="Arial" w:cs="Arial"/>
        </w:rPr>
        <w:t>ars of the start of the tenancy</w:t>
      </w:r>
    </w:p>
    <w:p w14:paraId="1072B3BD" w14:textId="7202B43C" w:rsidR="00410785" w:rsidRDefault="00410785" w:rsidP="001179D3">
      <w:pPr>
        <w:rPr>
          <w:rFonts w:ascii="Arial" w:hAnsi="Arial" w:cs="Arial"/>
        </w:rPr>
      </w:pPr>
      <w:r>
        <w:rPr>
          <w:rFonts w:ascii="Arial" w:hAnsi="Arial" w:cs="Arial"/>
        </w:rPr>
        <w:t>Where fixed term tenancies are granted, the Council encourages social housing providers to operate with a presumption of renewal</w:t>
      </w:r>
      <w:r w:rsidR="004E438B">
        <w:rPr>
          <w:rFonts w:ascii="Arial" w:hAnsi="Arial" w:cs="Arial"/>
        </w:rPr>
        <w:t xml:space="preserve"> by </w:t>
      </w:r>
      <w:r w:rsidR="004E438B" w:rsidRPr="00EB2C3A">
        <w:rPr>
          <w:rFonts w:ascii="Arial" w:hAnsi="Arial" w:cs="Arial"/>
        </w:rPr>
        <w:t xml:space="preserve">issuing a new fixed term tenancy for a term at least equivalent to the </w:t>
      </w:r>
      <w:r w:rsidR="004E438B">
        <w:rPr>
          <w:rFonts w:ascii="Arial" w:hAnsi="Arial" w:cs="Arial"/>
        </w:rPr>
        <w:t>current or previous fixed term</w:t>
      </w:r>
      <w:r>
        <w:rPr>
          <w:rFonts w:ascii="Arial" w:hAnsi="Arial" w:cs="Arial"/>
        </w:rPr>
        <w:t>, except where:</w:t>
      </w:r>
    </w:p>
    <w:p w14:paraId="6B5986D7" w14:textId="77777777" w:rsidR="00C77540" w:rsidRPr="00F936BF" w:rsidRDefault="00C77540" w:rsidP="00C77540">
      <w:pPr>
        <w:pStyle w:val="ListParagraph"/>
        <w:numPr>
          <w:ilvl w:val="0"/>
          <w:numId w:val="1"/>
        </w:numPr>
        <w:rPr>
          <w:rFonts w:ascii="Arial" w:hAnsi="Arial" w:cs="Arial"/>
        </w:rPr>
      </w:pPr>
      <w:r w:rsidRPr="00F936BF">
        <w:rPr>
          <w:rFonts w:ascii="Arial" w:hAnsi="Arial" w:cs="Arial"/>
        </w:rPr>
        <w:t>The property is adapted and no one residing at the property requires the adaptation</w:t>
      </w:r>
    </w:p>
    <w:p w14:paraId="6496D3F3" w14:textId="77777777" w:rsidR="00C77540" w:rsidRPr="00F936BF" w:rsidRDefault="00C77540" w:rsidP="00C77540">
      <w:pPr>
        <w:pStyle w:val="ListParagraph"/>
        <w:numPr>
          <w:ilvl w:val="0"/>
          <w:numId w:val="1"/>
        </w:numPr>
        <w:rPr>
          <w:rFonts w:ascii="Arial" w:hAnsi="Arial" w:cs="Arial"/>
        </w:rPr>
      </w:pPr>
      <w:r w:rsidRPr="00F936BF">
        <w:rPr>
          <w:rFonts w:ascii="Arial" w:hAnsi="Arial" w:cs="Arial"/>
        </w:rPr>
        <w:t>The tenant comes into legal ownership of another home or property</w:t>
      </w:r>
    </w:p>
    <w:p w14:paraId="094DF636" w14:textId="77777777" w:rsidR="00C77540" w:rsidRPr="00F936BF" w:rsidRDefault="00C77540" w:rsidP="00C77540">
      <w:pPr>
        <w:pStyle w:val="ListParagraph"/>
        <w:numPr>
          <w:ilvl w:val="0"/>
          <w:numId w:val="1"/>
        </w:numPr>
        <w:rPr>
          <w:rFonts w:ascii="Arial" w:hAnsi="Arial" w:cs="Arial"/>
        </w:rPr>
      </w:pPr>
      <w:r w:rsidRPr="00F936BF">
        <w:rPr>
          <w:rFonts w:ascii="Arial" w:hAnsi="Arial" w:cs="Arial"/>
        </w:rPr>
        <w:t>Any breaches of tenancy or tenancy fraud are identified during the fixed term of the tenancy</w:t>
      </w:r>
    </w:p>
    <w:p w14:paraId="0EEB1C6F" w14:textId="77777777" w:rsidR="00C77540" w:rsidRPr="00F936BF" w:rsidRDefault="00C77540" w:rsidP="00C77540">
      <w:pPr>
        <w:pStyle w:val="ListParagraph"/>
        <w:numPr>
          <w:ilvl w:val="0"/>
          <w:numId w:val="1"/>
        </w:numPr>
        <w:rPr>
          <w:rFonts w:ascii="Arial" w:hAnsi="Arial" w:cs="Arial"/>
        </w:rPr>
      </w:pPr>
      <w:r w:rsidRPr="00F936BF">
        <w:rPr>
          <w:rFonts w:ascii="Arial" w:hAnsi="Arial" w:cs="Arial"/>
        </w:rPr>
        <w:t>The tenant’s financial circumstances have sign</w:t>
      </w:r>
      <w:r>
        <w:rPr>
          <w:rFonts w:ascii="Arial" w:hAnsi="Arial" w:cs="Arial"/>
        </w:rPr>
        <w:t>ificantly changed so that home ownership is affordable</w:t>
      </w:r>
    </w:p>
    <w:p w14:paraId="0196D039" w14:textId="77777777" w:rsidR="004E438B" w:rsidRDefault="004E438B" w:rsidP="009425D7">
      <w:pPr>
        <w:rPr>
          <w:rFonts w:ascii="Arial" w:hAnsi="Arial" w:cs="Arial"/>
        </w:rPr>
      </w:pPr>
      <w:r w:rsidRPr="00EB2C3A">
        <w:rPr>
          <w:rFonts w:ascii="Arial" w:hAnsi="Arial" w:cs="Arial"/>
        </w:rPr>
        <w:t>The Council does not support registered providers allowing fixed term to run into insecure periodic tenancies.</w:t>
      </w:r>
    </w:p>
    <w:p w14:paraId="3A7D8112" w14:textId="11BEB9A8" w:rsidR="00F12055" w:rsidRDefault="00F12055" w:rsidP="009425D7">
      <w:pPr>
        <w:rPr>
          <w:rFonts w:ascii="Arial" w:hAnsi="Arial" w:cs="Arial"/>
        </w:rPr>
      </w:pPr>
      <w:r>
        <w:rPr>
          <w:rFonts w:ascii="Arial" w:hAnsi="Arial" w:cs="Arial"/>
        </w:rPr>
        <w:t>It is recognised that a case by case approach will be required and social housing providers are encouraged to use their discretion to ensure the aims of this strategy are achieved.</w:t>
      </w:r>
    </w:p>
    <w:p w14:paraId="5AB59014" w14:textId="37D308F9" w:rsidR="009425D7" w:rsidRPr="009425D7" w:rsidRDefault="009425D7" w:rsidP="009425D7">
      <w:pPr>
        <w:rPr>
          <w:rFonts w:ascii="Arial" w:hAnsi="Arial" w:cs="Arial"/>
        </w:rPr>
      </w:pPr>
      <w:r>
        <w:rPr>
          <w:rFonts w:ascii="Arial" w:hAnsi="Arial" w:cs="Arial"/>
        </w:rPr>
        <w:t xml:space="preserve">Discretion </w:t>
      </w:r>
      <w:r w:rsidR="00580E76">
        <w:rPr>
          <w:rFonts w:ascii="Arial" w:hAnsi="Arial" w:cs="Arial"/>
        </w:rPr>
        <w:t xml:space="preserve">may be exercised in the following cases, for example, </w:t>
      </w:r>
      <w:r>
        <w:rPr>
          <w:rFonts w:ascii="Arial" w:hAnsi="Arial" w:cs="Arial"/>
        </w:rPr>
        <w:t>if</w:t>
      </w:r>
      <w:r w:rsidR="00580E76">
        <w:rPr>
          <w:rFonts w:ascii="Arial" w:hAnsi="Arial" w:cs="Arial"/>
        </w:rPr>
        <w:t>:</w:t>
      </w:r>
      <w:r>
        <w:rPr>
          <w:rFonts w:ascii="Arial" w:hAnsi="Arial" w:cs="Arial"/>
        </w:rPr>
        <w:t xml:space="preserve"> someone in the household is terminally ill</w:t>
      </w:r>
      <w:r w:rsidR="00580E76">
        <w:rPr>
          <w:rFonts w:ascii="Arial" w:hAnsi="Arial" w:cs="Arial"/>
        </w:rPr>
        <w:t>;</w:t>
      </w:r>
      <w:r>
        <w:rPr>
          <w:rFonts w:ascii="Arial" w:hAnsi="Arial" w:cs="Arial"/>
        </w:rPr>
        <w:t xml:space="preserve"> the household includes children of school age</w:t>
      </w:r>
      <w:r w:rsidR="00580E76">
        <w:rPr>
          <w:rFonts w:ascii="Arial" w:hAnsi="Arial" w:cs="Arial"/>
        </w:rPr>
        <w:t>;</w:t>
      </w:r>
      <w:r w:rsidR="0082275E">
        <w:rPr>
          <w:rFonts w:ascii="Arial" w:hAnsi="Arial" w:cs="Arial"/>
        </w:rPr>
        <w:t xml:space="preserve"> </w:t>
      </w:r>
      <w:r w:rsidR="00580E76">
        <w:rPr>
          <w:rFonts w:ascii="Arial" w:hAnsi="Arial" w:cs="Arial"/>
        </w:rPr>
        <w:t>a household member is at university/in prison/in the armed forces;</w:t>
      </w:r>
      <w:r w:rsidR="0082275E">
        <w:rPr>
          <w:rFonts w:ascii="Arial" w:hAnsi="Arial" w:cs="Arial"/>
        </w:rPr>
        <w:t xml:space="preserve"> </w:t>
      </w:r>
      <w:r w:rsidR="00B6350D">
        <w:rPr>
          <w:rFonts w:ascii="Arial" w:hAnsi="Arial" w:cs="Arial"/>
        </w:rPr>
        <w:t>the property was under-occupied when the tenan</w:t>
      </w:r>
      <w:r w:rsidR="00580E76">
        <w:rPr>
          <w:rFonts w:ascii="Arial" w:hAnsi="Arial" w:cs="Arial"/>
        </w:rPr>
        <w:t xml:space="preserve">cy commenced; </w:t>
      </w:r>
      <w:r w:rsidR="00B6350D">
        <w:rPr>
          <w:rFonts w:ascii="Arial" w:hAnsi="Arial" w:cs="Arial"/>
        </w:rPr>
        <w:t>the tenants will grow into the property (</w:t>
      </w:r>
      <w:r w:rsidR="00580E76">
        <w:rPr>
          <w:rFonts w:ascii="Arial" w:hAnsi="Arial" w:cs="Arial"/>
        </w:rPr>
        <w:t xml:space="preserve">i.e. a </w:t>
      </w:r>
      <w:r w:rsidR="00B6350D">
        <w:rPr>
          <w:rFonts w:ascii="Arial" w:hAnsi="Arial" w:cs="Arial"/>
        </w:rPr>
        <w:t xml:space="preserve">young couple or </w:t>
      </w:r>
      <w:r w:rsidR="00580E76">
        <w:rPr>
          <w:rFonts w:ascii="Arial" w:hAnsi="Arial" w:cs="Arial"/>
        </w:rPr>
        <w:t xml:space="preserve">family); </w:t>
      </w:r>
      <w:r w:rsidR="00B6350D">
        <w:rPr>
          <w:rFonts w:ascii="Arial" w:hAnsi="Arial" w:cs="Arial"/>
        </w:rPr>
        <w:t>a range of occupation levels will contri</w:t>
      </w:r>
      <w:r w:rsidR="00110AD2">
        <w:rPr>
          <w:rFonts w:ascii="Arial" w:hAnsi="Arial" w:cs="Arial"/>
        </w:rPr>
        <w:t>bute to balanced communities</w:t>
      </w:r>
      <w:r w:rsidR="00580E76">
        <w:rPr>
          <w:rFonts w:ascii="Arial" w:hAnsi="Arial" w:cs="Arial"/>
        </w:rPr>
        <w:t xml:space="preserve">; </w:t>
      </w:r>
      <w:r w:rsidR="00110AD2">
        <w:rPr>
          <w:rFonts w:ascii="Arial" w:hAnsi="Arial" w:cs="Arial"/>
        </w:rPr>
        <w:t>retaining the household in the community for community balance or due to their community contribution</w:t>
      </w:r>
      <w:r w:rsidR="00580E76">
        <w:rPr>
          <w:rFonts w:ascii="Arial" w:hAnsi="Arial" w:cs="Arial"/>
        </w:rPr>
        <w:t>;</w:t>
      </w:r>
      <w:r w:rsidR="00110AD2">
        <w:rPr>
          <w:rFonts w:ascii="Arial" w:hAnsi="Arial" w:cs="Arial"/>
        </w:rPr>
        <w:t xml:space="preserve"> the move will significantly affect the household’s wellbeing (for exa</w:t>
      </w:r>
      <w:r w:rsidR="00580E76">
        <w:rPr>
          <w:rFonts w:ascii="Arial" w:hAnsi="Arial" w:cs="Arial"/>
        </w:rPr>
        <w:t xml:space="preserve">mple moving away from support). This is not an exhaustive list. </w:t>
      </w:r>
    </w:p>
    <w:p w14:paraId="5C9FC4E8" w14:textId="59A8584D" w:rsidR="00550011" w:rsidRPr="00410785" w:rsidRDefault="00550011" w:rsidP="00410785">
      <w:pPr>
        <w:rPr>
          <w:rFonts w:ascii="Arial" w:hAnsi="Arial" w:cs="Arial"/>
        </w:rPr>
      </w:pPr>
      <w:r>
        <w:rPr>
          <w:rFonts w:ascii="Arial" w:hAnsi="Arial" w:cs="Arial"/>
        </w:rPr>
        <w:t>Where the conduct of the tenant is a factor for not renewing a fixed term tenancy, it is important that it is not used as an alternative to the usual tools available to address breaches of tenancy. The Council therefore would only support the decision not to renew a fixed term tenancy due to a tenant’s conduct where formal possession action is already underway or being considered.</w:t>
      </w:r>
      <w:r w:rsidR="00F83E87">
        <w:rPr>
          <w:rFonts w:ascii="Arial" w:hAnsi="Arial" w:cs="Arial"/>
        </w:rPr>
        <w:t xml:space="preserve"> The ADC allocations policy </w:t>
      </w:r>
      <w:r w:rsidR="00222540">
        <w:rPr>
          <w:rFonts w:ascii="Arial" w:hAnsi="Arial" w:cs="Arial"/>
        </w:rPr>
        <w:t xml:space="preserve">criteria </w:t>
      </w:r>
      <w:r w:rsidR="00F83E87">
        <w:rPr>
          <w:rFonts w:ascii="Arial" w:hAnsi="Arial" w:cs="Arial"/>
        </w:rPr>
        <w:t xml:space="preserve">regarding unacceptable behaviour should be </w:t>
      </w:r>
      <w:r w:rsidR="00222540">
        <w:rPr>
          <w:rFonts w:ascii="Arial" w:hAnsi="Arial" w:cs="Arial"/>
        </w:rPr>
        <w:t>considered in these cases.</w:t>
      </w:r>
    </w:p>
    <w:p w14:paraId="7851D2CB" w14:textId="7542CE44" w:rsidR="001179D3" w:rsidRDefault="001179D3" w:rsidP="001179D3">
      <w:pPr>
        <w:rPr>
          <w:rFonts w:ascii="Arial" w:hAnsi="Arial" w:cs="Arial"/>
        </w:rPr>
      </w:pPr>
      <w:r>
        <w:rPr>
          <w:rFonts w:ascii="Arial" w:hAnsi="Arial" w:cs="Arial"/>
        </w:rPr>
        <w:t>The Council prefers to see issues such as under-occupancy, overcrowding and unemployment addressed through investment in incentives</w:t>
      </w:r>
      <w:r w:rsidR="00C63E6D">
        <w:rPr>
          <w:rFonts w:ascii="Arial" w:hAnsi="Arial" w:cs="Arial"/>
        </w:rPr>
        <w:t xml:space="preserve"> and support</w:t>
      </w:r>
      <w:r>
        <w:rPr>
          <w:rFonts w:ascii="Arial" w:hAnsi="Arial" w:cs="Arial"/>
        </w:rPr>
        <w:t xml:space="preserve"> to move, </w:t>
      </w:r>
      <w:r w:rsidR="00C63E6D">
        <w:rPr>
          <w:rFonts w:ascii="Arial" w:hAnsi="Arial" w:cs="Arial"/>
        </w:rPr>
        <w:t xml:space="preserve">additional waiting list priority, </w:t>
      </w:r>
      <w:r>
        <w:rPr>
          <w:rFonts w:ascii="Arial" w:hAnsi="Arial" w:cs="Arial"/>
        </w:rPr>
        <w:t xml:space="preserve">support to enter employment and increasing the supply of affordable </w:t>
      </w:r>
      <w:r>
        <w:rPr>
          <w:rFonts w:ascii="Arial" w:hAnsi="Arial" w:cs="Arial"/>
        </w:rPr>
        <w:lastRenderedPageBreak/>
        <w:t>housing</w:t>
      </w:r>
      <w:r w:rsidR="00EB2C3A">
        <w:rPr>
          <w:rFonts w:ascii="Arial" w:hAnsi="Arial" w:cs="Arial"/>
        </w:rPr>
        <w:t xml:space="preserve"> across all tenures</w:t>
      </w:r>
      <w:r>
        <w:rPr>
          <w:rFonts w:ascii="Arial" w:hAnsi="Arial" w:cs="Arial"/>
        </w:rPr>
        <w:t xml:space="preserve">. It is acknowledged that social housing is a scarce resource and should focus on those who need it most. However, the use of fixed term tenancies, over the long term, may undermine the sustainability of a community by increasing the transience and social exclusion of neighbourhoods, which in turn leads to the need for increased housing management resources. Additionally, the cost to administer tenancy reviews, to seek possession where households refuse to vacate and to re-let a property is likely to be significant. The Council believes this offers poor value for money and encourages social housing providers to </w:t>
      </w:r>
      <w:r w:rsidR="00EB2C3A">
        <w:rPr>
          <w:rFonts w:ascii="Arial" w:hAnsi="Arial" w:cs="Arial"/>
        </w:rPr>
        <w:t xml:space="preserve">instead </w:t>
      </w:r>
      <w:r>
        <w:rPr>
          <w:rFonts w:ascii="Arial" w:hAnsi="Arial" w:cs="Arial"/>
        </w:rPr>
        <w:t>make the above described investments</w:t>
      </w:r>
      <w:r w:rsidR="00EB2C3A">
        <w:rPr>
          <w:rFonts w:ascii="Arial" w:hAnsi="Arial" w:cs="Arial"/>
        </w:rPr>
        <w:t xml:space="preserve"> to achieve the same outcomes</w:t>
      </w:r>
      <w:r>
        <w:rPr>
          <w:rFonts w:ascii="Arial" w:hAnsi="Arial" w:cs="Arial"/>
        </w:rPr>
        <w:t xml:space="preserve">. </w:t>
      </w:r>
    </w:p>
    <w:p w14:paraId="76109FC4" w14:textId="77777777" w:rsidR="00D773DA" w:rsidRDefault="00D773DA" w:rsidP="00D773DA">
      <w:pPr>
        <w:rPr>
          <w:rFonts w:ascii="Arial" w:hAnsi="Arial" w:cs="Arial"/>
        </w:rPr>
      </w:pPr>
      <w:r>
        <w:rPr>
          <w:rFonts w:ascii="Arial" w:hAnsi="Arial" w:cs="Arial"/>
        </w:rPr>
        <w:t>The Council does not wish to see an increase in homelessness as a result of fixed term tenancies coming to an end, or to create churn between two insecure rental tenures, whereby social tenants refused a renewal of tenancy will be assisted into the private rented sector to make way for private rented sector tenant qualifying for an allocation of social housing.</w:t>
      </w:r>
      <w:r w:rsidR="00B90322">
        <w:rPr>
          <w:rFonts w:ascii="Arial" w:hAnsi="Arial" w:cs="Arial"/>
        </w:rPr>
        <w:t xml:space="preserve"> In addition, it is important that households are not pushed into unsustainable home ownership as they over-extend themselves to obtain secure housing or are disincentivised from improving their financial circumstances as this would result in their tenancy being ended. </w:t>
      </w:r>
    </w:p>
    <w:p w14:paraId="5D2D3FFA" w14:textId="66F333D6" w:rsidR="001179D3" w:rsidRDefault="009C365C" w:rsidP="001179D3">
      <w:pPr>
        <w:rPr>
          <w:rFonts w:ascii="Arial" w:hAnsi="Arial" w:cs="Arial"/>
        </w:rPr>
      </w:pPr>
      <w:r>
        <w:rPr>
          <w:rFonts w:ascii="Arial" w:hAnsi="Arial" w:cs="Arial"/>
        </w:rPr>
        <w:t>Each s</w:t>
      </w:r>
      <w:r w:rsidR="001179D3">
        <w:rPr>
          <w:rFonts w:ascii="Arial" w:hAnsi="Arial" w:cs="Arial"/>
        </w:rPr>
        <w:t>ocial housing provider must pu</w:t>
      </w:r>
      <w:r>
        <w:rPr>
          <w:rFonts w:ascii="Arial" w:hAnsi="Arial" w:cs="Arial"/>
        </w:rPr>
        <w:t>t in place</w:t>
      </w:r>
      <w:r w:rsidR="001179D3">
        <w:rPr>
          <w:rFonts w:ascii="Arial" w:hAnsi="Arial" w:cs="Arial"/>
        </w:rPr>
        <w:t xml:space="preserve"> </w:t>
      </w:r>
      <w:r w:rsidR="00EB2C3A">
        <w:rPr>
          <w:rFonts w:ascii="Arial" w:hAnsi="Arial" w:cs="Arial"/>
        </w:rPr>
        <w:t>a</w:t>
      </w:r>
      <w:r w:rsidR="001179D3">
        <w:rPr>
          <w:rFonts w:ascii="Arial" w:hAnsi="Arial" w:cs="Arial"/>
        </w:rPr>
        <w:t xml:space="preserve"> Tenancy Policy</w:t>
      </w:r>
      <w:r>
        <w:rPr>
          <w:rFonts w:ascii="Arial" w:hAnsi="Arial" w:cs="Arial"/>
        </w:rPr>
        <w:t xml:space="preserve"> which must have due regard to this strategy. See the section below for further information on what this policy must set out. </w:t>
      </w:r>
    </w:p>
    <w:p w14:paraId="2BFC2F2A" w14:textId="77777777" w:rsidR="008F5876" w:rsidRDefault="00550011">
      <w:pPr>
        <w:rPr>
          <w:rFonts w:ascii="Arial" w:hAnsi="Arial" w:cs="Arial"/>
        </w:rPr>
      </w:pPr>
      <w:r w:rsidRPr="004B3180">
        <w:rPr>
          <w:rFonts w:ascii="Arial" w:hAnsi="Arial" w:cs="Arial"/>
        </w:rPr>
        <w:t>Summary of the Council’s position on tenancies:</w:t>
      </w:r>
    </w:p>
    <w:p w14:paraId="2CA846B2" w14:textId="77777777" w:rsidR="004B3180" w:rsidRPr="004B3180" w:rsidRDefault="004B3180" w:rsidP="004B3180">
      <w:pPr>
        <w:pStyle w:val="ListParagraph"/>
        <w:numPr>
          <w:ilvl w:val="0"/>
          <w:numId w:val="1"/>
        </w:numPr>
        <w:rPr>
          <w:rFonts w:ascii="Arial" w:hAnsi="Arial" w:cs="Arial"/>
        </w:rPr>
      </w:pPr>
      <w:r w:rsidRPr="004B3180">
        <w:rPr>
          <w:rFonts w:ascii="Arial" w:hAnsi="Arial" w:cs="Arial"/>
        </w:rPr>
        <w:t>Social housing providers operating in Ashfield should offer the most secure form of tenure possible</w:t>
      </w:r>
    </w:p>
    <w:p w14:paraId="4EACDB67" w14:textId="77777777" w:rsidR="004B3180" w:rsidRPr="004B3180" w:rsidRDefault="004B3180" w:rsidP="004B3180">
      <w:pPr>
        <w:pStyle w:val="ListParagraph"/>
        <w:numPr>
          <w:ilvl w:val="0"/>
          <w:numId w:val="1"/>
        </w:numPr>
        <w:rPr>
          <w:rFonts w:ascii="Arial" w:hAnsi="Arial" w:cs="Arial"/>
        </w:rPr>
      </w:pPr>
      <w:r w:rsidRPr="004B3180">
        <w:rPr>
          <w:rFonts w:ascii="Arial" w:hAnsi="Arial" w:cs="Arial"/>
        </w:rPr>
        <w:t>The Council only supports the use of fixed term tenancies in limited circumstances and to operate with a presumption of renewal</w:t>
      </w:r>
    </w:p>
    <w:p w14:paraId="5869D5DC" w14:textId="77777777" w:rsidR="004B3180" w:rsidRPr="004B3180" w:rsidRDefault="004B3180" w:rsidP="004B3180">
      <w:pPr>
        <w:pStyle w:val="ListParagraph"/>
        <w:numPr>
          <w:ilvl w:val="0"/>
          <w:numId w:val="1"/>
        </w:numPr>
        <w:rPr>
          <w:rFonts w:ascii="Arial" w:hAnsi="Arial" w:cs="Arial"/>
        </w:rPr>
      </w:pPr>
      <w:r w:rsidRPr="004B3180">
        <w:rPr>
          <w:rFonts w:ascii="Arial" w:hAnsi="Arial" w:cs="Arial"/>
        </w:rPr>
        <w:t>The Council prefers to see issues such as under-occupancy, overcrowding and unemployment addressed through investment in incentives and support to move, additional waiting list priority, support to enter employment and increasing the supply of affordable housing across all tenures.</w:t>
      </w:r>
    </w:p>
    <w:p w14:paraId="6F3E31C9" w14:textId="77777777" w:rsidR="004B3180" w:rsidRPr="004B3180" w:rsidRDefault="004B3180" w:rsidP="004B3180">
      <w:pPr>
        <w:pStyle w:val="ListParagraph"/>
        <w:numPr>
          <w:ilvl w:val="0"/>
          <w:numId w:val="1"/>
        </w:numPr>
        <w:rPr>
          <w:rFonts w:ascii="Arial" w:hAnsi="Arial" w:cs="Arial"/>
        </w:rPr>
      </w:pPr>
      <w:r w:rsidRPr="004B3180">
        <w:rPr>
          <w:rFonts w:ascii="Arial" w:hAnsi="Arial" w:cs="Arial"/>
        </w:rPr>
        <w:t xml:space="preserve">Households should not be pushed into unsustainable home ownership as they over-extend themselves to obtain secure housing or be disincentivised from improving their financial circumstances as this would result in their tenancy being ended. </w:t>
      </w:r>
    </w:p>
    <w:p w14:paraId="4008D631" w14:textId="77777777" w:rsidR="004B3180" w:rsidRPr="004B3180" w:rsidRDefault="004B3180" w:rsidP="004B3180">
      <w:pPr>
        <w:pStyle w:val="ListParagraph"/>
        <w:numPr>
          <w:ilvl w:val="0"/>
          <w:numId w:val="1"/>
        </w:numPr>
        <w:rPr>
          <w:rFonts w:ascii="Arial" w:hAnsi="Arial" w:cs="Arial"/>
        </w:rPr>
      </w:pPr>
      <w:r w:rsidRPr="004B3180">
        <w:rPr>
          <w:rFonts w:ascii="Arial" w:hAnsi="Arial" w:cs="Arial"/>
        </w:rPr>
        <w:t>The Council does not wish to see an increase in homelessness as a result of fixed term tenancies coming to an end, or to create churn between two insecure rental tenures</w:t>
      </w:r>
    </w:p>
    <w:p w14:paraId="2E0DFE7A" w14:textId="77777777" w:rsidR="004B3180" w:rsidRPr="004B3180" w:rsidRDefault="004B3180" w:rsidP="004B3180">
      <w:pPr>
        <w:pStyle w:val="ListParagraph"/>
        <w:numPr>
          <w:ilvl w:val="0"/>
          <w:numId w:val="1"/>
        </w:numPr>
        <w:rPr>
          <w:rFonts w:ascii="Arial" w:hAnsi="Arial" w:cs="Arial"/>
        </w:rPr>
      </w:pPr>
      <w:r w:rsidRPr="004B3180">
        <w:rPr>
          <w:rFonts w:ascii="Arial" w:hAnsi="Arial" w:cs="Arial"/>
        </w:rPr>
        <w:t>Each social housing provider must put in place a Tenancy Policy which must have due regard to this strategy</w:t>
      </w:r>
    </w:p>
    <w:p w14:paraId="04AA33D4" w14:textId="77777777" w:rsidR="00550011" w:rsidRPr="00550011" w:rsidRDefault="00550011" w:rsidP="004B3180">
      <w:pPr>
        <w:pStyle w:val="ListParagraph"/>
        <w:ind w:left="360"/>
        <w:rPr>
          <w:rFonts w:ascii="Arial" w:hAnsi="Arial" w:cs="Arial"/>
        </w:rPr>
      </w:pPr>
    </w:p>
    <w:p w14:paraId="10931021" w14:textId="77777777" w:rsidR="0091753E" w:rsidRDefault="0091753E">
      <w:pPr>
        <w:rPr>
          <w:rFonts w:ascii="Arial" w:hAnsi="Arial" w:cs="Arial"/>
          <w:b/>
        </w:rPr>
      </w:pPr>
      <w:r w:rsidRPr="00C77540">
        <w:rPr>
          <w:rFonts w:ascii="Arial" w:hAnsi="Arial" w:cs="Arial"/>
          <w:b/>
        </w:rPr>
        <w:t>Affordable Rent</w:t>
      </w:r>
    </w:p>
    <w:p w14:paraId="74DE79BB" w14:textId="467BACAD" w:rsidR="00550011" w:rsidRDefault="00550011" w:rsidP="00EB2C3A">
      <w:pPr>
        <w:rPr>
          <w:rFonts w:ascii="Arial" w:hAnsi="Arial" w:cs="Arial"/>
        </w:rPr>
      </w:pPr>
      <w:r>
        <w:rPr>
          <w:rFonts w:ascii="Arial" w:hAnsi="Arial" w:cs="Arial"/>
        </w:rPr>
        <w:t xml:space="preserve">Social rent is still the preferred tenure for existing and </w:t>
      </w:r>
      <w:r w:rsidR="00D3536F">
        <w:rPr>
          <w:rFonts w:ascii="Arial" w:hAnsi="Arial" w:cs="Arial"/>
        </w:rPr>
        <w:t>new social housing</w:t>
      </w:r>
      <w:r w:rsidR="004628D7">
        <w:rPr>
          <w:rFonts w:ascii="Arial" w:hAnsi="Arial" w:cs="Arial"/>
        </w:rPr>
        <w:t xml:space="preserve"> in Ashfield</w:t>
      </w:r>
      <w:r w:rsidR="00D3536F">
        <w:rPr>
          <w:rFonts w:ascii="Arial" w:hAnsi="Arial" w:cs="Arial"/>
        </w:rPr>
        <w:t xml:space="preserve">, </w:t>
      </w:r>
      <w:r w:rsidR="00D3536F" w:rsidRPr="00171973">
        <w:rPr>
          <w:rFonts w:ascii="Arial" w:hAnsi="Arial" w:cs="Arial"/>
        </w:rPr>
        <w:t xml:space="preserve">in particular for </w:t>
      </w:r>
      <w:r w:rsidR="00D1322D" w:rsidRPr="00171973">
        <w:rPr>
          <w:rFonts w:ascii="Arial" w:hAnsi="Arial" w:cs="Arial"/>
        </w:rPr>
        <w:t xml:space="preserve">larger family housing, </w:t>
      </w:r>
      <w:r w:rsidR="00D3536F" w:rsidRPr="00171973">
        <w:rPr>
          <w:rFonts w:ascii="Arial" w:hAnsi="Arial" w:cs="Arial"/>
        </w:rPr>
        <w:t>older persons’ housing and homes delivered through s.106 agreements</w:t>
      </w:r>
      <w:r w:rsidR="00171973">
        <w:rPr>
          <w:rFonts w:ascii="Arial" w:hAnsi="Arial" w:cs="Arial"/>
        </w:rPr>
        <w:t>.</w:t>
      </w:r>
    </w:p>
    <w:p w14:paraId="15F10089" w14:textId="39CDD3D6" w:rsidR="00EB2C3A" w:rsidRDefault="00EB2C3A" w:rsidP="00EB2C3A">
      <w:pPr>
        <w:rPr>
          <w:rFonts w:ascii="Arial" w:hAnsi="Arial" w:cs="Arial"/>
        </w:rPr>
      </w:pPr>
      <w:r>
        <w:rPr>
          <w:rFonts w:ascii="Arial" w:hAnsi="Arial" w:cs="Arial"/>
        </w:rPr>
        <w:t>The Council understands that providers may be under an ob</w:t>
      </w:r>
      <w:r w:rsidR="009425D7">
        <w:rPr>
          <w:rFonts w:ascii="Arial" w:hAnsi="Arial" w:cs="Arial"/>
        </w:rPr>
        <w:t>ligation to deliver Affordable R</w:t>
      </w:r>
      <w:r>
        <w:rPr>
          <w:rFonts w:ascii="Arial" w:hAnsi="Arial" w:cs="Arial"/>
        </w:rPr>
        <w:t xml:space="preserve">ent housing as part of the funding agreement with Homes England, however, registered providers have the flexibility to set these rents at </w:t>
      </w:r>
      <w:r>
        <w:rPr>
          <w:rFonts w:ascii="Arial" w:hAnsi="Arial" w:cs="Arial"/>
          <w:i/>
        </w:rPr>
        <w:t>up to</w:t>
      </w:r>
      <w:r>
        <w:rPr>
          <w:rFonts w:ascii="Arial" w:hAnsi="Arial" w:cs="Arial"/>
        </w:rPr>
        <w:t xml:space="preserve"> 80% of the market rent and as such </w:t>
      </w:r>
      <w:r>
        <w:rPr>
          <w:rFonts w:ascii="Arial" w:hAnsi="Arial" w:cs="Arial"/>
        </w:rPr>
        <w:lastRenderedPageBreak/>
        <w:t>the Council encourages registered provides to utilise this discretion to ens</w:t>
      </w:r>
      <w:r w:rsidR="00C77540">
        <w:rPr>
          <w:rFonts w:ascii="Arial" w:hAnsi="Arial" w:cs="Arial"/>
        </w:rPr>
        <w:t>ure developments are affordable.</w:t>
      </w:r>
    </w:p>
    <w:p w14:paraId="7EE1DC50" w14:textId="68CC7A67" w:rsidR="00C77540" w:rsidRDefault="00C77540" w:rsidP="00EB2C3A">
      <w:pPr>
        <w:rPr>
          <w:rFonts w:ascii="Arial" w:hAnsi="Arial" w:cs="Arial"/>
        </w:rPr>
      </w:pPr>
      <w:r w:rsidRPr="004126C0">
        <w:rPr>
          <w:rFonts w:ascii="Arial" w:hAnsi="Arial" w:cs="Arial"/>
        </w:rPr>
        <w:t>The Council encourages providers to consider the average income of low income households in Ashfield when setting rents and to take steps when letting homes to ensure households will have sufficient funds for other essential expenditure after their housing costs. The Council does not wish to see households facing financial difficulties because their income is insufficient for their housing costs and other essential expenditure.</w:t>
      </w:r>
      <w:r>
        <w:rPr>
          <w:rFonts w:ascii="Arial" w:hAnsi="Arial" w:cs="Arial"/>
        </w:rPr>
        <w:t xml:space="preserve"> </w:t>
      </w:r>
    </w:p>
    <w:p w14:paraId="5D6E73BA" w14:textId="6CC6AA48" w:rsidR="00A908B0" w:rsidRPr="004628D7" w:rsidRDefault="004628D7" w:rsidP="004628D7">
      <w:pPr>
        <w:rPr>
          <w:rFonts w:ascii="Arial" w:hAnsi="Arial" w:cs="Arial"/>
        </w:rPr>
      </w:pPr>
      <w:r w:rsidRPr="004126C0">
        <w:rPr>
          <w:rFonts w:ascii="Arial" w:hAnsi="Arial" w:cs="Arial"/>
        </w:rPr>
        <w:t>The Council also encourages registered providers to ensure that properties remain affordable for those subject to the benefit cap</w:t>
      </w:r>
      <w:r w:rsidR="00B0499B" w:rsidRPr="004126C0">
        <w:rPr>
          <w:rFonts w:ascii="Arial" w:hAnsi="Arial" w:cs="Arial"/>
        </w:rPr>
        <w:t>. In Ashfield, this has mainly affected households with 3 or more children. As such, Affordable Rent properties with 3 or more bedrooms may result in households being subject to the cap. Registered providers should consider the affordab</w:t>
      </w:r>
      <w:r w:rsidR="00515F3B" w:rsidRPr="004126C0">
        <w:rPr>
          <w:rFonts w:ascii="Arial" w:hAnsi="Arial" w:cs="Arial"/>
        </w:rPr>
        <w:t xml:space="preserve">ility of such </w:t>
      </w:r>
      <w:r w:rsidR="00B0499B" w:rsidRPr="004126C0">
        <w:rPr>
          <w:rFonts w:ascii="Arial" w:hAnsi="Arial" w:cs="Arial"/>
        </w:rPr>
        <w:t xml:space="preserve">properties </w:t>
      </w:r>
      <w:r w:rsidR="00515F3B" w:rsidRPr="004126C0">
        <w:rPr>
          <w:rFonts w:ascii="Arial" w:hAnsi="Arial" w:cs="Arial"/>
        </w:rPr>
        <w:t>when they are looking to develop or convert them for Affordable Rent.</w:t>
      </w:r>
      <w:r w:rsidR="00515F3B">
        <w:rPr>
          <w:rFonts w:ascii="Arial" w:hAnsi="Arial" w:cs="Arial"/>
        </w:rPr>
        <w:t xml:space="preserve"> </w:t>
      </w:r>
    </w:p>
    <w:p w14:paraId="533060E9" w14:textId="7F6B5EDD" w:rsidR="00C77540" w:rsidRDefault="00A908B0" w:rsidP="00C77540">
      <w:pPr>
        <w:autoSpaceDE w:val="0"/>
        <w:autoSpaceDN w:val="0"/>
        <w:adjustRightInd w:val="0"/>
        <w:spacing w:after="0" w:line="240" w:lineRule="auto"/>
        <w:rPr>
          <w:rFonts w:ascii="Arial" w:hAnsi="Arial" w:cs="Arial"/>
        </w:rPr>
      </w:pPr>
      <w:r>
        <w:rPr>
          <w:rFonts w:ascii="Arial" w:hAnsi="Arial" w:cs="Arial"/>
        </w:rPr>
        <w:t>W</w:t>
      </w:r>
      <w:r w:rsidR="00550011">
        <w:rPr>
          <w:rFonts w:ascii="Arial" w:hAnsi="Arial" w:cs="Arial"/>
        </w:rPr>
        <w:t>hilst there i</w:t>
      </w:r>
      <w:r w:rsidR="004126C0">
        <w:rPr>
          <w:rFonts w:ascii="Arial" w:hAnsi="Arial" w:cs="Arial"/>
        </w:rPr>
        <w:t>s no legal or other requirement</w:t>
      </w:r>
      <w:r w:rsidR="00550011">
        <w:rPr>
          <w:rFonts w:ascii="Arial" w:hAnsi="Arial" w:cs="Arial"/>
        </w:rPr>
        <w:t xml:space="preserve"> that sums generated in Ashfield as a result of charging Affordable Rent will necessarily be used for reinvestment in Ashfield, the Council seeks commitment from </w:t>
      </w:r>
      <w:r w:rsidR="002B25D0">
        <w:rPr>
          <w:rFonts w:ascii="Arial" w:hAnsi="Arial" w:cs="Arial"/>
        </w:rPr>
        <w:t xml:space="preserve">providers </w:t>
      </w:r>
      <w:r w:rsidR="00550011">
        <w:rPr>
          <w:rFonts w:ascii="Arial" w:hAnsi="Arial" w:cs="Arial"/>
        </w:rPr>
        <w:t xml:space="preserve">that a reasonable level of </w:t>
      </w:r>
      <w:r w:rsidR="002B25D0">
        <w:rPr>
          <w:rFonts w:ascii="Arial" w:hAnsi="Arial" w:cs="Arial"/>
        </w:rPr>
        <w:t>locally based reinvestment will</w:t>
      </w:r>
      <w:r w:rsidR="00550011">
        <w:rPr>
          <w:rFonts w:ascii="Arial" w:hAnsi="Arial" w:cs="Arial"/>
        </w:rPr>
        <w:t xml:space="preserve"> result.</w:t>
      </w:r>
    </w:p>
    <w:p w14:paraId="3D52995A" w14:textId="77777777" w:rsidR="00C77540" w:rsidRDefault="00C77540" w:rsidP="00C77540">
      <w:pPr>
        <w:autoSpaceDE w:val="0"/>
        <w:autoSpaceDN w:val="0"/>
        <w:adjustRightInd w:val="0"/>
        <w:spacing w:after="0" w:line="240" w:lineRule="auto"/>
        <w:rPr>
          <w:rFonts w:ascii="Arial" w:hAnsi="Arial" w:cs="Arial"/>
        </w:rPr>
      </w:pPr>
    </w:p>
    <w:p w14:paraId="0CE4F117" w14:textId="2E9F2B77" w:rsidR="00C77540" w:rsidRDefault="00C77540" w:rsidP="00C77540">
      <w:pPr>
        <w:autoSpaceDE w:val="0"/>
        <w:autoSpaceDN w:val="0"/>
        <w:adjustRightInd w:val="0"/>
        <w:spacing w:after="0" w:line="240" w:lineRule="auto"/>
        <w:rPr>
          <w:rFonts w:ascii="Arial" w:hAnsi="Arial" w:cs="Arial"/>
        </w:rPr>
      </w:pPr>
      <w:r w:rsidRPr="002B25D0">
        <w:rPr>
          <w:rFonts w:ascii="Arial" w:hAnsi="Arial" w:cs="Arial"/>
        </w:rPr>
        <w:t xml:space="preserve">The Council requests that providers have regard to the overall mix of properties in areas where they are looking to convert properties from social rent to Affordable Rent. The Council does not wish to see an area experience a disproportionately high level of conversions to ensure that existing social tenants are able to transfer to their area of choice at the same rent level. </w:t>
      </w:r>
      <w:r w:rsidRPr="00171973">
        <w:rPr>
          <w:rFonts w:ascii="Arial" w:hAnsi="Arial" w:cs="Arial"/>
        </w:rPr>
        <w:t>Where Affordable Rent development or conversions are considered by a provider in the foll</w:t>
      </w:r>
      <w:r w:rsidR="004126C0" w:rsidRPr="00171973">
        <w:rPr>
          <w:rFonts w:ascii="Arial" w:hAnsi="Arial" w:cs="Arial"/>
        </w:rPr>
        <w:t xml:space="preserve">owing areas </w:t>
      </w:r>
      <w:r w:rsidRPr="00171973">
        <w:rPr>
          <w:rFonts w:ascii="Arial" w:hAnsi="Arial" w:cs="Arial"/>
        </w:rPr>
        <w:t>Cars</w:t>
      </w:r>
      <w:r w:rsidR="004126C0" w:rsidRPr="00171973">
        <w:rPr>
          <w:rFonts w:ascii="Arial" w:hAnsi="Arial" w:cs="Arial"/>
        </w:rPr>
        <w:t>ic, Leamington and Summit wards,</w:t>
      </w:r>
      <w:r w:rsidRPr="0015040C">
        <w:rPr>
          <w:rFonts w:ascii="Arial" w:hAnsi="Arial" w:cs="Arial"/>
        </w:rPr>
        <w:t xml:space="preserve"> providers must discuss this with the Council to ensure the proposals are appropriate for the area.</w:t>
      </w:r>
      <w:r w:rsidRPr="002B25D0">
        <w:rPr>
          <w:rFonts w:ascii="Arial" w:hAnsi="Arial" w:cs="Arial"/>
        </w:rPr>
        <w:t xml:space="preserve"> In all cases, providers must consider the impact of any </w:t>
      </w:r>
      <w:r w:rsidRPr="0015040C">
        <w:rPr>
          <w:rFonts w:ascii="Arial" w:hAnsi="Arial" w:cs="Arial"/>
        </w:rPr>
        <w:t xml:space="preserve">conversions on the tenure profile and sustainability of the area.  </w:t>
      </w:r>
    </w:p>
    <w:p w14:paraId="2B5345AE" w14:textId="77777777" w:rsidR="004126C0" w:rsidRPr="0015040C" w:rsidRDefault="004126C0" w:rsidP="00C77540">
      <w:pPr>
        <w:autoSpaceDE w:val="0"/>
        <w:autoSpaceDN w:val="0"/>
        <w:adjustRightInd w:val="0"/>
        <w:spacing w:after="0" w:line="240" w:lineRule="auto"/>
        <w:rPr>
          <w:rFonts w:ascii="Arial" w:hAnsi="Arial" w:cs="Arial"/>
        </w:rPr>
      </w:pPr>
    </w:p>
    <w:p w14:paraId="4601A6B1" w14:textId="77777777" w:rsidR="00C77540" w:rsidRDefault="00C77540" w:rsidP="00C77540">
      <w:pPr>
        <w:rPr>
          <w:rFonts w:ascii="Arial" w:hAnsi="Arial" w:cs="Arial"/>
        </w:rPr>
      </w:pPr>
      <w:r w:rsidRPr="0015040C">
        <w:rPr>
          <w:rFonts w:ascii="Arial" w:hAnsi="Arial" w:cs="Arial"/>
        </w:rPr>
        <w:t xml:space="preserve">Providers must discuss with the Council any plans to convert older person’s accommodation </w:t>
      </w:r>
      <w:r w:rsidRPr="00171973">
        <w:rPr>
          <w:rFonts w:ascii="Arial" w:hAnsi="Arial" w:cs="Arial"/>
        </w:rPr>
        <w:t>or properties that have been adapted to Affordable Rent</w:t>
      </w:r>
    </w:p>
    <w:p w14:paraId="1E0FD10B" w14:textId="525081CA" w:rsidR="00550011" w:rsidRDefault="00187546">
      <w:pPr>
        <w:rPr>
          <w:rFonts w:ascii="Arial" w:hAnsi="Arial" w:cs="Arial"/>
          <w:color w:val="000000"/>
        </w:rPr>
      </w:pPr>
      <w:r w:rsidRPr="00187546">
        <w:rPr>
          <w:rFonts w:ascii="Arial" w:hAnsi="Arial" w:cs="Arial"/>
          <w:color w:val="000000"/>
        </w:rPr>
        <w:t xml:space="preserve">The Council expects that providers will discuss their Affordable Rent conversion policy with </w:t>
      </w:r>
      <w:r w:rsidR="004628D7">
        <w:rPr>
          <w:rFonts w:ascii="Arial" w:hAnsi="Arial" w:cs="Arial"/>
          <w:color w:val="000000"/>
        </w:rPr>
        <w:t>us</w:t>
      </w:r>
      <w:r w:rsidRPr="00187546">
        <w:rPr>
          <w:rFonts w:ascii="Arial" w:hAnsi="Arial" w:cs="Arial"/>
          <w:color w:val="000000"/>
        </w:rPr>
        <w:t xml:space="preserve"> and will provide information to the Council on a regular basis to monitor the number and location of Affordable Rent properties in the District. </w:t>
      </w:r>
    </w:p>
    <w:p w14:paraId="6413A1B5" w14:textId="3C1679D3" w:rsidR="00D2388E" w:rsidRDefault="00D2388E" w:rsidP="00D2388E">
      <w:pPr>
        <w:autoSpaceDE w:val="0"/>
        <w:autoSpaceDN w:val="0"/>
        <w:adjustRightInd w:val="0"/>
        <w:spacing w:after="0" w:line="240" w:lineRule="auto"/>
        <w:rPr>
          <w:rFonts w:ascii="Arial" w:hAnsi="Arial" w:cs="Arial"/>
        </w:rPr>
      </w:pPr>
      <w:r>
        <w:rPr>
          <w:rFonts w:ascii="Arial" w:hAnsi="Arial" w:cs="Arial"/>
          <w:color w:val="000000"/>
        </w:rPr>
        <w:t>The Council does not</w:t>
      </w:r>
      <w:r w:rsidRPr="00187C82">
        <w:rPr>
          <w:rFonts w:ascii="Arial" w:hAnsi="Arial" w:cs="Arial"/>
          <w:color w:val="000000"/>
        </w:rPr>
        <w:t xml:space="preserve"> support conversions of social rent and shared ownership units which were delivered (or due to be delivered) through existing s106 agreements to </w:t>
      </w:r>
      <w:r w:rsidRPr="00187C82">
        <w:rPr>
          <w:rFonts w:ascii="Arial" w:hAnsi="Arial" w:cs="Arial"/>
        </w:rPr>
        <w:t xml:space="preserve">Affordable Rent where the S106 agreement or other legal covenants state that the affordability/tenure of those units </w:t>
      </w:r>
      <w:r>
        <w:rPr>
          <w:rFonts w:ascii="Arial" w:hAnsi="Arial" w:cs="Arial"/>
        </w:rPr>
        <w:t xml:space="preserve">is </w:t>
      </w:r>
      <w:r w:rsidRPr="00187C82">
        <w:rPr>
          <w:rFonts w:ascii="Arial" w:hAnsi="Arial" w:cs="Arial"/>
        </w:rPr>
        <w:t xml:space="preserve">to remain as social rent or shared ownership or where other similar legal restrictions apply. </w:t>
      </w:r>
    </w:p>
    <w:p w14:paraId="602F78EA" w14:textId="77777777" w:rsidR="00D2388E" w:rsidRDefault="00D2388E" w:rsidP="00D2388E">
      <w:pPr>
        <w:autoSpaceDE w:val="0"/>
        <w:autoSpaceDN w:val="0"/>
        <w:adjustRightInd w:val="0"/>
        <w:spacing w:after="0" w:line="240" w:lineRule="auto"/>
        <w:rPr>
          <w:rFonts w:ascii="Arial" w:hAnsi="Arial" w:cs="Arial"/>
        </w:rPr>
      </w:pPr>
    </w:p>
    <w:p w14:paraId="3EC68C1A" w14:textId="77777777" w:rsidR="00A20116" w:rsidRDefault="00D2388E" w:rsidP="00B52861">
      <w:pPr>
        <w:autoSpaceDE w:val="0"/>
        <w:autoSpaceDN w:val="0"/>
        <w:adjustRightInd w:val="0"/>
        <w:spacing w:after="0" w:line="240" w:lineRule="auto"/>
        <w:rPr>
          <w:rFonts w:ascii="Arial" w:hAnsi="Arial" w:cs="Arial"/>
          <w:color w:val="000000"/>
        </w:rPr>
      </w:pPr>
      <w:r>
        <w:rPr>
          <w:rFonts w:ascii="Arial" w:hAnsi="Arial" w:cs="Arial"/>
          <w:color w:val="000000"/>
        </w:rPr>
        <w:t>The Council expects providers to seek our consent to c</w:t>
      </w:r>
      <w:r w:rsidRPr="00187C82">
        <w:rPr>
          <w:rFonts w:ascii="Arial" w:hAnsi="Arial" w:cs="Arial"/>
          <w:color w:val="000000"/>
        </w:rPr>
        <w:t>onver</w:t>
      </w:r>
      <w:r>
        <w:rPr>
          <w:rFonts w:ascii="Arial" w:hAnsi="Arial" w:cs="Arial"/>
          <w:color w:val="000000"/>
        </w:rPr>
        <w:t>t</w:t>
      </w:r>
      <w:r w:rsidRPr="00187C82">
        <w:rPr>
          <w:rFonts w:ascii="Arial" w:hAnsi="Arial" w:cs="Arial"/>
          <w:color w:val="000000"/>
        </w:rPr>
        <w:t xml:space="preserve"> existing social rent dwellings which have previously been developed using subsidy (grant and/or free/reduced land) only from the </w:t>
      </w:r>
      <w:r>
        <w:rPr>
          <w:rFonts w:ascii="Arial" w:hAnsi="Arial" w:cs="Arial"/>
          <w:color w:val="000000"/>
        </w:rPr>
        <w:t>Council</w:t>
      </w:r>
      <w:r w:rsidRPr="00187C82">
        <w:rPr>
          <w:rFonts w:ascii="Arial" w:hAnsi="Arial" w:cs="Arial"/>
          <w:color w:val="000000"/>
        </w:rPr>
        <w:t xml:space="preserve"> (e.g. with no additional public subsid</w:t>
      </w:r>
      <w:r w:rsidR="00A4357F">
        <w:rPr>
          <w:rFonts w:ascii="Arial" w:hAnsi="Arial" w:cs="Arial"/>
          <w:color w:val="000000"/>
        </w:rPr>
        <w:t xml:space="preserve">y being forthcoming from </w:t>
      </w:r>
      <w:r w:rsidR="00BC2CB4">
        <w:rPr>
          <w:rFonts w:ascii="Arial" w:hAnsi="Arial" w:cs="Arial"/>
          <w:color w:val="000000"/>
        </w:rPr>
        <w:t>Homes England</w:t>
      </w:r>
      <w:r w:rsidRPr="00187C82">
        <w:rPr>
          <w:rFonts w:ascii="Arial" w:hAnsi="Arial" w:cs="Arial"/>
          <w:color w:val="000000"/>
        </w:rPr>
        <w:t>)</w:t>
      </w:r>
      <w:r>
        <w:rPr>
          <w:rFonts w:ascii="Arial" w:hAnsi="Arial" w:cs="Arial"/>
          <w:color w:val="000000"/>
        </w:rPr>
        <w:t>.</w:t>
      </w:r>
      <w:r w:rsidRPr="00187C82">
        <w:rPr>
          <w:rFonts w:ascii="Arial" w:hAnsi="Arial" w:cs="Arial"/>
          <w:color w:val="000000"/>
        </w:rPr>
        <w:t xml:space="preserve"> The </w:t>
      </w:r>
      <w:r>
        <w:rPr>
          <w:rFonts w:ascii="Arial" w:hAnsi="Arial" w:cs="Arial"/>
          <w:color w:val="000000"/>
        </w:rPr>
        <w:t>Council</w:t>
      </w:r>
      <w:r w:rsidRPr="00187C82">
        <w:rPr>
          <w:rFonts w:ascii="Arial" w:hAnsi="Arial" w:cs="Arial"/>
          <w:color w:val="000000"/>
        </w:rPr>
        <w:t xml:space="preserve"> may require either direct re-investment within the Dist</w:t>
      </w:r>
      <w:r w:rsidR="00597F33">
        <w:rPr>
          <w:rFonts w:ascii="Arial" w:hAnsi="Arial" w:cs="Arial"/>
          <w:color w:val="000000"/>
        </w:rPr>
        <w:t>rict or repayment of the subsidy</w:t>
      </w:r>
      <w:r w:rsidRPr="00187C82">
        <w:rPr>
          <w:rFonts w:ascii="Arial" w:hAnsi="Arial" w:cs="Arial"/>
          <w:color w:val="000000"/>
        </w:rPr>
        <w:t>.</w:t>
      </w:r>
    </w:p>
    <w:p w14:paraId="400C0E16" w14:textId="77777777" w:rsidR="00A20116" w:rsidRDefault="00A20116" w:rsidP="00B52861">
      <w:pPr>
        <w:autoSpaceDE w:val="0"/>
        <w:autoSpaceDN w:val="0"/>
        <w:adjustRightInd w:val="0"/>
        <w:spacing w:after="0" w:line="240" w:lineRule="auto"/>
        <w:rPr>
          <w:rFonts w:ascii="Arial" w:hAnsi="Arial" w:cs="Arial"/>
          <w:color w:val="000000"/>
        </w:rPr>
      </w:pPr>
    </w:p>
    <w:p w14:paraId="3DAE996B" w14:textId="77777777" w:rsidR="00A20116" w:rsidRDefault="00A20116" w:rsidP="00B52861">
      <w:pPr>
        <w:autoSpaceDE w:val="0"/>
        <w:autoSpaceDN w:val="0"/>
        <w:adjustRightInd w:val="0"/>
        <w:spacing w:after="0" w:line="240" w:lineRule="auto"/>
        <w:rPr>
          <w:rFonts w:ascii="Arial" w:hAnsi="Arial" w:cs="Arial"/>
          <w:color w:val="000000"/>
        </w:rPr>
      </w:pPr>
      <w:r>
        <w:rPr>
          <w:rFonts w:ascii="Arial" w:hAnsi="Arial" w:cs="Arial"/>
          <w:color w:val="000000"/>
        </w:rPr>
        <w:t>Summary of the Council’s position on Affordable Rent</w:t>
      </w:r>
    </w:p>
    <w:p w14:paraId="154AA484" w14:textId="77777777" w:rsidR="00A20116" w:rsidRPr="00A20116" w:rsidRDefault="00A20116" w:rsidP="00A20116">
      <w:pPr>
        <w:pStyle w:val="ListParagraph"/>
        <w:numPr>
          <w:ilvl w:val="0"/>
          <w:numId w:val="1"/>
        </w:numPr>
        <w:rPr>
          <w:rFonts w:ascii="Arial" w:hAnsi="Arial" w:cs="Arial"/>
        </w:rPr>
      </w:pPr>
      <w:r w:rsidRPr="00A20116">
        <w:rPr>
          <w:rFonts w:ascii="Arial" w:hAnsi="Arial" w:cs="Arial"/>
        </w:rPr>
        <w:t>Social rent is still the preferred tenure for existing and new social housing in Ashfield,</w:t>
      </w:r>
    </w:p>
    <w:p w14:paraId="6B96090F" w14:textId="77777777" w:rsidR="00A20116" w:rsidRPr="00A20116" w:rsidRDefault="00A20116" w:rsidP="00A20116">
      <w:pPr>
        <w:pStyle w:val="ListParagraph"/>
        <w:numPr>
          <w:ilvl w:val="0"/>
          <w:numId w:val="1"/>
        </w:numPr>
        <w:rPr>
          <w:rFonts w:ascii="Arial" w:hAnsi="Arial" w:cs="Arial"/>
        </w:rPr>
      </w:pPr>
      <w:r w:rsidRPr="00A20116">
        <w:rPr>
          <w:rFonts w:ascii="Arial" w:hAnsi="Arial" w:cs="Arial"/>
        </w:rPr>
        <w:t>The Council encourages providers to use their discretion to set Affordable Rents below 80% of the market rent to ensure developments are affordable</w:t>
      </w:r>
    </w:p>
    <w:p w14:paraId="75E66B9F" w14:textId="77777777" w:rsidR="00A20116" w:rsidRPr="00A20116" w:rsidRDefault="00A20116" w:rsidP="00A20116">
      <w:pPr>
        <w:pStyle w:val="ListParagraph"/>
        <w:numPr>
          <w:ilvl w:val="0"/>
          <w:numId w:val="1"/>
        </w:numPr>
        <w:rPr>
          <w:rFonts w:ascii="Arial" w:hAnsi="Arial" w:cs="Arial"/>
        </w:rPr>
      </w:pPr>
      <w:r w:rsidRPr="00A20116">
        <w:rPr>
          <w:rFonts w:ascii="Arial" w:hAnsi="Arial" w:cs="Arial"/>
        </w:rPr>
        <w:lastRenderedPageBreak/>
        <w:t>The Council does not wish to see households facing financial difficulties because their income is insufficient for their housing costs and other essential expenditure.</w:t>
      </w:r>
    </w:p>
    <w:p w14:paraId="23BBB79D" w14:textId="77777777" w:rsidR="00A20116" w:rsidRPr="00A20116" w:rsidRDefault="00A20116" w:rsidP="00A20116">
      <w:pPr>
        <w:pStyle w:val="ListParagraph"/>
        <w:numPr>
          <w:ilvl w:val="0"/>
          <w:numId w:val="1"/>
        </w:numPr>
        <w:rPr>
          <w:rFonts w:ascii="Arial" w:hAnsi="Arial" w:cs="Arial"/>
        </w:rPr>
      </w:pPr>
      <w:r w:rsidRPr="00A20116">
        <w:rPr>
          <w:rFonts w:ascii="Arial" w:hAnsi="Arial" w:cs="Arial"/>
        </w:rPr>
        <w:t>The Council also encourages registered providers to ensure that properties remain affordable for those subject to the benefit cap</w:t>
      </w:r>
    </w:p>
    <w:p w14:paraId="05ADF0E7" w14:textId="52351EA8" w:rsidR="00A20116" w:rsidRPr="00493578" w:rsidRDefault="00A20116" w:rsidP="00493578">
      <w:pPr>
        <w:pStyle w:val="ListParagraph"/>
        <w:numPr>
          <w:ilvl w:val="0"/>
          <w:numId w:val="1"/>
        </w:numPr>
        <w:autoSpaceDE w:val="0"/>
        <w:autoSpaceDN w:val="0"/>
        <w:adjustRightInd w:val="0"/>
        <w:spacing w:after="0" w:line="240" w:lineRule="auto"/>
        <w:rPr>
          <w:rFonts w:ascii="Arial" w:hAnsi="Arial" w:cs="Arial"/>
        </w:rPr>
      </w:pPr>
      <w:r w:rsidRPr="00A20116">
        <w:rPr>
          <w:rFonts w:ascii="Arial" w:hAnsi="Arial" w:cs="Arial"/>
        </w:rPr>
        <w:t>the Council seeks commitment from providers that a reasonable level of locally based reinvestment will result from charging Affordable Rent in the District</w:t>
      </w:r>
    </w:p>
    <w:p w14:paraId="7233446E" w14:textId="7AAF98E7" w:rsidR="00A20116" w:rsidRPr="00493578" w:rsidRDefault="00A20116" w:rsidP="00493578">
      <w:pPr>
        <w:pStyle w:val="ListParagraph"/>
        <w:numPr>
          <w:ilvl w:val="0"/>
          <w:numId w:val="1"/>
        </w:numPr>
        <w:autoSpaceDE w:val="0"/>
        <w:autoSpaceDN w:val="0"/>
        <w:adjustRightInd w:val="0"/>
        <w:spacing w:after="0" w:line="240" w:lineRule="auto"/>
        <w:rPr>
          <w:rFonts w:ascii="Arial" w:hAnsi="Arial" w:cs="Arial"/>
        </w:rPr>
      </w:pPr>
      <w:r w:rsidRPr="00A20116">
        <w:rPr>
          <w:rFonts w:ascii="Arial" w:hAnsi="Arial" w:cs="Arial"/>
          <w:color w:val="000000"/>
        </w:rPr>
        <w:t>The Council expects that providers will discuss their Affordable Rent conversion policy with us</w:t>
      </w:r>
      <w:r w:rsidRPr="00A20116">
        <w:rPr>
          <w:rFonts w:ascii="Arial" w:hAnsi="Arial" w:cs="Arial"/>
        </w:rPr>
        <w:t xml:space="preserve"> </w:t>
      </w:r>
    </w:p>
    <w:p w14:paraId="33D51364" w14:textId="77777777" w:rsidR="00A20116" w:rsidRPr="00A20116" w:rsidRDefault="00A20116" w:rsidP="00A20116">
      <w:pPr>
        <w:pStyle w:val="ListParagraph"/>
        <w:numPr>
          <w:ilvl w:val="0"/>
          <w:numId w:val="1"/>
        </w:numPr>
        <w:autoSpaceDE w:val="0"/>
        <w:autoSpaceDN w:val="0"/>
        <w:adjustRightInd w:val="0"/>
        <w:spacing w:after="0" w:line="240" w:lineRule="auto"/>
        <w:rPr>
          <w:rFonts w:ascii="Arial" w:hAnsi="Arial" w:cs="Arial"/>
        </w:rPr>
      </w:pPr>
      <w:r w:rsidRPr="00A20116">
        <w:rPr>
          <w:rFonts w:ascii="Arial" w:hAnsi="Arial" w:cs="Arial"/>
        </w:rPr>
        <w:t>The Council does not wish to see an area experience a disproportionately high level of Affordable Rent conversions</w:t>
      </w:r>
    </w:p>
    <w:p w14:paraId="138C3065" w14:textId="466DE0C3" w:rsidR="00DA528D" w:rsidRPr="00A20116" w:rsidRDefault="00D2388E" w:rsidP="00A20116">
      <w:pPr>
        <w:pStyle w:val="ListParagraph"/>
        <w:autoSpaceDE w:val="0"/>
        <w:autoSpaceDN w:val="0"/>
        <w:adjustRightInd w:val="0"/>
        <w:spacing w:after="0" w:line="240" w:lineRule="auto"/>
        <w:ind w:left="360"/>
        <w:rPr>
          <w:rFonts w:ascii="Arial" w:hAnsi="Arial" w:cs="Arial"/>
          <w:b/>
        </w:rPr>
      </w:pPr>
      <w:r w:rsidRPr="00A20116">
        <w:rPr>
          <w:rFonts w:ascii="Arial" w:hAnsi="Arial" w:cs="Arial"/>
          <w:color w:val="000000"/>
        </w:rPr>
        <w:t xml:space="preserve"> </w:t>
      </w:r>
    </w:p>
    <w:p w14:paraId="215C7821" w14:textId="77777777" w:rsidR="00B6350D" w:rsidRDefault="00B6350D" w:rsidP="00B6350D">
      <w:pPr>
        <w:autoSpaceDE w:val="0"/>
        <w:autoSpaceDN w:val="0"/>
        <w:adjustRightInd w:val="0"/>
        <w:spacing w:after="0" w:line="240" w:lineRule="auto"/>
        <w:rPr>
          <w:rFonts w:ascii="Calibri" w:hAnsi="Calibri" w:cs="Calibri"/>
          <w:color w:val="000000"/>
          <w:sz w:val="23"/>
          <w:szCs w:val="23"/>
        </w:rPr>
      </w:pPr>
    </w:p>
    <w:p w14:paraId="2B3FA84C" w14:textId="77777777" w:rsidR="00B6350D" w:rsidRPr="004137F0" w:rsidRDefault="00B6350D">
      <w:pPr>
        <w:rPr>
          <w:rFonts w:ascii="Arial" w:hAnsi="Arial" w:cs="Arial"/>
          <w:b/>
        </w:rPr>
      </w:pPr>
    </w:p>
    <w:p w14:paraId="5FD34CB0" w14:textId="6BE84A88" w:rsidR="0091753E" w:rsidRDefault="00C45E78">
      <w:pPr>
        <w:rPr>
          <w:rFonts w:ascii="Arial" w:hAnsi="Arial" w:cs="Arial"/>
          <w:b/>
        </w:rPr>
      </w:pPr>
      <w:r>
        <w:rPr>
          <w:rFonts w:ascii="Arial" w:hAnsi="Arial" w:cs="Arial"/>
          <w:b/>
        </w:rPr>
        <w:t>Homelessness</w:t>
      </w:r>
    </w:p>
    <w:p w14:paraId="4434EA38" w14:textId="1C4F2E27" w:rsidR="00B023C1" w:rsidRDefault="00B023C1" w:rsidP="00D3536F">
      <w:pPr>
        <w:rPr>
          <w:rFonts w:ascii="Arial" w:hAnsi="Arial" w:cs="Arial"/>
        </w:rPr>
      </w:pPr>
      <w:r>
        <w:rPr>
          <w:rFonts w:ascii="Arial" w:hAnsi="Arial" w:cs="Arial"/>
        </w:rPr>
        <w:t xml:space="preserve">The Localism Act 2011 also introduced a power for local authorities to discharge their </w:t>
      </w:r>
      <w:r w:rsidR="0000070F">
        <w:rPr>
          <w:rFonts w:ascii="Arial" w:hAnsi="Arial" w:cs="Arial"/>
        </w:rPr>
        <w:t xml:space="preserve">main housing </w:t>
      </w:r>
      <w:r>
        <w:rPr>
          <w:rFonts w:ascii="Arial" w:hAnsi="Arial" w:cs="Arial"/>
        </w:rPr>
        <w:t xml:space="preserve">duty to homeless households with an offer of suitable accommodation in the private rented sector provided the tenancy is for a minimum of 12 months. </w:t>
      </w:r>
      <w:r w:rsidR="00A4357F">
        <w:rPr>
          <w:rFonts w:ascii="Arial" w:hAnsi="Arial" w:cs="Arial"/>
        </w:rPr>
        <w:t>The Council has not adopted this power at the time of writing.</w:t>
      </w:r>
    </w:p>
    <w:p w14:paraId="05F888E0" w14:textId="1D8BC0B3" w:rsidR="00D0137C" w:rsidRDefault="00B023C1" w:rsidP="00D3536F">
      <w:pPr>
        <w:rPr>
          <w:rFonts w:ascii="Arial" w:hAnsi="Arial" w:cs="Arial"/>
        </w:rPr>
      </w:pPr>
      <w:r>
        <w:rPr>
          <w:rFonts w:ascii="Arial" w:hAnsi="Arial" w:cs="Arial"/>
        </w:rPr>
        <w:t xml:space="preserve">Under the Homeless Reduction Act 2017 that comes into effect in April 2018, this </w:t>
      </w:r>
      <w:r w:rsidR="00C6428B">
        <w:rPr>
          <w:rFonts w:ascii="Arial" w:hAnsi="Arial" w:cs="Arial"/>
        </w:rPr>
        <w:t>will remain the same</w:t>
      </w:r>
      <w:r>
        <w:rPr>
          <w:rFonts w:ascii="Arial" w:hAnsi="Arial" w:cs="Arial"/>
        </w:rPr>
        <w:t xml:space="preserve">. </w:t>
      </w:r>
      <w:r w:rsidR="00C6428B">
        <w:rPr>
          <w:rFonts w:ascii="Arial" w:hAnsi="Arial" w:cs="Arial"/>
        </w:rPr>
        <w:t>However, t</w:t>
      </w:r>
      <w:r>
        <w:rPr>
          <w:rFonts w:ascii="Arial" w:hAnsi="Arial" w:cs="Arial"/>
        </w:rPr>
        <w:t xml:space="preserve">he new duties to prevent and relieve </w:t>
      </w:r>
      <w:r w:rsidR="00C6428B">
        <w:rPr>
          <w:rFonts w:ascii="Arial" w:hAnsi="Arial" w:cs="Arial"/>
        </w:rPr>
        <w:t xml:space="preserve">homelessness can </w:t>
      </w:r>
      <w:r>
        <w:rPr>
          <w:rFonts w:ascii="Arial" w:hAnsi="Arial" w:cs="Arial"/>
        </w:rPr>
        <w:t xml:space="preserve">be </w:t>
      </w:r>
      <w:r w:rsidR="00C6428B">
        <w:rPr>
          <w:rFonts w:ascii="Arial" w:hAnsi="Arial" w:cs="Arial"/>
        </w:rPr>
        <w:t xml:space="preserve">ended </w:t>
      </w:r>
      <w:r w:rsidR="00D0137C">
        <w:rPr>
          <w:rFonts w:ascii="Arial" w:hAnsi="Arial" w:cs="Arial"/>
        </w:rPr>
        <w:t>where the household has a reasonable prospect of having suitable accommodation for a least 6 months in the PRS.</w:t>
      </w:r>
    </w:p>
    <w:p w14:paraId="4BC6E0E4" w14:textId="77777777" w:rsidR="0000070F" w:rsidRDefault="00C6428B" w:rsidP="00D3536F">
      <w:pPr>
        <w:rPr>
          <w:rFonts w:ascii="Arial" w:hAnsi="Arial" w:cs="Arial"/>
        </w:rPr>
      </w:pPr>
      <w:r>
        <w:rPr>
          <w:rFonts w:ascii="Arial" w:hAnsi="Arial" w:cs="Arial"/>
        </w:rPr>
        <w:t xml:space="preserve">Homeless households seeking assistance from the Council will be advised on their housing options, including </w:t>
      </w:r>
      <w:r w:rsidR="0000070F">
        <w:rPr>
          <w:rFonts w:ascii="Arial" w:hAnsi="Arial" w:cs="Arial"/>
        </w:rPr>
        <w:t>options in the PRS</w:t>
      </w:r>
      <w:r>
        <w:rPr>
          <w:rFonts w:ascii="Arial" w:hAnsi="Arial" w:cs="Arial"/>
        </w:rPr>
        <w:t xml:space="preserve"> and this will be reflected in their personal housing plan.</w:t>
      </w:r>
    </w:p>
    <w:p w14:paraId="5ECBE264" w14:textId="1F06978D" w:rsidR="00B023C1" w:rsidRDefault="0000070F" w:rsidP="00D3536F">
      <w:pPr>
        <w:rPr>
          <w:rFonts w:ascii="Arial" w:hAnsi="Arial" w:cs="Arial"/>
        </w:rPr>
      </w:pPr>
      <w:r>
        <w:rPr>
          <w:rFonts w:ascii="Arial" w:hAnsi="Arial" w:cs="Arial"/>
        </w:rPr>
        <w:t xml:space="preserve">We will monitor whether households securing PRS accommodation sustain their tenancies and will review our approach if they present as homeless again. </w:t>
      </w:r>
    </w:p>
    <w:p w14:paraId="3FD98BCE" w14:textId="77777777" w:rsidR="00D3536F" w:rsidRPr="004137F0" w:rsidRDefault="00D3536F">
      <w:pPr>
        <w:rPr>
          <w:rFonts w:ascii="Arial" w:hAnsi="Arial" w:cs="Arial"/>
          <w:b/>
        </w:rPr>
      </w:pPr>
    </w:p>
    <w:p w14:paraId="17D524CC" w14:textId="017A4E6D" w:rsidR="0091753E" w:rsidRDefault="00C45E78">
      <w:pPr>
        <w:rPr>
          <w:rFonts w:ascii="Arial" w:hAnsi="Arial" w:cs="Arial"/>
          <w:b/>
        </w:rPr>
      </w:pPr>
      <w:r>
        <w:rPr>
          <w:rFonts w:ascii="Arial" w:hAnsi="Arial" w:cs="Arial"/>
          <w:b/>
        </w:rPr>
        <w:t>Housing waiting list</w:t>
      </w:r>
    </w:p>
    <w:p w14:paraId="481A9CC8" w14:textId="77777777" w:rsidR="00B52861" w:rsidRDefault="00B52861" w:rsidP="00B52861">
      <w:pPr>
        <w:rPr>
          <w:rFonts w:ascii="Arial" w:hAnsi="Arial" w:cs="Arial"/>
        </w:rPr>
      </w:pPr>
      <w:r>
        <w:rPr>
          <w:rFonts w:ascii="Arial" w:hAnsi="Arial" w:cs="Arial"/>
        </w:rPr>
        <w:t>The Council has a choice based lettings (CBL) scheme in partnership with Mansfield District Council called Homefinder. The table below summarises the Homefinder policy in relation to government guidance resulting from the Localism Act 2011 on waiting lists</w:t>
      </w:r>
    </w:p>
    <w:tbl>
      <w:tblPr>
        <w:tblStyle w:val="TableGrid"/>
        <w:tblW w:w="0" w:type="auto"/>
        <w:tblLook w:val="04A0" w:firstRow="1" w:lastRow="0" w:firstColumn="1" w:lastColumn="0" w:noHBand="0" w:noVBand="1"/>
      </w:tblPr>
      <w:tblGrid>
        <w:gridCol w:w="4508"/>
        <w:gridCol w:w="4508"/>
      </w:tblGrid>
      <w:tr w:rsidR="00C45E78" w14:paraId="4AC64231" w14:textId="77777777" w:rsidTr="00C45E78">
        <w:tc>
          <w:tcPr>
            <w:tcW w:w="4508" w:type="dxa"/>
          </w:tcPr>
          <w:p w14:paraId="2C3B7FB4" w14:textId="21870D23" w:rsidR="00C45E78" w:rsidRPr="00C45E78" w:rsidRDefault="00C45E78">
            <w:pPr>
              <w:rPr>
                <w:rFonts w:ascii="Arial" w:hAnsi="Arial" w:cs="Arial"/>
                <w:b/>
              </w:rPr>
            </w:pPr>
            <w:r w:rsidRPr="00C45E78">
              <w:rPr>
                <w:rFonts w:ascii="Arial" w:hAnsi="Arial" w:cs="Arial"/>
                <w:b/>
              </w:rPr>
              <w:t>Government guidance</w:t>
            </w:r>
          </w:p>
        </w:tc>
        <w:tc>
          <w:tcPr>
            <w:tcW w:w="4508" w:type="dxa"/>
          </w:tcPr>
          <w:p w14:paraId="019EF915" w14:textId="550FBC6C" w:rsidR="00C45E78" w:rsidRPr="00C45E78" w:rsidRDefault="00C45E78">
            <w:pPr>
              <w:rPr>
                <w:rFonts w:ascii="Arial" w:hAnsi="Arial" w:cs="Arial"/>
                <w:b/>
              </w:rPr>
            </w:pPr>
            <w:r w:rsidRPr="00C45E78">
              <w:rPr>
                <w:rFonts w:ascii="Arial" w:hAnsi="Arial" w:cs="Arial"/>
                <w:b/>
              </w:rPr>
              <w:t>Homefinder</w:t>
            </w:r>
          </w:p>
        </w:tc>
      </w:tr>
      <w:tr w:rsidR="00B52861" w14:paraId="52A4D61A" w14:textId="77777777" w:rsidTr="00C45E78">
        <w:tc>
          <w:tcPr>
            <w:tcW w:w="4508" w:type="dxa"/>
          </w:tcPr>
          <w:p w14:paraId="32E6280C" w14:textId="246F6A6F" w:rsidR="00B52861" w:rsidRDefault="00B52861" w:rsidP="00B52861">
            <w:pPr>
              <w:rPr>
                <w:rFonts w:ascii="Arial" w:hAnsi="Arial" w:cs="Arial"/>
              </w:rPr>
            </w:pPr>
            <w:r>
              <w:rPr>
                <w:rFonts w:ascii="Arial" w:hAnsi="Arial" w:cs="Arial"/>
              </w:rPr>
              <w:t>Transfer to tenants without reasonable preference can now be dealt with outside of an allocation policy</w:t>
            </w:r>
          </w:p>
        </w:tc>
        <w:tc>
          <w:tcPr>
            <w:tcW w:w="4508" w:type="dxa"/>
          </w:tcPr>
          <w:p w14:paraId="615ED419" w14:textId="77777777" w:rsidR="00B52861" w:rsidRDefault="00B52861" w:rsidP="00B52861">
            <w:pPr>
              <w:rPr>
                <w:rFonts w:ascii="Arial" w:hAnsi="Arial" w:cs="Arial"/>
              </w:rPr>
            </w:pPr>
            <w:r>
              <w:rPr>
                <w:rFonts w:ascii="Arial" w:hAnsi="Arial" w:cs="Arial"/>
              </w:rPr>
              <w:t xml:space="preserve">The Policy enables Registered Providers to allocate up to 50% of vacancies outside of the scheme, to applicants on their own waiting list, including transfer tenants. </w:t>
            </w:r>
          </w:p>
          <w:p w14:paraId="429B15EC" w14:textId="0DFB9FC6" w:rsidR="00B52861" w:rsidRDefault="00B52861" w:rsidP="00B52861">
            <w:pPr>
              <w:rPr>
                <w:rFonts w:ascii="Arial" w:hAnsi="Arial" w:cs="Arial"/>
              </w:rPr>
            </w:pPr>
            <w:r>
              <w:rPr>
                <w:rFonts w:ascii="Arial" w:hAnsi="Arial" w:cs="Arial"/>
              </w:rPr>
              <w:t xml:space="preserve">For the purpose of clarity and consistency, the Council continues to allocate all of its vacant properties through the Homefinder Scheme. </w:t>
            </w:r>
          </w:p>
        </w:tc>
      </w:tr>
      <w:tr w:rsidR="00B52861" w14:paraId="34EAF7C8" w14:textId="77777777" w:rsidTr="00C45E78">
        <w:tc>
          <w:tcPr>
            <w:tcW w:w="4508" w:type="dxa"/>
          </w:tcPr>
          <w:p w14:paraId="18B67558" w14:textId="759F9ECB" w:rsidR="00B52861" w:rsidRDefault="00B52861" w:rsidP="00B52861">
            <w:pPr>
              <w:rPr>
                <w:rFonts w:ascii="Arial" w:hAnsi="Arial" w:cs="Arial"/>
              </w:rPr>
            </w:pPr>
            <w:r>
              <w:rPr>
                <w:rFonts w:ascii="Arial" w:hAnsi="Arial" w:cs="Arial"/>
              </w:rPr>
              <w:t>Adoption of the ‘bedroom standard’ when determining overcrowding</w:t>
            </w:r>
          </w:p>
        </w:tc>
        <w:tc>
          <w:tcPr>
            <w:tcW w:w="4508" w:type="dxa"/>
          </w:tcPr>
          <w:p w14:paraId="2AC078E7" w14:textId="092D167F" w:rsidR="00B52861" w:rsidRDefault="00B52861" w:rsidP="00B52861">
            <w:pPr>
              <w:rPr>
                <w:rFonts w:ascii="Arial" w:hAnsi="Arial" w:cs="Arial"/>
              </w:rPr>
            </w:pPr>
            <w:r>
              <w:rPr>
                <w:rFonts w:ascii="Arial" w:hAnsi="Arial" w:cs="Arial"/>
              </w:rPr>
              <w:t>The Policy adopts the bedroom standard as the way of determining overcrowding and under-occupancy.</w:t>
            </w:r>
          </w:p>
        </w:tc>
      </w:tr>
      <w:tr w:rsidR="00B52861" w14:paraId="7895D980" w14:textId="77777777" w:rsidTr="00C45E78">
        <w:tc>
          <w:tcPr>
            <w:tcW w:w="4508" w:type="dxa"/>
          </w:tcPr>
          <w:p w14:paraId="35308089" w14:textId="38DFE4A8" w:rsidR="00B52861" w:rsidRDefault="00B52861" w:rsidP="00B52861">
            <w:pPr>
              <w:rPr>
                <w:rFonts w:ascii="Arial" w:hAnsi="Arial" w:cs="Arial"/>
              </w:rPr>
            </w:pPr>
            <w:r>
              <w:rPr>
                <w:rFonts w:ascii="Arial" w:hAnsi="Arial" w:cs="Arial"/>
              </w:rPr>
              <w:t xml:space="preserve">Taking ‘good </w:t>
            </w:r>
            <w:r w:rsidR="002B1536">
              <w:rPr>
                <w:rFonts w:ascii="Arial" w:hAnsi="Arial" w:cs="Arial"/>
              </w:rPr>
              <w:t>behaviour</w:t>
            </w:r>
            <w:r>
              <w:rPr>
                <w:rFonts w:ascii="Arial" w:hAnsi="Arial" w:cs="Arial"/>
              </w:rPr>
              <w:t>’ into account when granting priority for housing – including employment, training or volunteering</w:t>
            </w:r>
          </w:p>
        </w:tc>
        <w:tc>
          <w:tcPr>
            <w:tcW w:w="4508" w:type="dxa"/>
          </w:tcPr>
          <w:p w14:paraId="20BFC92F" w14:textId="21C4B605" w:rsidR="00B52861" w:rsidRDefault="00B52861" w:rsidP="00B52861">
            <w:pPr>
              <w:rPr>
                <w:rFonts w:ascii="Arial" w:hAnsi="Arial" w:cs="Arial"/>
              </w:rPr>
            </w:pPr>
            <w:r>
              <w:rPr>
                <w:rFonts w:ascii="Arial" w:hAnsi="Arial" w:cs="Arial"/>
              </w:rPr>
              <w:t xml:space="preserve">The Policy excludes/demotes applicants guilty of behaviour that makes them unsuitable to be a tenant but the Policy does not give additional preference to those </w:t>
            </w:r>
            <w:r>
              <w:rPr>
                <w:rFonts w:ascii="Arial" w:hAnsi="Arial" w:cs="Arial"/>
              </w:rPr>
              <w:lastRenderedPageBreak/>
              <w:t xml:space="preserve">behaving or making a local community contribution. </w:t>
            </w:r>
          </w:p>
        </w:tc>
      </w:tr>
      <w:tr w:rsidR="00B52861" w14:paraId="4171E0A3" w14:textId="77777777" w:rsidTr="00C45E78">
        <w:tc>
          <w:tcPr>
            <w:tcW w:w="4508" w:type="dxa"/>
          </w:tcPr>
          <w:p w14:paraId="27C60401" w14:textId="4BDABBB9" w:rsidR="00B52861" w:rsidRDefault="00B52861" w:rsidP="00B52861">
            <w:pPr>
              <w:rPr>
                <w:rFonts w:ascii="Arial" w:hAnsi="Arial" w:cs="Arial"/>
              </w:rPr>
            </w:pPr>
            <w:r>
              <w:rPr>
                <w:rFonts w:ascii="Arial" w:hAnsi="Arial" w:cs="Arial"/>
              </w:rPr>
              <w:lastRenderedPageBreak/>
              <w:t>Granting local connection to armed forces personnel for the areas in which they serve</w:t>
            </w:r>
          </w:p>
        </w:tc>
        <w:tc>
          <w:tcPr>
            <w:tcW w:w="4508" w:type="dxa"/>
          </w:tcPr>
          <w:p w14:paraId="7294619E" w14:textId="128793EB" w:rsidR="00B52861" w:rsidRDefault="00B52861" w:rsidP="00B52861">
            <w:pPr>
              <w:rPr>
                <w:rFonts w:ascii="Arial" w:hAnsi="Arial" w:cs="Arial"/>
              </w:rPr>
            </w:pPr>
            <w:r>
              <w:rPr>
                <w:rFonts w:ascii="Arial" w:hAnsi="Arial" w:cs="Arial"/>
              </w:rPr>
              <w:t>The Policy does grant local connection to HM Armed Forces personnel for the areas in which they serve</w:t>
            </w:r>
          </w:p>
        </w:tc>
      </w:tr>
      <w:tr w:rsidR="00B52861" w14:paraId="5784496C" w14:textId="77777777" w:rsidTr="00C45E78">
        <w:tc>
          <w:tcPr>
            <w:tcW w:w="4508" w:type="dxa"/>
          </w:tcPr>
          <w:p w14:paraId="48C398F8" w14:textId="7CBE2F36" w:rsidR="00B52861" w:rsidRDefault="00B52861" w:rsidP="00B52861">
            <w:pPr>
              <w:rPr>
                <w:rFonts w:ascii="Arial" w:hAnsi="Arial" w:cs="Arial"/>
              </w:rPr>
            </w:pPr>
            <w:r>
              <w:rPr>
                <w:rFonts w:ascii="Arial" w:hAnsi="Arial" w:cs="Arial"/>
              </w:rPr>
              <w:t>‘additional preference’ for former members of the armed forces who fall within the reasonable preference categories and are in urgent housing need</w:t>
            </w:r>
          </w:p>
        </w:tc>
        <w:tc>
          <w:tcPr>
            <w:tcW w:w="4508" w:type="dxa"/>
          </w:tcPr>
          <w:p w14:paraId="12D02E13" w14:textId="76425763" w:rsidR="00B52861" w:rsidRDefault="00B52861" w:rsidP="00B52861">
            <w:pPr>
              <w:rPr>
                <w:rFonts w:ascii="Arial" w:hAnsi="Arial" w:cs="Arial"/>
              </w:rPr>
            </w:pPr>
            <w:r>
              <w:rPr>
                <w:rFonts w:ascii="Arial" w:hAnsi="Arial" w:cs="Arial"/>
              </w:rPr>
              <w:t xml:space="preserve">The Policy does give additional preference, band 1 priority for former members of the armed forces who fall within one of the reasonable preferences categories and are in urgent housing need. </w:t>
            </w:r>
          </w:p>
        </w:tc>
      </w:tr>
      <w:tr w:rsidR="00B52861" w14:paraId="5796C28E" w14:textId="77777777" w:rsidTr="00C45E78">
        <w:tc>
          <w:tcPr>
            <w:tcW w:w="4508" w:type="dxa"/>
          </w:tcPr>
          <w:p w14:paraId="090188C2" w14:textId="4937F82A" w:rsidR="00B52861" w:rsidRDefault="00B52861" w:rsidP="00B52861">
            <w:pPr>
              <w:rPr>
                <w:rFonts w:ascii="Arial" w:hAnsi="Arial" w:cs="Arial"/>
              </w:rPr>
            </w:pPr>
            <w:r>
              <w:rPr>
                <w:rFonts w:ascii="Arial" w:hAnsi="Arial" w:cs="Arial"/>
              </w:rPr>
              <w:t xml:space="preserve">Allowing people applying to foster to apply for a home with an extra bedroom </w:t>
            </w:r>
          </w:p>
        </w:tc>
        <w:tc>
          <w:tcPr>
            <w:tcW w:w="4508" w:type="dxa"/>
          </w:tcPr>
          <w:p w14:paraId="1AE829C2" w14:textId="6A1F79EE" w:rsidR="00B52861" w:rsidRDefault="00B52861" w:rsidP="00B52861">
            <w:pPr>
              <w:rPr>
                <w:rFonts w:ascii="Arial" w:hAnsi="Arial" w:cs="Arial"/>
              </w:rPr>
            </w:pPr>
            <w:r>
              <w:rPr>
                <w:rFonts w:ascii="Arial" w:hAnsi="Arial" w:cs="Arial"/>
              </w:rPr>
              <w:t>The Policy includes the discretion to allow people applying to foster to be considered for a home with an additional bedroom.</w:t>
            </w:r>
          </w:p>
        </w:tc>
      </w:tr>
    </w:tbl>
    <w:p w14:paraId="066AECE0" w14:textId="77777777" w:rsidR="00C45E78" w:rsidRPr="00C45E78" w:rsidRDefault="00C45E78">
      <w:pPr>
        <w:rPr>
          <w:rFonts w:ascii="Arial" w:hAnsi="Arial" w:cs="Arial"/>
        </w:rPr>
      </w:pPr>
    </w:p>
    <w:p w14:paraId="66F15A1C" w14:textId="1F44F3FE" w:rsidR="0091753E" w:rsidRDefault="00797242">
      <w:pPr>
        <w:rPr>
          <w:rFonts w:ascii="Arial" w:hAnsi="Arial" w:cs="Arial"/>
          <w:b/>
        </w:rPr>
      </w:pPr>
      <w:r>
        <w:rPr>
          <w:rFonts w:ascii="Arial" w:hAnsi="Arial" w:cs="Arial"/>
          <w:b/>
        </w:rPr>
        <w:t>Mobility</w:t>
      </w:r>
    </w:p>
    <w:p w14:paraId="0B548BD9" w14:textId="5A853B8F" w:rsidR="00B52861" w:rsidRDefault="00B52861" w:rsidP="00B52861">
      <w:pPr>
        <w:rPr>
          <w:rFonts w:ascii="Arial" w:hAnsi="Arial" w:cs="Arial"/>
        </w:rPr>
      </w:pPr>
      <w:r>
        <w:rPr>
          <w:rFonts w:ascii="Arial" w:hAnsi="Arial" w:cs="Arial"/>
        </w:rPr>
        <w:t xml:space="preserve">The Council supports greater mobility in the social housing sector as a means of tackling under-occupancy, overcrowding and unemployment. The Council subscribes </w:t>
      </w:r>
      <w:r w:rsidR="00A5148F">
        <w:rPr>
          <w:rFonts w:ascii="Arial" w:hAnsi="Arial" w:cs="Arial"/>
        </w:rPr>
        <w:t xml:space="preserve">to </w:t>
      </w:r>
      <w:r>
        <w:rPr>
          <w:rFonts w:ascii="Arial" w:hAnsi="Arial" w:cs="Arial"/>
        </w:rPr>
        <w:t xml:space="preserve">an online mutual exchange scheme to enable mobility within the sector. The Council expects all registered providers operating in Ashfield to have signed up to a national mutual exchange scheme as required by the Regulator of Social Housing. </w:t>
      </w:r>
    </w:p>
    <w:p w14:paraId="33511B89" w14:textId="5E999E55" w:rsidR="00797242" w:rsidRPr="00797242" w:rsidRDefault="00797242">
      <w:pPr>
        <w:rPr>
          <w:rFonts w:ascii="Arial" w:hAnsi="Arial" w:cs="Arial"/>
        </w:rPr>
      </w:pPr>
      <w:r>
        <w:rPr>
          <w:rFonts w:ascii="Arial" w:hAnsi="Arial" w:cs="Arial"/>
        </w:rPr>
        <w:t xml:space="preserve">The Council expects that wherever possible, tenants moving through the scheme would be able to enjoy the same security of tenure and rent model in their new property. However, the Council also recognises that this will not be possible in all cases, particularly where voluntary moves are made to housing which has been designated as Affordable Rent as part of a contract with Homes England.  </w:t>
      </w:r>
    </w:p>
    <w:p w14:paraId="499A3375" w14:textId="77777777" w:rsidR="00797242" w:rsidRPr="004137F0" w:rsidRDefault="00797242">
      <w:pPr>
        <w:rPr>
          <w:rFonts w:ascii="Arial" w:hAnsi="Arial" w:cs="Arial"/>
          <w:b/>
        </w:rPr>
      </w:pPr>
    </w:p>
    <w:p w14:paraId="541AC042" w14:textId="77777777" w:rsidR="0091753E" w:rsidRDefault="0091753E">
      <w:pPr>
        <w:rPr>
          <w:rFonts w:ascii="Arial" w:hAnsi="Arial" w:cs="Arial"/>
          <w:b/>
        </w:rPr>
      </w:pPr>
      <w:r w:rsidRPr="004137F0">
        <w:rPr>
          <w:rFonts w:ascii="Arial" w:hAnsi="Arial" w:cs="Arial"/>
          <w:b/>
        </w:rPr>
        <w:t>Monitoring and reviewing the strategy</w:t>
      </w:r>
    </w:p>
    <w:p w14:paraId="210760FE" w14:textId="0211AD27" w:rsidR="00AC46AA" w:rsidRDefault="00AC46AA" w:rsidP="0063644C">
      <w:pPr>
        <w:rPr>
          <w:rFonts w:ascii="Arial" w:hAnsi="Arial" w:cs="Arial"/>
        </w:rPr>
      </w:pPr>
      <w:r>
        <w:rPr>
          <w:rFonts w:ascii="Arial" w:hAnsi="Arial" w:cs="Arial"/>
        </w:rPr>
        <w:t>The development and delivery of this strategy is overseen by the Strategic Housing Team. This monitoring will include:</w:t>
      </w:r>
    </w:p>
    <w:p w14:paraId="119C4935" w14:textId="33B1405C" w:rsidR="00171973" w:rsidRDefault="00171973" w:rsidP="00AC46AA">
      <w:pPr>
        <w:pStyle w:val="ListParagraph"/>
        <w:numPr>
          <w:ilvl w:val="0"/>
          <w:numId w:val="1"/>
        </w:numPr>
        <w:rPr>
          <w:rFonts w:ascii="Arial" w:hAnsi="Arial" w:cs="Arial"/>
        </w:rPr>
      </w:pPr>
      <w:r>
        <w:rPr>
          <w:rFonts w:ascii="Arial" w:hAnsi="Arial" w:cs="Arial"/>
        </w:rPr>
        <w:t>The use of fixed term tenancies in the district and any negative impact</w:t>
      </w:r>
    </w:p>
    <w:p w14:paraId="1925B26B" w14:textId="4E64C17D" w:rsidR="00AC46AA" w:rsidRDefault="000C306C" w:rsidP="00AC46AA">
      <w:pPr>
        <w:pStyle w:val="ListParagraph"/>
        <w:numPr>
          <w:ilvl w:val="0"/>
          <w:numId w:val="1"/>
        </w:numPr>
        <w:rPr>
          <w:rFonts w:ascii="Arial" w:hAnsi="Arial" w:cs="Arial"/>
        </w:rPr>
      </w:pPr>
      <w:r>
        <w:rPr>
          <w:rFonts w:ascii="Arial" w:hAnsi="Arial" w:cs="Arial"/>
        </w:rPr>
        <w:t xml:space="preserve">The use of the PRS to prevent and relieve homelessness and </w:t>
      </w:r>
      <w:r w:rsidR="00171973">
        <w:rPr>
          <w:rFonts w:ascii="Arial" w:hAnsi="Arial" w:cs="Arial"/>
        </w:rPr>
        <w:t>the sustainability of these tenancies</w:t>
      </w:r>
    </w:p>
    <w:p w14:paraId="1955E456" w14:textId="148916A8" w:rsidR="00D35CCE" w:rsidRPr="00D35CCE" w:rsidRDefault="00D35CCE" w:rsidP="00D35CCE">
      <w:pPr>
        <w:pStyle w:val="ListParagraph"/>
        <w:numPr>
          <w:ilvl w:val="0"/>
          <w:numId w:val="1"/>
        </w:numPr>
        <w:autoSpaceDE w:val="0"/>
        <w:autoSpaceDN w:val="0"/>
        <w:adjustRightInd w:val="0"/>
        <w:spacing w:after="0" w:line="240" w:lineRule="auto"/>
        <w:rPr>
          <w:rFonts w:ascii="Arial" w:hAnsi="Arial" w:cs="Arial"/>
        </w:rPr>
      </w:pPr>
      <w:r w:rsidRPr="00D35CCE">
        <w:rPr>
          <w:rFonts w:ascii="Arial" w:hAnsi="Arial" w:cs="Arial"/>
        </w:rPr>
        <w:t>Changing market conditions and their likely impact upon the demand for affordable housing now and in the future, such as housing need, affordability, homelessness, affordable housing completions, rent levels and welfare reforms.</w:t>
      </w:r>
    </w:p>
    <w:p w14:paraId="7B3E400E" w14:textId="0A5FAECE" w:rsidR="000C306C" w:rsidRDefault="000C306C" w:rsidP="000C306C">
      <w:pPr>
        <w:pStyle w:val="ListParagraph"/>
        <w:numPr>
          <w:ilvl w:val="0"/>
          <w:numId w:val="1"/>
        </w:numPr>
        <w:rPr>
          <w:rFonts w:ascii="Arial" w:hAnsi="Arial" w:cs="Arial"/>
        </w:rPr>
      </w:pPr>
      <w:r>
        <w:rPr>
          <w:rFonts w:ascii="Arial" w:hAnsi="Arial" w:cs="Arial"/>
        </w:rPr>
        <w:t xml:space="preserve">Number </w:t>
      </w:r>
      <w:r w:rsidR="00A5148F">
        <w:rPr>
          <w:rFonts w:ascii="Arial" w:hAnsi="Arial" w:cs="Arial"/>
        </w:rPr>
        <w:t>of Affordable R</w:t>
      </w:r>
      <w:r>
        <w:rPr>
          <w:rFonts w:ascii="Arial" w:hAnsi="Arial" w:cs="Arial"/>
        </w:rPr>
        <w:t>ent homes created, including conversions</w:t>
      </w:r>
    </w:p>
    <w:p w14:paraId="13EDF60B" w14:textId="0A5A3CAC" w:rsidR="00D35CCE" w:rsidRDefault="00D35CCE" w:rsidP="000C306C">
      <w:pPr>
        <w:pStyle w:val="ListParagraph"/>
        <w:numPr>
          <w:ilvl w:val="0"/>
          <w:numId w:val="1"/>
        </w:numPr>
        <w:rPr>
          <w:rFonts w:ascii="Arial" w:hAnsi="Arial" w:cs="Arial"/>
        </w:rPr>
      </w:pPr>
      <w:r>
        <w:rPr>
          <w:rFonts w:ascii="Arial" w:hAnsi="Arial" w:cs="Arial"/>
        </w:rPr>
        <w:t>Bidding activity for fixed term and/or Affordable Rent properties</w:t>
      </w:r>
    </w:p>
    <w:p w14:paraId="5ED3EB73" w14:textId="164EEBAF" w:rsidR="00D35CCE" w:rsidRDefault="00FE1687" w:rsidP="000C306C">
      <w:pPr>
        <w:pStyle w:val="ListParagraph"/>
        <w:numPr>
          <w:ilvl w:val="0"/>
          <w:numId w:val="1"/>
        </w:numPr>
        <w:rPr>
          <w:rFonts w:ascii="Arial" w:hAnsi="Arial" w:cs="Arial"/>
        </w:rPr>
      </w:pPr>
      <w:r>
        <w:rPr>
          <w:rFonts w:ascii="Arial" w:hAnsi="Arial" w:cs="Arial"/>
        </w:rPr>
        <w:t>The impact of this strategy on viability of new build sites</w:t>
      </w:r>
    </w:p>
    <w:p w14:paraId="7C38DFA2" w14:textId="56D40BA1" w:rsidR="0082275E" w:rsidRPr="00A5148F" w:rsidRDefault="00FE1687" w:rsidP="0075120D">
      <w:pPr>
        <w:pStyle w:val="ListParagraph"/>
        <w:numPr>
          <w:ilvl w:val="0"/>
          <w:numId w:val="1"/>
        </w:numPr>
        <w:rPr>
          <w:rFonts w:ascii="Arial" w:hAnsi="Arial" w:cs="Arial"/>
        </w:rPr>
      </w:pPr>
      <w:r>
        <w:rPr>
          <w:rFonts w:ascii="Arial" w:hAnsi="Arial" w:cs="Arial"/>
        </w:rPr>
        <w:t>The extent to which providers’ tenancy policies reflect this strategy</w:t>
      </w:r>
      <w:r w:rsidR="00A5148F">
        <w:rPr>
          <w:rFonts w:ascii="Arial" w:hAnsi="Arial" w:cs="Arial"/>
        </w:rPr>
        <w:br/>
      </w:r>
    </w:p>
    <w:p w14:paraId="214E86E2" w14:textId="77777777" w:rsidR="0091753E" w:rsidRDefault="0091753E">
      <w:pPr>
        <w:rPr>
          <w:rFonts w:ascii="Arial" w:hAnsi="Arial" w:cs="Arial"/>
          <w:b/>
        </w:rPr>
      </w:pPr>
      <w:r w:rsidRPr="004137F0">
        <w:rPr>
          <w:rFonts w:ascii="Arial" w:hAnsi="Arial" w:cs="Arial"/>
          <w:b/>
        </w:rPr>
        <w:t>RP tenancy policies</w:t>
      </w:r>
    </w:p>
    <w:p w14:paraId="3BE6F2F3" w14:textId="10A1B03A" w:rsidR="00702D3D" w:rsidRDefault="000B5860" w:rsidP="000B5860">
      <w:pPr>
        <w:rPr>
          <w:rFonts w:ascii="Arial" w:hAnsi="Arial" w:cs="Arial"/>
        </w:rPr>
      </w:pPr>
      <w:r>
        <w:rPr>
          <w:rFonts w:ascii="Arial" w:hAnsi="Arial" w:cs="Arial"/>
        </w:rPr>
        <w:t xml:space="preserve">The Council expects that registered providers will have due regard to this strategy in developing their own Tenancy Policies and through this Policy will contribute to the Council’s vision for the district. </w:t>
      </w:r>
      <w:r w:rsidR="00702D3D">
        <w:rPr>
          <w:rFonts w:ascii="Arial" w:hAnsi="Arial" w:cs="Arial"/>
        </w:rPr>
        <w:t xml:space="preserve">The Council particularly expects that those registered providers seeking support from the Council regarding Section 106 Affordable Housing submissions, </w:t>
      </w:r>
      <w:r w:rsidR="00702D3D">
        <w:rPr>
          <w:rFonts w:ascii="Arial" w:hAnsi="Arial" w:cs="Arial"/>
        </w:rPr>
        <w:lastRenderedPageBreak/>
        <w:t>applications for grant funding from Homes England or making applications to the Council for grant funding will meet the requirements of this strategy.</w:t>
      </w:r>
    </w:p>
    <w:p w14:paraId="5C995CF3" w14:textId="26033AEE" w:rsidR="000B5860" w:rsidRDefault="000B5860" w:rsidP="000B5860">
      <w:pPr>
        <w:rPr>
          <w:rFonts w:ascii="Arial" w:hAnsi="Arial" w:cs="Arial"/>
        </w:rPr>
      </w:pPr>
      <w:r>
        <w:rPr>
          <w:rFonts w:ascii="Arial" w:hAnsi="Arial" w:cs="Arial"/>
        </w:rPr>
        <w:t>Registered provider tenancy policies must set out:</w:t>
      </w:r>
    </w:p>
    <w:p w14:paraId="028FAFBF" w14:textId="77777777" w:rsidR="000B5860" w:rsidRDefault="000B5860" w:rsidP="000B5860">
      <w:pPr>
        <w:pStyle w:val="ListParagraph"/>
        <w:numPr>
          <w:ilvl w:val="0"/>
          <w:numId w:val="1"/>
        </w:numPr>
        <w:rPr>
          <w:rFonts w:ascii="Arial" w:hAnsi="Arial" w:cs="Arial"/>
        </w:rPr>
      </w:pPr>
      <w:r>
        <w:rPr>
          <w:rFonts w:ascii="Arial" w:hAnsi="Arial" w:cs="Arial"/>
        </w:rPr>
        <w:t>The type of tenancies they will grant</w:t>
      </w:r>
    </w:p>
    <w:p w14:paraId="5D55E137" w14:textId="77777777" w:rsidR="000B5860" w:rsidRDefault="000B5860" w:rsidP="000B5860">
      <w:pPr>
        <w:pStyle w:val="ListParagraph"/>
        <w:numPr>
          <w:ilvl w:val="0"/>
          <w:numId w:val="1"/>
        </w:numPr>
        <w:rPr>
          <w:rFonts w:ascii="Arial" w:hAnsi="Arial" w:cs="Arial"/>
        </w:rPr>
      </w:pPr>
      <w:r>
        <w:rPr>
          <w:rFonts w:ascii="Arial" w:hAnsi="Arial" w:cs="Arial"/>
        </w:rPr>
        <w:t>Where they grant tenancies for a fixed term, the length of those terms</w:t>
      </w:r>
    </w:p>
    <w:p w14:paraId="42ADE8FA" w14:textId="77777777" w:rsidR="000B5860" w:rsidRDefault="000B5860" w:rsidP="000B5860">
      <w:pPr>
        <w:pStyle w:val="ListParagraph"/>
        <w:numPr>
          <w:ilvl w:val="0"/>
          <w:numId w:val="1"/>
        </w:numPr>
        <w:rPr>
          <w:rFonts w:ascii="Arial" w:hAnsi="Arial" w:cs="Arial"/>
        </w:rPr>
      </w:pPr>
      <w:r>
        <w:rPr>
          <w:rFonts w:ascii="Arial" w:hAnsi="Arial" w:cs="Arial"/>
        </w:rPr>
        <w:t>The circumstances in which they will grant tenancies of a particular type</w:t>
      </w:r>
    </w:p>
    <w:p w14:paraId="24CFA22D" w14:textId="34F0D717" w:rsidR="000B5860" w:rsidRDefault="000B5860" w:rsidP="000B5860">
      <w:pPr>
        <w:pStyle w:val="ListParagraph"/>
        <w:numPr>
          <w:ilvl w:val="0"/>
          <w:numId w:val="1"/>
        </w:numPr>
        <w:rPr>
          <w:rFonts w:ascii="Arial" w:hAnsi="Arial" w:cs="Arial"/>
        </w:rPr>
      </w:pPr>
      <w:r>
        <w:rPr>
          <w:rFonts w:ascii="Arial" w:hAnsi="Arial" w:cs="Arial"/>
        </w:rPr>
        <w:t xml:space="preserve">Any exceptional circumstances in which they will grant fixed term tenancies for a term of less than five years in general needs housing following any </w:t>
      </w:r>
      <w:r w:rsidR="009C365C">
        <w:rPr>
          <w:rFonts w:ascii="Arial" w:hAnsi="Arial" w:cs="Arial"/>
        </w:rPr>
        <w:t>probationary</w:t>
      </w:r>
      <w:r>
        <w:rPr>
          <w:rFonts w:ascii="Arial" w:hAnsi="Arial" w:cs="Arial"/>
        </w:rPr>
        <w:t xml:space="preserve"> period</w:t>
      </w:r>
    </w:p>
    <w:p w14:paraId="4C8D6CA4" w14:textId="77777777" w:rsidR="000B5860" w:rsidRDefault="000B5860" w:rsidP="000B5860">
      <w:pPr>
        <w:pStyle w:val="ListParagraph"/>
        <w:numPr>
          <w:ilvl w:val="0"/>
          <w:numId w:val="1"/>
        </w:numPr>
        <w:rPr>
          <w:rFonts w:ascii="Arial" w:hAnsi="Arial" w:cs="Arial"/>
        </w:rPr>
      </w:pPr>
      <w:r>
        <w:rPr>
          <w:rFonts w:ascii="Arial" w:hAnsi="Arial" w:cs="Arial"/>
        </w:rPr>
        <w:t>The circumstances in which they may or may not grant another tenancy on the expiry of the fixed term, in the same property or a different property</w:t>
      </w:r>
    </w:p>
    <w:p w14:paraId="688DB6AD" w14:textId="77777777" w:rsidR="000B5860" w:rsidRDefault="000B5860" w:rsidP="000B5860">
      <w:pPr>
        <w:pStyle w:val="ListParagraph"/>
        <w:numPr>
          <w:ilvl w:val="0"/>
          <w:numId w:val="1"/>
        </w:numPr>
        <w:rPr>
          <w:rFonts w:ascii="Arial" w:hAnsi="Arial" w:cs="Arial"/>
        </w:rPr>
      </w:pPr>
      <w:r>
        <w:rPr>
          <w:rFonts w:ascii="Arial" w:hAnsi="Arial" w:cs="Arial"/>
        </w:rPr>
        <w:t>The way in which a tenant or prospective tenant may appeal against of complain about the length of fixed term tenancy offered and the type of tenancy offered, and against a decision not to grant another tenancy on the expiry of the fixed term</w:t>
      </w:r>
    </w:p>
    <w:p w14:paraId="1FA608A8" w14:textId="77777777" w:rsidR="000B5860" w:rsidRDefault="000B5860" w:rsidP="000B5860">
      <w:pPr>
        <w:pStyle w:val="ListParagraph"/>
        <w:numPr>
          <w:ilvl w:val="0"/>
          <w:numId w:val="1"/>
        </w:numPr>
        <w:rPr>
          <w:rFonts w:ascii="Arial" w:hAnsi="Arial" w:cs="Arial"/>
        </w:rPr>
      </w:pPr>
      <w:r>
        <w:rPr>
          <w:rFonts w:ascii="Arial" w:hAnsi="Arial" w:cs="Arial"/>
        </w:rPr>
        <w:t>Their policy on taking into account the needs of those households who are vulnerable by reason of age, disability or illness, and households with children, including through the provision of tenancies which provide a reasonable degree of stability</w:t>
      </w:r>
    </w:p>
    <w:p w14:paraId="3FA6C789" w14:textId="77777777" w:rsidR="000B5860" w:rsidRDefault="000B5860" w:rsidP="000B5860">
      <w:pPr>
        <w:pStyle w:val="ListParagraph"/>
        <w:numPr>
          <w:ilvl w:val="0"/>
          <w:numId w:val="1"/>
        </w:numPr>
        <w:rPr>
          <w:rFonts w:ascii="Arial" w:hAnsi="Arial" w:cs="Arial"/>
        </w:rPr>
      </w:pPr>
      <w:r>
        <w:rPr>
          <w:rFonts w:ascii="Arial" w:hAnsi="Arial" w:cs="Arial"/>
        </w:rPr>
        <w:t>The advice and assistance they will give to tenants on finding alternative accommodation in the event that they decide not to grant another tenancy</w:t>
      </w:r>
    </w:p>
    <w:p w14:paraId="7C419694" w14:textId="77777777" w:rsidR="00B90322" w:rsidRDefault="000B5860" w:rsidP="00B90322">
      <w:pPr>
        <w:pStyle w:val="ListParagraph"/>
        <w:numPr>
          <w:ilvl w:val="0"/>
          <w:numId w:val="1"/>
        </w:numPr>
        <w:rPr>
          <w:rFonts w:ascii="Arial" w:hAnsi="Arial" w:cs="Arial"/>
        </w:rPr>
      </w:pPr>
      <w:r>
        <w:rPr>
          <w:rFonts w:ascii="Arial" w:hAnsi="Arial" w:cs="Arial"/>
        </w:rPr>
        <w:t>Their policy on granting discretionary succession rights</w:t>
      </w:r>
    </w:p>
    <w:p w14:paraId="6C37BA2D" w14:textId="500E12A0" w:rsidR="00EB2C3A" w:rsidRDefault="00EB2C3A" w:rsidP="00EB2C3A">
      <w:pPr>
        <w:rPr>
          <w:rFonts w:ascii="Arial" w:hAnsi="Arial" w:cs="Arial"/>
        </w:rPr>
      </w:pPr>
      <w:r>
        <w:rPr>
          <w:rFonts w:ascii="Arial" w:hAnsi="Arial" w:cs="Arial"/>
        </w:rPr>
        <w:t>To ensure consistency between local authority and registered provider tenants, the Council encourages registered providers to adopt the statutory provisions applicable to local authorities on the review of the decision to seek possession</w:t>
      </w:r>
      <w:r w:rsidR="00A5148F">
        <w:rPr>
          <w:rStyle w:val="FootnoteReference"/>
          <w:rFonts w:ascii="Arial" w:hAnsi="Arial" w:cs="Arial"/>
        </w:rPr>
        <w:footnoteReference w:id="1"/>
      </w:r>
      <w:r>
        <w:rPr>
          <w:rFonts w:ascii="Arial" w:hAnsi="Arial" w:cs="Arial"/>
        </w:rPr>
        <w:t xml:space="preserve">. In all cases, under the Tenancy Standard, registered providers must set out the process to appeal or complain about the length of fixed term tenancy offered, the type of tenancy offered and against a decision not to grant another tenancy on the expiry of the fixed term. </w:t>
      </w:r>
    </w:p>
    <w:p w14:paraId="0047FBC3" w14:textId="77777777" w:rsidR="004E438B" w:rsidRDefault="00EB2C3A" w:rsidP="004E438B">
      <w:pPr>
        <w:rPr>
          <w:rFonts w:ascii="Arial" w:hAnsi="Arial" w:cs="Arial"/>
        </w:rPr>
      </w:pPr>
      <w:r>
        <w:rPr>
          <w:rFonts w:ascii="Arial" w:hAnsi="Arial" w:cs="Arial"/>
        </w:rPr>
        <w:t xml:space="preserve">The Council considers that the ‘reasonable advice and assistance’ that must be offered by registered providers to tenants on finding suitable alternative accommodation at the end of a fixed term tenancy should </w:t>
      </w:r>
      <w:r w:rsidR="004E438B">
        <w:rPr>
          <w:rFonts w:ascii="Arial" w:hAnsi="Arial" w:cs="Arial"/>
        </w:rPr>
        <w:t>include:</w:t>
      </w:r>
    </w:p>
    <w:p w14:paraId="67903DF5" w14:textId="77DA1FB1" w:rsidR="004E438B" w:rsidRPr="00252B48" w:rsidRDefault="004E438B" w:rsidP="004E438B">
      <w:pPr>
        <w:pStyle w:val="ListParagraph"/>
        <w:numPr>
          <w:ilvl w:val="0"/>
          <w:numId w:val="1"/>
        </w:numPr>
        <w:rPr>
          <w:rFonts w:ascii="Arial" w:hAnsi="Arial" w:cs="Arial"/>
          <w:color w:val="000000"/>
        </w:rPr>
      </w:pPr>
      <w:r w:rsidRPr="00252B48">
        <w:rPr>
          <w:rFonts w:ascii="Arial" w:hAnsi="Arial" w:cs="Arial"/>
          <w:color w:val="000000"/>
        </w:rPr>
        <w:t xml:space="preserve">At least six </w:t>
      </w:r>
      <w:r w:rsidR="00A548D5" w:rsidRPr="00252B48">
        <w:rPr>
          <w:rFonts w:ascii="Arial" w:hAnsi="Arial" w:cs="Arial"/>
          <w:color w:val="000000"/>
        </w:rPr>
        <w:t>months’ notice</w:t>
      </w:r>
      <w:r w:rsidRPr="00252B48">
        <w:rPr>
          <w:rFonts w:ascii="Arial" w:hAnsi="Arial" w:cs="Arial"/>
          <w:color w:val="000000"/>
        </w:rPr>
        <w:t xml:space="preserve"> that the tenancy will not be renewed</w:t>
      </w:r>
    </w:p>
    <w:p w14:paraId="3635F4C6" w14:textId="4940F355" w:rsidR="004E438B" w:rsidRPr="00252B48" w:rsidRDefault="004E438B" w:rsidP="004E438B">
      <w:pPr>
        <w:pStyle w:val="ListParagraph"/>
        <w:numPr>
          <w:ilvl w:val="0"/>
          <w:numId w:val="1"/>
        </w:numPr>
        <w:rPr>
          <w:rFonts w:ascii="Arial" w:hAnsi="Arial" w:cs="Arial"/>
          <w:color w:val="000000"/>
        </w:rPr>
      </w:pPr>
      <w:r w:rsidRPr="00252B48">
        <w:rPr>
          <w:rFonts w:ascii="Arial" w:hAnsi="Arial" w:cs="Arial"/>
          <w:color w:val="000000"/>
        </w:rPr>
        <w:t>At least one home visit to the tenant</w:t>
      </w:r>
    </w:p>
    <w:p w14:paraId="2188FECA" w14:textId="32404B29" w:rsidR="009425D7" w:rsidRPr="00252B48" w:rsidRDefault="009425D7" w:rsidP="004E438B">
      <w:pPr>
        <w:pStyle w:val="ListParagraph"/>
        <w:numPr>
          <w:ilvl w:val="0"/>
          <w:numId w:val="1"/>
        </w:numPr>
        <w:rPr>
          <w:rFonts w:ascii="Arial" w:hAnsi="Arial" w:cs="Arial"/>
          <w:color w:val="000000"/>
        </w:rPr>
      </w:pPr>
      <w:r w:rsidRPr="00252B48">
        <w:rPr>
          <w:rFonts w:ascii="Arial" w:hAnsi="Arial" w:cs="Arial"/>
          <w:color w:val="000000"/>
        </w:rPr>
        <w:t xml:space="preserve">Offers of alternative accommodation that meets their newly assessed need within the </w:t>
      </w:r>
      <w:r w:rsidR="004E438B" w:rsidRPr="00252B48">
        <w:rPr>
          <w:rFonts w:ascii="Arial" w:hAnsi="Arial" w:cs="Arial"/>
          <w:color w:val="000000"/>
        </w:rPr>
        <w:t>provider</w:t>
      </w:r>
      <w:r w:rsidRPr="00252B48">
        <w:rPr>
          <w:rFonts w:ascii="Arial" w:hAnsi="Arial" w:cs="Arial"/>
          <w:color w:val="000000"/>
        </w:rPr>
        <w:t xml:space="preserve">’s own stock; </w:t>
      </w:r>
    </w:p>
    <w:p w14:paraId="56AEF893" w14:textId="1A57DC2F" w:rsidR="009425D7" w:rsidRPr="00252B48" w:rsidRDefault="009425D7" w:rsidP="009425D7">
      <w:pPr>
        <w:pStyle w:val="ListParagraph"/>
        <w:numPr>
          <w:ilvl w:val="0"/>
          <w:numId w:val="1"/>
        </w:numPr>
        <w:autoSpaceDE w:val="0"/>
        <w:autoSpaceDN w:val="0"/>
        <w:adjustRightInd w:val="0"/>
        <w:spacing w:after="0" w:line="240" w:lineRule="auto"/>
        <w:rPr>
          <w:rFonts w:ascii="Arial" w:hAnsi="Arial" w:cs="Arial"/>
          <w:color w:val="000000"/>
        </w:rPr>
      </w:pPr>
      <w:r w:rsidRPr="00252B48">
        <w:rPr>
          <w:rFonts w:ascii="Arial" w:hAnsi="Arial" w:cs="Arial"/>
          <w:color w:val="000000"/>
        </w:rPr>
        <w:t xml:space="preserve">Advice on low-cost home ownership options and other alternative affordable housing tenures; </w:t>
      </w:r>
    </w:p>
    <w:p w14:paraId="67DD19FD" w14:textId="5FA2AB45" w:rsidR="009425D7" w:rsidRPr="00252B48" w:rsidRDefault="009425D7" w:rsidP="009425D7">
      <w:pPr>
        <w:pStyle w:val="ListParagraph"/>
        <w:numPr>
          <w:ilvl w:val="0"/>
          <w:numId w:val="1"/>
        </w:numPr>
        <w:autoSpaceDE w:val="0"/>
        <w:autoSpaceDN w:val="0"/>
        <w:adjustRightInd w:val="0"/>
        <w:spacing w:after="0" w:line="240" w:lineRule="auto"/>
        <w:rPr>
          <w:rFonts w:ascii="Arial" w:hAnsi="Arial" w:cs="Arial"/>
          <w:color w:val="000000"/>
        </w:rPr>
      </w:pPr>
      <w:r w:rsidRPr="00252B48">
        <w:rPr>
          <w:rFonts w:ascii="Arial" w:hAnsi="Arial" w:cs="Arial"/>
          <w:color w:val="000000"/>
        </w:rPr>
        <w:t xml:space="preserve">Specialist housing and or welfare-related advice and/or signposting to appropriate advice services; and </w:t>
      </w:r>
    </w:p>
    <w:p w14:paraId="76493C05" w14:textId="4E1261DD" w:rsidR="009425D7" w:rsidRPr="00252B48" w:rsidRDefault="009425D7" w:rsidP="009425D7">
      <w:pPr>
        <w:pStyle w:val="ListParagraph"/>
        <w:numPr>
          <w:ilvl w:val="0"/>
          <w:numId w:val="1"/>
        </w:numPr>
        <w:autoSpaceDE w:val="0"/>
        <w:autoSpaceDN w:val="0"/>
        <w:adjustRightInd w:val="0"/>
        <w:spacing w:after="0" w:line="240" w:lineRule="auto"/>
        <w:rPr>
          <w:rFonts w:ascii="Arial" w:hAnsi="Arial" w:cs="Arial"/>
          <w:color w:val="000000"/>
        </w:rPr>
      </w:pPr>
      <w:r w:rsidRPr="00252B48">
        <w:rPr>
          <w:rFonts w:ascii="Arial" w:hAnsi="Arial" w:cs="Arial"/>
          <w:color w:val="000000"/>
        </w:rPr>
        <w:t>Advice on renting in the private rented sector and assistance in identifying and securing a suitable property (this may involve assistance w</w:t>
      </w:r>
      <w:r w:rsidR="004E438B" w:rsidRPr="00252B48">
        <w:rPr>
          <w:rFonts w:ascii="Arial" w:hAnsi="Arial" w:cs="Arial"/>
          <w:color w:val="000000"/>
        </w:rPr>
        <w:t>ith a deposit where necessary)</w:t>
      </w:r>
    </w:p>
    <w:p w14:paraId="03DDFFC3" w14:textId="2F81A249" w:rsidR="004E438B" w:rsidRPr="00252B48" w:rsidRDefault="004E438B" w:rsidP="009425D7">
      <w:pPr>
        <w:pStyle w:val="ListParagraph"/>
        <w:numPr>
          <w:ilvl w:val="0"/>
          <w:numId w:val="1"/>
        </w:numPr>
        <w:autoSpaceDE w:val="0"/>
        <w:autoSpaceDN w:val="0"/>
        <w:adjustRightInd w:val="0"/>
        <w:spacing w:after="0" w:line="240" w:lineRule="auto"/>
        <w:rPr>
          <w:rFonts w:ascii="Arial" w:hAnsi="Arial" w:cs="Arial"/>
          <w:color w:val="000000"/>
        </w:rPr>
      </w:pPr>
      <w:r w:rsidRPr="00252B48">
        <w:rPr>
          <w:rFonts w:ascii="Arial" w:hAnsi="Arial" w:cs="Arial"/>
          <w:color w:val="000000"/>
        </w:rPr>
        <w:t>Additional assistance for vulnerable households</w:t>
      </w:r>
    </w:p>
    <w:p w14:paraId="060377AA" w14:textId="5E1918EC" w:rsidR="004E438B" w:rsidRPr="00252B48" w:rsidRDefault="004E438B" w:rsidP="009425D7">
      <w:pPr>
        <w:pStyle w:val="ListParagraph"/>
        <w:numPr>
          <w:ilvl w:val="0"/>
          <w:numId w:val="1"/>
        </w:numPr>
        <w:autoSpaceDE w:val="0"/>
        <w:autoSpaceDN w:val="0"/>
        <w:adjustRightInd w:val="0"/>
        <w:spacing w:after="0" w:line="240" w:lineRule="auto"/>
        <w:rPr>
          <w:rFonts w:ascii="Arial" w:hAnsi="Arial" w:cs="Arial"/>
          <w:color w:val="000000"/>
        </w:rPr>
      </w:pPr>
      <w:r w:rsidRPr="00252B48">
        <w:rPr>
          <w:rFonts w:ascii="Arial" w:hAnsi="Arial" w:cs="Arial"/>
          <w:color w:val="000000"/>
        </w:rPr>
        <w:t xml:space="preserve">Notifying the Council’s Housing Options Team if the tenant is facing homelessness in 56 days </w:t>
      </w:r>
    </w:p>
    <w:p w14:paraId="47823EA4" w14:textId="77777777" w:rsidR="003A6D4D" w:rsidRPr="003A6D4D" w:rsidRDefault="003A6D4D" w:rsidP="003A6D4D">
      <w:pPr>
        <w:autoSpaceDE w:val="0"/>
        <w:autoSpaceDN w:val="0"/>
        <w:adjustRightInd w:val="0"/>
        <w:spacing w:after="0" w:line="240" w:lineRule="auto"/>
        <w:ind w:left="360"/>
        <w:rPr>
          <w:rFonts w:ascii="Trebuchet MS" w:hAnsi="Trebuchet MS" w:cs="Trebuchet MS"/>
          <w:color w:val="000000"/>
          <w:sz w:val="23"/>
          <w:szCs w:val="23"/>
        </w:rPr>
      </w:pPr>
    </w:p>
    <w:p w14:paraId="72908738" w14:textId="61E8811D" w:rsidR="009425D7" w:rsidRPr="00252B48" w:rsidRDefault="009425D7" w:rsidP="009425D7">
      <w:pPr>
        <w:rPr>
          <w:rFonts w:ascii="Arial" w:hAnsi="Arial" w:cs="Arial"/>
          <w:color w:val="000000"/>
        </w:rPr>
      </w:pPr>
      <w:r w:rsidRPr="00252B48">
        <w:rPr>
          <w:rFonts w:ascii="Arial" w:hAnsi="Arial" w:cs="Arial"/>
          <w:color w:val="000000"/>
        </w:rPr>
        <w:t xml:space="preserve">It is expected that Registered Providers </w:t>
      </w:r>
      <w:r w:rsidR="008D4766">
        <w:rPr>
          <w:rFonts w:ascii="Arial" w:hAnsi="Arial" w:cs="Arial"/>
          <w:color w:val="000000"/>
        </w:rPr>
        <w:t xml:space="preserve">will </w:t>
      </w:r>
      <w:r w:rsidRPr="00252B48">
        <w:rPr>
          <w:rFonts w:ascii="Arial" w:hAnsi="Arial" w:cs="Arial"/>
          <w:color w:val="000000"/>
        </w:rPr>
        <w:t>allow a tenant to remain in their property at the end of the tenancy until a suitable alternative has been found.</w:t>
      </w:r>
    </w:p>
    <w:p w14:paraId="4FBDDD61" w14:textId="053C8C05" w:rsidR="00A548D5" w:rsidRPr="00252B48" w:rsidRDefault="003A6D4D" w:rsidP="003A6D4D">
      <w:pPr>
        <w:autoSpaceDE w:val="0"/>
        <w:autoSpaceDN w:val="0"/>
        <w:adjustRightInd w:val="0"/>
        <w:spacing w:after="0" w:line="240" w:lineRule="auto"/>
        <w:rPr>
          <w:rFonts w:ascii="Arial" w:hAnsi="Arial" w:cs="Arial"/>
        </w:rPr>
      </w:pPr>
      <w:r w:rsidRPr="00252B48">
        <w:rPr>
          <w:rFonts w:ascii="Arial" w:hAnsi="Arial" w:cs="Arial"/>
        </w:rPr>
        <w:lastRenderedPageBreak/>
        <w:t xml:space="preserve">Registered providers must consult with the Council regarding new and revised tenancy policies and should </w:t>
      </w:r>
      <w:r w:rsidR="00A548D5" w:rsidRPr="00252B48">
        <w:rPr>
          <w:rFonts w:ascii="Arial" w:hAnsi="Arial" w:cs="Arial"/>
        </w:rPr>
        <w:t xml:space="preserve">respond to the Council’s requests for monitoring information. </w:t>
      </w:r>
    </w:p>
    <w:p w14:paraId="68074C20" w14:textId="77777777" w:rsidR="003A6D4D" w:rsidRDefault="003A6D4D">
      <w:pPr>
        <w:rPr>
          <w:rFonts w:ascii="Arial" w:hAnsi="Arial" w:cs="Arial"/>
          <w:b/>
        </w:rPr>
      </w:pPr>
    </w:p>
    <w:p w14:paraId="13C1D8E0" w14:textId="77777777" w:rsidR="00171973" w:rsidRDefault="00171973">
      <w:pPr>
        <w:rPr>
          <w:rFonts w:ascii="Arial" w:hAnsi="Arial" w:cs="Arial"/>
          <w:b/>
        </w:rPr>
      </w:pPr>
    </w:p>
    <w:p w14:paraId="5E6A2882" w14:textId="77777777" w:rsidR="00813819" w:rsidRDefault="00813819">
      <w:pPr>
        <w:rPr>
          <w:rFonts w:ascii="Arial" w:hAnsi="Arial" w:cs="Arial"/>
          <w:b/>
        </w:rPr>
      </w:pPr>
    </w:p>
    <w:p w14:paraId="29A0F485" w14:textId="77777777" w:rsidR="00813819" w:rsidRDefault="00813819">
      <w:pPr>
        <w:rPr>
          <w:rFonts w:ascii="Arial" w:hAnsi="Arial" w:cs="Arial"/>
          <w:b/>
        </w:rPr>
      </w:pPr>
    </w:p>
    <w:p w14:paraId="1ED15E5F" w14:textId="77777777" w:rsidR="00813819" w:rsidRDefault="00813819">
      <w:pPr>
        <w:rPr>
          <w:rFonts w:ascii="Arial" w:hAnsi="Arial" w:cs="Arial"/>
          <w:b/>
        </w:rPr>
      </w:pPr>
    </w:p>
    <w:p w14:paraId="611E23FF" w14:textId="77777777" w:rsidR="00813819" w:rsidRDefault="00813819">
      <w:pPr>
        <w:rPr>
          <w:rFonts w:ascii="Arial" w:hAnsi="Arial" w:cs="Arial"/>
          <w:b/>
        </w:rPr>
      </w:pPr>
    </w:p>
    <w:p w14:paraId="5C57E466" w14:textId="77777777" w:rsidR="00813819" w:rsidRDefault="00813819">
      <w:pPr>
        <w:rPr>
          <w:rFonts w:ascii="Arial" w:hAnsi="Arial" w:cs="Arial"/>
          <w:b/>
        </w:rPr>
      </w:pPr>
    </w:p>
    <w:p w14:paraId="32E1F313" w14:textId="77777777" w:rsidR="00813819" w:rsidRDefault="00813819">
      <w:pPr>
        <w:rPr>
          <w:rFonts w:ascii="Arial" w:hAnsi="Arial" w:cs="Arial"/>
          <w:b/>
        </w:rPr>
      </w:pPr>
    </w:p>
    <w:p w14:paraId="2136E776" w14:textId="77777777" w:rsidR="00813819" w:rsidRDefault="00813819">
      <w:pPr>
        <w:rPr>
          <w:rFonts w:ascii="Arial" w:hAnsi="Arial" w:cs="Arial"/>
          <w:b/>
        </w:rPr>
      </w:pPr>
    </w:p>
    <w:p w14:paraId="525A5F40" w14:textId="77777777" w:rsidR="00813819" w:rsidRDefault="00813819">
      <w:pPr>
        <w:rPr>
          <w:rFonts w:ascii="Arial" w:hAnsi="Arial" w:cs="Arial"/>
          <w:b/>
        </w:rPr>
      </w:pPr>
    </w:p>
    <w:p w14:paraId="7004FBBB" w14:textId="77777777" w:rsidR="00813819" w:rsidRDefault="00813819">
      <w:pPr>
        <w:rPr>
          <w:rFonts w:ascii="Arial" w:hAnsi="Arial" w:cs="Arial"/>
          <w:b/>
        </w:rPr>
      </w:pPr>
    </w:p>
    <w:p w14:paraId="0A3A1AD7" w14:textId="77777777" w:rsidR="00813819" w:rsidRDefault="00813819">
      <w:pPr>
        <w:rPr>
          <w:rFonts w:ascii="Arial" w:hAnsi="Arial" w:cs="Arial"/>
          <w:b/>
        </w:rPr>
      </w:pPr>
    </w:p>
    <w:p w14:paraId="72245EC7" w14:textId="77777777" w:rsidR="00813819" w:rsidRDefault="00813819">
      <w:pPr>
        <w:rPr>
          <w:rFonts w:ascii="Arial" w:hAnsi="Arial" w:cs="Arial"/>
          <w:b/>
        </w:rPr>
      </w:pPr>
    </w:p>
    <w:p w14:paraId="7854ECBA" w14:textId="77777777" w:rsidR="00813819" w:rsidRDefault="00813819">
      <w:pPr>
        <w:rPr>
          <w:rFonts w:ascii="Arial" w:hAnsi="Arial" w:cs="Arial"/>
          <w:b/>
        </w:rPr>
      </w:pPr>
    </w:p>
    <w:p w14:paraId="6D0AA643" w14:textId="77777777" w:rsidR="00813819" w:rsidRDefault="00813819">
      <w:pPr>
        <w:rPr>
          <w:rFonts w:ascii="Arial" w:hAnsi="Arial" w:cs="Arial"/>
          <w:b/>
        </w:rPr>
      </w:pPr>
    </w:p>
    <w:p w14:paraId="4C993A92" w14:textId="77777777" w:rsidR="00813819" w:rsidRDefault="00813819">
      <w:pPr>
        <w:rPr>
          <w:rFonts w:ascii="Arial" w:hAnsi="Arial" w:cs="Arial"/>
          <w:b/>
        </w:rPr>
      </w:pPr>
    </w:p>
    <w:p w14:paraId="2D68D1FA" w14:textId="77777777" w:rsidR="00813819" w:rsidRDefault="00813819">
      <w:pPr>
        <w:rPr>
          <w:rFonts w:ascii="Arial" w:hAnsi="Arial" w:cs="Arial"/>
          <w:b/>
        </w:rPr>
      </w:pPr>
    </w:p>
    <w:p w14:paraId="294C1C9E" w14:textId="77777777" w:rsidR="00813819" w:rsidRDefault="00813819">
      <w:pPr>
        <w:rPr>
          <w:rFonts w:ascii="Arial" w:hAnsi="Arial" w:cs="Arial"/>
          <w:b/>
        </w:rPr>
      </w:pPr>
    </w:p>
    <w:p w14:paraId="67F2A719" w14:textId="77777777" w:rsidR="00813819" w:rsidRDefault="00813819">
      <w:pPr>
        <w:rPr>
          <w:rFonts w:ascii="Arial" w:hAnsi="Arial" w:cs="Arial"/>
          <w:b/>
        </w:rPr>
      </w:pPr>
    </w:p>
    <w:p w14:paraId="630151C8" w14:textId="77777777" w:rsidR="00813819" w:rsidRDefault="00813819">
      <w:pPr>
        <w:rPr>
          <w:rFonts w:ascii="Arial" w:hAnsi="Arial" w:cs="Arial"/>
          <w:b/>
        </w:rPr>
      </w:pPr>
    </w:p>
    <w:p w14:paraId="44AB4E7B" w14:textId="77777777" w:rsidR="00813819" w:rsidRDefault="00813819">
      <w:pPr>
        <w:rPr>
          <w:rFonts w:ascii="Arial" w:hAnsi="Arial" w:cs="Arial"/>
          <w:b/>
        </w:rPr>
      </w:pPr>
    </w:p>
    <w:p w14:paraId="7AEEA2F1" w14:textId="77777777" w:rsidR="00813819" w:rsidRDefault="00813819">
      <w:pPr>
        <w:rPr>
          <w:rFonts w:ascii="Arial" w:hAnsi="Arial" w:cs="Arial"/>
          <w:b/>
        </w:rPr>
      </w:pPr>
    </w:p>
    <w:p w14:paraId="2FEDE4B9" w14:textId="77777777" w:rsidR="00813819" w:rsidRDefault="00813819">
      <w:pPr>
        <w:rPr>
          <w:rFonts w:ascii="Arial" w:hAnsi="Arial" w:cs="Arial"/>
          <w:b/>
        </w:rPr>
      </w:pPr>
    </w:p>
    <w:p w14:paraId="546C59B5" w14:textId="77777777" w:rsidR="00813819" w:rsidRDefault="00813819">
      <w:pPr>
        <w:rPr>
          <w:rFonts w:ascii="Arial" w:hAnsi="Arial" w:cs="Arial"/>
          <w:b/>
        </w:rPr>
      </w:pPr>
    </w:p>
    <w:p w14:paraId="5BBA600D" w14:textId="77777777" w:rsidR="00813819" w:rsidRDefault="00813819">
      <w:pPr>
        <w:rPr>
          <w:rFonts w:ascii="Arial" w:hAnsi="Arial" w:cs="Arial"/>
          <w:b/>
        </w:rPr>
      </w:pPr>
    </w:p>
    <w:p w14:paraId="1803B0C3" w14:textId="77777777" w:rsidR="00813819" w:rsidRDefault="00813819">
      <w:pPr>
        <w:rPr>
          <w:rFonts w:ascii="Arial" w:hAnsi="Arial" w:cs="Arial"/>
          <w:b/>
        </w:rPr>
      </w:pPr>
    </w:p>
    <w:p w14:paraId="60A0DABE" w14:textId="77777777" w:rsidR="00813819" w:rsidRDefault="00813819">
      <w:pPr>
        <w:rPr>
          <w:rFonts w:ascii="Arial" w:hAnsi="Arial" w:cs="Arial"/>
          <w:b/>
        </w:rPr>
      </w:pPr>
    </w:p>
    <w:p w14:paraId="15F483D1" w14:textId="77777777" w:rsidR="00813819" w:rsidRDefault="00813819">
      <w:pPr>
        <w:rPr>
          <w:rFonts w:ascii="Arial" w:hAnsi="Arial" w:cs="Arial"/>
          <w:b/>
        </w:rPr>
      </w:pPr>
    </w:p>
    <w:p w14:paraId="6071A5C4" w14:textId="77777777" w:rsidR="00813819" w:rsidRDefault="00813819">
      <w:pPr>
        <w:rPr>
          <w:rFonts w:ascii="Arial" w:hAnsi="Arial" w:cs="Arial"/>
          <w:b/>
        </w:rPr>
      </w:pPr>
    </w:p>
    <w:p w14:paraId="02F13CEE" w14:textId="77777777" w:rsidR="00813819" w:rsidRDefault="00813819">
      <w:pPr>
        <w:rPr>
          <w:rFonts w:ascii="Arial" w:hAnsi="Arial" w:cs="Arial"/>
          <w:b/>
        </w:rPr>
      </w:pPr>
    </w:p>
    <w:p w14:paraId="7BBB1913" w14:textId="77777777" w:rsidR="00813819" w:rsidRDefault="00813819">
      <w:pPr>
        <w:rPr>
          <w:rFonts w:ascii="Arial" w:hAnsi="Arial" w:cs="Arial"/>
          <w:b/>
        </w:rPr>
      </w:pPr>
    </w:p>
    <w:p w14:paraId="71285FAD" w14:textId="53BDEAF6" w:rsidR="0091753E" w:rsidRDefault="00813819">
      <w:pPr>
        <w:rPr>
          <w:rFonts w:ascii="Arial" w:hAnsi="Arial" w:cs="Arial"/>
          <w:b/>
        </w:rPr>
      </w:pPr>
      <w:r>
        <w:rPr>
          <w:rFonts w:ascii="Arial" w:hAnsi="Arial" w:cs="Arial"/>
          <w:b/>
        </w:rPr>
        <w:lastRenderedPageBreak/>
        <w:t xml:space="preserve">Appendix 1 - </w:t>
      </w:r>
      <w:r w:rsidR="0091753E" w:rsidRPr="004137F0">
        <w:rPr>
          <w:rFonts w:ascii="Arial" w:hAnsi="Arial" w:cs="Arial"/>
          <w:b/>
        </w:rPr>
        <w:t xml:space="preserve">Ashfield housing market </w:t>
      </w:r>
      <w:r w:rsidR="005205CA">
        <w:rPr>
          <w:rFonts w:ascii="Arial" w:hAnsi="Arial" w:cs="Arial"/>
          <w:b/>
        </w:rPr>
        <w:t>context</w:t>
      </w:r>
      <w:r w:rsidR="009713F6">
        <w:rPr>
          <w:rFonts w:ascii="Arial" w:hAnsi="Arial" w:cs="Arial"/>
          <w:b/>
        </w:rPr>
        <w:t xml:space="preserve"> </w:t>
      </w:r>
    </w:p>
    <w:p w14:paraId="1B6656A4" w14:textId="07ED9368" w:rsidR="00184B4C" w:rsidRDefault="00184B4C">
      <w:pPr>
        <w:rPr>
          <w:rFonts w:ascii="Arial" w:hAnsi="Arial" w:cs="Arial"/>
        </w:rPr>
      </w:pPr>
      <w:r>
        <w:rPr>
          <w:rFonts w:ascii="Arial" w:hAnsi="Arial" w:cs="Arial"/>
        </w:rPr>
        <w:t xml:space="preserve">This section provides an overview of the Ashfield housing market and the factors that impact on demand for social housing. The Council expects that providers will take these factors into consideration when developing their tenancy and Affordable Rent policies. </w:t>
      </w:r>
    </w:p>
    <w:p w14:paraId="0F28BE8E" w14:textId="31756F64" w:rsidR="00F95335" w:rsidRDefault="007C2A84">
      <w:pPr>
        <w:rPr>
          <w:rFonts w:ascii="Arial" w:hAnsi="Arial" w:cs="Arial"/>
          <w:i/>
        </w:rPr>
      </w:pPr>
      <w:r>
        <w:rPr>
          <w:rFonts w:ascii="Arial" w:hAnsi="Arial" w:cs="Arial"/>
          <w:i/>
        </w:rPr>
        <w:t>Supply</w:t>
      </w:r>
    </w:p>
    <w:p w14:paraId="34EB7033" w14:textId="292313A5" w:rsidR="004137F0" w:rsidRDefault="00E20775">
      <w:pPr>
        <w:rPr>
          <w:rFonts w:ascii="Arial" w:hAnsi="Arial" w:cs="Arial"/>
        </w:rPr>
      </w:pPr>
      <w:r>
        <w:rPr>
          <w:rFonts w:ascii="Arial" w:hAnsi="Arial" w:cs="Arial"/>
        </w:rPr>
        <w:t>As at 1</w:t>
      </w:r>
      <w:r w:rsidRPr="00E20775">
        <w:rPr>
          <w:rFonts w:ascii="Arial" w:hAnsi="Arial" w:cs="Arial"/>
          <w:vertAlign w:val="superscript"/>
        </w:rPr>
        <w:t>st</w:t>
      </w:r>
      <w:r>
        <w:rPr>
          <w:rFonts w:ascii="Arial" w:hAnsi="Arial" w:cs="Arial"/>
        </w:rPr>
        <w:t xml:space="preserve"> April 2017, there we</w:t>
      </w:r>
      <w:r w:rsidR="00184B4C">
        <w:rPr>
          <w:rFonts w:ascii="Arial" w:hAnsi="Arial" w:cs="Arial"/>
        </w:rPr>
        <w:t xml:space="preserve">re </w:t>
      </w:r>
      <w:r w:rsidR="00D457EE">
        <w:rPr>
          <w:rFonts w:ascii="Arial" w:hAnsi="Arial" w:cs="Arial"/>
        </w:rPr>
        <w:t>8,</w:t>
      </w:r>
      <w:r w:rsidR="00474770">
        <w:rPr>
          <w:rFonts w:ascii="Arial" w:hAnsi="Arial" w:cs="Arial"/>
        </w:rPr>
        <w:t>972</w:t>
      </w:r>
      <w:r w:rsidR="00184B4C">
        <w:rPr>
          <w:rFonts w:ascii="Arial" w:hAnsi="Arial" w:cs="Arial"/>
        </w:rPr>
        <w:t xml:space="preserve"> social rent homes in the district, </w:t>
      </w:r>
      <w:r>
        <w:rPr>
          <w:rFonts w:ascii="Arial" w:hAnsi="Arial" w:cs="Arial"/>
        </w:rPr>
        <w:t xml:space="preserve">the table below how this has changed over time and the impact of Right to Buy and new build completions. It also shows the number of lettings each year and the number of households on the waiting list. </w:t>
      </w:r>
    </w:p>
    <w:p w14:paraId="73A1D594" w14:textId="4803DBC1" w:rsidR="00184B4C" w:rsidRPr="00E20775" w:rsidRDefault="00184B4C" w:rsidP="00E20775">
      <w:pPr>
        <w:rPr>
          <w:rFonts w:ascii="Arial" w:hAnsi="Arial" w:cs="Arial"/>
        </w:rPr>
      </w:pPr>
    </w:p>
    <w:tbl>
      <w:tblPr>
        <w:tblStyle w:val="TableGrid"/>
        <w:tblW w:w="9209" w:type="dxa"/>
        <w:tblLook w:val="04A0" w:firstRow="1" w:lastRow="0" w:firstColumn="1" w:lastColumn="0" w:noHBand="0" w:noVBand="1"/>
      </w:tblPr>
      <w:tblGrid>
        <w:gridCol w:w="1696"/>
        <w:gridCol w:w="1308"/>
        <w:gridCol w:w="1503"/>
        <w:gridCol w:w="1503"/>
        <w:gridCol w:w="1503"/>
        <w:gridCol w:w="1696"/>
      </w:tblGrid>
      <w:tr w:rsidR="00AE3321" w14:paraId="64B68F9C" w14:textId="77777777" w:rsidTr="005205CA">
        <w:tc>
          <w:tcPr>
            <w:tcW w:w="1696" w:type="dxa"/>
          </w:tcPr>
          <w:p w14:paraId="3177397D" w14:textId="0C787698" w:rsidR="00AE3321" w:rsidRDefault="00AE3321" w:rsidP="00AE3321">
            <w:pPr>
              <w:rPr>
                <w:rFonts w:ascii="Arial" w:hAnsi="Arial" w:cs="Arial"/>
              </w:rPr>
            </w:pPr>
          </w:p>
        </w:tc>
        <w:tc>
          <w:tcPr>
            <w:tcW w:w="1308" w:type="dxa"/>
          </w:tcPr>
          <w:p w14:paraId="45E542C2" w14:textId="414C09CA" w:rsidR="00AE3321" w:rsidRPr="00E20775" w:rsidRDefault="00AE3321" w:rsidP="00AE3321">
            <w:pPr>
              <w:rPr>
                <w:rFonts w:ascii="Arial" w:hAnsi="Arial" w:cs="Arial"/>
                <w:b/>
              </w:rPr>
            </w:pPr>
            <w:r w:rsidRPr="00E20775">
              <w:rPr>
                <w:rFonts w:ascii="Arial" w:hAnsi="Arial" w:cs="Arial"/>
                <w:b/>
              </w:rPr>
              <w:t>2017</w:t>
            </w:r>
          </w:p>
        </w:tc>
        <w:tc>
          <w:tcPr>
            <w:tcW w:w="1503" w:type="dxa"/>
          </w:tcPr>
          <w:p w14:paraId="073ED7DC" w14:textId="1D205251" w:rsidR="00AE3321" w:rsidRPr="00E20775" w:rsidRDefault="00AE3321" w:rsidP="00AE3321">
            <w:pPr>
              <w:rPr>
                <w:rFonts w:ascii="Arial" w:hAnsi="Arial" w:cs="Arial"/>
                <w:b/>
              </w:rPr>
            </w:pPr>
            <w:r w:rsidRPr="00E20775">
              <w:rPr>
                <w:rFonts w:ascii="Arial" w:hAnsi="Arial" w:cs="Arial"/>
                <w:b/>
              </w:rPr>
              <w:t>2016</w:t>
            </w:r>
          </w:p>
        </w:tc>
        <w:tc>
          <w:tcPr>
            <w:tcW w:w="1503" w:type="dxa"/>
          </w:tcPr>
          <w:p w14:paraId="10EBBC10" w14:textId="7C02AF49" w:rsidR="00AE3321" w:rsidRPr="00E20775" w:rsidRDefault="00AE3321" w:rsidP="00AE3321">
            <w:pPr>
              <w:rPr>
                <w:rFonts w:ascii="Arial" w:hAnsi="Arial" w:cs="Arial"/>
                <w:b/>
              </w:rPr>
            </w:pPr>
            <w:r w:rsidRPr="00E20775">
              <w:rPr>
                <w:rFonts w:ascii="Arial" w:hAnsi="Arial" w:cs="Arial"/>
                <w:b/>
              </w:rPr>
              <w:t>2015</w:t>
            </w:r>
          </w:p>
        </w:tc>
        <w:tc>
          <w:tcPr>
            <w:tcW w:w="1503" w:type="dxa"/>
          </w:tcPr>
          <w:p w14:paraId="3E9A5A93" w14:textId="0E0B76C3" w:rsidR="00AE3321" w:rsidRPr="00E20775" w:rsidRDefault="00AE3321" w:rsidP="00AE3321">
            <w:pPr>
              <w:rPr>
                <w:rFonts w:ascii="Arial" w:hAnsi="Arial" w:cs="Arial"/>
                <w:b/>
              </w:rPr>
            </w:pPr>
            <w:r w:rsidRPr="00E20775">
              <w:rPr>
                <w:rFonts w:ascii="Arial" w:hAnsi="Arial" w:cs="Arial"/>
                <w:b/>
              </w:rPr>
              <w:t>2014</w:t>
            </w:r>
          </w:p>
        </w:tc>
        <w:tc>
          <w:tcPr>
            <w:tcW w:w="1696" w:type="dxa"/>
          </w:tcPr>
          <w:p w14:paraId="42918C0C" w14:textId="68D7D866" w:rsidR="00AE3321" w:rsidRPr="00E20775" w:rsidRDefault="00AE3321" w:rsidP="00AE3321">
            <w:pPr>
              <w:rPr>
                <w:rFonts w:ascii="Arial" w:hAnsi="Arial" w:cs="Arial"/>
                <w:b/>
              </w:rPr>
            </w:pPr>
            <w:r w:rsidRPr="00E20775">
              <w:rPr>
                <w:rFonts w:ascii="Arial" w:hAnsi="Arial" w:cs="Arial"/>
                <w:b/>
              </w:rPr>
              <w:t>2013</w:t>
            </w:r>
          </w:p>
        </w:tc>
      </w:tr>
      <w:tr w:rsidR="00AE3321" w14:paraId="2F8C81D4" w14:textId="77777777" w:rsidTr="005205CA">
        <w:tc>
          <w:tcPr>
            <w:tcW w:w="1696" w:type="dxa"/>
          </w:tcPr>
          <w:p w14:paraId="4AB0390D" w14:textId="58352D6F" w:rsidR="00AE3321" w:rsidRDefault="00AE3321" w:rsidP="005205CA">
            <w:pPr>
              <w:rPr>
                <w:rFonts w:ascii="Arial" w:hAnsi="Arial" w:cs="Arial"/>
              </w:rPr>
            </w:pPr>
            <w:r>
              <w:rPr>
                <w:rFonts w:ascii="Arial" w:hAnsi="Arial" w:cs="Arial"/>
              </w:rPr>
              <w:t>Council homes</w:t>
            </w:r>
            <w:r w:rsidR="005205CA">
              <w:rPr>
                <w:rStyle w:val="FootnoteReference"/>
                <w:rFonts w:ascii="Arial" w:hAnsi="Arial" w:cs="Arial"/>
              </w:rPr>
              <w:footnoteReference w:id="2"/>
            </w:r>
          </w:p>
        </w:tc>
        <w:tc>
          <w:tcPr>
            <w:tcW w:w="1308" w:type="dxa"/>
          </w:tcPr>
          <w:p w14:paraId="65897858" w14:textId="2BE2F260" w:rsidR="00AE3321" w:rsidRDefault="00271FBC" w:rsidP="00AE3321">
            <w:pPr>
              <w:rPr>
                <w:rFonts w:ascii="Arial" w:hAnsi="Arial" w:cs="Arial"/>
              </w:rPr>
            </w:pPr>
            <w:r>
              <w:rPr>
                <w:rFonts w:ascii="Arial" w:hAnsi="Arial" w:cs="Arial"/>
              </w:rPr>
              <w:t>6790</w:t>
            </w:r>
          </w:p>
        </w:tc>
        <w:tc>
          <w:tcPr>
            <w:tcW w:w="1503" w:type="dxa"/>
          </w:tcPr>
          <w:p w14:paraId="65DAB2E4" w14:textId="3C79261D" w:rsidR="00AE3321" w:rsidRDefault="00271FBC" w:rsidP="00AE3321">
            <w:pPr>
              <w:rPr>
                <w:rFonts w:ascii="Arial" w:hAnsi="Arial" w:cs="Arial"/>
              </w:rPr>
            </w:pPr>
            <w:r>
              <w:rPr>
                <w:rFonts w:ascii="Arial" w:hAnsi="Arial" w:cs="Arial"/>
              </w:rPr>
              <w:t>6804</w:t>
            </w:r>
          </w:p>
        </w:tc>
        <w:tc>
          <w:tcPr>
            <w:tcW w:w="1503" w:type="dxa"/>
          </w:tcPr>
          <w:p w14:paraId="120DB663" w14:textId="0EB80D31" w:rsidR="00AE3321" w:rsidRDefault="00271FBC" w:rsidP="00AE3321">
            <w:pPr>
              <w:rPr>
                <w:rFonts w:ascii="Arial" w:hAnsi="Arial" w:cs="Arial"/>
              </w:rPr>
            </w:pPr>
            <w:r>
              <w:rPr>
                <w:rFonts w:ascii="Arial" w:hAnsi="Arial" w:cs="Arial"/>
              </w:rPr>
              <w:t>6866</w:t>
            </w:r>
          </w:p>
        </w:tc>
        <w:tc>
          <w:tcPr>
            <w:tcW w:w="1503" w:type="dxa"/>
          </w:tcPr>
          <w:p w14:paraId="331ABA79" w14:textId="45DEBE6F" w:rsidR="00AE3321" w:rsidRDefault="00271FBC" w:rsidP="00AE3321">
            <w:pPr>
              <w:rPr>
                <w:rFonts w:ascii="Arial" w:hAnsi="Arial" w:cs="Arial"/>
              </w:rPr>
            </w:pPr>
            <w:r>
              <w:rPr>
                <w:rFonts w:ascii="Arial" w:hAnsi="Arial" w:cs="Arial"/>
              </w:rPr>
              <w:t>6856</w:t>
            </w:r>
          </w:p>
        </w:tc>
        <w:tc>
          <w:tcPr>
            <w:tcW w:w="1696" w:type="dxa"/>
          </w:tcPr>
          <w:p w14:paraId="23708AE0" w14:textId="0D3C738E" w:rsidR="00AE3321" w:rsidRDefault="00271FBC" w:rsidP="00AE3321">
            <w:pPr>
              <w:rPr>
                <w:rFonts w:ascii="Arial" w:hAnsi="Arial" w:cs="Arial"/>
              </w:rPr>
            </w:pPr>
            <w:r>
              <w:rPr>
                <w:rFonts w:ascii="Arial" w:hAnsi="Arial" w:cs="Arial"/>
              </w:rPr>
              <w:t>6876</w:t>
            </w:r>
          </w:p>
        </w:tc>
      </w:tr>
      <w:tr w:rsidR="00AE3321" w14:paraId="4275B80F" w14:textId="77777777" w:rsidTr="005205CA">
        <w:tc>
          <w:tcPr>
            <w:tcW w:w="1696" w:type="dxa"/>
          </w:tcPr>
          <w:p w14:paraId="7942CF58" w14:textId="10174049" w:rsidR="00AE3321" w:rsidRDefault="00AE3321" w:rsidP="00AE3321">
            <w:pPr>
              <w:rPr>
                <w:rFonts w:ascii="Arial" w:hAnsi="Arial" w:cs="Arial"/>
              </w:rPr>
            </w:pPr>
            <w:r>
              <w:rPr>
                <w:rFonts w:ascii="Arial" w:hAnsi="Arial" w:cs="Arial"/>
              </w:rPr>
              <w:t>Registered provider homes</w:t>
            </w:r>
            <w:r w:rsidR="005205CA">
              <w:rPr>
                <w:rStyle w:val="FootnoteReference"/>
                <w:rFonts w:ascii="Arial" w:hAnsi="Arial" w:cs="Arial"/>
              </w:rPr>
              <w:footnoteReference w:id="3"/>
            </w:r>
          </w:p>
        </w:tc>
        <w:tc>
          <w:tcPr>
            <w:tcW w:w="1308" w:type="dxa"/>
          </w:tcPr>
          <w:p w14:paraId="13195E87" w14:textId="71415D4D" w:rsidR="00AE3321" w:rsidRDefault="00AE3321" w:rsidP="00AE3321">
            <w:pPr>
              <w:rPr>
                <w:rFonts w:ascii="Arial" w:hAnsi="Arial" w:cs="Arial"/>
              </w:rPr>
            </w:pPr>
            <w:r>
              <w:rPr>
                <w:rFonts w:ascii="Arial" w:hAnsi="Arial" w:cs="Arial"/>
              </w:rPr>
              <w:t>2182</w:t>
            </w:r>
          </w:p>
        </w:tc>
        <w:tc>
          <w:tcPr>
            <w:tcW w:w="1503" w:type="dxa"/>
          </w:tcPr>
          <w:p w14:paraId="4F4C28C0" w14:textId="73A53B32" w:rsidR="00AE3321" w:rsidRDefault="00AE3321" w:rsidP="00AE3321">
            <w:pPr>
              <w:rPr>
                <w:rFonts w:ascii="Arial" w:hAnsi="Arial" w:cs="Arial"/>
              </w:rPr>
            </w:pPr>
            <w:r>
              <w:rPr>
                <w:rFonts w:ascii="Arial" w:hAnsi="Arial" w:cs="Arial"/>
              </w:rPr>
              <w:t>1944</w:t>
            </w:r>
          </w:p>
        </w:tc>
        <w:tc>
          <w:tcPr>
            <w:tcW w:w="1503" w:type="dxa"/>
          </w:tcPr>
          <w:p w14:paraId="37C42112" w14:textId="24DCE07B" w:rsidR="00AE3321" w:rsidRDefault="00AE3321" w:rsidP="00AE3321">
            <w:pPr>
              <w:rPr>
                <w:rFonts w:ascii="Arial" w:hAnsi="Arial" w:cs="Arial"/>
              </w:rPr>
            </w:pPr>
            <w:r>
              <w:rPr>
                <w:rFonts w:ascii="Arial" w:hAnsi="Arial" w:cs="Arial"/>
              </w:rPr>
              <w:t>1900</w:t>
            </w:r>
          </w:p>
        </w:tc>
        <w:tc>
          <w:tcPr>
            <w:tcW w:w="1503" w:type="dxa"/>
          </w:tcPr>
          <w:p w14:paraId="7A3588C7" w14:textId="489C9724" w:rsidR="00AE3321" w:rsidRDefault="00AE3321" w:rsidP="00AE3321">
            <w:pPr>
              <w:rPr>
                <w:rFonts w:ascii="Arial" w:hAnsi="Arial" w:cs="Arial"/>
              </w:rPr>
            </w:pPr>
            <w:r>
              <w:rPr>
                <w:rFonts w:ascii="Arial" w:hAnsi="Arial" w:cs="Arial"/>
              </w:rPr>
              <w:t>1875</w:t>
            </w:r>
          </w:p>
        </w:tc>
        <w:tc>
          <w:tcPr>
            <w:tcW w:w="1696" w:type="dxa"/>
          </w:tcPr>
          <w:p w14:paraId="72CD20F1" w14:textId="3A5F0C5B" w:rsidR="00AE3321" w:rsidRDefault="00AE3321" w:rsidP="00AE3321">
            <w:pPr>
              <w:rPr>
                <w:rFonts w:ascii="Arial" w:hAnsi="Arial" w:cs="Arial"/>
              </w:rPr>
            </w:pPr>
            <w:r>
              <w:rPr>
                <w:rFonts w:ascii="Arial" w:hAnsi="Arial" w:cs="Arial"/>
              </w:rPr>
              <w:t>1847</w:t>
            </w:r>
          </w:p>
        </w:tc>
      </w:tr>
      <w:tr w:rsidR="00271FBC" w14:paraId="17556E7A" w14:textId="77777777" w:rsidTr="005205CA">
        <w:tc>
          <w:tcPr>
            <w:tcW w:w="1696" w:type="dxa"/>
          </w:tcPr>
          <w:p w14:paraId="36559B87" w14:textId="21C410FD" w:rsidR="00271FBC" w:rsidRDefault="00271FBC" w:rsidP="005205CA">
            <w:pPr>
              <w:rPr>
                <w:rFonts w:ascii="Arial" w:hAnsi="Arial" w:cs="Arial"/>
              </w:rPr>
            </w:pPr>
            <w:r>
              <w:rPr>
                <w:rFonts w:ascii="Arial" w:hAnsi="Arial" w:cs="Arial"/>
              </w:rPr>
              <w:t>Right to Buy sales</w:t>
            </w:r>
            <w:r w:rsidR="005205CA">
              <w:rPr>
                <w:rStyle w:val="FootnoteReference"/>
                <w:rFonts w:ascii="Arial" w:hAnsi="Arial" w:cs="Arial"/>
              </w:rPr>
              <w:footnoteReference w:id="4"/>
            </w:r>
          </w:p>
        </w:tc>
        <w:tc>
          <w:tcPr>
            <w:tcW w:w="1308" w:type="dxa"/>
          </w:tcPr>
          <w:p w14:paraId="0D3C5546" w14:textId="227148A3" w:rsidR="00271FBC" w:rsidRDefault="00271FBC" w:rsidP="00271FBC">
            <w:pPr>
              <w:rPr>
                <w:rFonts w:ascii="Arial" w:hAnsi="Arial" w:cs="Arial"/>
              </w:rPr>
            </w:pPr>
            <w:r>
              <w:rPr>
                <w:rFonts w:ascii="Arial" w:hAnsi="Arial" w:cs="Arial"/>
              </w:rPr>
              <w:t>44</w:t>
            </w:r>
          </w:p>
        </w:tc>
        <w:tc>
          <w:tcPr>
            <w:tcW w:w="1503" w:type="dxa"/>
          </w:tcPr>
          <w:p w14:paraId="5EA01FFE" w14:textId="6EFC5D5E" w:rsidR="00271FBC" w:rsidRDefault="00271FBC" w:rsidP="00271FBC">
            <w:pPr>
              <w:rPr>
                <w:rFonts w:ascii="Arial" w:hAnsi="Arial" w:cs="Arial"/>
              </w:rPr>
            </w:pPr>
            <w:r>
              <w:rPr>
                <w:rFonts w:ascii="Arial" w:hAnsi="Arial" w:cs="Arial"/>
              </w:rPr>
              <w:t>62</w:t>
            </w:r>
          </w:p>
        </w:tc>
        <w:tc>
          <w:tcPr>
            <w:tcW w:w="1503" w:type="dxa"/>
          </w:tcPr>
          <w:p w14:paraId="3FF82AA4" w14:textId="6296DC47" w:rsidR="00271FBC" w:rsidRDefault="00271FBC" w:rsidP="00271FBC">
            <w:pPr>
              <w:rPr>
                <w:rFonts w:ascii="Arial" w:hAnsi="Arial" w:cs="Arial"/>
              </w:rPr>
            </w:pPr>
            <w:r>
              <w:rPr>
                <w:rFonts w:ascii="Arial" w:hAnsi="Arial" w:cs="Arial"/>
              </w:rPr>
              <w:t>42</w:t>
            </w:r>
          </w:p>
        </w:tc>
        <w:tc>
          <w:tcPr>
            <w:tcW w:w="1503" w:type="dxa"/>
          </w:tcPr>
          <w:p w14:paraId="2E88A77A" w14:textId="508D76D2" w:rsidR="00271FBC" w:rsidRDefault="00271FBC" w:rsidP="00271FBC">
            <w:pPr>
              <w:rPr>
                <w:rFonts w:ascii="Arial" w:hAnsi="Arial" w:cs="Arial"/>
              </w:rPr>
            </w:pPr>
            <w:r>
              <w:rPr>
                <w:rFonts w:ascii="Arial" w:hAnsi="Arial" w:cs="Arial"/>
              </w:rPr>
              <w:t>36</w:t>
            </w:r>
          </w:p>
        </w:tc>
        <w:tc>
          <w:tcPr>
            <w:tcW w:w="1696" w:type="dxa"/>
          </w:tcPr>
          <w:p w14:paraId="4B8DBB40" w14:textId="5E1426C3" w:rsidR="00271FBC" w:rsidRDefault="00271FBC" w:rsidP="00271FBC">
            <w:pPr>
              <w:rPr>
                <w:rFonts w:ascii="Arial" w:hAnsi="Arial" w:cs="Arial"/>
              </w:rPr>
            </w:pPr>
            <w:r>
              <w:rPr>
                <w:rFonts w:ascii="Arial" w:hAnsi="Arial" w:cs="Arial"/>
              </w:rPr>
              <w:t>26</w:t>
            </w:r>
          </w:p>
        </w:tc>
      </w:tr>
      <w:tr w:rsidR="00AE3321" w14:paraId="2097E487" w14:textId="77777777" w:rsidTr="005205CA">
        <w:tc>
          <w:tcPr>
            <w:tcW w:w="1696" w:type="dxa"/>
          </w:tcPr>
          <w:p w14:paraId="1A7AF413" w14:textId="0DA1D0B6" w:rsidR="00AE3321" w:rsidRDefault="00E476E8" w:rsidP="005205CA">
            <w:pPr>
              <w:rPr>
                <w:rFonts w:ascii="Arial" w:hAnsi="Arial" w:cs="Arial"/>
              </w:rPr>
            </w:pPr>
            <w:r>
              <w:rPr>
                <w:rFonts w:ascii="Arial" w:hAnsi="Arial" w:cs="Arial"/>
              </w:rPr>
              <w:t>Social rent</w:t>
            </w:r>
            <w:r w:rsidR="00AE3321">
              <w:rPr>
                <w:rFonts w:ascii="Arial" w:hAnsi="Arial" w:cs="Arial"/>
              </w:rPr>
              <w:t xml:space="preserve"> </w:t>
            </w:r>
            <w:r>
              <w:rPr>
                <w:rFonts w:ascii="Arial" w:hAnsi="Arial" w:cs="Arial"/>
              </w:rPr>
              <w:t>completions</w:t>
            </w:r>
            <w:r w:rsidR="005205CA">
              <w:rPr>
                <w:rStyle w:val="FootnoteReference"/>
                <w:rFonts w:ascii="Arial" w:hAnsi="Arial" w:cs="Arial"/>
              </w:rPr>
              <w:footnoteReference w:id="5"/>
            </w:r>
          </w:p>
        </w:tc>
        <w:tc>
          <w:tcPr>
            <w:tcW w:w="1308" w:type="dxa"/>
          </w:tcPr>
          <w:p w14:paraId="79F2432F" w14:textId="7758E45D" w:rsidR="00AE3321" w:rsidRDefault="003C6CB9" w:rsidP="00AE3321">
            <w:pPr>
              <w:rPr>
                <w:rFonts w:ascii="Arial" w:hAnsi="Arial" w:cs="Arial"/>
              </w:rPr>
            </w:pPr>
            <w:r>
              <w:rPr>
                <w:rFonts w:ascii="Arial" w:hAnsi="Arial" w:cs="Arial"/>
              </w:rPr>
              <w:t>80</w:t>
            </w:r>
          </w:p>
        </w:tc>
        <w:tc>
          <w:tcPr>
            <w:tcW w:w="1503" w:type="dxa"/>
          </w:tcPr>
          <w:p w14:paraId="5E084A73" w14:textId="64C57062" w:rsidR="00AE3321" w:rsidRDefault="003C6CB9" w:rsidP="00E476E8">
            <w:pPr>
              <w:rPr>
                <w:rFonts w:ascii="Arial" w:hAnsi="Arial" w:cs="Arial"/>
              </w:rPr>
            </w:pPr>
            <w:r>
              <w:rPr>
                <w:rFonts w:ascii="Arial" w:hAnsi="Arial" w:cs="Arial"/>
              </w:rPr>
              <w:t>0</w:t>
            </w:r>
          </w:p>
        </w:tc>
        <w:tc>
          <w:tcPr>
            <w:tcW w:w="1503" w:type="dxa"/>
          </w:tcPr>
          <w:p w14:paraId="7F1CF8A9" w14:textId="05753FAA" w:rsidR="00AE3321" w:rsidRDefault="003C6CB9" w:rsidP="00AE3321">
            <w:pPr>
              <w:rPr>
                <w:rFonts w:ascii="Arial" w:hAnsi="Arial" w:cs="Arial"/>
              </w:rPr>
            </w:pPr>
            <w:r>
              <w:rPr>
                <w:rFonts w:ascii="Arial" w:hAnsi="Arial" w:cs="Arial"/>
              </w:rPr>
              <w:t>60</w:t>
            </w:r>
          </w:p>
        </w:tc>
        <w:tc>
          <w:tcPr>
            <w:tcW w:w="1503" w:type="dxa"/>
          </w:tcPr>
          <w:p w14:paraId="157C7843" w14:textId="7E180AFC" w:rsidR="00AE3321" w:rsidRDefault="003C6CB9" w:rsidP="00AE3321">
            <w:pPr>
              <w:rPr>
                <w:rFonts w:ascii="Arial" w:hAnsi="Arial" w:cs="Arial"/>
              </w:rPr>
            </w:pPr>
            <w:r>
              <w:rPr>
                <w:rFonts w:ascii="Arial" w:hAnsi="Arial" w:cs="Arial"/>
              </w:rPr>
              <w:t>10</w:t>
            </w:r>
          </w:p>
        </w:tc>
        <w:tc>
          <w:tcPr>
            <w:tcW w:w="1696" w:type="dxa"/>
          </w:tcPr>
          <w:p w14:paraId="631E6865" w14:textId="7B6A6885" w:rsidR="00AE3321" w:rsidRDefault="003C6CB9" w:rsidP="00AE3321">
            <w:pPr>
              <w:rPr>
                <w:rFonts w:ascii="Arial" w:hAnsi="Arial" w:cs="Arial"/>
              </w:rPr>
            </w:pPr>
            <w:r>
              <w:rPr>
                <w:rFonts w:ascii="Arial" w:hAnsi="Arial" w:cs="Arial"/>
              </w:rPr>
              <w:t>10</w:t>
            </w:r>
          </w:p>
        </w:tc>
      </w:tr>
      <w:tr w:rsidR="00E476E8" w14:paraId="5E6954A1" w14:textId="77777777" w:rsidTr="005205CA">
        <w:tc>
          <w:tcPr>
            <w:tcW w:w="1696" w:type="dxa"/>
          </w:tcPr>
          <w:p w14:paraId="36963DDB" w14:textId="43015F97" w:rsidR="00E476E8" w:rsidRDefault="00E476E8" w:rsidP="005205CA">
            <w:pPr>
              <w:rPr>
                <w:rFonts w:ascii="Arial" w:hAnsi="Arial" w:cs="Arial"/>
              </w:rPr>
            </w:pPr>
            <w:r>
              <w:rPr>
                <w:rFonts w:ascii="Arial" w:hAnsi="Arial" w:cs="Arial"/>
              </w:rPr>
              <w:t>Affordable Rent completions</w:t>
            </w:r>
            <w:r w:rsidR="005205CA">
              <w:rPr>
                <w:rStyle w:val="FootnoteReference"/>
                <w:rFonts w:ascii="Arial" w:hAnsi="Arial" w:cs="Arial"/>
              </w:rPr>
              <w:footnoteReference w:id="6"/>
            </w:r>
            <w:r>
              <w:rPr>
                <w:rFonts w:ascii="Arial" w:hAnsi="Arial" w:cs="Arial"/>
              </w:rPr>
              <w:t xml:space="preserve"> </w:t>
            </w:r>
          </w:p>
        </w:tc>
        <w:tc>
          <w:tcPr>
            <w:tcW w:w="1308" w:type="dxa"/>
          </w:tcPr>
          <w:p w14:paraId="3CCFC124" w14:textId="63EA7EA7" w:rsidR="00E476E8" w:rsidRDefault="003C6CB9" w:rsidP="00AE3321">
            <w:pPr>
              <w:rPr>
                <w:rFonts w:ascii="Arial" w:hAnsi="Arial" w:cs="Arial"/>
              </w:rPr>
            </w:pPr>
            <w:r>
              <w:rPr>
                <w:rFonts w:ascii="Arial" w:hAnsi="Arial" w:cs="Arial"/>
              </w:rPr>
              <w:t>90</w:t>
            </w:r>
          </w:p>
        </w:tc>
        <w:tc>
          <w:tcPr>
            <w:tcW w:w="1503" w:type="dxa"/>
          </w:tcPr>
          <w:p w14:paraId="09315FF8" w14:textId="2429237F" w:rsidR="00E476E8" w:rsidRDefault="003C6CB9" w:rsidP="00AE3321">
            <w:pPr>
              <w:rPr>
                <w:rFonts w:ascii="Arial" w:hAnsi="Arial" w:cs="Arial"/>
              </w:rPr>
            </w:pPr>
            <w:r>
              <w:rPr>
                <w:rFonts w:ascii="Arial" w:hAnsi="Arial" w:cs="Arial"/>
              </w:rPr>
              <w:t>0</w:t>
            </w:r>
          </w:p>
        </w:tc>
        <w:tc>
          <w:tcPr>
            <w:tcW w:w="1503" w:type="dxa"/>
          </w:tcPr>
          <w:p w14:paraId="463B510F" w14:textId="59439514" w:rsidR="00E476E8" w:rsidRDefault="003C6CB9" w:rsidP="00AE3321">
            <w:pPr>
              <w:rPr>
                <w:rFonts w:ascii="Arial" w:hAnsi="Arial" w:cs="Arial"/>
              </w:rPr>
            </w:pPr>
            <w:r>
              <w:rPr>
                <w:rFonts w:ascii="Arial" w:hAnsi="Arial" w:cs="Arial"/>
              </w:rPr>
              <w:t>0</w:t>
            </w:r>
          </w:p>
        </w:tc>
        <w:tc>
          <w:tcPr>
            <w:tcW w:w="1503" w:type="dxa"/>
          </w:tcPr>
          <w:p w14:paraId="6CA18D7B" w14:textId="10BB0738" w:rsidR="00E476E8" w:rsidRDefault="003C6CB9" w:rsidP="00AE3321">
            <w:pPr>
              <w:rPr>
                <w:rFonts w:ascii="Arial" w:hAnsi="Arial" w:cs="Arial"/>
              </w:rPr>
            </w:pPr>
            <w:r>
              <w:rPr>
                <w:rFonts w:ascii="Arial" w:hAnsi="Arial" w:cs="Arial"/>
              </w:rPr>
              <w:t>20</w:t>
            </w:r>
          </w:p>
        </w:tc>
        <w:tc>
          <w:tcPr>
            <w:tcW w:w="1696" w:type="dxa"/>
          </w:tcPr>
          <w:p w14:paraId="0CBD8A25" w14:textId="7210B8D8" w:rsidR="00E476E8" w:rsidRDefault="003C6CB9" w:rsidP="00AE3321">
            <w:pPr>
              <w:rPr>
                <w:rFonts w:ascii="Arial" w:hAnsi="Arial" w:cs="Arial"/>
              </w:rPr>
            </w:pPr>
            <w:r>
              <w:rPr>
                <w:rFonts w:ascii="Arial" w:hAnsi="Arial" w:cs="Arial"/>
              </w:rPr>
              <w:t>0</w:t>
            </w:r>
          </w:p>
        </w:tc>
      </w:tr>
      <w:tr w:rsidR="003C6CB9" w14:paraId="1B866685" w14:textId="77777777" w:rsidTr="005205CA">
        <w:tc>
          <w:tcPr>
            <w:tcW w:w="1696" w:type="dxa"/>
          </w:tcPr>
          <w:p w14:paraId="0D1C388A" w14:textId="198B83A6" w:rsidR="003C6CB9" w:rsidRDefault="003C6CB9" w:rsidP="005205CA">
            <w:pPr>
              <w:rPr>
                <w:rFonts w:ascii="Arial" w:hAnsi="Arial" w:cs="Arial"/>
              </w:rPr>
            </w:pPr>
            <w:r>
              <w:rPr>
                <w:rFonts w:ascii="Arial" w:hAnsi="Arial" w:cs="Arial"/>
              </w:rPr>
              <w:t>Social rent GN lettings</w:t>
            </w:r>
            <w:r w:rsidR="005205CA">
              <w:rPr>
                <w:rStyle w:val="FootnoteReference"/>
                <w:rFonts w:ascii="Arial" w:hAnsi="Arial" w:cs="Arial"/>
              </w:rPr>
              <w:footnoteReference w:id="7"/>
            </w:r>
            <w:r>
              <w:rPr>
                <w:rFonts w:ascii="Arial" w:hAnsi="Arial" w:cs="Arial"/>
              </w:rPr>
              <w:t xml:space="preserve"> </w:t>
            </w:r>
          </w:p>
        </w:tc>
        <w:tc>
          <w:tcPr>
            <w:tcW w:w="1308" w:type="dxa"/>
          </w:tcPr>
          <w:p w14:paraId="0EB1ACB9" w14:textId="579B6A35" w:rsidR="003C6CB9" w:rsidRDefault="0012757A" w:rsidP="003C6CB9">
            <w:pPr>
              <w:rPr>
                <w:rFonts w:ascii="Arial" w:hAnsi="Arial" w:cs="Arial"/>
              </w:rPr>
            </w:pPr>
            <w:r>
              <w:rPr>
                <w:rFonts w:ascii="Arial" w:hAnsi="Arial" w:cs="Arial"/>
              </w:rPr>
              <w:t>555 (ADC lettings only)</w:t>
            </w:r>
          </w:p>
        </w:tc>
        <w:tc>
          <w:tcPr>
            <w:tcW w:w="1503" w:type="dxa"/>
          </w:tcPr>
          <w:p w14:paraId="54A0C0DB" w14:textId="77777777" w:rsidR="003C6CB9" w:rsidRDefault="003C6CB9" w:rsidP="003C6CB9">
            <w:pPr>
              <w:rPr>
                <w:rFonts w:ascii="Arial" w:hAnsi="Arial" w:cs="Arial"/>
              </w:rPr>
            </w:pPr>
            <w:r>
              <w:rPr>
                <w:rFonts w:ascii="Arial" w:hAnsi="Arial" w:cs="Arial"/>
              </w:rPr>
              <w:t>18 (new lets)</w:t>
            </w:r>
          </w:p>
          <w:p w14:paraId="513BFD96" w14:textId="36136DA5" w:rsidR="003C6CB9" w:rsidRDefault="003C6CB9" w:rsidP="003C6CB9">
            <w:pPr>
              <w:rPr>
                <w:rFonts w:ascii="Arial" w:hAnsi="Arial" w:cs="Arial"/>
              </w:rPr>
            </w:pPr>
            <w:r>
              <w:rPr>
                <w:rFonts w:ascii="Arial" w:hAnsi="Arial" w:cs="Arial"/>
              </w:rPr>
              <w:t>632 (relets)</w:t>
            </w:r>
          </w:p>
        </w:tc>
        <w:tc>
          <w:tcPr>
            <w:tcW w:w="1503" w:type="dxa"/>
          </w:tcPr>
          <w:p w14:paraId="226235D9" w14:textId="77777777" w:rsidR="003C6CB9" w:rsidRDefault="003C6CB9" w:rsidP="003C6CB9">
            <w:pPr>
              <w:rPr>
                <w:rFonts w:ascii="Arial" w:hAnsi="Arial" w:cs="Arial"/>
              </w:rPr>
            </w:pPr>
            <w:r>
              <w:rPr>
                <w:rFonts w:ascii="Arial" w:hAnsi="Arial" w:cs="Arial"/>
              </w:rPr>
              <w:t>34 (new lets)</w:t>
            </w:r>
          </w:p>
          <w:p w14:paraId="057C4F2B" w14:textId="2CB896AE" w:rsidR="003C6CB9" w:rsidRDefault="003C6CB9" w:rsidP="003C6CB9">
            <w:pPr>
              <w:rPr>
                <w:rFonts w:ascii="Arial" w:hAnsi="Arial" w:cs="Arial"/>
              </w:rPr>
            </w:pPr>
            <w:r>
              <w:rPr>
                <w:rFonts w:ascii="Arial" w:hAnsi="Arial" w:cs="Arial"/>
              </w:rPr>
              <w:t>643 (relets)</w:t>
            </w:r>
          </w:p>
        </w:tc>
        <w:tc>
          <w:tcPr>
            <w:tcW w:w="1503" w:type="dxa"/>
          </w:tcPr>
          <w:p w14:paraId="40796AAD" w14:textId="77777777" w:rsidR="003C6CB9" w:rsidRDefault="003C6CB9" w:rsidP="003C6CB9">
            <w:pPr>
              <w:rPr>
                <w:rFonts w:ascii="Arial" w:hAnsi="Arial" w:cs="Arial"/>
              </w:rPr>
            </w:pPr>
            <w:r>
              <w:rPr>
                <w:rFonts w:ascii="Arial" w:hAnsi="Arial" w:cs="Arial"/>
              </w:rPr>
              <w:t>11 (new lets)</w:t>
            </w:r>
          </w:p>
          <w:p w14:paraId="0CF5D8C6" w14:textId="0CFE440B" w:rsidR="003C6CB9" w:rsidRDefault="003C6CB9" w:rsidP="003C6CB9">
            <w:pPr>
              <w:rPr>
                <w:rFonts w:ascii="Arial" w:hAnsi="Arial" w:cs="Arial"/>
              </w:rPr>
            </w:pPr>
            <w:r>
              <w:rPr>
                <w:rFonts w:ascii="Arial" w:hAnsi="Arial" w:cs="Arial"/>
              </w:rPr>
              <w:t>649 (relets)</w:t>
            </w:r>
          </w:p>
        </w:tc>
        <w:tc>
          <w:tcPr>
            <w:tcW w:w="1696" w:type="dxa"/>
          </w:tcPr>
          <w:p w14:paraId="118521A1" w14:textId="77777777" w:rsidR="003C6CB9" w:rsidRDefault="003C6CB9" w:rsidP="003C6CB9">
            <w:pPr>
              <w:rPr>
                <w:rFonts w:ascii="Arial" w:hAnsi="Arial" w:cs="Arial"/>
              </w:rPr>
            </w:pPr>
            <w:r>
              <w:rPr>
                <w:rFonts w:ascii="Arial" w:hAnsi="Arial" w:cs="Arial"/>
              </w:rPr>
              <w:t>136 (new lets)</w:t>
            </w:r>
          </w:p>
          <w:p w14:paraId="4E89E797" w14:textId="3B67E9D7" w:rsidR="003C6CB9" w:rsidRDefault="003C6CB9" w:rsidP="003C6CB9">
            <w:pPr>
              <w:rPr>
                <w:rFonts w:ascii="Arial" w:hAnsi="Arial" w:cs="Arial"/>
              </w:rPr>
            </w:pPr>
            <w:r>
              <w:rPr>
                <w:rFonts w:ascii="Arial" w:hAnsi="Arial" w:cs="Arial"/>
              </w:rPr>
              <w:t>616 (relets)</w:t>
            </w:r>
          </w:p>
        </w:tc>
      </w:tr>
      <w:tr w:rsidR="003C6CB9" w14:paraId="2D362379" w14:textId="77777777" w:rsidTr="005205CA">
        <w:tc>
          <w:tcPr>
            <w:tcW w:w="1696" w:type="dxa"/>
          </w:tcPr>
          <w:p w14:paraId="082FC9EA" w14:textId="4A90138A" w:rsidR="003C6CB9" w:rsidRDefault="003C6CB9" w:rsidP="005205CA">
            <w:pPr>
              <w:rPr>
                <w:rFonts w:ascii="Arial" w:hAnsi="Arial" w:cs="Arial"/>
              </w:rPr>
            </w:pPr>
            <w:r>
              <w:rPr>
                <w:rFonts w:ascii="Arial" w:hAnsi="Arial" w:cs="Arial"/>
              </w:rPr>
              <w:t>Affordable rent GN lettings</w:t>
            </w:r>
            <w:r w:rsidR="005205CA">
              <w:rPr>
                <w:rStyle w:val="FootnoteReference"/>
                <w:rFonts w:ascii="Arial" w:hAnsi="Arial" w:cs="Arial"/>
              </w:rPr>
              <w:footnoteReference w:id="8"/>
            </w:r>
            <w:r>
              <w:rPr>
                <w:rFonts w:ascii="Arial" w:hAnsi="Arial" w:cs="Arial"/>
              </w:rPr>
              <w:t xml:space="preserve"> </w:t>
            </w:r>
          </w:p>
        </w:tc>
        <w:tc>
          <w:tcPr>
            <w:tcW w:w="1308" w:type="dxa"/>
          </w:tcPr>
          <w:p w14:paraId="2C61DA92" w14:textId="77777777" w:rsidR="003C6CB9" w:rsidRDefault="003C6CB9" w:rsidP="003C6CB9">
            <w:pPr>
              <w:rPr>
                <w:rFonts w:ascii="Arial" w:hAnsi="Arial" w:cs="Arial"/>
              </w:rPr>
            </w:pPr>
          </w:p>
        </w:tc>
        <w:tc>
          <w:tcPr>
            <w:tcW w:w="1503" w:type="dxa"/>
          </w:tcPr>
          <w:p w14:paraId="410ACE3C" w14:textId="6ABA95D7" w:rsidR="003C6CB9" w:rsidRDefault="003C6CB9" w:rsidP="003C6CB9">
            <w:pPr>
              <w:rPr>
                <w:rFonts w:ascii="Arial" w:hAnsi="Arial" w:cs="Arial"/>
              </w:rPr>
            </w:pPr>
            <w:r>
              <w:rPr>
                <w:rFonts w:ascii="Arial" w:hAnsi="Arial" w:cs="Arial"/>
              </w:rPr>
              <w:t>12 (relets)</w:t>
            </w:r>
          </w:p>
        </w:tc>
        <w:tc>
          <w:tcPr>
            <w:tcW w:w="1503" w:type="dxa"/>
          </w:tcPr>
          <w:p w14:paraId="13135291" w14:textId="77777777" w:rsidR="003C6CB9" w:rsidRDefault="003C6CB9" w:rsidP="003C6CB9">
            <w:pPr>
              <w:rPr>
                <w:rFonts w:ascii="Arial" w:hAnsi="Arial" w:cs="Arial"/>
              </w:rPr>
            </w:pPr>
            <w:r>
              <w:rPr>
                <w:rFonts w:ascii="Arial" w:hAnsi="Arial" w:cs="Arial"/>
              </w:rPr>
              <w:t>1 (new let)</w:t>
            </w:r>
          </w:p>
          <w:p w14:paraId="56969A4E" w14:textId="67534902" w:rsidR="003C6CB9" w:rsidRDefault="003C6CB9" w:rsidP="003C6CB9">
            <w:pPr>
              <w:rPr>
                <w:rFonts w:ascii="Arial" w:hAnsi="Arial" w:cs="Arial"/>
              </w:rPr>
            </w:pPr>
            <w:r>
              <w:rPr>
                <w:rFonts w:ascii="Arial" w:hAnsi="Arial" w:cs="Arial"/>
              </w:rPr>
              <w:t>5 (relets)</w:t>
            </w:r>
          </w:p>
        </w:tc>
        <w:tc>
          <w:tcPr>
            <w:tcW w:w="1503" w:type="dxa"/>
          </w:tcPr>
          <w:p w14:paraId="0124C4BF" w14:textId="77777777" w:rsidR="003C6CB9" w:rsidRDefault="003C6CB9" w:rsidP="003C6CB9">
            <w:pPr>
              <w:rPr>
                <w:rFonts w:ascii="Arial" w:hAnsi="Arial" w:cs="Arial"/>
              </w:rPr>
            </w:pPr>
            <w:r>
              <w:rPr>
                <w:rFonts w:ascii="Arial" w:hAnsi="Arial" w:cs="Arial"/>
              </w:rPr>
              <w:t>15 (new lets)</w:t>
            </w:r>
          </w:p>
          <w:p w14:paraId="6AAA7940" w14:textId="7A9C7FE4" w:rsidR="003C6CB9" w:rsidRDefault="003C6CB9" w:rsidP="003C6CB9">
            <w:pPr>
              <w:rPr>
                <w:rFonts w:ascii="Arial" w:hAnsi="Arial" w:cs="Arial"/>
              </w:rPr>
            </w:pPr>
            <w:r>
              <w:rPr>
                <w:rFonts w:ascii="Arial" w:hAnsi="Arial" w:cs="Arial"/>
              </w:rPr>
              <w:t>9 (relets)</w:t>
            </w:r>
          </w:p>
        </w:tc>
        <w:tc>
          <w:tcPr>
            <w:tcW w:w="1696" w:type="dxa"/>
          </w:tcPr>
          <w:p w14:paraId="60E349FC" w14:textId="77777777" w:rsidR="003C6CB9" w:rsidRDefault="003C6CB9" w:rsidP="003C6CB9">
            <w:pPr>
              <w:rPr>
                <w:rFonts w:ascii="Arial" w:hAnsi="Arial" w:cs="Arial"/>
              </w:rPr>
            </w:pPr>
            <w:r>
              <w:rPr>
                <w:rFonts w:ascii="Arial" w:hAnsi="Arial" w:cs="Arial"/>
              </w:rPr>
              <w:t>2 (new lets)</w:t>
            </w:r>
          </w:p>
          <w:p w14:paraId="28FA8111" w14:textId="0A9A2D2E" w:rsidR="003C6CB9" w:rsidRDefault="003C6CB9" w:rsidP="003C6CB9">
            <w:pPr>
              <w:rPr>
                <w:rFonts w:ascii="Arial" w:hAnsi="Arial" w:cs="Arial"/>
              </w:rPr>
            </w:pPr>
            <w:r>
              <w:rPr>
                <w:rFonts w:ascii="Arial" w:hAnsi="Arial" w:cs="Arial"/>
              </w:rPr>
              <w:t>4 (relets)</w:t>
            </w:r>
          </w:p>
        </w:tc>
      </w:tr>
      <w:tr w:rsidR="0025488A" w14:paraId="677259E7" w14:textId="77777777" w:rsidTr="005205CA">
        <w:tc>
          <w:tcPr>
            <w:tcW w:w="1696" w:type="dxa"/>
          </w:tcPr>
          <w:p w14:paraId="0C48B7D7" w14:textId="3703A14B" w:rsidR="0025488A" w:rsidRDefault="0025488A" w:rsidP="005205CA">
            <w:pPr>
              <w:rPr>
                <w:rFonts w:ascii="Arial" w:hAnsi="Arial" w:cs="Arial"/>
              </w:rPr>
            </w:pPr>
            <w:r>
              <w:rPr>
                <w:rFonts w:ascii="Arial" w:hAnsi="Arial" w:cs="Arial"/>
              </w:rPr>
              <w:t>Households on waiting list</w:t>
            </w:r>
            <w:r w:rsidR="005205CA">
              <w:rPr>
                <w:rStyle w:val="FootnoteReference"/>
                <w:rFonts w:ascii="Arial" w:hAnsi="Arial" w:cs="Arial"/>
              </w:rPr>
              <w:footnoteReference w:id="9"/>
            </w:r>
          </w:p>
        </w:tc>
        <w:tc>
          <w:tcPr>
            <w:tcW w:w="1308" w:type="dxa"/>
          </w:tcPr>
          <w:p w14:paraId="5CC16874" w14:textId="77777777" w:rsidR="0025488A" w:rsidRDefault="0025488A" w:rsidP="003C6CB9">
            <w:pPr>
              <w:rPr>
                <w:rFonts w:ascii="Arial" w:hAnsi="Arial" w:cs="Arial"/>
              </w:rPr>
            </w:pPr>
          </w:p>
        </w:tc>
        <w:tc>
          <w:tcPr>
            <w:tcW w:w="1503" w:type="dxa"/>
          </w:tcPr>
          <w:p w14:paraId="02D11092" w14:textId="55B3EDAC" w:rsidR="0025488A" w:rsidRDefault="0025488A" w:rsidP="003C6CB9">
            <w:pPr>
              <w:rPr>
                <w:rFonts w:ascii="Arial" w:hAnsi="Arial" w:cs="Arial"/>
              </w:rPr>
            </w:pPr>
            <w:r>
              <w:rPr>
                <w:rFonts w:ascii="Arial" w:hAnsi="Arial" w:cs="Arial"/>
              </w:rPr>
              <w:t>4661</w:t>
            </w:r>
          </w:p>
        </w:tc>
        <w:tc>
          <w:tcPr>
            <w:tcW w:w="1503" w:type="dxa"/>
          </w:tcPr>
          <w:p w14:paraId="29757021" w14:textId="72B1B5F3" w:rsidR="0025488A" w:rsidRDefault="0025488A" w:rsidP="003C6CB9">
            <w:pPr>
              <w:rPr>
                <w:rFonts w:ascii="Arial" w:hAnsi="Arial" w:cs="Arial"/>
              </w:rPr>
            </w:pPr>
            <w:r>
              <w:rPr>
                <w:rFonts w:ascii="Arial" w:hAnsi="Arial" w:cs="Arial"/>
              </w:rPr>
              <w:t>4495</w:t>
            </w:r>
          </w:p>
        </w:tc>
        <w:tc>
          <w:tcPr>
            <w:tcW w:w="1503" w:type="dxa"/>
          </w:tcPr>
          <w:p w14:paraId="195B7996" w14:textId="269E1CA5" w:rsidR="0025488A" w:rsidRDefault="0025488A" w:rsidP="003C6CB9">
            <w:pPr>
              <w:rPr>
                <w:rFonts w:ascii="Arial" w:hAnsi="Arial" w:cs="Arial"/>
              </w:rPr>
            </w:pPr>
            <w:r>
              <w:rPr>
                <w:rFonts w:ascii="Arial" w:hAnsi="Arial" w:cs="Arial"/>
              </w:rPr>
              <w:t>6329</w:t>
            </w:r>
          </w:p>
        </w:tc>
        <w:tc>
          <w:tcPr>
            <w:tcW w:w="1696" w:type="dxa"/>
          </w:tcPr>
          <w:p w14:paraId="65542091" w14:textId="1ABDB90A" w:rsidR="0025488A" w:rsidRDefault="0025488A" w:rsidP="003C6CB9">
            <w:pPr>
              <w:rPr>
                <w:rFonts w:ascii="Arial" w:hAnsi="Arial" w:cs="Arial"/>
              </w:rPr>
            </w:pPr>
            <w:r>
              <w:rPr>
                <w:rFonts w:ascii="Arial" w:hAnsi="Arial" w:cs="Arial"/>
              </w:rPr>
              <w:t>5194</w:t>
            </w:r>
          </w:p>
        </w:tc>
      </w:tr>
    </w:tbl>
    <w:p w14:paraId="144A7079" w14:textId="77777777" w:rsidR="005205CA" w:rsidRDefault="005205CA" w:rsidP="00AE3321"/>
    <w:p w14:paraId="3BBE6555" w14:textId="528BDEE8" w:rsidR="00AE3321" w:rsidRDefault="009C516D" w:rsidP="00AE3321">
      <w:pPr>
        <w:rPr>
          <w:rFonts w:ascii="Arial" w:hAnsi="Arial" w:cs="Arial"/>
        </w:rPr>
      </w:pPr>
      <w:r>
        <w:rPr>
          <w:rFonts w:ascii="Arial" w:hAnsi="Arial" w:cs="Arial"/>
        </w:rPr>
        <w:t>This data shows that there is a decreasing number of council homes available in the district, which is the most affordable housing available. Whilst social housing continues to be developed, there is also a growing number of Affordable Rent properties being developed, as well as social rent properties being converted to Affordable Rent.</w:t>
      </w:r>
      <w:r w:rsidR="00E076A4">
        <w:rPr>
          <w:rFonts w:ascii="Arial" w:hAnsi="Arial" w:cs="Arial"/>
        </w:rPr>
        <w:t xml:space="preserve"> At the same time, waiting list numbers </w:t>
      </w:r>
      <w:r w:rsidR="006C4751">
        <w:rPr>
          <w:rFonts w:ascii="Arial" w:hAnsi="Arial" w:cs="Arial"/>
        </w:rPr>
        <w:t>have outnumbered the amount of properties available by more than 6 times on average</w:t>
      </w:r>
      <w:r w:rsidR="00553EAB">
        <w:rPr>
          <w:rStyle w:val="FootnoteReference"/>
          <w:rFonts w:ascii="Arial" w:hAnsi="Arial" w:cs="Arial"/>
        </w:rPr>
        <w:footnoteReference w:id="10"/>
      </w:r>
      <w:r w:rsidR="00553EAB">
        <w:rPr>
          <w:rFonts w:ascii="Arial" w:hAnsi="Arial" w:cs="Arial"/>
        </w:rPr>
        <w:t>.</w:t>
      </w:r>
    </w:p>
    <w:p w14:paraId="3690B8F9" w14:textId="4E0C65F6" w:rsidR="003C6CB9" w:rsidRDefault="00D50481" w:rsidP="00AE3321">
      <w:pPr>
        <w:rPr>
          <w:rFonts w:ascii="Arial" w:hAnsi="Arial" w:cs="Arial"/>
        </w:rPr>
      </w:pPr>
      <w:r>
        <w:rPr>
          <w:rFonts w:ascii="Arial" w:hAnsi="Arial" w:cs="Arial"/>
        </w:rPr>
        <w:t xml:space="preserve">Nationally, both the owner occupier and social </w:t>
      </w:r>
      <w:r w:rsidR="00814366">
        <w:rPr>
          <w:rFonts w:ascii="Arial" w:hAnsi="Arial" w:cs="Arial"/>
        </w:rPr>
        <w:t>housing sectors are shrinking and</w:t>
      </w:r>
      <w:r>
        <w:rPr>
          <w:rFonts w:ascii="Arial" w:hAnsi="Arial" w:cs="Arial"/>
        </w:rPr>
        <w:t xml:space="preserve"> the PRS </w:t>
      </w:r>
      <w:r w:rsidR="00553EAB">
        <w:rPr>
          <w:rFonts w:ascii="Arial" w:hAnsi="Arial" w:cs="Arial"/>
        </w:rPr>
        <w:t>is expanding</w:t>
      </w:r>
      <w:r>
        <w:rPr>
          <w:rFonts w:ascii="Arial" w:hAnsi="Arial" w:cs="Arial"/>
        </w:rPr>
        <w:t xml:space="preserve"> to fill the gap. </w:t>
      </w:r>
      <w:r w:rsidR="007F0562">
        <w:rPr>
          <w:rFonts w:ascii="Arial" w:hAnsi="Arial" w:cs="Arial"/>
        </w:rPr>
        <w:t>In Ashfield, around 14% of the housing stock is in th</w:t>
      </w:r>
      <w:r w:rsidR="00553EAB">
        <w:rPr>
          <w:rFonts w:ascii="Arial" w:hAnsi="Arial" w:cs="Arial"/>
        </w:rPr>
        <w:t xml:space="preserve">e PRS and </w:t>
      </w:r>
      <w:r w:rsidR="00553EAB">
        <w:rPr>
          <w:rFonts w:ascii="Arial" w:hAnsi="Arial" w:cs="Arial"/>
        </w:rPr>
        <w:lastRenderedPageBreak/>
        <w:t>16% is social housing</w:t>
      </w:r>
      <w:r w:rsidR="00553EAB">
        <w:rPr>
          <w:rStyle w:val="FootnoteReference"/>
          <w:rFonts w:ascii="Arial" w:hAnsi="Arial" w:cs="Arial"/>
        </w:rPr>
        <w:footnoteReference w:id="11"/>
      </w:r>
      <w:r w:rsidR="007F0562">
        <w:rPr>
          <w:rFonts w:ascii="Arial" w:hAnsi="Arial" w:cs="Arial"/>
        </w:rPr>
        <w:t>, this has changed from 5% and 18% respectively in 2006</w:t>
      </w:r>
      <w:r w:rsidR="00553EAB">
        <w:rPr>
          <w:rStyle w:val="FootnoteReference"/>
          <w:rFonts w:ascii="Arial" w:hAnsi="Arial" w:cs="Arial"/>
        </w:rPr>
        <w:footnoteReference w:id="12"/>
      </w:r>
      <w:r w:rsidR="007F0562">
        <w:rPr>
          <w:rFonts w:ascii="Arial" w:hAnsi="Arial" w:cs="Arial"/>
        </w:rPr>
        <w:t xml:space="preserve">.  </w:t>
      </w:r>
      <w:r>
        <w:rPr>
          <w:rFonts w:ascii="Arial" w:hAnsi="Arial" w:cs="Arial"/>
        </w:rPr>
        <w:t xml:space="preserve">Many households are moving into the PRS as they are unable to access either of the other two sectors. As such, fixed term social housing tenants may find it challenging to move into owner occupation and may be more likely to move into the PRS, which is the leading cause of homelessness. </w:t>
      </w:r>
    </w:p>
    <w:p w14:paraId="013F23ED" w14:textId="58A4AA4A" w:rsidR="007C2A84" w:rsidRDefault="007C2A84" w:rsidP="00184B4C">
      <w:pPr>
        <w:rPr>
          <w:rFonts w:ascii="Arial" w:hAnsi="Arial" w:cs="Arial"/>
          <w:i/>
        </w:rPr>
      </w:pPr>
      <w:r>
        <w:rPr>
          <w:rFonts w:ascii="Arial" w:hAnsi="Arial" w:cs="Arial"/>
          <w:i/>
        </w:rPr>
        <w:t>Under-occupation and overcrowding</w:t>
      </w:r>
    </w:p>
    <w:p w14:paraId="2EA31DF4" w14:textId="1A030DC0" w:rsidR="00DA377E" w:rsidRDefault="00DA377E" w:rsidP="00184B4C">
      <w:pPr>
        <w:rPr>
          <w:rFonts w:ascii="Arial" w:hAnsi="Arial" w:cs="Arial"/>
        </w:rPr>
      </w:pPr>
      <w:r>
        <w:rPr>
          <w:rFonts w:ascii="Arial" w:hAnsi="Arial" w:cs="Arial"/>
        </w:rPr>
        <w:t>As at 1</w:t>
      </w:r>
      <w:r w:rsidRPr="00DA377E">
        <w:rPr>
          <w:rFonts w:ascii="Arial" w:hAnsi="Arial" w:cs="Arial"/>
          <w:vertAlign w:val="superscript"/>
        </w:rPr>
        <w:t>st</w:t>
      </w:r>
      <w:r>
        <w:rPr>
          <w:rFonts w:ascii="Arial" w:hAnsi="Arial" w:cs="Arial"/>
        </w:rPr>
        <w:t xml:space="preserve"> February 2018, it is estimated that 812 ADC tenants were </w:t>
      </w:r>
      <w:r w:rsidR="001644E7">
        <w:rPr>
          <w:rFonts w:ascii="Arial" w:hAnsi="Arial" w:cs="Arial"/>
        </w:rPr>
        <w:t xml:space="preserve">affected by the </w:t>
      </w:r>
      <w:r w:rsidR="001F3A14">
        <w:rPr>
          <w:rFonts w:ascii="Arial" w:hAnsi="Arial" w:cs="Arial"/>
        </w:rPr>
        <w:t>under-</w:t>
      </w:r>
      <w:r>
        <w:rPr>
          <w:rFonts w:ascii="Arial" w:hAnsi="Arial" w:cs="Arial"/>
        </w:rPr>
        <w:t>occup</w:t>
      </w:r>
      <w:r w:rsidR="001644E7">
        <w:rPr>
          <w:rFonts w:ascii="Arial" w:hAnsi="Arial" w:cs="Arial"/>
        </w:rPr>
        <w:t>ation charge (so-called bedroom tax)</w:t>
      </w:r>
      <w:r w:rsidR="001F3A14">
        <w:rPr>
          <w:rFonts w:ascii="Arial" w:hAnsi="Arial" w:cs="Arial"/>
        </w:rPr>
        <w:t xml:space="preserve">, </w:t>
      </w:r>
      <w:r w:rsidR="001644E7">
        <w:rPr>
          <w:rFonts w:ascii="Arial" w:hAnsi="Arial" w:cs="Arial"/>
        </w:rPr>
        <w:t xml:space="preserve">of which </w:t>
      </w:r>
      <w:r w:rsidR="001F3A14">
        <w:rPr>
          <w:rFonts w:ascii="Arial" w:hAnsi="Arial" w:cs="Arial"/>
        </w:rPr>
        <w:t xml:space="preserve">662 </w:t>
      </w:r>
      <w:r w:rsidR="001644E7">
        <w:rPr>
          <w:rFonts w:ascii="Arial" w:hAnsi="Arial" w:cs="Arial"/>
        </w:rPr>
        <w:t xml:space="preserve">were under occupying </w:t>
      </w:r>
      <w:r w:rsidR="001F3A14">
        <w:rPr>
          <w:rFonts w:ascii="Arial" w:hAnsi="Arial" w:cs="Arial"/>
        </w:rPr>
        <w:t>by 1 bedroom and 150 by 2+ bedrooms</w:t>
      </w:r>
      <w:r w:rsidR="001644E7">
        <w:rPr>
          <w:rFonts w:ascii="Arial" w:hAnsi="Arial" w:cs="Arial"/>
        </w:rPr>
        <w:t>.</w:t>
      </w:r>
      <w:r w:rsidR="001F139F">
        <w:rPr>
          <w:rFonts w:ascii="Arial" w:hAnsi="Arial" w:cs="Arial"/>
        </w:rPr>
        <w:t xml:space="preserve"> This demonstrates that around 12% of </w:t>
      </w:r>
      <w:r w:rsidR="00E34DAC">
        <w:rPr>
          <w:rFonts w:ascii="Arial" w:hAnsi="Arial" w:cs="Arial"/>
        </w:rPr>
        <w:t>social housing</w:t>
      </w:r>
      <w:r w:rsidR="001F139F">
        <w:rPr>
          <w:rFonts w:ascii="Arial" w:hAnsi="Arial" w:cs="Arial"/>
        </w:rPr>
        <w:t xml:space="preserve"> tenants may benefit from initiatives to support them to downsize. </w:t>
      </w:r>
      <w:r w:rsidR="003F19C5">
        <w:rPr>
          <w:rFonts w:ascii="Arial" w:hAnsi="Arial" w:cs="Arial"/>
        </w:rPr>
        <w:t xml:space="preserve">Analysis of Ashfield Homefinder applications in April 2018 highlights that around 7% of applicants are under-occupying their current property. </w:t>
      </w:r>
      <w:r w:rsidR="009B44F7">
        <w:rPr>
          <w:rFonts w:ascii="Arial" w:hAnsi="Arial" w:cs="Arial"/>
        </w:rPr>
        <w:t xml:space="preserve">The number of social housing properties available for letting each year highlights the challenge in </w:t>
      </w:r>
      <w:r w:rsidR="00E34DAC">
        <w:rPr>
          <w:rFonts w:ascii="Arial" w:hAnsi="Arial" w:cs="Arial"/>
        </w:rPr>
        <w:t xml:space="preserve">supporting </w:t>
      </w:r>
      <w:r w:rsidR="009B44F7">
        <w:rPr>
          <w:rFonts w:ascii="Arial" w:hAnsi="Arial" w:cs="Arial"/>
        </w:rPr>
        <w:t>all those affected to move.</w:t>
      </w:r>
      <w:r w:rsidR="00F95335">
        <w:rPr>
          <w:rFonts w:ascii="Arial" w:hAnsi="Arial" w:cs="Arial"/>
        </w:rPr>
        <w:t xml:space="preserve"> </w:t>
      </w:r>
    </w:p>
    <w:p w14:paraId="64C93189" w14:textId="15206B4C" w:rsidR="00F95335" w:rsidRDefault="00F95335" w:rsidP="00184B4C">
      <w:pPr>
        <w:rPr>
          <w:rFonts w:ascii="Arial" w:hAnsi="Arial" w:cs="Arial"/>
        </w:rPr>
      </w:pPr>
      <w:r>
        <w:rPr>
          <w:rFonts w:ascii="Arial" w:hAnsi="Arial" w:cs="Arial"/>
        </w:rPr>
        <w:t xml:space="preserve">The English Social Housing Survey 2016-17 found that nationally the social rented sector featured the highest number of overcrowded households (7%) followed by the PRS (5%). </w:t>
      </w:r>
      <w:r w:rsidR="003F19C5">
        <w:rPr>
          <w:rFonts w:ascii="Arial" w:hAnsi="Arial" w:cs="Arial"/>
        </w:rPr>
        <w:t xml:space="preserve">Analysis of Ashfield Homefinder applications in April 2018 highlights that around 0.7% of applicants are overcrowded in their current property. </w:t>
      </w:r>
      <w:r>
        <w:rPr>
          <w:rFonts w:ascii="Arial" w:hAnsi="Arial" w:cs="Arial"/>
        </w:rPr>
        <w:t xml:space="preserve">As above, this demonstrates the number of households that may benefit from initiatives to support them to move, however the availability of properties presents a challenge to them being able to do </w:t>
      </w:r>
      <w:r w:rsidR="003F19C5">
        <w:rPr>
          <w:rFonts w:ascii="Arial" w:hAnsi="Arial" w:cs="Arial"/>
        </w:rPr>
        <w:t>so.</w:t>
      </w:r>
    </w:p>
    <w:p w14:paraId="7990ED7A" w14:textId="2FE1B8B6" w:rsidR="007C2A84" w:rsidRDefault="007C2A84" w:rsidP="00184B4C">
      <w:pPr>
        <w:rPr>
          <w:rFonts w:ascii="Arial" w:hAnsi="Arial" w:cs="Arial"/>
        </w:rPr>
      </w:pPr>
    </w:p>
    <w:p w14:paraId="4025BEDC" w14:textId="77777777" w:rsidR="007C2A84" w:rsidRPr="007C2A84" w:rsidRDefault="007C2A84" w:rsidP="00184B4C">
      <w:pPr>
        <w:rPr>
          <w:rFonts w:ascii="Arial" w:hAnsi="Arial" w:cs="Arial"/>
          <w:i/>
        </w:rPr>
      </w:pPr>
      <w:r w:rsidRPr="007C2A84">
        <w:rPr>
          <w:rFonts w:ascii="Arial" w:hAnsi="Arial" w:cs="Arial"/>
          <w:i/>
        </w:rPr>
        <w:t>Demand</w:t>
      </w:r>
    </w:p>
    <w:p w14:paraId="53EB1A9C" w14:textId="62B46804" w:rsidR="00BE6C74" w:rsidRDefault="00BE6C74" w:rsidP="00184B4C">
      <w:pPr>
        <w:rPr>
          <w:rFonts w:ascii="Arial" w:hAnsi="Arial" w:cs="Arial"/>
        </w:rPr>
      </w:pPr>
      <w:r>
        <w:rPr>
          <w:rFonts w:ascii="Arial" w:hAnsi="Arial" w:cs="Arial"/>
        </w:rPr>
        <w:t>Analysis of Ashfield Homefinder live applications in June 2018 shows that</w:t>
      </w:r>
      <w:r w:rsidR="00156197">
        <w:rPr>
          <w:rFonts w:ascii="Arial" w:hAnsi="Arial" w:cs="Arial"/>
        </w:rPr>
        <w:t xml:space="preserve"> 33% of applicants are in employment and</w:t>
      </w:r>
      <w:r>
        <w:rPr>
          <w:rFonts w:ascii="Arial" w:hAnsi="Arial" w:cs="Arial"/>
        </w:rPr>
        <w:t xml:space="preserve"> the average household income of applicants is around £11,000pa, this breaks down as follows:</w:t>
      </w:r>
    </w:p>
    <w:tbl>
      <w:tblPr>
        <w:tblStyle w:val="TableGrid"/>
        <w:tblW w:w="0" w:type="auto"/>
        <w:tblLook w:val="04A0" w:firstRow="1" w:lastRow="0" w:firstColumn="1" w:lastColumn="0" w:noHBand="0" w:noVBand="1"/>
      </w:tblPr>
      <w:tblGrid>
        <w:gridCol w:w="4508"/>
        <w:gridCol w:w="4508"/>
      </w:tblGrid>
      <w:tr w:rsidR="00BE6C74" w14:paraId="1305C311" w14:textId="77777777" w:rsidTr="00BE6C74">
        <w:tc>
          <w:tcPr>
            <w:tcW w:w="4508" w:type="dxa"/>
          </w:tcPr>
          <w:p w14:paraId="3723B587" w14:textId="6FEE068A" w:rsidR="00BE6C74" w:rsidRPr="00BE6C74" w:rsidRDefault="00BE6C74" w:rsidP="00184B4C">
            <w:pPr>
              <w:rPr>
                <w:rFonts w:ascii="Arial" w:hAnsi="Arial" w:cs="Arial"/>
                <w:b/>
              </w:rPr>
            </w:pPr>
            <w:r w:rsidRPr="00BE6C74">
              <w:rPr>
                <w:rFonts w:ascii="Arial" w:hAnsi="Arial" w:cs="Arial"/>
                <w:b/>
              </w:rPr>
              <w:t>Income range</w:t>
            </w:r>
          </w:p>
        </w:tc>
        <w:tc>
          <w:tcPr>
            <w:tcW w:w="4508" w:type="dxa"/>
          </w:tcPr>
          <w:p w14:paraId="6FF7DDD2" w14:textId="6D639FD3" w:rsidR="00BE6C74" w:rsidRPr="00BE6C74" w:rsidRDefault="00BE6C74" w:rsidP="00184B4C">
            <w:pPr>
              <w:rPr>
                <w:rFonts w:ascii="Arial" w:hAnsi="Arial" w:cs="Arial"/>
                <w:b/>
              </w:rPr>
            </w:pPr>
            <w:r w:rsidRPr="00BE6C74">
              <w:rPr>
                <w:rFonts w:ascii="Arial" w:hAnsi="Arial" w:cs="Arial"/>
                <w:b/>
              </w:rPr>
              <w:t>Percentage of households</w:t>
            </w:r>
          </w:p>
        </w:tc>
      </w:tr>
      <w:tr w:rsidR="00BE6C74" w14:paraId="5C910751" w14:textId="77777777" w:rsidTr="00BE6C74">
        <w:tc>
          <w:tcPr>
            <w:tcW w:w="4508" w:type="dxa"/>
          </w:tcPr>
          <w:p w14:paraId="5F192DBA" w14:textId="21F74A08" w:rsidR="00BE6C74" w:rsidRDefault="00BE6C74" w:rsidP="00184B4C">
            <w:pPr>
              <w:rPr>
                <w:rFonts w:ascii="Arial" w:hAnsi="Arial" w:cs="Arial"/>
              </w:rPr>
            </w:pPr>
            <w:r>
              <w:rPr>
                <w:rFonts w:ascii="Arial" w:hAnsi="Arial" w:cs="Arial"/>
              </w:rPr>
              <w:t>Up to £10,000</w:t>
            </w:r>
          </w:p>
        </w:tc>
        <w:tc>
          <w:tcPr>
            <w:tcW w:w="4508" w:type="dxa"/>
          </w:tcPr>
          <w:p w14:paraId="63FC2E81" w14:textId="1174B16F" w:rsidR="00BE6C74" w:rsidRDefault="00BE6C74" w:rsidP="00184B4C">
            <w:pPr>
              <w:rPr>
                <w:rFonts w:ascii="Arial" w:hAnsi="Arial" w:cs="Arial"/>
              </w:rPr>
            </w:pPr>
            <w:r>
              <w:rPr>
                <w:rFonts w:ascii="Arial" w:hAnsi="Arial" w:cs="Arial"/>
              </w:rPr>
              <w:t>51%</w:t>
            </w:r>
          </w:p>
        </w:tc>
      </w:tr>
      <w:tr w:rsidR="00BE6C74" w14:paraId="3BC310CB" w14:textId="77777777" w:rsidTr="00BE6C74">
        <w:tc>
          <w:tcPr>
            <w:tcW w:w="4508" w:type="dxa"/>
          </w:tcPr>
          <w:p w14:paraId="42D2A350" w14:textId="26DFC96F" w:rsidR="00BE6C74" w:rsidRDefault="00BE6C74" w:rsidP="00184B4C">
            <w:pPr>
              <w:rPr>
                <w:rFonts w:ascii="Arial" w:hAnsi="Arial" w:cs="Arial"/>
              </w:rPr>
            </w:pPr>
            <w:r>
              <w:rPr>
                <w:rFonts w:ascii="Arial" w:hAnsi="Arial" w:cs="Arial"/>
              </w:rPr>
              <w:t>£10,000 - £14,999</w:t>
            </w:r>
          </w:p>
        </w:tc>
        <w:tc>
          <w:tcPr>
            <w:tcW w:w="4508" w:type="dxa"/>
          </w:tcPr>
          <w:p w14:paraId="25D01BB1" w14:textId="44C7A460" w:rsidR="00BE6C74" w:rsidRDefault="00BE6C74" w:rsidP="00184B4C">
            <w:pPr>
              <w:rPr>
                <w:rFonts w:ascii="Arial" w:hAnsi="Arial" w:cs="Arial"/>
              </w:rPr>
            </w:pPr>
            <w:r>
              <w:rPr>
                <w:rFonts w:ascii="Arial" w:hAnsi="Arial" w:cs="Arial"/>
              </w:rPr>
              <w:t>23%</w:t>
            </w:r>
          </w:p>
        </w:tc>
      </w:tr>
      <w:tr w:rsidR="00BE6C74" w14:paraId="50C2652F" w14:textId="77777777" w:rsidTr="00BE6C74">
        <w:tc>
          <w:tcPr>
            <w:tcW w:w="4508" w:type="dxa"/>
          </w:tcPr>
          <w:p w14:paraId="45681E20" w14:textId="723F6776" w:rsidR="00BE6C74" w:rsidRDefault="00BE6C74" w:rsidP="00184B4C">
            <w:pPr>
              <w:rPr>
                <w:rFonts w:ascii="Arial" w:hAnsi="Arial" w:cs="Arial"/>
              </w:rPr>
            </w:pPr>
            <w:r>
              <w:rPr>
                <w:rFonts w:ascii="Arial" w:hAnsi="Arial" w:cs="Arial"/>
              </w:rPr>
              <w:t>£15,000 - £19,999</w:t>
            </w:r>
          </w:p>
        </w:tc>
        <w:tc>
          <w:tcPr>
            <w:tcW w:w="4508" w:type="dxa"/>
          </w:tcPr>
          <w:p w14:paraId="46589E6C" w14:textId="39F9C16E" w:rsidR="00BE6C74" w:rsidRDefault="00BE6C74" w:rsidP="00184B4C">
            <w:pPr>
              <w:rPr>
                <w:rFonts w:ascii="Arial" w:hAnsi="Arial" w:cs="Arial"/>
              </w:rPr>
            </w:pPr>
            <w:r>
              <w:rPr>
                <w:rFonts w:ascii="Arial" w:hAnsi="Arial" w:cs="Arial"/>
              </w:rPr>
              <w:t>13%</w:t>
            </w:r>
          </w:p>
        </w:tc>
      </w:tr>
      <w:tr w:rsidR="00BE6C74" w14:paraId="0E0FE436" w14:textId="77777777" w:rsidTr="00BE6C74">
        <w:tc>
          <w:tcPr>
            <w:tcW w:w="4508" w:type="dxa"/>
          </w:tcPr>
          <w:p w14:paraId="4CB08EA5" w14:textId="3BD60C2E" w:rsidR="00BE6C74" w:rsidRDefault="00BE6C74" w:rsidP="00184B4C">
            <w:pPr>
              <w:rPr>
                <w:rFonts w:ascii="Arial" w:hAnsi="Arial" w:cs="Arial"/>
              </w:rPr>
            </w:pPr>
            <w:r>
              <w:rPr>
                <w:rFonts w:ascii="Arial" w:hAnsi="Arial" w:cs="Arial"/>
              </w:rPr>
              <w:t>£20,000 – £24,999</w:t>
            </w:r>
          </w:p>
        </w:tc>
        <w:tc>
          <w:tcPr>
            <w:tcW w:w="4508" w:type="dxa"/>
          </w:tcPr>
          <w:p w14:paraId="2C5D303A" w14:textId="3D7E6889" w:rsidR="00BE6C74" w:rsidRDefault="00BE6C74" w:rsidP="00184B4C">
            <w:pPr>
              <w:rPr>
                <w:rFonts w:ascii="Arial" w:hAnsi="Arial" w:cs="Arial"/>
              </w:rPr>
            </w:pPr>
            <w:r>
              <w:rPr>
                <w:rFonts w:ascii="Arial" w:hAnsi="Arial" w:cs="Arial"/>
              </w:rPr>
              <w:t>7%</w:t>
            </w:r>
          </w:p>
        </w:tc>
      </w:tr>
      <w:tr w:rsidR="00BE6C74" w14:paraId="6B3B3CB6" w14:textId="77777777" w:rsidTr="00BE6C74">
        <w:tc>
          <w:tcPr>
            <w:tcW w:w="4508" w:type="dxa"/>
          </w:tcPr>
          <w:p w14:paraId="12B29581" w14:textId="1D9E27BD" w:rsidR="00BE6C74" w:rsidRDefault="00BE6C74" w:rsidP="00184B4C">
            <w:pPr>
              <w:rPr>
                <w:rFonts w:ascii="Arial" w:hAnsi="Arial" w:cs="Arial"/>
              </w:rPr>
            </w:pPr>
            <w:r>
              <w:rPr>
                <w:rFonts w:ascii="Arial" w:hAnsi="Arial" w:cs="Arial"/>
              </w:rPr>
              <w:t>£25,000 - £29,999</w:t>
            </w:r>
          </w:p>
        </w:tc>
        <w:tc>
          <w:tcPr>
            <w:tcW w:w="4508" w:type="dxa"/>
          </w:tcPr>
          <w:p w14:paraId="681E3DF1" w14:textId="357D25DD" w:rsidR="00BE6C74" w:rsidRDefault="00BE6C74" w:rsidP="00184B4C">
            <w:pPr>
              <w:rPr>
                <w:rFonts w:ascii="Arial" w:hAnsi="Arial" w:cs="Arial"/>
              </w:rPr>
            </w:pPr>
            <w:r>
              <w:rPr>
                <w:rFonts w:ascii="Arial" w:hAnsi="Arial" w:cs="Arial"/>
              </w:rPr>
              <w:t>3%</w:t>
            </w:r>
          </w:p>
        </w:tc>
      </w:tr>
      <w:tr w:rsidR="00BE6C74" w14:paraId="60BD6A33" w14:textId="77777777" w:rsidTr="00BE6C74">
        <w:tc>
          <w:tcPr>
            <w:tcW w:w="4508" w:type="dxa"/>
          </w:tcPr>
          <w:p w14:paraId="5A94FD1D" w14:textId="035E1514" w:rsidR="00BE6C74" w:rsidRDefault="00BE6C74" w:rsidP="00184B4C">
            <w:pPr>
              <w:rPr>
                <w:rFonts w:ascii="Arial" w:hAnsi="Arial" w:cs="Arial"/>
              </w:rPr>
            </w:pPr>
            <w:r>
              <w:rPr>
                <w:rFonts w:ascii="Arial" w:hAnsi="Arial" w:cs="Arial"/>
              </w:rPr>
              <w:t>£30,000 – £34,999</w:t>
            </w:r>
          </w:p>
        </w:tc>
        <w:tc>
          <w:tcPr>
            <w:tcW w:w="4508" w:type="dxa"/>
          </w:tcPr>
          <w:p w14:paraId="20BF2A10" w14:textId="1D225DD0" w:rsidR="00BE6C74" w:rsidRDefault="00BE6C74" w:rsidP="00184B4C">
            <w:pPr>
              <w:rPr>
                <w:rFonts w:ascii="Arial" w:hAnsi="Arial" w:cs="Arial"/>
              </w:rPr>
            </w:pPr>
            <w:r>
              <w:rPr>
                <w:rFonts w:ascii="Arial" w:hAnsi="Arial" w:cs="Arial"/>
              </w:rPr>
              <w:t>2%</w:t>
            </w:r>
          </w:p>
        </w:tc>
      </w:tr>
      <w:tr w:rsidR="00BE6C74" w14:paraId="6F822C65" w14:textId="77777777" w:rsidTr="00BE6C74">
        <w:tc>
          <w:tcPr>
            <w:tcW w:w="4508" w:type="dxa"/>
          </w:tcPr>
          <w:p w14:paraId="5D9FFDD1" w14:textId="4B5B4B33" w:rsidR="00BE6C74" w:rsidRDefault="00BE6C74" w:rsidP="00184B4C">
            <w:pPr>
              <w:rPr>
                <w:rFonts w:ascii="Arial" w:hAnsi="Arial" w:cs="Arial"/>
              </w:rPr>
            </w:pPr>
            <w:r>
              <w:rPr>
                <w:rFonts w:ascii="Arial" w:hAnsi="Arial" w:cs="Arial"/>
              </w:rPr>
              <w:t>£35,000 - £39,999</w:t>
            </w:r>
          </w:p>
        </w:tc>
        <w:tc>
          <w:tcPr>
            <w:tcW w:w="4508" w:type="dxa"/>
          </w:tcPr>
          <w:p w14:paraId="5DD92C37" w14:textId="4A75B5D3" w:rsidR="00BE6C74" w:rsidRDefault="00BE6C74" w:rsidP="00184B4C">
            <w:pPr>
              <w:rPr>
                <w:rFonts w:ascii="Arial" w:hAnsi="Arial" w:cs="Arial"/>
              </w:rPr>
            </w:pPr>
            <w:r>
              <w:rPr>
                <w:rFonts w:ascii="Arial" w:hAnsi="Arial" w:cs="Arial"/>
              </w:rPr>
              <w:t>0.6%</w:t>
            </w:r>
          </w:p>
        </w:tc>
      </w:tr>
      <w:tr w:rsidR="00BE6C74" w14:paraId="1E024F93" w14:textId="77777777" w:rsidTr="00BE6C74">
        <w:tc>
          <w:tcPr>
            <w:tcW w:w="4508" w:type="dxa"/>
          </w:tcPr>
          <w:p w14:paraId="1E009733" w14:textId="5E2A9758" w:rsidR="00BE6C74" w:rsidRDefault="00BE6C74" w:rsidP="00184B4C">
            <w:pPr>
              <w:rPr>
                <w:rFonts w:ascii="Arial" w:hAnsi="Arial" w:cs="Arial"/>
              </w:rPr>
            </w:pPr>
            <w:r>
              <w:rPr>
                <w:rFonts w:ascii="Arial" w:hAnsi="Arial" w:cs="Arial"/>
              </w:rPr>
              <w:t>£40,000 – £44,999</w:t>
            </w:r>
          </w:p>
        </w:tc>
        <w:tc>
          <w:tcPr>
            <w:tcW w:w="4508" w:type="dxa"/>
          </w:tcPr>
          <w:p w14:paraId="17B536C1" w14:textId="20CD4183" w:rsidR="00BE6C74" w:rsidRDefault="00BE6C74" w:rsidP="00184B4C">
            <w:pPr>
              <w:rPr>
                <w:rFonts w:ascii="Arial" w:hAnsi="Arial" w:cs="Arial"/>
              </w:rPr>
            </w:pPr>
            <w:r>
              <w:rPr>
                <w:rFonts w:ascii="Arial" w:hAnsi="Arial" w:cs="Arial"/>
              </w:rPr>
              <w:t>0.4%</w:t>
            </w:r>
          </w:p>
        </w:tc>
      </w:tr>
      <w:tr w:rsidR="00BE6C74" w14:paraId="0ED0543F" w14:textId="77777777" w:rsidTr="00BE6C74">
        <w:tc>
          <w:tcPr>
            <w:tcW w:w="4508" w:type="dxa"/>
          </w:tcPr>
          <w:p w14:paraId="3B0157DE" w14:textId="693CBB51" w:rsidR="00BE6C74" w:rsidRDefault="00BE6C74" w:rsidP="00184B4C">
            <w:pPr>
              <w:rPr>
                <w:rFonts w:ascii="Arial" w:hAnsi="Arial" w:cs="Arial"/>
              </w:rPr>
            </w:pPr>
            <w:r>
              <w:rPr>
                <w:rFonts w:ascii="Arial" w:hAnsi="Arial" w:cs="Arial"/>
              </w:rPr>
              <w:t>£45,000 - £49,999</w:t>
            </w:r>
          </w:p>
        </w:tc>
        <w:tc>
          <w:tcPr>
            <w:tcW w:w="4508" w:type="dxa"/>
          </w:tcPr>
          <w:p w14:paraId="3D94C181" w14:textId="7D56FA9B" w:rsidR="00BE6C74" w:rsidRDefault="00BE6C74" w:rsidP="00184B4C">
            <w:pPr>
              <w:rPr>
                <w:rFonts w:ascii="Arial" w:hAnsi="Arial" w:cs="Arial"/>
              </w:rPr>
            </w:pPr>
            <w:r>
              <w:rPr>
                <w:rFonts w:ascii="Arial" w:hAnsi="Arial" w:cs="Arial"/>
              </w:rPr>
              <w:t>0.2%</w:t>
            </w:r>
          </w:p>
        </w:tc>
      </w:tr>
      <w:tr w:rsidR="00BE6C74" w14:paraId="6F6E3E6E" w14:textId="77777777" w:rsidTr="00BE6C74">
        <w:tc>
          <w:tcPr>
            <w:tcW w:w="4508" w:type="dxa"/>
          </w:tcPr>
          <w:p w14:paraId="2AF770B8" w14:textId="735DF07A" w:rsidR="00BE6C74" w:rsidRDefault="00BE6C74" w:rsidP="00184B4C">
            <w:pPr>
              <w:rPr>
                <w:rFonts w:ascii="Arial" w:hAnsi="Arial" w:cs="Arial"/>
              </w:rPr>
            </w:pPr>
            <w:r>
              <w:rPr>
                <w:rFonts w:ascii="Arial" w:hAnsi="Arial" w:cs="Arial"/>
              </w:rPr>
              <w:t>£50,000+</w:t>
            </w:r>
          </w:p>
        </w:tc>
        <w:tc>
          <w:tcPr>
            <w:tcW w:w="4508" w:type="dxa"/>
          </w:tcPr>
          <w:p w14:paraId="71AC05FA" w14:textId="0CD8F91C" w:rsidR="00BE6C74" w:rsidRDefault="00BE6C74" w:rsidP="00184B4C">
            <w:pPr>
              <w:rPr>
                <w:rFonts w:ascii="Arial" w:hAnsi="Arial" w:cs="Arial"/>
              </w:rPr>
            </w:pPr>
            <w:r>
              <w:rPr>
                <w:rFonts w:ascii="Arial" w:hAnsi="Arial" w:cs="Arial"/>
              </w:rPr>
              <w:t>0.2%</w:t>
            </w:r>
          </w:p>
        </w:tc>
      </w:tr>
    </w:tbl>
    <w:p w14:paraId="0AC6C8DD" w14:textId="7D68B2CD" w:rsidR="00EA6A5D" w:rsidRDefault="00F95335" w:rsidP="00184B4C">
      <w:pPr>
        <w:rPr>
          <w:rFonts w:ascii="Arial" w:hAnsi="Arial" w:cs="Arial"/>
        </w:rPr>
      </w:pPr>
      <w:r>
        <w:rPr>
          <w:rFonts w:ascii="Arial" w:hAnsi="Arial" w:cs="Arial"/>
        </w:rPr>
        <w:t xml:space="preserve"> </w:t>
      </w:r>
    </w:p>
    <w:p w14:paraId="73242885" w14:textId="296780AE" w:rsidR="00156197" w:rsidRDefault="00156197" w:rsidP="00582FFE">
      <w:pPr>
        <w:rPr>
          <w:rFonts w:ascii="Arial" w:hAnsi="Arial" w:cs="Arial"/>
        </w:rPr>
      </w:pPr>
      <w:r>
        <w:rPr>
          <w:rFonts w:ascii="Arial" w:hAnsi="Arial" w:cs="Arial"/>
        </w:rPr>
        <w:t>The table below highlights the number of Homefinder applicants that are in the main groups the council wishes to see provided with the greatest security of tenure, i.e. households with children, older people and those with disabilities:</w:t>
      </w:r>
    </w:p>
    <w:tbl>
      <w:tblPr>
        <w:tblStyle w:val="TableGrid"/>
        <w:tblW w:w="0" w:type="auto"/>
        <w:tblLook w:val="04A0" w:firstRow="1" w:lastRow="0" w:firstColumn="1" w:lastColumn="0" w:noHBand="0" w:noVBand="1"/>
      </w:tblPr>
      <w:tblGrid>
        <w:gridCol w:w="4508"/>
        <w:gridCol w:w="4508"/>
      </w:tblGrid>
      <w:tr w:rsidR="00EF2E5C" w14:paraId="7B1DB3EE" w14:textId="77777777" w:rsidTr="00EF2E5C">
        <w:tc>
          <w:tcPr>
            <w:tcW w:w="4508" w:type="dxa"/>
          </w:tcPr>
          <w:p w14:paraId="5D289E1C" w14:textId="40F0AE54" w:rsidR="00EF2E5C" w:rsidRPr="00EF2E5C" w:rsidRDefault="00EF2E5C" w:rsidP="00582FFE">
            <w:pPr>
              <w:rPr>
                <w:rFonts w:ascii="Arial" w:hAnsi="Arial" w:cs="Arial"/>
                <w:b/>
              </w:rPr>
            </w:pPr>
            <w:r w:rsidRPr="00EF2E5C">
              <w:rPr>
                <w:rFonts w:ascii="Arial" w:hAnsi="Arial" w:cs="Arial"/>
                <w:b/>
              </w:rPr>
              <w:t>Household type</w:t>
            </w:r>
          </w:p>
        </w:tc>
        <w:tc>
          <w:tcPr>
            <w:tcW w:w="4508" w:type="dxa"/>
          </w:tcPr>
          <w:p w14:paraId="7A466F03" w14:textId="77777777" w:rsidR="00EF2E5C" w:rsidRDefault="00EF2E5C" w:rsidP="00582FFE">
            <w:pPr>
              <w:rPr>
                <w:rFonts w:ascii="Arial" w:hAnsi="Arial" w:cs="Arial"/>
              </w:rPr>
            </w:pPr>
          </w:p>
        </w:tc>
      </w:tr>
      <w:tr w:rsidR="00EF2E5C" w14:paraId="2904A50A" w14:textId="77777777" w:rsidTr="00EF2E5C">
        <w:tc>
          <w:tcPr>
            <w:tcW w:w="4508" w:type="dxa"/>
          </w:tcPr>
          <w:p w14:paraId="3D8CBCC1" w14:textId="6C5CB6C3" w:rsidR="00EF2E5C" w:rsidRDefault="00EF2E5C" w:rsidP="00582FFE">
            <w:pPr>
              <w:rPr>
                <w:rFonts w:ascii="Arial" w:hAnsi="Arial" w:cs="Arial"/>
              </w:rPr>
            </w:pPr>
            <w:r>
              <w:rPr>
                <w:rFonts w:ascii="Arial" w:hAnsi="Arial" w:cs="Arial"/>
              </w:rPr>
              <w:t>Couple</w:t>
            </w:r>
          </w:p>
        </w:tc>
        <w:tc>
          <w:tcPr>
            <w:tcW w:w="4508" w:type="dxa"/>
          </w:tcPr>
          <w:p w14:paraId="5B32055D" w14:textId="49619F0D" w:rsidR="00EF2E5C" w:rsidRDefault="00EF2E5C" w:rsidP="00582FFE">
            <w:pPr>
              <w:rPr>
                <w:rFonts w:ascii="Arial" w:hAnsi="Arial" w:cs="Arial"/>
              </w:rPr>
            </w:pPr>
            <w:r>
              <w:rPr>
                <w:rFonts w:ascii="Arial" w:hAnsi="Arial" w:cs="Arial"/>
              </w:rPr>
              <w:t>15%</w:t>
            </w:r>
          </w:p>
        </w:tc>
      </w:tr>
      <w:tr w:rsidR="00EF2E5C" w14:paraId="7860CCE8" w14:textId="77777777" w:rsidTr="00EF2E5C">
        <w:tc>
          <w:tcPr>
            <w:tcW w:w="4508" w:type="dxa"/>
          </w:tcPr>
          <w:p w14:paraId="323C4BD2" w14:textId="561140A6" w:rsidR="00EF2E5C" w:rsidRDefault="00EF2E5C" w:rsidP="00582FFE">
            <w:pPr>
              <w:rPr>
                <w:rFonts w:ascii="Arial" w:hAnsi="Arial" w:cs="Arial"/>
              </w:rPr>
            </w:pPr>
            <w:r>
              <w:rPr>
                <w:rFonts w:ascii="Arial" w:hAnsi="Arial" w:cs="Arial"/>
              </w:rPr>
              <w:t>Family with dependent children</w:t>
            </w:r>
          </w:p>
        </w:tc>
        <w:tc>
          <w:tcPr>
            <w:tcW w:w="4508" w:type="dxa"/>
          </w:tcPr>
          <w:p w14:paraId="4E35934D" w14:textId="23FFAEA8" w:rsidR="00EF2E5C" w:rsidRDefault="00EF2E5C" w:rsidP="00582FFE">
            <w:pPr>
              <w:rPr>
                <w:rFonts w:ascii="Arial" w:hAnsi="Arial" w:cs="Arial"/>
              </w:rPr>
            </w:pPr>
            <w:r>
              <w:rPr>
                <w:rFonts w:ascii="Arial" w:hAnsi="Arial" w:cs="Arial"/>
              </w:rPr>
              <w:t>35%</w:t>
            </w:r>
          </w:p>
        </w:tc>
      </w:tr>
      <w:tr w:rsidR="00EF2E5C" w14:paraId="14523716" w14:textId="77777777" w:rsidTr="00EF2E5C">
        <w:tc>
          <w:tcPr>
            <w:tcW w:w="4508" w:type="dxa"/>
          </w:tcPr>
          <w:p w14:paraId="34A1DB9D" w14:textId="0C85EF75" w:rsidR="00EF2E5C" w:rsidRDefault="00EF2E5C" w:rsidP="00582FFE">
            <w:pPr>
              <w:rPr>
                <w:rFonts w:ascii="Arial" w:hAnsi="Arial" w:cs="Arial"/>
              </w:rPr>
            </w:pPr>
            <w:r>
              <w:rPr>
                <w:rFonts w:ascii="Arial" w:hAnsi="Arial" w:cs="Arial"/>
              </w:rPr>
              <w:t>Family with non-dependent children</w:t>
            </w:r>
          </w:p>
        </w:tc>
        <w:tc>
          <w:tcPr>
            <w:tcW w:w="4508" w:type="dxa"/>
          </w:tcPr>
          <w:p w14:paraId="4072EF46" w14:textId="22DC178F" w:rsidR="00EF2E5C" w:rsidRDefault="00EF2E5C" w:rsidP="00582FFE">
            <w:pPr>
              <w:rPr>
                <w:rFonts w:ascii="Arial" w:hAnsi="Arial" w:cs="Arial"/>
              </w:rPr>
            </w:pPr>
            <w:r>
              <w:rPr>
                <w:rFonts w:ascii="Arial" w:hAnsi="Arial" w:cs="Arial"/>
              </w:rPr>
              <w:t>4%</w:t>
            </w:r>
          </w:p>
        </w:tc>
      </w:tr>
      <w:tr w:rsidR="00EF2E5C" w14:paraId="33A6899F" w14:textId="77777777" w:rsidTr="00EF2E5C">
        <w:tc>
          <w:tcPr>
            <w:tcW w:w="4508" w:type="dxa"/>
          </w:tcPr>
          <w:p w14:paraId="3117F4A0" w14:textId="09400FA8" w:rsidR="00EF2E5C" w:rsidRDefault="00EF2E5C" w:rsidP="00582FFE">
            <w:pPr>
              <w:rPr>
                <w:rFonts w:ascii="Arial" w:hAnsi="Arial" w:cs="Arial"/>
              </w:rPr>
            </w:pPr>
            <w:r>
              <w:rPr>
                <w:rFonts w:ascii="Arial" w:hAnsi="Arial" w:cs="Arial"/>
              </w:rPr>
              <w:lastRenderedPageBreak/>
              <w:t>Single</w:t>
            </w:r>
          </w:p>
        </w:tc>
        <w:tc>
          <w:tcPr>
            <w:tcW w:w="4508" w:type="dxa"/>
          </w:tcPr>
          <w:p w14:paraId="7F106959" w14:textId="70808916" w:rsidR="00EF2E5C" w:rsidRDefault="00EF2E5C" w:rsidP="00582FFE">
            <w:pPr>
              <w:rPr>
                <w:rFonts w:ascii="Arial" w:hAnsi="Arial" w:cs="Arial"/>
              </w:rPr>
            </w:pPr>
            <w:r>
              <w:rPr>
                <w:rFonts w:ascii="Arial" w:hAnsi="Arial" w:cs="Arial"/>
              </w:rPr>
              <w:t>45%</w:t>
            </w:r>
          </w:p>
        </w:tc>
      </w:tr>
      <w:tr w:rsidR="00EF2E5C" w14:paraId="012CFD4A" w14:textId="77777777" w:rsidTr="00EF2E5C">
        <w:tc>
          <w:tcPr>
            <w:tcW w:w="4508" w:type="dxa"/>
          </w:tcPr>
          <w:p w14:paraId="16FA7035" w14:textId="77777777" w:rsidR="00EF2E5C" w:rsidRDefault="00EF2E5C" w:rsidP="00582FFE">
            <w:pPr>
              <w:rPr>
                <w:rFonts w:ascii="Arial" w:hAnsi="Arial" w:cs="Arial"/>
              </w:rPr>
            </w:pPr>
          </w:p>
        </w:tc>
        <w:tc>
          <w:tcPr>
            <w:tcW w:w="4508" w:type="dxa"/>
          </w:tcPr>
          <w:p w14:paraId="20AF53C2" w14:textId="77777777" w:rsidR="00EF2E5C" w:rsidRDefault="00EF2E5C" w:rsidP="00582FFE">
            <w:pPr>
              <w:rPr>
                <w:rFonts w:ascii="Arial" w:hAnsi="Arial" w:cs="Arial"/>
              </w:rPr>
            </w:pPr>
          </w:p>
        </w:tc>
      </w:tr>
      <w:tr w:rsidR="00EF2E5C" w14:paraId="0144D409" w14:textId="77777777" w:rsidTr="00EF2E5C">
        <w:tc>
          <w:tcPr>
            <w:tcW w:w="4508" w:type="dxa"/>
          </w:tcPr>
          <w:p w14:paraId="35FDC21F" w14:textId="79A563B0" w:rsidR="00EF2E5C" w:rsidRPr="00EF2E5C" w:rsidRDefault="00EF2E5C" w:rsidP="00582FFE">
            <w:pPr>
              <w:rPr>
                <w:rFonts w:ascii="Arial" w:hAnsi="Arial" w:cs="Arial"/>
                <w:b/>
              </w:rPr>
            </w:pPr>
            <w:r w:rsidRPr="00EF2E5C">
              <w:rPr>
                <w:rFonts w:ascii="Arial" w:hAnsi="Arial" w:cs="Arial"/>
                <w:b/>
              </w:rPr>
              <w:t>Age of lead applicant</w:t>
            </w:r>
          </w:p>
        </w:tc>
        <w:tc>
          <w:tcPr>
            <w:tcW w:w="4508" w:type="dxa"/>
          </w:tcPr>
          <w:p w14:paraId="630CE89E" w14:textId="77777777" w:rsidR="00EF2E5C" w:rsidRDefault="00EF2E5C" w:rsidP="00582FFE">
            <w:pPr>
              <w:rPr>
                <w:rFonts w:ascii="Arial" w:hAnsi="Arial" w:cs="Arial"/>
              </w:rPr>
            </w:pPr>
          </w:p>
        </w:tc>
      </w:tr>
      <w:tr w:rsidR="00EF2E5C" w14:paraId="1CC8083C" w14:textId="77777777" w:rsidTr="00EF2E5C">
        <w:tc>
          <w:tcPr>
            <w:tcW w:w="4508" w:type="dxa"/>
          </w:tcPr>
          <w:p w14:paraId="4887208E" w14:textId="7474B56D" w:rsidR="00EF2E5C" w:rsidRDefault="00EF2E5C" w:rsidP="00582FFE">
            <w:pPr>
              <w:rPr>
                <w:rFonts w:ascii="Arial" w:hAnsi="Arial" w:cs="Arial"/>
              </w:rPr>
            </w:pPr>
            <w:r>
              <w:rPr>
                <w:rFonts w:ascii="Arial" w:hAnsi="Arial" w:cs="Arial"/>
              </w:rPr>
              <w:t xml:space="preserve">18 – 24 </w:t>
            </w:r>
          </w:p>
        </w:tc>
        <w:tc>
          <w:tcPr>
            <w:tcW w:w="4508" w:type="dxa"/>
          </w:tcPr>
          <w:p w14:paraId="02F8C5C7" w14:textId="411FA3DE" w:rsidR="00EF2E5C" w:rsidRDefault="00EF2E5C" w:rsidP="00582FFE">
            <w:pPr>
              <w:rPr>
                <w:rFonts w:ascii="Arial" w:hAnsi="Arial" w:cs="Arial"/>
              </w:rPr>
            </w:pPr>
            <w:r>
              <w:rPr>
                <w:rFonts w:ascii="Arial" w:hAnsi="Arial" w:cs="Arial"/>
              </w:rPr>
              <w:t>14%</w:t>
            </w:r>
          </w:p>
        </w:tc>
      </w:tr>
      <w:tr w:rsidR="00EF2E5C" w14:paraId="38375DD3" w14:textId="77777777" w:rsidTr="00EF2E5C">
        <w:tc>
          <w:tcPr>
            <w:tcW w:w="4508" w:type="dxa"/>
          </w:tcPr>
          <w:p w14:paraId="421FA00B" w14:textId="20EE9350" w:rsidR="00EF2E5C" w:rsidRDefault="00EF2E5C" w:rsidP="00582FFE">
            <w:pPr>
              <w:rPr>
                <w:rFonts w:ascii="Arial" w:hAnsi="Arial" w:cs="Arial"/>
              </w:rPr>
            </w:pPr>
            <w:r>
              <w:rPr>
                <w:rFonts w:ascii="Arial" w:hAnsi="Arial" w:cs="Arial"/>
              </w:rPr>
              <w:t>25 – 34</w:t>
            </w:r>
          </w:p>
        </w:tc>
        <w:tc>
          <w:tcPr>
            <w:tcW w:w="4508" w:type="dxa"/>
          </w:tcPr>
          <w:p w14:paraId="524B9246" w14:textId="75DE55EF" w:rsidR="00EF2E5C" w:rsidRDefault="00EF2E5C" w:rsidP="00582FFE">
            <w:pPr>
              <w:rPr>
                <w:rFonts w:ascii="Arial" w:hAnsi="Arial" w:cs="Arial"/>
              </w:rPr>
            </w:pPr>
            <w:r>
              <w:rPr>
                <w:rFonts w:ascii="Arial" w:hAnsi="Arial" w:cs="Arial"/>
              </w:rPr>
              <w:t>22%</w:t>
            </w:r>
          </w:p>
        </w:tc>
      </w:tr>
      <w:tr w:rsidR="00EF2E5C" w14:paraId="6A75C48E" w14:textId="77777777" w:rsidTr="00EF2E5C">
        <w:tc>
          <w:tcPr>
            <w:tcW w:w="4508" w:type="dxa"/>
          </w:tcPr>
          <w:p w14:paraId="421560D5" w14:textId="0416B86A" w:rsidR="00EF2E5C" w:rsidRDefault="00EF2E5C" w:rsidP="00582FFE">
            <w:pPr>
              <w:rPr>
                <w:rFonts w:ascii="Arial" w:hAnsi="Arial" w:cs="Arial"/>
              </w:rPr>
            </w:pPr>
            <w:r>
              <w:rPr>
                <w:rFonts w:ascii="Arial" w:hAnsi="Arial" w:cs="Arial"/>
              </w:rPr>
              <w:t>35 – 44</w:t>
            </w:r>
          </w:p>
        </w:tc>
        <w:tc>
          <w:tcPr>
            <w:tcW w:w="4508" w:type="dxa"/>
          </w:tcPr>
          <w:p w14:paraId="4930A6A4" w14:textId="6D93AD4E" w:rsidR="00EF2E5C" w:rsidRDefault="00EF2E5C" w:rsidP="00582FFE">
            <w:pPr>
              <w:rPr>
                <w:rFonts w:ascii="Arial" w:hAnsi="Arial" w:cs="Arial"/>
              </w:rPr>
            </w:pPr>
            <w:r>
              <w:rPr>
                <w:rFonts w:ascii="Arial" w:hAnsi="Arial" w:cs="Arial"/>
              </w:rPr>
              <w:t>16%</w:t>
            </w:r>
          </w:p>
        </w:tc>
      </w:tr>
      <w:tr w:rsidR="00EF2E5C" w14:paraId="4F52DF54" w14:textId="77777777" w:rsidTr="00EF2E5C">
        <w:tc>
          <w:tcPr>
            <w:tcW w:w="4508" w:type="dxa"/>
          </w:tcPr>
          <w:p w14:paraId="1F1BA971" w14:textId="34630A18" w:rsidR="00EF2E5C" w:rsidRDefault="00EF2E5C" w:rsidP="00582FFE">
            <w:pPr>
              <w:rPr>
                <w:rFonts w:ascii="Arial" w:hAnsi="Arial" w:cs="Arial"/>
              </w:rPr>
            </w:pPr>
            <w:r>
              <w:rPr>
                <w:rFonts w:ascii="Arial" w:hAnsi="Arial" w:cs="Arial"/>
              </w:rPr>
              <w:t>45 – 54</w:t>
            </w:r>
          </w:p>
        </w:tc>
        <w:tc>
          <w:tcPr>
            <w:tcW w:w="4508" w:type="dxa"/>
          </w:tcPr>
          <w:p w14:paraId="03402833" w14:textId="556C705D" w:rsidR="00EF2E5C" w:rsidRDefault="00EF2E5C" w:rsidP="00582FFE">
            <w:pPr>
              <w:rPr>
                <w:rFonts w:ascii="Arial" w:hAnsi="Arial" w:cs="Arial"/>
              </w:rPr>
            </w:pPr>
            <w:r>
              <w:rPr>
                <w:rFonts w:ascii="Arial" w:hAnsi="Arial" w:cs="Arial"/>
              </w:rPr>
              <w:t>13%</w:t>
            </w:r>
          </w:p>
        </w:tc>
      </w:tr>
      <w:tr w:rsidR="00EF2E5C" w14:paraId="7C21D84A" w14:textId="77777777" w:rsidTr="00EF2E5C">
        <w:tc>
          <w:tcPr>
            <w:tcW w:w="4508" w:type="dxa"/>
          </w:tcPr>
          <w:p w14:paraId="0C983D3D" w14:textId="52935097" w:rsidR="00EF2E5C" w:rsidRDefault="00EF2E5C" w:rsidP="00582FFE">
            <w:pPr>
              <w:rPr>
                <w:rFonts w:ascii="Arial" w:hAnsi="Arial" w:cs="Arial"/>
              </w:rPr>
            </w:pPr>
            <w:r>
              <w:rPr>
                <w:rFonts w:ascii="Arial" w:hAnsi="Arial" w:cs="Arial"/>
              </w:rPr>
              <w:t xml:space="preserve">55 – 64 </w:t>
            </w:r>
          </w:p>
        </w:tc>
        <w:tc>
          <w:tcPr>
            <w:tcW w:w="4508" w:type="dxa"/>
          </w:tcPr>
          <w:p w14:paraId="47720475" w14:textId="3C1F7055" w:rsidR="00EF2E5C" w:rsidRDefault="00EF2E5C" w:rsidP="00582FFE">
            <w:pPr>
              <w:rPr>
                <w:rFonts w:ascii="Arial" w:hAnsi="Arial" w:cs="Arial"/>
              </w:rPr>
            </w:pPr>
            <w:r>
              <w:rPr>
                <w:rFonts w:ascii="Arial" w:hAnsi="Arial" w:cs="Arial"/>
              </w:rPr>
              <w:t>13%</w:t>
            </w:r>
          </w:p>
        </w:tc>
      </w:tr>
      <w:tr w:rsidR="00EF2E5C" w14:paraId="32342883" w14:textId="77777777" w:rsidTr="00EF2E5C">
        <w:tc>
          <w:tcPr>
            <w:tcW w:w="4508" w:type="dxa"/>
          </w:tcPr>
          <w:p w14:paraId="451BFADB" w14:textId="5D929851" w:rsidR="00EF2E5C" w:rsidRDefault="00EF2E5C" w:rsidP="00582FFE">
            <w:pPr>
              <w:rPr>
                <w:rFonts w:ascii="Arial" w:hAnsi="Arial" w:cs="Arial"/>
              </w:rPr>
            </w:pPr>
            <w:r>
              <w:rPr>
                <w:rFonts w:ascii="Arial" w:hAnsi="Arial" w:cs="Arial"/>
              </w:rPr>
              <w:t>65 – 74</w:t>
            </w:r>
          </w:p>
        </w:tc>
        <w:tc>
          <w:tcPr>
            <w:tcW w:w="4508" w:type="dxa"/>
          </w:tcPr>
          <w:p w14:paraId="5D737AA0" w14:textId="1D2550D6" w:rsidR="00EF2E5C" w:rsidRDefault="00EF2E5C" w:rsidP="00582FFE">
            <w:pPr>
              <w:rPr>
                <w:rFonts w:ascii="Arial" w:hAnsi="Arial" w:cs="Arial"/>
              </w:rPr>
            </w:pPr>
            <w:r>
              <w:rPr>
                <w:rFonts w:ascii="Arial" w:hAnsi="Arial" w:cs="Arial"/>
              </w:rPr>
              <w:t>11%</w:t>
            </w:r>
          </w:p>
        </w:tc>
      </w:tr>
      <w:tr w:rsidR="00EF2E5C" w14:paraId="591491E4" w14:textId="77777777" w:rsidTr="00EF2E5C">
        <w:tc>
          <w:tcPr>
            <w:tcW w:w="4508" w:type="dxa"/>
          </w:tcPr>
          <w:p w14:paraId="57D7F29E" w14:textId="02A181D7" w:rsidR="00EF2E5C" w:rsidRDefault="00EF2E5C" w:rsidP="00582FFE">
            <w:pPr>
              <w:rPr>
                <w:rFonts w:ascii="Arial" w:hAnsi="Arial" w:cs="Arial"/>
              </w:rPr>
            </w:pPr>
            <w:r>
              <w:rPr>
                <w:rFonts w:ascii="Arial" w:hAnsi="Arial" w:cs="Arial"/>
              </w:rPr>
              <w:t>75 – 84</w:t>
            </w:r>
          </w:p>
        </w:tc>
        <w:tc>
          <w:tcPr>
            <w:tcW w:w="4508" w:type="dxa"/>
          </w:tcPr>
          <w:p w14:paraId="12837B0E" w14:textId="3B9AE10F" w:rsidR="00EF2E5C" w:rsidRDefault="00EF2E5C" w:rsidP="00582FFE">
            <w:pPr>
              <w:rPr>
                <w:rFonts w:ascii="Arial" w:hAnsi="Arial" w:cs="Arial"/>
              </w:rPr>
            </w:pPr>
            <w:r>
              <w:rPr>
                <w:rFonts w:ascii="Arial" w:hAnsi="Arial" w:cs="Arial"/>
              </w:rPr>
              <w:t>7%</w:t>
            </w:r>
          </w:p>
        </w:tc>
      </w:tr>
      <w:tr w:rsidR="00EF2E5C" w14:paraId="2E0A04E3" w14:textId="77777777" w:rsidTr="00EF2E5C">
        <w:tc>
          <w:tcPr>
            <w:tcW w:w="4508" w:type="dxa"/>
          </w:tcPr>
          <w:p w14:paraId="3B2FDE55" w14:textId="49B1EE71" w:rsidR="00EF2E5C" w:rsidRDefault="00EF2E5C" w:rsidP="00582FFE">
            <w:pPr>
              <w:rPr>
                <w:rFonts w:ascii="Arial" w:hAnsi="Arial" w:cs="Arial"/>
              </w:rPr>
            </w:pPr>
            <w:r>
              <w:rPr>
                <w:rFonts w:ascii="Arial" w:hAnsi="Arial" w:cs="Arial"/>
              </w:rPr>
              <w:t>85 – 94</w:t>
            </w:r>
          </w:p>
        </w:tc>
        <w:tc>
          <w:tcPr>
            <w:tcW w:w="4508" w:type="dxa"/>
          </w:tcPr>
          <w:p w14:paraId="367127A0" w14:textId="3FB8C295" w:rsidR="00EF2E5C" w:rsidRDefault="00EF2E5C" w:rsidP="00582FFE">
            <w:pPr>
              <w:rPr>
                <w:rFonts w:ascii="Arial" w:hAnsi="Arial" w:cs="Arial"/>
              </w:rPr>
            </w:pPr>
            <w:r>
              <w:rPr>
                <w:rFonts w:ascii="Arial" w:hAnsi="Arial" w:cs="Arial"/>
              </w:rPr>
              <w:t>2%</w:t>
            </w:r>
          </w:p>
        </w:tc>
      </w:tr>
      <w:tr w:rsidR="00EF2E5C" w14:paraId="699F4729" w14:textId="77777777" w:rsidTr="00EF2E5C">
        <w:tc>
          <w:tcPr>
            <w:tcW w:w="4508" w:type="dxa"/>
          </w:tcPr>
          <w:p w14:paraId="7DF65475" w14:textId="1E79D7D3" w:rsidR="00EF2E5C" w:rsidRDefault="00EF2E5C" w:rsidP="00582FFE">
            <w:pPr>
              <w:rPr>
                <w:rFonts w:ascii="Arial" w:hAnsi="Arial" w:cs="Arial"/>
              </w:rPr>
            </w:pPr>
            <w:r>
              <w:rPr>
                <w:rFonts w:ascii="Arial" w:hAnsi="Arial" w:cs="Arial"/>
              </w:rPr>
              <w:t>95+</w:t>
            </w:r>
          </w:p>
        </w:tc>
        <w:tc>
          <w:tcPr>
            <w:tcW w:w="4508" w:type="dxa"/>
          </w:tcPr>
          <w:p w14:paraId="6E12FDCB" w14:textId="2E0DA892" w:rsidR="00EF2E5C" w:rsidRDefault="00EF2E5C" w:rsidP="00582FFE">
            <w:pPr>
              <w:rPr>
                <w:rFonts w:ascii="Arial" w:hAnsi="Arial" w:cs="Arial"/>
              </w:rPr>
            </w:pPr>
            <w:r>
              <w:rPr>
                <w:rFonts w:ascii="Arial" w:hAnsi="Arial" w:cs="Arial"/>
              </w:rPr>
              <w:t>0.2%</w:t>
            </w:r>
          </w:p>
        </w:tc>
      </w:tr>
      <w:tr w:rsidR="00EF2E5C" w14:paraId="0922EA77" w14:textId="77777777" w:rsidTr="00EF2E5C">
        <w:tc>
          <w:tcPr>
            <w:tcW w:w="4508" w:type="dxa"/>
          </w:tcPr>
          <w:p w14:paraId="1627F265" w14:textId="77777777" w:rsidR="00EF2E5C" w:rsidRDefault="00EF2E5C" w:rsidP="00582FFE">
            <w:pPr>
              <w:rPr>
                <w:rFonts w:ascii="Arial" w:hAnsi="Arial" w:cs="Arial"/>
              </w:rPr>
            </w:pPr>
          </w:p>
        </w:tc>
        <w:tc>
          <w:tcPr>
            <w:tcW w:w="4508" w:type="dxa"/>
          </w:tcPr>
          <w:p w14:paraId="158ACE8E" w14:textId="77777777" w:rsidR="00EF2E5C" w:rsidRDefault="00EF2E5C" w:rsidP="00582FFE">
            <w:pPr>
              <w:rPr>
                <w:rFonts w:ascii="Arial" w:hAnsi="Arial" w:cs="Arial"/>
              </w:rPr>
            </w:pPr>
          </w:p>
        </w:tc>
      </w:tr>
      <w:tr w:rsidR="00EF2E5C" w14:paraId="6C69DA19" w14:textId="77777777" w:rsidTr="00EF2E5C">
        <w:tc>
          <w:tcPr>
            <w:tcW w:w="4508" w:type="dxa"/>
          </w:tcPr>
          <w:p w14:paraId="256E05A7" w14:textId="33E0E72C" w:rsidR="00EF2E5C" w:rsidRPr="00EF2E5C" w:rsidRDefault="00EF2E5C" w:rsidP="00582FFE">
            <w:pPr>
              <w:rPr>
                <w:rFonts w:ascii="Arial" w:hAnsi="Arial" w:cs="Arial"/>
                <w:b/>
              </w:rPr>
            </w:pPr>
            <w:r w:rsidRPr="00EF2E5C">
              <w:rPr>
                <w:rFonts w:ascii="Arial" w:hAnsi="Arial" w:cs="Arial"/>
                <w:b/>
              </w:rPr>
              <w:t>Disability declared</w:t>
            </w:r>
          </w:p>
        </w:tc>
        <w:tc>
          <w:tcPr>
            <w:tcW w:w="4508" w:type="dxa"/>
          </w:tcPr>
          <w:p w14:paraId="08DB9EDB" w14:textId="0D38CF1D" w:rsidR="007C3D50" w:rsidRDefault="00752815" w:rsidP="00582FFE">
            <w:pPr>
              <w:rPr>
                <w:rFonts w:ascii="Arial" w:hAnsi="Arial" w:cs="Arial"/>
              </w:rPr>
            </w:pPr>
            <w:r>
              <w:rPr>
                <w:rFonts w:ascii="Arial" w:hAnsi="Arial" w:cs="Arial"/>
              </w:rPr>
              <w:t>26%</w:t>
            </w:r>
          </w:p>
        </w:tc>
      </w:tr>
    </w:tbl>
    <w:p w14:paraId="2E08DB13" w14:textId="77777777" w:rsidR="00EF2E5C" w:rsidRDefault="00EF2E5C" w:rsidP="00582FFE">
      <w:pPr>
        <w:rPr>
          <w:rFonts w:ascii="Arial" w:hAnsi="Arial" w:cs="Arial"/>
        </w:rPr>
      </w:pPr>
    </w:p>
    <w:p w14:paraId="3D096D4E" w14:textId="06577644" w:rsidR="000C5858" w:rsidRDefault="000C5858" w:rsidP="00582FFE">
      <w:pPr>
        <w:rPr>
          <w:rFonts w:ascii="Arial" w:hAnsi="Arial" w:cs="Arial"/>
        </w:rPr>
      </w:pPr>
      <w:r>
        <w:rPr>
          <w:rFonts w:ascii="Arial" w:hAnsi="Arial" w:cs="Arial"/>
        </w:rPr>
        <w:t xml:space="preserve">The table below demonstrates that the majority of demand from Homefinder applicants is for 1 and 2 bedroom properties. </w:t>
      </w:r>
    </w:p>
    <w:tbl>
      <w:tblPr>
        <w:tblW w:w="0" w:type="auto"/>
        <w:tblInd w:w="393" w:type="dxa"/>
        <w:tblCellMar>
          <w:left w:w="0" w:type="dxa"/>
          <w:right w:w="0" w:type="dxa"/>
        </w:tblCellMar>
        <w:tblLook w:val="04A0" w:firstRow="1" w:lastRow="0" w:firstColumn="1" w:lastColumn="0" w:noHBand="0" w:noVBand="1"/>
      </w:tblPr>
      <w:tblGrid>
        <w:gridCol w:w="1650"/>
        <w:gridCol w:w="1740"/>
        <w:gridCol w:w="1741"/>
        <w:gridCol w:w="1741"/>
        <w:gridCol w:w="1741"/>
      </w:tblGrid>
      <w:tr w:rsidR="006E6EA1" w14:paraId="657F6BEB" w14:textId="77777777" w:rsidTr="0086252E">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B19A99" w14:textId="77777777" w:rsidR="0086252E" w:rsidRPr="0086252E" w:rsidRDefault="0086252E">
            <w:pPr>
              <w:rPr>
                <w:rFonts w:ascii="Arial" w:hAnsi="Arial"/>
              </w:rPr>
            </w:pP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84A485" w14:textId="683A1850" w:rsidR="0086252E" w:rsidRPr="0086252E" w:rsidRDefault="0086252E">
            <w:pPr>
              <w:rPr>
                <w:rFonts w:ascii="Arial" w:hAnsi="Arial"/>
                <w:b/>
              </w:rPr>
            </w:pPr>
            <w:r w:rsidRPr="0086252E">
              <w:rPr>
                <w:rFonts w:ascii="Arial" w:hAnsi="Arial"/>
                <w:b/>
              </w:rPr>
              <w:t>1 Bed</w:t>
            </w:r>
            <w:r w:rsidR="006E6EA1">
              <w:rPr>
                <w:rFonts w:ascii="Arial" w:hAnsi="Arial"/>
                <w:b/>
              </w:rPr>
              <w:t>room</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A839FE" w14:textId="2310E5EE" w:rsidR="0086252E" w:rsidRPr="0086252E" w:rsidRDefault="0086252E" w:rsidP="006E6EA1">
            <w:pPr>
              <w:rPr>
                <w:rFonts w:ascii="Arial" w:hAnsi="Arial"/>
                <w:b/>
              </w:rPr>
            </w:pPr>
            <w:r w:rsidRPr="0086252E">
              <w:rPr>
                <w:rFonts w:ascii="Arial" w:hAnsi="Arial"/>
                <w:b/>
              </w:rPr>
              <w:t>2 Bed</w:t>
            </w:r>
            <w:r w:rsidR="006E6EA1">
              <w:rPr>
                <w:rFonts w:ascii="Arial" w:hAnsi="Arial"/>
                <w:b/>
              </w:rPr>
              <w:t>room</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C5772C" w14:textId="1B614FA5" w:rsidR="0086252E" w:rsidRPr="0086252E" w:rsidRDefault="0086252E" w:rsidP="006E6EA1">
            <w:pPr>
              <w:rPr>
                <w:rFonts w:ascii="Arial" w:hAnsi="Arial"/>
                <w:b/>
              </w:rPr>
            </w:pPr>
            <w:r w:rsidRPr="0086252E">
              <w:rPr>
                <w:rFonts w:ascii="Arial" w:hAnsi="Arial"/>
                <w:b/>
              </w:rPr>
              <w:t>3 Bed</w:t>
            </w:r>
            <w:r w:rsidR="006E6EA1">
              <w:rPr>
                <w:rFonts w:ascii="Arial" w:hAnsi="Arial"/>
                <w:b/>
              </w:rPr>
              <w:t>room</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79D224" w14:textId="451F7C7A" w:rsidR="0086252E" w:rsidRPr="0086252E" w:rsidRDefault="0086252E" w:rsidP="006E6EA1">
            <w:pPr>
              <w:rPr>
                <w:rFonts w:ascii="Arial" w:hAnsi="Arial"/>
                <w:b/>
              </w:rPr>
            </w:pPr>
            <w:r w:rsidRPr="0086252E">
              <w:rPr>
                <w:rFonts w:ascii="Arial" w:hAnsi="Arial"/>
                <w:b/>
              </w:rPr>
              <w:t>4+ Bed</w:t>
            </w:r>
            <w:r w:rsidR="006E6EA1">
              <w:rPr>
                <w:rFonts w:ascii="Arial" w:hAnsi="Arial"/>
                <w:b/>
              </w:rPr>
              <w:t>room</w:t>
            </w:r>
          </w:p>
        </w:tc>
      </w:tr>
      <w:tr w:rsidR="006E6EA1" w14:paraId="0A3EDB6C" w14:textId="77777777" w:rsidTr="0086252E">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C0317" w14:textId="77777777" w:rsidR="0086252E" w:rsidRPr="0086252E" w:rsidRDefault="0086252E">
            <w:pPr>
              <w:rPr>
                <w:rFonts w:ascii="Arial" w:hAnsi="Arial"/>
              </w:rPr>
            </w:pPr>
            <w:r w:rsidRPr="0086252E">
              <w:rPr>
                <w:rFonts w:ascii="Arial" w:hAnsi="Arial"/>
              </w:rPr>
              <w:t>2015</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38EF78B3" w14:textId="77777777" w:rsidR="0086252E" w:rsidRPr="0086252E" w:rsidRDefault="0086252E">
            <w:pPr>
              <w:rPr>
                <w:rFonts w:ascii="Arial" w:hAnsi="Arial"/>
              </w:rPr>
            </w:pPr>
            <w:r w:rsidRPr="0086252E">
              <w:rPr>
                <w:rFonts w:ascii="Arial" w:hAnsi="Arial"/>
              </w:rPr>
              <w:t>1993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55F641B8" w14:textId="77777777" w:rsidR="0086252E" w:rsidRPr="0086252E" w:rsidRDefault="0086252E">
            <w:pPr>
              <w:rPr>
                <w:rFonts w:ascii="Arial" w:hAnsi="Arial"/>
              </w:rPr>
            </w:pPr>
            <w:r w:rsidRPr="0086252E">
              <w:rPr>
                <w:rFonts w:ascii="Arial" w:hAnsi="Arial"/>
              </w:rPr>
              <w:t>1775</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63440FC0" w14:textId="77777777" w:rsidR="0086252E" w:rsidRPr="0086252E" w:rsidRDefault="0086252E">
            <w:pPr>
              <w:rPr>
                <w:rFonts w:ascii="Arial" w:hAnsi="Arial"/>
              </w:rPr>
            </w:pPr>
            <w:r w:rsidRPr="0086252E">
              <w:rPr>
                <w:rFonts w:ascii="Arial" w:hAnsi="Arial"/>
              </w:rPr>
              <w:t>677</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451D25C5" w14:textId="77777777" w:rsidR="0086252E" w:rsidRPr="0086252E" w:rsidRDefault="0086252E">
            <w:pPr>
              <w:rPr>
                <w:rFonts w:ascii="Arial" w:hAnsi="Arial"/>
              </w:rPr>
            </w:pPr>
            <w:r w:rsidRPr="0086252E">
              <w:rPr>
                <w:rFonts w:ascii="Arial" w:hAnsi="Arial"/>
              </w:rPr>
              <w:t>50</w:t>
            </w:r>
          </w:p>
        </w:tc>
      </w:tr>
      <w:tr w:rsidR="006E6EA1" w14:paraId="083C391C" w14:textId="77777777" w:rsidTr="0086252E">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48472" w14:textId="77777777" w:rsidR="0086252E" w:rsidRPr="0086252E" w:rsidRDefault="0086252E">
            <w:pPr>
              <w:rPr>
                <w:rFonts w:ascii="Arial" w:hAnsi="Arial"/>
              </w:rPr>
            </w:pPr>
            <w:r w:rsidRPr="0086252E">
              <w:rPr>
                <w:rFonts w:ascii="Arial" w:hAnsi="Arial"/>
              </w:rPr>
              <w:t>2016</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1909C476" w14:textId="77777777" w:rsidR="0086252E" w:rsidRPr="0086252E" w:rsidRDefault="0086252E">
            <w:pPr>
              <w:rPr>
                <w:rFonts w:ascii="Arial" w:hAnsi="Arial"/>
              </w:rPr>
            </w:pPr>
            <w:r w:rsidRPr="0086252E">
              <w:rPr>
                <w:rFonts w:ascii="Arial" w:hAnsi="Arial"/>
              </w:rPr>
              <w:t>1889</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26C29B71" w14:textId="77777777" w:rsidR="0086252E" w:rsidRPr="0086252E" w:rsidRDefault="0086252E">
            <w:pPr>
              <w:rPr>
                <w:rFonts w:ascii="Arial" w:hAnsi="Arial"/>
              </w:rPr>
            </w:pPr>
            <w:r w:rsidRPr="0086252E">
              <w:rPr>
                <w:rFonts w:ascii="Arial" w:hAnsi="Arial"/>
              </w:rPr>
              <w:t>1975</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12D1F6D9" w14:textId="77777777" w:rsidR="0086252E" w:rsidRPr="0086252E" w:rsidRDefault="0086252E">
            <w:pPr>
              <w:rPr>
                <w:rFonts w:ascii="Arial" w:hAnsi="Arial"/>
              </w:rPr>
            </w:pPr>
            <w:r w:rsidRPr="0086252E">
              <w:rPr>
                <w:rFonts w:ascii="Arial" w:hAnsi="Arial"/>
              </w:rPr>
              <w:t>745</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1BF7B089" w14:textId="77777777" w:rsidR="0086252E" w:rsidRPr="0086252E" w:rsidRDefault="0086252E">
            <w:pPr>
              <w:rPr>
                <w:rFonts w:ascii="Arial" w:hAnsi="Arial"/>
              </w:rPr>
            </w:pPr>
            <w:r w:rsidRPr="0086252E">
              <w:rPr>
                <w:rFonts w:ascii="Arial" w:hAnsi="Arial"/>
              </w:rPr>
              <w:t>52</w:t>
            </w:r>
          </w:p>
        </w:tc>
      </w:tr>
      <w:tr w:rsidR="006E6EA1" w14:paraId="7A904DF8" w14:textId="77777777" w:rsidTr="0086252E">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7A9A3" w14:textId="77777777" w:rsidR="0086252E" w:rsidRPr="0086252E" w:rsidRDefault="0086252E">
            <w:pPr>
              <w:rPr>
                <w:rFonts w:ascii="Arial" w:hAnsi="Arial"/>
              </w:rPr>
            </w:pPr>
            <w:r w:rsidRPr="0086252E">
              <w:rPr>
                <w:rFonts w:ascii="Arial" w:hAnsi="Arial"/>
              </w:rPr>
              <w:t>2017</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68E38A1C" w14:textId="77777777" w:rsidR="0086252E" w:rsidRPr="0086252E" w:rsidRDefault="0086252E">
            <w:pPr>
              <w:rPr>
                <w:rFonts w:ascii="Arial" w:hAnsi="Arial"/>
              </w:rPr>
            </w:pPr>
            <w:r w:rsidRPr="0086252E">
              <w:rPr>
                <w:rFonts w:ascii="Arial" w:hAnsi="Arial"/>
              </w:rPr>
              <w:t>1984</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7C364157" w14:textId="77777777" w:rsidR="0086252E" w:rsidRPr="0086252E" w:rsidRDefault="0086252E">
            <w:pPr>
              <w:rPr>
                <w:rFonts w:ascii="Arial" w:hAnsi="Arial"/>
              </w:rPr>
            </w:pPr>
            <w:r w:rsidRPr="0086252E">
              <w:rPr>
                <w:rFonts w:ascii="Arial" w:hAnsi="Arial"/>
              </w:rPr>
              <w:t>1116</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48759965" w14:textId="77777777" w:rsidR="0086252E" w:rsidRPr="0086252E" w:rsidRDefault="0086252E">
            <w:pPr>
              <w:rPr>
                <w:rFonts w:ascii="Arial" w:hAnsi="Arial"/>
              </w:rPr>
            </w:pPr>
            <w:r w:rsidRPr="0086252E">
              <w:rPr>
                <w:rFonts w:ascii="Arial" w:hAnsi="Arial"/>
              </w:rPr>
              <w:t>976</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628A9C05" w14:textId="77777777" w:rsidR="0086252E" w:rsidRPr="0086252E" w:rsidRDefault="0086252E">
            <w:pPr>
              <w:rPr>
                <w:rFonts w:ascii="Arial" w:hAnsi="Arial"/>
              </w:rPr>
            </w:pPr>
            <w:r w:rsidRPr="0086252E">
              <w:rPr>
                <w:rFonts w:ascii="Arial" w:hAnsi="Arial"/>
              </w:rPr>
              <w:t>52</w:t>
            </w:r>
          </w:p>
        </w:tc>
      </w:tr>
    </w:tbl>
    <w:p w14:paraId="0385BF52" w14:textId="77777777" w:rsidR="000C5858" w:rsidRDefault="000C5858" w:rsidP="00582FFE">
      <w:pPr>
        <w:rPr>
          <w:rFonts w:ascii="Arial" w:hAnsi="Arial" w:cs="Arial"/>
        </w:rPr>
      </w:pPr>
    </w:p>
    <w:p w14:paraId="50F53938" w14:textId="6AA0F80D" w:rsidR="006E6EA1" w:rsidRDefault="0086252E" w:rsidP="00582FFE">
      <w:pPr>
        <w:rPr>
          <w:rFonts w:ascii="Arial" w:hAnsi="Arial" w:cs="Arial"/>
        </w:rPr>
      </w:pPr>
      <w:r>
        <w:rPr>
          <w:rFonts w:ascii="Arial" w:hAnsi="Arial" w:cs="Arial"/>
        </w:rPr>
        <w:t>The table below shows the average number of bids received by different property sizes and types. The greatest number of bids are received for 3 bed</w:t>
      </w:r>
      <w:r w:rsidR="006E6EA1">
        <w:rPr>
          <w:rFonts w:ascii="Arial" w:hAnsi="Arial" w:cs="Arial"/>
        </w:rPr>
        <w:t>room</w:t>
      </w:r>
      <w:r>
        <w:rPr>
          <w:rFonts w:ascii="Arial" w:hAnsi="Arial" w:cs="Arial"/>
        </w:rPr>
        <w:t xml:space="preserve"> properties despite this being the second lowest size demanded as per the above</w:t>
      </w:r>
      <w:r w:rsidR="006E6EA1">
        <w:rPr>
          <w:rFonts w:ascii="Arial" w:hAnsi="Arial" w:cs="Arial"/>
        </w:rPr>
        <w:t>, suggesting these are in high demand and low supply</w:t>
      </w:r>
      <w:r>
        <w:rPr>
          <w:rFonts w:ascii="Arial" w:hAnsi="Arial" w:cs="Arial"/>
        </w:rPr>
        <w:t xml:space="preserve">. On the other hand, </w:t>
      </w:r>
      <w:r w:rsidR="006E6EA1">
        <w:rPr>
          <w:rFonts w:ascii="Arial" w:hAnsi="Arial" w:cs="Arial"/>
        </w:rPr>
        <w:t xml:space="preserve">1 bedroom flats have the lowest number of bids on average, despite this being the highest demanded property size. Further analysis shows that demand is high for general needs 1 bedroom flats but low for those reserved for those aged 50+. This suggests that some of the properties available do not meet the needs of applicants. </w:t>
      </w:r>
    </w:p>
    <w:tbl>
      <w:tblPr>
        <w:tblStyle w:val="TableGrid"/>
        <w:tblW w:w="0" w:type="auto"/>
        <w:tblLook w:val="04A0" w:firstRow="1" w:lastRow="0" w:firstColumn="1" w:lastColumn="0" w:noHBand="0" w:noVBand="1"/>
      </w:tblPr>
      <w:tblGrid>
        <w:gridCol w:w="2686"/>
        <w:gridCol w:w="3725"/>
      </w:tblGrid>
      <w:tr w:rsidR="006E6EA1" w14:paraId="48523DEB" w14:textId="77777777" w:rsidTr="006E6EA1">
        <w:tc>
          <w:tcPr>
            <w:tcW w:w="2686" w:type="dxa"/>
          </w:tcPr>
          <w:p w14:paraId="60E73626" w14:textId="0995B207" w:rsidR="006E6EA1" w:rsidRPr="006E6EA1" w:rsidRDefault="006E6EA1" w:rsidP="00582FFE">
            <w:pPr>
              <w:rPr>
                <w:rFonts w:ascii="Arial" w:hAnsi="Arial" w:cs="Arial"/>
                <w:b/>
              </w:rPr>
            </w:pPr>
            <w:r w:rsidRPr="006E6EA1">
              <w:rPr>
                <w:rFonts w:ascii="Arial" w:hAnsi="Arial" w:cs="Arial"/>
                <w:b/>
              </w:rPr>
              <w:t>Property size and type</w:t>
            </w:r>
          </w:p>
        </w:tc>
        <w:tc>
          <w:tcPr>
            <w:tcW w:w="3725" w:type="dxa"/>
          </w:tcPr>
          <w:p w14:paraId="21154705" w14:textId="4EDB79E7" w:rsidR="006E6EA1" w:rsidRPr="006E6EA1" w:rsidRDefault="006E6EA1" w:rsidP="00582FFE">
            <w:pPr>
              <w:rPr>
                <w:rFonts w:ascii="Arial" w:hAnsi="Arial" w:cs="Arial"/>
                <w:b/>
              </w:rPr>
            </w:pPr>
            <w:r w:rsidRPr="006E6EA1">
              <w:rPr>
                <w:rFonts w:ascii="Arial" w:hAnsi="Arial" w:cs="Arial"/>
                <w:b/>
              </w:rPr>
              <w:t>Average number of bids in 17/18</w:t>
            </w:r>
          </w:p>
        </w:tc>
      </w:tr>
      <w:tr w:rsidR="006E6EA1" w14:paraId="4BC67A0D" w14:textId="77777777" w:rsidTr="006E6EA1">
        <w:tc>
          <w:tcPr>
            <w:tcW w:w="2686" w:type="dxa"/>
          </w:tcPr>
          <w:p w14:paraId="161E3591" w14:textId="54E07812" w:rsidR="006E6EA1" w:rsidRDefault="006E6EA1" w:rsidP="00582FFE">
            <w:pPr>
              <w:rPr>
                <w:rFonts w:ascii="Arial" w:hAnsi="Arial" w:cs="Arial"/>
              </w:rPr>
            </w:pPr>
            <w:r>
              <w:rPr>
                <w:rFonts w:ascii="Arial" w:hAnsi="Arial" w:cs="Arial"/>
              </w:rPr>
              <w:t>1 bedroom bungalow</w:t>
            </w:r>
          </w:p>
        </w:tc>
        <w:tc>
          <w:tcPr>
            <w:tcW w:w="3725" w:type="dxa"/>
          </w:tcPr>
          <w:p w14:paraId="1FF9C34F" w14:textId="426B2C9F" w:rsidR="006E6EA1" w:rsidRDefault="006E6EA1" w:rsidP="00582FFE">
            <w:pPr>
              <w:rPr>
                <w:rFonts w:ascii="Arial" w:hAnsi="Arial" w:cs="Arial"/>
              </w:rPr>
            </w:pPr>
            <w:r>
              <w:rPr>
                <w:rFonts w:ascii="Arial" w:hAnsi="Arial" w:cs="Arial"/>
              </w:rPr>
              <w:t>26</w:t>
            </w:r>
          </w:p>
        </w:tc>
      </w:tr>
      <w:tr w:rsidR="006E6EA1" w14:paraId="48074CCC" w14:textId="77777777" w:rsidTr="006E6EA1">
        <w:tc>
          <w:tcPr>
            <w:tcW w:w="2686" w:type="dxa"/>
          </w:tcPr>
          <w:p w14:paraId="18452216" w14:textId="249BA0B0" w:rsidR="006E6EA1" w:rsidRDefault="006E6EA1" w:rsidP="00582FFE">
            <w:pPr>
              <w:rPr>
                <w:rFonts w:ascii="Arial" w:hAnsi="Arial" w:cs="Arial"/>
              </w:rPr>
            </w:pPr>
            <w:r>
              <w:rPr>
                <w:rFonts w:ascii="Arial" w:hAnsi="Arial" w:cs="Arial"/>
              </w:rPr>
              <w:t>1 bedroom flat</w:t>
            </w:r>
          </w:p>
        </w:tc>
        <w:tc>
          <w:tcPr>
            <w:tcW w:w="3725" w:type="dxa"/>
          </w:tcPr>
          <w:p w14:paraId="2F3965E8" w14:textId="01703A03" w:rsidR="006E6EA1" w:rsidRDefault="006E6EA1" w:rsidP="00582FFE">
            <w:pPr>
              <w:rPr>
                <w:rFonts w:ascii="Arial" w:hAnsi="Arial" w:cs="Arial"/>
              </w:rPr>
            </w:pPr>
            <w:r>
              <w:rPr>
                <w:rFonts w:ascii="Arial" w:hAnsi="Arial" w:cs="Arial"/>
              </w:rPr>
              <w:t>28</w:t>
            </w:r>
          </w:p>
        </w:tc>
      </w:tr>
      <w:tr w:rsidR="006E6EA1" w14:paraId="387148EC" w14:textId="77777777" w:rsidTr="006E6EA1">
        <w:tc>
          <w:tcPr>
            <w:tcW w:w="2686" w:type="dxa"/>
          </w:tcPr>
          <w:p w14:paraId="5B1A0DF1" w14:textId="496E2FCC" w:rsidR="006E6EA1" w:rsidRDefault="006E6EA1" w:rsidP="00582FFE">
            <w:pPr>
              <w:rPr>
                <w:rFonts w:ascii="Arial" w:hAnsi="Arial" w:cs="Arial"/>
              </w:rPr>
            </w:pPr>
            <w:r>
              <w:rPr>
                <w:rFonts w:ascii="Arial" w:hAnsi="Arial" w:cs="Arial"/>
              </w:rPr>
              <w:t>2 bedroom bungalow</w:t>
            </w:r>
          </w:p>
        </w:tc>
        <w:tc>
          <w:tcPr>
            <w:tcW w:w="3725" w:type="dxa"/>
          </w:tcPr>
          <w:p w14:paraId="1195BC9B" w14:textId="232C937B" w:rsidR="006E6EA1" w:rsidRDefault="006E6EA1" w:rsidP="00582FFE">
            <w:pPr>
              <w:rPr>
                <w:rFonts w:ascii="Arial" w:hAnsi="Arial" w:cs="Arial"/>
              </w:rPr>
            </w:pPr>
            <w:r>
              <w:rPr>
                <w:rFonts w:ascii="Arial" w:hAnsi="Arial" w:cs="Arial"/>
              </w:rPr>
              <w:t>30</w:t>
            </w:r>
          </w:p>
        </w:tc>
      </w:tr>
      <w:tr w:rsidR="006E6EA1" w14:paraId="0C6AAD90" w14:textId="77777777" w:rsidTr="006E6EA1">
        <w:tc>
          <w:tcPr>
            <w:tcW w:w="2686" w:type="dxa"/>
          </w:tcPr>
          <w:p w14:paraId="6D074B91" w14:textId="0022A9FB" w:rsidR="006E6EA1" w:rsidRDefault="006E6EA1" w:rsidP="00582FFE">
            <w:pPr>
              <w:rPr>
                <w:rFonts w:ascii="Arial" w:hAnsi="Arial" w:cs="Arial"/>
              </w:rPr>
            </w:pPr>
            <w:r>
              <w:rPr>
                <w:rFonts w:ascii="Arial" w:hAnsi="Arial" w:cs="Arial"/>
              </w:rPr>
              <w:t>2 bedroom flat</w:t>
            </w:r>
          </w:p>
        </w:tc>
        <w:tc>
          <w:tcPr>
            <w:tcW w:w="3725" w:type="dxa"/>
          </w:tcPr>
          <w:p w14:paraId="4BEADE9B" w14:textId="4CDFC2EC" w:rsidR="006E6EA1" w:rsidRDefault="006E6EA1" w:rsidP="00582FFE">
            <w:pPr>
              <w:rPr>
                <w:rFonts w:ascii="Arial" w:hAnsi="Arial" w:cs="Arial"/>
              </w:rPr>
            </w:pPr>
            <w:r>
              <w:rPr>
                <w:rFonts w:ascii="Arial" w:hAnsi="Arial" w:cs="Arial"/>
              </w:rPr>
              <w:t>43</w:t>
            </w:r>
          </w:p>
        </w:tc>
      </w:tr>
      <w:tr w:rsidR="006E6EA1" w14:paraId="00EDEC5B" w14:textId="77777777" w:rsidTr="006E6EA1">
        <w:tc>
          <w:tcPr>
            <w:tcW w:w="2686" w:type="dxa"/>
          </w:tcPr>
          <w:p w14:paraId="73912B33" w14:textId="3F45AF2D" w:rsidR="006E6EA1" w:rsidRDefault="006E6EA1" w:rsidP="00582FFE">
            <w:pPr>
              <w:rPr>
                <w:rFonts w:ascii="Arial" w:hAnsi="Arial" w:cs="Arial"/>
              </w:rPr>
            </w:pPr>
            <w:r>
              <w:rPr>
                <w:rFonts w:ascii="Arial" w:hAnsi="Arial" w:cs="Arial"/>
              </w:rPr>
              <w:t>2 bedroom house</w:t>
            </w:r>
          </w:p>
        </w:tc>
        <w:tc>
          <w:tcPr>
            <w:tcW w:w="3725" w:type="dxa"/>
          </w:tcPr>
          <w:p w14:paraId="23334515" w14:textId="6F5E3899" w:rsidR="006E6EA1" w:rsidRDefault="006E6EA1" w:rsidP="00582FFE">
            <w:pPr>
              <w:rPr>
                <w:rFonts w:ascii="Arial" w:hAnsi="Arial" w:cs="Arial"/>
              </w:rPr>
            </w:pPr>
            <w:r>
              <w:rPr>
                <w:rFonts w:ascii="Arial" w:hAnsi="Arial" w:cs="Arial"/>
              </w:rPr>
              <w:t>54</w:t>
            </w:r>
          </w:p>
        </w:tc>
      </w:tr>
      <w:tr w:rsidR="006E6EA1" w14:paraId="54EA57AC" w14:textId="77777777" w:rsidTr="006E6EA1">
        <w:tc>
          <w:tcPr>
            <w:tcW w:w="2686" w:type="dxa"/>
          </w:tcPr>
          <w:p w14:paraId="42911B9A" w14:textId="22B73C7B" w:rsidR="006E6EA1" w:rsidRDefault="00365803" w:rsidP="00582FFE">
            <w:pPr>
              <w:rPr>
                <w:rFonts w:ascii="Arial" w:hAnsi="Arial" w:cs="Arial"/>
              </w:rPr>
            </w:pPr>
            <w:r>
              <w:rPr>
                <w:rFonts w:ascii="Arial" w:hAnsi="Arial" w:cs="Arial"/>
              </w:rPr>
              <w:t>3 bedroom house</w:t>
            </w:r>
          </w:p>
        </w:tc>
        <w:tc>
          <w:tcPr>
            <w:tcW w:w="3725" w:type="dxa"/>
          </w:tcPr>
          <w:p w14:paraId="53DCB3CB" w14:textId="6A980CA7" w:rsidR="006E6EA1" w:rsidRDefault="00365803" w:rsidP="00582FFE">
            <w:pPr>
              <w:rPr>
                <w:rFonts w:ascii="Arial" w:hAnsi="Arial" w:cs="Arial"/>
              </w:rPr>
            </w:pPr>
            <w:r>
              <w:rPr>
                <w:rFonts w:ascii="Arial" w:hAnsi="Arial" w:cs="Arial"/>
              </w:rPr>
              <w:t>64</w:t>
            </w:r>
          </w:p>
        </w:tc>
      </w:tr>
      <w:tr w:rsidR="006E6EA1" w14:paraId="1A56488B" w14:textId="77777777" w:rsidTr="006E6EA1">
        <w:tc>
          <w:tcPr>
            <w:tcW w:w="2686" w:type="dxa"/>
          </w:tcPr>
          <w:p w14:paraId="3D325506" w14:textId="662A57EE" w:rsidR="006E6EA1" w:rsidRDefault="00365803" w:rsidP="00582FFE">
            <w:pPr>
              <w:rPr>
                <w:rFonts w:ascii="Arial" w:hAnsi="Arial" w:cs="Arial"/>
              </w:rPr>
            </w:pPr>
            <w:r>
              <w:rPr>
                <w:rFonts w:ascii="Arial" w:hAnsi="Arial" w:cs="Arial"/>
              </w:rPr>
              <w:t>4 bedroom house</w:t>
            </w:r>
          </w:p>
        </w:tc>
        <w:tc>
          <w:tcPr>
            <w:tcW w:w="3725" w:type="dxa"/>
          </w:tcPr>
          <w:p w14:paraId="4EF4A477" w14:textId="017C2992" w:rsidR="006E6EA1" w:rsidRDefault="00365803" w:rsidP="00582FFE">
            <w:pPr>
              <w:rPr>
                <w:rFonts w:ascii="Arial" w:hAnsi="Arial" w:cs="Arial"/>
              </w:rPr>
            </w:pPr>
            <w:r>
              <w:rPr>
                <w:rFonts w:ascii="Arial" w:hAnsi="Arial" w:cs="Arial"/>
              </w:rPr>
              <w:t>44</w:t>
            </w:r>
          </w:p>
        </w:tc>
      </w:tr>
    </w:tbl>
    <w:p w14:paraId="3C58FB57" w14:textId="77777777" w:rsidR="006E6EA1" w:rsidRDefault="006E6EA1" w:rsidP="00582FFE">
      <w:pPr>
        <w:rPr>
          <w:rFonts w:ascii="Arial" w:hAnsi="Arial" w:cs="Arial"/>
        </w:rPr>
      </w:pPr>
    </w:p>
    <w:p w14:paraId="0D0C215A" w14:textId="77777777" w:rsidR="0086252E" w:rsidRDefault="0086252E" w:rsidP="00582FFE">
      <w:pPr>
        <w:rPr>
          <w:rFonts w:ascii="Arial" w:hAnsi="Arial" w:cs="Arial"/>
        </w:rPr>
      </w:pPr>
    </w:p>
    <w:p w14:paraId="3E074F39" w14:textId="52F84AA8" w:rsidR="00156197" w:rsidRPr="007C3D50" w:rsidRDefault="007C3D50" w:rsidP="00582FFE">
      <w:pPr>
        <w:rPr>
          <w:rFonts w:ascii="Arial" w:hAnsi="Arial" w:cs="Arial"/>
          <w:i/>
        </w:rPr>
      </w:pPr>
      <w:r>
        <w:rPr>
          <w:rFonts w:ascii="Arial" w:hAnsi="Arial" w:cs="Arial"/>
          <w:i/>
        </w:rPr>
        <w:t>Adaptations</w:t>
      </w:r>
    </w:p>
    <w:p w14:paraId="6285BE92" w14:textId="77777777" w:rsidR="00582FFE" w:rsidRDefault="00582FFE" w:rsidP="00582FFE">
      <w:pPr>
        <w:rPr>
          <w:rFonts w:ascii="Arial" w:hAnsi="Arial" w:cs="Arial"/>
        </w:rPr>
      </w:pPr>
      <w:r>
        <w:rPr>
          <w:rFonts w:ascii="Arial" w:hAnsi="Arial" w:cs="Arial"/>
        </w:rPr>
        <w:t>In 2016-18, 266 major adaptations have been completed to ADC properties. During the same time period approximately 11 stairlifts have been removed at a total cost of approximately £19,000</w:t>
      </w:r>
    </w:p>
    <w:p w14:paraId="0705AFFA" w14:textId="1AFC250C" w:rsidR="00DD2982" w:rsidRDefault="00DD2982" w:rsidP="00582FFE">
      <w:pPr>
        <w:rPr>
          <w:rFonts w:ascii="Arial" w:hAnsi="Arial" w:cs="Arial"/>
        </w:rPr>
      </w:pPr>
      <w:r>
        <w:rPr>
          <w:rFonts w:ascii="Arial" w:hAnsi="Arial" w:cs="Arial"/>
        </w:rPr>
        <w:lastRenderedPageBreak/>
        <w:t>Analysis of Ashfield Homefinder applications in April 2018 highlights that 3% of applicants required a wheelchair accessible property, 4% require a stairlift, 5% require a level access shower and 12% require a level entry property.</w:t>
      </w:r>
    </w:p>
    <w:p w14:paraId="61A725AB" w14:textId="77777777" w:rsidR="00582FFE" w:rsidRDefault="00582FFE" w:rsidP="00184B4C">
      <w:pPr>
        <w:rPr>
          <w:rFonts w:ascii="Arial" w:hAnsi="Arial" w:cs="Arial"/>
        </w:rPr>
      </w:pPr>
    </w:p>
    <w:p w14:paraId="7ED551F5" w14:textId="19BDE1D4" w:rsidR="00734565" w:rsidRDefault="00582FFE" w:rsidP="00184B4C">
      <w:pPr>
        <w:rPr>
          <w:rFonts w:ascii="Arial" w:hAnsi="Arial" w:cs="Arial"/>
          <w:i/>
        </w:rPr>
      </w:pPr>
      <w:r>
        <w:rPr>
          <w:rFonts w:ascii="Arial" w:hAnsi="Arial" w:cs="Arial"/>
          <w:i/>
        </w:rPr>
        <w:t>Homelessness &amp; PRS</w:t>
      </w:r>
    </w:p>
    <w:p w14:paraId="63644BD4" w14:textId="22C21CD6" w:rsidR="00582FFE" w:rsidRPr="00582FFE" w:rsidRDefault="00582FFE" w:rsidP="00184B4C">
      <w:pPr>
        <w:rPr>
          <w:rFonts w:ascii="Arial" w:hAnsi="Arial" w:cs="Arial"/>
        </w:rPr>
      </w:pPr>
      <w:r>
        <w:rPr>
          <w:rFonts w:ascii="Arial" w:hAnsi="Arial" w:cs="Arial"/>
        </w:rPr>
        <w:t>Between 1</w:t>
      </w:r>
      <w:r w:rsidRPr="00582FFE">
        <w:rPr>
          <w:rFonts w:ascii="Arial" w:hAnsi="Arial" w:cs="Arial"/>
          <w:vertAlign w:val="superscript"/>
        </w:rPr>
        <w:t>st</w:t>
      </w:r>
      <w:r>
        <w:rPr>
          <w:rFonts w:ascii="Arial" w:hAnsi="Arial" w:cs="Arial"/>
        </w:rPr>
        <w:t xml:space="preserve"> April 2016 and 31</w:t>
      </w:r>
      <w:r w:rsidRPr="00582FFE">
        <w:rPr>
          <w:rFonts w:ascii="Arial" w:hAnsi="Arial" w:cs="Arial"/>
          <w:vertAlign w:val="superscript"/>
        </w:rPr>
        <w:t>st</w:t>
      </w:r>
      <w:r>
        <w:rPr>
          <w:rFonts w:ascii="Arial" w:hAnsi="Arial" w:cs="Arial"/>
        </w:rPr>
        <w:t xml:space="preserve"> </w:t>
      </w:r>
      <w:r w:rsidR="00DD2982">
        <w:rPr>
          <w:rFonts w:ascii="Arial" w:hAnsi="Arial" w:cs="Arial"/>
        </w:rPr>
        <w:t>March 2018</w:t>
      </w:r>
      <w:r>
        <w:rPr>
          <w:rFonts w:ascii="Arial" w:hAnsi="Arial" w:cs="Arial"/>
        </w:rPr>
        <w:t>, 2</w:t>
      </w:r>
      <w:r w:rsidR="00DD2982">
        <w:rPr>
          <w:rFonts w:ascii="Arial" w:hAnsi="Arial" w:cs="Arial"/>
        </w:rPr>
        <w:t>9</w:t>
      </w:r>
      <w:r>
        <w:rPr>
          <w:rFonts w:ascii="Arial" w:hAnsi="Arial" w:cs="Arial"/>
        </w:rPr>
        <w:t xml:space="preserve"> households were support</w:t>
      </w:r>
      <w:r w:rsidR="0070090A">
        <w:rPr>
          <w:rFonts w:ascii="Arial" w:hAnsi="Arial" w:cs="Arial"/>
        </w:rPr>
        <w:t>ed</w:t>
      </w:r>
      <w:r>
        <w:rPr>
          <w:rFonts w:ascii="Arial" w:hAnsi="Arial" w:cs="Arial"/>
        </w:rPr>
        <w:t xml:space="preserve"> to prevent or relieve their homelessness in the PRS.</w:t>
      </w:r>
    </w:p>
    <w:p w14:paraId="70D013B5" w14:textId="77777777" w:rsidR="007C2A84" w:rsidRDefault="007C2A84" w:rsidP="00184B4C">
      <w:pPr>
        <w:rPr>
          <w:rFonts w:ascii="Arial" w:hAnsi="Arial" w:cs="Arial"/>
        </w:rPr>
      </w:pPr>
    </w:p>
    <w:p w14:paraId="0CFAC8B5" w14:textId="77777777" w:rsidR="007C2A84" w:rsidRPr="007C2A84" w:rsidRDefault="007C2A84" w:rsidP="00184B4C">
      <w:pPr>
        <w:rPr>
          <w:rFonts w:ascii="Arial" w:hAnsi="Arial" w:cs="Arial"/>
          <w:i/>
        </w:rPr>
      </w:pPr>
      <w:r w:rsidRPr="007C2A84">
        <w:rPr>
          <w:rFonts w:ascii="Arial" w:hAnsi="Arial" w:cs="Arial"/>
          <w:i/>
        </w:rPr>
        <w:t>Terminations and transfers</w:t>
      </w:r>
    </w:p>
    <w:p w14:paraId="51EC7558" w14:textId="28256C9B" w:rsidR="00B23233" w:rsidRDefault="00B23233" w:rsidP="00184B4C">
      <w:pPr>
        <w:rPr>
          <w:rFonts w:ascii="Arial" w:hAnsi="Arial" w:cs="Arial"/>
        </w:rPr>
      </w:pPr>
      <w:r>
        <w:rPr>
          <w:rFonts w:ascii="Arial" w:hAnsi="Arial" w:cs="Arial"/>
        </w:rPr>
        <w:t>The table below provides an analysis of the ADC tenancies that have been terminated in the last 5 years, the tenure type the tenant moved to and the average length of tenancy for tenants that terminated that year</w:t>
      </w:r>
      <w:r w:rsidR="00254F7A">
        <w:rPr>
          <w:rFonts w:ascii="Arial" w:hAnsi="Arial" w:cs="Arial"/>
        </w:rPr>
        <w:t xml:space="preserve"> (note this includes all tenure types, not just general needs)</w:t>
      </w:r>
      <w:r>
        <w:rPr>
          <w:rFonts w:ascii="Arial" w:hAnsi="Arial" w:cs="Arial"/>
        </w:rPr>
        <w: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E03FED" w14:paraId="5B4A1221" w14:textId="77777777" w:rsidTr="00E03FED">
        <w:tc>
          <w:tcPr>
            <w:tcW w:w="1502" w:type="dxa"/>
          </w:tcPr>
          <w:p w14:paraId="2BB71FEA" w14:textId="77777777" w:rsidR="00E03FED" w:rsidRDefault="00E03FED" w:rsidP="00184B4C">
            <w:pPr>
              <w:rPr>
                <w:rFonts w:ascii="Arial" w:hAnsi="Arial" w:cs="Arial"/>
              </w:rPr>
            </w:pPr>
          </w:p>
        </w:tc>
        <w:tc>
          <w:tcPr>
            <w:tcW w:w="1502" w:type="dxa"/>
          </w:tcPr>
          <w:p w14:paraId="2B501A71" w14:textId="15779459" w:rsidR="00E03FED" w:rsidRDefault="00E03FED" w:rsidP="00184B4C">
            <w:pPr>
              <w:rPr>
                <w:rFonts w:ascii="Arial" w:hAnsi="Arial" w:cs="Arial"/>
              </w:rPr>
            </w:pPr>
            <w:r>
              <w:rPr>
                <w:rFonts w:ascii="Arial" w:hAnsi="Arial" w:cs="Arial"/>
              </w:rPr>
              <w:t>16/17</w:t>
            </w:r>
          </w:p>
        </w:tc>
        <w:tc>
          <w:tcPr>
            <w:tcW w:w="1503" w:type="dxa"/>
          </w:tcPr>
          <w:p w14:paraId="3B133100" w14:textId="2782CFC2" w:rsidR="00E03FED" w:rsidRDefault="00E03FED" w:rsidP="00184B4C">
            <w:pPr>
              <w:rPr>
                <w:rFonts w:ascii="Arial" w:hAnsi="Arial" w:cs="Arial"/>
              </w:rPr>
            </w:pPr>
            <w:r>
              <w:rPr>
                <w:rFonts w:ascii="Arial" w:hAnsi="Arial" w:cs="Arial"/>
              </w:rPr>
              <w:t>15/16</w:t>
            </w:r>
          </w:p>
        </w:tc>
        <w:tc>
          <w:tcPr>
            <w:tcW w:w="1503" w:type="dxa"/>
          </w:tcPr>
          <w:p w14:paraId="6A4B9F92" w14:textId="60690C82" w:rsidR="00E03FED" w:rsidRDefault="00E03FED" w:rsidP="00184B4C">
            <w:pPr>
              <w:rPr>
                <w:rFonts w:ascii="Arial" w:hAnsi="Arial" w:cs="Arial"/>
              </w:rPr>
            </w:pPr>
            <w:r>
              <w:rPr>
                <w:rFonts w:ascii="Arial" w:hAnsi="Arial" w:cs="Arial"/>
              </w:rPr>
              <w:t>14/15</w:t>
            </w:r>
          </w:p>
        </w:tc>
        <w:tc>
          <w:tcPr>
            <w:tcW w:w="1503" w:type="dxa"/>
          </w:tcPr>
          <w:p w14:paraId="72358452" w14:textId="3911B88F" w:rsidR="00E03FED" w:rsidRDefault="00E03FED" w:rsidP="00184B4C">
            <w:pPr>
              <w:rPr>
                <w:rFonts w:ascii="Arial" w:hAnsi="Arial" w:cs="Arial"/>
              </w:rPr>
            </w:pPr>
            <w:r>
              <w:rPr>
                <w:rFonts w:ascii="Arial" w:hAnsi="Arial" w:cs="Arial"/>
              </w:rPr>
              <w:t>13/14</w:t>
            </w:r>
          </w:p>
        </w:tc>
        <w:tc>
          <w:tcPr>
            <w:tcW w:w="1503" w:type="dxa"/>
          </w:tcPr>
          <w:p w14:paraId="0A22274B" w14:textId="77E21DE9" w:rsidR="00E03FED" w:rsidRDefault="00E03FED" w:rsidP="00184B4C">
            <w:pPr>
              <w:rPr>
                <w:rFonts w:ascii="Arial" w:hAnsi="Arial" w:cs="Arial"/>
              </w:rPr>
            </w:pPr>
            <w:r>
              <w:rPr>
                <w:rFonts w:ascii="Arial" w:hAnsi="Arial" w:cs="Arial"/>
              </w:rPr>
              <w:t>12/13</w:t>
            </w:r>
          </w:p>
        </w:tc>
      </w:tr>
      <w:tr w:rsidR="00E03FED" w14:paraId="2B3C1480" w14:textId="77777777" w:rsidTr="00E03FED">
        <w:tc>
          <w:tcPr>
            <w:tcW w:w="1502" w:type="dxa"/>
          </w:tcPr>
          <w:p w14:paraId="43A66A6F" w14:textId="4CAD4D49" w:rsidR="00E03FED" w:rsidRDefault="00E03FED" w:rsidP="00184B4C">
            <w:pPr>
              <w:rPr>
                <w:rFonts w:ascii="Arial" w:hAnsi="Arial" w:cs="Arial"/>
              </w:rPr>
            </w:pPr>
            <w:r>
              <w:rPr>
                <w:rFonts w:ascii="Arial" w:hAnsi="Arial" w:cs="Arial"/>
              </w:rPr>
              <w:t>Transfer (ADC, LA or RP)</w:t>
            </w:r>
          </w:p>
        </w:tc>
        <w:tc>
          <w:tcPr>
            <w:tcW w:w="1502" w:type="dxa"/>
          </w:tcPr>
          <w:p w14:paraId="624DF41F" w14:textId="01CE3320" w:rsidR="00E03FED" w:rsidRDefault="00E03FED" w:rsidP="00184B4C">
            <w:pPr>
              <w:rPr>
                <w:rFonts w:ascii="Arial" w:hAnsi="Arial" w:cs="Arial"/>
              </w:rPr>
            </w:pPr>
            <w:r>
              <w:rPr>
                <w:rFonts w:ascii="Arial" w:hAnsi="Arial" w:cs="Arial"/>
              </w:rPr>
              <w:t>197</w:t>
            </w:r>
            <w:r w:rsidR="0070090A">
              <w:rPr>
                <w:rFonts w:ascii="Arial" w:hAnsi="Arial" w:cs="Arial"/>
              </w:rPr>
              <w:t xml:space="preserve"> (31%)</w:t>
            </w:r>
          </w:p>
        </w:tc>
        <w:tc>
          <w:tcPr>
            <w:tcW w:w="1503" w:type="dxa"/>
          </w:tcPr>
          <w:p w14:paraId="639B3442" w14:textId="7B7B7FAB" w:rsidR="00E03FED" w:rsidRDefault="00E03FED" w:rsidP="00184B4C">
            <w:pPr>
              <w:rPr>
                <w:rFonts w:ascii="Arial" w:hAnsi="Arial" w:cs="Arial"/>
              </w:rPr>
            </w:pPr>
            <w:r>
              <w:rPr>
                <w:rFonts w:ascii="Arial" w:hAnsi="Arial" w:cs="Arial"/>
              </w:rPr>
              <w:t>142</w:t>
            </w:r>
            <w:r w:rsidR="0070090A">
              <w:rPr>
                <w:rFonts w:ascii="Arial" w:hAnsi="Arial" w:cs="Arial"/>
              </w:rPr>
              <w:t xml:space="preserve"> (22%)</w:t>
            </w:r>
          </w:p>
        </w:tc>
        <w:tc>
          <w:tcPr>
            <w:tcW w:w="1503" w:type="dxa"/>
          </w:tcPr>
          <w:p w14:paraId="5430B080" w14:textId="6A637AF9" w:rsidR="00E03FED" w:rsidRDefault="00E03FED" w:rsidP="00184B4C">
            <w:pPr>
              <w:rPr>
                <w:rFonts w:ascii="Arial" w:hAnsi="Arial" w:cs="Arial"/>
              </w:rPr>
            </w:pPr>
            <w:r>
              <w:rPr>
                <w:rFonts w:ascii="Arial" w:hAnsi="Arial" w:cs="Arial"/>
              </w:rPr>
              <w:t>172</w:t>
            </w:r>
            <w:r w:rsidR="0070090A">
              <w:rPr>
                <w:rFonts w:ascii="Arial" w:hAnsi="Arial" w:cs="Arial"/>
              </w:rPr>
              <w:t xml:space="preserve"> (27%)</w:t>
            </w:r>
          </w:p>
        </w:tc>
        <w:tc>
          <w:tcPr>
            <w:tcW w:w="1503" w:type="dxa"/>
          </w:tcPr>
          <w:p w14:paraId="6AF0073F" w14:textId="65F642D5" w:rsidR="00E03FED" w:rsidRDefault="00C76773" w:rsidP="00184B4C">
            <w:pPr>
              <w:rPr>
                <w:rFonts w:ascii="Arial" w:hAnsi="Arial" w:cs="Arial"/>
              </w:rPr>
            </w:pPr>
            <w:r>
              <w:rPr>
                <w:rFonts w:ascii="Arial" w:hAnsi="Arial" w:cs="Arial"/>
              </w:rPr>
              <w:t>174</w:t>
            </w:r>
            <w:r w:rsidR="0070090A">
              <w:rPr>
                <w:rFonts w:ascii="Arial" w:hAnsi="Arial" w:cs="Arial"/>
              </w:rPr>
              <w:t xml:space="preserve"> (28%)</w:t>
            </w:r>
          </w:p>
        </w:tc>
        <w:tc>
          <w:tcPr>
            <w:tcW w:w="1503" w:type="dxa"/>
          </w:tcPr>
          <w:p w14:paraId="1552F98B" w14:textId="320DD9BC" w:rsidR="00E03FED" w:rsidRDefault="00C76773" w:rsidP="00184B4C">
            <w:pPr>
              <w:rPr>
                <w:rFonts w:ascii="Arial" w:hAnsi="Arial" w:cs="Arial"/>
              </w:rPr>
            </w:pPr>
            <w:r>
              <w:rPr>
                <w:rFonts w:ascii="Arial" w:hAnsi="Arial" w:cs="Arial"/>
              </w:rPr>
              <w:t>149</w:t>
            </w:r>
            <w:r w:rsidR="002638E5">
              <w:rPr>
                <w:rFonts w:ascii="Arial" w:hAnsi="Arial" w:cs="Arial"/>
              </w:rPr>
              <w:t xml:space="preserve"> (23%)</w:t>
            </w:r>
          </w:p>
        </w:tc>
      </w:tr>
      <w:tr w:rsidR="00E03FED" w14:paraId="5E3F7F17" w14:textId="77777777" w:rsidTr="00E03FED">
        <w:tc>
          <w:tcPr>
            <w:tcW w:w="1502" w:type="dxa"/>
          </w:tcPr>
          <w:p w14:paraId="3AEB4585" w14:textId="2F7AB559" w:rsidR="00E03FED" w:rsidRDefault="00E03FED" w:rsidP="00184B4C">
            <w:pPr>
              <w:rPr>
                <w:rFonts w:ascii="Arial" w:hAnsi="Arial" w:cs="Arial"/>
              </w:rPr>
            </w:pPr>
            <w:r>
              <w:rPr>
                <w:rFonts w:ascii="Arial" w:hAnsi="Arial" w:cs="Arial"/>
              </w:rPr>
              <w:t>PRS</w:t>
            </w:r>
          </w:p>
        </w:tc>
        <w:tc>
          <w:tcPr>
            <w:tcW w:w="1502" w:type="dxa"/>
          </w:tcPr>
          <w:p w14:paraId="6ED6E30B" w14:textId="5E8C117D" w:rsidR="00E03FED" w:rsidRDefault="00E03FED" w:rsidP="00184B4C">
            <w:pPr>
              <w:rPr>
                <w:rFonts w:ascii="Arial" w:hAnsi="Arial" w:cs="Arial"/>
              </w:rPr>
            </w:pPr>
            <w:r>
              <w:rPr>
                <w:rFonts w:ascii="Arial" w:hAnsi="Arial" w:cs="Arial"/>
              </w:rPr>
              <w:t>59</w:t>
            </w:r>
            <w:r w:rsidR="0070090A">
              <w:rPr>
                <w:rFonts w:ascii="Arial" w:hAnsi="Arial" w:cs="Arial"/>
              </w:rPr>
              <w:t xml:space="preserve"> (9%)</w:t>
            </w:r>
          </w:p>
        </w:tc>
        <w:tc>
          <w:tcPr>
            <w:tcW w:w="1503" w:type="dxa"/>
          </w:tcPr>
          <w:p w14:paraId="44D11422" w14:textId="4BDDC13A" w:rsidR="00E03FED" w:rsidRDefault="00E03FED" w:rsidP="00184B4C">
            <w:pPr>
              <w:rPr>
                <w:rFonts w:ascii="Arial" w:hAnsi="Arial" w:cs="Arial"/>
              </w:rPr>
            </w:pPr>
            <w:r>
              <w:rPr>
                <w:rFonts w:ascii="Arial" w:hAnsi="Arial" w:cs="Arial"/>
              </w:rPr>
              <w:t>61</w:t>
            </w:r>
            <w:r w:rsidR="0070090A">
              <w:rPr>
                <w:rFonts w:ascii="Arial" w:hAnsi="Arial" w:cs="Arial"/>
              </w:rPr>
              <w:t xml:space="preserve"> (10%)</w:t>
            </w:r>
          </w:p>
        </w:tc>
        <w:tc>
          <w:tcPr>
            <w:tcW w:w="1503" w:type="dxa"/>
          </w:tcPr>
          <w:p w14:paraId="23FE2F00" w14:textId="05718870" w:rsidR="00E03FED" w:rsidRDefault="00C76773" w:rsidP="00184B4C">
            <w:pPr>
              <w:rPr>
                <w:rFonts w:ascii="Arial" w:hAnsi="Arial" w:cs="Arial"/>
              </w:rPr>
            </w:pPr>
            <w:r>
              <w:rPr>
                <w:rFonts w:ascii="Arial" w:hAnsi="Arial" w:cs="Arial"/>
              </w:rPr>
              <w:t>89</w:t>
            </w:r>
            <w:r w:rsidR="0070090A">
              <w:rPr>
                <w:rFonts w:ascii="Arial" w:hAnsi="Arial" w:cs="Arial"/>
              </w:rPr>
              <w:t xml:space="preserve"> (14%)</w:t>
            </w:r>
          </w:p>
        </w:tc>
        <w:tc>
          <w:tcPr>
            <w:tcW w:w="1503" w:type="dxa"/>
          </w:tcPr>
          <w:p w14:paraId="695DD3E3" w14:textId="60C82AD3" w:rsidR="00E03FED" w:rsidRDefault="00C76773" w:rsidP="00184B4C">
            <w:pPr>
              <w:rPr>
                <w:rFonts w:ascii="Arial" w:hAnsi="Arial" w:cs="Arial"/>
              </w:rPr>
            </w:pPr>
            <w:r>
              <w:rPr>
                <w:rFonts w:ascii="Arial" w:hAnsi="Arial" w:cs="Arial"/>
              </w:rPr>
              <w:t>72</w:t>
            </w:r>
            <w:r w:rsidR="0070090A">
              <w:rPr>
                <w:rFonts w:ascii="Arial" w:hAnsi="Arial" w:cs="Arial"/>
              </w:rPr>
              <w:t xml:space="preserve"> (</w:t>
            </w:r>
            <w:r w:rsidR="002638E5">
              <w:rPr>
                <w:rFonts w:ascii="Arial" w:hAnsi="Arial" w:cs="Arial"/>
              </w:rPr>
              <w:t>11%)</w:t>
            </w:r>
          </w:p>
        </w:tc>
        <w:tc>
          <w:tcPr>
            <w:tcW w:w="1503" w:type="dxa"/>
          </w:tcPr>
          <w:p w14:paraId="4F9690D8" w14:textId="5866CED9" w:rsidR="00E03FED" w:rsidRDefault="00C76773" w:rsidP="00184B4C">
            <w:pPr>
              <w:rPr>
                <w:rFonts w:ascii="Arial" w:hAnsi="Arial" w:cs="Arial"/>
              </w:rPr>
            </w:pPr>
            <w:r>
              <w:rPr>
                <w:rFonts w:ascii="Arial" w:hAnsi="Arial" w:cs="Arial"/>
              </w:rPr>
              <w:t>98</w:t>
            </w:r>
            <w:r w:rsidR="002638E5">
              <w:rPr>
                <w:rFonts w:ascii="Arial" w:hAnsi="Arial" w:cs="Arial"/>
              </w:rPr>
              <w:t xml:space="preserve"> (15%)</w:t>
            </w:r>
          </w:p>
        </w:tc>
      </w:tr>
      <w:tr w:rsidR="00E03FED" w14:paraId="717AF78B" w14:textId="77777777" w:rsidTr="00E03FED">
        <w:tc>
          <w:tcPr>
            <w:tcW w:w="1502" w:type="dxa"/>
          </w:tcPr>
          <w:p w14:paraId="44FB8047" w14:textId="118BEA48" w:rsidR="00E03FED" w:rsidRDefault="00E03FED" w:rsidP="00184B4C">
            <w:pPr>
              <w:rPr>
                <w:rFonts w:ascii="Arial" w:hAnsi="Arial" w:cs="Arial"/>
              </w:rPr>
            </w:pPr>
            <w:r>
              <w:rPr>
                <w:rFonts w:ascii="Arial" w:hAnsi="Arial" w:cs="Arial"/>
              </w:rPr>
              <w:t>Owner occ</w:t>
            </w:r>
          </w:p>
        </w:tc>
        <w:tc>
          <w:tcPr>
            <w:tcW w:w="1502" w:type="dxa"/>
          </w:tcPr>
          <w:p w14:paraId="7F750559" w14:textId="3E87D176" w:rsidR="00E03FED" w:rsidRDefault="00E03FED" w:rsidP="00184B4C">
            <w:pPr>
              <w:rPr>
                <w:rFonts w:ascii="Arial" w:hAnsi="Arial" w:cs="Arial"/>
              </w:rPr>
            </w:pPr>
            <w:r>
              <w:rPr>
                <w:rFonts w:ascii="Arial" w:hAnsi="Arial" w:cs="Arial"/>
              </w:rPr>
              <w:t>8</w:t>
            </w:r>
            <w:r w:rsidR="0070090A">
              <w:rPr>
                <w:rFonts w:ascii="Arial" w:hAnsi="Arial" w:cs="Arial"/>
              </w:rPr>
              <w:t xml:space="preserve"> (1%)</w:t>
            </w:r>
          </w:p>
        </w:tc>
        <w:tc>
          <w:tcPr>
            <w:tcW w:w="1503" w:type="dxa"/>
          </w:tcPr>
          <w:p w14:paraId="475B1434" w14:textId="154A9C86" w:rsidR="00E03FED" w:rsidRDefault="00E03FED" w:rsidP="00184B4C">
            <w:pPr>
              <w:rPr>
                <w:rFonts w:ascii="Arial" w:hAnsi="Arial" w:cs="Arial"/>
              </w:rPr>
            </w:pPr>
            <w:r>
              <w:rPr>
                <w:rFonts w:ascii="Arial" w:hAnsi="Arial" w:cs="Arial"/>
              </w:rPr>
              <w:t>11</w:t>
            </w:r>
            <w:r w:rsidR="0070090A">
              <w:rPr>
                <w:rFonts w:ascii="Arial" w:hAnsi="Arial" w:cs="Arial"/>
              </w:rPr>
              <w:t xml:space="preserve"> (2%)</w:t>
            </w:r>
          </w:p>
        </w:tc>
        <w:tc>
          <w:tcPr>
            <w:tcW w:w="1503" w:type="dxa"/>
          </w:tcPr>
          <w:p w14:paraId="0C22E5E3" w14:textId="6F8BEC54" w:rsidR="00E03FED" w:rsidRDefault="00C76773" w:rsidP="00184B4C">
            <w:pPr>
              <w:rPr>
                <w:rFonts w:ascii="Arial" w:hAnsi="Arial" w:cs="Arial"/>
              </w:rPr>
            </w:pPr>
            <w:r>
              <w:rPr>
                <w:rFonts w:ascii="Arial" w:hAnsi="Arial" w:cs="Arial"/>
              </w:rPr>
              <w:t>12</w:t>
            </w:r>
            <w:r w:rsidR="0070090A">
              <w:rPr>
                <w:rFonts w:ascii="Arial" w:hAnsi="Arial" w:cs="Arial"/>
              </w:rPr>
              <w:t xml:space="preserve"> (2%)</w:t>
            </w:r>
          </w:p>
        </w:tc>
        <w:tc>
          <w:tcPr>
            <w:tcW w:w="1503" w:type="dxa"/>
          </w:tcPr>
          <w:p w14:paraId="31D9E485" w14:textId="7A1FD3D0" w:rsidR="00E03FED" w:rsidRDefault="00C76773" w:rsidP="00184B4C">
            <w:pPr>
              <w:rPr>
                <w:rFonts w:ascii="Arial" w:hAnsi="Arial" w:cs="Arial"/>
              </w:rPr>
            </w:pPr>
            <w:r>
              <w:rPr>
                <w:rFonts w:ascii="Arial" w:hAnsi="Arial" w:cs="Arial"/>
              </w:rPr>
              <w:t>4</w:t>
            </w:r>
            <w:r w:rsidR="002638E5">
              <w:rPr>
                <w:rFonts w:ascii="Arial" w:hAnsi="Arial" w:cs="Arial"/>
              </w:rPr>
              <w:t xml:space="preserve"> (1%)</w:t>
            </w:r>
          </w:p>
        </w:tc>
        <w:tc>
          <w:tcPr>
            <w:tcW w:w="1503" w:type="dxa"/>
          </w:tcPr>
          <w:p w14:paraId="0F209EDB" w14:textId="7B1A3498" w:rsidR="00E03FED" w:rsidRDefault="00C76773" w:rsidP="00184B4C">
            <w:pPr>
              <w:rPr>
                <w:rFonts w:ascii="Arial" w:hAnsi="Arial" w:cs="Arial"/>
              </w:rPr>
            </w:pPr>
            <w:r>
              <w:rPr>
                <w:rFonts w:ascii="Arial" w:hAnsi="Arial" w:cs="Arial"/>
              </w:rPr>
              <w:t>11</w:t>
            </w:r>
            <w:r w:rsidR="002638E5">
              <w:rPr>
                <w:rFonts w:ascii="Arial" w:hAnsi="Arial" w:cs="Arial"/>
              </w:rPr>
              <w:t xml:space="preserve"> (2%)</w:t>
            </w:r>
          </w:p>
        </w:tc>
      </w:tr>
      <w:tr w:rsidR="00E03FED" w14:paraId="44B6E3D2" w14:textId="77777777" w:rsidTr="00E03FED">
        <w:tc>
          <w:tcPr>
            <w:tcW w:w="1502" w:type="dxa"/>
          </w:tcPr>
          <w:p w14:paraId="77EE4D98" w14:textId="374EB5A6" w:rsidR="00E03FED" w:rsidRDefault="00E03FED" w:rsidP="00184B4C">
            <w:pPr>
              <w:rPr>
                <w:rFonts w:ascii="Arial" w:hAnsi="Arial" w:cs="Arial"/>
              </w:rPr>
            </w:pPr>
            <w:r>
              <w:rPr>
                <w:rFonts w:ascii="Arial" w:hAnsi="Arial" w:cs="Arial"/>
              </w:rPr>
              <w:t>Total terminations</w:t>
            </w:r>
          </w:p>
        </w:tc>
        <w:tc>
          <w:tcPr>
            <w:tcW w:w="1502" w:type="dxa"/>
          </w:tcPr>
          <w:p w14:paraId="0C23B0D7" w14:textId="619B6A48" w:rsidR="00E03FED" w:rsidRDefault="00E03FED" w:rsidP="00184B4C">
            <w:pPr>
              <w:rPr>
                <w:rFonts w:ascii="Arial" w:hAnsi="Arial" w:cs="Arial"/>
              </w:rPr>
            </w:pPr>
            <w:r>
              <w:rPr>
                <w:rFonts w:ascii="Arial" w:hAnsi="Arial" w:cs="Arial"/>
              </w:rPr>
              <w:t>631</w:t>
            </w:r>
          </w:p>
        </w:tc>
        <w:tc>
          <w:tcPr>
            <w:tcW w:w="1503" w:type="dxa"/>
          </w:tcPr>
          <w:p w14:paraId="5043DBE1" w14:textId="2105CE12" w:rsidR="00E03FED" w:rsidRDefault="00E03FED" w:rsidP="00184B4C">
            <w:pPr>
              <w:rPr>
                <w:rFonts w:ascii="Arial" w:hAnsi="Arial" w:cs="Arial"/>
              </w:rPr>
            </w:pPr>
            <w:r>
              <w:rPr>
                <w:rFonts w:ascii="Arial" w:hAnsi="Arial" w:cs="Arial"/>
              </w:rPr>
              <w:t>635</w:t>
            </w:r>
          </w:p>
        </w:tc>
        <w:tc>
          <w:tcPr>
            <w:tcW w:w="1503" w:type="dxa"/>
          </w:tcPr>
          <w:p w14:paraId="56573448" w14:textId="315969CA" w:rsidR="00E03FED" w:rsidRDefault="00C76773" w:rsidP="00184B4C">
            <w:pPr>
              <w:rPr>
                <w:rFonts w:ascii="Arial" w:hAnsi="Arial" w:cs="Arial"/>
              </w:rPr>
            </w:pPr>
            <w:r>
              <w:rPr>
                <w:rFonts w:ascii="Arial" w:hAnsi="Arial" w:cs="Arial"/>
              </w:rPr>
              <w:t>643</w:t>
            </w:r>
          </w:p>
        </w:tc>
        <w:tc>
          <w:tcPr>
            <w:tcW w:w="1503" w:type="dxa"/>
          </w:tcPr>
          <w:p w14:paraId="6A7D9D6C" w14:textId="78C631E3" w:rsidR="00E03FED" w:rsidRDefault="00C76773" w:rsidP="00184B4C">
            <w:pPr>
              <w:rPr>
                <w:rFonts w:ascii="Arial" w:hAnsi="Arial" w:cs="Arial"/>
              </w:rPr>
            </w:pPr>
            <w:r>
              <w:rPr>
                <w:rFonts w:ascii="Arial" w:hAnsi="Arial" w:cs="Arial"/>
              </w:rPr>
              <w:t>628</w:t>
            </w:r>
          </w:p>
        </w:tc>
        <w:tc>
          <w:tcPr>
            <w:tcW w:w="1503" w:type="dxa"/>
          </w:tcPr>
          <w:p w14:paraId="700D2E52" w14:textId="7ADEFDF5" w:rsidR="00E03FED" w:rsidRDefault="00C76773" w:rsidP="00184B4C">
            <w:pPr>
              <w:rPr>
                <w:rFonts w:ascii="Arial" w:hAnsi="Arial" w:cs="Arial"/>
              </w:rPr>
            </w:pPr>
            <w:r>
              <w:rPr>
                <w:rFonts w:ascii="Arial" w:hAnsi="Arial" w:cs="Arial"/>
              </w:rPr>
              <w:t>644</w:t>
            </w:r>
          </w:p>
        </w:tc>
      </w:tr>
      <w:tr w:rsidR="00E03FED" w14:paraId="7A517247" w14:textId="77777777" w:rsidTr="00E03FED">
        <w:tc>
          <w:tcPr>
            <w:tcW w:w="1502" w:type="dxa"/>
          </w:tcPr>
          <w:p w14:paraId="60BCC6AF" w14:textId="219A0D66" w:rsidR="00E03FED" w:rsidRDefault="00E03FED" w:rsidP="00184B4C">
            <w:pPr>
              <w:rPr>
                <w:rFonts w:ascii="Arial" w:hAnsi="Arial" w:cs="Arial"/>
              </w:rPr>
            </w:pPr>
            <w:r>
              <w:rPr>
                <w:rFonts w:ascii="Arial" w:hAnsi="Arial" w:cs="Arial"/>
              </w:rPr>
              <w:t>Average length of tenancy</w:t>
            </w:r>
          </w:p>
        </w:tc>
        <w:tc>
          <w:tcPr>
            <w:tcW w:w="1502" w:type="dxa"/>
          </w:tcPr>
          <w:p w14:paraId="451F2155" w14:textId="095107B6" w:rsidR="00E03FED" w:rsidRDefault="00E03FED" w:rsidP="00184B4C">
            <w:pPr>
              <w:rPr>
                <w:rFonts w:ascii="Arial" w:hAnsi="Arial" w:cs="Arial"/>
              </w:rPr>
            </w:pPr>
            <w:r>
              <w:rPr>
                <w:rFonts w:ascii="Arial" w:hAnsi="Arial" w:cs="Arial"/>
              </w:rPr>
              <w:t>11</w:t>
            </w:r>
            <w:r w:rsidR="00B23233">
              <w:rPr>
                <w:rFonts w:ascii="Arial" w:hAnsi="Arial" w:cs="Arial"/>
              </w:rPr>
              <w:t xml:space="preserve"> years</w:t>
            </w:r>
          </w:p>
        </w:tc>
        <w:tc>
          <w:tcPr>
            <w:tcW w:w="1503" w:type="dxa"/>
          </w:tcPr>
          <w:p w14:paraId="564E9A16" w14:textId="04A1995A" w:rsidR="00E03FED" w:rsidRDefault="00E03FED" w:rsidP="00184B4C">
            <w:pPr>
              <w:rPr>
                <w:rFonts w:ascii="Arial" w:hAnsi="Arial" w:cs="Arial"/>
              </w:rPr>
            </w:pPr>
            <w:r>
              <w:rPr>
                <w:rFonts w:ascii="Arial" w:hAnsi="Arial" w:cs="Arial"/>
              </w:rPr>
              <w:t>12</w:t>
            </w:r>
            <w:r w:rsidR="00B23233">
              <w:rPr>
                <w:rFonts w:ascii="Arial" w:hAnsi="Arial" w:cs="Arial"/>
              </w:rPr>
              <w:t xml:space="preserve"> years</w:t>
            </w:r>
          </w:p>
        </w:tc>
        <w:tc>
          <w:tcPr>
            <w:tcW w:w="1503" w:type="dxa"/>
          </w:tcPr>
          <w:p w14:paraId="207A2086" w14:textId="4684C911" w:rsidR="00E03FED" w:rsidRDefault="00C76773" w:rsidP="00184B4C">
            <w:pPr>
              <w:rPr>
                <w:rFonts w:ascii="Arial" w:hAnsi="Arial" w:cs="Arial"/>
              </w:rPr>
            </w:pPr>
            <w:r>
              <w:rPr>
                <w:rFonts w:ascii="Arial" w:hAnsi="Arial" w:cs="Arial"/>
              </w:rPr>
              <w:t>11</w:t>
            </w:r>
            <w:r w:rsidR="00B23233">
              <w:rPr>
                <w:rFonts w:ascii="Arial" w:hAnsi="Arial" w:cs="Arial"/>
              </w:rPr>
              <w:t xml:space="preserve"> years</w:t>
            </w:r>
          </w:p>
        </w:tc>
        <w:tc>
          <w:tcPr>
            <w:tcW w:w="1503" w:type="dxa"/>
          </w:tcPr>
          <w:p w14:paraId="083E890D" w14:textId="6F2273EE" w:rsidR="00E03FED" w:rsidRDefault="00C76773" w:rsidP="00184B4C">
            <w:pPr>
              <w:rPr>
                <w:rFonts w:ascii="Arial" w:hAnsi="Arial" w:cs="Arial"/>
              </w:rPr>
            </w:pPr>
            <w:r>
              <w:rPr>
                <w:rFonts w:ascii="Arial" w:hAnsi="Arial" w:cs="Arial"/>
              </w:rPr>
              <w:t>10</w:t>
            </w:r>
            <w:r w:rsidR="00B23233">
              <w:rPr>
                <w:rFonts w:ascii="Arial" w:hAnsi="Arial" w:cs="Arial"/>
              </w:rPr>
              <w:t xml:space="preserve"> years</w:t>
            </w:r>
          </w:p>
        </w:tc>
        <w:tc>
          <w:tcPr>
            <w:tcW w:w="1503" w:type="dxa"/>
          </w:tcPr>
          <w:p w14:paraId="621C7F6D" w14:textId="17C65ABD" w:rsidR="00E03FED" w:rsidRDefault="00C76773" w:rsidP="00184B4C">
            <w:pPr>
              <w:rPr>
                <w:rFonts w:ascii="Arial" w:hAnsi="Arial" w:cs="Arial"/>
              </w:rPr>
            </w:pPr>
            <w:r>
              <w:rPr>
                <w:rFonts w:ascii="Arial" w:hAnsi="Arial" w:cs="Arial"/>
              </w:rPr>
              <w:t>10</w:t>
            </w:r>
            <w:r w:rsidR="00B23233">
              <w:rPr>
                <w:rFonts w:ascii="Arial" w:hAnsi="Arial" w:cs="Arial"/>
              </w:rPr>
              <w:t xml:space="preserve"> years</w:t>
            </w:r>
          </w:p>
        </w:tc>
      </w:tr>
    </w:tbl>
    <w:p w14:paraId="1C1895CC" w14:textId="77777777" w:rsidR="00E03FED" w:rsidRDefault="00E03FED" w:rsidP="00184B4C">
      <w:pPr>
        <w:rPr>
          <w:rFonts w:ascii="Arial" w:hAnsi="Arial" w:cs="Arial"/>
        </w:rPr>
      </w:pPr>
    </w:p>
    <w:p w14:paraId="3917EF6B" w14:textId="110A2EFF" w:rsidR="00C76773" w:rsidRDefault="002638E5" w:rsidP="00184B4C">
      <w:pPr>
        <w:rPr>
          <w:rFonts w:ascii="Arial" w:hAnsi="Arial" w:cs="Arial"/>
        </w:rPr>
      </w:pPr>
      <w:r>
        <w:rPr>
          <w:rFonts w:ascii="Arial" w:hAnsi="Arial" w:cs="Arial"/>
        </w:rPr>
        <w:t xml:space="preserve">These figures </w:t>
      </w:r>
      <w:r w:rsidR="00AA077E">
        <w:rPr>
          <w:rFonts w:ascii="Arial" w:hAnsi="Arial" w:cs="Arial"/>
        </w:rPr>
        <w:t xml:space="preserve">show that </w:t>
      </w:r>
      <w:r w:rsidR="00B23233">
        <w:rPr>
          <w:rFonts w:ascii="Arial" w:hAnsi="Arial" w:cs="Arial"/>
        </w:rPr>
        <w:t>close</w:t>
      </w:r>
      <w:r w:rsidR="00AA077E">
        <w:rPr>
          <w:rFonts w:ascii="Arial" w:hAnsi="Arial" w:cs="Arial"/>
        </w:rPr>
        <w:t xml:space="preserve"> to a third of</w:t>
      </w:r>
      <w:r>
        <w:rPr>
          <w:rFonts w:ascii="Arial" w:hAnsi="Arial" w:cs="Arial"/>
        </w:rPr>
        <w:t xml:space="preserve"> all ADC terminations are due to tenants moving to another social housing property, suggesting that some are already choosing to move within the sector where required. </w:t>
      </w:r>
    </w:p>
    <w:p w14:paraId="3FA8FFF0" w14:textId="7C5949C3" w:rsidR="007C3D50" w:rsidRDefault="007C3D50" w:rsidP="00184B4C">
      <w:pPr>
        <w:rPr>
          <w:rFonts w:ascii="Arial" w:hAnsi="Arial" w:cs="Arial"/>
        </w:rPr>
      </w:pPr>
      <w:r>
        <w:rPr>
          <w:rFonts w:ascii="Arial" w:hAnsi="Arial" w:cs="Arial"/>
        </w:rPr>
        <w:t>There are approximately 150 households re</w:t>
      </w:r>
      <w:r w:rsidR="00D95153">
        <w:rPr>
          <w:rFonts w:ascii="Arial" w:hAnsi="Arial" w:cs="Arial"/>
        </w:rPr>
        <w:t>gistered for a mutual exchange, the number of exchanges taking place in recent years is as follows:</w:t>
      </w:r>
    </w:p>
    <w:tbl>
      <w:tblPr>
        <w:tblStyle w:val="TableGrid"/>
        <w:tblW w:w="0" w:type="auto"/>
        <w:tblLook w:val="04A0" w:firstRow="1" w:lastRow="0" w:firstColumn="1" w:lastColumn="0" w:noHBand="0" w:noVBand="1"/>
      </w:tblPr>
      <w:tblGrid>
        <w:gridCol w:w="889"/>
        <w:gridCol w:w="889"/>
        <w:gridCol w:w="889"/>
      </w:tblGrid>
      <w:tr w:rsidR="00D95153" w14:paraId="299EB66E" w14:textId="77777777" w:rsidTr="00D95153">
        <w:tc>
          <w:tcPr>
            <w:tcW w:w="889" w:type="dxa"/>
          </w:tcPr>
          <w:p w14:paraId="2EFA0970" w14:textId="634BD1C1" w:rsidR="00D95153" w:rsidRPr="00D95153" w:rsidRDefault="00D95153" w:rsidP="00184B4C">
            <w:pPr>
              <w:rPr>
                <w:rFonts w:ascii="Arial" w:hAnsi="Arial" w:cs="Arial"/>
                <w:b/>
              </w:rPr>
            </w:pPr>
            <w:r w:rsidRPr="00D95153">
              <w:rPr>
                <w:rFonts w:ascii="Arial" w:hAnsi="Arial" w:cs="Arial"/>
                <w:b/>
              </w:rPr>
              <w:t>17/18</w:t>
            </w:r>
          </w:p>
        </w:tc>
        <w:tc>
          <w:tcPr>
            <w:tcW w:w="889" w:type="dxa"/>
          </w:tcPr>
          <w:p w14:paraId="4948DE3C" w14:textId="6EBACD2D" w:rsidR="00D95153" w:rsidRPr="00D95153" w:rsidRDefault="00D95153" w:rsidP="00184B4C">
            <w:pPr>
              <w:rPr>
                <w:rFonts w:ascii="Arial" w:hAnsi="Arial" w:cs="Arial"/>
                <w:b/>
              </w:rPr>
            </w:pPr>
            <w:r w:rsidRPr="00D95153">
              <w:rPr>
                <w:rFonts w:ascii="Arial" w:hAnsi="Arial" w:cs="Arial"/>
                <w:b/>
              </w:rPr>
              <w:t>16/17</w:t>
            </w:r>
          </w:p>
        </w:tc>
        <w:tc>
          <w:tcPr>
            <w:tcW w:w="889" w:type="dxa"/>
          </w:tcPr>
          <w:p w14:paraId="0B8287C1" w14:textId="0F5E1F0D" w:rsidR="00D95153" w:rsidRPr="00D95153" w:rsidRDefault="00D95153" w:rsidP="00184B4C">
            <w:pPr>
              <w:rPr>
                <w:rFonts w:ascii="Arial" w:hAnsi="Arial" w:cs="Arial"/>
                <w:b/>
              </w:rPr>
            </w:pPr>
            <w:r w:rsidRPr="00D95153">
              <w:rPr>
                <w:rFonts w:ascii="Arial" w:hAnsi="Arial" w:cs="Arial"/>
                <w:b/>
              </w:rPr>
              <w:t>15/16</w:t>
            </w:r>
          </w:p>
        </w:tc>
      </w:tr>
      <w:tr w:rsidR="00D95153" w14:paraId="4F25416D" w14:textId="77777777" w:rsidTr="00D95153">
        <w:tc>
          <w:tcPr>
            <w:tcW w:w="889" w:type="dxa"/>
          </w:tcPr>
          <w:p w14:paraId="48C96018" w14:textId="28D9F830" w:rsidR="00D95153" w:rsidRDefault="00D95153" w:rsidP="00184B4C">
            <w:pPr>
              <w:rPr>
                <w:rFonts w:ascii="Arial" w:hAnsi="Arial" w:cs="Arial"/>
              </w:rPr>
            </w:pPr>
            <w:r>
              <w:rPr>
                <w:rFonts w:ascii="Arial" w:hAnsi="Arial" w:cs="Arial"/>
              </w:rPr>
              <w:t>28</w:t>
            </w:r>
          </w:p>
        </w:tc>
        <w:tc>
          <w:tcPr>
            <w:tcW w:w="889" w:type="dxa"/>
          </w:tcPr>
          <w:p w14:paraId="70785328" w14:textId="4D130155" w:rsidR="00D95153" w:rsidRDefault="00D95153" w:rsidP="00184B4C">
            <w:pPr>
              <w:rPr>
                <w:rFonts w:ascii="Arial" w:hAnsi="Arial" w:cs="Arial"/>
              </w:rPr>
            </w:pPr>
            <w:r>
              <w:rPr>
                <w:rFonts w:ascii="Arial" w:hAnsi="Arial" w:cs="Arial"/>
              </w:rPr>
              <w:t>40</w:t>
            </w:r>
          </w:p>
        </w:tc>
        <w:tc>
          <w:tcPr>
            <w:tcW w:w="889" w:type="dxa"/>
          </w:tcPr>
          <w:p w14:paraId="531B0896" w14:textId="6D27070C" w:rsidR="00D95153" w:rsidRDefault="00D95153" w:rsidP="00184B4C">
            <w:pPr>
              <w:rPr>
                <w:rFonts w:ascii="Arial" w:hAnsi="Arial" w:cs="Arial"/>
              </w:rPr>
            </w:pPr>
            <w:r>
              <w:rPr>
                <w:rFonts w:ascii="Arial" w:hAnsi="Arial" w:cs="Arial"/>
              </w:rPr>
              <w:t>38</w:t>
            </w:r>
          </w:p>
        </w:tc>
      </w:tr>
    </w:tbl>
    <w:p w14:paraId="086FB966" w14:textId="41091D29" w:rsidR="00D95153" w:rsidRDefault="00D95153" w:rsidP="00184B4C">
      <w:pPr>
        <w:rPr>
          <w:rFonts w:ascii="Arial" w:hAnsi="Arial" w:cs="Arial"/>
        </w:rPr>
      </w:pPr>
    </w:p>
    <w:p w14:paraId="5ECE531E" w14:textId="2EF7CA99" w:rsidR="00AA077E" w:rsidRDefault="00AA077E" w:rsidP="00184B4C">
      <w:pPr>
        <w:rPr>
          <w:rFonts w:ascii="Arial" w:hAnsi="Arial" w:cs="Arial"/>
        </w:rPr>
      </w:pPr>
      <w:r>
        <w:rPr>
          <w:rFonts w:ascii="Arial" w:hAnsi="Arial" w:cs="Arial"/>
        </w:rPr>
        <w:t>A small number of terminations are due to tenants moving into owner occupation</w:t>
      </w:r>
      <w:r w:rsidR="00B23233">
        <w:rPr>
          <w:rFonts w:ascii="Arial" w:hAnsi="Arial" w:cs="Arial"/>
        </w:rPr>
        <w:t xml:space="preserve"> suggesting that this may only be an option for a small number of tenants</w:t>
      </w:r>
      <w:r>
        <w:rPr>
          <w:rFonts w:ascii="Arial" w:hAnsi="Arial" w:cs="Arial"/>
        </w:rPr>
        <w:t xml:space="preserve">. </w:t>
      </w:r>
    </w:p>
    <w:p w14:paraId="2D51700A" w14:textId="733A1CCB" w:rsidR="00E03FED" w:rsidRDefault="00AA077E" w:rsidP="00184B4C">
      <w:pPr>
        <w:rPr>
          <w:rFonts w:ascii="Arial" w:hAnsi="Arial" w:cs="Arial"/>
        </w:rPr>
      </w:pPr>
      <w:r>
        <w:rPr>
          <w:rFonts w:ascii="Arial" w:hAnsi="Arial" w:cs="Arial"/>
        </w:rPr>
        <w:t>The a</w:t>
      </w:r>
      <w:r w:rsidR="00E03FED">
        <w:rPr>
          <w:rFonts w:ascii="Arial" w:hAnsi="Arial" w:cs="Arial"/>
        </w:rPr>
        <w:t>verage length of tenancy between 2012/13 – 2016/17 is 10-12 years</w:t>
      </w:r>
      <w:r>
        <w:rPr>
          <w:rFonts w:ascii="Arial" w:hAnsi="Arial" w:cs="Arial"/>
        </w:rPr>
        <w:t xml:space="preserve"> demonstrating that tenants do not hold their lifetime tenancies for a lifetime. </w:t>
      </w:r>
      <w:r w:rsidR="00E83AA4">
        <w:rPr>
          <w:rFonts w:ascii="Arial" w:hAnsi="Arial" w:cs="Arial"/>
        </w:rPr>
        <w:t xml:space="preserve">For those moving into owner occupation, this </w:t>
      </w:r>
      <w:r w:rsidR="00461317">
        <w:rPr>
          <w:rFonts w:ascii="Arial" w:hAnsi="Arial" w:cs="Arial"/>
        </w:rPr>
        <w:t>sug</w:t>
      </w:r>
      <w:r w:rsidR="00E83AA4">
        <w:rPr>
          <w:rFonts w:ascii="Arial" w:hAnsi="Arial" w:cs="Arial"/>
        </w:rPr>
        <w:t>gest</w:t>
      </w:r>
      <w:r w:rsidR="00461317">
        <w:rPr>
          <w:rFonts w:ascii="Arial" w:hAnsi="Arial" w:cs="Arial"/>
        </w:rPr>
        <w:t>s</w:t>
      </w:r>
      <w:r w:rsidR="00E83AA4">
        <w:rPr>
          <w:rFonts w:ascii="Arial" w:hAnsi="Arial" w:cs="Arial"/>
        </w:rPr>
        <w:t xml:space="preserve"> that social housing is required for a longer period than 5 years before they are able to make this move.</w:t>
      </w:r>
    </w:p>
    <w:p w14:paraId="410F1653" w14:textId="77777777" w:rsidR="007C2A84" w:rsidRDefault="007C2A84" w:rsidP="00184B4C">
      <w:pPr>
        <w:rPr>
          <w:rFonts w:ascii="Arial" w:hAnsi="Arial" w:cs="Arial"/>
          <w:i/>
        </w:rPr>
      </w:pPr>
    </w:p>
    <w:p w14:paraId="1F396A57" w14:textId="786761C4" w:rsidR="008830B8" w:rsidRPr="007C2A84" w:rsidRDefault="007C2A84" w:rsidP="00184B4C">
      <w:pPr>
        <w:rPr>
          <w:rFonts w:ascii="Arial" w:hAnsi="Arial" w:cs="Arial"/>
          <w:i/>
        </w:rPr>
      </w:pPr>
      <w:r>
        <w:rPr>
          <w:rFonts w:ascii="Arial" w:hAnsi="Arial" w:cs="Arial"/>
          <w:i/>
        </w:rPr>
        <w:t>Affordability</w:t>
      </w:r>
    </w:p>
    <w:tbl>
      <w:tblPr>
        <w:tblStyle w:val="TableGrid"/>
        <w:tblW w:w="0" w:type="auto"/>
        <w:tblLook w:val="04A0" w:firstRow="1" w:lastRow="0" w:firstColumn="1" w:lastColumn="0" w:noHBand="0" w:noVBand="1"/>
      </w:tblPr>
      <w:tblGrid>
        <w:gridCol w:w="3078"/>
        <w:gridCol w:w="1012"/>
        <w:gridCol w:w="1012"/>
        <w:gridCol w:w="1012"/>
        <w:gridCol w:w="1012"/>
        <w:gridCol w:w="1012"/>
      </w:tblGrid>
      <w:tr w:rsidR="00664333" w14:paraId="2F9FE584" w14:textId="77777777" w:rsidTr="0050468E">
        <w:tc>
          <w:tcPr>
            <w:tcW w:w="3078" w:type="dxa"/>
          </w:tcPr>
          <w:p w14:paraId="65A3C82A" w14:textId="77777777" w:rsidR="00664333" w:rsidRDefault="00664333" w:rsidP="00184B4C">
            <w:pPr>
              <w:rPr>
                <w:rFonts w:ascii="Arial" w:hAnsi="Arial" w:cs="Arial"/>
              </w:rPr>
            </w:pPr>
          </w:p>
        </w:tc>
        <w:tc>
          <w:tcPr>
            <w:tcW w:w="1012" w:type="dxa"/>
          </w:tcPr>
          <w:p w14:paraId="5742D51D" w14:textId="54D3C73C" w:rsidR="00664333" w:rsidRPr="00461317" w:rsidRDefault="00664333" w:rsidP="00184B4C">
            <w:pPr>
              <w:rPr>
                <w:rFonts w:ascii="Arial" w:hAnsi="Arial" w:cs="Arial"/>
                <w:b/>
              </w:rPr>
            </w:pPr>
            <w:r w:rsidRPr="00461317">
              <w:rPr>
                <w:rFonts w:ascii="Arial" w:hAnsi="Arial" w:cs="Arial"/>
                <w:b/>
              </w:rPr>
              <w:t>16/17</w:t>
            </w:r>
          </w:p>
        </w:tc>
        <w:tc>
          <w:tcPr>
            <w:tcW w:w="1012" w:type="dxa"/>
          </w:tcPr>
          <w:p w14:paraId="39F69BEB" w14:textId="5B8F1932" w:rsidR="00664333" w:rsidRPr="00461317" w:rsidRDefault="00664333" w:rsidP="00184B4C">
            <w:pPr>
              <w:rPr>
                <w:rFonts w:ascii="Arial" w:hAnsi="Arial" w:cs="Arial"/>
                <w:b/>
              </w:rPr>
            </w:pPr>
            <w:r w:rsidRPr="00461317">
              <w:rPr>
                <w:rFonts w:ascii="Arial" w:hAnsi="Arial" w:cs="Arial"/>
                <w:b/>
              </w:rPr>
              <w:t>15/16</w:t>
            </w:r>
          </w:p>
        </w:tc>
        <w:tc>
          <w:tcPr>
            <w:tcW w:w="1012" w:type="dxa"/>
          </w:tcPr>
          <w:p w14:paraId="44C84CCE" w14:textId="1BC6692F" w:rsidR="00664333" w:rsidRPr="00461317" w:rsidRDefault="00664333" w:rsidP="00184B4C">
            <w:pPr>
              <w:rPr>
                <w:rFonts w:ascii="Arial" w:hAnsi="Arial" w:cs="Arial"/>
                <w:b/>
              </w:rPr>
            </w:pPr>
            <w:r w:rsidRPr="00461317">
              <w:rPr>
                <w:rFonts w:ascii="Arial" w:hAnsi="Arial" w:cs="Arial"/>
                <w:b/>
              </w:rPr>
              <w:t>14/15</w:t>
            </w:r>
          </w:p>
        </w:tc>
        <w:tc>
          <w:tcPr>
            <w:tcW w:w="1012" w:type="dxa"/>
          </w:tcPr>
          <w:p w14:paraId="53374AC9" w14:textId="25BDF7A2" w:rsidR="00664333" w:rsidRPr="00461317" w:rsidRDefault="00664333" w:rsidP="00184B4C">
            <w:pPr>
              <w:rPr>
                <w:rFonts w:ascii="Arial" w:hAnsi="Arial" w:cs="Arial"/>
                <w:b/>
              </w:rPr>
            </w:pPr>
            <w:r w:rsidRPr="00461317">
              <w:rPr>
                <w:rFonts w:ascii="Arial" w:hAnsi="Arial" w:cs="Arial"/>
                <w:b/>
              </w:rPr>
              <w:t>13/14</w:t>
            </w:r>
          </w:p>
        </w:tc>
        <w:tc>
          <w:tcPr>
            <w:tcW w:w="1012" w:type="dxa"/>
          </w:tcPr>
          <w:p w14:paraId="0B3CD398" w14:textId="03D1C73D" w:rsidR="00664333" w:rsidRPr="00461317" w:rsidRDefault="00664333" w:rsidP="00184B4C">
            <w:pPr>
              <w:rPr>
                <w:rFonts w:ascii="Arial" w:hAnsi="Arial" w:cs="Arial"/>
                <w:b/>
              </w:rPr>
            </w:pPr>
            <w:r w:rsidRPr="00461317">
              <w:rPr>
                <w:rFonts w:ascii="Arial" w:hAnsi="Arial" w:cs="Arial"/>
                <w:b/>
              </w:rPr>
              <w:t>12/13</w:t>
            </w:r>
          </w:p>
        </w:tc>
      </w:tr>
      <w:tr w:rsidR="00664333" w14:paraId="7006FD22" w14:textId="77777777" w:rsidTr="0050468E">
        <w:tc>
          <w:tcPr>
            <w:tcW w:w="3078" w:type="dxa"/>
          </w:tcPr>
          <w:p w14:paraId="7798AE0E" w14:textId="536A9B3B" w:rsidR="00664333" w:rsidRDefault="00664333" w:rsidP="00184B4C">
            <w:pPr>
              <w:rPr>
                <w:rFonts w:ascii="Arial" w:hAnsi="Arial" w:cs="Arial"/>
              </w:rPr>
            </w:pPr>
            <w:r>
              <w:rPr>
                <w:rFonts w:ascii="Arial" w:hAnsi="Arial" w:cs="Arial"/>
              </w:rPr>
              <w:t>Average weekly council rent</w:t>
            </w:r>
          </w:p>
        </w:tc>
        <w:tc>
          <w:tcPr>
            <w:tcW w:w="1012" w:type="dxa"/>
          </w:tcPr>
          <w:p w14:paraId="375A3B95" w14:textId="2A3FFDB8" w:rsidR="00664333" w:rsidRDefault="00156197" w:rsidP="00184B4C">
            <w:pPr>
              <w:rPr>
                <w:rFonts w:ascii="Arial" w:hAnsi="Arial" w:cs="Arial"/>
              </w:rPr>
            </w:pPr>
            <w:r>
              <w:rPr>
                <w:rFonts w:ascii="Arial" w:hAnsi="Arial" w:cs="Arial"/>
              </w:rPr>
              <w:t>N/A</w:t>
            </w:r>
          </w:p>
        </w:tc>
        <w:tc>
          <w:tcPr>
            <w:tcW w:w="1012" w:type="dxa"/>
          </w:tcPr>
          <w:p w14:paraId="1BAC9D92" w14:textId="68507049" w:rsidR="00664333" w:rsidRDefault="00BE2739" w:rsidP="00184B4C">
            <w:pPr>
              <w:rPr>
                <w:rFonts w:ascii="Arial" w:hAnsi="Arial" w:cs="Arial"/>
              </w:rPr>
            </w:pPr>
            <w:r>
              <w:rPr>
                <w:rFonts w:ascii="Arial" w:hAnsi="Arial" w:cs="Arial"/>
              </w:rPr>
              <w:t>68.77</w:t>
            </w:r>
          </w:p>
        </w:tc>
        <w:tc>
          <w:tcPr>
            <w:tcW w:w="1012" w:type="dxa"/>
          </w:tcPr>
          <w:p w14:paraId="4825A6BB" w14:textId="70F09AA6" w:rsidR="00664333" w:rsidRDefault="00BE2739" w:rsidP="00184B4C">
            <w:pPr>
              <w:rPr>
                <w:rFonts w:ascii="Arial" w:hAnsi="Arial" w:cs="Arial"/>
              </w:rPr>
            </w:pPr>
            <w:r>
              <w:rPr>
                <w:rFonts w:ascii="Arial" w:hAnsi="Arial" w:cs="Arial"/>
              </w:rPr>
              <w:t>67.78</w:t>
            </w:r>
          </w:p>
        </w:tc>
        <w:tc>
          <w:tcPr>
            <w:tcW w:w="1012" w:type="dxa"/>
          </w:tcPr>
          <w:p w14:paraId="677A32B7" w14:textId="4C2AD20F" w:rsidR="00664333" w:rsidRDefault="00BE2739" w:rsidP="00184B4C">
            <w:pPr>
              <w:rPr>
                <w:rFonts w:ascii="Arial" w:hAnsi="Arial" w:cs="Arial"/>
              </w:rPr>
            </w:pPr>
            <w:r>
              <w:rPr>
                <w:rFonts w:ascii="Arial" w:hAnsi="Arial" w:cs="Arial"/>
              </w:rPr>
              <w:t>66.48</w:t>
            </w:r>
          </w:p>
        </w:tc>
        <w:tc>
          <w:tcPr>
            <w:tcW w:w="1012" w:type="dxa"/>
          </w:tcPr>
          <w:p w14:paraId="55F88E11" w14:textId="21C966AA" w:rsidR="00664333" w:rsidRDefault="00BE2739" w:rsidP="00184B4C">
            <w:pPr>
              <w:rPr>
                <w:rFonts w:ascii="Arial" w:hAnsi="Arial" w:cs="Arial"/>
              </w:rPr>
            </w:pPr>
            <w:r>
              <w:rPr>
                <w:rFonts w:ascii="Arial" w:hAnsi="Arial" w:cs="Arial"/>
              </w:rPr>
              <w:t>65.07</w:t>
            </w:r>
          </w:p>
        </w:tc>
      </w:tr>
      <w:tr w:rsidR="00664333" w14:paraId="01ADDC78" w14:textId="77777777" w:rsidTr="0050468E">
        <w:tc>
          <w:tcPr>
            <w:tcW w:w="3078" w:type="dxa"/>
          </w:tcPr>
          <w:p w14:paraId="5729EAC6" w14:textId="3BD209C8" w:rsidR="00664333" w:rsidRDefault="00664333" w:rsidP="00184B4C">
            <w:pPr>
              <w:rPr>
                <w:rFonts w:ascii="Arial" w:hAnsi="Arial" w:cs="Arial"/>
              </w:rPr>
            </w:pPr>
            <w:r>
              <w:rPr>
                <w:rFonts w:ascii="Arial" w:hAnsi="Arial" w:cs="Arial"/>
              </w:rPr>
              <w:lastRenderedPageBreak/>
              <w:t>Average weekly HA rent</w:t>
            </w:r>
          </w:p>
        </w:tc>
        <w:tc>
          <w:tcPr>
            <w:tcW w:w="1012" w:type="dxa"/>
          </w:tcPr>
          <w:p w14:paraId="7E209DA5" w14:textId="73F53636" w:rsidR="00664333" w:rsidRDefault="00156197" w:rsidP="00184B4C">
            <w:pPr>
              <w:rPr>
                <w:rFonts w:ascii="Arial" w:hAnsi="Arial" w:cs="Arial"/>
              </w:rPr>
            </w:pPr>
            <w:r>
              <w:rPr>
                <w:rFonts w:ascii="Arial" w:hAnsi="Arial" w:cs="Arial"/>
              </w:rPr>
              <w:t>N/A</w:t>
            </w:r>
          </w:p>
        </w:tc>
        <w:tc>
          <w:tcPr>
            <w:tcW w:w="1012" w:type="dxa"/>
          </w:tcPr>
          <w:p w14:paraId="444CBC7A" w14:textId="467439BC" w:rsidR="00664333" w:rsidRDefault="00BE2739" w:rsidP="00184B4C">
            <w:pPr>
              <w:rPr>
                <w:rFonts w:ascii="Arial" w:hAnsi="Arial" w:cs="Arial"/>
              </w:rPr>
            </w:pPr>
            <w:r>
              <w:rPr>
                <w:rFonts w:ascii="Arial" w:hAnsi="Arial" w:cs="Arial"/>
              </w:rPr>
              <w:t>88.04</w:t>
            </w:r>
          </w:p>
        </w:tc>
        <w:tc>
          <w:tcPr>
            <w:tcW w:w="1012" w:type="dxa"/>
          </w:tcPr>
          <w:p w14:paraId="4EE75FC6" w14:textId="73D7C10D" w:rsidR="00664333" w:rsidRDefault="00BE2739" w:rsidP="00184B4C">
            <w:pPr>
              <w:rPr>
                <w:rFonts w:ascii="Arial" w:hAnsi="Arial" w:cs="Arial"/>
              </w:rPr>
            </w:pPr>
            <w:r>
              <w:rPr>
                <w:rFonts w:ascii="Arial" w:hAnsi="Arial" w:cs="Arial"/>
              </w:rPr>
              <w:t>86.18</w:t>
            </w:r>
          </w:p>
        </w:tc>
        <w:tc>
          <w:tcPr>
            <w:tcW w:w="1012" w:type="dxa"/>
          </w:tcPr>
          <w:p w14:paraId="1D520566" w14:textId="3716152C" w:rsidR="00664333" w:rsidRDefault="00BE2739" w:rsidP="00184B4C">
            <w:pPr>
              <w:rPr>
                <w:rFonts w:ascii="Arial" w:hAnsi="Arial" w:cs="Arial"/>
              </w:rPr>
            </w:pPr>
            <w:r>
              <w:rPr>
                <w:rFonts w:ascii="Arial" w:hAnsi="Arial" w:cs="Arial"/>
              </w:rPr>
              <w:t>83.31</w:t>
            </w:r>
          </w:p>
        </w:tc>
        <w:tc>
          <w:tcPr>
            <w:tcW w:w="1012" w:type="dxa"/>
          </w:tcPr>
          <w:p w14:paraId="6EA5E50E" w14:textId="6536FFCA" w:rsidR="00664333" w:rsidRDefault="00BE2739" w:rsidP="00184B4C">
            <w:pPr>
              <w:rPr>
                <w:rFonts w:ascii="Arial" w:hAnsi="Arial" w:cs="Arial"/>
              </w:rPr>
            </w:pPr>
            <w:r>
              <w:rPr>
                <w:rFonts w:ascii="Arial" w:hAnsi="Arial" w:cs="Arial"/>
              </w:rPr>
              <w:t>79.50</w:t>
            </w:r>
          </w:p>
        </w:tc>
      </w:tr>
      <w:tr w:rsidR="00664333" w14:paraId="050E6BE2" w14:textId="77777777" w:rsidTr="0050468E">
        <w:tc>
          <w:tcPr>
            <w:tcW w:w="3078" w:type="dxa"/>
          </w:tcPr>
          <w:p w14:paraId="5FB82986" w14:textId="37880B50" w:rsidR="00664333" w:rsidRDefault="00664333" w:rsidP="00BE2739">
            <w:pPr>
              <w:rPr>
                <w:rFonts w:ascii="Arial" w:hAnsi="Arial" w:cs="Arial"/>
              </w:rPr>
            </w:pPr>
            <w:r>
              <w:rPr>
                <w:rFonts w:ascii="Arial" w:hAnsi="Arial" w:cs="Arial"/>
              </w:rPr>
              <w:t>Me</w:t>
            </w:r>
            <w:r w:rsidR="00BE2739">
              <w:rPr>
                <w:rFonts w:ascii="Arial" w:hAnsi="Arial" w:cs="Arial"/>
              </w:rPr>
              <w:t>dian</w:t>
            </w:r>
            <w:r>
              <w:rPr>
                <w:rFonts w:ascii="Arial" w:hAnsi="Arial" w:cs="Arial"/>
              </w:rPr>
              <w:t xml:space="preserve"> private rents</w:t>
            </w:r>
          </w:p>
        </w:tc>
        <w:tc>
          <w:tcPr>
            <w:tcW w:w="1012" w:type="dxa"/>
          </w:tcPr>
          <w:p w14:paraId="371DD338" w14:textId="212DA291" w:rsidR="00664333" w:rsidRDefault="00156197" w:rsidP="00184B4C">
            <w:pPr>
              <w:rPr>
                <w:rFonts w:ascii="Arial" w:hAnsi="Arial" w:cs="Arial"/>
              </w:rPr>
            </w:pPr>
            <w:r>
              <w:rPr>
                <w:rFonts w:ascii="Arial" w:hAnsi="Arial" w:cs="Arial"/>
              </w:rPr>
              <w:t>N/A</w:t>
            </w:r>
          </w:p>
        </w:tc>
        <w:tc>
          <w:tcPr>
            <w:tcW w:w="1012" w:type="dxa"/>
          </w:tcPr>
          <w:p w14:paraId="0E3CE782" w14:textId="78C4DFBE" w:rsidR="00664333" w:rsidRDefault="00BD0AE7" w:rsidP="00184B4C">
            <w:pPr>
              <w:rPr>
                <w:rFonts w:ascii="Arial" w:hAnsi="Arial" w:cs="Arial"/>
              </w:rPr>
            </w:pPr>
            <w:r>
              <w:rPr>
                <w:rFonts w:ascii="Arial" w:hAnsi="Arial" w:cs="Arial"/>
              </w:rPr>
              <w:t>109.61</w:t>
            </w:r>
          </w:p>
        </w:tc>
        <w:tc>
          <w:tcPr>
            <w:tcW w:w="1012" w:type="dxa"/>
          </w:tcPr>
          <w:p w14:paraId="518A29BC" w14:textId="2F01BB6B" w:rsidR="00664333" w:rsidRDefault="00BD0AE7" w:rsidP="00184B4C">
            <w:pPr>
              <w:rPr>
                <w:rFonts w:ascii="Arial" w:hAnsi="Arial" w:cs="Arial"/>
              </w:rPr>
            </w:pPr>
            <w:r>
              <w:rPr>
                <w:rFonts w:ascii="Arial" w:hAnsi="Arial" w:cs="Arial"/>
              </w:rPr>
              <w:t>109.61</w:t>
            </w:r>
          </w:p>
        </w:tc>
        <w:tc>
          <w:tcPr>
            <w:tcW w:w="1012" w:type="dxa"/>
          </w:tcPr>
          <w:p w14:paraId="3C700463" w14:textId="72F06109" w:rsidR="00664333" w:rsidRDefault="00BD0AE7" w:rsidP="00184B4C">
            <w:pPr>
              <w:rPr>
                <w:rFonts w:ascii="Arial" w:hAnsi="Arial" w:cs="Arial"/>
              </w:rPr>
            </w:pPr>
            <w:r>
              <w:rPr>
                <w:rFonts w:ascii="Arial" w:hAnsi="Arial" w:cs="Arial"/>
              </w:rPr>
              <w:t>103.84</w:t>
            </w:r>
          </w:p>
        </w:tc>
        <w:tc>
          <w:tcPr>
            <w:tcW w:w="1012" w:type="dxa"/>
          </w:tcPr>
          <w:p w14:paraId="306523CE" w14:textId="252C79FC" w:rsidR="00664333" w:rsidRDefault="00BD0AE7" w:rsidP="00184B4C">
            <w:pPr>
              <w:rPr>
                <w:rFonts w:ascii="Arial" w:hAnsi="Arial" w:cs="Arial"/>
              </w:rPr>
            </w:pPr>
            <w:r>
              <w:rPr>
                <w:rFonts w:ascii="Arial" w:hAnsi="Arial" w:cs="Arial"/>
              </w:rPr>
              <w:t>103.84</w:t>
            </w:r>
          </w:p>
        </w:tc>
      </w:tr>
      <w:tr w:rsidR="0050468E" w14:paraId="32CCE542" w14:textId="77777777" w:rsidTr="0050468E">
        <w:tc>
          <w:tcPr>
            <w:tcW w:w="3078" w:type="dxa"/>
          </w:tcPr>
          <w:p w14:paraId="59BDEABC" w14:textId="7983E1A0" w:rsidR="0050468E" w:rsidRDefault="0050468E" w:rsidP="00BE2739">
            <w:pPr>
              <w:rPr>
                <w:rFonts w:ascii="Arial" w:hAnsi="Arial" w:cs="Arial"/>
              </w:rPr>
            </w:pPr>
            <w:r>
              <w:rPr>
                <w:rFonts w:ascii="Arial" w:hAnsi="Arial" w:cs="Arial"/>
              </w:rPr>
              <w:t>80% market rent</w:t>
            </w:r>
          </w:p>
        </w:tc>
        <w:tc>
          <w:tcPr>
            <w:tcW w:w="1012" w:type="dxa"/>
          </w:tcPr>
          <w:p w14:paraId="65E316AC" w14:textId="6EC24C58" w:rsidR="0050468E" w:rsidRDefault="00156197" w:rsidP="00184B4C">
            <w:pPr>
              <w:rPr>
                <w:rFonts w:ascii="Arial" w:hAnsi="Arial" w:cs="Arial"/>
              </w:rPr>
            </w:pPr>
            <w:r>
              <w:rPr>
                <w:rFonts w:ascii="Arial" w:hAnsi="Arial" w:cs="Arial"/>
              </w:rPr>
              <w:t>N/A</w:t>
            </w:r>
          </w:p>
        </w:tc>
        <w:tc>
          <w:tcPr>
            <w:tcW w:w="1012" w:type="dxa"/>
          </w:tcPr>
          <w:p w14:paraId="53E99F4C" w14:textId="5373B05C" w:rsidR="0050468E" w:rsidRDefault="0050468E" w:rsidP="00184B4C">
            <w:pPr>
              <w:rPr>
                <w:rFonts w:ascii="Arial" w:hAnsi="Arial" w:cs="Arial"/>
              </w:rPr>
            </w:pPr>
            <w:r>
              <w:rPr>
                <w:rFonts w:ascii="Arial" w:hAnsi="Arial" w:cs="Arial"/>
              </w:rPr>
              <w:t>87.68</w:t>
            </w:r>
          </w:p>
        </w:tc>
        <w:tc>
          <w:tcPr>
            <w:tcW w:w="1012" w:type="dxa"/>
          </w:tcPr>
          <w:p w14:paraId="44910625" w14:textId="18418F5E" w:rsidR="0050468E" w:rsidRDefault="0050468E" w:rsidP="00184B4C">
            <w:pPr>
              <w:rPr>
                <w:rFonts w:ascii="Arial" w:hAnsi="Arial" w:cs="Arial"/>
              </w:rPr>
            </w:pPr>
            <w:r>
              <w:rPr>
                <w:rFonts w:ascii="Arial" w:hAnsi="Arial" w:cs="Arial"/>
              </w:rPr>
              <w:t>87.68</w:t>
            </w:r>
          </w:p>
        </w:tc>
        <w:tc>
          <w:tcPr>
            <w:tcW w:w="1012" w:type="dxa"/>
          </w:tcPr>
          <w:p w14:paraId="0AA583A0" w14:textId="2625C9BD" w:rsidR="0050468E" w:rsidRDefault="0050468E" w:rsidP="00184B4C">
            <w:pPr>
              <w:rPr>
                <w:rFonts w:ascii="Arial" w:hAnsi="Arial" w:cs="Arial"/>
              </w:rPr>
            </w:pPr>
            <w:r>
              <w:rPr>
                <w:rFonts w:ascii="Arial" w:hAnsi="Arial" w:cs="Arial"/>
              </w:rPr>
              <w:t>83.07</w:t>
            </w:r>
          </w:p>
        </w:tc>
        <w:tc>
          <w:tcPr>
            <w:tcW w:w="1012" w:type="dxa"/>
          </w:tcPr>
          <w:p w14:paraId="0AB73DDC" w14:textId="12B9212B" w:rsidR="0050468E" w:rsidRDefault="0050468E" w:rsidP="00184B4C">
            <w:pPr>
              <w:rPr>
                <w:rFonts w:ascii="Arial" w:hAnsi="Arial" w:cs="Arial"/>
              </w:rPr>
            </w:pPr>
            <w:r>
              <w:rPr>
                <w:rFonts w:ascii="Arial" w:hAnsi="Arial" w:cs="Arial"/>
              </w:rPr>
              <w:t>83.07</w:t>
            </w:r>
          </w:p>
        </w:tc>
      </w:tr>
      <w:tr w:rsidR="00276955" w14:paraId="06245F28" w14:textId="77777777" w:rsidTr="0050468E">
        <w:tc>
          <w:tcPr>
            <w:tcW w:w="3078" w:type="dxa"/>
            <w:shd w:val="clear" w:color="auto" w:fill="auto"/>
          </w:tcPr>
          <w:p w14:paraId="1CF96C3F" w14:textId="3C6328DF" w:rsidR="00276955" w:rsidRPr="0050468E" w:rsidRDefault="00276955" w:rsidP="00BE2739">
            <w:pPr>
              <w:rPr>
                <w:rFonts w:ascii="Arial" w:hAnsi="Arial" w:cs="Arial"/>
              </w:rPr>
            </w:pPr>
            <w:r w:rsidRPr="0050468E">
              <w:rPr>
                <w:rFonts w:ascii="Arial" w:hAnsi="Arial" w:cs="Arial"/>
              </w:rPr>
              <w:t>LHA rate</w:t>
            </w:r>
          </w:p>
        </w:tc>
        <w:tc>
          <w:tcPr>
            <w:tcW w:w="1012" w:type="dxa"/>
            <w:shd w:val="clear" w:color="auto" w:fill="auto"/>
          </w:tcPr>
          <w:p w14:paraId="27BA738C" w14:textId="623E4944" w:rsidR="00276955" w:rsidRPr="0050468E" w:rsidRDefault="00BD0AE7" w:rsidP="00184B4C">
            <w:pPr>
              <w:rPr>
                <w:rFonts w:ascii="Arial" w:hAnsi="Arial" w:cs="Arial"/>
              </w:rPr>
            </w:pPr>
            <w:r w:rsidRPr="0050468E">
              <w:rPr>
                <w:rFonts w:ascii="Arial" w:hAnsi="Arial" w:cs="Arial"/>
              </w:rPr>
              <w:t>94.62</w:t>
            </w:r>
          </w:p>
        </w:tc>
        <w:tc>
          <w:tcPr>
            <w:tcW w:w="1012" w:type="dxa"/>
            <w:shd w:val="clear" w:color="auto" w:fill="auto"/>
          </w:tcPr>
          <w:p w14:paraId="36EF805A" w14:textId="79874F11" w:rsidR="00276955" w:rsidRPr="0050468E" w:rsidRDefault="0050468E" w:rsidP="00184B4C">
            <w:pPr>
              <w:rPr>
                <w:rFonts w:ascii="Arial" w:hAnsi="Arial" w:cs="Arial"/>
              </w:rPr>
            </w:pPr>
            <w:r w:rsidRPr="0050468E">
              <w:rPr>
                <w:rFonts w:ascii="Arial" w:hAnsi="Arial" w:cs="Arial"/>
              </w:rPr>
              <w:t>94.62</w:t>
            </w:r>
          </w:p>
        </w:tc>
        <w:tc>
          <w:tcPr>
            <w:tcW w:w="1012" w:type="dxa"/>
            <w:shd w:val="clear" w:color="auto" w:fill="auto"/>
          </w:tcPr>
          <w:p w14:paraId="1D1BC2E8" w14:textId="56F13C61" w:rsidR="00276955" w:rsidRPr="0050468E" w:rsidRDefault="0050468E" w:rsidP="00184B4C">
            <w:pPr>
              <w:rPr>
                <w:rFonts w:ascii="Arial" w:hAnsi="Arial" w:cs="Arial"/>
              </w:rPr>
            </w:pPr>
            <w:r w:rsidRPr="0050468E">
              <w:rPr>
                <w:rFonts w:ascii="Arial" w:hAnsi="Arial" w:cs="Arial"/>
              </w:rPr>
              <w:t>92.78</w:t>
            </w:r>
          </w:p>
        </w:tc>
        <w:tc>
          <w:tcPr>
            <w:tcW w:w="1012" w:type="dxa"/>
            <w:shd w:val="clear" w:color="auto" w:fill="auto"/>
          </w:tcPr>
          <w:p w14:paraId="4D10F953" w14:textId="7FA64328" w:rsidR="00276955" w:rsidRPr="0050468E" w:rsidRDefault="0050468E" w:rsidP="00184B4C">
            <w:pPr>
              <w:rPr>
                <w:rFonts w:ascii="Arial" w:hAnsi="Arial" w:cs="Arial"/>
              </w:rPr>
            </w:pPr>
            <w:r w:rsidRPr="0050468E">
              <w:rPr>
                <w:rFonts w:ascii="Arial" w:hAnsi="Arial" w:cs="Arial"/>
              </w:rPr>
              <w:t>91.65</w:t>
            </w:r>
          </w:p>
        </w:tc>
        <w:tc>
          <w:tcPr>
            <w:tcW w:w="1012" w:type="dxa"/>
            <w:shd w:val="clear" w:color="auto" w:fill="auto"/>
          </w:tcPr>
          <w:p w14:paraId="1F39C417" w14:textId="5A997D12" w:rsidR="00276955" w:rsidRPr="0050468E" w:rsidRDefault="0050468E" w:rsidP="00184B4C">
            <w:pPr>
              <w:rPr>
                <w:rFonts w:ascii="Arial" w:hAnsi="Arial" w:cs="Arial"/>
              </w:rPr>
            </w:pPr>
            <w:r w:rsidRPr="0050468E">
              <w:rPr>
                <w:rFonts w:ascii="Arial" w:hAnsi="Arial" w:cs="Arial"/>
              </w:rPr>
              <w:t>No data</w:t>
            </w:r>
          </w:p>
        </w:tc>
      </w:tr>
    </w:tbl>
    <w:p w14:paraId="64456FEF" w14:textId="59A94D55" w:rsidR="00664333" w:rsidRDefault="00461317" w:rsidP="00184B4C">
      <w:pPr>
        <w:rPr>
          <w:rFonts w:ascii="Arial" w:hAnsi="Arial" w:cs="Arial"/>
        </w:rPr>
      </w:pPr>
      <w:r>
        <w:rPr>
          <w:rStyle w:val="FootnoteReference"/>
          <w:rFonts w:ascii="Arial" w:hAnsi="Arial" w:cs="Arial"/>
        </w:rPr>
        <w:footnoteReference w:id="13"/>
      </w:r>
    </w:p>
    <w:p w14:paraId="56E410D8" w14:textId="271B6F30" w:rsidR="00664333" w:rsidRPr="00156197" w:rsidRDefault="00461317" w:rsidP="00184B4C">
      <w:pPr>
        <w:rPr>
          <w:rFonts w:ascii="Arial" w:hAnsi="Arial" w:cs="Arial"/>
        </w:rPr>
      </w:pPr>
      <w:r w:rsidRPr="00156197">
        <w:rPr>
          <w:rFonts w:ascii="Arial" w:hAnsi="Arial" w:cs="Arial"/>
        </w:rPr>
        <w:t>The avera</w:t>
      </w:r>
      <w:r w:rsidR="00CA4531" w:rsidRPr="00156197">
        <w:rPr>
          <w:rFonts w:ascii="Arial" w:hAnsi="Arial" w:cs="Arial"/>
        </w:rPr>
        <w:t>ge income in Ashfield is £23,566</w:t>
      </w:r>
      <w:r w:rsidR="00CA4531" w:rsidRPr="00156197">
        <w:rPr>
          <w:rStyle w:val="FootnoteReference"/>
          <w:rFonts w:ascii="Arial" w:hAnsi="Arial" w:cs="Arial"/>
        </w:rPr>
        <w:footnoteReference w:id="14"/>
      </w:r>
      <w:r w:rsidR="00691573" w:rsidRPr="00156197">
        <w:rPr>
          <w:rFonts w:ascii="Arial" w:hAnsi="Arial" w:cs="Arial"/>
        </w:rPr>
        <w:t>. It is often suggested that housing is affordable if costs do not exceed 30% of net income, in Ashfield this would be £111pw. The above table shows that, on</w:t>
      </w:r>
      <w:r w:rsidR="007B3A8C" w:rsidRPr="00156197">
        <w:rPr>
          <w:rFonts w:ascii="Arial" w:hAnsi="Arial" w:cs="Arial"/>
        </w:rPr>
        <w:t xml:space="preserve"> average, all </w:t>
      </w:r>
      <w:r w:rsidR="00691573" w:rsidRPr="00156197">
        <w:rPr>
          <w:rFonts w:ascii="Arial" w:hAnsi="Arial" w:cs="Arial"/>
        </w:rPr>
        <w:t>tenures</w:t>
      </w:r>
      <w:r w:rsidR="007B3A8C" w:rsidRPr="00156197">
        <w:rPr>
          <w:rFonts w:ascii="Arial" w:hAnsi="Arial" w:cs="Arial"/>
        </w:rPr>
        <w:t xml:space="preserve"> are affordable to those in the District receiving an average income. </w:t>
      </w:r>
      <w:r w:rsidR="00015D14" w:rsidRPr="00156197">
        <w:rPr>
          <w:rFonts w:ascii="Arial" w:hAnsi="Arial" w:cs="Arial"/>
        </w:rPr>
        <w:t xml:space="preserve">However, </w:t>
      </w:r>
      <w:r w:rsidR="00691573" w:rsidRPr="00156197">
        <w:rPr>
          <w:rFonts w:ascii="Arial" w:hAnsi="Arial" w:cs="Arial"/>
        </w:rPr>
        <w:t>analysis of properties available to let on Rightmove.com in March 2018 highlights that 3 bedroom properties in all areas of the District and 2 bedroom properties in Hucknall often exceed this amount</w:t>
      </w:r>
      <w:r w:rsidR="00015D14" w:rsidRPr="00156197">
        <w:rPr>
          <w:rFonts w:ascii="Arial" w:hAnsi="Arial" w:cs="Arial"/>
        </w:rPr>
        <w:t xml:space="preserve"> </w:t>
      </w:r>
    </w:p>
    <w:p w14:paraId="7C7C08DC" w14:textId="600CEA9D" w:rsidR="00BF45CB" w:rsidRPr="00156197" w:rsidRDefault="00691573" w:rsidP="00BF45CB">
      <w:pPr>
        <w:rPr>
          <w:rFonts w:ascii="Arial" w:hAnsi="Arial"/>
        </w:rPr>
      </w:pPr>
      <w:r w:rsidRPr="00156197">
        <w:rPr>
          <w:rFonts w:ascii="Arial" w:hAnsi="Arial"/>
        </w:rPr>
        <w:t xml:space="preserve">The table below shows </w:t>
      </w:r>
      <w:r w:rsidR="004D2DC2" w:rsidRPr="00156197">
        <w:rPr>
          <w:rFonts w:ascii="Arial" w:hAnsi="Arial"/>
        </w:rPr>
        <w:t>the extent of housing benefit claimants, unemployment and residents not fit to work in the district</w:t>
      </w:r>
    </w:p>
    <w:tbl>
      <w:tblPr>
        <w:tblStyle w:val="TableGrid"/>
        <w:tblW w:w="0" w:type="auto"/>
        <w:tblLook w:val="04A0" w:firstRow="1" w:lastRow="0" w:firstColumn="1" w:lastColumn="0" w:noHBand="0" w:noVBand="1"/>
      </w:tblPr>
      <w:tblGrid>
        <w:gridCol w:w="3818"/>
        <w:gridCol w:w="1012"/>
        <w:gridCol w:w="1012"/>
        <w:gridCol w:w="1012"/>
        <w:gridCol w:w="1012"/>
        <w:gridCol w:w="1012"/>
      </w:tblGrid>
      <w:tr w:rsidR="008A4F7C" w:rsidRPr="00156197" w14:paraId="485B10B8" w14:textId="77777777" w:rsidTr="0050468E">
        <w:tc>
          <w:tcPr>
            <w:tcW w:w="3818" w:type="dxa"/>
          </w:tcPr>
          <w:p w14:paraId="6637151E" w14:textId="77777777" w:rsidR="008A4F7C" w:rsidRPr="00156197" w:rsidRDefault="008A4F7C" w:rsidP="008A4F7C">
            <w:pPr>
              <w:rPr>
                <w:rFonts w:ascii="Arial" w:hAnsi="Arial"/>
              </w:rPr>
            </w:pPr>
          </w:p>
        </w:tc>
        <w:tc>
          <w:tcPr>
            <w:tcW w:w="1012" w:type="dxa"/>
          </w:tcPr>
          <w:p w14:paraId="6A321443" w14:textId="485C3738" w:rsidR="008A4F7C" w:rsidRPr="00156197" w:rsidRDefault="008A4F7C" w:rsidP="008A4F7C">
            <w:pPr>
              <w:rPr>
                <w:rFonts w:ascii="Arial" w:hAnsi="Arial"/>
                <w:b/>
              </w:rPr>
            </w:pPr>
            <w:r w:rsidRPr="00156197">
              <w:rPr>
                <w:rFonts w:ascii="Arial" w:hAnsi="Arial" w:cs="Arial"/>
                <w:b/>
              </w:rPr>
              <w:t>16</w:t>
            </w:r>
          </w:p>
        </w:tc>
        <w:tc>
          <w:tcPr>
            <w:tcW w:w="1012" w:type="dxa"/>
          </w:tcPr>
          <w:p w14:paraId="1E402B8E" w14:textId="075D8D9D" w:rsidR="008A4F7C" w:rsidRPr="00156197" w:rsidRDefault="008A4F7C" w:rsidP="008A4F7C">
            <w:pPr>
              <w:rPr>
                <w:rFonts w:ascii="Arial" w:hAnsi="Arial"/>
                <w:b/>
              </w:rPr>
            </w:pPr>
            <w:r w:rsidRPr="00156197">
              <w:rPr>
                <w:rFonts w:ascii="Arial" w:hAnsi="Arial" w:cs="Arial"/>
                <w:b/>
              </w:rPr>
              <w:t>15</w:t>
            </w:r>
          </w:p>
        </w:tc>
        <w:tc>
          <w:tcPr>
            <w:tcW w:w="1012" w:type="dxa"/>
          </w:tcPr>
          <w:p w14:paraId="1ED39891" w14:textId="61DD1801" w:rsidR="008A4F7C" w:rsidRPr="00156197" w:rsidRDefault="008A4F7C" w:rsidP="008A4F7C">
            <w:pPr>
              <w:rPr>
                <w:rFonts w:ascii="Arial" w:hAnsi="Arial"/>
                <w:b/>
              </w:rPr>
            </w:pPr>
            <w:r w:rsidRPr="00156197">
              <w:rPr>
                <w:rFonts w:ascii="Arial" w:hAnsi="Arial" w:cs="Arial"/>
                <w:b/>
              </w:rPr>
              <w:t>14</w:t>
            </w:r>
          </w:p>
        </w:tc>
        <w:tc>
          <w:tcPr>
            <w:tcW w:w="1012" w:type="dxa"/>
          </w:tcPr>
          <w:p w14:paraId="3690AC12" w14:textId="5A1CC685" w:rsidR="008A4F7C" w:rsidRPr="00156197" w:rsidRDefault="008A4F7C" w:rsidP="008A4F7C">
            <w:pPr>
              <w:rPr>
                <w:rFonts w:ascii="Arial" w:hAnsi="Arial"/>
                <w:b/>
              </w:rPr>
            </w:pPr>
            <w:r w:rsidRPr="00156197">
              <w:rPr>
                <w:rFonts w:ascii="Arial" w:hAnsi="Arial" w:cs="Arial"/>
                <w:b/>
              </w:rPr>
              <w:t>13</w:t>
            </w:r>
          </w:p>
        </w:tc>
        <w:tc>
          <w:tcPr>
            <w:tcW w:w="1012" w:type="dxa"/>
          </w:tcPr>
          <w:p w14:paraId="67260D9F" w14:textId="10C0BC8C" w:rsidR="008A4F7C" w:rsidRPr="00156197" w:rsidRDefault="008A4F7C" w:rsidP="008A4F7C">
            <w:pPr>
              <w:rPr>
                <w:rFonts w:ascii="Arial" w:hAnsi="Arial"/>
                <w:b/>
              </w:rPr>
            </w:pPr>
            <w:r w:rsidRPr="00156197">
              <w:rPr>
                <w:rFonts w:ascii="Arial" w:hAnsi="Arial" w:cs="Arial"/>
                <w:b/>
              </w:rPr>
              <w:t>12</w:t>
            </w:r>
          </w:p>
        </w:tc>
      </w:tr>
      <w:tr w:rsidR="008A4F7C" w:rsidRPr="00156197" w14:paraId="44AA30BD" w14:textId="77777777" w:rsidTr="0050468E">
        <w:tc>
          <w:tcPr>
            <w:tcW w:w="3818" w:type="dxa"/>
          </w:tcPr>
          <w:p w14:paraId="689D3E54" w14:textId="06DE6D8F" w:rsidR="008A4F7C" w:rsidRPr="00156197" w:rsidRDefault="008A4F7C" w:rsidP="008A4F7C">
            <w:pPr>
              <w:rPr>
                <w:rFonts w:ascii="Arial" w:hAnsi="Arial"/>
              </w:rPr>
            </w:pPr>
            <w:r w:rsidRPr="00156197">
              <w:rPr>
                <w:rFonts w:ascii="Arial" w:hAnsi="Arial"/>
              </w:rPr>
              <w:t>HB claimants</w:t>
            </w:r>
          </w:p>
        </w:tc>
        <w:tc>
          <w:tcPr>
            <w:tcW w:w="1012" w:type="dxa"/>
          </w:tcPr>
          <w:p w14:paraId="736D1466" w14:textId="542E0349" w:rsidR="008A4F7C" w:rsidRPr="00156197" w:rsidRDefault="008A4F7C" w:rsidP="008A4F7C">
            <w:pPr>
              <w:rPr>
                <w:rFonts w:ascii="Arial" w:hAnsi="Arial"/>
              </w:rPr>
            </w:pPr>
            <w:r w:rsidRPr="00156197">
              <w:rPr>
                <w:rFonts w:ascii="Arial" w:hAnsi="Arial"/>
              </w:rPr>
              <w:t>9081</w:t>
            </w:r>
          </w:p>
        </w:tc>
        <w:tc>
          <w:tcPr>
            <w:tcW w:w="1012" w:type="dxa"/>
          </w:tcPr>
          <w:p w14:paraId="3AB47EDF" w14:textId="0440F358" w:rsidR="008A4F7C" w:rsidRPr="00156197" w:rsidRDefault="008A4F7C" w:rsidP="008A4F7C">
            <w:pPr>
              <w:rPr>
                <w:rFonts w:ascii="Arial" w:hAnsi="Arial"/>
              </w:rPr>
            </w:pPr>
            <w:r w:rsidRPr="00156197">
              <w:rPr>
                <w:rFonts w:ascii="Arial" w:hAnsi="Arial"/>
              </w:rPr>
              <w:t>9402</w:t>
            </w:r>
          </w:p>
        </w:tc>
        <w:tc>
          <w:tcPr>
            <w:tcW w:w="1012" w:type="dxa"/>
          </w:tcPr>
          <w:p w14:paraId="3974078E" w14:textId="0375F43E" w:rsidR="008A4F7C" w:rsidRPr="00156197" w:rsidRDefault="005E1658" w:rsidP="008A4F7C">
            <w:pPr>
              <w:rPr>
                <w:rFonts w:ascii="Arial" w:hAnsi="Arial"/>
              </w:rPr>
            </w:pPr>
            <w:r w:rsidRPr="00156197">
              <w:rPr>
                <w:rFonts w:ascii="Arial" w:hAnsi="Arial"/>
              </w:rPr>
              <w:t>9620</w:t>
            </w:r>
          </w:p>
        </w:tc>
        <w:tc>
          <w:tcPr>
            <w:tcW w:w="1012" w:type="dxa"/>
          </w:tcPr>
          <w:p w14:paraId="3352A48F" w14:textId="5F27A4B2" w:rsidR="008A4F7C" w:rsidRPr="00156197" w:rsidRDefault="005E1658" w:rsidP="008A4F7C">
            <w:pPr>
              <w:rPr>
                <w:rFonts w:ascii="Arial" w:hAnsi="Arial"/>
              </w:rPr>
            </w:pPr>
            <w:r w:rsidRPr="00156197">
              <w:rPr>
                <w:rFonts w:ascii="Arial" w:hAnsi="Arial"/>
              </w:rPr>
              <w:t>9753</w:t>
            </w:r>
          </w:p>
        </w:tc>
        <w:tc>
          <w:tcPr>
            <w:tcW w:w="1012" w:type="dxa"/>
          </w:tcPr>
          <w:p w14:paraId="047FD0DA" w14:textId="0EE62705" w:rsidR="008A4F7C" w:rsidRPr="00156197" w:rsidRDefault="005E1658" w:rsidP="008A4F7C">
            <w:pPr>
              <w:rPr>
                <w:rFonts w:ascii="Arial" w:hAnsi="Arial"/>
              </w:rPr>
            </w:pPr>
            <w:r w:rsidRPr="00156197">
              <w:rPr>
                <w:rFonts w:ascii="Arial" w:hAnsi="Arial"/>
              </w:rPr>
              <w:t>9536</w:t>
            </w:r>
          </w:p>
        </w:tc>
      </w:tr>
      <w:tr w:rsidR="008A4F7C" w:rsidRPr="00156197" w14:paraId="68926945" w14:textId="77777777" w:rsidTr="0050468E">
        <w:tc>
          <w:tcPr>
            <w:tcW w:w="3818" w:type="dxa"/>
          </w:tcPr>
          <w:p w14:paraId="501C9EAC" w14:textId="62C5D7B6" w:rsidR="008A4F7C" w:rsidRPr="00156197" w:rsidRDefault="008A4F7C" w:rsidP="008A4F7C">
            <w:pPr>
              <w:rPr>
                <w:rFonts w:ascii="Arial" w:hAnsi="Arial"/>
              </w:rPr>
            </w:pPr>
            <w:r w:rsidRPr="00156197">
              <w:rPr>
                <w:rFonts w:ascii="Arial" w:hAnsi="Arial"/>
              </w:rPr>
              <w:t>Working age unemployment rate</w:t>
            </w:r>
          </w:p>
        </w:tc>
        <w:tc>
          <w:tcPr>
            <w:tcW w:w="1012" w:type="dxa"/>
          </w:tcPr>
          <w:p w14:paraId="7500086B" w14:textId="2E73A2F0" w:rsidR="008A4F7C" w:rsidRPr="00156197" w:rsidRDefault="005E1658" w:rsidP="008A4F7C">
            <w:pPr>
              <w:rPr>
                <w:rFonts w:ascii="Arial" w:hAnsi="Arial"/>
              </w:rPr>
            </w:pPr>
            <w:r w:rsidRPr="00156197">
              <w:rPr>
                <w:rFonts w:ascii="Arial" w:hAnsi="Arial"/>
              </w:rPr>
              <w:t>4.9%</w:t>
            </w:r>
          </w:p>
        </w:tc>
        <w:tc>
          <w:tcPr>
            <w:tcW w:w="1012" w:type="dxa"/>
          </w:tcPr>
          <w:p w14:paraId="1D4FEC35" w14:textId="253EACE7" w:rsidR="008A4F7C" w:rsidRPr="00156197" w:rsidRDefault="005E1658" w:rsidP="008A4F7C">
            <w:pPr>
              <w:rPr>
                <w:rFonts w:ascii="Arial" w:hAnsi="Arial"/>
              </w:rPr>
            </w:pPr>
            <w:r w:rsidRPr="00156197">
              <w:rPr>
                <w:rFonts w:ascii="Arial" w:hAnsi="Arial"/>
              </w:rPr>
              <w:t>4.1%</w:t>
            </w:r>
          </w:p>
        </w:tc>
        <w:tc>
          <w:tcPr>
            <w:tcW w:w="1012" w:type="dxa"/>
          </w:tcPr>
          <w:p w14:paraId="1E256022" w14:textId="707BD9FB" w:rsidR="008A4F7C" w:rsidRPr="00156197" w:rsidRDefault="005E1658" w:rsidP="008A4F7C">
            <w:pPr>
              <w:rPr>
                <w:rFonts w:ascii="Arial" w:hAnsi="Arial"/>
              </w:rPr>
            </w:pPr>
            <w:r w:rsidRPr="00156197">
              <w:rPr>
                <w:rFonts w:ascii="Arial" w:hAnsi="Arial"/>
              </w:rPr>
              <w:t>4.9%</w:t>
            </w:r>
          </w:p>
        </w:tc>
        <w:tc>
          <w:tcPr>
            <w:tcW w:w="1012" w:type="dxa"/>
          </w:tcPr>
          <w:p w14:paraId="1AE5B8A5" w14:textId="5A6657A3" w:rsidR="008A4F7C" w:rsidRPr="00156197" w:rsidRDefault="005E1658" w:rsidP="008A4F7C">
            <w:pPr>
              <w:rPr>
                <w:rFonts w:ascii="Arial" w:hAnsi="Arial"/>
              </w:rPr>
            </w:pPr>
            <w:r w:rsidRPr="00156197">
              <w:rPr>
                <w:rFonts w:ascii="Arial" w:hAnsi="Arial"/>
              </w:rPr>
              <w:t>8.1%</w:t>
            </w:r>
          </w:p>
        </w:tc>
        <w:tc>
          <w:tcPr>
            <w:tcW w:w="1012" w:type="dxa"/>
          </w:tcPr>
          <w:p w14:paraId="79E93F92" w14:textId="233CDFF5" w:rsidR="008A4F7C" w:rsidRPr="00156197" w:rsidRDefault="005E1658" w:rsidP="008A4F7C">
            <w:pPr>
              <w:rPr>
                <w:rFonts w:ascii="Arial" w:hAnsi="Arial"/>
              </w:rPr>
            </w:pPr>
            <w:r w:rsidRPr="00156197">
              <w:rPr>
                <w:rFonts w:ascii="Arial" w:hAnsi="Arial"/>
              </w:rPr>
              <w:t>13.9%</w:t>
            </w:r>
          </w:p>
        </w:tc>
      </w:tr>
      <w:tr w:rsidR="009A399B" w:rsidRPr="00156197" w14:paraId="1790A09A" w14:textId="77777777" w:rsidTr="0050468E">
        <w:tc>
          <w:tcPr>
            <w:tcW w:w="3818" w:type="dxa"/>
          </w:tcPr>
          <w:p w14:paraId="071E974F" w14:textId="1A106089" w:rsidR="009A399B" w:rsidRPr="00156197" w:rsidRDefault="009A399B" w:rsidP="004D2DC2">
            <w:pPr>
              <w:rPr>
                <w:rFonts w:ascii="Arial" w:hAnsi="Arial"/>
              </w:rPr>
            </w:pPr>
            <w:r w:rsidRPr="00156197">
              <w:rPr>
                <w:rFonts w:ascii="Arial" w:hAnsi="Arial"/>
              </w:rPr>
              <w:t>Working age ESA/</w:t>
            </w:r>
            <w:r w:rsidR="004D2DC2" w:rsidRPr="00156197">
              <w:rPr>
                <w:rFonts w:ascii="Arial" w:hAnsi="Arial"/>
              </w:rPr>
              <w:t>IB claimants</w:t>
            </w:r>
          </w:p>
        </w:tc>
        <w:tc>
          <w:tcPr>
            <w:tcW w:w="1012" w:type="dxa"/>
          </w:tcPr>
          <w:p w14:paraId="3B9F75F6" w14:textId="6E14833D" w:rsidR="009A399B" w:rsidRPr="00156197" w:rsidRDefault="009A399B" w:rsidP="008A4F7C">
            <w:pPr>
              <w:rPr>
                <w:rFonts w:ascii="Arial" w:hAnsi="Arial"/>
              </w:rPr>
            </w:pPr>
            <w:r w:rsidRPr="00156197">
              <w:rPr>
                <w:rFonts w:ascii="Arial" w:hAnsi="Arial"/>
              </w:rPr>
              <w:t>8%</w:t>
            </w:r>
          </w:p>
        </w:tc>
        <w:tc>
          <w:tcPr>
            <w:tcW w:w="1012" w:type="dxa"/>
          </w:tcPr>
          <w:p w14:paraId="6F7D240C" w14:textId="242DB86C" w:rsidR="009A399B" w:rsidRPr="00156197" w:rsidRDefault="009A399B" w:rsidP="008A4F7C">
            <w:pPr>
              <w:rPr>
                <w:rFonts w:ascii="Arial" w:hAnsi="Arial"/>
              </w:rPr>
            </w:pPr>
            <w:r w:rsidRPr="00156197">
              <w:rPr>
                <w:rFonts w:ascii="Arial" w:hAnsi="Arial"/>
              </w:rPr>
              <w:t>7.9%</w:t>
            </w:r>
          </w:p>
        </w:tc>
        <w:tc>
          <w:tcPr>
            <w:tcW w:w="1012" w:type="dxa"/>
          </w:tcPr>
          <w:p w14:paraId="2EDCDDB7" w14:textId="338D14A3" w:rsidR="009A399B" w:rsidRPr="00156197" w:rsidRDefault="009A399B" w:rsidP="008A4F7C">
            <w:pPr>
              <w:rPr>
                <w:rFonts w:ascii="Arial" w:hAnsi="Arial"/>
              </w:rPr>
            </w:pPr>
            <w:r w:rsidRPr="00156197">
              <w:rPr>
                <w:rFonts w:ascii="Arial" w:hAnsi="Arial"/>
              </w:rPr>
              <w:t>7.7%</w:t>
            </w:r>
          </w:p>
        </w:tc>
        <w:tc>
          <w:tcPr>
            <w:tcW w:w="1012" w:type="dxa"/>
          </w:tcPr>
          <w:p w14:paraId="6A328AF9" w14:textId="465D84D6" w:rsidR="009A399B" w:rsidRPr="00156197" w:rsidRDefault="009A399B" w:rsidP="008A4F7C">
            <w:pPr>
              <w:rPr>
                <w:rFonts w:ascii="Arial" w:hAnsi="Arial"/>
              </w:rPr>
            </w:pPr>
            <w:r w:rsidRPr="00156197">
              <w:rPr>
                <w:rFonts w:ascii="Arial" w:hAnsi="Arial"/>
              </w:rPr>
              <w:t>7.8%</w:t>
            </w:r>
          </w:p>
        </w:tc>
        <w:tc>
          <w:tcPr>
            <w:tcW w:w="1012" w:type="dxa"/>
          </w:tcPr>
          <w:p w14:paraId="300A55F7" w14:textId="0CBDD47F" w:rsidR="009A399B" w:rsidRPr="00156197" w:rsidRDefault="009A399B" w:rsidP="008A4F7C">
            <w:pPr>
              <w:rPr>
                <w:rFonts w:ascii="Arial" w:hAnsi="Arial"/>
              </w:rPr>
            </w:pPr>
            <w:r w:rsidRPr="00156197">
              <w:rPr>
                <w:rFonts w:ascii="Arial" w:hAnsi="Arial"/>
              </w:rPr>
              <w:t>8.0%</w:t>
            </w:r>
          </w:p>
        </w:tc>
      </w:tr>
    </w:tbl>
    <w:p w14:paraId="4E630802" w14:textId="6AC25C85" w:rsidR="004D2DC2" w:rsidRPr="00156197" w:rsidRDefault="004D2DC2" w:rsidP="004D2DC2">
      <w:pPr>
        <w:rPr>
          <w:rFonts w:ascii="Arial" w:hAnsi="Arial"/>
        </w:rPr>
      </w:pPr>
      <w:r w:rsidRPr="00156197">
        <w:rPr>
          <w:rStyle w:val="FootnoteReference"/>
          <w:rFonts w:ascii="Arial" w:hAnsi="Arial"/>
        </w:rPr>
        <w:footnoteReference w:id="15"/>
      </w:r>
      <w:r w:rsidR="009A399B" w:rsidRPr="00156197">
        <w:rPr>
          <w:rFonts w:ascii="Arial" w:hAnsi="Arial"/>
        </w:rPr>
        <w:t xml:space="preserve"> </w:t>
      </w:r>
    </w:p>
    <w:p w14:paraId="5B6A443B" w14:textId="6BBF4062" w:rsidR="00581B1D" w:rsidRPr="00156197" w:rsidRDefault="00581B1D" w:rsidP="00BF45CB">
      <w:pPr>
        <w:rPr>
          <w:rFonts w:ascii="Arial" w:hAnsi="Arial"/>
        </w:rPr>
      </w:pPr>
      <w:r w:rsidRPr="00156197">
        <w:rPr>
          <w:rFonts w:ascii="Arial" w:hAnsi="Arial"/>
        </w:rPr>
        <w:t>Whilst HB claimants are falling, unemployment</w:t>
      </w:r>
      <w:r w:rsidR="008964AA" w:rsidRPr="00156197">
        <w:rPr>
          <w:rFonts w:ascii="Arial" w:hAnsi="Arial"/>
        </w:rPr>
        <w:t xml:space="preserve"> has been remained between 4-</w:t>
      </w:r>
      <w:r w:rsidRPr="00156197">
        <w:rPr>
          <w:rFonts w:ascii="Arial" w:hAnsi="Arial"/>
        </w:rPr>
        <w:t xml:space="preserve">5% for last 3 years. </w:t>
      </w:r>
      <w:r w:rsidR="005F1420" w:rsidRPr="00156197">
        <w:rPr>
          <w:rFonts w:ascii="Arial" w:hAnsi="Arial"/>
        </w:rPr>
        <w:t>A</w:t>
      </w:r>
      <w:r w:rsidR="006F0A7C" w:rsidRPr="00156197">
        <w:rPr>
          <w:rFonts w:ascii="Arial" w:hAnsi="Arial"/>
        </w:rPr>
        <w:t xml:space="preserve">round 8% of households are claiming a benefit that suggests they are not </w:t>
      </w:r>
      <w:r w:rsidR="006C4751" w:rsidRPr="00156197">
        <w:rPr>
          <w:rFonts w:ascii="Arial" w:hAnsi="Arial"/>
        </w:rPr>
        <w:t>able</w:t>
      </w:r>
      <w:r w:rsidR="006F0A7C" w:rsidRPr="00156197">
        <w:rPr>
          <w:rFonts w:ascii="Arial" w:hAnsi="Arial"/>
        </w:rPr>
        <w:t xml:space="preserve"> to work (Employment Support All</w:t>
      </w:r>
      <w:r w:rsidR="005F1420" w:rsidRPr="00156197">
        <w:rPr>
          <w:rFonts w:ascii="Arial" w:hAnsi="Arial"/>
        </w:rPr>
        <w:t xml:space="preserve">owance or Incapacity Benefit). </w:t>
      </w:r>
      <w:r w:rsidR="00D8700C" w:rsidRPr="00156197">
        <w:rPr>
          <w:rFonts w:ascii="Arial" w:hAnsi="Arial"/>
        </w:rPr>
        <w:t xml:space="preserve">Around two-thirds of ADC tenants receive housing benefit towards their housing costs. </w:t>
      </w:r>
      <w:r w:rsidR="00156197">
        <w:rPr>
          <w:rFonts w:ascii="Arial" w:hAnsi="Arial"/>
        </w:rPr>
        <w:t xml:space="preserve">The average income of Homefinder applicants has been highlighted above and it is assumed that average incomes of current tenants is similar. </w:t>
      </w:r>
      <w:r w:rsidR="00D8700C" w:rsidRPr="00156197">
        <w:rPr>
          <w:rFonts w:ascii="Arial" w:hAnsi="Arial"/>
        </w:rPr>
        <w:t>It</w:t>
      </w:r>
      <w:r w:rsidR="006F0A7C" w:rsidRPr="00156197">
        <w:rPr>
          <w:rFonts w:ascii="Arial" w:hAnsi="Arial"/>
        </w:rPr>
        <w:t xml:space="preserve"> is unlikely that these house</w:t>
      </w:r>
      <w:r w:rsidR="00731206" w:rsidRPr="00156197">
        <w:rPr>
          <w:rFonts w:ascii="Arial" w:hAnsi="Arial"/>
        </w:rPr>
        <w:t>holds c</w:t>
      </w:r>
      <w:r w:rsidR="005F1420" w:rsidRPr="00156197">
        <w:rPr>
          <w:rFonts w:ascii="Arial" w:hAnsi="Arial"/>
        </w:rPr>
        <w:t>ould move into homeownership or market rent properties.</w:t>
      </w:r>
    </w:p>
    <w:p w14:paraId="20DB2742" w14:textId="38BE5964" w:rsidR="005F1420" w:rsidRPr="00156197" w:rsidRDefault="005F1420" w:rsidP="00BF45CB">
      <w:pPr>
        <w:rPr>
          <w:rFonts w:ascii="Arial" w:hAnsi="Arial"/>
        </w:rPr>
      </w:pPr>
      <w:r w:rsidRPr="00156197">
        <w:rPr>
          <w:rFonts w:ascii="Arial" w:hAnsi="Arial"/>
        </w:rPr>
        <w:t>The following table shows the affordability of home ownership in the District</w:t>
      </w:r>
    </w:p>
    <w:tbl>
      <w:tblPr>
        <w:tblStyle w:val="TableGrid"/>
        <w:tblW w:w="0" w:type="auto"/>
        <w:tblLook w:val="04A0" w:firstRow="1" w:lastRow="0" w:firstColumn="1" w:lastColumn="0" w:noHBand="0" w:noVBand="1"/>
      </w:tblPr>
      <w:tblGrid>
        <w:gridCol w:w="3818"/>
        <w:gridCol w:w="1012"/>
        <w:gridCol w:w="1012"/>
        <w:gridCol w:w="1012"/>
        <w:gridCol w:w="1012"/>
        <w:gridCol w:w="1012"/>
      </w:tblGrid>
      <w:tr w:rsidR="005F1420" w:rsidRPr="00156197" w14:paraId="1E6EC362" w14:textId="77777777" w:rsidTr="00493578">
        <w:tc>
          <w:tcPr>
            <w:tcW w:w="3818" w:type="dxa"/>
          </w:tcPr>
          <w:p w14:paraId="67C5FF33" w14:textId="77777777" w:rsidR="005F1420" w:rsidRPr="00156197" w:rsidRDefault="005F1420" w:rsidP="005F1420">
            <w:pPr>
              <w:rPr>
                <w:rFonts w:ascii="Arial" w:hAnsi="Arial"/>
              </w:rPr>
            </w:pPr>
          </w:p>
        </w:tc>
        <w:tc>
          <w:tcPr>
            <w:tcW w:w="1012" w:type="dxa"/>
          </w:tcPr>
          <w:p w14:paraId="31DC311A" w14:textId="151E1CBC" w:rsidR="005F1420" w:rsidRPr="00156197" w:rsidRDefault="005F1420" w:rsidP="005F1420">
            <w:pPr>
              <w:rPr>
                <w:rFonts w:ascii="Arial" w:hAnsi="Arial"/>
              </w:rPr>
            </w:pPr>
            <w:r w:rsidRPr="00156197">
              <w:rPr>
                <w:rFonts w:ascii="Arial" w:hAnsi="Arial" w:cs="Arial"/>
                <w:b/>
              </w:rPr>
              <w:t>16</w:t>
            </w:r>
          </w:p>
        </w:tc>
        <w:tc>
          <w:tcPr>
            <w:tcW w:w="1012" w:type="dxa"/>
          </w:tcPr>
          <w:p w14:paraId="675489A9" w14:textId="3F41081A" w:rsidR="005F1420" w:rsidRPr="00156197" w:rsidRDefault="005F1420" w:rsidP="005F1420">
            <w:pPr>
              <w:rPr>
                <w:rFonts w:ascii="Arial" w:hAnsi="Arial"/>
              </w:rPr>
            </w:pPr>
            <w:r w:rsidRPr="00156197">
              <w:rPr>
                <w:rFonts w:ascii="Arial" w:hAnsi="Arial" w:cs="Arial"/>
                <w:b/>
              </w:rPr>
              <w:t>15</w:t>
            </w:r>
          </w:p>
        </w:tc>
        <w:tc>
          <w:tcPr>
            <w:tcW w:w="1012" w:type="dxa"/>
          </w:tcPr>
          <w:p w14:paraId="313202B8" w14:textId="3CE0A2F0" w:rsidR="005F1420" w:rsidRPr="00156197" w:rsidRDefault="005F1420" w:rsidP="005F1420">
            <w:pPr>
              <w:rPr>
                <w:rFonts w:ascii="Arial" w:hAnsi="Arial"/>
              </w:rPr>
            </w:pPr>
            <w:r w:rsidRPr="00156197">
              <w:rPr>
                <w:rFonts w:ascii="Arial" w:hAnsi="Arial" w:cs="Arial"/>
                <w:b/>
              </w:rPr>
              <w:t>14</w:t>
            </w:r>
          </w:p>
        </w:tc>
        <w:tc>
          <w:tcPr>
            <w:tcW w:w="1012" w:type="dxa"/>
          </w:tcPr>
          <w:p w14:paraId="669F1D04" w14:textId="10D7B4B2" w:rsidR="005F1420" w:rsidRPr="00156197" w:rsidRDefault="005F1420" w:rsidP="005F1420">
            <w:pPr>
              <w:rPr>
                <w:rFonts w:ascii="Arial" w:hAnsi="Arial"/>
              </w:rPr>
            </w:pPr>
            <w:r w:rsidRPr="00156197">
              <w:rPr>
                <w:rFonts w:ascii="Arial" w:hAnsi="Arial" w:cs="Arial"/>
                <w:b/>
              </w:rPr>
              <w:t>13</w:t>
            </w:r>
          </w:p>
        </w:tc>
        <w:tc>
          <w:tcPr>
            <w:tcW w:w="1012" w:type="dxa"/>
          </w:tcPr>
          <w:p w14:paraId="012909EF" w14:textId="3E3BCC88" w:rsidR="005F1420" w:rsidRPr="00156197" w:rsidRDefault="005F1420" w:rsidP="005F1420">
            <w:pPr>
              <w:rPr>
                <w:rFonts w:ascii="Arial" w:hAnsi="Arial"/>
              </w:rPr>
            </w:pPr>
            <w:r w:rsidRPr="00156197">
              <w:rPr>
                <w:rFonts w:ascii="Arial" w:hAnsi="Arial" w:cs="Arial"/>
                <w:b/>
              </w:rPr>
              <w:t>12</w:t>
            </w:r>
          </w:p>
        </w:tc>
      </w:tr>
      <w:tr w:rsidR="004D2DC2" w:rsidRPr="00156197" w14:paraId="6188C9F7" w14:textId="77777777" w:rsidTr="00493578">
        <w:tc>
          <w:tcPr>
            <w:tcW w:w="3818" w:type="dxa"/>
          </w:tcPr>
          <w:p w14:paraId="54215A5B" w14:textId="77777777" w:rsidR="004D2DC2" w:rsidRPr="00156197" w:rsidRDefault="004D2DC2" w:rsidP="00493578">
            <w:pPr>
              <w:rPr>
                <w:rFonts w:ascii="Arial" w:hAnsi="Arial"/>
              </w:rPr>
            </w:pPr>
            <w:r w:rsidRPr="00156197">
              <w:rPr>
                <w:rFonts w:ascii="Arial" w:hAnsi="Arial"/>
              </w:rPr>
              <w:t>Median house price to median earnings ratio</w:t>
            </w:r>
          </w:p>
        </w:tc>
        <w:tc>
          <w:tcPr>
            <w:tcW w:w="1012" w:type="dxa"/>
          </w:tcPr>
          <w:p w14:paraId="1E9447B4" w14:textId="77777777" w:rsidR="004D2DC2" w:rsidRPr="00156197" w:rsidRDefault="004D2DC2" w:rsidP="00493578">
            <w:pPr>
              <w:rPr>
                <w:rFonts w:ascii="Arial" w:hAnsi="Arial"/>
              </w:rPr>
            </w:pPr>
            <w:r w:rsidRPr="00156197">
              <w:rPr>
                <w:rFonts w:ascii="Arial" w:hAnsi="Arial"/>
              </w:rPr>
              <w:t>5.24</w:t>
            </w:r>
          </w:p>
        </w:tc>
        <w:tc>
          <w:tcPr>
            <w:tcW w:w="1012" w:type="dxa"/>
          </w:tcPr>
          <w:p w14:paraId="398F746C" w14:textId="77777777" w:rsidR="004D2DC2" w:rsidRPr="00156197" w:rsidRDefault="004D2DC2" w:rsidP="00493578">
            <w:pPr>
              <w:rPr>
                <w:rFonts w:ascii="Arial" w:hAnsi="Arial"/>
              </w:rPr>
            </w:pPr>
            <w:r w:rsidRPr="00156197">
              <w:rPr>
                <w:rFonts w:ascii="Arial" w:hAnsi="Arial"/>
              </w:rPr>
              <w:t>5.23</w:t>
            </w:r>
          </w:p>
        </w:tc>
        <w:tc>
          <w:tcPr>
            <w:tcW w:w="1012" w:type="dxa"/>
          </w:tcPr>
          <w:p w14:paraId="4F721745" w14:textId="77777777" w:rsidR="004D2DC2" w:rsidRPr="00156197" w:rsidRDefault="004D2DC2" w:rsidP="00493578">
            <w:pPr>
              <w:rPr>
                <w:rFonts w:ascii="Arial" w:hAnsi="Arial"/>
              </w:rPr>
            </w:pPr>
            <w:r w:rsidRPr="00156197">
              <w:rPr>
                <w:rFonts w:ascii="Arial" w:hAnsi="Arial"/>
              </w:rPr>
              <w:t>5.15</w:t>
            </w:r>
          </w:p>
        </w:tc>
        <w:tc>
          <w:tcPr>
            <w:tcW w:w="1012" w:type="dxa"/>
          </w:tcPr>
          <w:p w14:paraId="66F38935" w14:textId="77777777" w:rsidR="004D2DC2" w:rsidRPr="00156197" w:rsidRDefault="004D2DC2" w:rsidP="00493578">
            <w:pPr>
              <w:rPr>
                <w:rFonts w:ascii="Arial" w:hAnsi="Arial"/>
              </w:rPr>
            </w:pPr>
            <w:r w:rsidRPr="00156197">
              <w:rPr>
                <w:rFonts w:ascii="Arial" w:hAnsi="Arial"/>
              </w:rPr>
              <w:t>5.07</w:t>
            </w:r>
          </w:p>
        </w:tc>
        <w:tc>
          <w:tcPr>
            <w:tcW w:w="1012" w:type="dxa"/>
          </w:tcPr>
          <w:p w14:paraId="27E3999C" w14:textId="77777777" w:rsidR="004D2DC2" w:rsidRPr="00156197" w:rsidRDefault="004D2DC2" w:rsidP="00493578">
            <w:pPr>
              <w:rPr>
                <w:rFonts w:ascii="Arial" w:hAnsi="Arial"/>
              </w:rPr>
            </w:pPr>
            <w:r w:rsidRPr="00156197">
              <w:rPr>
                <w:rFonts w:ascii="Arial" w:hAnsi="Arial"/>
              </w:rPr>
              <w:t>5.23</w:t>
            </w:r>
          </w:p>
        </w:tc>
      </w:tr>
      <w:tr w:rsidR="004D2DC2" w:rsidRPr="00156197" w14:paraId="22C34441" w14:textId="77777777" w:rsidTr="00493578">
        <w:tc>
          <w:tcPr>
            <w:tcW w:w="3818" w:type="dxa"/>
          </w:tcPr>
          <w:p w14:paraId="57B8EFD5" w14:textId="77777777" w:rsidR="004D2DC2" w:rsidRPr="00156197" w:rsidRDefault="004D2DC2" w:rsidP="00493578">
            <w:pPr>
              <w:rPr>
                <w:rFonts w:ascii="Arial" w:hAnsi="Arial"/>
              </w:rPr>
            </w:pPr>
            <w:r w:rsidRPr="00156197">
              <w:rPr>
                <w:rFonts w:ascii="Arial" w:hAnsi="Arial"/>
              </w:rPr>
              <w:t>Lower quartile house price to lower quartile earnings ratio</w:t>
            </w:r>
          </w:p>
        </w:tc>
        <w:tc>
          <w:tcPr>
            <w:tcW w:w="1012" w:type="dxa"/>
          </w:tcPr>
          <w:p w14:paraId="6CD595D1" w14:textId="77777777" w:rsidR="004D2DC2" w:rsidRPr="00156197" w:rsidRDefault="004D2DC2" w:rsidP="00493578">
            <w:pPr>
              <w:rPr>
                <w:rFonts w:ascii="Arial" w:hAnsi="Arial"/>
              </w:rPr>
            </w:pPr>
            <w:r w:rsidRPr="00156197">
              <w:rPr>
                <w:rFonts w:ascii="Arial" w:hAnsi="Arial"/>
              </w:rPr>
              <w:t>5.39</w:t>
            </w:r>
          </w:p>
        </w:tc>
        <w:tc>
          <w:tcPr>
            <w:tcW w:w="1012" w:type="dxa"/>
          </w:tcPr>
          <w:p w14:paraId="58E17227" w14:textId="77777777" w:rsidR="004D2DC2" w:rsidRPr="00156197" w:rsidRDefault="004D2DC2" w:rsidP="00493578">
            <w:pPr>
              <w:rPr>
                <w:rFonts w:ascii="Arial" w:hAnsi="Arial"/>
              </w:rPr>
            </w:pPr>
            <w:r w:rsidRPr="00156197">
              <w:rPr>
                <w:rFonts w:ascii="Arial" w:hAnsi="Arial"/>
              </w:rPr>
              <w:t>5.30</w:t>
            </w:r>
          </w:p>
        </w:tc>
        <w:tc>
          <w:tcPr>
            <w:tcW w:w="1012" w:type="dxa"/>
          </w:tcPr>
          <w:p w14:paraId="5BE52C7D" w14:textId="77777777" w:rsidR="004D2DC2" w:rsidRPr="00156197" w:rsidRDefault="004D2DC2" w:rsidP="00493578">
            <w:pPr>
              <w:rPr>
                <w:rFonts w:ascii="Arial" w:hAnsi="Arial"/>
              </w:rPr>
            </w:pPr>
            <w:r w:rsidRPr="00156197">
              <w:rPr>
                <w:rFonts w:ascii="Arial" w:hAnsi="Arial"/>
              </w:rPr>
              <w:t>5.27</w:t>
            </w:r>
          </w:p>
        </w:tc>
        <w:tc>
          <w:tcPr>
            <w:tcW w:w="1012" w:type="dxa"/>
          </w:tcPr>
          <w:p w14:paraId="01E8ADF3" w14:textId="77777777" w:rsidR="004D2DC2" w:rsidRPr="00156197" w:rsidRDefault="004D2DC2" w:rsidP="00493578">
            <w:pPr>
              <w:rPr>
                <w:rFonts w:ascii="Arial" w:hAnsi="Arial"/>
              </w:rPr>
            </w:pPr>
            <w:r w:rsidRPr="00156197">
              <w:rPr>
                <w:rFonts w:ascii="Arial" w:hAnsi="Arial"/>
              </w:rPr>
              <w:t>5.01</w:t>
            </w:r>
          </w:p>
        </w:tc>
        <w:tc>
          <w:tcPr>
            <w:tcW w:w="1012" w:type="dxa"/>
          </w:tcPr>
          <w:p w14:paraId="56660464" w14:textId="77777777" w:rsidR="004D2DC2" w:rsidRPr="00156197" w:rsidRDefault="004D2DC2" w:rsidP="00493578">
            <w:pPr>
              <w:rPr>
                <w:rFonts w:ascii="Arial" w:hAnsi="Arial"/>
              </w:rPr>
            </w:pPr>
            <w:r w:rsidRPr="00156197">
              <w:rPr>
                <w:rFonts w:ascii="Arial" w:hAnsi="Arial"/>
              </w:rPr>
              <w:t>4.92</w:t>
            </w:r>
          </w:p>
        </w:tc>
      </w:tr>
      <w:tr w:rsidR="004D2DC2" w:rsidRPr="00156197" w14:paraId="4EAB0451" w14:textId="77777777" w:rsidTr="00493578">
        <w:tc>
          <w:tcPr>
            <w:tcW w:w="3818" w:type="dxa"/>
          </w:tcPr>
          <w:p w14:paraId="381E2683" w14:textId="77777777" w:rsidR="004D2DC2" w:rsidRPr="00156197" w:rsidRDefault="004D2DC2" w:rsidP="00493578">
            <w:pPr>
              <w:rPr>
                <w:rFonts w:ascii="Arial" w:hAnsi="Arial"/>
              </w:rPr>
            </w:pPr>
            <w:r w:rsidRPr="00156197">
              <w:rPr>
                <w:rFonts w:ascii="Arial" w:hAnsi="Arial" w:cs="Arial"/>
              </w:rPr>
              <w:t>Average selling price</w:t>
            </w:r>
          </w:p>
        </w:tc>
        <w:tc>
          <w:tcPr>
            <w:tcW w:w="1012" w:type="dxa"/>
          </w:tcPr>
          <w:p w14:paraId="77B85291" w14:textId="77777777" w:rsidR="004D2DC2" w:rsidRPr="00156197" w:rsidRDefault="004D2DC2" w:rsidP="00493578">
            <w:pPr>
              <w:rPr>
                <w:rFonts w:ascii="Arial" w:hAnsi="Arial"/>
              </w:rPr>
            </w:pPr>
            <w:r w:rsidRPr="00156197">
              <w:rPr>
                <w:rFonts w:ascii="Arial" w:hAnsi="Arial" w:cs="Arial"/>
              </w:rPr>
              <w:t>127,696</w:t>
            </w:r>
          </w:p>
        </w:tc>
        <w:tc>
          <w:tcPr>
            <w:tcW w:w="1012" w:type="dxa"/>
          </w:tcPr>
          <w:p w14:paraId="754482DA" w14:textId="77777777" w:rsidR="004D2DC2" w:rsidRPr="00156197" w:rsidRDefault="004D2DC2" w:rsidP="00493578">
            <w:pPr>
              <w:rPr>
                <w:rFonts w:ascii="Arial" w:hAnsi="Arial"/>
              </w:rPr>
            </w:pPr>
            <w:r w:rsidRPr="00156197">
              <w:rPr>
                <w:rFonts w:ascii="Arial" w:hAnsi="Arial" w:cs="Arial"/>
              </w:rPr>
              <w:t>119,569</w:t>
            </w:r>
          </w:p>
        </w:tc>
        <w:tc>
          <w:tcPr>
            <w:tcW w:w="1012" w:type="dxa"/>
          </w:tcPr>
          <w:p w14:paraId="605CE0E6" w14:textId="77777777" w:rsidR="004D2DC2" w:rsidRPr="00156197" w:rsidRDefault="004D2DC2" w:rsidP="00493578">
            <w:pPr>
              <w:rPr>
                <w:rFonts w:ascii="Arial" w:hAnsi="Arial"/>
              </w:rPr>
            </w:pPr>
            <w:r w:rsidRPr="00156197">
              <w:rPr>
                <w:rFonts w:ascii="Arial" w:hAnsi="Arial" w:cs="Arial"/>
              </w:rPr>
              <w:t>115,012</w:t>
            </w:r>
          </w:p>
        </w:tc>
        <w:tc>
          <w:tcPr>
            <w:tcW w:w="1012" w:type="dxa"/>
          </w:tcPr>
          <w:p w14:paraId="662CD38F" w14:textId="77777777" w:rsidR="004D2DC2" w:rsidRPr="00156197" w:rsidRDefault="004D2DC2" w:rsidP="00493578">
            <w:pPr>
              <w:rPr>
                <w:rFonts w:ascii="Arial" w:hAnsi="Arial"/>
              </w:rPr>
            </w:pPr>
            <w:r w:rsidRPr="00156197">
              <w:rPr>
                <w:rFonts w:ascii="Arial" w:hAnsi="Arial" w:cs="Arial"/>
              </w:rPr>
              <w:t>107,367</w:t>
            </w:r>
          </w:p>
        </w:tc>
        <w:tc>
          <w:tcPr>
            <w:tcW w:w="1012" w:type="dxa"/>
          </w:tcPr>
          <w:p w14:paraId="60BD0664" w14:textId="77777777" w:rsidR="004D2DC2" w:rsidRPr="00156197" w:rsidRDefault="004D2DC2" w:rsidP="00493578">
            <w:pPr>
              <w:rPr>
                <w:rFonts w:ascii="Arial" w:hAnsi="Arial"/>
              </w:rPr>
            </w:pPr>
            <w:r w:rsidRPr="00156197">
              <w:rPr>
                <w:rFonts w:ascii="Arial" w:hAnsi="Arial" w:cs="Arial"/>
              </w:rPr>
              <w:t>103,322</w:t>
            </w:r>
          </w:p>
        </w:tc>
      </w:tr>
    </w:tbl>
    <w:p w14:paraId="03AB0D14" w14:textId="17225C45" w:rsidR="004D2DC2" w:rsidRPr="00156197" w:rsidRDefault="005F1420" w:rsidP="00BF45CB">
      <w:pPr>
        <w:rPr>
          <w:rFonts w:ascii="Arial" w:hAnsi="Arial"/>
        </w:rPr>
      </w:pPr>
      <w:r w:rsidRPr="00156197">
        <w:rPr>
          <w:rStyle w:val="FootnoteReference"/>
          <w:rFonts w:ascii="Arial" w:hAnsi="Arial"/>
        </w:rPr>
        <w:footnoteReference w:id="16"/>
      </w:r>
    </w:p>
    <w:p w14:paraId="4091DAD9" w14:textId="45F4ADCB" w:rsidR="005F1420" w:rsidRPr="00156197" w:rsidRDefault="005F1420" w:rsidP="00BF45CB">
      <w:pPr>
        <w:rPr>
          <w:rFonts w:ascii="Arial" w:hAnsi="Arial"/>
        </w:rPr>
      </w:pPr>
      <w:r w:rsidRPr="00156197">
        <w:rPr>
          <w:rFonts w:ascii="Arial" w:hAnsi="Arial"/>
        </w:rPr>
        <w:t>It can be seen that the ratio of house prices to average earnings has remained at a similar level over the last 3 years. House prices are 5 times average incomes and as such this makes it challenging for average and lower income households to move into this tenure.</w:t>
      </w:r>
      <w:r w:rsidR="00BE6C74" w:rsidRPr="00156197">
        <w:rPr>
          <w:rFonts w:ascii="Arial" w:hAnsi="Arial"/>
        </w:rPr>
        <w:t xml:space="preserve"> It has been identified above that around 94% of households with a live Homefinder application have an annual household income below the average amount for the district. </w:t>
      </w:r>
    </w:p>
    <w:p w14:paraId="3141277F" w14:textId="77777777" w:rsidR="007C2A84" w:rsidRPr="00156197" w:rsidRDefault="007C2A84" w:rsidP="00BF45CB">
      <w:pPr>
        <w:rPr>
          <w:rFonts w:ascii="Arial" w:hAnsi="Arial"/>
        </w:rPr>
      </w:pPr>
    </w:p>
    <w:p w14:paraId="7BF67814" w14:textId="77777777" w:rsidR="007C2A84" w:rsidRPr="00156197" w:rsidRDefault="007C2A84" w:rsidP="00BF45CB">
      <w:pPr>
        <w:rPr>
          <w:rFonts w:ascii="Arial" w:hAnsi="Arial"/>
          <w:i/>
        </w:rPr>
      </w:pPr>
      <w:r w:rsidRPr="00156197">
        <w:rPr>
          <w:rFonts w:ascii="Arial" w:hAnsi="Arial"/>
          <w:i/>
        </w:rPr>
        <w:t>Community stability</w:t>
      </w:r>
    </w:p>
    <w:p w14:paraId="3505B6A5" w14:textId="14818557" w:rsidR="00720C50" w:rsidRPr="00156197" w:rsidRDefault="00720C50" w:rsidP="00BF45CB">
      <w:pPr>
        <w:rPr>
          <w:rFonts w:ascii="Arial" w:hAnsi="Arial"/>
        </w:rPr>
      </w:pPr>
      <w:r w:rsidRPr="00156197">
        <w:rPr>
          <w:rFonts w:ascii="Arial" w:hAnsi="Arial"/>
        </w:rPr>
        <w:lastRenderedPageBreak/>
        <w:t>As at 20</w:t>
      </w:r>
      <w:r w:rsidRPr="00156197">
        <w:rPr>
          <w:rFonts w:ascii="Arial" w:hAnsi="Arial"/>
          <w:vertAlign w:val="superscript"/>
        </w:rPr>
        <w:t>th</w:t>
      </w:r>
      <w:r w:rsidRPr="00156197">
        <w:rPr>
          <w:rFonts w:ascii="Arial" w:hAnsi="Arial"/>
        </w:rPr>
        <w:t xml:space="preserve"> March 2018, 1,614 ADC tenants were in arrears</w:t>
      </w:r>
      <w:r w:rsidR="001644E7" w:rsidRPr="00156197">
        <w:rPr>
          <w:rFonts w:ascii="Arial" w:hAnsi="Arial"/>
        </w:rPr>
        <w:t xml:space="preserve"> and the average amount was £221</w:t>
      </w:r>
      <w:r w:rsidRPr="00156197">
        <w:rPr>
          <w:rFonts w:ascii="Arial" w:hAnsi="Arial"/>
        </w:rPr>
        <w:t>, broken down as follows:</w:t>
      </w:r>
    </w:p>
    <w:p w14:paraId="1AC2F772" w14:textId="62042C3A" w:rsidR="00720C50" w:rsidRPr="00156197" w:rsidRDefault="00720C50" w:rsidP="00720C50">
      <w:pPr>
        <w:pStyle w:val="ListParagraph"/>
        <w:numPr>
          <w:ilvl w:val="0"/>
          <w:numId w:val="1"/>
        </w:numPr>
        <w:rPr>
          <w:rFonts w:ascii="Arial" w:hAnsi="Arial"/>
        </w:rPr>
      </w:pPr>
      <w:r w:rsidRPr="00156197">
        <w:rPr>
          <w:rFonts w:ascii="Arial" w:hAnsi="Arial"/>
        </w:rPr>
        <w:t>Sutton: 723</w:t>
      </w:r>
      <w:r w:rsidR="00211D4A" w:rsidRPr="00156197">
        <w:rPr>
          <w:rFonts w:ascii="Arial" w:hAnsi="Arial"/>
        </w:rPr>
        <w:t xml:space="preserve"> cases</w:t>
      </w:r>
      <w:r w:rsidRPr="00156197">
        <w:rPr>
          <w:rFonts w:ascii="Arial" w:hAnsi="Arial"/>
        </w:rPr>
        <w:t xml:space="preserve"> (45%</w:t>
      </w:r>
      <w:r w:rsidR="00211D4A" w:rsidRPr="00156197">
        <w:rPr>
          <w:rFonts w:ascii="Arial" w:hAnsi="Arial"/>
        </w:rPr>
        <w:t xml:space="preserve"> of cases, 24% of stock in area</w:t>
      </w:r>
      <w:r w:rsidRPr="00156197">
        <w:rPr>
          <w:rFonts w:ascii="Arial" w:hAnsi="Arial"/>
        </w:rPr>
        <w:t>)</w:t>
      </w:r>
      <w:r w:rsidR="001644E7" w:rsidRPr="00156197">
        <w:rPr>
          <w:rFonts w:ascii="Arial" w:hAnsi="Arial"/>
        </w:rPr>
        <w:t xml:space="preserve"> - £214</w:t>
      </w:r>
      <w:r w:rsidR="00211D4A" w:rsidRPr="00156197">
        <w:rPr>
          <w:rFonts w:ascii="Arial" w:hAnsi="Arial"/>
        </w:rPr>
        <w:t xml:space="preserve"> owed on average</w:t>
      </w:r>
    </w:p>
    <w:p w14:paraId="259A35AC" w14:textId="4B2666E3" w:rsidR="00720C50" w:rsidRPr="00156197" w:rsidRDefault="00720C50" w:rsidP="00720C50">
      <w:pPr>
        <w:pStyle w:val="ListParagraph"/>
        <w:numPr>
          <w:ilvl w:val="0"/>
          <w:numId w:val="1"/>
        </w:numPr>
        <w:rPr>
          <w:rFonts w:ascii="Arial" w:hAnsi="Arial"/>
        </w:rPr>
      </w:pPr>
      <w:r w:rsidRPr="00156197">
        <w:rPr>
          <w:rFonts w:ascii="Arial" w:hAnsi="Arial"/>
        </w:rPr>
        <w:t>Hucknall: 462</w:t>
      </w:r>
      <w:r w:rsidR="00211D4A" w:rsidRPr="00156197">
        <w:rPr>
          <w:rFonts w:ascii="Arial" w:hAnsi="Arial"/>
        </w:rPr>
        <w:t xml:space="preserve"> cases</w:t>
      </w:r>
      <w:r w:rsidRPr="00156197">
        <w:rPr>
          <w:rFonts w:ascii="Arial" w:hAnsi="Arial"/>
        </w:rPr>
        <w:t xml:space="preserve"> (29%</w:t>
      </w:r>
      <w:r w:rsidR="00211D4A" w:rsidRPr="00156197">
        <w:rPr>
          <w:rFonts w:ascii="Arial" w:hAnsi="Arial"/>
        </w:rPr>
        <w:t xml:space="preserve"> of cases, 27% of stock in area</w:t>
      </w:r>
      <w:r w:rsidRPr="00156197">
        <w:rPr>
          <w:rFonts w:ascii="Arial" w:hAnsi="Arial"/>
        </w:rPr>
        <w:t>)</w:t>
      </w:r>
      <w:r w:rsidR="001644E7" w:rsidRPr="00156197">
        <w:rPr>
          <w:rFonts w:ascii="Arial" w:hAnsi="Arial"/>
        </w:rPr>
        <w:t xml:space="preserve"> - £255</w:t>
      </w:r>
      <w:r w:rsidR="00211D4A" w:rsidRPr="00156197">
        <w:rPr>
          <w:rFonts w:ascii="Arial" w:hAnsi="Arial"/>
        </w:rPr>
        <w:t xml:space="preserve"> owed on average</w:t>
      </w:r>
    </w:p>
    <w:p w14:paraId="1C2A74F1" w14:textId="66C34445" w:rsidR="00720C50" w:rsidRPr="00156197" w:rsidRDefault="00720C50" w:rsidP="00720C50">
      <w:pPr>
        <w:pStyle w:val="ListParagraph"/>
        <w:numPr>
          <w:ilvl w:val="0"/>
          <w:numId w:val="1"/>
        </w:numPr>
        <w:rPr>
          <w:rFonts w:ascii="Arial" w:hAnsi="Arial"/>
        </w:rPr>
      </w:pPr>
      <w:r w:rsidRPr="00156197">
        <w:rPr>
          <w:rFonts w:ascii="Arial" w:hAnsi="Arial"/>
        </w:rPr>
        <w:t>Kirkby: 325</w:t>
      </w:r>
      <w:r w:rsidR="00211D4A" w:rsidRPr="00156197">
        <w:rPr>
          <w:rFonts w:ascii="Arial" w:hAnsi="Arial"/>
        </w:rPr>
        <w:t xml:space="preserve"> cases</w:t>
      </w:r>
      <w:r w:rsidRPr="00156197">
        <w:rPr>
          <w:rFonts w:ascii="Arial" w:hAnsi="Arial"/>
        </w:rPr>
        <w:t xml:space="preserve"> (20%</w:t>
      </w:r>
      <w:r w:rsidR="00211D4A" w:rsidRPr="00156197">
        <w:rPr>
          <w:rFonts w:ascii="Arial" w:hAnsi="Arial"/>
        </w:rPr>
        <w:t xml:space="preserve"> of cases, 19% of stock in area</w:t>
      </w:r>
      <w:r w:rsidRPr="00156197">
        <w:rPr>
          <w:rFonts w:ascii="Arial" w:hAnsi="Arial"/>
        </w:rPr>
        <w:t>)</w:t>
      </w:r>
      <w:r w:rsidR="001644E7" w:rsidRPr="00156197">
        <w:rPr>
          <w:rFonts w:ascii="Arial" w:hAnsi="Arial"/>
        </w:rPr>
        <w:t xml:space="preserve"> - £194</w:t>
      </w:r>
      <w:r w:rsidR="00211D4A" w:rsidRPr="00156197">
        <w:rPr>
          <w:rFonts w:ascii="Arial" w:hAnsi="Arial"/>
        </w:rPr>
        <w:t xml:space="preserve"> owed on average</w:t>
      </w:r>
    </w:p>
    <w:p w14:paraId="5E5A02F0" w14:textId="7BC42179" w:rsidR="00720C50" w:rsidRPr="00156197" w:rsidRDefault="00720C50" w:rsidP="00D50481">
      <w:pPr>
        <w:pStyle w:val="ListParagraph"/>
        <w:numPr>
          <w:ilvl w:val="0"/>
          <w:numId w:val="1"/>
        </w:numPr>
        <w:rPr>
          <w:rFonts w:ascii="Arial" w:hAnsi="Arial"/>
        </w:rPr>
      </w:pPr>
      <w:r w:rsidRPr="00156197">
        <w:rPr>
          <w:rFonts w:ascii="Arial" w:hAnsi="Arial"/>
        </w:rPr>
        <w:t>Rural: 104</w:t>
      </w:r>
      <w:r w:rsidR="00211D4A" w:rsidRPr="00156197">
        <w:rPr>
          <w:rFonts w:ascii="Arial" w:hAnsi="Arial"/>
        </w:rPr>
        <w:t xml:space="preserve"> cases</w:t>
      </w:r>
      <w:r w:rsidRPr="00156197">
        <w:rPr>
          <w:rFonts w:ascii="Arial" w:hAnsi="Arial"/>
        </w:rPr>
        <w:t xml:space="preserve"> (6%</w:t>
      </w:r>
      <w:r w:rsidR="00211D4A" w:rsidRPr="00156197">
        <w:rPr>
          <w:rFonts w:ascii="Arial" w:hAnsi="Arial"/>
        </w:rPr>
        <w:t xml:space="preserve"> of cases, 20% of stock in area</w:t>
      </w:r>
      <w:r w:rsidRPr="00156197">
        <w:rPr>
          <w:rFonts w:ascii="Arial" w:hAnsi="Arial"/>
        </w:rPr>
        <w:t>)</w:t>
      </w:r>
      <w:r w:rsidR="001644E7" w:rsidRPr="00156197">
        <w:rPr>
          <w:rFonts w:ascii="Arial" w:hAnsi="Arial"/>
        </w:rPr>
        <w:t xml:space="preserve"> – £206</w:t>
      </w:r>
      <w:r w:rsidR="00211D4A" w:rsidRPr="00156197">
        <w:rPr>
          <w:rFonts w:ascii="Arial" w:hAnsi="Arial"/>
        </w:rPr>
        <w:t xml:space="preserve"> owed on average</w:t>
      </w:r>
    </w:p>
    <w:p w14:paraId="0BFF2C0F" w14:textId="5A7F955E" w:rsidR="001F3A14" w:rsidRPr="00156197" w:rsidRDefault="001F3A14" w:rsidP="00BF45CB">
      <w:pPr>
        <w:rPr>
          <w:rFonts w:ascii="Arial" w:hAnsi="Arial"/>
        </w:rPr>
      </w:pPr>
      <w:r w:rsidRPr="00156197">
        <w:rPr>
          <w:rFonts w:ascii="Arial" w:hAnsi="Arial"/>
        </w:rPr>
        <w:t>Between 1</w:t>
      </w:r>
      <w:r w:rsidRPr="00156197">
        <w:rPr>
          <w:rFonts w:ascii="Arial" w:hAnsi="Arial"/>
          <w:vertAlign w:val="superscript"/>
        </w:rPr>
        <w:t>st</w:t>
      </w:r>
      <w:r w:rsidRPr="00156197">
        <w:rPr>
          <w:rFonts w:ascii="Arial" w:hAnsi="Arial"/>
        </w:rPr>
        <w:t xml:space="preserve"> April 2017 and 19</w:t>
      </w:r>
      <w:r w:rsidRPr="00156197">
        <w:rPr>
          <w:rFonts w:ascii="Arial" w:hAnsi="Arial"/>
          <w:vertAlign w:val="superscript"/>
        </w:rPr>
        <w:t>th</w:t>
      </w:r>
      <w:r w:rsidRPr="00156197">
        <w:rPr>
          <w:rFonts w:ascii="Arial" w:hAnsi="Arial"/>
        </w:rPr>
        <w:t xml:space="preserve"> March 2018, ADC carried out 35 evictions as per the below, </w:t>
      </w:r>
      <w:r w:rsidR="001644E7" w:rsidRPr="00156197">
        <w:rPr>
          <w:rFonts w:ascii="Arial" w:hAnsi="Arial"/>
        </w:rPr>
        <w:t xml:space="preserve">taken together with the above, this </w:t>
      </w:r>
      <w:r w:rsidRPr="00156197">
        <w:rPr>
          <w:rFonts w:ascii="Arial" w:hAnsi="Arial"/>
        </w:rPr>
        <w:t>suggest</w:t>
      </w:r>
      <w:r w:rsidR="001644E7" w:rsidRPr="00156197">
        <w:rPr>
          <w:rFonts w:ascii="Arial" w:hAnsi="Arial"/>
        </w:rPr>
        <w:t>s</w:t>
      </w:r>
      <w:r w:rsidRPr="00156197">
        <w:rPr>
          <w:rFonts w:ascii="Arial" w:hAnsi="Arial"/>
        </w:rPr>
        <w:t xml:space="preserve"> that Sutton has a high prevalence of community instability</w:t>
      </w:r>
      <w:r w:rsidR="001644E7" w:rsidRPr="00156197">
        <w:rPr>
          <w:rFonts w:ascii="Arial" w:hAnsi="Arial"/>
        </w:rPr>
        <w:t>, followed by Hucknall</w:t>
      </w:r>
      <w:r w:rsidRPr="00156197">
        <w:rPr>
          <w:rFonts w:ascii="Arial" w:hAnsi="Arial"/>
        </w:rPr>
        <w:t>:</w:t>
      </w:r>
    </w:p>
    <w:p w14:paraId="7AEA1629" w14:textId="1A5AC799" w:rsidR="001F3A14" w:rsidRPr="00156197" w:rsidRDefault="001F3A14" w:rsidP="00BF45CB">
      <w:pPr>
        <w:pStyle w:val="ListParagraph"/>
        <w:numPr>
          <w:ilvl w:val="0"/>
          <w:numId w:val="1"/>
        </w:numPr>
        <w:rPr>
          <w:rFonts w:ascii="Arial" w:hAnsi="Arial"/>
        </w:rPr>
      </w:pPr>
      <w:r w:rsidRPr="00156197">
        <w:rPr>
          <w:rFonts w:ascii="Arial" w:hAnsi="Arial"/>
        </w:rPr>
        <w:t>Sutton: 19</w:t>
      </w:r>
      <w:r w:rsidR="00442925" w:rsidRPr="00156197">
        <w:rPr>
          <w:rFonts w:ascii="Arial" w:hAnsi="Arial"/>
        </w:rPr>
        <w:t xml:space="preserve"> (54%)</w:t>
      </w:r>
    </w:p>
    <w:p w14:paraId="53A9CA0D" w14:textId="27A7FAD2" w:rsidR="001F3A14" w:rsidRPr="00156197" w:rsidRDefault="001F3A14" w:rsidP="00BF45CB">
      <w:pPr>
        <w:pStyle w:val="ListParagraph"/>
        <w:numPr>
          <w:ilvl w:val="0"/>
          <w:numId w:val="1"/>
        </w:numPr>
        <w:rPr>
          <w:rFonts w:ascii="Arial" w:hAnsi="Arial"/>
        </w:rPr>
      </w:pPr>
      <w:r w:rsidRPr="00156197">
        <w:rPr>
          <w:rFonts w:ascii="Arial" w:hAnsi="Arial"/>
        </w:rPr>
        <w:t>Hucknall: 10</w:t>
      </w:r>
      <w:r w:rsidR="00442925" w:rsidRPr="00156197">
        <w:rPr>
          <w:rFonts w:ascii="Arial" w:hAnsi="Arial"/>
        </w:rPr>
        <w:t xml:space="preserve"> (28.5%)</w:t>
      </w:r>
    </w:p>
    <w:p w14:paraId="046FE025" w14:textId="724E13A4" w:rsidR="001F3A14" w:rsidRPr="00156197" w:rsidRDefault="001F3A14" w:rsidP="00BF45CB">
      <w:pPr>
        <w:pStyle w:val="ListParagraph"/>
        <w:numPr>
          <w:ilvl w:val="0"/>
          <w:numId w:val="1"/>
        </w:numPr>
        <w:rPr>
          <w:rFonts w:ascii="Arial" w:hAnsi="Arial"/>
        </w:rPr>
      </w:pPr>
      <w:r w:rsidRPr="00156197">
        <w:rPr>
          <w:rFonts w:ascii="Arial" w:hAnsi="Arial"/>
        </w:rPr>
        <w:t>Kirkby: 3</w:t>
      </w:r>
      <w:r w:rsidR="00442925" w:rsidRPr="00156197">
        <w:rPr>
          <w:rFonts w:ascii="Arial" w:hAnsi="Arial"/>
        </w:rPr>
        <w:t xml:space="preserve"> (8.5%)</w:t>
      </w:r>
    </w:p>
    <w:p w14:paraId="327F021F" w14:textId="2D732646" w:rsidR="001F3A14" w:rsidRPr="00156197" w:rsidRDefault="001F3A14" w:rsidP="00814366">
      <w:pPr>
        <w:pStyle w:val="ListParagraph"/>
        <w:numPr>
          <w:ilvl w:val="0"/>
          <w:numId w:val="1"/>
        </w:numPr>
        <w:rPr>
          <w:rFonts w:ascii="Arial" w:hAnsi="Arial"/>
        </w:rPr>
      </w:pPr>
      <w:r w:rsidRPr="00156197">
        <w:rPr>
          <w:rFonts w:ascii="Arial" w:hAnsi="Arial"/>
        </w:rPr>
        <w:t>Rural: 3</w:t>
      </w:r>
      <w:r w:rsidR="00442925" w:rsidRPr="00156197">
        <w:rPr>
          <w:rFonts w:ascii="Arial" w:hAnsi="Arial"/>
        </w:rPr>
        <w:t xml:space="preserve"> (8.5%)</w:t>
      </w:r>
    </w:p>
    <w:p w14:paraId="30CBE91B" w14:textId="6A5C3117" w:rsidR="00DA377E" w:rsidRPr="00156197" w:rsidRDefault="00DA377E" w:rsidP="00DA377E">
      <w:pPr>
        <w:rPr>
          <w:rFonts w:ascii="Arial" w:hAnsi="Arial"/>
        </w:rPr>
      </w:pPr>
      <w:r w:rsidRPr="00156197">
        <w:rPr>
          <w:rFonts w:ascii="Arial" w:hAnsi="Arial"/>
        </w:rPr>
        <w:t xml:space="preserve">The greatest demand for tenancy sustainment support and pre-tenancy support experienced by ADC Housing Services comes from the Sutton area. This could suggest a higher prevalence of community instability in this area. </w:t>
      </w:r>
    </w:p>
    <w:p w14:paraId="1A3E2F60" w14:textId="77777777" w:rsidR="00032ECD" w:rsidRPr="00156197" w:rsidRDefault="00032ECD" w:rsidP="00852793">
      <w:pPr>
        <w:rPr>
          <w:rFonts w:ascii="Arial" w:hAnsi="Arial"/>
        </w:rPr>
      </w:pPr>
    </w:p>
    <w:tbl>
      <w:tblPr>
        <w:tblStyle w:val="TableGrid"/>
        <w:tblW w:w="9776" w:type="dxa"/>
        <w:tblLook w:val="04A0" w:firstRow="1" w:lastRow="0" w:firstColumn="1" w:lastColumn="0" w:noHBand="0" w:noVBand="1"/>
      </w:tblPr>
      <w:tblGrid>
        <w:gridCol w:w="1867"/>
        <w:gridCol w:w="963"/>
        <w:gridCol w:w="1134"/>
        <w:gridCol w:w="993"/>
        <w:gridCol w:w="850"/>
        <w:gridCol w:w="1276"/>
        <w:gridCol w:w="1417"/>
        <w:gridCol w:w="1276"/>
      </w:tblGrid>
      <w:tr w:rsidR="00211D4A" w:rsidRPr="00156197" w14:paraId="5DA612EE" w14:textId="56514C39" w:rsidTr="007C0EF0">
        <w:tc>
          <w:tcPr>
            <w:tcW w:w="1867" w:type="dxa"/>
          </w:tcPr>
          <w:p w14:paraId="000CAB5D" w14:textId="15759A52" w:rsidR="00211D4A" w:rsidRPr="00156197" w:rsidRDefault="00211D4A" w:rsidP="00852793">
            <w:pPr>
              <w:rPr>
                <w:rFonts w:ascii="Arial" w:hAnsi="Arial"/>
                <w:b/>
              </w:rPr>
            </w:pPr>
            <w:r w:rsidRPr="00156197">
              <w:rPr>
                <w:rFonts w:ascii="Arial" w:hAnsi="Arial"/>
                <w:b/>
              </w:rPr>
              <w:t>ADC Tenancy sustainment + pre tenancy support cases</w:t>
            </w:r>
          </w:p>
        </w:tc>
        <w:tc>
          <w:tcPr>
            <w:tcW w:w="963" w:type="dxa"/>
          </w:tcPr>
          <w:p w14:paraId="0116C650" w14:textId="05D2C926" w:rsidR="00211D4A" w:rsidRPr="00156197" w:rsidRDefault="00211D4A" w:rsidP="00852793">
            <w:pPr>
              <w:rPr>
                <w:rFonts w:ascii="Arial" w:hAnsi="Arial"/>
                <w:b/>
              </w:rPr>
            </w:pPr>
            <w:r w:rsidRPr="00156197">
              <w:rPr>
                <w:rFonts w:ascii="Arial" w:hAnsi="Arial"/>
                <w:b/>
              </w:rPr>
              <w:t>Q4 17/18</w:t>
            </w:r>
          </w:p>
        </w:tc>
        <w:tc>
          <w:tcPr>
            <w:tcW w:w="1134" w:type="dxa"/>
          </w:tcPr>
          <w:p w14:paraId="61C28F07" w14:textId="69C9C528" w:rsidR="00211D4A" w:rsidRPr="00156197" w:rsidRDefault="00211D4A" w:rsidP="00852793">
            <w:pPr>
              <w:rPr>
                <w:rFonts w:ascii="Arial" w:hAnsi="Arial"/>
                <w:b/>
              </w:rPr>
            </w:pPr>
            <w:r w:rsidRPr="00156197">
              <w:rPr>
                <w:rFonts w:ascii="Arial" w:hAnsi="Arial"/>
                <w:b/>
              </w:rPr>
              <w:t>Q3 17/18</w:t>
            </w:r>
          </w:p>
        </w:tc>
        <w:tc>
          <w:tcPr>
            <w:tcW w:w="993" w:type="dxa"/>
          </w:tcPr>
          <w:p w14:paraId="7FF5EE3A" w14:textId="28AC3161" w:rsidR="00211D4A" w:rsidRPr="00156197" w:rsidRDefault="00211D4A" w:rsidP="00852793">
            <w:pPr>
              <w:rPr>
                <w:rFonts w:ascii="Arial" w:hAnsi="Arial"/>
                <w:b/>
              </w:rPr>
            </w:pPr>
            <w:r w:rsidRPr="00156197">
              <w:rPr>
                <w:rFonts w:ascii="Arial" w:hAnsi="Arial"/>
                <w:b/>
              </w:rPr>
              <w:t>Q2 17/18</w:t>
            </w:r>
          </w:p>
        </w:tc>
        <w:tc>
          <w:tcPr>
            <w:tcW w:w="850" w:type="dxa"/>
          </w:tcPr>
          <w:p w14:paraId="18C11ECF" w14:textId="5A14EFFC" w:rsidR="00211D4A" w:rsidRPr="00156197" w:rsidRDefault="00211D4A" w:rsidP="00852793">
            <w:pPr>
              <w:rPr>
                <w:rFonts w:ascii="Arial" w:hAnsi="Arial"/>
                <w:b/>
              </w:rPr>
            </w:pPr>
            <w:r w:rsidRPr="00156197">
              <w:rPr>
                <w:rFonts w:ascii="Arial" w:hAnsi="Arial"/>
                <w:b/>
              </w:rPr>
              <w:t>Q1 17/18</w:t>
            </w:r>
          </w:p>
        </w:tc>
        <w:tc>
          <w:tcPr>
            <w:tcW w:w="1276" w:type="dxa"/>
          </w:tcPr>
          <w:p w14:paraId="43C7A8DE" w14:textId="22B86C6B" w:rsidR="00211D4A" w:rsidRPr="00156197" w:rsidRDefault="00211D4A" w:rsidP="00852793">
            <w:pPr>
              <w:rPr>
                <w:rFonts w:ascii="Arial" w:hAnsi="Arial"/>
                <w:b/>
              </w:rPr>
            </w:pPr>
            <w:r w:rsidRPr="00156197">
              <w:rPr>
                <w:rFonts w:ascii="Arial" w:hAnsi="Arial"/>
                <w:b/>
              </w:rPr>
              <w:t>Sub total</w:t>
            </w:r>
          </w:p>
        </w:tc>
        <w:tc>
          <w:tcPr>
            <w:tcW w:w="1417" w:type="dxa"/>
          </w:tcPr>
          <w:p w14:paraId="0DF00ED1" w14:textId="34FDE86C" w:rsidR="00211D4A" w:rsidRPr="00156197" w:rsidRDefault="00211D4A" w:rsidP="00852793">
            <w:pPr>
              <w:rPr>
                <w:rFonts w:ascii="Arial" w:hAnsi="Arial"/>
                <w:b/>
              </w:rPr>
            </w:pPr>
            <w:r w:rsidRPr="00156197">
              <w:rPr>
                <w:rFonts w:ascii="Arial" w:hAnsi="Arial"/>
                <w:b/>
              </w:rPr>
              <w:t>Total</w:t>
            </w:r>
          </w:p>
        </w:tc>
        <w:tc>
          <w:tcPr>
            <w:tcW w:w="1276" w:type="dxa"/>
          </w:tcPr>
          <w:p w14:paraId="07E618E7" w14:textId="685E85A3" w:rsidR="00211D4A" w:rsidRPr="00156197" w:rsidRDefault="007C0EF0" w:rsidP="00852793">
            <w:pPr>
              <w:rPr>
                <w:rFonts w:ascii="Arial" w:hAnsi="Arial"/>
                <w:b/>
              </w:rPr>
            </w:pPr>
            <w:r w:rsidRPr="00156197">
              <w:rPr>
                <w:rFonts w:ascii="Arial" w:hAnsi="Arial"/>
                <w:b/>
              </w:rPr>
              <w:t xml:space="preserve">As </w:t>
            </w:r>
            <w:r w:rsidR="00211D4A" w:rsidRPr="00156197">
              <w:rPr>
                <w:rFonts w:ascii="Arial" w:hAnsi="Arial"/>
                <w:b/>
              </w:rPr>
              <w:t>% of stock in the area</w:t>
            </w:r>
          </w:p>
        </w:tc>
      </w:tr>
      <w:tr w:rsidR="00211D4A" w:rsidRPr="00156197" w14:paraId="0AF97B9B" w14:textId="21560281" w:rsidTr="007C0EF0">
        <w:tc>
          <w:tcPr>
            <w:tcW w:w="1867" w:type="dxa"/>
          </w:tcPr>
          <w:p w14:paraId="47311CD6" w14:textId="194CAF65" w:rsidR="00211D4A" w:rsidRPr="00156197" w:rsidRDefault="00211D4A" w:rsidP="00852793">
            <w:pPr>
              <w:rPr>
                <w:rFonts w:ascii="Arial" w:hAnsi="Arial"/>
                <w:b/>
              </w:rPr>
            </w:pPr>
            <w:r w:rsidRPr="00156197">
              <w:rPr>
                <w:rFonts w:ascii="Arial" w:hAnsi="Arial"/>
                <w:b/>
              </w:rPr>
              <w:t>Sutton</w:t>
            </w:r>
          </w:p>
        </w:tc>
        <w:tc>
          <w:tcPr>
            <w:tcW w:w="963" w:type="dxa"/>
          </w:tcPr>
          <w:p w14:paraId="422C188E" w14:textId="6F942EB3" w:rsidR="00211D4A" w:rsidRPr="00156197" w:rsidRDefault="00211D4A" w:rsidP="00852793">
            <w:pPr>
              <w:rPr>
                <w:rFonts w:ascii="Arial" w:hAnsi="Arial"/>
              </w:rPr>
            </w:pPr>
            <w:r w:rsidRPr="00156197">
              <w:rPr>
                <w:rFonts w:ascii="Arial" w:hAnsi="Arial"/>
              </w:rPr>
              <w:t>23 + 28</w:t>
            </w:r>
          </w:p>
        </w:tc>
        <w:tc>
          <w:tcPr>
            <w:tcW w:w="1134" w:type="dxa"/>
          </w:tcPr>
          <w:p w14:paraId="30B6DF1F" w14:textId="5C659C39" w:rsidR="00211D4A" w:rsidRPr="00156197" w:rsidRDefault="00211D4A" w:rsidP="00852793">
            <w:pPr>
              <w:rPr>
                <w:rFonts w:ascii="Arial" w:hAnsi="Arial"/>
              </w:rPr>
            </w:pPr>
            <w:r w:rsidRPr="00156197">
              <w:rPr>
                <w:rFonts w:ascii="Arial" w:hAnsi="Arial"/>
              </w:rPr>
              <w:t>28 + 17</w:t>
            </w:r>
          </w:p>
        </w:tc>
        <w:tc>
          <w:tcPr>
            <w:tcW w:w="993" w:type="dxa"/>
          </w:tcPr>
          <w:p w14:paraId="729A7270" w14:textId="020498BD" w:rsidR="00211D4A" w:rsidRPr="00156197" w:rsidRDefault="00211D4A" w:rsidP="00852793">
            <w:pPr>
              <w:rPr>
                <w:rFonts w:ascii="Arial" w:hAnsi="Arial"/>
              </w:rPr>
            </w:pPr>
            <w:r w:rsidRPr="00156197">
              <w:rPr>
                <w:rFonts w:ascii="Arial" w:hAnsi="Arial"/>
              </w:rPr>
              <w:t>20 + 2</w:t>
            </w:r>
          </w:p>
        </w:tc>
        <w:tc>
          <w:tcPr>
            <w:tcW w:w="850" w:type="dxa"/>
          </w:tcPr>
          <w:p w14:paraId="2A252C26" w14:textId="70476F7C" w:rsidR="00211D4A" w:rsidRPr="00156197" w:rsidRDefault="00211D4A" w:rsidP="00852793">
            <w:pPr>
              <w:rPr>
                <w:rFonts w:ascii="Arial" w:hAnsi="Arial"/>
              </w:rPr>
            </w:pPr>
            <w:r w:rsidRPr="00156197">
              <w:rPr>
                <w:rFonts w:ascii="Arial" w:hAnsi="Arial"/>
              </w:rPr>
              <w:t>15</w:t>
            </w:r>
          </w:p>
        </w:tc>
        <w:tc>
          <w:tcPr>
            <w:tcW w:w="1276" w:type="dxa"/>
          </w:tcPr>
          <w:p w14:paraId="6F1B7236" w14:textId="6808C070" w:rsidR="00211D4A" w:rsidRPr="00156197" w:rsidRDefault="00211D4A" w:rsidP="00852793">
            <w:pPr>
              <w:rPr>
                <w:rFonts w:ascii="Arial" w:hAnsi="Arial"/>
              </w:rPr>
            </w:pPr>
            <w:r w:rsidRPr="00156197">
              <w:rPr>
                <w:rFonts w:ascii="Arial" w:hAnsi="Arial"/>
              </w:rPr>
              <w:t>86 + 47</w:t>
            </w:r>
          </w:p>
        </w:tc>
        <w:tc>
          <w:tcPr>
            <w:tcW w:w="1417" w:type="dxa"/>
          </w:tcPr>
          <w:p w14:paraId="1F02831A" w14:textId="322CCD5C" w:rsidR="00211D4A" w:rsidRPr="00156197" w:rsidRDefault="00211D4A" w:rsidP="00852793">
            <w:pPr>
              <w:rPr>
                <w:rFonts w:ascii="Arial" w:hAnsi="Arial"/>
              </w:rPr>
            </w:pPr>
            <w:r w:rsidRPr="00156197">
              <w:rPr>
                <w:rFonts w:ascii="Arial" w:hAnsi="Arial"/>
              </w:rPr>
              <w:t>133 (55%)</w:t>
            </w:r>
          </w:p>
        </w:tc>
        <w:tc>
          <w:tcPr>
            <w:tcW w:w="1276" w:type="dxa"/>
          </w:tcPr>
          <w:p w14:paraId="7BAAC542" w14:textId="212A61D1" w:rsidR="00211D4A" w:rsidRPr="00156197" w:rsidRDefault="00211D4A" w:rsidP="00852793">
            <w:pPr>
              <w:rPr>
                <w:rFonts w:ascii="Arial" w:hAnsi="Arial"/>
              </w:rPr>
            </w:pPr>
            <w:r w:rsidRPr="00156197">
              <w:rPr>
                <w:rFonts w:ascii="Arial" w:hAnsi="Arial"/>
              </w:rPr>
              <w:t>4.4%</w:t>
            </w:r>
          </w:p>
        </w:tc>
      </w:tr>
      <w:tr w:rsidR="00211D4A" w:rsidRPr="00156197" w14:paraId="74629103" w14:textId="615E703B" w:rsidTr="007C0EF0">
        <w:tc>
          <w:tcPr>
            <w:tcW w:w="1867" w:type="dxa"/>
          </w:tcPr>
          <w:p w14:paraId="200791B2" w14:textId="2DF16C04" w:rsidR="00211D4A" w:rsidRPr="00156197" w:rsidRDefault="00211D4A" w:rsidP="00852793">
            <w:pPr>
              <w:rPr>
                <w:rFonts w:ascii="Arial" w:hAnsi="Arial"/>
                <w:b/>
              </w:rPr>
            </w:pPr>
            <w:r w:rsidRPr="00156197">
              <w:rPr>
                <w:rFonts w:ascii="Arial" w:hAnsi="Arial"/>
                <w:b/>
              </w:rPr>
              <w:t>Kirkby</w:t>
            </w:r>
          </w:p>
        </w:tc>
        <w:tc>
          <w:tcPr>
            <w:tcW w:w="963" w:type="dxa"/>
          </w:tcPr>
          <w:p w14:paraId="5D6D2FD5" w14:textId="22D080E8" w:rsidR="00211D4A" w:rsidRPr="00156197" w:rsidRDefault="00211D4A" w:rsidP="00852793">
            <w:pPr>
              <w:rPr>
                <w:rFonts w:ascii="Arial" w:hAnsi="Arial"/>
              </w:rPr>
            </w:pPr>
            <w:r w:rsidRPr="00156197">
              <w:rPr>
                <w:rFonts w:ascii="Arial" w:hAnsi="Arial"/>
              </w:rPr>
              <w:t>10 + 6</w:t>
            </w:r>
          </w:p>
        </w:tc>
        <w:tc>
          <w:tcPr>
            <w:tcW w:w="1134" w:type="dxa"/>
          </w:tcPr>
          <w:p w14:paraId="40D0D3DF" w14:textId="41272EBE" w:rsidR="00211D4A" w:rsidRPr="00156197" w:rsidRDefault="00211D4A" w:rsidP="00852793">
            <w:pPr>
              <w:rPr>
                <w:rFonts w:ascii="Arial" w:hAnsi="Arial"/>
              </w:rPr>
            </w:pPr>
            <w:r w:rsidRPr="00156197">
              <w:rPr>
                <w:rFonts w:ascii="Arial" w:hAnsi="Arial"/>
              </w:rPr>
              <w:t>12 + 4</w:t>
            </w:r>
          </w:p>
        </w:tc>
        <w:tc>
          <w:tcPr>
            <w:tcW w:w="993" w:type="dxa"/>
          </w:tcPr>
          <w:p w14:paraId="265CF585" w14:textId="0564300E" w:rsidR="00211D4A" w:rsidRPr="00156197" w:rsidRDefault="00211D4A" w:rsidP="00852793">
            <w:pPr>
              <w:rPr>
                <w:rFonts w:ascii="Arial" w:hAnsi="Arial"/>
              </w:rPr>
            </w:pPr>
            <w:r w:rsidRPr="00156197">
              <w:rPr>
                <w:rFonts w:ascii="Arial" w:hAnsi="Arial"/>
              </w:rPr>
              <w:t>10 + 3</w:t>
            </w:r>
          </w:p>
        </w:tc>
        <w:tc>
          <w:tcPr>
            <w:tcW w:w="850" w:type="dxa"/>
          </w:tcPr>
          <w:p w14:paraId="5743AB2F" w14:textId="7F8CD92F" w:rsidR="00211D4A" w:rsidRPr="00156197" w:rsidRDefault="00211D4A" w:rsidP="00852793">
            <w:pPr>
              <w:rPr>
                <w:rFonts w:ascii="Arial" w:hAnsi="Arial"/>
              </w:rPr>
            </w:pPr>
            <w:r w:rsidRPr="00156197">
              <w:rPr>
                <w:rFonts w:ascii="Arial" w:hAnsi="Arial"/>
              </w:rPr>
              <w:t>17</w:t>
            </w:r>
          </w:p>
        </w:tc>
        <w:tc>
          <w:tcPr>
            <w:tcW w:w="1276" w:type="dxa"/>
          </w:tcPr>
          <w:p w14:paraId="5A0B08EF" w14:textId="44EDA8E6" w:rsidR="00211D4A" w:rsidRPr="00156197" w:rsidRDefault="00211D4A" w:rsidP="00852793">
            <w:pPr>
              <w:rPr>
                <w:rFonts w:ascii="Arial" w:hAnsi="Arial"/>
              </w:rPr>
            </w:pPr>
            <w:r w:rsidRPr="00156197">
              <w:rPr>
                <w:rFonts w:ascii="Arial" w:hAnsi="Arial"/>
              </w:rPr>
              <w:t>49 + 13</w:t>
            </w:r>
          </w:p>
        </w:tc>
        <w:tc>
          <w:tcPr>
            <w:tcW w:w="1417" w:type="dxa"/>
          </w:tcPr>
          <w:p w14:paraId="5BF22ECE" w14:textId="527F1364" w:rsidR="00211D4A" w:rsidRPr="00156197" w:rsidRDefault="00211D4A" w:rsidP="00852793">
            <w:pPr>
              <w:rPr>
                <w:rFonts w:ascii="Arial" w:hAnsi="Arial"/>
              </w:rPr>
            </w:pPr>
            <w:r w:rsidRPr="00156197">
              <w:rPr>
                <w:rFonts w:ascii="Arial" w:hAnsi="Arial"/>
              </w:rPr>
              <w:t>62 (25%)</w:t>
            </w:r>
          </w:p>
        </w:tc>
        <w:tc>
          <w:tcPr>
            <w:tcW w:w="1276" w:type="dxa"/>
          </w:tcPr>
          <w:p w14:paraId="7F047FFD" w14:textId="19605F07" w:rsidR="00211D4A" w:rsidRPr="00156197" w:rsidRDefault="00211D4A" w:rsidP="00211D4A">
            <w:pPr>
              <w:rPr>
                <w:rFonts w:ascii="Arial" w:hAnsi="Arial"/>
              </w:rPr>
            </w:pPr>
            <w:r w:rsidRPr="00156197">
              <w:rPr>
                <w:rFonts w:ascii="Arial" w:hAnsi="Arial"/>
              </w:rPr>
              <w:t>3.7%</w:t>
            </w:r>
          </w:p>
        </w:tc>
      </w:tr>
      <w:tr w:rsidR="00211D4A" w:rsidRPr="00156197" w14:paraId="6CEFCF0A" w14:textId="6AAF1713" w:rsidTr="007C0EF0">
        <w:tc>
          <w:tcPr>
            <w:tcW w:w="1867" w:type="dxa"/>
          </w:tcPr>
          <w:p w14:paraId="04621847" w14:textId="21C9A361" w:rsidR="00211D4A" w:rsidRPr="00156197" w:rsidRDefault="00211D4A" w:rsidP="00852793">
            <w:pPr>
              <w:rPr>
                <w:rFonts w:ascii="Arial" w:hAnsi="Arial"/>
                <w:b/>
              </w:rPr>
            </w:pPr>
            <w:r w:rsidRPr="00156197">
              <w:rPr>
                <w:rFonts w:ascii="Arial" w:hAnsi="Arial"/>
                <w:b/>
              </w:rPr>
              <w:t>Hucknall</w:t>
            </w:r>
          </w:p>
        </w:tc>
        <w:tc>
          <w:tcPr>
            <w:tcW w:w="963" w:type="dxa"/>
          </w:tcPr>
          <w:p w14:paraId="424A1CC2" w14:textId="33EE0099" w:rsidR="00211D4A" w:rsidRPr="00156197" w:rsidRDefault="00211D4A" w:rsidP="00852793">
            <w:pPr>
              <w:rPr>
                <w:rFonts w:ascii="Arial" w:hAnsi="Arial"/>
              </w:rPr>
            </w:pPr>
            <w:r w:rsidRPr="00156197">
              <w:rPr>
                <w:rFonts w:ascii="Arial" w:hAnsi="Arial"/>
              </w:rPr>
              <w:t>7 + 4</w:t>
            </w:r>
          </w:p>
        </w:tc>
        <w:tc>
          <w:tcPr>
            <w:tcW w:w="1134" w:type="dxa"/>
          </w:tcPr>
          <w:p w14:paraId="303E0476" w14:textId="1739086A" w:rsidR="00211D4A" w:rsidRPr="00156197" w:rsidRDefault="00211D4A" w:rsidP="00852793">
            <w:pPr>
              <w:rPr>
                <w:rFonts w:ascii="Arial" w:hAnsi="Arial"/>
              </w:rPr>
            </w:pPr>
            <w:r w:rsidRPr="00156197">
              <w:rPr>
                <w:rFonts w:ascii="Arial" w:hAnsi="Arial"/>
              </w:rPr>
              <w:t>10 + 2</w:t>
            </w:r>
          </w:p>
        </w:tc>
        <w:tc>
          <w:tcPr>
            <w:tcW w:w="993" w:type="dxa"/>
          </w:tcPr>
          <w:p w14:paraId="563DEF5E" w14:textId="39DD1FD2" w:rsidR="00211D4A" w:rsidRPr="00156197" w:rsidRDefault="00211D4A" w:rsidP="00852793">
            <w:pPr>
              <w:rPr>
                <w:rFonts w:ascii="Arial" w:hAnsi="Arial"/>
              </w:rPr>
            </w:pPr>
            <w:r w:rsidRPr="00156197">
              <w:rPr>
                <w:rFonts w:ascii="Arial" w:hAnsi="Arial"/>
              </w:rPr>
              <w:t>2</w:t>
            </w:r>
          </w:p>
        </w:tc>
        <w:tc>
          <w:tcPr>
            <w:tcW w:w="850" w:type="dxa"/>
          </w:tcPr>
          <w:p w14:paraId="2114D473" w14:textId="5974EB11" w:rsidR="00211D4A" w:rsidRPr="00156197" w:rsidRDefault="00211D4A" w:rsidP="00852793">
            <w:pPr>
              <w:rPr>
                <w:rFonts w:ascii="Arial" w:hAnsi="Arial"/>
              </w:rPr>
            </w:pPr>
            <w:r w:rsidRPr="00156197">
              <w:rPr>
                <w:rFonts w:ascii="Arial" w:hAnsi="Arial"/>
              </w:rPr>
              <w:t>5</w:t>
            </w:r>
          </w:p>
        </w:tc>
        <w:tc>
          <w:tcPr>
            <w:tcW w:w="1276" w:type="dxa"/>
          </w:tcPr>
          <w:p w14:paraId="3726F773" w14:textId="6AE26128" w:rsidR="00211D4A" w:rsidRPr="00156197" w:rsidRDefault="00211D4A" w:rsidP="00852793">
            <w:pPr>
              <w:rPr>
                <w:rFonts w:ascii="Arial" w:hAnsi="Arial"/>
              </w:rPr>
            </w:pPr>
            <w:r w:rsidRPr="00156197">
              <w:rPr>
                <w:rFonts w:ascii="Arial" w:hAnsi="Arial"/>
              </w:rPr>
              <w:t>24 + 6</w:t>
            </w:r>
          </w:p>
        </w:tc>
        <w:tc>
          <w:tcPr>
            <w:tcW w:w="1417" w:type="dxa"/>
          </w:tcPr>
          <w:p w14:paraId="472F8C1D" w14:textId="5C504ECE" w:rsidR="00211D4A" w:rsidRPr="00156197" w:rsidRDefault="00211D4A" w:rsidP="00852793">
            <w:pPr>
              <w:rPr>
                <w:rFonts w:ascii="Arial" w:hAnsi="Arial"/>
              </w:rPr>
            </w:pPr>
            <w:r w:rsidRPr="00156197">
              <w:rPr>
                <w:rFonts w:ascii="Arial" w:hAnsi="Arial"/>
              </w:rPr>
              <w:t>30 (12%)</w:t>
            </w:r>
          </w:p>
        </w:tc>
        <w:tc>
          <w:tcPr>
            <w:tcW w:w="1276" w:type="dxa"/>
          </w:tcPr>
          <w:p w14:paraId="5A153201" w14:textId="71F75355" w:rsidR="00211D4A" w:rsidRPr="00156197" w:rsidRDefault="00211D4A" w:rsidP="00852793">
            <w:pPr>
              <w:rPr>
                <w:rFonts w:ascii="Arial" w:hAnsi="Arial"/>
              </w:rPr>
            </w:pPr>
            <w:r w:rsidRPr="00156197">
              <w:rPr>
                <w:rFonts w:ascii="Arial" w:hAnsi="Arial"/>
              </w:rPr>
              <w:t>1.8%</w:t>
            </w:r>
          </w:p>
        </w:tc>
      </w:tr>
      <w:tr w:rsidR="00211D4A" w:rsidRPr="00156197" w14:paraId="081A1FE4" w14:textId="7A2C4519" w:rsidTr="007C0EF0">
        <w:tc>
          <w:tcPr>
            <w:tcW w:w="1867" w:type="dxa"/>
          </w:tcPr>
          <w:p w14:paraId="46E6B1C9" w14:textId="4F8D967B" w:rsidR="00211D4A" w:rsidRPr="00156197" w:rsidRDefault="00211D4A" w:rsidP="00852793">
            <w:pPr>
              <w:rPr>
                <w:rFonts w:ascii="Arial" w:hAnsi="Arial"/>
                <w:b/>
              </w:rPr>
            </w:pPr>
            <w:r w:rsidRPr="00156197">
              <w:rPr>
                <w:rFonts w:ascii="Arial" w:hAnsi="Arial"/>
                <w:b/>
              </w:rPr>
              <w:t>Rural</w:t>
            </w:r>
          </w:p>
        </w:tc>
        <w:tc>
          <w:tcPr>
            <w:tcW w:w="963" w:type="dxa"/>
          </w:tcPr>
          <w:p w14:paraId="1B3F4F4D" w14:textId="2DB9FD15" w:rsidR="00211D4A" w:rsidRPr="00156197" w:rsidRDefault="00211D4A" w:rsidP="00852793">
            <w:pPr>
              <w:rPr>
                <w:rFonts w:ascii="Arial" w:hAnsi="Arial"/>
              </w:rPr>
            </w:pPr>
            <w:r w:rsidRPr="00156197">
              <w:rPr>
                <w:rFonts w:ascii="Arial" w:hAnsi="Arial"/>
              </w:rPr>
              <w:t xml:space="preserve">5 + 1 </w:t>
            </w:r>
          </w:p>
        </w:tc>
        <w:tc>
          <w:tcPr>
            <w:tcW w:w="1134" w:type="dxa"/>
          </w:tcPr>
          <w:p w14:paraId="66D20A4C" w14:textId="2E7DBC43" w:rsidR="00211D4A" w:rsidRPr="00156197" w:rsidRDefault="00211D4A" w:rsidP="00852793">
            <w:pPr>
              <w:rPr>
                <w:rFonts w:ascii="Arial" w:hAnsi="Arial"/>
              </w:rPr>
            </w:pPr>
            <w:r w:rsidRPr="00156197">
              <w:rPr>
                <w:rFonts w:ascii="Arial" w:hAnsi="Arial"/>
              </w:rPr>
              <w:t>3</w:t>
            </w:r>
          </w:p>
        </w:tc>
        <w:tc>
          <w:tcPr>
            <w:tcW w:w="993" w:type="dxa"/>
          </w:tcPr>
          <w:p w14:paraId="22E1F0D5" w14:textId="731A7C06" w:rsidR="00211D4A" w:rsidRPr="00156197" w:rsidRDefault="00211D4A" w:rsidP="00852793">
            <w:pPr>
              <w:rPr>
                <w:rFonts w:ascii="Arial" w:hAnsi="Arial"/>
              </w:rPr>
            </w:pPr>
            <w:r w:rsidRPr="00156197">
              <w:rPr>
                <w:rFonts w:ascii="Arial" w:hAnsi="Arial"/>
              </w:rPr>
              <w:t>1</w:t>
            </w:r>
          </w:p>
        </w:tc>
        <w:tc>
          <w:tcPr>
            <w:tcW w:w="850" w:type="dxa"/>
          </w:tcPr>
          <w:p w14:paraId="50E0F272" w14:textId="756AC2EA" w:rsidR="00211D4A" w:rsidRPr="00156197" w:rsidRDefault="00211D4A" w:rsidP="00852793">
            <w:pPr>
              <w:rPr>
                <w:rFonts w:ascii="Arial" w:hAnsi="Arial"/>
              </w:rPr>
            </w:pPr>
            <w:r w:rsidRPr="00156197">
              <w:rPr>
                <w:rFonts w:ascii="Arial" w:hAnsi="Arial"/>
              </w:rPr>
              <w:t>7</w:t>
            </w:r>
          </w:p>
        </w:tc>
        <w:tc>
          <w:tcPr>
            <w:tcW w:w="1276" w:type="dxa"/>
          </w:tcPr>
          <w:p w14:paraId="60C1DBCD" w14:textId="532ED4E9" w:rsidR="00211D4A" w:rsidRPr="00156197" w:rsidRDefault="00211D4A" w:rsidP="00852793">
            <w:pPr>
              <w:rPr>
                <w:rFonts w:ascii="Arial" w:hAnsi="Arial"/>
              </w:rPr>
            </w:pPr>
            <w:r w:rsidRPr="00156197">
              <w:rPr>
                <w:rFonts w:ascii="Arial" w:hAnsi="Arial"/>
              </w:rPr>
              <w:t>16 + 1</w:t>
            </w:r>
          </w:p>
        </w:tc>
        <w:tc>
          <w:tcPr>
            <w:tcW w:w="1417" w:type="dxa"/>
          </w:tcPr>
          <w:p w14:paraId="7082CA07" w14:textId="0FEC21DC" w:rsidR="00211D4A" w:rsidRPr="00156197" w:rsidRDefault="00211D4A" w:rsidP="00852793">
            <w:pPr>
              <w:rPr>
                <w:rFonts w:ascii="Arial" w:hAnsi="Arial"/>
              </w:rPr>
            </w:pPr>
            <w:r w:rsidRPr="00156197">
              <w:rPr>
                <w:rFonts w:ascii="Arial" w:hAnsi="Arial"/>
              </w:rPr>
              <w:t>17 (7%)</w:t>
            </w:r>
          </w:p>
        </w:tc>
        <w:tc>
          <w:tcPr>
            <w:tcW w:w="1276" w:type="dxa"/>
          </w:tcPr>
          <w:p w14:paraId="0F63D023" w14:textId="3844DDDD" w:rsidR="00211D4A" w:rsidRPr="00156197" w:rsidRDefault="00211D4A" w:rsidP="00852793">
            <w:pPr>
              <w:rPr>
                <w:rFonts w:ascii="Arial" w:hAnsi="Arial"/>
              </w:rPr>
            </w:pPr>
            <w:r w:rsidRPr="00156197">
              <w:rPr>
                <w:rFonts w:ascii="Arial" w:hAnsi="Arial"/>
              </w:rPr>
              <w:t>3.3%</w:t>
            </w:r>
          </w:p>
        </w:tc>
      </w:tr>
      <w:tr w:rsidR="00211D4A" w:rsidRPr="00156197" w14:paraId="0774722C" w14:textId="03349287" w:rsidTr="007C0EF0">
        <w:tc>
          <w:tcPr>
            <w:tcW w:w="1867" w:type="dxa"/>
          </w:tcPr>
          <w:p w14:paraId="6D462E30" w14:textId="77777777" w:rsidR="00211D4A" w:rsidRPr="00156197" w:rsidRDefault="00211D4A" w:rsidP="00852793">
            <w:pPr>
              <w:rPr>
                <w:rFonts w:ascii="Arial" w:hAnsi="Arial"/>
              </w:rPr>
            </w:pPr>
          </w:p>
        </w:tc>
        <w:tc>
          <w:tcPr>
            <w:tcW w:w="963" w:type="dxa"/>
          </w:tcPr>
          <w:p w14:paraId="3866E8C4" w14:textId="77777777" w:rsidR="00211D4A" w:rsidRPr="00156197" w:rsidRDefault="00211D4A" w:rsidP="00852793">
            <w:pPr>
              <w:rPr>
                <w:rFonts w:ascii="Arial" w:hAnsi="Arial"/>
              </w:rPr>
            </w:pPr>
          </w:p>
        </w:tc>
        <w:tc>
          <w:tcPr>
            <w:tcW w:w="1134" w:type="dxa"/>
          </w:tcPr>
          <w:p w14:paraId="5EFC6E75" w14:textId="77777777" w:rsidR="00211D4A" w:rsidRPr="00156197" w:rsidRDefault="00211D4A" w:rsidP="00852793">
            <w:pPr>
              <w:rPr>
                <w:rFonts w:ascii="Arial" w:hAnsi="Arial"/>
              </w:rPr>
            </w:pPr>
          </w:p>
        </w:tc>
        <w:tc>
          <w:tcPr>
            <w:tcW w:w="993" w:type="dxa"/>
          </w:tcPr>
          <w:p w14:paraId="152674BE" w14:textId="77777777" w:rsidR="00211D4A" w:rsidRPr="00156197" w:rsidRDefault="00211D4A" w:rsidP="00852793">
            <w:pPr>
              <w:rPr>
                <w:rFonts w:ascii="Arial" w:hAnsi="Arial"/>
              </w:rPr>
            </w:pPr>
          </w:p>
        </w:tc>
        <w:tc>
          <w:tcPr>
            <w:tcW w:w="850" w:type="dxa"/>
          </w:tcPr>
          <w:p w14:paraId="7F59689F" w14:textId="77777777" w:rsidR="00211D4A" w:rsidRPr="00156197" w:rsidRDefault="00211D4A" w:rsidP="00852793">
            <w:pPr>
              <w:rPr>
                <w:rFonts w:ascii="Arial" w:hAnsi="Arial"/>
              </w:rPr>
            </w:pPr>
          </w:p>
        </w:tc>
        <w:tc>
          <w:tcPr>
            <w:tcW w:w="1276" w:type="dxa"/>
          </w:tcPr>
          <w:p w14:paraId="240FA688" w14:textId="77777777" w:rsidR="00211D4A" w:rsidRPr="00156197" w:rsidRDefault="00211D4A" w:rsidP="00852793">
            <w:pPr>
              <w:rPr>
                <w:rFonts w:ascii="Arial" w:hAnsi="Arial"/>
              </w:rPr>
            </w:pPr>
          </w:p>
        </w:tc>
        <w:tc>
          <w:tcPr>
            <w:tcW w:w="1417" w:type="dxa"/>
          </w:tcPr>
          <w:p w14:paraId="1E54C45D" w14:textId="79CFC105" w:rsidR="00211D4A" w:rsidRPr="00156197" w:rsidRDefault="00211D4A" w:rsidP="00852793">
            <w:pPr>
              <w:rPr>
                <w:rFonts w:ascii="Arial" w:hAnsi="Arial"/>
                <w:b/>
              </w:rPr>
            </w:pPr>
            <w:r w:rsidRPr="00156197">
              <w:rPr>
                <w:rFonts w:ascii="Arial" w:hAnsi="Arial"/>
                <w:b/>
              </w:rPr>
              <w:t>242</w:t>
            </w:r>
          </w:p>
        </w:tc>
        <w:tc>
          <w:tcPr>
            <w:tcW w:w="1276" w:type="dxa"/>
          </w:tcPr>
          <w:p w14:paraId="12E60748" w14:textId="77777777" w:rsidR="00211D4A" w:rsidRPr="00156197" w:rsidRDefault="00211D4A" w:rsidP="00852793">
            <w:pPr>
              <w:rPr>
                <w:rFonts w:ascii="Arial" w:hAnsi="Arial"/>
              </w:rPr>
            </w:pPr>
          </w:p>
        </w:tc>
      </w:tr>
    </w:tbl>
    <w:p w14:paraId="5EAC289A" w14:textId="77777777" w:rsidR="00032ECD" w:rsidRPr="00156197" w:rsidRDefault="00032ECD" w:rsidP="00852793">
      <w:pPr>
        <w:rPr>
          <w:rFonts w:ascii="Arial" w:hAnsi="Arial"/>
        </w:rPr>
      </w:pPr>
    </w:p>
    <w:p w14:paraId="73D6320C" w14:textId="3EDBBA7F" w:rsidR="00442925" w:rsidRPr="00156197" w:rsidRDefault="00442925" w:rsidP="00852793">
      <w:pPr>
        <w:rPr>
          <w:rFonts w:ascii="Arial" w:hAnsi="Arial"/>
        </w:rPr>
      </w:pPr>
      <w:r w:rsidRPr="00156197">
        <w:rPr>
          <w:rFonts w:ascii="Arial" w:hAnsi="Arial"/>
        </w:rPr>
        <w:t>The distribution of ADC stock across the four areas is as follows:</w:t>
      </w:r>
    </w:p>
    <w:p w14:paraId="7B4AFD9A" w14:textId="01F919FC" w:rsidR="00442925" w:rsidRPr="00156197" w:rsidRDefault="00442925" w:rsidP="00442925">
      <w:pPr>
        <w:pStyle w:val="ListParagraph"/>
        <w:numPr>
          <w:ilvl w:val="0"/>
          <w:numId w:val="1"/>
        </w:numPr>
        <w:rPr>
          <w:rFonts w:ascii="Arial" w:hAnsi="Arial"/>
        </w:rPr>
      </w:pPr>
      <w:r w:rsidRPr="00156197">
        <w:rPr>
          <w:rFonts w:ascii="Arial" w:hAnsi="Arial"/>
        </w:rPr>
        <w:t>Sutton 44%</w:t>
      </w:r>
    </w:p>
    <w:p w14:paraId="205820DE" w14:textId="7F70418D" w:rsidR="00442925" w:rsidRPr="00156197" w:rsidRDefault="00442925" w:rsidP="00442925">
      <w:pPr>
        <w:pStyle w:val="ListParagraph"/>
        <w:numPr>
          <w:ilvl w:val="0"/>
          <w:numId w:val="1"/>
        </w:numPr>
        <w:rPr>
          <w:rFonts w:ascii="Arial" w:hAnsi="Arial"/>
        </w:rPr>
      </w:pPr>
      <w:r w:rsidRPr="00156197">
        <w:rPr>
          <w:rFonts w:ascii="Arial" w:hAnsi="Arial"/>
        </w:rPr>
        <w:t>Kirkby 24%</w:t>
      </w:r>
    </w:p>
    <w:p w14:paraId="6FF1ACF4" w14:textId="73BA623D" w:rsidR="00442925" w:rsidRPr="00156197" w:rsidRDefault="00442925" w:rsidP="00442925">
      <w:pPr>
        <w:pStyle w:val="ListParagraph"/>
        <w:numPr>
          <w:ilvl w:val="0"/>
          <w:numId w:val="1"/>
        </w:numPr>
        <w:rPr>
          <w:rFonts w:ascii="Arial" w:hAnsi="Arial"/>
        </w:rPr>
      </w:pPr>
      <w:r w:rsidRPr="00156197">
        <w:rPr>
          <w:rFonts w:ascii="Arial" w:hAnsi="Arial"/>
        </w:rPr>
        <w:t>Hucknall 25%</w:t>
      </w:r>
    </w:p>
    <w:p w14:paraId="30D24AF0" w14:textId="14086003" w:rsidR="00442925" w:rsidRPr="00156197" w:rsidRDefault="00442925" w:rsidP="00442925">
      <w:pPr>
        <w:pStyle w:val="ListParagraph"/>
        <w:numPr>
          <w:ilvl w:val="0"/>
          <w:numId w:val="1"/>
        </w:numPr>
        <w:rPr>
          <w:rFonts w:ascii="Arial" w:hAnsi="Arial"/>
        </w:rPr>
      </w:pPr>
      <w:r w:rsidRPr="00156197">
        <w:rPr>
          <w:rFonts w:ascii="Arial" w:hAnsi="Arial"/>
        </w:rPr>
        <w:t>Rural 7%</w:t>
      </w:r>
    </w:p>
    <w:p w14:paraId="4C6684FB" w14:textId="691DAA74" w:rsidR="00442925" w:rsidRPr="00156197" w:rsidRDefault="00442925" w:rsidP="00442925">
      <w:pPr>
        <w:rPr>
          <w:rFonts w:ascii="Arial" w:hAnsi="Arial"/>
        </w:rPr>
      </w:pPr>
      <w:r w:rsidRPr="00156197">
        <w:rPr>
          <w:rFonts w:ascii="Arial" w:hAnsi="Arial"/>
        </w:rPr>
        <w:t xml:space="preserve">As such, the breakdown of arrears cases is broadly representative of this, whereas there is overrepresentation from Sutton and an underrepresentation from Kirkby in the number of evictions carried out. Also, there is an overrepresentation from Sutton and an underrepresentation from Hucknall in the number of tenancy sustainment cases. </w:t>
      </w:r>
    </w:p>
    <w:p w14:paraId="3590172F" w14:textId="46DA956C" w:rsidR="00442925" w:rsidRPr="00156197" w:rsidRDefault="00622AEF" w:rsidP="00852793">
      <w:pPr>
        <w:rPr>
          <w:rFonts w:ascii="Arial" w:hAnsi="Arial"/>
        </w:rPr>
      </w:pPr>
      <w:r w:rsidRPr="00156197">
        <w:rPr>
          <w:rFonts w:ascii="Arial" w:hAnsi="Arial"/>
        </w:rPr>
        <w:t xml:space="preserve">The Central and New Cross ward in Sutton in Ashfield has the highest prevalence of anti social behaviour and community protection issues. Taken with the above, Sutton is clearly the area with the highest community instability in the district. </w:t>
      </w:r>
    </w:p>
    <w:p w14:paraId="4F0C76A2" w14:textId="77777777" w:rsidR="00493578" w:rsidRPr="00156197" w:rsidRDefault="00493578" w:rsidP="00D1322D">
      <w:pPr>
        <w:rPr>
          <w:rFonts w:ascii="Arial" w:hAnsi="Arial"/>
          <w:b/>
        </w:rPr>
      </w:pPr>
    </w:p>
    <w:p w14:paraId="065E02ED" w14:textId="77777777" w:rsidR="00493578" w:rsidRPr="00156197" w:rsidRDefault="00493578" w:rsidP="00D1322D">
      <w:pPr>
        <w:rPr>
          <w:rFonts w:ascii="Arial" w:hAnsi="Arial"/>
          <w:b/>
        </w:rPr>
      </w:pPr>
    </w:p>
    <w:p w14:paraId="37EBAFEA" w14:textId="77777777" w:rsidR="00813819" w:rsidRDefault="00813819" w:rsidP="00D1322D">
      <w:pPr>
        <w:rPr>
          <w:rFonts w:ascii="Arial" w:hAnsi="Arial"/>
          <w:b/>
        </w:rPr>
      </w:pPr>
    </w:p>
    <w:p w14:paraId="4B11BA49" w14:textId="4F76C2AB" w:rsidR="00852793" w:rsidRDefault="00813819" w:rsidP="00D1322D">
      <w:pPr>
        <w:rPr>
          <w:rFonts w:ascii="Arial" w:hAnsi="Arial"/>
          <w:b/>
        </w:rPr>
      </w:pPr>
      <w:r>
        <w:rPr>
          <w:rFonts w:ascii="Arial" w:hAnsi="Arial"/>
          <w:b/>
        </w:rPr>
        <w:lastRenderedPageBreak/>
        <w:t>Appendix 2 – Consultation</w:t>
      </w:r>
    </w:p>
    <w:p w14:paraId="1C6DEBD0" w14:textId="5C59BA28" w:rsidR="00813819" w:rsidRDefault="00813819" w:rsidP="00D1322D">
      <w:pPr>
        <w:rPr>
          <w:rFonts w:ascii="Arial" w:hAnsi="Arial"/>
        </w:rPr>
      </w:pPr>
      <w:r>
        <w:rPr>
          <w:rFonts w:ascii="Arial" w:hAnsi="Arial"/>
        </w:rPr>
        <w:t xml:space="preserve">Section 151 of the Localism Act 2011 requires that </w:t>
      </w:r>
      <w:r w:rsidR="002F26D0">
        <w:rPr>
          <w:rFonts w:ascii="Arial" w:hAnsi="Arial"/>
        </w:rPr>
        <w:t>before adopting a Tenancy Strategy, or making a modification to it reflecting a major change of policy, a local authority must:</w:t>
      </w:r>
    </w:p>
    <w:p w14:paraId="6A3612A7" w14:textId="77777777" w:rsidR="002F26D0" w:rsidRDefault="002F26D0" w:rsidP="002F26D0">
      <w:pPr>
        <w:pStyle w:val="ListParagraph"/>
        <w:numPr>
          <w:ilvl w:val="0"/>
          <w:numId w:val="1"/>
        </w:numPr>
        <w:rPr>
          <w:rFonts w:ascii="Arial" w:hAnsi="Arial"/>
        </w:rPr>
      </w:pPr>
      <w:r>
        <w:rPr>
          <w:rFonts w:ascii="Arial" w:hAnsi="Arial"/>
        </w:rPr>
        <w:t>Send a copy of the draft strategy, or proposed modification, to every private registered provider of social housing for its district, and</w:t>
      </w:r>
    </w:p>
    <w:p w14:paraId="0C749987" w14:textId="2C8C93BA" w:rsidR="00631374" w:rsidRPr="002F26D0" w:rsidRDefault="002F26D0" w:rsidP="00873D8F">
      <w:pPr>
        <w:pStyle w:val="ListParagraph"/>
        <w:numPr>
          <w:ilvl w:val="0"/>
          <w:numId w:val="1"/>
        </w:numPr>
        <w:rPr>
          <w:rFonts w:ascii="Arial" w:hAnsi="Arial"/>
          <w:b/>
        </w:rPr>
      </w:pPr>
      <w:r w:rsidRPr="002F26D0">
        <w:rPr>
          <w:rFonts w:ascii="Arial" w:hAnsi="Arial"/>
        </w:rPr>
        <w:t>Give the private registered provider a reasonable opportunity to comment on those proposals</w:t>
      </w:r>
    </w:p>
    <w:p w14:paraId="15644AB4" w14:textId="5DFBBBE9" w:rsidR="00631374" w:rsidRPr="00156197" w:rsidRDefault="00631374" w:rsidP="00813819">
      <w:pPr>
        <w:rPr>
          <w:rFonts w:ascii="Arial" w:hAnsi="Arial"/>
        </w:rPr>
      </w:pPr>
      <w:r w:rsidRPr="00156197">
        <w:rPr>
          <w:rFonts w:ascii="Arial" w:hAnsi="Arial"/>
        </w:rPr>
        <w:t>A survey was issued in March 2018 to registered providers operating in the district asking for information regarding their use of fixed term tenancies and Affordable Rents</w:t>
      </w:r>
      <w:r w:rsidR="00E54A17">
        <w:rPr>
          <w:rFonts w:ascii="Arial" w:hAnsi="Arial"/>
        </w:rPr>
        <w:t>. The below section details the questions that were asked.</w:t>
      </w:r>
    </w:p>
    <w:p w14:paraId="69CA3D72" w14:textId="13A53746" w:rsidR="00631374" w:rsidRDefault="00631374" w:rsidP="00D1322D">
      <w:pPr>
        <w:rPr>
          <w:rFonts w:ascii="Arial" w:hAnsi="Arial"/>
        </w:rPr>
      </w:pPr>
      <w:r w:rsidRPr="00156197">
        <w:rPr>
          <w:rFonts w:ascii="Arial" w:hAnsi="Arial"/>
        </w:rPr>
        <w:t>There was only one response from Derwent Living who does not use fixed term tenancies but does issue starter tenancies. Affordable Rent is charged at 80% of the market rent or the relevant LHA rate, whichever is lower. Affordability assessments are conducted with all applicants which considers individual applicants income and expenditure. A copy of their tenancy policy can be found on their website and this was last updated in 2016.</w:t>
      </w:r>
    </w:p>
    <w:p w14:paraId="1D64BA01" w14:textId="31EAEC09" w:rsidR="00813819" w:rsidRPr="00156197" w:rsidRDefault="00813819" w:rsidP="00D1322D">
      <w:pPr>
        <w:rPr>
          <w:rFonts w:ascii="Arial" w:hAnsi="Arial"/>
        </w:rPr>
      </w:pPr>
      <w:r>
        <w:rPr>
          <w:rFonts w:ascii="Arial" w:hAnsi="Arial"/>
        </w:rPr>
        <w:t>A copy of the final draft of this strategy was also issued to registered providers operating in the district, inviting them to make comments, no responses were received.</w:t>
      </w:r>
    </w:p>
    <w:p w14:paraId="15A93F2C" w14:textId="77777777" w:rsidR="00B52861" w:rsidRPr="00156197" w:rsidRDefault="00B52861" w:rsidP="00B52861">
      <w:pPr>
        <w:autoSpaceDE w:val="0"/>
        <w:autoSpaceDN w:val="0"/>
        <w:adjustRightInd w:val="0"/>
        <w:spacing w:after="0" w:line="240" w:lineRule="auto"/>
        <w:rPr>
          <w:rFonts w:ascii="Arial" w:hAnsi="Arial" w:cs="Arial"/>
          <w:color w:val="000000"/>
        </w:rPr>
      </w:pPr>
    </w:p>
    <w:p w14:paraId="18E926D2" w14:textId="77777777" w:rsidR="00B52861" w:rsidRPr="00156197" w:rsidRDefault="00B52861" w:rsidP="00B52861">
      <w:pPr>
        <w:autoSpaceDE w:val="0"/>
        <w:autoSpaceDN w:val="0"/>
        <w:adjustRightInd w:val="0"/>
        <w:spacing w:after="0" w:line="240" w:lineRule="auto"/>
        <w:rPr>
          <w:rFonts w:ascii="Arial" w:hAnsi="Arial" w:cs="Arial"/>
          <w:color w:val="000000"/>
        </w:rPr>
      </w:pPr>
    </w:p>
    <w:p w14:paraId="15572604" w14:textId="77777777" w:rsidR="00BF45CB" w:rsidRPr="00156197" w:rsidRDefault="00BF45CB">
      <w:pPr>
        <w:rPr>
          <w:rFonts w:ascii="Arial" w:hAnsi="Arial" w:cs="Arial"/>
          <w:b/>
        </w:rPr>
      </w:pPr>
    </w:p>
    <w:p w14:paraId="473C3436" w14:textId="281C9BA0" w:rsidR="004137F0" w:rsidRPr="00156197" w:rsidRDefault="002F26D0">
      <w:pPr>
        <w:rPr>
          <w:rFonts w:ascii="Arial" w:hAnsi="Arial" w:cs="Arial"/>
          <w:b/>
        </w:rPr>
      </w:pPr>
      <w:r>
        <w:rPr>
          <w:rFonts w:ascii="Arial" w:hAnsi="Arial" w:cs="Arial"/>
          <w:b/>
        </w:rPr>
        <w:t>Survey questions</w:t>
      </w:r>
    </w:p>
    <w:p w14:paraId="7B65BE56" w14:textId="77777777" w:rsidR="00EF5755" w:rsidRPr="00156197" w:rsidRDefault="00EF5755">
      <w:pPr>
        <w:rPr>
          <w:rFonts w:ascii="Arial" w:hAnsi="Arial" w:cs="Arial"/>
        </w:rPr>
      </w:pPr>
    </w:p>
    <w:p w14:paraId="6BABD3BB" w14:textId="78EEF2B1" w:rsidR="004137F0" w:rsidRPr="00156197" w:rsidRDefault="004137F0">
      <w:pPr>
        <w:rPr>
          <w:rFonts w:ascii="Arial" w:hAnsi="Arial" w:cs="Arial"/>
        </w:rPr>
      </w:pPr>
      <w:r w:rsidRPr="00156197">
        <w:rPr>
          <w:rFonts w:ascii="Arial" w:hAnsi="Arial" w:cs="Arial"/>
        </w:rPr>
        <w:t>Are fixed term tenancies issued by your organisation, please provide details</w:t>
      </w:r>
      <w:r w:rsidR="0063644C" w:rsidRPr="00156197">
        <w:rPr>
          <w:rFonts w:ascii="Arial" w:hAnsi="Arial" w:cs="Arial"/>
        </w:rPr>
        <w:t xml:space="preserve"> such as the types of property</w:t>
      </w:r>
      <w:r w:rsidR="00252B48" w:rsidRPr="00156197">
        <w:rPr>
          <w:rFonts w:ascii="Arial" w:hAnsi="Arial" w:cs="Arial"/>
        </w:rPr>
        <w:t xml:space="preserve"> (size, GN/SH)</w:t>
      </w:r>
      <w:r w:rsidR="0063644C" w:rsidRPr="00156197">
        <w:rPr>
          <w:rFonts w:ascii="Arial" w:hAnsi="Arial" w:cs="Arial"/>
        </w:rPr>
        <w:t>, applicants, criteria</w:t>
      </w:r>
    </w:p>
    <w:p w14:paraId="5F4E0353" w14:textId="77777777" w:rsidR="00C303E8" w:rsidRPr="00156197" w:rsidRDefault="00C303E8">
      <w:pPr>
        <w:rPr>
          <w:rFonts w:ascii="Arial" w:hAnsi="Arial" w:cs="Arial"/>
        </w:rPr>
      </w:pPr>
      <w:r w:rsidRPr="00156197">
        <w:rPr>
          <w:rFonts w:ascii="Arial" w:hAnsi="Arial" w:cs="Arial"/>
        </w:rPr>
        <w:t>Do you issue starter tenancies</w:t>
      </w:r>
    </w:p>
    <w:p w14:paraId="4EE27A17" w14:textId="01E163C5" w:rsidR="004137F0" w:rsidRPr="00156197" w:rsidRDefault="004137F0">
      <w:pPr>
        <w:rPr>
          <w:rFonts w:ascii="Arial" w:hAnsi="Arial" w:cs="Arial"/>
        </w:rPr>
      </w:pPr>
      <w:r w:rsidRPr="00156197">
        <w:rPr>
          <w:rFonts w:ascii="Arial" w:hAnsi="Arial" w:cs="Arial"/>
        </w:rPr>
        <w:t>If your organisation does not currently issue fixed term tenancies, do you plan to start issuing them in the next 1,</w:t>
      </w:r>
      <w:r w:rsidR="00252B48" w:rsidRPr="00156197">
        <w:rPr>
          <w:rFonts w:ascii="Arial" w:hAnsi="Arial" w:cs="Arial"/>
        </w:rPr>
        <w:t xml:space="preserve"> </w:t>
      </w:r>
      <w:r w:rsidRPr="00156197">
        <w:rPr>
          <w:rFonts w:ascii="Arial" w:hAnsi="Arial" w:cs="Arial"/>
        </w:rPr>
        <w:t>3, 5+ years</w:t>
      </w:r>
    </w:p>
    <w:p w14:paraId="6172B69F" w14:textId="77777777" w:rsidR="00C66236" w:rsidRPr="00156197" w:rsidRDefault="00C66236">
      <w:pPr>
        <w:rPr>
          <w:rFonts w:ascii="Arial" w:hAnsi="Arial" w:cs="Arial"/>
        </w:rPr>
      </w:pPr>
      <w:r w:rsidRPr="00156197">
        <w:rPr>
          <w:rFonts w:ascii="Arial" w:hAnsi="Arial" w:cs="Arial"/>
        </w:rPr>
        <w:t>What is the length of term offered.</w:t>
      </w:r>
    </w:p>
    <w:p w14:paraId="08D4CBAE" w14:textId="77777777" w:rsidR="00C66236" w:rsidRPr="00156197" w:rsidRDefault="00C66236">
      <w:pPr>
        <w:rPr>
          <w:rFonts w:ascii="Arial" w:hAnsi="Arial" w:cs="Arial"/>
        </w:rPr>
      </w:pPr>
      <w:r w:rsidRPr="00156197">
        <w:rPr>
          <w:rFonts w:ascii="Arial" w:hAnsi="Arial" w:cs="Arial"/>
        </w:rPr>
        <w:t>Are tenancies of less than 5 years offered, please detail the circumstances</w:t>
      </w:r>
    </w:p>
    <w:p w14:paraId="6696847C" w14:textId="77777777" w:rsidR="004137F0" w:rsidRPr="00156197" w:rsidRDefault="004137F0">
      <w:pPr>
        <w:rPr>
          <w:rFonts w:ascii="Arial" w:hAnsi="Arial" w:cs="Arial"/>
        </w:rPr>
      </w:pPr>
      <w:r w:rsidRPr="00156197">
        <w:rPr>
          <w:rFonts w:ascii="Arial" w:hAnsi="Arial" w:cs="Arial"/>
        </w:rPr>
        <w:t>What criteria is used when reviewing a fixed term tenancy</w:t>
      </w:r>
    </w:p>
    <w:p w14:paraId="376584AE" w14:textId="77777777" w:rsidR="004137F0" w:rsidRPr="00156197" w:rsidRDefault="004137F0">
      <w:pPr>
        <w:rPr>
          <w:rFonts w:ascii="Arial" w:hAnsi="Arial" w:cs="Arial"/>
        </w:rPr>
      </w:pPr>
      <w:r w:rsidRPr="00156197">
        <w:rPr>
          <w:rFonts w:ascii="Arial" w:hAnsi="Arial" w:cs="Arial"/>
        </w:rPr>
        <w:t>Please give example</w:t>
      </w:r>
      <w:r w:rsidR="00C66236" w:rsidRPr="00156197">
        <w:rPr>
          <w:rFonts w:ascii="Arial" w:hAnsi="Arial" w:cs="Arial"/>
        </w:rPr>
        <w:t>s</w:t>
      </w:r>
      <w:r w:rsidRPr="00156197">
        <w:rPr>
          <w:rFonts w:ascii="Arial" w:hAnsi="Arial" w:cs="Arial"/>
        </w:rPr>
        <w:t xml:space="preserve"> of when a fixed term tenancy would and would not be renewed</w:t>
      </w:r>
    </w:p>
    <w:p w14:paraId="4C9FD5CF" w14:textId="77777777" w:rsidR="00C66236" w:rsidRPr="00156197" w:rsidRDefault="00C66236">
      <w:pPr>
        <w:rPr>
          <w:rFonts w:ascii="Arial" w:hAnsi="Arial" w:cs="Arial"/>
        </w:rPr>
      </w:pPr>
      <w:r w:rsidRPr="00156197">
        <w:rPr>
          <w:rFonts w:ascii="Arial" w:hAnsi="Arial" w:cs="Arial"/>
        </w:rPr>
        <w:t>Where an income criteria and under occupation criteria are used to end a fixed term tenancy, please give details of these criteria (i.e. income threshold, definition of under occupying)</w:t>
      </w:r>
    </w:p>
    <w:p w14:paraId="2ADA54CC" w14:textId="1E55DA69" w:rsidR="004137F0" w:rsidRPr="00156197" w:rsidRDefault="004137F0">
      <w:pPr>
        <w:rPr>
          <w:rFonts w:ascii="Arial" w:hAnsi="Arial" w:cs="Arial"/>
        </w:rPr>
      </w:pPr>
      <w:r w:rsidRPr="00156197">
        <w:rPr>
          <w:rFonts w:ascii="Arial" w:hAnsi="Arial" w:cs="Arial"/>
        </w:rPr>
        <w:t>How many fixed term tenancies have you issued</w:t>
      </w:r>
      <w:r w:rsidR="00A548D5" w:rsidRPr="00156197">
        <w:rPr>
          <w:rFonts w:ascii="Arial" w:hAnsi="Arial" w:cs="Arial"/>
        </w:rPr>
        <w:t xml:space="preserve"> in Ashfield</w:t>
      </w:r>
    </w:p>
    <w:p w14:paraId="14F3CD7C" w14:textId="4049C09D" w:rsidR="004137F0" w:rsidRPr="00156197" w:rsidRDefault="004137F0">
      <w:pPr>
        <w:rPr>
          <w:rFonts w:ascii="Arial" w:hAnsi="Arial" w:cs="Arial"/>
        </w:rPr>
      </w:pPr>
      <w:r w:rsidRPr="00156197">
        <w:rPr>
          <w:rFonts w:ascii="Arial" w:hAnsi="Arial" w:cs="Arial"/>
        </w:rPr>
        <w:t>How many fixed term tenancies have you renewed</w:t>
      </w:r>
      <w:r w:rsidR="00A548D5" w:rsidRPr="00156197">
        <w:rPr>
          <w:rFonts w:ascii="Arial" w:hAnsi="Arial" w:cs="Arial"/>
        </w:rPr>
        <w:t xml:space="preserve"> in Ashfield</w:t>
      </w:r>
    </w:p>
    <w:p w14:paraId="681ECA70" w14:textId="686F21EC" w:rsidR="004137F0" w:rsidRPr="00156197" w:rsidRDefault="004137F0">
      <w:pPr>
        <w:rPr>
          <w:rFonts w:ascii="Arial" w:hAnsi="Arial" w:cs="Arial"/>
        </w:rPr>
      </w:pPr>
      <w:r w:rsidRPr="00156197">
        <w:rPr>
          <w:rFonts w:ascii="Arial" w:hAnsi="Arial" w:cs="Arial"/>
        </w:rPr>
        <w:t>How many fixed term tenancies have you ended</w:t>
      </w:r>
      <w:r w:rsidR="00A548D5" w:rsidRPr="00156197">
        <w:rPr>
          <w:rFonts w:ascii="Arial" w:hAnsi="Arial" w:cs="Arial"/>
        </w:rPr>
        <w:t xml:space="preserve"> in Ashfield</w:t>
      </w:r>
      <w:r w:rsidRPr="00156197">
        <w:rPr>
          <w:rFonts w:ascii="Arial" w:hAnsi="Arial" w:cs="Arial"/>
        </w:rPr>
        <w:t>, on what grounds, what type of tenancy did these tenants move to (PRS, SO, Owner Occ, etc)</w:t>
      </w:r>
    </w:p>
    <w:p w14:paraId="004913F7" w14:textId="02140CBE" w:rsidR="004137F0" w:rsidRPr="00156197" w:rsidRDefault="004137F0">
      <w:pPr>
        <w:rPr>
          <w:rFonts w:ascii="Arial" w:hAnsi="Arial" w:cs="Arial"/>
        </w:rPr>
      </w:pPr>
      <w:r w:rsidRPr="00156197">
        <w:rPr>
          <w:rFonts w:ascii="Arial" w:hAnsi="Arial" w:cs="Arial"/>
        </w:rPr>
        <w:lastRenderedPageBreak/>
        <w:t>What is your process to appeal a decision not to renew a fixed term tenancy</w:t>
      </w:r>
      <w:r w:rsidR="00A548D5" w:rsidRPr="00156197">
        <w:rPr>
          <w:rFonts w:ascii="Arial" w:hAnsi="Arial" w:cs="Arial"/>
        </w:rPr>
        <w:t xml:space="preserve"> or the length of tenancy granted</w:t>
      </w:r>
    </w:p>
    <w:p w14:paraId="0E8FA614" w14:textId="77777777" w:rsidR="004137F0" w:rsidRPr="00156197" w:rsidRDefault="004137F0">
      <w:pPr>
        <w:rPr>
          <w:rFonts w:ascii="Arial" w:hAnsi="Arial" w:cs="Arial"/>
        </w:rPr>
      </w:pPr>
      <w:r w:rsidRPr="00156197">
        <w:rPr>
          <w:rFonts w:ascii="Arial" w:hAnsi="Arial" w:cs="Arial"/>
        </w:rPr>
        <w:t xml:space="preserve">What </w:t>
      </w:r>
      <w:r w:rsidR="00C303E8" w:rsidRPr="00156197">
        <w:rPr>
          <w:rFonts w:ascii="Arial" w:hAnsi="Arial" w:cs="Arial"/>
        </w:rPr>
        <w:t>advice and assistance</w:t>
      </w:r>
      <w:r w:rsidRPr="00156197">
        <w:rPr>
          <w:rFonts w:ascii="Arial" w:hAnsi="Arial" w:cs="Arial"/>
        </w:rPr>
        <w:t xml:space="preserve"> do you provide to those tenants whose fixed term tenancy will not be renewed</w:t>
      </w:r>
    </w:p>
    <w:p w14:paraId="37E2FB59" w14:textId="77777777" w:rsidR="004137F0" w:rsidRPr="00156197" w:rsidRDefault="004137F0">
      <w:pPr>
        <w:rPr>
          <w:rFonts w:ascii="Arial" w:hAnsi="Arial" w:cs="Arial"/>
        </w:rPr>
      </w:pPr>
      <w:r w:rsidRPr="00156197">
        <w:rPr>
          <w:rFonts w:ascii="Arial" w:hAnsi="Arial" w:cs="Arial"/>
        </w:rPr>
        <w:t>Who do you consider to be vulnerable</w:t>
      </w:r>
      <w:r w:rsidR="00991F66" w:rsidRPr="00156197">
        <w:rPr>
          <w:rFonts w:ascii="Arial" w:hAnsi="Arial" w:cs="Arial"/>
        </w:rPr>
        <w:t xml:space="preserve"> for the purposes of issuing fixed term tenancies</w:t>
      </w:r>
    </w:p>
    <w:p w14:paraId="19D16260" w14:textId="5722595F" w:rsidR="004137F0" w:rsidRPr="00156197" w:rsidRDefault="004137F0">
      <w:pPr>
        <w:rPr>
          <w:rFonts w:ascii="Arial" w:hAnsi="Arial" w:cs="Arial"/>
        </w:rPr>
      </w:pPr>
      <w:r w:rsidRPr="00156197">
        <w:rPr>
          <w:rFonts w:ascii="Arial" w:hAnsi="Arial" w:cs="Arial"/>
        </w:rPr>
        <w:t>How many Affordable Rent properties are within your stock</w:t>
      </w:r>
      <w:r w:rsidR="00A548D5" w:rsidRPr="00156197">
        <w:rPr>
          <w:rFonts w:ascii="Arial" w:hAnsi="Arial" w:cs="Arial"/>
        </w:rPr>
        <w:t xml:space="preserve"> in Ashfield</w:t>
      </w:r>
      <w:r w:rsidR="00C657BF" w:rsidRPr="00156197">
        <w:rPr>
          <w:rFonts w:ascii="Arial" w:hAnsi="Arial" w:cs="Arial"/>
        </w:rPr>
        <w:t>, both new build and conversions</w:t>
      </w:r>
      <w:r w:rsidRPr="00156197">
        <w:rPr>
          <w:rFonts w:ascii="Arial" w:hAnsi="Arial" w:cs="Arial"/>
        </w:rPr>
        <w:t xml:space="preserve">? How many </w:t>
      </w:r>
      <w:r w:rsidR="00C657BF" w:rsidRPr="00156197">
        <w:rPr>
          <w:rFonts w:ascii="Arial" w:hAnsi="Arial" w:cs="Arial"/>
        </w:rPr>
        <w:t xml:space="preserve">new build </w:t>
      </w:r>
      <w:r w:rsidRPr="00156197">
        <w:rPr>
          <w:rFonts w:ascii="Arial" w:hAnsi="Arial" w:cs="Arial"/>
        </w:rPr>
        <w:t>Affordable Rent properties do you intend to develop by April 2020</w:t>
      </w:r>
      <w:r w:rsidR="00A548D5" w:rsidRPr="00156197">
        <w:rPr>
          <w:rFonts w:ascii="Arial" w:hAnsi="Arial" w:cs="Arial"/>
        </w:rPr>
        <w:t xml:space="preserve"> in Ashfield</w:t>
      </w:r>
    </w:p>
    <w:p w14:paraId="3EBD3823" w14:textId="7C1F59B3" w:rsidR="00252B48" w:rsidRPr="00156197" w:rsidRDefault="00252B48">
      <w:pPr>
        <w:rPr>
          <w:rFonts w:ascii="Arial" w:hAnsi="Arial" w:cs="Arial"/>
        </w:rPr>
      </w:pPr>
      <w:r w:rsidRPr="00156197">
        <w:rPr>
          <w:rFonts w:ascii="Arial" w:hAnsi="Arial" w:cs="Arial"/>
        </w:rPr>
        <w:t>How many Low Cost Homeownerhip properties have you developed in Ashfield?</w:t>
      </w:r>
    </w:p>
    <w:p w14:paraId="44C71330" w14:textId="6D9DE030" w:rsidR="00B6350D" w:rsidRPr="00156197" w:rsidRDefault="00A548D5">
      <w:pPr>
        <w:rPr>
          <w:rFonts w:ascii="Arial" w:hAnsi="Arial" w:cs="Arial"/>
        </w:rPr>
      </w:pPr>
      <w:r w:rsidRPr="00156197">
        <w:rPr>
          <w:rFonts w:ascii="Arial" w:hAnsi="Arial" w:cs="Arial"/>
        </w:rPr>
        <w:t>Would implementing the Affordable Rent section of this strategy adversely affect the viability of new build sites?</w:t>
      </w:r>
    </w:p>
    <w:p w14:paraId="10B7CF26" w14:textId="595FCAF6" w:rsidR="004137F0" w:rsidRPr="00156197" w:rsidRDefault="004137F0">
      <w:pPr>
        <w:rPr>
          <w:rFonts w:ascii="Arial" w:hAnsi="Arial" w:cs="Arial"/>
        </w:rPr>
      </w:pPr>
      <w:r w:rsidRPr="00156197">
        <w:rPr>
          <w:rFonts w:ascii="Arial" w:hAnsi="Arial" w:cs="Arial"/>
        </w:rPr>
        <w:t xml:space="preserve">How many current social rent properties do you plan to convert </w:t>
      </w:r>
      <w:r w:rsidR="00A548D5" w:rsidRPr="00156197">
        <w:rPr>
          <w:rFonts w:ascii="Arial" w:hAnsi="Arial" w:cs="Arial"/>
        </w:rPr>
        <w:t xml:space="preserve">in Ashfield </w:t>
      </w:r>
      <w:r w:rsidRPr="00156197">
        <w:rPr>
          <w:rFonts w:ascii="Arial" w:hAnsi="Arial" w:cs="Arial"/>
        </w:rPr>
        <w:t>to Affordable Rent in 17/18</w:t>
      </w:r>
    </w:p>
    <w:p w14:paraId="7692A936" w14:textId="016DBECA" w:rsidR="0009347B" w:rsidRPr="00156197" w:rsidRDefault="0009347B">
      <w:pPr>
        <w:rPr>
          <w:rFonts w:ascii="Arial" w:hAnsi="Arial" w:cs="Arial"/>
        </w:rPr>
      </w:pPr>
      <w:r w:rsidRPr="00156197">
        <w:rPr>
          <w:rFonts w:ascii="Arial" w:hAnsi="Arial" w:cs="Arial"/>
        </w:rPr>
        <w:t>What is your policy on converting social rent properties</w:t>
      </w:r>
      <w:r w:rsidR="00EF5755" w:rsidRPr="00156197">
        <w:rPr>
          <w:rFonts w:ascii="Arial" w:hAnsi="Arial" w:cs="Arial"/>
        </w:rPr>
        <w:t>, including those</w:t>
      </w:r>
      <w:r w:rsidRPr="00156197">
        <w:rPr>
          <w:rFonts w:ascii="Arial" w:hAnsi="Arial" w:cs="Arial"/>
        </w:rPr>
        <w:t xml:space="preserve"> that have received subsidy, either from the local authority or Homes England</w:t>
      </w:r>
      <w:r w:rsidR="00991F66" w:rsidRPr="00156197">
        <w:rPr>
          <w:rFonts w:ascii="Arial" w:hAnsi="Arial" w:cs="Arial"/>
        </w:rPr>
        <w:t>,</w:t>
      </w:r>
      <w:r w:rsidRPr="00156197">
        <w:rPr>
          <w:rFonts w:ascii="Arial" w:hAnsi="Arial" w:cs="Arial"/>
        </w:rPr>
        <w:t xml:space="preserve"> or </w:t>
      </w:r>
      <w:r w:rsidR="00991F66" w:rsidRPr="00156197">
        <w:rPr>
          <w:rFonts w:ascii="Arial" w:hAnsi="Arial" w:cs="Arial"/>
        </w:rPr>
        <w:t>developed via</w:t>
      </w:r>
      <w:r w:rsidRPr="00156197">
        <w:rPr>
          <w:rFonts w:ascii="Arial" w:hAnsi="Arial" w:cs="Arial"/>
        </w:rPr>
        <w:t xml:space="preserve"> a s.106 agreement</w:t>
      </w:r>
    </w:p>
    <w:p w14:paraId="6262142A" w14:textId="54EBD5DC" w:rsidR="00EF5755" w:rsidRPr="00156197" w:rsidRDefault="00EF5755">
      <w:pPr>
        <w:rPr>
          <w:rFonts w:ascii="Arial" w:hAnsi="Arial" w:cs="Arial"/>
        </w:rPr>
      </w:pPr>
      <w:r w:rsidRPr="00156197">
        <w:rPr>
          <w:rFonts w:ascii="Arial" w:hAnsi="Arial" w:cs="Arial"/>
        </w:rPr>
        <w:t>Are sums generated from Affordable Rent properties in Ashfield reinvested in the District?</w:t>
      </w:r>
    </w:p>
    <w:p w14:paraId="73727699" w14:textId="77777777" w:rsidR="00C303E8" w:rsidRPr="00156197" w:rsidRDefault="00C303E8">
      <w:pPr>
        <w:rPr>
          <w:rFonts w:ascii="Arial" w:hAnsi="Arial" w:cs="Arial"/>
        </w:rPr>
      </w:pPr>
      <w:r w:rsidRPr="00156197">
        <w:rPr>
          <w:rFonts w:ascii="Arial" w:hAnsi="Arial" w:cs="Arial"/>
        </w:rPr>
        <w:t>What percentage of the market rent are your Affordable Rent properties let at on average</w:t>
      </w:r>
    </w:p>
    <w:p w14:paraId="093CC0B3" w14:textId="77777777" w:rsidR="00C303E8" w:rsidRPr="00156197" w:rsidRDefault="00C303E8">
      <w:pPr>
        <w:rPr>
          <w:rFonts w:ascii="Arial" w:hAnsi="Arial" w:cs="Arial"/>
        </w:rPr>
      </w:pPr>
      <w:r w:rsidRPr="00156197">
        <w:rPr>
          <w:rFonts w:ascii="Arial" w:hAnsi="Arial" w:cs="Arial"/>
        </w:rPr>
        <w:t>Do you conduct affordability assessments with applicants?</w:t>
      </w:r>
    </w:p>
    <w:p w14:paraId="5BCB7DDB" w14:textId="28A82D6D" w:rsidR="00C657BF" w:rsidRPr="00156197" w:rsidRDefault="00C303E8">
      <w:pPr>
        <w:rPr>
          <w:rFonts w:ascii="Arial" w:hAnsi="Arial" w:cs="Arial"/>
        </w:rPr>
      </w:pPr>
      <w:r w:rsidRPr="00156197">
        <w:rPr>
          <w:rFonts w:ascii="Arial" w:hAnsi="Arial" w:cs="Arial"/>
        </w:rPr>
        <w:t>How do you define affordability (e.g. max 30% of net income spent on housing costs)</w:t>
      </w:r>
    </w:p>
    <w:p w14:paraId="3E1331BD" w14:textId="0AD32C95" w:rsidR="00EF5755" w:rsidRPr="00156197" w:rsidRDefault="00EF5755">
      <w:pPr>
        <w:rPr>
          <w:rFonts w:ascii="Arial" w:hAnsi="Arial" w:cs="Arial"/>
        </w:rPr>
      </w:pPr>
      <w:r w:rsidRPr="00156197">
        <w:rPr>
          <w:rFonts w:ascii="Arial" w:hAnsi="Arial" w:cs="Arial"/>
        </w:rPr>
        <w:t>How many applications for Affordable Rent tenancies have you declined on the grounds of Affordability in Ashfield</w:t>
      </w:r>
    </w:p>
    <w:p w14:paraId="30489ABE" w14:textId="4AFA34C8" w:rsidR="009713F6" w:rsidRPr="00156197" w:rsidRDefault="009713F6">
      <w:pPr>
        <w:rPr>
          <w:rFonts w:ascii="Arial" w:hAnsi="Arial" w:cs="Arial"/>
        </w:rPr>
      </w:pPr>
      <w:r w:rsidRPr="00156197">
        <w:rPr>
          <w:rFonts w:ascii="Arial" w:hAnsi="Arial" w:cs="Arial"/>
        </w:rPr>
        <w:t xml:space="preserve">What percentage of Affordable Rent tenants </w:t>
      </w:r>
      <w:r w:rsidR="00A548D5" w:rsidRPr="00156197">
        <w:rPr>
          <w:rFonts w:ascii="Arial" w:hAnsi="Arial" w:cs="Arial"/>
        </w:rPr>
        <w:t xml:space="preserve">in Ashfield </w:t>
      </w:r>
      <w:r w:rsidRPr="00156197">
        <w:rPr>
          <w:rFonts w:ascii="Arial" w:hAnsi="Arial" w:cs="Arial"/>
        </w:rPr>
        <w:t>are in arrears and what is the average amount owed? How does this compare to your total/social rent arrears</w:t>
      </w:r>
    </w:p>
    <w:p w14:paraId="6C654A8E" w14:textId="7BC7A855" w:rsidR="00D773DA" w:rsidRPr="00156197" w:rsidRDefault="00D773DA">
      <w:pPr>
        <w:rPr>
          <w:rFonts w:ascii="Arial" w:hAnsi="Arial" w:cs="Arial"/>
        </w:rPr>
      </w:pPr>
      <w:r w:rsidRPr="00156197">
        <w:rPr>
          <w:rFonts w:ascii="Arial" w:hAnsi="Arial" w:cs="Arial"/>
        </w:rPr>
        <w:t>What is the average income of your Affordable Rent tenants</w:t>
      </w:r>
      <w:r w:rsidR="00A548D5" w:rsidRPr="00156197">
        <w:rPr>
          <w:rFonts w:ascii="Arial" w:hAnsi="Arial" w:cs="Arial"/>
        </w:rPr>
        <w:t xml:space="preserve"> in Ashfield</w:t>
      </w:r>
      <w:r w:rsidRPr="00156197">
        <w:rPr>
          <w:rFonts w:ascii="Arial" w:hAnsi="Arial" w:cs="Arial"/>
        </w:rPr>
        <w:t>? What is the average income of your social rent/all tenants</w:t>
      </w:r>
    </w:p>
    <w:p w14:paraId="4A660E25" w14:textId="0DA0E8F6" w:rsidR="00C657BF" w:rsidRPr="00156197" w:rsidRDefault="00C657BF">
      <w:pPr>
        <w:rPr>
          <w:rFonts w:ascii="Arial" w:hAnsi="Arial" w:cs="Arial"/>
        </w:rPr>
      </w:pPr>
      <w:r w:rsidRPr="00156197">
        <w:rPr>
          <w:rFonts w:ascii="Arial" w:hAnsi="Arial" w:cs="Arial"/>
        </w:rPr>
        <w:t xml:space="preserve">What is the average length of stay for Affordable Rent tenants in Ashfield? How does this compare to social rent tenants? What is the main reason for leaving an Affordable Rent property </w:t>
      </w:r>
    </w:p>
    <w:p w14:paraId="04EA1A22" w14:textId="77777777" w:rsidR="00C303E8" w:rsidRPr="00156197" w:rsidRDefault="00C303E8">
      <w:pPr>
        <w:rPr>
          <w:rFonts w:ascii="Arial" w:hAnsi="Arial" w:cs="Arial"/>
        </w:rPr>
      </w:pPr>
      <w:r w:rsidRPr="00156197">
        <w:rPr>
          <w:rFonts w:ascii="Arial" w:hAnsi="Arial" w:cs="Arial"/>
        </w:rPr>
        <w:t>Do you feel there is a positive or negative impact on community stability as a result of fixed term tenancies</w:t>
      </w:r>
    </w:p>
    <w:p w14:paraId="0C119080" w14:textId="09818F60" w:rsidR="00C657BF" w:rsidRPr="00156197" w:rsidRDefault="00C657BF">
      <w:pPr>
        <w:rPr>
          <w:rFonts w:ascii="Arial" w:hAnsi="Arial" w:cs="Arial"/>
        </w:rPr>
      </w:pPr>
      <w:r w:rsidRPr="00156197">
        <w:rPr>
          <w:rFonts w:ascii="Arial" w:hAnsi="Arial" w:cs="Arial"/>
        </w:rPr>
        <w:t>Are you signed up to a mutual exchange scheme? How many exchanges took place in Ashfield in 16/17?</w:t>
      </w:r>
    </w:p>
    <w:p w14:paraId="2AC8CB12" w14:textId="77777777" w:rsidR="00C66236" w:rsidRPr="00156197" w:rsidRDefault="00C66236">
      <w:pPr>
        <w:rPr>
          <w:rFonts w:ascii="Arial" w:hAnsi="Arial" w:cs="Arial"/>
        </w:rPr>
      </w:pPr>
      <w:r w:rsidRPr="00156197">
        <w:rPr>
          <w:rFonts w:ascii="Arial" w:hAnsi="Arial" w:cs="Arial"/>
        </w:rPr>
        <w:t>Where can a copy of your Tenancy Policy be found</w:t>
      </w:r>
    </w:p>
    <w:p w14:paraId="742335F2" w14:textId="77777777" w:rsidR="00C66236" w:rsidRPr="00156197" w:rsidRDefault="00C66236">
      <w:pPr>
        <w:rPr>
          <w:rFonts w:ascii="Arial" w:hAnsi="Arial" w:cs="Arial"/>
        </w:rPr>
      </w:pPr>
      <w:r w:rsidRPr="00156197">
        <w:rPr>
          <w:rFonts w:ascii="Arial" w:hAnsi="Arial" w:cs="Arial"/>
        </w:rPr>
        <w:t>When was your Tenancy Policy last updated</w:t>
      </w:r>
    </w:p>
    <w:p w14:paraId="05D97EE7" w14:textId="77777777" w:rsidR="00C303E8" w:rsidRPr="00156197" w:rsidRDefault="00C303E8">
      <w:pPr>
        <w:rPr>
          <w:rFonts w:ascii="Arial" w:hAnsi="Arial" w:cs="Arial"/>
        </w:rPr>
      </w:pPr>
    </w:p>
    <w:p w14:paraId="2B72E281" w14:textId="77777777" w:rsidR="00C303E8" w:rsidRPr="00156197" w:rsidRDefault="00C303E8">
      <w:pPr>
        <w:rPr>
          <w:rFonts w:ascii="Arial" w:hAnsi="Arial" w:cs="Arial"/>
        </w:rPr>
      </w:pPr>
    </w:p>
    <w:p w14:paraId="7168445B" w14:textId="77777777" w:rsidR="004137F0" w:rsidRPr="00156197" w:rsidRDefault="004137F0">
      <w:pPr>
        <w:rPr>
          <w:rFonts w:ascii="Arial" w:hAnsi="Arial" w:cs="Arial"/>
        </w:rPr>
      </w:pPr>
    </w:p>
    <w:p w14:paraId="48133A90" w14:textId="77777777" w:rsidR="004137F0" w:rsidRPr="00156197" w:rsidRDefault="004137F0">
      <w:pPr>
        <w:rPr>
          <w:rFonts w:ascii="Arial" w:hAnsi="Arial" w:cs="Arial"/>
        </w:rPr>
      </w:pPr>
    </w:p>
    <w:sectPr w:rsidR="004137F0" w:rsidRPr="0015619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68E9B" w14:textId="77777777" w:rsidR="00813819" w:rsidRDefault="00813819" w:rsidP="00A5148F">
      <w:pPr>
        <w:spacing w:after="0" w:line="240" w:lineRule="auto"/>
      </w:pPr>
      <w:r>
        <w:separator/>
      </w:r>
    </w:p>
  </w:endnote>
  <w:endnote w:type="continuationSeparator" w:id="0">
    <w:p w14:paraId="616D6E40" w14:textId="77777777" w:rsidR="00813819" w:rsidRDefault="00813819" w:rsidP="00A5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1C36E" w14:textId="77777777" w:rsidR="00813819" w:rsidRDefault="00813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376A1" w14:textId="77777777" w:rsidR="00813819" w:rsidRDefault="00813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86E91" w14:textId="77777777" w:rsidR="00813819" w:rsidRDefault="00813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2BC73" w14:textId="77777777" w:rsidR="00813819" w:rsidRDefault="00813819" w:rsidP="00A5148F">
      <w:pPr>
        <w:spacing w:after="0" w:line="240" w:lineRule="auto"/>
      </w:pPr>
      <w:r>
        <w:separator/>
      </w:r>
    </w:p>
  </w:footnote>
  <w:footnote w:type="continuationSeparator" w:id="0">
    <w:p w14:paraId="315BE6C0" w14:textId="77777777" w:rsidR="00813819" w:rsidRDefault="00813819" w:rsidP="00A5148F">
      <w:pPr>
        <w:spacing w:after="0" w:line="240" w:lineRule="auto"/>
      </w:pPr>
      <w:r>
        <w:continuationSeparator/>
      </w:r>
    </w:p>
  </w:footnote>
  <w:footnote w:id="1">
    <w:p w14:paraId="02288F05" w14:textId="076BDD1B" w:rsidR="00813819" w:rsidRDefault="00813819">
      <w:pPr>
        <w:pStyle w:val="FootnoteText"/>
      </w:pPr>
      <w:r>
        <w:rPr>
          <w:rStyle w:val="FootnoteReference"/>
        </w:rPr>
        <w:footnoteRef/>
      </w:r>
      <w:r>
        <w:t xml:space="preserve"> </w:t>
      </w:r>
      <w:hyperlink r:id="rId1" w:history="1">
        <w:r w:rsidRPr="00FE6030">
          <w:rPr>
            <w:rStyle w:val="Hyperlink"/>
            <w:rFonts w:ascii="Arial" w:hAnsi="Arial" w:cs="Arial"/>
          </w:rPr>
          <w:t>http://www.legislation.gov.uk/ukpga/2011/20/section/154/enacted</w:t>
        </w:r>
      </w:hyperlink>
    </w:p>
  </w:footnote>
  <w:footnote w:id="2">
    <w:p w14:paraId="75B7E920" w14:textId="38273677" w:rsidR="00813819" w:rsidRDefault="00813819">
      <w:pPr>
        <w:pStyle w:val="FootnoteText"/>
      </w:pPr>
      <w:r>
        <w:rPr>
          <w:rStyle w:val="FootnoteReference"/>
        </w:rPr>
        <w:footnoteRef/>
      </w:r>
      <w:r>
        <w:t xml:space="preserve"> MHCLG Live Table 116</w:t>
      </w:r>
    </w:p>
  </w:footnote>
  <w:footnote w:id="3">
    <w:p w14:paraId="6B7E05B0" w14:textId="5672E064" w:rsidR="00813819" w:rsidRDefault="00813819">
      <w:pPr>
        <w:pStyle w:val="FootnoteText"/>
      </w:pPr>
      <w:r>
        <w:rPr>
          <w:rStyle w:val="FootnoteReference"/>
        </w:rPr>
        <w:footnoteRef/>
      </w:r>
      <w:r>
        <w:t xml:space="preserve"> MHCLG Live Table 115</w:t>
      </w:r>
    </w:p>
  </w:footnote>
  <w:footnote w:id="4">
    <w:p w14:paraId="0342AAE1" w14:textId="38C80E30" w:rsidR="00813819" w:rsidRDefault="00813819">
      <w:pPr>
        <w:pStyle w:val="FootnoteText"/>
      </w:pPr>
      <w:r>
        <w:rPr>
          <w:rStyle w:val="FootnoteReference"/>
        </w:rPr>
        <w:footnoteRef/>
      </w:r>
      <w:r>
        <w:t xml:space="preserve"> MHCLG Live Table 685</w:t>
      </w:r>
    </w:p>
  </w:footnote>
  <w:footnote w:id="5">
    <w:p w14:paraId="348729E0" w14:textId="613D563F" w:rsidR="00813819" w:rsidRDefault="00813819">
      <w:pPr>
        <w:pStyle w:val="FootnoteText"/>
      </w:pPr>
      <w:r>
        <w:rPr>
          <w:rStyle w:val="FootnoteReference"/>
        </w:rPr>
        <w:footnoteRef/>
      </w:r>
      <w:r>
        <w:t xml:space="preserve"> MHCLG Live Table 1008</w:t>
      </w:r>
    </w:p>
  </w:footnote>
  <w:footnote w:id="6">
    <w:p w14:paraId="41A5E49E" w14:textId="1B450C9B" w:rsidR="00813819" w:rsidRDefault="00813819">
      <w:pPr>
        <w:pStyle w:val="FootnoteText"/>
      </w:pPr>
      <w:r>
        <w:rPr>
          <w:rStyle w:val="FootnoteReference"/>
        </w:rPr>
        <w:footnoteRef/>
      </w:r>
      <w:r>
        <w:t xml:space="preserve"> MHCLG Live Table 1008</w:t>
      </w:r>
    </w:p>
  </w:footnote>
  <w:footnote w:id="7">
    <w:p w14:paraId="3B0B7B0F" w14:textId="0EB0391B" w:rsidR="00813819" w:rsidRDefault="00813819">
      <w:pPr>
        <w:pStyle w:val="FootnoteText"/>
      </w:pPr>
      <w:r>
        <w:rPr>
          <w:rStyle w:val="FootnoteReference"/>
        </w:rPr>
        <w:footnoteRef/>
      </w:r>
      <w:r>
        <w:t xml:space="preserve"> CORE data</w:t>
      </w:r>
    </w:p>
  </w:footnote>
  <w:footnote w:id="8">
    <w:p w14:paraId="2E2484D8" w14:textId="728745DD" w:rsidR="00813819" w:rsidRDefault="00813819">
      <w:pPr>
        <w:pStyle w:val="FootnoteText"/>
      </w:pPr>
      <w:r>
        <w:rPr>
          <w:rStyle w:val="FootnoteReference"/>
        </w:rPr>
        <w:footnoteRef/>
      </w:r>
      <w:r>
        <w:t xml:space="preserve"> CORE data</w:t>
      </w:r>
    </w:p>
  </w:footnote>
  <w:footnote w:id="9">
    <w:p w14:paraId="7E7AC930" w14:textId="1DFEC7A8" w:rsidR="00813819" w:rsidRDefault="00813819">
      <w:pPr>
        <w:pStyle w:val="FootnoteText"/>
      </w:pPr>
      <w:r>
        <w:rPr>
          <w:rStyle w:val="FootnoteReference"/>
        </w:rPr>
        <w:footnoteRef/>
      </w:r>
      <w:r>
        <w:t xml:space="preserve"> Shelter databank</w:t>
      </w:r>
    </w:p>
  </w:footnote>
  <w:footnote w:id="10">
    <w:p w14:paraId="367AF352" w14:textId="50ADFAB7" w:rsidR="00813819" w:rsidRDefault="00813819">
      <w:pPr>
        <w:pStyle w:val="FootnoteText"/>
      </w:pPr>
      <w:r>
        <w:rPr>
          <w:rStyle w:val="FootnoteReference"/>
        </w:rPr>
        <w:footnoteRef/>
      </w:r>
      <w:r>
        <w:t xml:space="preserve"> This figure includes supported housing which is not included in the above figures</w:t>
      </w:r>
    </w:p>
  </w:footnote>
  <w:footnote w:id="11">
    <w:p w14:paraId="66FBEE77" w14:textId="199F6D4D" w:rsidR="00813819" w:rsidRDefault="00813819">
      <w:pPr>
        <w:pStyle w:val="FootnoteText"/>
      </w:pPr>
      <w:r>
        <w:rPr>
          <w:rStyle w:val="FootnoteReference"/>
        </w:rPr>
        <w:footnoteRef/>
      </w:r>
      <w:r>
        <w:t xml:space="preserve"> ADC annual monitoring report 2017</w:t>
      </w:r>
    </w:p>
  </w:footnote>
  <w:footnote w:id="12">
    <w:p w14:paraId="3015D1A8" w14:textId="543345DF" w:rsidR="00813819" w:rsidRDefault="00813819">
      <w:pPr>
        <w:pStyle w:val="FootnoteText"/>
      </w:pPr>
      <w:r>
        <w:rPr>
          <w:rStyle w:val="FootnoteReference"/>
        </w:rPr>
        <w:footnoteRef/>
      </w:r>
      <w:r>
        <w:t xml:space="preserve"> Ashfield Housing Condition Survey 2006</w:t>
      </w:r>
    </w:p>
  </w:footnote>
  <w:footnote w:id="13">
    <w:p w14:paraId="2E9A0955" w14:textId="594DEB87" w:rsidR="00813819" w:rsidRDefault="00813819">
      <w:pPr>
        <w:pStyle w:val="FootnoteText"/>
      </w:pPr>
      <w:r>
        <w:rPr>
          <w:rStyle w:val="FootnoteReference"/>
        </w:rPr>
        <w:footnoteRef/>
      </w:r>
      <w:r>
        <w:t xml:space="preserve"> Shelter Databank and Valuation Office Agency</w:t>
      </w:r>
    </w:p>
  </w:footnote>
  <w:footnote w:id="14">
    <w:p w14:paraId="038A45C8" w14:textId="5229E475" w:rsidR="00813819" w:rsidRDefault="00813819">
      <w:pPr>
        <w:pStyle w:val="FootnoteText"/>
      </w:pPr>
      <w:r>
        <w:rPr>
          <w:rStyle w:val="FootnoteReference"/>
        </w:rPr>
        <w:footnoteRef/>
      </w:r>
      <w:r>
        <w:t xml:space="preserve"> NHF East Midlands Home Truths 2017/18 </w:t>
      </w:r>
    </w:p>
  </w:footnote>
  <w:footnote w:id="15">
    <w:p w14:paraId="2BD0656B" w14:textId="0F15C745" w:rsidR="00813819" w:rsidRDefault="00813819">
      <w:pPr>
        <w:pStyle w:val="FootnoteText"/>
      </w:pPr>
      <w:r>
        <w:rPr>
          <w:rStyle w:val="FootnoteReference"/>
        </w:rPr>
        <w:footnoteRef/>
      </w:r>
      <w:r>
        <w:t xml:space="preserve"> Shelter Databank, NOMIS</w:t>
      </w:r>
    </w:p>
  </w:footnote>
  <w:footnote w:id="16">
    <w:p w14:paraId="1C3A74E5" w14:textId="7FF03FDA" w:rsidR="00813819" w:rsidRDefault="00813819">
      <w:pPr>
        <w:pStyle w:val="FootnoteText"/>
      </w:pPr>
      <w:r>
        <w:rPr>
          <w:rStyle w:val="FootnoteReference"/>
        </w:rPr>
        <w:footnoteRef/>
      </w:r>
      <w:r>
        <w:t xml:space="preserve"> Shelter Databank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CF957" w14:textId="52BDA75D" w:rsidR="00813819" w:rsidRDefault="0068553F">
    <w:pPr>
      <w:pStyle w:val="Header"/>
    </w:pPr>
    <w:r>
      <w:rPr>
        <w:noProof/>
      </w:rPr>
      <w:pict w14:anchorId="3FDE6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694683"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8C35" w14:textId="40D2E54F" w:rsidR="00813819" w:rsidRDefault="0068553F">
    <w:pPr>
      <w:pStyle w:val="Header"/>
    </w:pPr>
    <w:r>
      <w:rPr>
        <w:noProof/>
      </w:rPr>
      <w:pict w14:anchorId="1802D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694684"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DBEF" w14:textId="6384B70C" w:rsidR="00813819" w:rsidRDefault="0068553F">
    <w:pPr>
      <w:pStyle w:val="Header"/>
    </w:pPr>
    <w:r>
      <w:rPr>
        <w:noProof/>
      </w:rPr>
      <w:pict w14:anchorId="6225E9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694682"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72F71A"/>
    <w:multiLevelType w:val="hybridMultilevel"/>
    <w:tmpl w:val="E5BD1F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207EFC0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4202AF"/>
    <w:multiLevelType w:val="hybridMultilevel"/>
    <w:tmpl w:val="5BDA11B6"/>
    <w:lvl w:ilvl="0" w:tplc="BBB0C31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9364DD"/>
    <w:multiLevelType w:val="multilevel"/>
    <w:tmpl w:val="7A86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334D2"/>
    <w:multiLevelType w:val="hybridMultilevel"/>
    <w:tmpl w:val="D48EE902"/>
    <w:lvl w:ilvl="0" w:tplc="BBB0C31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4909A2"/>
    <w:multiLevelType w:val="hybridMultilevel"/>
    <w:tmpl w:val="53A2066C"/>
    <w:lvl w:ilvl="0" w:tplc="BBB0C31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AC504F"/>
    <w:multiLevelType w:val="hybridMultilevel"/>
    <w:tmpl w:val="40148A20"/>
    <w:lvl w:ilvl="0" w:tplc="BBB0C31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3E"/>
    <w:rsid w:val="0000070F"/>
    <w:rsid w:val="00015D14"/>
    <w:rsid w:val="00032ECD"/>
    <w:rsid w:val="000925C8"/>
    <w:rsid w:val="0009347B"/>
    <w:rsid w:val="000B5860"/>
    <w:rsid w:val="000C306C"/>
    <w:rsid w:val="000C5858"/>
    <w:rsid w:val="000D6A55"/>
    <w:rsid w:val="00110AD2"/>
    <w:rsid w:val="001179D3"/>
    <w:rsid w:val="001214D9"/>
    <w:rsid w:val="0012757A"/>
    <w:rsid w:val="00156197"/>
    <w:rsid w:val="001644E7"/>
    <w:rsid w:val="0016681B"/>
    <w:rsid w:val="00171973"/>
    <w:rsid w:val="001802DA"/>
    <w:rsid w:val="00184B4C"/>
    <w:rsid w:val="00187546"/>
    <w:rsid w:val="001C552F"/>
    <w:rsid w:val="001D3B05"/>
    <w:rsid w:val="001F139F"/>
    <w:rsid w:val="001F3A14"/>
    <w:rsid w:val="00211D4A"/>
    <w:rsid w:val="002220F4"/>
    <w:rsid w:val="00222540"/>
    <w:rsid w:val="00252B48"/>
    <w:rsid w:val="0025488A"/>
    <w:rsid w:val="00254F7A"/>
    <w:rsid w:val="002638E5"/>
    <w:rsid w:val="00271FBC"/>
    <w:rsid w:val="00276955"/>
    <w:rsid w:val="002B1536"/>
    <w:rsid w:val="002B25D0"/>
    <w:rsid w:val="002E2858"/>
    <w:rsid w:val="002F26D0"/>
    <w:rsid w:val="00327183"/>
    <w:rsid w:val="00334AEC"/>
    <w:rsid w:val="00361124"/>
    <w:rsid w:val="00365803"/>
    <w:rsid w:val="00390001"/>
    <w:rsid w:val="003A6D4D"/>
    <w:rsid w:val="003C6CB9"/>
    <w:rsid w:val="003E5F29"/>
    <w:rsid w:val="003F19C5"/>
    <w:rsid w:val="003F26CE"/>
    <w:rsid w:val="00410785"/>
    <w:rsid w:val="004126C0"/>
    <w:rsid w:val="004137F0"/>
    <w:rsid w:val="00427845"/>
    <w:rsid w:val="00442925"/>
    <w:rsid w:val="00461317"/>
    <w:rsid w:val="004628D7"/>
    <w:rsid w:val="00474770"/>
    <w:rsid w:val="004853EB"/>
    <w:rsid w:val="00493578"/>
    <w:rsid w:val="004A15A2"/>
    <w:rsid w:val="004B3180"/>
    <w:rsid w:val="004B45DE"/>
    <w:rsid w:val="004B4BBA"/>
    <w:rsid w:val="004D2DC2"/>
    <w:rsid w:val="004E438B"/>
    <w:rsid w:val="004F7D89"/>
    <w:rsid w:val="0050468E"/>
    <w:rsid w:val="00515F3B"/>
    <w:rsid w:val="005205CA"/>
    <w:rsid w:val="00540B7F"/>
    <w:rsid w:val="00550011"/>
    <w:rsid w:val="00553EAB"/>
    <w:rsid w:val="00571829"/>
    <w:rsid w:val="00580E76"/>
    <w:rsid w:val="00581B1D"/>
    <w:rsid w:val="00582FFE"/>
    <w:rsid w:val="00597F33"/>
    <w:rsid w:val="005A4D60"/>
    <w:rsid w:val="005C365D"/>
    <w:rsid w:val="005E1658"/>
    <w:rsid w:val="005F1420"/>
    <w:rsid w:val="00622AEF"/>
    <w:rsid w:val="00631374"/>
    <w:rsid w:val="0063644C"/>
    <w:rsid w:val="0065684B"/>
    <w:rsid w:val="00664333"/>
    <w:rsid w:val="0068553F"/>
    <w:rsid w:val="00691573"/>
    <w:rsid w:val="006A6409"/>
    <w:rsid w:val="006C4751"/>
    <w:rsid w:val="006D0ED0"/>
    <w:rsid w:val="006E6EA1"/>
    <w:rsid w:val="006F0A7C"/>
    <w:rsid w:val="0070090A"/>
    <w:rsid w:val="00702D3D"/>
    <w:rsid w:val="00720C50"/>
    <w:rsid w:val="00731206"/>
    <w:rsid w:val="00734565"/>
    <w:rsid w:val="00745FB3"/>
    <w:rsid w:val="0075120D"/>
    <w:rsid w:val="00752815"/>
    <w:rsid w:val="00757D2F"/>
    <w:rsid w:val="00766544"/>
    <w:rsid w:val="00773EFE"/>
    <w:rsid w:val="00797242"/>
    <w:rsid w:val="007B3A8C"/>
    <w:rsid w:val="007C0EF0"/>
    <w:rsid w:val="007C2A84"/>
    <w:rsid w:val="007C3D50"/>
    <w:rsid w:val="007F0562"/>
    <w:rsid w:val="00813819"/>
    <w:rsid w:val="00814366"/>
    <w:rsid w:val="0082275E"/>
    <w:rsid w:val="00835E8A"/>
    <w:rsid w:val="00852793"/>
    <w:rsid w:val="0086252E"/>
    <w:rsid w:val="00866632"/>
    <w:rsid w:val="008830B8"/>
    <w:rsid w:val="00894FF9"/>
    <w:rsid w:val="008964AA"/>
    <w:rsid w:val="008A3D45"/>
    <w:rsid w:val="008A4F7C"/>
    <w:rsid w:val="008C41E2"/>
    <w:rsid w:val="008D4766"/>
    <w:rsid w:val="008F5876"/>
    <w:rsid w:val="0091753E"/>
    <w:rsid w:val="00930736"/>
    <w:rsid w:val="00933DE8"/>
    <w:rsid w:val="009425D7"/>
    <w:rsid w:val="009713F6"/>
    <w:rsid w:val="0098768B"/>
    <w:rsid w:val="00991F66"/>
    <w:rsid w:val="009A399B"/>
    <w:rsid w:val="009B44F7"/>
    <w:rsid w:val="009C365C"/>
    <w:rsid w:val="009C516D"/>
    <w:rsid w:val="00A11D09"/>
    <w:rsid w:val="00A20116"/>
    <w:rsid w:val="00A4357F"/>
    <w:rsid w:val="00A5148F"/>
    <w:rsid w:val="00A548D5"/>
    <w:rsid w:val="00A548F1"/>
    <w:rsid w:val="00A908B0"/>
    <w:rsid w:val="00AA077E"/>
    <w:rsid w:val="00AB7E3D"/>
    <w:rsid w:val="00AC46AA"/>
    <w:rsid w:val="00AC7B49"/>
    <w:rsid w:val="00AE3321"/>
    <w:rsid w:val="00B023C1"/>
    <w:rsid w:val="00B0499B"/>
    <w:rsid w:val="00B05002"/>
    <w:rsid w:val="00B2009D"/>
    <w:rsid w:val="00B23233"/>
    <w:rsid w:val="00B33395"/>
    <w:rsid w:val="00B33D29"/>
    <w:rsid w:val="00B52267"/>
    <w:rsid w:val="00B52861"/>
    <w:rsid w:val="00B5527A"/>
    <w:rsid w:val="00B6350D"/>
    <w:rsid w:val="00B8643C"/>
    <w:rsid w:val="00B90322"/>
    <w:rsid w:val="00B915DE"/>
    <w:rsid w:val="00B96FF6"/>
    <w:rsid w:val="00BB08A0"/>
    <w:rsid w:val="00BC2CB4"/>
    <w:rsid w:val="00BD0AE7"/>
    <w:rsid w:val="00BD12BD"/>
    <w:rsid w:val="00BD3B85"/>
    <w:rsid w:val="00BE2739"/>
    <w:rsid w:val="00BE6C74"/>
    <w:rsid w:val="00BF45CB"/>
    <w:rsid w:val="00C02FB8"/>
    <w:rsid w:val="00C303E8"/>
    <w:rsid w:val="00C45E78"/>
    <w:rsid w:val="00C63E6D"/>
    <w:rsid w:val="00C6428B"/>
    <w:rsid w:val="00C657BF"/>
    <w:rsid w:val="00C66236"/>
    <w:rsid w:val="00C74F85"/>
    <w:rsid w:val="00C76773"/>
    <w:rsid w:val="00C77540"/>
    <w:rsid w:val="00C92619"/>
    <w:rsid w:val="00CA106A"/>
    <w:rsid w:val="00CA4531"/>
    <w:rsid w:val="00D0137C"/>
    <w:rsid w:val="00D1322D"/>
    <w:rsid w:val="00D2388E"/>
    <w:rsid w:val="00D3536F"/>
    <w:rsid w:val="00D35CCE"/>
    <w:rsid w:val="00D41CC5"/>
    <w:rsid w:val="00D457EE"/>
    <w:rsid w:val="00D50481"/>
    <w:rsid w:val="00D53DB1"/>
    <w:rsid w:val="00D773DA"/>
    <w:rsid w:val="00D8700C"/>
    <w:rsid w:val="00D95153"/>
    <w:rsid w:val="00DA377E"/>
    <w:rsid w:val="00DA528D"/>
    <w:rsid w:val="00DB55FC"/>
    <w:rsid w:val="00DC04AA"/>
    <w:rsid w:val="00DD2982"/>
    <w:rsid w:val="00E03479"/>
    <w:rsid w:val="00E03FED"/>
    <w:rsid w:val="00E076A4"/>
    <w:rsid w:val="00E123C6"/>
    <w:rsid w:val="00E20775"/>
    <w:rsid w:val="00E34DAC"/>
    <w:rsid w:val="00E447DD"/>
    <w:rsid w:val="00E476E8"/>
    <w:rsid w:val="00E54A17"/>
    <w:rsid w:val="00E83AA4"/>
    <w:rsid w:val="00E917CC"/>
    <w:rsid w:val="00EA6A5D"/>
    <w:rsid w:val="00EB2C3A"/>
    <w:rsid w:val="00EF14A6"/>
    <w:rsid w:val="00EF2E5C"/>
    <w:rsid w:val="00EF43EC"/>
    <w:rsid w:val="00EF5755"/>
    <w:rsid w:val="00F12055"/>
    <w:rsid w:val="00F152E2"/>
    <w:rsid w:val="00F45AD8"/>
    <w:rsid w:val="00F54F44"/>
    <w:rsid w:val="00F83E87"/>
    <w:rsid w:val="00F86531"/>
    <w:rsid w:val="00F95335"/>
    <w:rsid w:val="00FE1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8F8B74"/>
  <w15:chartTrackingRefBased/>
  <w15:docId w15:val="{82441D60-C0DC-466D-BAF2-EFB1624C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F66"/>
    <w:pPr>
      <w:spacing w:after="200" w:line="276" w:lineRule="auto"/>
      <w:ind w:left="720"/>
      <w:contextualSpacing/>
    </w:pPr>
  </w:style>
  <w:style w:type="paragraph" w:customStyle="1" w:styleId="Default">
    <w:name w:val="Default"/>
    <w:rsid w:val="000B5860"/>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EB2C3A"/>
    <w:rPr>
      <w:color w:val="0563C1" w:themeColor="hyperlink"/>
      <w:u w:val="single"/>
    </w:rPr>
  </w:style>
  <w:style w:type="character" w:styleId="CommentReference">
    <w:name w:val="annotation reference"/>
    <w:basedOn w:val="DefaultParagraphFont"/>
    <w:uiPriority w:val="99"/>
    <w:semiHidden/>
    <w:unhideWhenUsed/>
    <w:rsid w:val="00410785"/>
    <w:rPr>
      <w:sz w:val="16"/>
      <w:szCs w:val="16"/>
    </w:rPr>
  </w:style>
  <w:style w:type="paragraph" w:styleId="CommentText">
    <w:name w:val="annotation text"/>
    <w:basedOn w:val="Normal"/>
    <w:link w:val="CommentTextChar"/>
    <w:uiPriority w:val="99"/>
    <w:semiHidden/>
    <w:unhideWhenUsed/>
    <w:rsid w:val="00410785"/>
    <w:pPr>
      <w:spacing w:line="240" w:lineRule="auto"/>
    </w:pPr>
    <w:rPr>
      <w:sz w:val="20"/>
      <w:szCs w:val="20"/>
    </w:rPr>
  </w:style>
  <w:style w:type="character" w:customStyle="1" w:styleId="CommentTextChar">
    <w:name w:val="Comment Text Char"/>
    <w:basedOn w:val="DefaultParagraphFont"/>
    <w:link w:val="CommentText"/>
    <w:uiPriority w:val="99"/>
    <w:semiHidden/>
    <w:rsid w:val="00410785"/>
    <w:rPr>
      <w:sz w:val="20"/>
      <w:szCs w:val="20"/>
    </w:rPr>
  </w:style>
  <w:style w:type="paragraph" w:styleId="CommentSubject">
    <w:name w:val="annotation subject"/>
    <w:basedOn w:val="CommentText"/>
    <w:next w:val="CommentText"/>
    <w:link w:val="CommentSubjectChar"/>
    <w:uiPriority w:val="99"/>
    <w:semiHidden/>
    <w:unhideWhenUsed/>
    <w:rsid w:val="00410785"/>
    <w:rPr>
      <w:b/>
      <w:bCs/>
    </w:rPr>
  </w:style>
  <w:style w:type="character" w:customStyle="1" w:styleId="CommentSubjectChar">
    <w:name w:val="Comment Subject Char"/>
    <w:basedOn w:val="CommentTextChar"/>
    <w:link w:val="CommentSubject"/>
    <w:uiPriority w:val="99"/>
    <w:semiHidden/>
    <w:rsid w:val="00410785"/>
    <w:rPr>
      <w:b/>
      <w:bCs/>
      <w:sz w:val="20"/>
      <w:szCs w:val="20"/>
    </w:rPr>
  </w:style>
  <w:style w:type="paragraph" w:styleId="BalloonText">
    <w:name w:val="Balloon Text"/>
    <w:basedOn w:val="Normal"/>
    <w:link w:val="BalloonTextChar"/>
    <w:uiPriority w:val="99"/>
    <w:semiHidden/>
    <w:unhideWhenUsed/>
    <w:rsid w:val="00410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785"/>
    <w:rPr>
      <w:rFonts w:ascii="Segoe UI" w:hAnsi="Segoe UI" w:cs="Segoe UI"/>
      <w:sz w:val="18"/>
      <w:szCs w:val="18"/>
    </w:rPr>
  </w:style>
  <w:style w:type="paragraph" w:styleId="ListBullet">
    <w:name w:val="List Bullet"/>
    <w:basedOn w:val="Normal"/>
    <w:uiPriority w:val="99"/>
    <w:unhideWhenUsed/>
    <w:rsid w:val="00766544"/>
    <w:pPr>
      <w:numPr>
        <w:numId w:val="7"/>
      </w:numPr>
      <w:contextualSpacing/>
    </w:pPr>
  </w:style>
  <w:style w:type="table" w:styleId="TableGrid">
    <w:name w:val="Table Grid"/>
    <w:basedOn w:val="TableNormal"/>
    <w:uiPriority w:val="39"/>
    <w:rsid w:val="00597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3F26C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26CE"/>
    <w:rPr>
      <w:i/>
      <w:iCs/>
      <w:color w:val="5B9BD5" w:themeColor="accent1"/>
    </w:rPr>
  </w:style>
  <w:style w:type="character" w:styleId="FollowedHyperlink">
    <w:name w:val="FollowedHyperlink"/>
    <w:basedOn w:val="DefaultParagraphFont"/>
    <w:uiPriority w:val="99"/>
    <w:semiHidden/>
    <w:unhideWhenUsed/>
    <w:rsid w:val="003F26CE"/>
    <w:rPr>
      <w:color w:val="954F72" w:themeColor="followedHyperlink"/>
      <w:u w:val="single"/>
    </w:rPr>
  </w:style>
  <w:style w:type="paragraph" w:styleId="FootnoteText">
    <w:name w:val="footnote text"/>
    <w:basedOn w:val="Normal"/>
    <w:link w:val="FootnoteTextChar"/>
    <w:uiPriority w:val="99"/>
    <w:semiHidden/>
    <w:unhideWhenUsed/>
    <w:rsid w:val="00A514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148F"/>
    <w:rPr>
      <w:sz w:val="20"/>
      <w:szCs w:val="20"/>
    </w:rPr>
  </w:style>
  <w:style w:type="character" w:styleId="FootnoteReference">
    <w:name w:val="footnote reference"/>
    <w:basedOn w:val="DefaultParagraphFont"/>
    <w:uiPriority w:val="99"/>
    <w:semiHidden/>
    <w:unhideWhenUsed/>
    <w:rsid w:val="00A5148F"/>
    <w:rPr>
      <w:vertAlign w:val="superscript"/>
    </w:rPr>
  </w:style>
  <w:style w:type="paragraph" w:styleId="Header">
    <w:name w:val="header"/>
    <w:basedOn w:val="Normal"/>
    <w:link w:val="HeaderChar"/>
    <w:uiPriority w:val="99"/>
    <w:unhideWhenUsed/>
    <w:rsid w:val="00E54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A17"/>
  </w:style>
  <w:style w:type="paragraph" w:styleId="Footer">
    <w:name w:val="footer"/>
    <w:basedOn w:val="Normal"/>
    <w:link w:val="FooterChar"/>
    <w:uiPriority w:val="99"/>
    <w:unhideWhenUsed/>
    <w:rsid w:val="00E54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52961">
      <w:bodyDiv w:val="1"/>
      <w:marLeft w:val="0"/>
      <w:marRight w:val="0"/>
      <w:marTop w:val="0"/>
      <w:marBottom w:val="0"/>
      <w:divBdr>
        <w:top w:val="none" w:sz="0" w:space="0" w:color="auto"/>
        <w:left w:val="none" w:sz="0" w:space="0" w:color="auto"/>
        <w:bottom w:val="none" w:sz="0" w:space="0" w:color="auto"/>
        <w:right w:val="none" w:sz="0" w:space="0" w:color="auto"/>
      </w:divBdr>
    </w:div>
    <w:div w:id="634219243">
      <w:bodyDiv w:val="1"/>
      <w:marLeft w:val="0"/>
      <w:marRight w:val="0"/>
      <w:marTop w:val="0"/>
      <w:marBottom w:val="0"/>
      <w:divBdr>
        <w:top w:val="none" w:sz="0" w:space="0" w:color="auto"/>
        <w:left w:val="none" w:sz="0" w:space="0" w:color="auto"/>
        <w:bottom w:val="none" w:sz="0" w:space="0" w:color="auto"/>
        <w:right w:val="none" w:sz="0" w:space="0" w:color="auto"/>
      </w:divBdr>
    </w:div>
    <w:div w:id="197560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1/20/section/154/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53A45-2C1D-474B-8228-298FC241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6012</Words>
  <Characters>34274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40206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E.Lindley</dc:creator>
  <cp:keywords/>
  <dc:description/>
  <cp:lastModifiedBy>E.Lindley</cp:lastModifiedBy>
  <cp:revision>4</cp:revision>
  <cp:lastPrinted>2018-02-01T15:33:00Z</cp:lastPrinted>
  <dcterms:created xsi:type="dcterms:W3CDTF">2018-07-13T15:46:00Z</dcterms:created>
  <dcterms:modified xsi:type="dcterms:W3CDTF">2019-06-06T12:23:00Z</dcterms:modified>
</cp:coreProperties>
</file>