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Default Extension="png" ContentType="image/png"/>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17"/>
        </w:rPr>
      </w:pPr>
    </w:p>
    <w:p>
      <w:pPr>
        <w:spacing w:before="79"/>
        <w:ind w:left="0" w:right="318" w:firstLine="0"/>
        <w:jc w:val="right"/>
        <w:rPr>
          <w:rFonts w:ascii="Arial"/>
          <w:b/>
          <w:sz w:val="66"/>
        </w:rPr>
      </w:pPr>
      <w:r>
        <w:rPr/>
        <w:drawing>
          <wp:anchor distT="0" distB="0" distL="0" distR="0" allowOverlap="1" layoutInCell="1" locked="0" behindDoc="0" simplePos="0" relativeHeight="15731200">
            <wp:simplePos x="0" y="0"/>
            <wp:positionH relativeFrom="page">
              <wp:posOffset>179997</wp:posOffset>
            </wp:positionH>
            <wp:positionV relativeFrom="paragraph">
              <wp:posOffset>-1732384</wp:posOffset>
            </wp:positionV>
            <wp:extent cx="4788001" cy="2468943"/>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4788001" cy="2468943"/>
                    </a:xfrm>
                    <a:prstGeom prst="rect">
                      <a:avLst/>
                    </a:prstGeom>
                  </pic:spPr>
                </pic:pic>
              </a:graphicData>
            </a:graphic>
          </wp:anchor>
        </w:drawing>
      </w:r>
      <w:r>
        <w:rPr/>
        <w:drawing>
          <wp:anchor distT="0" distB="0" distL="0" distR="0" allowOverlap="1" layoutInCell="1" locked="0" behindDoc="0" simplePos="0" relativeHeight="15731712">
            <wp:simplePos x="0" y="0"/>
            <wp:positionH relativeFrom="page">
              <wp:posOffset>5178407</wp:posOffset>
            </wp:positionH>
            <wp:positionV relativeFrom="paragraph">
              <wp:posOffset>-160895</wp:posOffset>
            </wp:positionV>
            <wp:extent cx="549595" cy="689608"/>
            <wp:effectExtent l="0" t="0" r="0" b="0"/>
            <wp:wrapNone/>
            <wp:docPr id="3" name="image2.jpeg"/>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549595" cy="689608"/>
                    </a:xfrm>
                    <a:prstGeom prst="rect">
                      <a:avLst/>
                    </a:prstGeom>
                  </pic:spPr>
                </pic:pic>
              </a:graphicData>
            </a:graphic>
          </wp:anchor>
        </w:drawing>
      </w:r>
      <w:r>
        <w:rPr>
          <w:rFonts w:ascii="Arial"/>
          <w:b/>
          <w:color w:val="231F1F"/>
          <w:spacing w:val="-2"/>
          <w:sz w:val="66"/>
        </w:rPr>
        <w:t>Ashfield</w:t>
      </w:r>
    </w:p>
    <w:p>
      <w:pPr>
        <w:spacing w:before="40"/>
        <w:ind w:left="0" w:right="859" w:firstLine="0"/>
        <w:jc w:val="right"/>
        <w:rPr>
          <w:rFonts w:ascii="Arial"/>
          <w:sz w:val="27"/>
        </w:rPr>
      </w:pPr>
      <w:r>
        <w:rPr>
          <w:rFonts w:ascii="Arial"/>
          <w:color w:val="231F1F"/>
          <w:w w:val="85"/>
          <w:sz w:val="27"/>
        </w:rPr>
        <w:t>DISTRICT</w:t>
      </w:r>
      <w:r>
        <w:rPr>
          <w:rFonts w:ascii="Arial"/>
          <w:color w:val="231F1F"/>
          <w:spacing w:val="9"/>
          <w:sz w:val="27"/>
        </w:rPr>
        <w:t> </w:t>
      </w:r>
      <w:r>
        <w:rPr>
          <w:rFonts w:ascii="Arial"/>
          <w:color w:val="231F1F"/>
          <w:spacing w:val="-2"/>
          <w:sz w:val="27"/>
        </w:rPr>
        <w:t>COUNCIL</w:t>
      </w:r>
    </w:p>
    <w:p>
      <w:pPr>
        <w:pStyle w:val="BodyText"/>
        <w:spacing w:before="6"/>
        <w:rPr>
          <w:rFonts w:ascii="Arial"/>
          <w:sz w:val="16"/>
        </w:rPr>
      </w:pPr>
      <w:r>
        <w:rPr/>
        <w:drawing>
          <wp:anchor distT="0" distB="0" distL="0" distR="0" allowOverlap="1" layoutInCell="1" locked="0" behindDoc="0" simplePos="0" relativeHeight="0">
            <wp:simplePos x="0" y="0"/>
            <wp:positionH relativeFrom="page">
              <wp:posOffset>179997</wp:posOffset>
            </wp:positionH>
            <wp:positionV relativeFrom="paragraph">
              <wp:posOffset>136272</wp:posOffset>
            </wp:positionV>
            <wp:extent cx="2559052" cy="2474976"/>
            <wp:effectExtent l="0" t="0" r="0" b="0"/>
            <wp:wrapTopAndBottom/>
            <wp:docPr id="5" name="image3.jpeg"/>
            <wp:cNvGraphicFramePr>
              <a:graphicFrameLocks noChangeAspect="1"/>
            </wp:cNvGraphicFramePr>
            <a:graphic>
              <a:graphicData uri="http://schemas.openxmlformats.org/drawingml/2006/picture">
                <pic:pic>
                  <pic:nvPicPr>
                    <pic:cNvPr id="6" name="image3.jpeg"/>
                    <pic:cNvPicPr/>
                  </pic:nvPicPr>
                  <pic:blipFill>
                    <a:blip r:embed="rId7" cstate="print"/>
                    <a:stretch>
                      <a:fillRect/>
                    </a:stretch>
                  </pic:blipFill>
                  <pic:spPr>
                    <a:xfrm>
                      <a:off x="0" y="0"/>
                      <a:ext cx="2559052" cy="2474976"/>
                    </a:xfrm>
                    <a:prstGeom prst="rect">
                      <a:avLst/>
                    </a:prstGeom>
                  </pic:spPr>
                </pic:pic>
              </a:graphicData>
            </a:graphic>
          </wp:anchor>
        </w:drawing>
      </w:r>
      <w:r>
        <w:rPr/>
        <w:drawing>
          <wp:anchor distT="0" distB="0" distL="0" distR="0" allowOverlap="1" layoutInCell="1" locked="0" behindDoc="0" simplePos="0" relativeHeight="1">
            <wp:simplePos x="0" y="0"/>
            <wp:positionH relativeFrom="page">
              <wp:posOffset>2894393</wp:posOffset>
            </wp:positionH>
            <wp:positionV relativeFrom="paragraph">
              <wp:posOffset>136272</wp:posOffset>
            </wp:positionV>
            <wp:extent cx="4496676" cy="2474976"/>
            <wp:effectExtent l="0" t="0" r="0" b="0"/>
            <wp:wrapTopAndBottom/>
            <wp:docPr id="7" name="image4.jpeg"/>
            <wp:cNvGraphicFramePr>
              <a:graphicFrameLocks noChangeAspect="1"/>
            </wp:cNvGraphicFramePr>
            <a:graphic>
              <a:graphicData uri="http://schemas.openxmlformats.org/drawingml/2006/picture">
                <pic:pic>
                  <pic:nvPicPr>
                    <pic:cNvPr id="8" name="image4.jpeg"/>
                    <pic:cNvPicPr/>
                  </pic:nvPicPr>
                  <pic:blipFill>
                    <a:blip r:embed="rId8" cstate="print"/>
                    <a:stretch>
                      <a:fillRect/>
                    </a:stretch>
                  </pic:blipFill>
                  <pic:spPr>
                    <a:xfrm>
                      <a:off x="0" y="0"/>
                      <a:ext cx="4496676" cy="2474976"/>
                    </a:xfrm>
                    <a:prstGeom prst="rect">
                      <a:avLst/>
                    </a:prstGeom>
                  </pic:spPr>
                </pic:pic>
              </a:graphicData>
            </a:graphic>
          </wp:anchor>
        </w:drawing>
      </w:r>
      <w:r>
        <w:rPr/>
        <w:drawing>
          <wp:anchor distT="0" distB="0" distL="0" distR="0" allowOverlap="1" layoutInCell="1" locked="0" behindDoc="0" simplePos="0" relativeHeight="2">
            <wp:simplePos x="0" y="0"/>
            <wp:positionH relativeFrom="page">
              <wp:posOffset>179997</wp:posOffset>
            </wp:positionH>
            <wp:positionV relativeFrom="paragraph">
              <wp:posOffset>2766379</wp:posOffset>
            </wp:positionV>
            <wp:extent cx="4459247" cy="2474976"/>
            <wp:effectExtent l="0" t="0" r="0" b="0"/>
            <wp:wrapTopAndBottom/>
            <wp:docPr id="9" name="image5.jpeg"/>
            <wp:cNvGraphicFramePr>
              <a:graphicFrameLocks noChangeAspect="1"/>
            </wp:cNvGraphicFramePr>
            <a:graphic>
              <a:graphicData uri="http://schemas.openxmlformats.org/drawingml/2006/picture">
                <pic:pic>
                  <pic:nvPicPr>
                    <pic:cNvPr id="10" name="image5.jpeg"/>
                    <pic:cNvPicPr/>
                  </pic:nvPicPr>
                  <pic:blipFill>
                    <a:blip r:embed="rId9" cstate="print"/>
                    <a:stretch>
                      <a:fillRect/>
                    </a:stretch>
                  </pic:blipFill>
                  <pic:spPr>
                    <a:xfrm>
                      <a:off x="0" y="0"/>
                      <a:ext cx="4459247" cy="2474976"/>
                    </a:xfrm>
                    <a:prstGeom prst="rect">
                      <a:avLst/>
                    </a:prstGeom>
                  </pic:spPr>
                </pic:pic>
              </a:graphicData>
            </a:graphic>
          </wp:anchor>
        </w:drawing>
      </w:r>
      <w:r>
        <w:rPr/>
        <w:drawing>
          <wp:anchor distT="0" distB="0" distL="0" distR="0" allowOverlap="1" layoutInCell="1" locked="0" behindDoc="0" simplePos="0" relativeHeight="3">
            <wp:simplePos x="0" y="0"/>
            <wp:positionH relativeFrom="page">
              <wp:posOffset>4798796</wp:posOffset>
            </wp:positionH>
            <wp:positionV relativeFrom="paragraph">
              <wp:posOffset>2766390</wp:posOffset>
            </wp:positionV>
            <wp:extent cx="2584445" cy="2471928"/>
            <wp:effectExtent l="0" t="0" r="0" b="0"/>
            <wp:wrapTopAndBottom/>
            <wp:docPr id="11" name="image6.jpeg"/>
            <wp:cNvGraphicFramePr>
              <a:graphicFrameLocks noChangeAspect="1"/>
            </wp:cNvGraphicFramePr>
            <a:graphic>
              <a:graphicData uri="http://schemas.openxmlformats.org/drawingml/2006/picture">
                <pic:pic>
                  <pic:nvPicPr>
                    <pic:cNvPr id="12" name="image6.jpeg"/>
                    <pic:cNvPicPr/>
                  </pic:nvPicPr>
                  <pic:blipFill>
                    <a:blip r:embed="rId10" cstate="print"/>
                    <a:stretch>
                      <a:fillRect/>
                    </a:stretch>
                  </pic:blipFill>
                  <pic:spPr>
                    <a:xfrm>
                      <a:off x="0" y="0"/>
                      <a:ext cx="2584445" cy="2471928"/>
                    </a:xfrm>
                    <a:prstGeom prst="rect">
                      <a:avLst/>
                    </a:prstGeom>
                  </pic:spPr>
                </pic:pic>
              </a:graphicData>
            </a:graphic>
          </wp:anchor>
        </w:drawing>
      </w:r>
      <w:r>
        <w:rPr/>
        <w:pict>
          <v:shapetype id="_x0000_t202" o:spt="202" coordsize="21600,21600" path="m,l,21600r21600,l21600,xe">
            <v:stroke joinstyle="miter"/>
            <v:path gradientshapeok="t" o:connecttype="rect"/>
          </v:shapetype>
          <v:shape style="position:absolute;margin-left:14.173pt;margin-top:424.987122pt;width:566.950pt;height:192.8pt;mso-position-horizontal-relative:page;mso-position-vertical-relative:paragraph;z-index:-15726592;mso-wrap-distance-left:0;mso-wrap-distance-right:0" type="#_x0000_t202" id="docshape1" filled="true" fillcolor="#6d6e71" stroked="false">
            <v:textbox inset="0,0,0,0">
              <w:txbxContent>
                <w:p>
                  <w:pPr>
                    <w:pStyle w:val="BodyText"/>
                    <w:rPr>
                      <w:rFonts w:ascii="Arial"/>
                      <w:color w:val="000000"/>
                      <w:sz w:val="58"/>
                    </w:rPr>
                  </w:pPr>
                </w:p>
                <w:p>
                  <w:pPr>
                    <w:pStyle w:val="BodyText"/>
                    <w:rPr>
                      <w:rFonts w:ascii="Arial"/>
                      <w:color w:val="000000"/>
                      <w:sz w:val="58"/>
                    </w:rPr>
                  </w:pPr>
                </w:p>
                <w:p>
                  <w:pPr>
                    <w:pStyle w:val="BodyText"/>
                    <w:rPr>
                      <w:rFonts w:ascii="Arial"/>
                      <w:color w:val="000000"/>
                      <w:sz w:val="58"/>
                    </w:rPr>
                  </w:pPr>
                </w:p>
                <w:p>
                  <w:pPr>
                    <w:spacing w:line="543" w:lineRule="exact" w:before="392"/>
                    <w:ind w:left="487" w:right="0" w:firstLine="0"/>
                    <w:jc w:val="left"/>
                    <w:rPr>
                      <w:b/>
                      <w:color w:val="000000"/>
                      <w:sz w:val="44"/>
                    </w:rPr>
                  </w:pPr>
                  <w:r>
                    <w:rPr>
                      <w:b/>
                      <w:color w:val="FFFFFF"/>
                      <w:sz w:val="44"/>
                    </w:rPr>
                    <w:t>Draft</w:t>
                  </w:r>
                  <w:r>
                    <w:rPr>
                      <w:b/>
                      <w:color w:val="FFFFFF"/>
                      <w:spacing w:val="5"/>
                      <w:sz w:val="44"/>
                    </w:rPr>
                    <w:t> </w:t>
                  </w:r>
                  <w:r>
                    <w:rPr>
                      <w:b/>
                      <w:color w:val="FFFFFF"/>
                      <w:sz w:val="44"/>
                    </w:rPr>
                    <w:t>Statement</w:t>
                  </w:r>
                  <w:r>
                    <w:rPr>
                      <w:b/>
                      <w:color w:val="FFFFFF"/>
                      <w:spacing w:val="6"/>
                      <w:sz w:val="44"/>
                    </w:rPr>
                    <w:t> </w:t>
                  </w:r>
                  <w:r>
                    <w:rPr>
                      <w:b/>
                      <w:color w:val="FFFFFF"/>
                      <w:sz w:val="44"/>
                    </w:rPr>
                    <w:t>of</w:t>
                  </w:r>
                  <w:r>
                    <w:rPr>
                      <w:b/>
                      <w:color w:val="FFFFFF"/>
                      <w:spacing w:val="6"/>
                      <w:sz w:val="44"/>
                    </w:rPr>
                    <w:t> </w:t>
                  </w:r>
                  <w:r>
                    <w:rPr>
                      <w:b/>
                      <w:color w:val="FFFFFF"/>
                      <w:spacing w:val="-2"/>
                      <w:sz w:val="44"/>
                    </w:rPr>
                    <w:t>Accounts</w:t>
                  </w:r>
                </w:p>
                <w:p>
                  <w:pPr>
                    <w:spacing w:line="543" w:lineRule="exact" w:before="0"/>
                    <w:ind w:left="487" w:right="0" w:firstLine="0"/>
                    <w:jc w:val="left"/>
                    <w:rPr>
                      <w:rFonts w:ascii="Segoe UI Light"/>
                      <w:b w:val="0"/>
                      <w:color w:val="000000"/>
                      <w:sz w:val="44"/>
                    </w:rPr>
                  </w:pPr>
                  <w:r>
                    <w:rPr>
                      <w:rFonts w:ascii="Segoe UI Light"/>
                      <w:b w:val="0"/>
                      <w:color w:val="FFFFFF"/>
                      <w:spacing w:val="-2"/>
                      <w:sz w:val="44"/>
                    </w:rPr>
                    <w:t>2022/23</w:t>
                  </w:r>
                </w:p>
              </w:txbxContent>
            </v:textbox>
            <v:fill type="solid"/>
            <w10:wrap type="topAndBottom"/>
          </v:shape>
        </w:pict>
      </w:r>
    </w:p>
    <w:p>
      <w:pPr>
        <w:pStyle w:val="BodyText"/>
        <w:spacing w:before="1"/>
        <w:rPr>
          <w:rFonts w:ascii="Arial"/>
          <w:sz w:val="19"/>
        </w:rPr>
      </w:pPr>
    </w:p>
    <w:p>
      <w:pPr>
        <w:pStyle w:val="BodyText"/>
        <w:spacing w:before="3"/>
        <w:rPr>
          <w:rFonts w:ascii="Arial"/>
          <w:sz w:val="19"/>
        </w:rPr>
      </w:pPr>
    </w:p>
    <w:p>
      <w:pPr>
        <w:spacing w:after="0"/>
        <w:rPr>
          <w:rFonts w:ascii="Arial"/>
          <w:sz w:val="19"/>
        </w:rPr>
        <w:sectPr>
          <w:type w:val="continuous"/>
          <w:pgSz w:w="11910" w:h="16840"/>
          <w:pgMar w:top="260" w:bottom="0" w:left="0" w:right="0"/>
        </w:sectPr>
      </w:pPr>
    </w:p>
    <w:p>
      <w:pPr>
        <w:pStyle w:val="BodyText"/>
        <w:spacing w:before="5"/>
        <w:rPr>
          <w:rFonts w:ascii="Arial"/>
        </w:rPr>
      </w:pPr>
    </w:p>
    <w:p>
      <w:pPr>
        <w:spacing w:before="100"/>
        <w:ind w:left="575" w:right="0" w:firstLine="0"/>
        <w:jc w:val="left"/>
        <w:rPr>
          <w:b/>
          <w:sz w:val="50"/>
        </w:rPr>
      </w:pPr>
      <w:r>
        <w:rPr>
          <w:b/>
          <w:color w:val="3B5673"/>
          <w:spacing w:val="11"/>
          <w:sz w:val="50"/>
        </w:rPr>
        <w:t>CONTENTS</w:t>
      </w:r>
    </w:p>
    <w:p>
      <w:pPr>
        <w:pStyle w:val="BodyText"/>
        <w:tabs>
          <w:tab w:pos="10771" w:val="right" w:leader="none"/>
        </w:tabs>
        <w:spacing w:before="277"/>
        <w:ind w:left="566"/>
      </w:pPr>
      <w:r>
        <w:rPr>
          <w:color w:val="231F20"/>
          <w:spacing w:val="-2"/>
        </w:rPr>
        <w:t>NARRATIVE</w:t>
      </w:r>
      <w:r>
        <w:rPr>
          <w:color w:val="231F20"/>
          <w:spacing w:val="-4"/>
        </w:rPr>
        <w:t> </w:t>
      </w:r>
      <w:r>
        <w:rPr>
          <w:color w:val="231F20"/>
          <w:spacing w:val="-2"/>
        </w:rPr>
        <w:t>REPORT</w:t>
      </w:r>
      <w:r>
        <w:rPr>
          <w:color w:val="231F20"/>
        </w:rPr>
        <w:tab/>
      </w:r>
      <w:r>
        <w:rPr>
          <w:color w:val="231F20"/>
          <w:spacing w:val="-10"/>
        </w:rPr>
        <w:t>3</w:t>
      </w:r>
    </w:p>
    <w:p>
      <w:pPr>
        <w:pStyle w:val="BodyText"/>
        <w:tabs>
          <w:tab w:pos="10771" w:val="right" w:leader="none"/>
        </w:tabs>
        <w:spacing w:before="321"/>
        <w:ind w:left="566"/>
      </w:pPr>
      <w:r>
        <w:rPr>
          <w:color w:val="231F20"/>
        </w:rPr>
        <w:t>THE</w:t>
      </w:r>
      <w:r>
        <w:rPr>
          <w:color w:val="231F20"/>
          <w:spacing w:val="-12"/>
        </w:rPr>
        <w:t> </w:t>
      </w:r>
      <w:r>
        <w:rPr>
          <w:color w:val="231F20"/>
        </w:rPr>
        <w:t>STATEMENT</w:t>
      </w:r>
      <w:r>
        <w:rPr>
          <w:color w:val="231F20"/>
          <w:spacing w:val="-11"/>
        </w:rPr>
        <w:t> </w:t>
      </w:r>
      <w:r>
        <w:rPr>
          <w:color w:val="231F20"/>
        </w:rPr>
        <w:t>OF</w:t>
      </w:r>
      <w:r>
        <w:rPr>
          <w:color w:val="231F20"/>
          <w:spacing w:val="-11"/>
        </w:rPr>
        <w:t> </w:t>
      </w:r>
      <w:r>
        <w:rPr>
          <w:color w:val="231F20"/>
        </w:rPr>
        <w:t>RESPONSIBILITIES</w:t>
      </w:r>
      <w:r>
        <w:rPr>
          <w:color w:val="231F20"/>
          <w:spacing w:val="-12"/>
        </w:rPr>
        <w:t> </w:t>
      </w:r>
      <w:r>
        <w:rPr>
          <w:color w:val="231F20"/>
        </w:rPr>
        <w:t>FOR</w:t>
      </w:r>
      <w:r>
        <w:rPr>
          <w:color w:val="231F20"/>
          <w:spacing w:val="-12"/>
        </w:rPr>
        <w:t> </w:t>
      </w:r>
      <w:r>
        <w:rPr>
          <w:color w:val="231F20"/>
        </w:rPr>
        <w:t>THE</w:t>
      </w:r>
      <w:r>
        <w:rPr>
          <w:color w:val="231F20"/>
          <w:spacing w:val="-11"/>
        </w:rPr>
        <w:t> </w:t>
      </w:r>
      <w:r>
        <w:rPr>
          <w:color w:val="231F20"/>
        </w:rPr>
        <w:t>STATEMENT</w:t>
      </w:r>
      <w:r>
        <w:rPr>
          <w:color w:val="231F20"/>
          <w:spacing w:val="-11"/>
        </w:rPr>
        <w:t> </w:t>
      </w:r>
      <w:r>
        <w:rPr>
          <w:color w:val="231F20"/>
        </w:rPr>
        <w:t>OF</w:t>
      </w:r>
      <w:r>
        <w:rPr>
          <w:color w:val="231F20"/>
          <w:spacing w:val="-11"/>
        </w:rPr>
        <w:t> </w:t>
      </w:r>
      <w:r>
        <w:rPr>
          <w:color w:val="231F20"/>
          <w:spacing w:val="-2"/>
        </w:rPr>
        <w:t>ACCOUNTS</w:t>
      </w:r>
      <w:r>
        <w:rPr>
          <w:color w:val="231F20"/>
        </w:rPr>
        <w:tab/>
      </w:r>
      <w:r>
        <w:rPr>
          <w:color w:val="231F20"/>
          <w:spacing w:val="-7"/>
        </w:rPr>
        <w:t>25</w:t>
      </w:r>
    </w:p>
    <w:p>
      <w:pPr>
        <w:pStyle w:val="BodyText"/>
        <w:tabs>
          <w:tab w:pos="10771" w:val="right" w:leader="none"/>
        </w:tabs>
        <w:spacing w:before="321"/>
        <w:ind w:left="566"/>
      </w:pPr>
      <w:r>
        <w:rPr>
          <w:color w:val="231F20"/>
        </w:rPr>
        <w:t>AUDIT</w:t>
      </w:r>
      <w:r>
        <w:rPr>
          <w:color w:val="231F20"/>
          <w:spacing w:val="-12"/>
        </w:rPr>
        <w:t> </w:t>
      </w:r>
      <w:r>
        <w:rPr>
          <w:color w:val="231F20"/>
        </w:rPr>
        <w:t>CERTIFICATE</w:t>
      </w:r>
      <w:r>
        <w:rPr>
          <w:color w:val="231F20"/>
          <w:spacing w:val="-12"/>
        </w:rPr>
        <w:t> </w:t>
      </w:r>
      <w:r>
        <w:rPr>
          <w:color w:val="231F20"/>
        </w:rPr>
        <w:t>AND</w:t>
      </w:r>
      <w:r>
        <w:rPr>
          <w:color w:val="231F20"/>
          <w:spacing w:val="-12"/>
        </w:rPr>
        <w:t> </w:t>
      </w:r>
      <w:r>
        <w:rPr>
          <w:color w:val="231F20"/>
          <w:spacing w:val="-2"/>
        </w:rPr>
        <w:t>OPINION</w:t>
      </w:r>
      <w:r>
        <w:rPr>
          <w:color w:val="231F20"/>
        </w:rPr>
        <w:tab/>
      </w:r>
      <w:r>
        <w:rPr>
          <w:color w:val="231F20"/>
          <w:spacing w:val="-7"/>
        </w:rPr>
        <w:t>26</w:t>
      </w:r>
    </w:p>
    <w:p>
      <w:pPr>
        <w:pStyle w:val="BodyText"/>
        <w:tabs>
          <w:tab w:pos="10771" w:val="right" w:leader="none"/>
        </w:tabs>
        <w:spacing w:before="321"/>
        <w:ind w:left="566"/>
      </w:pPr>
      <w:r>
        <w:rPr>
          <w:color w:val="231F20"/>
          <w:spacing w:val="-2"/>
        </w:rPr>
        <w:t>STATEMENT</w:t>
      </w:r>
      <w:r>
        <w:rPr>
          <w:color w:val="231F20"/>
          <w:spacing w:val="-5"/>
        </w:rPr>
        <w:t> </w:t>
      </w:r>
      <w:r>
        <w:rPr>
          <w:color w:val="231F20"/>
          <w:spacing w:val="-2"/>
        </w:rPr>
        <w:t>OF</w:t>
      </w:r>
      <w:r>
        <w:rPr>
          <w:color w:val="231F20"/>
          <w:spacing w:val="-4"/>
        </w:rPr>
        <w:t> </w:t>
      </w:r>
      <w:r>
        <w:rPr>
          <w:color w:val="231F20"/>
          <w:spacing w:val="-2"/>
        </w:rPr>
        <w:t>ACCOUNTING</w:t>
      </w:r>
      <w:r>
        <w:rPr>
          <w:color w:val="231F20"/>
          <w:spacing w:val="-4"/>
        </w:rPr>
        <w:t> </w:t>
      </w:r>
      <w:r>
        <w:rPr>
          <w:color w:val="231F20"/>
          <w:spacing w:val="-2"/>
        </w:rPr>
        <w:t>POLICIES</w:t>
      </w:r>
      <w:r>
        <w:rPr>
          <w:color w:val="231F20"/>
        </w:rPr>
        <w:tab/>
      </w:r>
      <w:r>
        <w:rPr>
          <w:color w:val="231F20"/>
          <w:spacing w:val="-7"/>
        </w:rPr>
        <w:t>31</w:t>
      </w:r>
    </w:p>
    <w:p>
      <w:pPr>
        <w:pStyle w:val="Heading3"/>
        <w:spacing w:line="240" w:lineRule="auto" w:before="316"/>
        <w:ind w:left="566"/>
        <w:rPr>
          <w:rFonts w:ascii="Segoe UI Black"/>
          <w:b/>
        </w:rPr>
      </w:pPr>
      <w:r>
        <w:rPr>
          <w:rFonts w:ascii="Segoe UI Black"/>
          <w:b/>
          <w:color w:val="231F20"/>
        </w:rPr>
        <w:t>THE</w:t>
      </w:r>
      <w:r>
        <w:rPr>
          <w:rFonts w:ascii="Segoe UI Black"/>
          <w:b/>
          <w:color w:val="231F20"/>
          <w:spacing w:val="-4"/>
        </w:rPr>
        <w:t> </w:t>
      </w:r>
      <w:r>
        <w:rPr>
          <w:rFonts w:ascii="Segoe UI Black"/>
          <w:b/>
          <w:color w:val="231F20"/>
        </w:rPr>
        <w:t>CORE</w:t>
      </w:r>
      <w:r>
        <w:rPr>
          <w:rFonts w:ascii="Segoe UI Black"/>
          <w:b/>
          <w:color w:val="231F20"/>
          <w:spacing w:val="-1"/>
        </w:rPr>
        <w:t> </w:t>
      </w:r>
      <w:r>
        <w:rPr>
          <w:rFonts w:ascii="Segoe UI Black"/>
          <w:b/>
          <w:color w:val="231F20"/>
        </w:rPr>
        <w:t>FINANCIAL </w:t>
      </w:r>
      <w:r>
        <w:rPr>
          <w:rFonts w:ascii="Segoe UI Black"/>
          <w:b/>
          <w:color w:val="231F20"/>
          <w:spacing w:val="-2"/>
        </w:rPr>
        <w:t>STATEMENTS</w:t>
      </w:r>
    </w:p>
    <w:p>
      <w:pPr>
        <w:pStyle w:val="BodyText"/>
        <w:tabs>
          <w:tab w:pos="10771" w:val="right" w:leader="none"/>
        </w:tabs>
        <w:spacing w:before="321"/>
        <w:ind w:left="566"/>
      </w:pPr>
      <w:r>
        <w:rPr>
          <w:color w:val="231F20"/>
        </w:rPr>
        <w:t>COMPREHENSIVE</w:t>
      </w:r>
      <w:r>
        <w:rPr>
          <w:color w:val="231F20"/>
          <w:spacing w:val="-6"/>
        </w:rPr>
        <w:t> </w:t>
      </w:r>
      <w:r>
        <w:rPr>
          <w:color w:val="231F20"/>
        </w:rPr>
        <w:t>INCOME</w:t>
      </w:r>
      <w:r>
        <w:rPr>
          <w:color w:val="231F20"/>
          <w:spacing w:val="-4"/>
        </w:rPr>
        <w:t> </w:t>
      </w:r>
      <w:r>
        <w:rPr>
          <w:color w:val="231F20"/>
        </w:rPr>
        <w:t>AND</w:t>
      </w:r>
      <w:r>
        <w:rPr>
          <w:color w:val="231F20"/>
          <w:spacing w:val="-4"/>
        </w:rPr>
        <w:t> </w:t>
      </w:r>
      <w:r>
        <w:rPr>
          <w:color w:val="231F20"/>
        </w:rPr>
        <w:t>EXPENDITURE</w:t>
      </w:r>
      <w:r>
        <w:rPr>
          <w:color w:val="231F20"/>
          <w:spacing w:val="-4"/>
        </w:rPr>
        <w:t> </w:t>
      </w:r>
      <w:r>
        <w:rPr>
          <w:color w:val="231F20"/>
          <w:spacing w:val="-2"/>
        </w:rPr>
        <w:t>STATEMENT</w:t>
      </w:r>
      <w:r>
        <w:rPr>
          <w:color w:val="231F20"/>
        </w:rPr>
        <w:tab/>
      </w:r>
      <w:r>
        <w:rPr>
          <w:color w:val="231F20"/>
          <w:spacing w:val="-7"/>
        </w:rPr>
        <w:t>46</w:t>
      </w:r>
    </w:p>
    <w:p>
      <w:pPr>
        <w:pStyle w:val="BodyText"/>
        <w:tabs>
          <w:tab w:pos="10771" w:val="right" w:leader="none"/>
        </w:tabs>
        <w:spacing w:before="320"/>
        <w:ind w:left="566"/>
      </w:pPr>
      <w:r>
        <w:rPr>
          <w:color w:val="231F20"/>
        </w:rPr>
        <w:t>MOVEMENT</w:t>
      </w:r>
      <w:r>
        <w:rPr>
          <w:color w:val="231F20"/>
          <w:spacing w:val="-8"/>
        </w:rPr>
        <w:t> </w:t>
      </w:r>
      <w:r>
        <w:rPr>
          <w:color w:val="231F20"/>
        </w:rPr>
        <w:t>IN</w:t>
      </w:r>
      <w:r>
        <w:rPr>
          <w:color w:val="231F20"/>
          <w:spacing w:val="-7"/>
        </w:rPr>
        <w:t> </w:t>
      </w:r>
      <w:r>
        <w:rPr>
          <w:color w:val="231F20"/>
        </w:rPr>
        <w:t>RESERVES</w:t>
      </w:r>
      <w:r>
        <w:rPr>
          <w:color w:val="231F20"/>
          <w:spacing w:val="-7"/>
        </w:rPr>
        <w:t> </w:t>
      </w:r>
      <w:r>
        <w:rPr>
          <w:color w:val="231F20"/>
          <w:spacing w:val="-2"/>
        </w:rPr>
        <w:t>STATEMENT</w:t>
      </w:r>
      <w:r>
        <w:rPr>
          <w:color w:val="231F20"/>
        </w:rPr>
        <w:tab/>
      </w:r>
      <w:r>
        <w:rPr>
          <w:color w:val="231F20"/>
          <w:spacing w:val="-5"/>
        </w:rPr>
        <w:t>48</w:t>
      </w:r>
    </w:p>
    <w:p>
      <w:pPr>
        <w:pStyle w:val="BodyText"/>
        <w:tabs>
          <w:tab w:pos="10771" w:val="right" w:leader="none"/>
        </w:tabs>
        <w:spacing w:before="321"/>
        <w:ind w:left="566"/>
      </w:pPr>
      <w:r>
        <w:rPr/>
        <w:pict>
          <v:group style="position:absolute;margin-left:578.504028pt;margin-top:21.56193pt;width:16.8pt;height:192.8pt;mso-position-horizontal-relative:page;mso-position-vertical-relative:paragraph;z-index:15732224" id="docshapegroup5" coordorigin="11570,431" coordsize="336,3856">
            <v:rect style="position:absolute;left:11570;top:3322;width:336;height:964" id="docshape6" filled="true" fillcolor="#f15d6b" stroked="false">
              <v:fill type="solid"/>
            </v:rect>
            <v:rect style="position:absolute;left:11570;top:2358;width:336;height:964" id="docshape7" filled="true" fillcolor="#fbac42" stroked="false">
              <v:fill type="solid"/>
            </v:rect>
            <v:rect style="position:absolute;left:11570;top:1395;width:336;height:964" id="docshape8" filled="true" fillcolor="#b78fc1" stroked="false">
              <v:fill type="solid"/>
            </v:rect>
            <v:rect style="position:absolute;left:11570;top:431;width:336;height:964" id="docshape9" filled="true" fillcolor="#378372" stroked="false">
              <v:fill type="solid"/>
            </v:rect>
            <w10:wrap type="none"/>
          </v:group>
        </w:pict>
      </w:r>
      <w:r>
        <w:rPr>
          <w:color w:val="231F20"/>
        </w:rPr>
        <w:t>BALANCE</w:t>
      </w:r>
      <w:r>
        <w:rPr>
          <w:color w:val="231F20"/>
          <w:spacing w:val="4"/>
        </w:rPr>
        <w:t> </w:t>
      </w:r>
      <w:r>
        <w:rPr>
          <w:color w:val="231F20"/>
          <w:spacing w:val="-2"/>
        </w:rPr>
        <w:t>SHEET</w:t>
      </w:r>
      <w:r>
        <w:rPr>
          <w:color w:val="231F20"/>
        </w:rPr>
        <w:tab/>
      </w:r>
      <w:r>
        <w:rPr>
          <w:color w:val="231F20"/>
          <w:spacing w:val="-7"/>
        </w:rPr>
        <w:t>51</w:t>
      </w:r>
    </w:p>
    <w:p>
      <w:pPr>
        <w:pStyle w:val="BodyText"/>
        <w:tabs>
          <w:tab w:pos="10771" w:val="right" w:leader="none"/>
        </w:tabs>
        <w:spacing w:before="321"/>
        <w:ind w:left="566"/>
      </w:pPr>
      <w:r>
        <w:rPr>
          <w:color w:val="231F20"/>
        </w:rPr>
        <w:t>CASH</w:t>
      </w:r>
      <w:r>
        <w:rPr>
          <w:color w:val="231F20"/>
          <w:spacing w:val="-11"/>
        </w:rPr>
        <w:t> </w:t>
      </w:r>
      <w:r>
        <w:rPr>
          <w:color w:val="231F20"/>
        </w:rPr>
        <w:t>FLOW</w:t>
      </w:r>
      <w:r>
        <w:rPr>
          <w:color w:val="231F20"/>
          <w:spacing w:val="-10"/>
        </w:rPr>
        <w:t> </w:t>
      </w:r>
      <w:r>
        <w:rPr>
          <w:color w:val="231F20"/>
          <w:spacing w:val="-2"/>
        </w:rPr>
        <w:t>STATEMENT</w:t>
      </w:r>
      <w:r>
        <w:rPr>
          <w:color w:val="231F20"/>
        </w:rPr>
        <w:tab/>
      </w:r>
      <w:r>
        <w:rPr>
          <w:color w:val="231F20"/>
          <w:spacing w:val="-7"/>
        </w:rPr>
        <w:t>54</w:t>
      </w:r>
    </w:p>
    <w:p>
      <w:pPr>
        <w:pStyle w:val="BodyText"/>
        <w:spacing w:before="321"/>
        <w:ind w:left="566"/>
      </w:pPr>
      <w:r>
        <w:rPr>
          <w:color w:val="231F20"/>
        </w:rPr>
        <w:t>NOTES</w:t>
      </w:r>
      <w:r>
        <w:rPr>
          <w:color w:val="231F20"/>
          <w:spacing w:val="-8"/>
        </w:rPr>
        <w:t> </w:t>
      </w:r>
      <w:r>
        <w:rPr>
          <w:color w:val="231F20"/>
        </w:rPr>
        <w:t>TO</w:t>
      </w:r>
      <w:r>
        <w:rPr>
          <w:color w:val="231F20"/>
          <w:spacing w:val="-8"/>
        </w:rPr>
        <w:t> </w:t>
      </w:r>
      <w:r>
        <w:rPr>
          <w:color w:val="231F20"/>
        </w:rPr>
        <w:t>THE</w:t>
      </w:r>
      <w:r>
        <w:rPr>
          <w:color w:val="231F20"/>
          <w:spacing w:val="-8"/>
        </w:rPr>
        <w:t> </w:t>
      </w:r>
      <w:r>
        <w:rPr>
          <w:color w:val="231F20"/>
        </w:rPr>
        <w:t>CORE</w:t>
      </w:r>
      <w:r>
        <w:rPr>
          <w:color w:val="231F20"/>
          <w:spacing w:val="-8"/>
        </w:rPr>
        <w:t> </w:t>
      </w:r>
      <w:r>
        <w:rPr>
          <w:color w:val="231F20"/>
        </w:rPr>
        <w:t>FINANCIAL</w:t>
      </w:r>
      <w:r>
        <w:rPr>
          <w:color w:val="231F20"/>
          <w:spacing w:val="-8"/>
        </w:rPr>
        <w:t> </w:t>
      </w:r>
      <w:r>
        <w:rPr>
          <w:color w:val="231F20"/>
          <w:spacing w:val="-2"/>
        </w:rPr>
        <w:t>STATEMENTS</w:t>
      </w:r>
    </w:p>
    <w:p>
      <w:pPr>
        <w:pStyle w:val="ListParagraph"/>
        <w:numPr>
          <w:ilvl w:val="0"/>
          <w:numId w:val="1"/>
        </w:numPr>
        <w:tabs>
          <w:tab w:pos="1048" w:val="left" w:leader="none"/>
          <w:tab w:pos="1049" w:val="left" w:leader="none"/>
          <w:tab w:pos="10771" w:val="right" w:leader="none"/>
        </w:tabs>
        <w:spacing w:line="240" w:lineRule="auto" w:before="321" w:after="0"/>
        <w:ind w:left="1048" w:right="0" w:hanging="483"/>
        <w:jc w:val="left"/>
        <w:rPr>
          <w:sz w:val="24"/>
        </w:rPr>
      </w:pPr>
      <w:r>
        <w:rPr>
          <w:color w:val="231F20"/>
          <w:sz w:val="24"/>
        </w:rPr>
        <w:t>ACCOUNTING</w:t>
      </w:r>
      <w:r>
        <w:rPr>
          <w:color w:val="231F20"/>
          <w:spacing w:val="-16"/>
          <w:sz w:val="24"/>
        </w:rPr>
        <w:t> </w:t>
      </w:r>
      <w:r>
        <w:rPr>
          <w:color w:val="231F20"/>
          <w:sz w:val="24"/>
        </w:rPr>
        <w:t>STANDARDS</w:t>
      </w:r>
      <w:r>
        <w:rPr>
          <w:color w:val="231F20"/>
          <w:spacing w:val="-14"/>
          <w:sz w:val="24"/>
        </w:rPr>
        <w:t> </w:t>
      </w:r>
      <w:r>
        <w:rPr>
          <w:color w:val="231F20"/>
          <w:sz w:val="24"/>
        </w:rPr>
        <w:t>TO</w:t>
      </w:r>
      <w:r>
        <w:rPr>
          <w:color w:val="231F20"/>
          <w:spacing w:val="-14"/>
          <w:sz w:val="24"/>
        </w:rPr>
        <w:t> </w:t>
      </w:r>
      <w:r>
        <w:rPr>
          <w:color w:val="231F20"/>
          <w:sz w:val="24"/>
        </w:rPr>
        <w:t>BE</w:t>
      </w:r>
      <w:r>
        <w:rPr>
          <w:color w:val="231F20"/>
          <w:spacing w:val="-14"/>
          <w:sz w:val="24"/>
        </w:rPr>
        <w:t> </w:t>
      </w:r>
      <w:r>
        <w:rPr>
          <w:color w:val="231F20"/>
          <w:spacing w:val="-2"/>
          <w:sz w:val="24"/>
        </w:rPr>
        <w:t>ADOPTED</w:t>
      </w:r>
      <w:r>
        <w:rPr>
          <w:color w:val="231F20"/>
          <w:sz w:val="24"/>
        </w:rPr>
        <w:tab/>
      </w:r>
      <w:r>
        <w:rPr>
          <w:color w:val="231F20"/>
          <w:spacing w:val="-5"/>
          <w:sz w:val="24"/>
        </w:rPr>
        <w:t>55</w:t>
      </w:r>
    </w:p>
    <w:p>
      <w:pPr>
        <w:pStyle w:val="ListParagraph"/>
        <w:numPr>
          <w:ilvl w:val="0"/>
          <w:numId w:val="1"/>
        </w:numPr>
        <w:tabs>
          <w:tab w:pos="1048" w:val="left" w:leader="none"/>
          <w:tab w:pos="1049" w:val="left" w:leader="none"/>
          <w:tab w:pos="10771" w:val="right" w:leader="none"/>
        </w:tabs>
        <w:spacing w:line="240" w:lineRule="auto" w:before="94" w:after="0"/>
        <w:ind w:left="1048" w:right="0" w:hanging="483"/>
        <w:jc w:val="left"/>
        <w:rPr>
          <w:sz w:val="24"/>
        </w:rPr>
      </w:pPr>
      <w:r>
        <w:rPr>
          <w:color w:val="231F20"/>
          <w:sz w:val="24"/>
        </w:rPr>
        <w:t>CRITICAL</w:t>
      </w:r>
      <w:r>
        <w:rPr>
          <w:color w:val="231F20"/>
          <w:spacing w:val="-10"/>
          <w:sz w:val="24"/>
        </w:rPr>
        <w:t> </w:t>
      </w:r>
      <w:r>
        <w:rPr>
          <w:color w:val="231F20"/>
          <w:sz w:val="24"/>
        </w:rPr>
        <w:t>JUDGEMENT</w:t>
      </w:r>
      <w:r>
        <w:rPr>
          <w:color w:val="231F20"/>
          <w:spacing w:val="-8"/>
          <w:sz w:val="24"/>
        </w:rPr>
        <w:t> </w:t>
      </w:r>
      <w:r>
        <w:rPr>
          <w:color w:val="231F20"/>
          <w:sz w:val="24"/>
        </w:rPr>
        <w:t>IN</w:t>
      </w:r>
      <w:r>
        <w:rPr>
          <w:color w:val="231F20"/>
          <w:spacing w:val="-10"/>
          <w:sz w:val="24"/>
        </w:rPr>
        <w:t> </w:t>
      </w:r>
      <w:r>
        <w:rPr>
          <w:color w:val="231F20"/>
          <w:sz w:val="24"/>
        </w:rPr>
        <w:t>APPLYING</w:t>
      </w:r>
      <w:r>
        <w:rPr>
          <w:color w:val="231F20"/>
          <w:spacing w:val="-8"/>
          <w:sz w:val="24"/>
        </w:rPr>
        <w:t> </w:t>
      </w:r>
      <w:r>
        <w:rPr>
          <w:color w:val="231F20"/>
          <w:sz w:val="24"/>
        </w:rPr>
        <w:t>ACCOUNTING</w:t>
      </w:r>
      <w:r>
        <w:rPr>
          <w:color w:val="231F20"/>
          <w:spacing w:val="-8"/>
          <w:sz w:val="24"/>
        </w:rPr>
        <w:t> </w:t>
      </w:r>
      <w:r>
        <w:rPr>
          <w:color w:val="231F20"/>
          <w:spacing w:val="-2"/>
          <w:sz w:val="24"/>
        </w:rPr>
        <w:t>POLICIES</w:t>
      </w:r>
      <w:r>
        <w:rPr>
          <w:color w:val="231F20"/>
          <w:sz w:val="24"/>
        </w:rPr>
        <w:tab/>
      </w:r>
      <w:r>
        <w:rPr>
          <w:color w:val="231F20"/>
          <w:spacing w:val="-5"/>
          <w:sz w:val="24"/>
        </w:rPr>
        <w:t>55</w:t>
      </w:r>
    </w:p>
    <w:p>
      <w:pPr>
        <w:pStyle w:val="ListParagraph"/>
        <w:numPr>
          <w:ilvl w:val="0"/>
          <w:numId w:val="1"/>
        </w:numPr>
        <w:tabs>
          <w:tab w:pos="1048" w:val="left" w:leader="none"/>
          <w:tab w:pos="1049" w:val="left" w:leader="none"/>
          <w:tab w:pos="10771" w:val="right" w:leader="none"/>
        </w:tabs>
        <w:spacing w:line="240" w:lineRule="auto" w:before="95" w:after="0"/>
        <w:ind w:left="1048" w:right="0" w:hanging="483"/>
        <w:jc w:val="left"/>
        <w:rPr>
          <w:sz w:val="24"/>
        </w:rPr>
      </w:pPr>
      <w:r>
        <w:rPr>
          <w:color w:val="231F20"/>
          <w:sz w:val="24"/>
        </w:rPr>
        <w:t>ASSUMPTIONS</w:t>
      </w:r>
      <w:r>
        <w:rPr>
          <w:color w:val="231F20"/>
          <w:spacing w:val="-2"/>
          <w:sz w:val="24"/>
        </w:rPr>
        <w:t> </w:t>
      </w:r>
      <w:r>
        <w:rPr>
          <w:color w:val="231F20"/>
          <w:sz w:val="24"/>
        </w:rPr>
        <w:t>MADE</w:t>
      </w:r>
      <w:r>
        <w:rPr>
          <w:color w:val="231F20"/>
          <w:spacing w:val="-3"/>
          <w:sz w:val="24"/>
        </w:rPr>
        <w:t> </w:t>
      </w:r>
      <w:r>
        <w:rPr>
          <w:color w:val="231F20"/>
          <w:sz w:val="24"/>
        </w:rPr>
        <w:t>ABOUT</w:t>
      </w:r>
      <w:r>
        <w:rPr>
          <w:color w:val="231F20"/>
          <w:spacing w:val="-2"/>
          <w:sz w:val="24"/>
        </w:rPr>
        <w:t> </w:t>
      </w:r>
      <w:r>
        <w:rPr>
          <w:color w:val="231F20"/>
          <w:sz w:val="24"/>
        </w:rPr>
        <w:t>FUTURE</w:t>
      </w:r>
      <w:r>
        <w:rPr>
          <w:color w:val="231F20"/>
          <w:spacing w:val="-2"/>
          <w:sz w:val="24"/>
        </w:rPr>
        <w:t> </w:t>
      </w:r>
      <w:r>
        <w:rPr>
          <w:color w:val="231F20"/>
          <w:sz w:val="24"/>
        </w:rPr>
        <w:t>AND</w:t>
      </w:r>
      <w:r>
        <w:rPr>
          <w:color w:val="231F20"/>
          <w:spacing w:val="-3"/>
          <w:sz w:val="24"/>
        </w:rPr>
        <w:t> </w:t>
      </w:r>
      <w:r>
        <w:rPr>
          <w:color w:val="231F20"/>
          <w:sz w:val="24"/>
        </w:rPr>
        <w:t>SOURCES</w:t>
      </w:r>
      <w:r>
        <w:rPr>
          <w:color w:val="231F20"/>
          <w:spacing w:val="-2"/>
          <w:sz w:val="24"/>
        </w:rPr>
        <w:t> </w:t>
      </w:r>
      <w:r>
        <w:rPr>
          <w:color w:val="231F20"/>
          <w:sz w:val="24"/>
        </w:rPr>
        <w:t>OF</w:t>
      </w:r>
      <w:r>
        <w:rPr>
          <w:color w:val="231F20"/>
          <w:spacing w:val="-2"/>
          <w:sz w:val="24"/>
        </w:rPr>
        <w:t> UNCERTAINT</w:t>
      </w:r>
      <w:r>
        <w:rPr>
          <w:color w:val="231F20"/>
          <w:sz w:val="24"/>
        </w:rPr>
        <w:tab/>
      </w:r>
      <w:r>
        <w:rPr>
          <w:color w:val="231F20"/>
          <w:spacing w:val="-5"/>
          <w:sz w:val="24"/>
        </w:rPr>
        <w:t>55</w:t>
      </w:r>
    </w:p>
    <w:p>
      <w:pPr>
        <w:pStyle w:val="ListParagraph"/>
        <w:numPr>
          <w:ilvl w:val="0"/>
          <w:numId w:val="1"/>
        </w:numPr>
        <w:tabs>
          <w:tab w:pos="1048" w:val="left" w:leader="none"/>
          <w:tab w:pos="1049" w:val="left" w:leader="none"/>
          <w:tab w:pos="10771" w:val="right" w:leader="none"/>
        </w:tabs>
        <w:spacing w:line="240" w:lineRule="auto" w:before="94" w:after="0"/>
        <w:ind w:left="1048" w:right="0" w:hanging="483"/>
        <w:jc w:val="left"/>
        <w:rPr>
          <w:sz w:val="24"/>
        </w:rPr>
      </w:pPr>
      <w:r>
        <w:rPr>
          <w:color w:val="231F20"/>
          <w:sz w:val="24"/>
        </w:rPr>
        <w:t>MATERIAL</w:t>
      </w:r>
      <w:r>
        <w:rPr>
          <w:color w:val="231F20"/>
          <w:spacing w:val="-7"/>
          <w:sz w:val="24"/>
        </w:rPr>
        <w:t> </w:t>
      </w:r>
      <w:r>
        <w:rPr>
          <w:color w:val="231F20"/>
          <w:sz w:val="24"/>
        </w:rPr>
        <w:t>ITEMS</w:t>
      </w:r>
      <w:r>
        <w:rPr>
          <w:color w:val="231F20"/>
          <w:spacing w:val="-7"/>
          <w:sz w:val="24"/>
        </w:rPr>
        <w:t> </w:t>
      </w:r>
      <w:r>
        <w:rPr>
          <w:color w:val="231F20"/>
          <w:sz w:val="24"/>
        </w:rPr>
        <w:t>OF</w:t>
      </w:r>
      <w:r>
        <w:rPr>
          <w:color w:val="231F20"/>
          <w:spacing w:val="-6"/>
          <w:sz w:val="24"/>
        </w:rPr>
        <w:t> </w:t>
      </w:r>
      <w:r>
        <w:rPr>
          <w:color w:val="231F20"/>
          <w:sz w:val="24"/>
        </w:rPr>
        <w:t>INCOME</w:t>
      </w:r>
      <w:r>
        <w:rPr>
          <w:color w:val="231F20"/>
          <w:spacing w:val="-6"/>
          <w:sz w:val="24"/>
        </w:rPr>
        <w:t> </w:t>
      </w:r>
      <w:r>
        <w:rPr>
          <w:color w:val="231F20"/>
          <w:sz w:val="24"/>
        </w:rPr>
        <w:t>AND</w:t>
      </w:r>
      <w:r>
        <w:rPr>
          <w:color w:val="231F20"/>
          <w:spacing w:val="-6"/>
          <w:sz w:val="24"/>
        </w:rPr>
        <w:t> </w:t>
      </w:r>
      <w:r>
        <w:rPr>
          <w:color w:val="231F20"/>
          <w:spacing w:val="-2"/>
          <w:sz w:val="24"/>
        </w:rPr>
        <w:t>EXPENSE</w:t>
      </w:r>
      <w:r>
        <w:rPr>
          <w:color w:val="231F20"/>
          <w:sz w:val="24"/>
        </w:rPr>
        <w:tab/>
      </w:r>
      <w:r>
        <w:rPr>
          <w:color w:val="231F20"/>
          <w:spacing w:val="-5"/>
          <w:sz w:val="24"/>
        </w:rPr>
        <w:t>57</w:t>
      </w:r>
    </w:p>
    <w:p>
      <w:pPr>
        <w:pStyle w:val="ListParagraph"/>
        <w:numPr>
          <w:ilvl w:val="0"/>
          <w:numId w:val="1"/>
        </w:numPr>
        <w:tabs>
          <w:tab w:pos="1048" w:val="left" w:leader="none"/>
          <w:tab w:pos="1049" w:val="left" w:leader="none"/>
          <w:tab w:pos="10771" w:val="right" w:leader="none"/>
        </w:tabs>
        <w:spacing w:line="240" w:lineRule="auto" w:before="94" w:after="0"/>
        <w:ind w:left="1048" w:right="0" w:hanging="483"/>
        <w:jc w:val="left"/>
        <w:rPr>
          <w:sz w:val="24"/>
        </w:rPr>
      </w:pPr>
      <w:r>
        <w:rPr>
          <w:color w:val="231F20"/>
          <w:sz w:val="24"/>
        </w:rPr>
        <w:t>EVENTS</w:t>
      </w:r>
      <w:r>
        <w:rPr>
          <w:color w:val="231F20"/>
          <w:spacing w:val="-4"/>
          <w:sz w:val="24"/>
        </w:rPr>
        <w:t> </w:t>
      </w:r>
      <w:r>
        <w:rPr>
          <w:color w:val="231F20"/>
          <w:sz w:val="24"/>
        </w:rPr>
        <w:t>AFTER</w:t>
      </w:r>
      <w:r>
        <w:rPr>
          <w:color w:val="231F20"/>
          <w:spacing w:val="-1"/>
          <w:sz w:val="24"/>
        </w:rPr>
        <w:t> </w:t>
      </w:r>
      <w:r>
        <w:rPr>
          <w:color w:val="231F20"/>
          <w:sz w:val="24"/>
        </w:rPr>
        <w:t>THE</w:t>
      </w:r>
      <w:r>
        <w:rPr>
          <w:color w:val="231F20"/>
          <w:spacing w:val="-1"/>
          <w:sz w:val="24"/>
        </w:rPr>
        <w:t> </w:t>
      </w:r>
      <w:r>
        <w:rPr>
          <w:color w:val="231F20"/>
          <w:sz w:val="24"/>
        </w:rPr>
        <w:t>BALANCE</w:t>
      </w:r>
      <w:r>
        <w:rPr>
          <w:color w:val="231F20"/>
          <w:spacing w:val="-1"/>
          <w:sz w:val="24"/>
        </w:rPr>
        <w:t> </w:t>
      </w:r>
      <w:r>
        <w:rPr>
          <w:color w:val="231F20"/>
          <w:sz w:val="24"/>
        </w:rPr>
        <w:t>SHEET</w:t>
      </w:r>
      <w:r>
        <w:rPr>
          <w:color w:val="231F20"/>
          <w:spacing w:val="-2"/>
          <w:sz w:val="24"/>
        </w:rPr>
        <w:t> </w:t>
      </w:r>
      <w:r>
        <w:rPr>
          <w:color w:val="231F20"/>
          <w:spacing w:val="-4"/>
          <w:sz w:val="24"/>
        </w:rPr>
        <w:t>DATE</w:t>
      </w:r>
      <w:r>
        <w:rPr>
          <w:color w:val="231F20"/>
          <w:sz w:val="24"/>
        </w:rPr>
        <w:tab/>
      </w:r>
      <w:r>
        <w:rPr>
          <w:color w:val="231F20"/>
          <w:spacing w:val="-5"/>
          <w:sz w:val="24"/>
        </w:rPr>
        <w:t>57</w:t>
      </w:r>
    </w:p>
    <w:p>
      <w:pPr>
        <w:pStyle w:val="ListParagraph"/>
        <w:numPr>
          <w:ilvl w:val="0"/>
          <w:numId w:val="1"/>
        </w:numPr>
        <w:tabs>
          <w:tab w:pos="1048" w:val="left" w:leader="none"/>
          <w:tab w:pos="1049" w:val="left" w:leader="none"/>
          <w:tab w:pos="10771" w:val="right" w:leader="none"/>
        </w:tabs>
        <w:spacing w:line="240" w:lineRule="auto" w:before="94" w:after="0"/>
        <w:ind w:left="1048" w:right="0" w:hanging="483"/>
        <w:jc w:val="left"/>
        <w:rPr>
          <w:sz w:val="24"/>
        </w:rPr>
      </w:pPr>
      <w:r>
        <w:rPr>
          <w:color w:val="231F20"/>
          <w:sz w:val="24"/>
        </w:rPr>
        <w:t>EXPENDITURE</w:t>
      </w:r>
      <w:r>
        <w:rPr>
          <w:color w:val="231F20"/>
          <w:spacing w:val="-5"/>
          <w:sz w:val="24"/>
        </w:rPr>
        <w:t> </w:t>
      </w:r>
      <w:r>
        <w:rPr>
          <w:color w:val="231F20"/>
          <w:sz w:val="24"/>
        </w:rPr>
        <w:t>AND</w:t>
      </w:r>
      <w:r>
        <w:rPr>
          <w:color w:val="231F20"/>
          <w:spacing w:val="-2"/>
          <w:sz w:val="24"/>
        </w:rPr>
        <w:t> </w:t>
      </w:r>
      <w:r>
        <w:rPr>
          <w:color w:val="231F20"/>
          <w:sz w:val="24"/>
        </w:rPr>
        <w:t>FUNDING</w:t>
      </w:r>
      <w:r>
        <w:rPr>
          <w:color w:val="231F20"/>
          <w:spacing w:val="-2"/>
          <w:sz w:val="24"/>
        </w:rPr>
        <w:t> ANALYSIS</w:t>
      </w:r>
      <w:r>
        <w:rPr>
          <w:color w:val="231F20"/>
          <w:sz w:val="24"/>
        </w:rPr>
        <w:tab/>
      </w:r>
      <w:r>
        <w:rPr>
          <w:color w:val="231F20"/>
          <w:spacing w:val="-5"/>
          <w:sz w:val="24"/>
        </w:rPr>
        <w:t>58</w:t>
      </w:r>
    </w:p>
    <w:p>
      <w:pPr>
        <w:pStyle w:val="ListParagraph"/>
        <w:numPr>
          <w:ilvl w:val="0"/>
          <w:numId w:val="1"/>
        </w:numPr>
        <w:tabs>
          <w:tab w:pos="1048" w:val="left" w:leader="none"/>
          <w:tab w:pos="1049" w:val="left" w:leader="none"/>
          <w:tab w:pos="10771" w:val="right" w:leader="none"/>
        </w:tabs>
        <w:spacing w:line="240" w:lineRule="auto" w:before="94" w:after="0"/>
        <w:ind w:left="1048" w:right="0" w:hanging="483"/>
        <w:jc w:val="left"/>
        <w:rPr>
          <w:sz w:val="24"/>
        </w:rPr>
      </w:pPr>
      <w:r>
        <w:rPr>
          <w:color w:val="231F20"/>
          <w:sz w:val="24"/>
        </w:rPr>
        <w:t>EXPENDITURE</w:t>
      </w:r>
      <w:r>
        <w:rPr>
          <w:color w:val="231F20"/>
          <w:spacing w:val="-7"/>
          <w:sz w:val="24"/>
        </w:rPr>
        <w:t> </w:t>
      </w:r>
      <w:r>
        <w:rPr>
          <w:color w:val="231F20"/>
          <w:sz w:val="24"/>
        </w:rPr>
        <w:t>AND</w:t>
      </w:r>
      <w:r>
        <w:rPr>
          <w:color w:val="231F20"/>
          <w:spacing w:val="-6"/>
          <w:sz w:val="24"/>
        </w:rPr>
        <w:t> </w:t>
      </w:r>
      <w:r>
        <w:rPr>
          <w:color w:val="231F20"/>
          <w:sz w:val="24"/>
        </w:rPr>
        <w:t>INCOME</w:t>
      </w:r>
      <w:r>
        <w:rPr>
          <w:color w:val="231F20"/>
          <w:spacing w:val="-7"/>
          <w:sz w:val="24"/>
        </w:rPr>
        <w:t> </w:t>
      </w:r>
      <w:r>
        <w:rPr>
          <w:color w:val="231F20"/>
          <w:sz w:val="24"/>
        </w:rPr>
        <w:t>ANALYSED</w:t>
      </w:r>
      <w:r>
        <w:rPr>
          <w:color w:val="231F20"/>
          <w:spacing w:val="-6"/>
          <w:sz w:val="24"/>
        </w:rPr>
        <w:t> </w:t>
      </w:r>
      <w:r>
        <w:rPr>
          <w:color w:val="231F20"/>
          <w:sz w:val="24"/>
        </w:rPr>
        <w:t>BY</w:t>
      </w:r>
      <w:r>
        <w:rPr>
          <w:color w:val="231F20"/>
          <w:spacing w:val="-6"/>
          <w:sz w:val="24"/>
        </w:rPr>
        <w:t> </w:t>
      </w:r>
      <w:r>
        <w:rPr>
          <w:color w:val="231F20"/>
          <w:spacing w:val="-2"/>
          <w:sz w:val="24"/>
        </w:rPr>
        <w:t>NATURE</w:t>
      </w:r>
      <w:r>
        <w:rPr>
          <w:color w:val="231F20"/>
          <w:sz w:val="24"/>
        </w:rPr>
        <w:tab/>
      </w:r>
      <w:r>
        <w:rPr>
          <w:color w:val="231F20"/>
          <w:spacing w:val="-5"/>
          <w:sz w:val="24"/>
        </w:rPr>
        <w:t>64</w:t>
      </w:r>
    </w:p>
    <w:p>
      <w:pPr>
        <w:pStyle w:val="ListParagraph"/>
        <w:numPr>
          <w:ilvl w:val="0"/>
          <w:numId w:val="1"/>
        </w:numPr>
        <w:tabs>
          <w:tab w:pos="1048" w:val="left" w:leader="none"/>
          <w:tab w:pos="1049" w:val="left" w:leader="none"/>
          <w:tab w:pos="10771" w:val="right" w:leader="none"/>
        </w:tabs>
        <w:spacing w:line="240" w:lineRule="auto" w:before="94" w:after="0"/>
        <w:ind w:left="1048" w:right="0" w:hanging="483"/>
        <w:jc w:val="left"/>
        <w:rPr>
          <w:sz w:val="24"/>
        </w:rPr>
      </w:pPr>
      <w:r>
        <w:rPr>
          <w:color w:val="231F20"/>
          <w:sz w:val="24"/>
        </w:rPr>
        <w:t>ADJUSTMENTS</w:t>
      </w:r>
      <w:r>
        <w:rPr>
          <w:color w:val="231F20"/>
          <w:spacing w:val="-8"/>
          <w:sz w:val="24"/>
        </w:rPr>
        <w:t> </w:t>
      </w:r>
      <w:r>
        <w:rPr>
          <w:color w:val="231F20"/>
          <w:sz w:val="24"/>
        </w:rPr>
        <w:t>BETWEEN</w:t>
      </w:r>
      <w:r>
        <w:rPr>
          <w:color w:val="231F20"/>
          <w:spacing w:val="-6"/>
          <w:sz w:val="24"/>
        </w:rPr>
        <w:t> </w:t>
      </w:r>
      <w:r>
        <w:rPr>
          <w:color w:val="231F20"/>
          <w:sz w:val="24"/>
        </w:rPr>
        <w:t>ACCOUNTING</w:t>
      </w:r>
      <w:r>
        <w:rPr>
          <w:color w:val="231F20"/>
          <w:spacing w:val="-5"/>
          <w:sz w:val="24"/>
        </w:rPr>
        <w:t> </w:t>
      </w:r>
      <w:r>
        <w:rPr>
          <w:color w:val="231F20"/>
          <w:sz w:val="24"/>
        </w:rPr>
        <w:t>BASIS</w:t>
      </w:r>
      <w:r>
        <w:rPr>
          <w:color w:val="231F20"/>
          <w:spacing w:val="-5"/>
          <w:sz w:val="24"/>
        </w:rPr>
        <w:t> </w:t>
      </w:r>
      <w:r>
        <w:rPr>
          <w:color w:val="231F20"/>
          <w:sz w:val="24"/>
        </w:rPr>
        <w:t>AND</w:t>
      </w:r>
      <w:r>
        <w:rPr>
          <w:color w:val="231F20"/>
          <w:spacing w:val="-5"/>
          <w:sz w:val="24"/>
        </w:rPr>
        <w:t> </w:t>
      </w:r>
      <w:r>
        <w:rPr>
          <w:color w:val="231F20"/>
          <w:sz w:val="24"/>
        </w:rPr>
        <w:t>FUNDING</w:t>
      </w:r>
      <w:r>
        <w:rPr>
          <w:color w:val="231F20"/>
          <w:spacing w:val="-6"/>
          <w:sz w:val="24"/>
        </w:rPr>
        <w:t> </w:t>
      </w:r>
      <w:r>
        <w:rPr>
          <w:color w:val="231F20"/>
          <w:sz w:val="24"/>
        </w:rPr>
        <w:t>BASIS</w:t>
      </w:r>
      <w:r>
        <w:rPr>
          <w:color w:val="231F20"/>
          <w:spacing w:val="-6"/>
          <w:sz w:val="24"/>
        </w:rPr>
        <w:t> </w:t>
      </w:r>
      <w:r>
        <w:rPr>
          <w:color w:val="231F20"/>
          <w:sz w:val="24"/>
        </w:rPr>
        <w:t>UNDER</w:t>
      </w:r>
      <w:r>
        <w:rPr>
          <w:color w:val="231F20"/>
          <w:spacing w:val="-4"/>
          <w:sz w:val="24"/>
        </w:rPr>
        <w:t> </w:t>
      </w:r>
      <w:r>
        <w:rPr>
          <w:color w:val="231F20"/>
          <w:spacing w:val="-2"/>
          <w:sz w:val="24"/>
        </w:rPr>
        <w:t>STATUTE</w:t>
      </w:r>
      <w:r>
        <w:rPr>
          <w:color w:val="231F20"/>
          <w:sz w:val="24"/>
        </w:rPr>
        <w:tab/>
      </w:r>
      <w:r>
        <w:rPr>
          <w:color w:val="231F20"/>
          <w:spacing w:val="-5"/>
          <w:sz w:val="24"/>
        </w:rPr>
        <w:t>65</w:t>
      </w:r>
    </w:p>
    <w:p>
      <w:pPr>
        <w:pStyle w:val="ListParagraph"/>
        <w:numPr>
          <w:ilvl w:val="0"/>
          <w:numId w:val="1"/>
        </w:numPr>
        <w:tabs>
          <w:tab w:pos="1048" w:val="left" w:leader="none"/>
          <w:tab w:pos="1049" w:val="left" w:leader="none"/>
          <w:tab w:pos="10771" w:val="right" w:leader="none"/>
        </w:tabs>
        <w:spacing w:line="240" w:lineRule="auto" w:before="95" w:after="0"/>
        <w:ind w:left="1048" w:right="0" w:hanging="483"/>
        <w:jc w:val="left"/>
        <w:rPr>
          <w:sz w:val="24"/>
        </w:rPr>
      </w:pPr>
      <w:r>
        <w:rPr>
          <w:color w:val="231F20"/>
          <w:sz w:val="24"/>
        </w:rPr>
        <w:t>GRANT</w:t>
      </w:r>
      <w:r>
        <w:rPr>
          <w:color w:val="231F20"/>
          <w:spacing w:val="-4"/>
          <w:sz w:val="24"/>
        </w:rPr>
        <w:t> </w:t>
      </w:r>
      <w:r>
        <w:rPr>
          <w:color w:val="231F20"/>
          <w:spacing w:val="-2"/>
          <w:sz w:val="24"/>
        </w:rPr>
        <w:t>INCOME</w:t>
      </w:r>
      <w:r>
        <w:rPr>
          <w:color w:val="231F20"/>
          <w:sz w:val="24"/>
        </w:rPr>
        <w:tab/>
      </w:r>
      <w:r>
        <w:rPr>
          <w:color w:val="231F20"/>
          <w:spacing w:val="-5"/>
          <w:sz w:val="24"/>
        </w:rPr>
        <w:t>71</w:t>
      </w:r>
    </w:p>
    <w:p>
      <w:pPr>
        <w:pStyle w:val="ListParagraph"/>
        <w:numPr>
          <w:ilvl w:val="0"/>
          <w:numId w:val="1"/>
        </w:numPr>
        <w:tabs>
          <w:tab w:pos="1049" w:val="left" w:leader="none"/>
          <w:tab w:pos="10771" w:val="right" w:leader="none"/>
        </w:tabs>
        <w:spacing w:line="240" w:lineRule="auto" w:before="94" w:after="0"/>
        <w:ind w:left="1048" w:right="0" w:hanging="483"/>
        <w:jc w:val="left"/>
        <w:rPr>
          <w:sz w:val="24"/>
        </w:rPr>
      </w:pPr>
      <w:r>
        <w:rPr>
          <w:color w:val="231F20"/>
          <w:spacing w:val="-2"/>
          <w:sz w:val="24"/>
        </w:rPr>
        <w:t>INTEREST</w:t>
      </w:r>
      <w:r>
        <w:rPr>
          <w:color w:val="231F20"/>
          <w:spacing w:val="-8"/>
          <w:sz w:val="24"/>
        </w:rPr>
        <w:t> </w:t>
      </w:r>
      <w:r>
        <w:rPr>
          <w:color w:val="231F20"/>
          <w:spacing w:val="-2"/>
          <w:sz w:val="24"/>
        </w:rPr>
        <w:t>PAYABLE</w:t>
      </w:r>
      <w:r>
        <w:rPr>
          <w:color w:val="231F20"/>
          <w:spacing w:val="-6"/>
          <w:sz w:val="24"/>
        </w:rPr>
        <w:t> </w:t>
      </w:r>
      <w:r>
        <w:rPr>
          <w:color w:val="231F20"/>
          <w:spacing w:val="-2"/>
          <w:sz w:val="24"/>
        </w:rPr>
        <w:t>AND</w:t>
      </w:r>
      <w:r>
        <w:rPr>
          <w:color w:val="231F20"/>
          <w:spacing w:val="-6"/>
          <w:sz w:val="24"/>
        </w:rPr>
        <w:t> </w:t>
      </w:r>
      <w:r>
        <w:rPr>
          <w:color w:val="231F20"/>
          <w:spacing w:val="-2"/>
          <w:sz w:val="24"/>
        </w:rPr>
        <w:t>OTHER</w:t>
      </w:r>
      <w:r>
        <w:rPr>
          <w:color w:val="231F20"/>
          <w:spacing w:val="-6"/>
          <w:sz w:val="24"/>
        </w:rPr>
        <w:t> </w:t>
      </w:r>
      <w:r>
        <w:rPr>
          <w:color w:val="231F20"/>
          <w:spacing w:val="-2"/>
          <w:sz w:val="24"/>
        </w:rPr>
        <w:t>CHARGES</w:t>
      </w:r>
      <w:r>
        <w:rPr>
          <w:color w:val="231F20"/>
          <w:sz w:val="24"/>
        </w:rPr>
        <w:tab/>
      </w:r>
      <w:r>
        <w:rPr>
          <w:color w:val="231F20"/>
          <w:spacing w:val="-5"/>
          <w:sz w:val="24"/>
        </w:rPr>
        <w:t>73</w:t>
      </w:r>
    </w:p>
    <w:p>
      <w:pPr>
        <w:pStyle w:val="ListParagraph"/>
        <w:numPr>
          <w:ilvl w:val="0"/>
          <w:numId w:val="1"/>
        </w:numPr>
        <w:tabs>
          <w:tab w:pos="1049" w:val="left" w:leader="none"/>
          <w:tab w:pos="10771" w:val="right" w:leader="none"/>
        </w:tabs>
        <w:spacing w:line="240" w:lineRule="auto" w:before="94" w:after="0"/>
        <w:ind w:left="1048" w:right="0" w:hanging="483"/>
        <w:jc w:val="left"/>
        <w:rPr>
          <w:sz w:val="24"/>
        </w:rPr>
      </w:pPr>
      <w:r>
        <w:rPr>
          <w:color w:val="231F20"/>
          <w:sz w:val="24"/>
        </w:rPr>
        <w:t>TANGIBLE</w:t>
      </w:r>
      <w:r>
        <w:rPr>
          <w:color w:val="231F20"/>
          <w:spacing w:val="-14"/>
          <w:sz w:val="24"/>
        </w:rPr>
        <w:t> </w:t>
      </w:r>
      <w:r>
        <w:rPr>
          <w:color w:val="231F20"/>
          <w:sz w:val="24"/>
        </w:rPr>
        <w:t>NON-CURRENT</w:t>
      </w:r>
      <w:r>
        <w:rPr>
          <w:color w:val="231F20"/>
          <w:spacing w:val="-13"/>
          <w:sz w:val="24"/>
        </w:rPr>
        <w:t> </w:t>
      </w:r>
      <w:r>
        <w:rPr>
          <w:color w:val="231F20"/>
          <w:spacing w:val="-2"/>
          <w:sz w:val="24"/>
        </w:rPr>
        <w:t>ASSETS</w:t>
      </w:r>
      <w:r>
        <w:rPr>
          <w:color w:val="231F20"/>
          <w:sz w:val="24"/>
        </w:rPr>
        <w:tab/>
      </w:r>
      <w:r>
        <w:rPr>
          <w:color w:val="231F20"/>
          <w:spacing w:val="-5"/>
          <w:sz w:val="24"/>
        </w:rPr>
        <w:t>74</w:t>
      </w:r>
    </w:p>
    <w:p>
      <w:pPr>
        <w:pStyle w:val="ListParagraph"/>
        <w:numPr>
          <w:ilvl w:val="0"/>
          <w:numId w:val="1"/>
        </w:numPr>
        <w:tabs>
          <w:tab w:pos="1049" w:val="left" w:leader="none"/>
          <w:tab w:pos="10771" w:val="right" w:leader="none"/>
        </w:tabs>
        <w:spacing w:line="240" w:lineRule="auto" w:before="94" w:after="0"/>
        <w:ind w:left="1048" w:right="0" w:hanging="483"/>
        <w:jc w:val="left"/>
        <w:rPr>
          <w:sz w:val="24"/>
        </w:rPr>
      </w:pPr>
      <w:r>
        <w:rPr>
          <w:color w:val="231F20"/>
          <w:spacing w:val="-2"/>
          <w:sz w:val="24"/>
        </w:rPr>
        <w:t>HERITAGE</w:t>
      </w:r>
      <w:r>
        <w:rPr>
          <w:color w:val="231F20"/>
          <w:spacing w:val="-7"/>
          <w:sz w:val="24"/>
        </w:rPr>
        <w:t> </w:t>
      </w:r>
      <w:r>
        <w:rPr>
          <w:color w:val="231F20"/>
          <w:spacing w:val="-2"/>
          <w:sz w:val="24"/>
        </w:rPr>
        <w:t>ASSETS</w:t>
      </w:r>
      <w:r>
        <w:rPr>
          <w:color w:val="231F20"/>
          <w:sz w:val="24"/>
        </w:rPr>
        <w:tab/>
      </w:r>
      <w:r>
        <w:rPr>
          <w:color w:val="231F20"/>
          <w:spacing w:val="-5"/>
          <w:sz w:val="24"/>
        </w:rPr>
        <w:t>77</w:t>
      </w:r>
    </w:p>
    <w:p>
      <w:pPr>
        <w:pStyle w:val="ListParagraph"/>
        <w:numPr>
          <w:ilvl w:val="0"/>
          <w:numId w:val="1"/>
        </w:numPr>
        <w:tabs>
          <w:tab w:pos="1049" w:val="left" w:leader="none"/>
          <w:tab w:pos="10771" w:val="right" w:leader="none"/>
        </w:tabs>
        <w:spacing w:line="240" w:lineRule="auto" w:before="94" w:after="0"/>
        <w:ind w:left="1048" w:right="0" w:hanging="483"/>
        <w:jc w:val="left"/>
        <w:rPr>
          <w:sz w:val="24"/>
        </w:rPr>
      </w:pPr>
      <w:r>
        <w:rPr>
          <w:color w:val="231F20"/>
          <w:sz w:val="24"/>
        </w:rPr>
        <w:t>TANGIBLE</w:t>
      </w:r>
      <w:r>
        <w:rPr>
          <w:color w:val="231F20"/>
          <w:spacing w:val="-11"/>
          <w:sz w:val="24"/>
        </w:rPr>
        <w:t> </w:t>
      </w:r>
      <w:r>
        <w:rPr>
          <w:color w:val="231F20"/>
          <w:sz w:val="24"/>
        </w:rPr>
        <w:t>NON-CURRENT</w:t>
      </w:r>
      <w:r>
        <w:rPr>
          <w:color w:val="231F20"/>
          <w:spacing w:val="-11"/>
          <w:sz w:val="24"/>
        </w:rPr>
        <w:t> </w:t>
      </w:r>
      <w:r>
        <w:rPr>
          <w:color w:val="231F20"/>
          <w:sz w:val="24"/>
        </w:rPr>
        <w:t>ASSETS</w:t>
      </w:r>
      <w:r>
        <w:rPr>
          <w:color w:val="231F20"/>
          <w:spacing w:val="-11"/>
          <w:sz w:val="24"/>
        </w:rPr>
        <w:t> </w:t>
      </w:r>
      <w:r>
        <w:rPr>
          <w:color w:val="231F20"/>
          <w:spacing w:val="-2"/>
          <w:sz w:val="24"/>
        </w:rPr>
        <w:t>VALUATIONS</w:t>
      </w:r>
      <w:r>
        <w:rPr>
          <w:color w:val="231F20"/>
          <w:sz w:val="24"/>
        </w:rPr>
        <w:tab/>
      </w:r>
      <w:r>
        <w:rPr>
          <w:color w:val="231F20"/>
          <w:spacing w:val="-5"/>
          <w:sz w:val="24"/>
        </w:rPr>
        <w:t>78</w:t>
      </w:r>
    </w:p>
    <w:p>
      <w:pPr>
        <w:pStyle w:val="ListParagraph"/>
        <w:numPr>
          <w:ilvl w:val="0"/>
          <w:numId w:val="1"/>
        </w:numPr>
        <w:tabs>
          <w:tab w:pos="1049" w:val="left" w:leader="none"/>
          <w:tab w:pos="10771" w:val="right" w:leader="none"/>
        </w:tabs>
        <w:spacing w:line="240" w:lineRule="auto" w:before="94" w:after="0"/>
        <w:ind w:left="1048" w:right="0" w:hanging="483"/>
        <w:jc w:val="left"/>
        <w:rPr>
          <w:sz w:val="24"/>
        </w:rPr>
      </w:pPr>
      <w:r>
        <w:rPr>
          <w:color w:val="231F20"/>
          <w:sz w:val="24"/>
        </w:rPr>
        <w:t>INVESTMENT</w:t>
      </w:r>
      <w:r>
        <w:rPr>
          <w:color w:val="231F20"/>
          <w:spacing w:val="-10"/>
          <w:sz w:val="24"/>
        </w:rPr>
        <w:t> </w:t>
      </w:r>
      <w:r>
        <w:rPr>
          <w:color w:val="231F20"/>
          <w:spacing w:val="-2"/>
          <w:sz w:val="24"/>
        </w:rPr>
        <w:t>PROPERTIES</w:t>
      </w:r>
      <w:r>
        <w:rPr>
          <w:color w:val="231F20"/>
          <w:sz w:val="24"/>
        </w:rPr>
        <w:tab/>
      </w:r>
      <w:r>
        <w:rPr>
          <w:color w:val="231F20"/>
          <w:spacing w:val="-5"/>
          <w:sz w:val="24"/>
        </w:rPr>
        <w:t>79</w:t>
      </w:r>
    </w:p>
    <w:p>
      <w:pPr>
        <w:pStyle w:val="ListParagraph"/>
        <w:numPr>
          <w:ilvl w:val="0"/>
          <w:numId w:val="1"/>
        </w:numPr>
        <w:tabs>
          <w:tab w:pos="1049" w:val="left" w:leader="none"/>
          <w:tab w:pos="10771" w:val="right" w:leader="none"/>
        </w:tabs>
        <w:spacing w:line="240" w:lineRule="auto" w:before="95" w:after="0"/>
        <w:ind w:left="1048" w:right="0" w:hanging="483"/>
        <w:jc w:val="left"/>
        <w:rPr>
          <w:sz w:val="24"/>
        </w:rPr>
      </w:pPr>
      <w:r>
        <w:rPr>
          <w:color w:val="231F20"/>
          <w:sz w:val="24"/>
        </w:rPr>
        <w:t>INTANGIBLE</w:t>
      </w:r>
      <w:r>
        <w:rPr>
          <w:color w:val="231F20"/>
          <w:spacing w:val="-15"/>
          <w:sz w:val="24"/>
        </w:rPr>
        <w:t> </w:t>
      </w:r>
      <w:r>
        <w:rPr>
          <w:color w:val="231F20"/>
          <w:sz w:val="24"/>
        </w:rPr>
        <w:t>NON-CURRENT</w:t>
      </w:r>
      <w:r>
        <w:rPr>
          <w:color w:val="231F20"/>
          <w:spacing w:val="-14"/>
          <w:sz w:val="24"/>
        </w:rPr>
        <w:t> </w:t>
      </w:r>
      <w:r>
        <w:rPr>
          <w:color w:val="231F20"/>
          <w:spacing w:val="-2"/>
          <w:sz w:val="24"/>
        </w:rPr>
        <w:t>ASSETS</w:t>
      </w:r>
      <w:r>
        <w:rPr>
          <w:color w:val="231F20"/>
          <w:sz w:val="24"/>
        </w:rPr>
        <w:tab/>
      </w:r>
      <w:r>
        <w:rPr>
          <w:color w:val="231F20"/>
          <w:spacing w:val="-5"/>
          <w:sz w:val="24"/>
        </w:rPr>
        <w:t>81</w:t>
      </w:r>
    </w:p>
    <w:p>
      <w:pPr>
        <w:spacing w:after="0" w:line="240" w:lineRule="auto"/>
        <w:jc w:val="left"/>
        <w:rPr>
          <w:sz w:val="24"/>
        </w:rPr>
        <w:sectPr>
          <w:headerReference w:type="default" r:id="rId11"/>
          <w:footerReference w:type="default" r:id="rId12"/>
          <w:pgSz w:w="11910" w:h="16840"/>
          <w:pgMar w:header="377" w:footer="367" w:top="560" w:bottom="560" w:left="0" w:right="0"/>
          <w:pgNumType w:start="1"/>
        </w:sectPr>
      </w:pPr>
    </w:p>
    <w:p>
      <w:pPr>
        <w:spacing w:before="381"/>
        <w:ind w:left="575" w:right="0" w:firstLine="0"/>
        <w:jc w:val="left"/>
        <w:rPr>
          <w:sz w:val="50"/>
        </w:rPr>
      </w:pPr>
      <w:r>
        <w:rPr>
          <w:b/>
          <w:color w:val="3B5673"/>
          <w:spacing w:val="14"/>
          <w:sz w:val="50"/>
        </w:rPr>
        <w:t>CONTENTS</w:t>
      </w:r>
      <w:r>
        <w:rPr>
          <w:b/>
          <w:color w:val="3B5673"/>
          <w:spacing w:val="11"/>
          <w:sz w:val="50"/>
        </w:rPr>
        <w:t> </w:t>
      </w:r>
      <w:r>
        <w:rPr>
          <w:color w:val="3B5673"/>
          <w:spacing w:val="13"/>
          <w:sz w:val="50"/>
        </w:rPr>
        <w:t>CONTINUED</w:t>
      </w:r>
    </w:p>
    <w:p>
      <w:pPr>
        <w:pStyle w:val="ListParagraph"/>
        <w:numPr>
          <w:ilvl w:val="0"/>
          <w:numId w:val="1"/>
        </w:numPr>
        <w:tabs>
          <w:tab w:pos="1049" w:val="left" w:leader="none"/>
          <w:tab w:pos="10512" w:val="left" w:leader="none"/>
        </w:tabs>
        <w:spacing w:line="240" w:lineRule="auto" w:before="277" w:after="0"/>
        <w:ind w:left="1048" w:right="0" w:hanging="483"/>
        <w:jc w:val="left"/>
        <w:rPr>
          <w:sz w:val="24"/>
        </w:rPr>
      </w:pPr>
      <w:r>
        <w:rPr>
          <w:color w:val="231F20"/>
          <w:sz w:val="24"/>
        </w:rPr>
        <w:t>GAINS</w:t>
      </w:r>
      <w:r>
        <w:rPr>
          <w:color w:val="231F20"/>
          <w:spacing w:val="-5"/>
          <w:sz w:val="24"/>
        </w:rPr>
        <w:t> </w:t>
      </w:r>
      <w:r>
        <w:rPr>
          <w:color w:val="231F20"/>
          <w:sz w:val="24"/>
        </w:rPr>
        <w:t>AND</w:t>
      </w:r>
      <w:r>
        <w:rPr>
          <w:color w:val="231F20"/>
          <w:spacing w:val="-3"/>
          <w:sz w:val="24"/>
        </w:rPr>
        <w:t> </w:t>
      </w:r>
      <w:r>
        <w:rPr>
          <w:color w:val="231F20"/>
          <w:sz w:val="24"/>
        </w:rPr>
        <w:t>LOSSES</w:t>
      </w:r>
      <w:r>
        <w:rPr>
          <w:color w:val="231F20"/>
          <w:spacing w:val="-3"/>
          <w:sz w:val="24"/>
        </w:rPr>
        <w:t> </w:t>
      </w:r>
      <w:r>
        <w:rPr>
          <w:color w:val="231F20"/>
          <w:sz w:val="24"/>
        </w:rPr>
        <w:t>FROM</w:t>
      </w:r>
      <w:r>
        <w:rPr>
          <w:color w:val="231F20"/>
          <w:spacing w:val="-3"/>
          <w:sz w:val="24"/>
        </w:rPr>
        <w:t> </w:t>
      </w:r>
      <w:r>
        <w:rPr>
          <w:color w:val="231F20"/>
          <w:sz w:val="24"/>
        </w:rPr>
        <w:t>THE</w:t>
      </w:r>
      <w:r>
        <w:rPr>
          <w:color w:val="231F20"/>
          <w:spacing w:val="-3"/>
          <w:sz w:val="24"/>
        </w:rPr>
        <w:t> </w:t>
      </w:r>
      <w:r>
        <w:rPr>
          <w:color w:val="231F20"/>
          <w:sz w:val="24"/>
        </w:rPr>
        <w:t>SALE</w:t>
      </w:r>
      <w:r>
        <w:rPr>
          <w:color w:val="231F20"/>
          <w:spacing w:val="-4"/>
          <w:sz w:val="24"/>
        </w:rPr>
        <w:t> </w:t>
      </w:r>
      <w:r>
        <w:rPr>
          <w:color w:val="231F20"/>
          <w:sz w:val="24"/>
        </w:rPr>
        <w:t>OF</w:t>
      </w:r>
      <w:r>
        <w:rPr>
          <w:color w:val="231F20"/>
          <w:spacing w:val="-2"/>
          <w:sz w:val="24"/>
        </w:rPr>
        <w:t> ASSETS</w:t>
      </w:r>
      <w:r>
        <w:rPr>
          <w:color w:val="231F20"/>
          <w:sz w:val="24"/>
        </w:rPr>
        <w:tab/>
      </w:r>
      <w:r>
        <w:rPr>
          <w:color w:val="231F20"/>
          <w:spacing w:val="-5"/>
          <w:sz w:val="24"/>
        </w:rPr>
        <w:t>81</w:t>
      </w:r>
    </w:p>
    <w:p>
      <w:pPr>
        <w:pStyle w:val="ListParagraph"/>
        <w:numPr>
          <w:ilvl w:val="0"/>
          <w:numId w:val="1"/>
        </w:numPr>
        <w:tabs>
          <w:tab w:pos="1049" w:val="left" w:leader="none"/>
          <w:tab w:pos="10512" w:val="left" w:leader="none"/>
        </w:tabs>
        <w:spacing w:line="240" w:lineRule="auto" w:before="94" w:after="0"/>
        <w:ind w:left="1048" w:right="0" w:hanging="483"/>
        <w:jc w:val="left"/>
        <w:rPr>
          <w:sz w:val="24"/>
        </w:rPr>
      </w:pPr>
      <w:r>
        <w:rPr>
          <w:color w:val="231F20"/>
          <w:sz w:val="24"/>
        </w:rPr>
        <w:t>FINANCIAL</w:t>
      </w:r>
      <w:r>
        <w:rPr>
          <w:color w:val="231F20"/>
          <w:spacing w:val="-9"/>
          <w:sz w:val="24"/>
        </w:rPr>
        <w:t> </w:t>
      </w:r>
      <w:r>
        <w:rPr>
          <w:color w:val="231F20"/>
          <w:spacing w:val="-2"/>
          <w:sz w:val="24"/>
        </w:rPr>
        <w:t>INSTRUMENTS</w:t>
      </w:r>
      <w:r>
        <w:rPr>
          <w:color w:val="231F20"/>
          <w:sz w:val="24"/>
        </w:rPr>
        <w:tab/>
      </w:r>
      <w:r>
        <w:rPr>
          <w:color w:val="231F20"/>
          <w:spacing w:val="-5"/>
          <w:sz w:val="24"/>
        </w:rPr>
        <w:t>81</w:t>
      </w:r>
    </w:p>
    <w:p>
      <w:pPr>
        <w:pStyle w:val="ListParagraph"/>
        <w:numPr>
          <w:ilvl w:val="0"/>
          <w:numId w:val="1"/>
        </w:numPr>
        <w:tabs>
          <w:tab w:pos="1049" w:val="left" w:leader="none"/>
          <w:tab w:pos="10512" w:val="left" w:leader="none"/>
        </w:tabs>
        <w:spacing w:line="240" w:lineRule="auto" w:before="94" w:after="0"/>
        <w:ind w:left="1048" w:right="0" w:hanging="483"/>
        <w:jc w:val="left"/>
        <w:rPr>
          <w:sz w:val="24"/>
        </w:rPr>
      </w:pPr>
      <w:r>
        <w:rPr>
          <w:color w:val="231F20"/>
          <w:spacing w:val="-2"/>
          <w:sz w:val="24"/>
        </w:rPr>
        <w:t>INVENTORIES</w:t>
      </w:r>
      <w:r>
        <w:rPr>
          <w:color w:val="231F20"/>
          <w:sz w:val="24"/>
        </w:rPr>
        <w:tab/>
      </w:r>
      <w:r>
        <w:rPr>
          <w:color w:val="231F20"/>
          <w:spacing w:val="-5"/>
          <w:sz w:val="24"/>
        </w:rPr>
        <w:t>84</w:t>
      </w:r>
    </w:p>
    <w:p>
      <w:pPr>
        <w:pStyle w:val="ListParagraph"/>
        <w:numPr>
          <w:ilvl w:val="0"/>
          <w:numId w:val="1"/>
        </w:numPr>
        <w:tabs>
          <w:tab w:pos="1049" w:val="left" w:leader="none"/>
          <w:tab w:pos="10512" w:val="left" w:leader="none"/>
        </w:tabs>
        <w:spacing w:line="240" w:lineRule="auto" w:before="94" w:after="0"/>
        <w:ind w:left="1048" w:right="0" w:hanging="483"/>
        <w:jc w:val="left"/>
        <w:rPr>
          <w:sz w:val="24"/>
        </w:rPr>
      </w:pPr>
      <w:r>
        <w:rPr>
          <w:color w:val="231F20"/>
          <w:spacing w:val="-2"/>
          <w:sz w:val="24"/>
        </w:rPr>
        <w:t>DEBTORS</w:t>
      </w:r>
      <w:r>
        <w:rPr>
          <w:color w:val="231F20"/>
          <w:sz w:val="24"/>
        </w:rPr>
        <w:tab/>
      </w:r>
      <w:r>
        <w:rPr>
          <w:color w:val="231F20"/>
          <w:spacing w:val="-5"/>
          <w:sz w:val="24"/>
        </w:rPr>
        <w:t>84</w:t>
      </w:r>
    </w:p>
    <w:p>
      <w:pPr>
        <w:pStyle w:val="ListParagraph"/>
        <w:numPr>
          <w:ilvl w:val="0"/>
          <w:numId w:val="1"/>
        </w:numPr>
        <w:tabs>
          <w:tab w:pos="1049" w:val="left" w:leader="none"/>
          <w:tab w:pos="10512" w:val="left" w:leader="none"/>
        </w:tabs>
        <w:spacing w:line="240" w:lineRule="auto" w:before="94" w:after="0"/>
        <w:ind w:left="1048" w:right="0" w:hanging="483"/>
        <w:jc w:val="left"/>
        <w:rPr>
          <w:sz w:val="24"/>
        </w:rPr>
      </w:pPr>
      <w:r>
        <w:rPr>
          <w:color w:val="231F20"/>
          <w:sz w:val="24"/>
        </w:rPr>
        <w:t>CASH</w:t>
      </w:r>
      <w:r>
        <w:rPr>
          <w:color w:val="231F20"/>
          <w:spacing w:val="-3"/>
          <w:sz w:val="24"/>
        </w:rPr>
        <w:t> </w:t>
      </w:r>
      <w:r>
        <w:rPr>
          <w:color w:val="231F20"/>
          <w:sz w:val="24"/>
        </w:rPr>
        <w:t>AND</w:t>
      </w:r>
      <w:r>
        <w:rPr>
          <w:color w:val="231F20"/>
          <w:spacing w:val="-3"/>
          <w:sz w:val="24"/>
        </w:rPr>
        <w:t> </w:t>
      </w:r>
      <w:r>
        <w:rPr>
          <w:color w:val="231F20"/>
          <w:sz w:val="24"/>
        </w:rPr>
        <w:t>CASH</w:t>
      </w:r>
      <w:r>
        <w:rPr>
          <w:color w:val="231F20"/>
          <w:spacing w:val="-2"/>
          <w:sz w:val="24"/>
        </w:rPr>
        <w:t> EQUIVALENTS</w:t>
      </w:r>
      <w:r>
        <w:rPr>
          <w:color w:val="231F20"/>
          <w:sz w:val="24"/>
        </w:rPr>
        <w:tab/>
      </w:r>
      <w:r>
        <w:rPr>
          <w:color w:val="231F20"/>
          <w:spacing w:val="-5"/>
          <w:sz w:val="24"/>
        </w:rPr>
        <w:t>85</w:t>
      </w:r>
    </w:p>
    <w:p>
      <w:pPr>
        <w:pStyle w:val="ListParagraph"/>
        <w:numPr>
          <w:ilvl w:val="0"/>
          <w:numId w:val="1"/>
        </w:numPr>
        <w:tabs>
          <w:tab w:pos="1049" w:val="left" w:leader="none"/>
          <w:tab w:pos="10512" w:val="left" w:leader="none"/>
        </w:tabs>
        <w:spacing w:line="240" w:lineRule="auto" w:before="95" w:after="0"/>
        <w:ind w:left="1048" w:right="0" w:hanging="483"/>
        <w:jc w:val="left"/>
        <w:rPr>
          <w:sz w:val="24"/>
        </w:rPr>
      </w:pPr>
      <w:r>
        <w:rPr>
          <w:color w:val="231F20"/>
          <w:sz w:val="24"/>
        </w:rPr>
        <w:t>ASSETS</w:t>
      </w:r>
      <w:r>
        <w:rPr>
          <w:color w:val="231F20"/>
          <w:spacing w:val="-4"/>
          <w:sz w:val="24"/>
        </w:rPr>
        <w:t> </w:t>
      </w:r>
      <w:r>
        <w:rPr>
          <w:color w:val="231F20"/>
          <w:sz w:val="24"/>
        </w:rPr>
        <w:t>HELD</w:t>
      </w:r>
      <w:r>
        <w:rPr>
          <w:color w:val="231F20"/>
          <w:spacing w:val="-2"/>
          <w:sz w:val="24"/>
        </w:rPr>
        <w:t> </w:t>
      </w:r>
      <w:r>
        <w:rPr>
          <w:color w:val="231F20"/>
          <w:sz w:val="24"/>
        </w:rPr>
        <w:t>FOR</w:t>
      </w:r>
      <w:r>
        <w:rPr>
          <w:color w:val="231F20"/>
          <w:spacing w:val="-3"/>
          <w:sz w:val="24"/>
        </w:rPr>
        <w:t> </w:t>
      </w:r>
      <w:r>
        <w:rPr>
          <w:color w:val="231F20"/>
          <w:spacing w:val="-4"/>
          <w:sz w:val="24"/>
        </w:rPr>
        <w:t>SALE</w:t>
      </w:r>
      <w:r>
        <w:rPr>
          <w:color w:val="231F20"/>
          <w:sz w:val="24"/>
        </w:rPr>
        <w:tab/>
      </w:r>
      <w:r>
        <w:rPr>
          <w:color w:val="231F20"/>
          <w:spacing w:val="-5"/>
          <w:sz w:val="24"/>
        </w:rPr>
        <w:t>85</w:t>
      </w:r>
    </w:p>
    <w:p>
      <w:pPr>
        <w:pStyle w:val="ListParagraph"/>
        <w:numPr>
          <w:ilvl w:val="0"/>
          <w:numId w:val="1"/>
        </w:numPr>
        <w:tabs>
          <w:tab w:pos="1049" w:val="left" w:leader="none"/>
          <w:tab w:pos="10512" w:val="left" w:leader="none"/>
        </w:tabs>
        <w:spacing w:line="240" w:lineRule="auto" w:before="94" w:after="0"/>
        <w:ind w:left="1048" w:right="0" w:hanging="483"/>
        <w:jc w:val="left"/>
        <w:rPr>
          <w:sz w:val="24"/>
        </w:rPr>
      </w:pPr>
      <w:r>
        <w:rPr>
          <w:color w:val="231F20"/>
          <w:spacing w:val="-2"/>
          <w:sz w:val="24"/>
        </w:rPr>
        <w:t>CREDITORS</w:t>
      </w:r>
      <w:r>
        <w:rPr>
          <w:color w:val="231F20"/>
          <w:sz w:val="24"/>
        </w:rPr>
        <w:tab/>
      </w:r>
      <w:r>
        <w:rPr>
          <w:color w:val="231F20"/>
          <w:spacing w:val="-5"/>
          <w:sz w:val="24"/>
        </w:rPr>
        <w:t>86</w:t>
      </w:r>
    </w:p>
    <w:p>
      <w:pPr>
        <w:pStyle w:val="ListParagraph"/>
        <w:numPr>
          <w:ilvl w:val="0"/>
          <w:numId w:val="1"/>
        </w:numPr>
        <w:tabs>
          <w:tab w:pos="1049" w:val="left" w:leader="none"/>
          <w:tab w:pos="10512" w:val="left" w:leader="none"/>
        </w:tabs>
        <w:spacing w:line="240" w:lineRule="auto" w:before="94" w:after="0"/>
        <w:ind w:left="1048" w:right="0" w:hanging="483"/>
        <w:jc w:val="left"/>
        <w:rPr>
          <w:sz w:val="24"/>
        </w:rPr>
      </w:pPr>
      <w:r>
        <w:rPr>
          <w:color w:val="231F20"/>
          <w:spacing w:val="-2"/>
          <w:sz w:val="24"/>
        </w:rPr>
        <w:t>PROVISIONS</w:t>
      </w:r>
      <w:r>
        <w:rPr>
          <w:color w:val="231F20"/>
          <w:sz w:val="24"/>
        </w:rPr>
        <w:tab/>
      </w:r>
      <w:r>
        <w:rPr>
          <w:color w:val="231F20"/>
          <w:spacing w:val="-5"/>
          <w:sz w:val="24"/>
        </w:rPr>
        <w:t>87</w:t>
      </w:r>
    </w:p>
    <w:p>
      <w:pPr>
        <w:pStyle w:val="ListParagraph"/>
        <w:numPr>
          <w:ilvl w:val="0"/>
          <w:numId w:val="1"/>
        </w:numPr>
        <w:tabs>
          <w:tab w:pos="1049" w:val="left" w:leader="none"/>
          <w:tab w:pos="10512" w:val="left" w:leader="none"/>
        </w:tabs>
        <w:spacing w:line="240" w:lineRule="auto" w:before="94" w:after="0"/>
        <w:ind w:left="1048" w:right="0" w:hanging="483"/>
        <w:jc w:val="left"/>
        <w:rPr>
          <w:sz w:val="24"/>
        </w:rPr>
      </w:pPr>
      <w:r>
        <w:rPr>
          <w:color w:val="231F20"/>
          <w:sz w:val="24"/>
        </w:rPr>
        <w:t>USABLE </w:t>
      </w:r>
      <w:r>
        <w:rPr>
          <w:color w:val="231F20"/>
          <w:spacing w:val="-2"/>
          <w:sz w:val="24"/>
        </w:rPr>
        <w:t>RESERVES</w:t>
      </w:r>
      <w:r>
        <w:rPr>
          <w:color w:val="231F20"/>
          <w:sz w:val="24"/>
        </w:rPr>
        <w:tab/>
      </w:r>
      <w:r>
        <w:rPr>
          <w:color w:val="231F20"/>
          <w:spacing w:val="-5"/>
          <w:sz w:val="24"/>
        </w:rPr>
        <w:t>89</w:t>
      </w:r>
    </w:p>
    <w:p>
      <w:pPr>
        <w:pStyle w:val="ListParagraph"/>
        <w:numPr>
          <w:ilvl w:val="0"/>
          <w:numId w:val="1"/>
        </w:numPr>
        <w:tabs>
          <w:tab w:pos="1049" w:val="left" w:leader="none"/>
          <w:tab w:pos="10512" w:val="left" w:leader="none"/>
        </w:tabs>
        <w:spacing w:line="240" w:lineRule="auto" w:before="94" w:after="0"/>
        <w:ind w:left="1048" w:right="0" w:hanging="483"/>
        <w:jc w:val="left"/>
        <w:rPr>
          <w:sz w:val="24"/>
        </w:rPr>
      </w:pPr>
      <w:r>
        <w:rPr>
          <w:color w:val="231F20"/>
          <w:sz w:val="24"/>
        </w:rPr>
        <w:t>UNUSABLE </w:t>
      </w:r>
      <w:r>
        <w:rPr>
          <w:color w:val="231F20"/>
          <w:spacing w:val="-2"/>
          <w:sz w:val="24"/>
        </w:rPr>
        <w:t>RESERVES</w:t>
      </w:r>
      <w:r>
        <w:rPr>
          <w:color w:val="231F20"/>
          <w:sz w:val="24"/>
        </w:rPr>
        <w:tab/>
      </w:r>
      <w:r>
        <w:rPr>
          <w:color w:val="231F20"/>
          <w:spacing w:val="-5"/>
          <w:sz w:val="24"/>
        </w:rPr>
        <w:t>93</w:t>
      </w:r>
    </w:p>
    <w:p>
      <w:pPr>
        <w:pStyle w:val="ListParagraph"/>
        <w:numPr>
          <w:ilvl w:val="0"/>
          <w:numId w:val="1"/>
        </w:numPr>
        <w:tabs>
          <w:tab w:pos="1049" w:val="left" w:leader="none"/>
          <w:tab w:pos="10512" w:val="left" w:leader="none"/>
        </w:tabs>
        <w:spacing w:line="240" w:lineRule="auto" w:before="94" w:after="0"/>
        <w:ind w:left="1048" w:right="0" w:hanging="483"/>
        <w:jc w:val="left"/>
        <w:rPr>
          <w:sz w:val="24"/>
        </w:rPr>
      </w:pPr>
      <w:r>
        <w:rPr>
          <w:color w:val="231F20"/>
          <w:spacing w:val="-2"/>
          <w:sz w:val="24"/>
        </w:rPr>
        <w:t>CASH</w:t>
      </w:r>
      <w:r>
        <w:rPr>
          <w:color w:val="231F20"/>
          <w:spacing w:val="-8"/>
          <w:sz w:val="24"/>
        </w:rPr>
        <w:t> </w:t>
      </w:r>
      <w:r>
        <w:rPr>
          <w:color w:val="231F20"/>
          <w:spacing w:val="-2"/>
          <w:sz w:val="24"/>
        </w:rPr>
        <w:t>FLOW</w:t>
      </w:r>
      <w:r>
        <w:rPr>
          <w:color w:val="231F20"/>
          <w:spacing w:val="-8"/>
          <w:sz w:val="24"/>
        </w:rPr>
        <w:t> </w:t>
      </w:r>
      <w:r>
        <w:rPr>
          <w:color w:val="231F20"/>
          <w:spacing w:val="-2"/>
          <w:sz w:val="24"/>
        </w:rPr>
        <w:t>STATEMENT</w:t>
      </w:r>
      <w:r>
        <w:rPr>
          <w:color w:val="231F20"/>
          <w:spacing w:val="-7"/>
          <w:sz w:val="24"/>
        </w:rPr>
        <w:t> </w:t>
      </w:r>
      <w:r>
        <w:rPr>
          <w:color w:val="231F20"/>
          <w:spacing w:val="-4"/>
          <w:sz w:val="24"/>
        </w:rPr>
        <w:t>NOTES</w:t>
      </w:r>
      <w:r>
        <w:rPr>
          <w:color w:val="231F20"/>
          <w:sz w:val="24"/>
        </w:rPr>
        <w:tab/>
      </w:r>
      <w:r>
        <w:rPr>
          <w:color w:val="231F20"/>
          <w:spacing w:val="-5"/>
          <w:sz w:val="24"/>
        </w:rPr>
        <w:t>99</w:t>
      </w:r>
    </w:p>
    <w:p>
      <w:pPr>
        <w:pStyle w:val="ListParagraph"/>
        <w:numPr>
          <w:ilvl w:val="0"/>
          <w:numId w:val="1"/>
        </w:numPr>
        <w:tabs>
          <w:tab w:pos="1049" w:val="left" w:leader="none"/>
          <w:tab w:pos="10383" w:val="left" w:leader="none"/>
        </w:tabs>
        <w:spacing w:line="240" w:lineRule="auto" w:before="95" w:after="0"/>
        <w:ind w:left="1048" w:right="0" w:hanging="483"/>
        <w:jc w:val="left"/>
        <w:rPr>
          <w:sz w:val="24"/>
        </w:rPr>
      </w:pPr>
      <w:r>
        <w:rPr/>
        <w:pict>
          <v:group style="position:absolute;margin-left:578.504028pt;margin-top:6.954924pt;width:16.8pt;height:192.8pt;mso-position-horizontal-relative:page;mso-position-vertical-relative:paragraph;z-index:15732736" id="docshapegroup10" coordorigin="11570,139" coordsize="336,3856">
            <v:rect style="position:absolute;left:11570;top:3030;width:336;height:964" id="docshape11" filled="true" fillcolor="#f15d6b" stroked="false">
              <v:fill type="solid"/>
            </v:rect>
            <v:rect style="position:absolute;left:11570;top:2066;width:336;height:964" id="docshape12" filled="true" fillcolor="#fbac42" stroked="false">
              <v:fill type="solid"/>
            </v:rect>
            <v:rect style="position:absolute;left:11570;top:1102;width:336;height:964" id="docshape13" filled="true" fillcolor="#b78fc1" stroked="false">
              <v:fill type="solid"/>
            </v:rect>
            <v:rect style="position:absolute;left:11570;top:139;width:336;height:964" id="docshape14" filled="true" fillcolor="#378372" stroked="false">
              <v:fill type="solid"/>
            </v:rect>
            <w10:wrap type="none"/>
          </v:group>
        </w:pict>
      </w:r>
      <w:r>
        <w:rPr>
          <w:color w:val="231F20"/>
          <w:sz w:val="24"/>
        </w:rPr>
        <w:t>MEMBERS </w:t>
      </w:r>
      <w:r>
        <w:rPr>
          <w:color w:val="231F20"/>
          <w:spacing w:val="-2"/>
          <w:sz w:val="24"/>
        </w:rPr>
        <w:t>ALLOWANCES</w:t>
      </w:r>
      <w:r>
        <w:rPr>
          <w:color w:val="231F20"/>
          <w:sz w:val="24"/>
        </w:rPr>
        <w:tab/>
      </w:r>
      <w:r>
        <w:rPr>
          <w:color w:val="231F20"/>
          <w:spacing w:val="-5"/>
          <w:sz w:val="24"/>
        </w:rPr>
        <w:t>101</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z w:val="24"/>
        </w:rPr>
        <w:t>OFFICERS’</w:t>
      </w:r>
      <w:r>
        <w:rPr>
          <w:color w:val="231F20"/>
          <w:spacing w:val="-6"/>
          <w:sz w:val="24"/>
        </w:rPr>
        <w:t> </w:t>
      </w:r>
      <w:r>
        <w:rPr>
          <w:color w:val="231F20"/>
          <w:sz w:val="24"/>
        </w:rPr>
        <w:t>REMUNERATION</w:t>
      </w:r>
      <w:r>
        <w:rPr>
          <w:color w:val="231F20"/>
          <w:spacing w:val="-6"/>
          <w:sz w:val="24"/>
        </w:rPr>
        <w:t> </w:t>
      </w:r>
      <w:r>
        <w:rPr>
          <w:color w:val="231F20"/>
          <w:sz w:val="24"/>
        </w:rPr>
        <w:t>AND</w:t>
      </w:r>
      <w:r>
        <w:rPr>
          <w:color w:val="231F20"/>
          <w:spacing w:val="-6"/>
          <w:sz w:val="24"/>
        </w:rPr>
        <w:t> </w:t>
      </w:r>
      <w:r>
        <w:rPr>
          <w:color w:val="231F20"/>
          <w:sz w:val="24"/>
        </w:rPr>
        <w:t>EXIT</w:t>
      </w:r>
      <w:r>
        <w:rPr>
          <w:color w:val="231F20"/>
          <w:spacing w:val="-6"/>
          <w:sz w:val="24"/>
        </w:rPr>
        <w:t> </w:t>
      </w:r>
      <w:r>
        <w:rPr>
          <w:color w:val="231F20"/>
          <w:spacing w:val="-2"/>
          <w:sz w:val="24"/>
        </w:rPr>
        <w:t>PACKAGES</w:t>
      </w:r>
      <w:r>
        <w:rPr>
          <w:color w:val="231F20"/>
          <w:sz w:val="24"/>
        </w:rPr>
        <w:tab/>
      </w:r>
      <w:r>
        <w:rPr>
          <w:color w:val="231F20"/>
          <w:spacing w:val="-5"/>
          <w:sz w:val="24"/>
        </w:rPr>
        <w:t>102</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z w:val="24"/>
        </w:rPr>
        <w:t>EXTERNAL</w:t>
      </w:r>
      <w:r>
        <w:rPr>
          <w:color w:val="231F20"/>
          <w:spacing w:val="-1"/>
          <w:sz w:val="24"/>
        </w:rPr>
        <w:t> </w:t>
      </w:r>
      <w:r>
        <w:rPr>
          <w:color w:val="231F20"/>
          <w:sz w:val="24"/>
        </w:rPr>
        <w:t>AUDIT</w:t>
      </w:r>
      <w:r>
        <w:rPr>
          <w:color w:val="231F20"/>
          <w:spacing w:val="-1"/>
          <w:sz w:val="24"/>
        </w:rPr>
        <w:t> </w:t>
      </w:r>
      <w:r>
        <w:rPr>
          <w:color w:val="231F20"/>
          <w:spacing w:val="-2"/>
          <w:sz w:val="24"/>
        </w:rPr>
        <w:t>COSTS</w:t>
      </w:r>
      <w:r>
        <w:rPr>
          <w:color w:val="231F20"/>
          <w:sz w:val="24"/>
        </w:rPr>
        <w:tab/>
      </w:r>
      <w:r>
        <w:rPr>
          <w:color w:val="231F20"/>
          <w:spacing w:val="-5"/>
          <w:sz w:val="24"/>
        </w:rPr>
        <w:t>106</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pacing w:val="-2"/>
          <w:sz w:val="24"/>
        </w:rPr>
        <w:t>RELATED</w:t>
      </w:r>
      <w:r>
        <w:rPr>
          <w:color w:val="231F20"/>
          <w:spacing w:val="-9"/>
          <w:sz w:val="24"/>
        </w:rPr>
        <w:t> </w:t>
      </w:r>
      <w:r>
        <w:rPr>
          <w:color w:val="231F20"/>
          <w:spacing w:val="-2"/>
          <w:sz w:val="24"/>
        </w:rPr>
        <w:t>PARTY</w:t>
      </w:r>
      <w:r>
        <w:rPr>
          <w:color w:val="231F20"/>
          <w:spacing w:val="-7"/>
          <w:sz w:val="24"/>
        </w:rPr>
        <w:t> </w:t>
      </w:r>
      <w:r>
        <w:rPr>
          <w:color w:val="231F20"/>
          <w:spacing w:val="-2"/>
          <w:sz w:val="24"/>
        </w:rPr>
        <w:t>TRANSACTIONS</w:t>
      </w:r>
      <w:r>
        <w:rPr>
          <w:color w:val="231F20"/>
          <w:sz w:val="24"/>
        </w:rPr>
        <w:tab/>
      </w:r>
      <w:r>
        <w:rPr>
          <w:color w:val="231F20"/>
          <w:spacing w:val="-5"/>
          <w:sz w:val="24"/>
        </w:rPr>
        <w:t>106</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z w:val="24"/>
        </w:rPr>
        <w:t>CAPITAL</w:t>
      </w:r>
      <w:r>
        <w:rPr>
          <w:color w:val="231F20"/>
          <w:spacing w:val="-15"/>
          <w:sz w:val="24"/>
        </w:rPr>
        <w:t> </w:t>
      </w:r>
      <w:r>
        <w:rPr>
          <w:color w:val="231F20"/>
          <w:sz w:val="24"/>
        </w:rPr>
        <w:t>FINANCING</w:t>
      </w:r>
      <w:r>
        <w:rPr>
          <w:color w:val="231F20"/>
          <w:spacing w:val="-15"/>
          <w:sz w:val="24"/>
        </w:rPr>
        <w:t> </w:t>
      </w:r>
      <w:r>
        <w:rPr>
          <w:color w:val="231F20"/>
          <w:spacing w:val="-2"/>
          <w:sz w:val="24"/>
        </w:rPr>
        <w:t>REQUIREMENT</w:t>
      </w:r>
      <w:r>
        <w:rPr>
          <w:color w:val="231F20"/>
          <w:sz w:val="24"/>
        </w:rPr>
        <w:tab/>
      </w:r>
      <w:r>
        <w:rPr>
          <w:color w:val="231F20"/>
          <w:spacing w:val="-5"/>
          <w:sz w:val="24"/>
        </w:rPr>
        <w:t>108</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z w:val="24"/>
        </w:rPr>
        <w:t>ASSETS</w:t>
      </w:r>
      <w:r>
        <w:rPr>
          <w:color w:val="231F20"/>
          <w:spacing w:val="-3"/>
          <w:sz w:val="24"/>
        </w:rPr>
        <w:t> </w:t>
      </w:r>
      <w:r>
        <w:rPr>
          <w:color w:val="231F20"/>
          <w:sz w:val="24"/>
        </w:rPr>
        <w:t>HELD</w:t>
      </w:r>
      <w:r>
        <w:rPr>
          <w:color w:val="231F20"/>
          <w:spacing w:val="-2"/>
          <w:sz w:val="24"/>
        </w:rPr>
        <w:t> </w:t>
      </w:r>
      <w:r>
        <w:rPr>
          <w:color w:val="231F20"/>
          <w:sz w:val="24"/>
        </w:rPr>
        <w:t>AS</w:t>
      </w:r>
      <w:r>
        <w:rPr>
          <w:color w:val="231F20"/>
          <w:spacing w:val="-1"/>
          <w:sz w:val="24"/>
        </w:rPr>
        <w:t> </w:t>
      </w:r>
      <w:r>
        <w:rPr>
          <w:color w:val="231F20"/>
          <w:spacing w:val="-2"/>
          <w:sz w:val="24"/>
        </w:rPr>
        <w:t>LESSEE</w:t>
      </w:r>
      <w:r>
        <w:rPr>
          <w:color w:val="231F20"/>
          <w:sz w:val="24"/>
        </w:rPr>
        <w:tab/>
      </w:r>
      <w:r>
        <w:rPr>
          <w:color w:val="231F20"/>
          <w:spacing w:val="-5"/>
          <w:sz w:val="24"/>
        </w:rPr>
        <w:t>109</w:t>
      </w:r>
    </w:p>
    <w:p>
      <w:pPr>
        <w:pStyle w:val="ListParagraph"/>
        <w:numPr>
          <w:ilvl w:val="0"/>
          <w:numId w:val="1"/>
        </w:numPr>
        <w:tabs>
          <w:tab w:pos="1049" w:val="left" w:leader="none"/>
          <w:tab w:pos="10383" w:val="left" w:leader="none"/>
        </w:tabs>
        <w:spacing w:line="240" w:lineRule="auto" w:before="95" w:after="0"/>
        <w:ind w:left="1048" w:right="0" w:hanging="483"/>
        <w:jc w:val="left"/>
        <w:rPr>
          <w:sz w:val="24"/>
        </w:rPr>
      </w:pPr>
      <w:r>
        <w:rPr>
          <w:color w:val="231F20"/>
          <w:sz w:val="24"/>
        </w:rPr>
        <w:t>ASSETS</w:t>
      </w:r>
      <w:r>
        <w:rPr>
          <w:color w:val="231F20"/>
          <w:spacing w:val="-3"/>
          <w:sz w:val="24"/>
        </w:rPr>
        <w:t> </w:t>
      </w:r>
      <w:r>
        <w:rPr>
          <w:color w:val="231F20"/>
          <w:sz w:val="24"/>
        </w:rPr>
        <w:t>HELD</w:t>
      </w:r>
      <w:r>
        <w:rPr>
          <w:color w:val="231F20"/>
          <w:spacing w:val="-2"/>
          <w:sz w:val="24"/>
        </w:rPr>
        <w:t> </w:t>
      </w:r>
      <w:r>
        <w:rPr>
          <w:color w:val="231F20"/>
          <w:sz w:val="24"/>
        </w:rPr>
        <w:t>AS</w:t>
      </w:r>
      <w:r>
        <w:rPr>
          <w:color w:val="231F20"/>
          <w:spacing w:val="-1"/>
          <w:sz w:val="24"/>
        </w:rPr>
        <w:t> </w:t>
      </w:r>
      <w:r>
        <w:rPr>
          <w:color w:val="231F20"/>
          <w:spacing w:val="-2"/>
          <w:sz w:val="24"/>
        </w:rPr>
        <w:t>LESSOR</w:t>
      </w:r>
      <w:r>
        <w:rPr>
          <w:color w:val="231F20"/>
          <w:sz w:val="24"/>
        </w:rPr>
        <w:tab/>
      </w:r>
      <w:r>
        <w:rPr>
          <w:color w:val="231F20"/>
          <w:spacing w:val="-5"/>
          <w:sz w:val="24"/>
        </w:rPr>
        <w:t>109</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pacing w:val="-4"/>
          <w:sz w:val="24"/>
        </w:rPr>
        <w:t>REVALUATION</w:t>
      </w:r>
      <w:r>
        <w:rPr>
          <w:color w:val="231F20"/>
          <w:spacing w:val="-2"/>
          <w:sz w:val="24"/>
        </w:rPr>
        <w:t> </w:t>
      </w:r>
      <w:r>
        <w:rPr>
          <w:color w:val="231F20"/>
          <w:spacing w:val="-4"/>
          <w:sz w:val="24"/>
        </w:rPr>
        <w:t>LOSS</w:t>
      </w:r>
      <w:r>
        <w:rPr>
          <w:color w:val="231F20"/>
          <w:sz w:val="24"/>
        </w:rPr>
        <w:tab/>
      </w:r>
      <w:r>
        <w:rPr>
          <w:color w:val="231F20"/>
          <w:spacing w:val="-5"/>
          <w:sz w:val="24"/>
        </w:rPr>
        <w:t>110</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z w:val="24"/>
        </w:rPr>
        <w:t>RETIREMENT</w:t>
      </w:r>
      <w:r>
        <w:rPr>
          <w:color w:val="231F20"/>
          <w:spacing w:val="-10"/>
          <w:sz w:val="24"/>
        </w:rPr>
        <w:t> </w:t>
      </w:r>
      <w:r>
        <w:rPr>
          <w:color w:val="231F20"/>
          <w:spacing w:val="-2"/>
          <w:sz w:val="24"/>
        </w:rPr>
        <w:t>BENEFITS</w:t>
      </w:r>
      <w:r>
        <w:rPr>
          <w:color w:val="231F20"/>
          <w:sz w:val="24"/>
        </w:rPr>
        <w:tab/>
      </w:r>
      <w:r>
        <w:rPr>
          <w:color w:val="231F20"/>
          <w:spacing w:val="-5"/>
          <w:sz w:val="24"/>
        </w:rPr>
        <w:t>110</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z w:val="24"/>
        </w:rPr>
        <w:t>CONTINGENT</w:t>
      </w:r>
      <w:r>
        <w:rPr>
          <w:color w:val="231F20"/>
          <w:spacing w:val="-5"/>
          <w:sz w:val="24"/>
        </w:rPr>
        <w:t> </w:t>
      </w:r>
      <w:r>
        <w:rPr>
          <w:color w:val="231F20"/>
          <w:sz w:val="24"/>
        </w:rPr>
        <w:t>ASSETS</w:t>
      </w:r>
      <w:r>
        <w:rPr>
          <w:color w:val="231F20"/>
          <w:spacing w:val="-4"/>
          <w:sz w:val="24"/>
        </w:rPr>
        <w:t> </w:t>
      </w:r>
      <w:r>
        <w:rPr>
          <w:color w:val="231F20"/>
          <w:sz w:val="24"/>
        </w:rPr>
        <w:t>AND</w:t>
      </w:r>
      <w:r>
        <w:rPr>
          <w:color w:val="231F20"/>
          <w:spacing w:val="-4"/>
          <w:sz w:val="24"/>
        </w:rPr>
        <w:t> </w:t>
      </w:r>
      <w:r>
        <w:rPr>
          <w:color w:val="231F20"/>
          <w:spacing w:val="-2"/>
          <w:sz w:val="24"/>
        </w:rPr>
        <w:t>LIABILITIES</w:t>
      </w:r>
      <w:r>
        <w:rPr>
          <w:color w:val="231F20"/>
          <w:sz w:val="24"/>
        </w:rPr>
        <w:tab/>
      </w:r>
      <w:r>
        <w:rPr>
          <w:color w:val="231F20"/>
          <w:spacing w:val="-5"/>
          <w:sz w:val="24"/>
        </w:rPr>
        <w:t>118</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z w:val="24"/>
        </w:rPr>
        <w:t>DEFERRED</w:t>
      </w:r>
      <w:r>
        <w:rPr>
          <w:color w:val="231F20"/>
          <w:spacing w:val="-8"/>
          <w:sz w:val="24"/>
        </w:rPr>
        <w:t> </w:t>
      </w:r>
      <w:r>
        <w:rPr>
          <w:color w:val="231F20"/>
          <w:spacing w:val="-2"/>
          <w:sz w:val="24"/>
        </w:rPr>
        <w:t>CREDITS</w:t>
      </w:r>
      <w:r>
        <w:rPr>
          <w:color w:val="231F20"/>
          <w:sz w:val="24"/>
        </w:rPr>
        <w:tab/>
      </w:r>
      <w:r>
        <w:rPr>
          <w:color w:val="231F20"/>
          <w:spacing w:val="-5"/>
          <w:sz w:val="24"/>
        </w:rPr>
        <w:t>118</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pacing w:val="-2"/>
          <w:sz w:val="24"/>
        </w:rPr>
        <w:t>JOINT</w:t>
      </w:r>
      <w:r>
        <w:rPr>
          <w:color w:val="231F20"/>
          <w:spacing w:val="-1"/>
          <w:sz w:val="24"/>
        </w:rPr>
        <w:t> </w:t>
      </w:r>
      <w:r>
        <w:rPr>
          <w:color w:val="231F20"/>
          <w:spacing w:val="-2"/>
          <w:sz w:val="24"/>
        </w:rPr>
        <w:t>CREMATORIUM</w:t>
      </w:r>
      <w:r>
        <w:rPr>
          <w:color w:val="231F20"/>
          <w:spacing w:val="-1"/>
          <w:sz w:val="24"/>
        </w:rPr>
        <w:t> </w:t>
      </w:r>
      <w:r>
        <w:rPr>
          <w:color w:val="231F20"/>
          <w:spacing w:val="-2"/>
          <w:sz w:val="24"/>
        </w:rPr>
        <w:t>COMMITTEE</w:t>
      </w:r>
      <w:r>
        <w:rPr>
          <w:color w:val="231F20"/>
          <w:sz w:val="24"/>
        </w:rPr>
        <w:tab/>
      </w:r>
      <w:r>
        <w:rPr>
          <w:color w:val="231F20"/>
          <w:spacing w:val="-5"/>
          <w:sz w:val="24"/>
        </w:rPr>
        <w:t>119</w:t>
      </w:r>
    </w:p>
    <w:p>
      <w:pPr>
        <w:pStyle w:val="ListParagraph"/>
        <w:numPr>
          <w:ilvl w:val="0"/>
          <w:numId w:val="1"/>
        </w:numPr>
        <w:tabs>
          <w:tab w:pos="1049" w:val="left" w:leader="none"/>
          <w:tab w:pos="10383" w:val="left" w:leader="none"/>
        </w:tabs>
        <w:spacing w:line="240" w:lineRule="auto" w:before="95" w:after="0"/>
        <w:ind w:left="1048" w:right="0" w:hanging="483"/>
        <w:jc w:val="left"/>
        <w:rPr>
          <w:sz w:val="24"/>
        </w:rPr>
      </w:pPr>
      <w:r>
        <w:rPr>
          <w:color w:val="231F20"/>
          <w:sz w:val="24"/>
        </w:rPr>
        <w:t>NATURE</w:t>
      </w:r>
      <w:r>
        <w:rPr>
          <w:color w:val="231F20"/>
          <w:spacing w:val="-6"/>
          <w:sz w:val="24"/>
        </w:rPr>
        <w:t> </w:t>
      </w:r>
      <w:r>
        <w:rPr>
          <w:color w:val="231F20"/>
          <w:sz w:val="24"/>
        </w:rPr>
        <w:t>AND</w:t>
      </w:r>
      <w:r>
        <w:rPr>
          <w:color w:val="231F20"/>
          <w:spacing w:val="-4"/>
          <w:sz w:val="24"/>
        </w:rPr>
        <w:t> </w:t>
      </w:r>
      <w:r>
        <w:rPr>
          <w:color w:val="231F20"/>
          <w:sz w:val="24"/>
        </w:rPr>
        <w:t>EXTENT</w:t>
      </w:r>
      <w:r>
        <w:rPr>
          <w:color w:val="231F20"/>
          <w:spacing w:val="-4"/>
          <w:sz w:val="24"/>
        </w:rPr>
        <w:t> </w:t>
      </w:r>
      <w:r>
        <w:rPr>
          <w:color w:val="231F20"/>
          <w:sz w:val="24"/>
        </w:rPr>
        <w:t>OF</w:t>
      </w:r>
      <w:r>
        <w:rPr>
          <w:color w:val="231F20"/>
          <w:spacing w:val="-4"/>
          <w:sz w:val="24"/>
        </w:rPr>
        <w:t> </w:t>
      </w:r>
      <w:r>
        <w:rPr>
          <w:color w:val="231F20"/>
          <w:sz w:val="24"/>
        </w:rPr>
        <w:t>RISKS</w:t>
      </w:r>
      <w:r>
        <w:rPr>
          <w:color w:val="231F20"/>
          <w:spacing w:val="-5"/>
          <w:sz w:val="24"/>
        </w:rPr>
        <w:t> </w:t>
      </w:r>
      <w:r>
        <w:rPr>
          <w:color w:val="231F20"/>
          <w:sz w:val="24"/>
        </w:rPr>
        <w:t>ARISING</w:t>
      </w:r>
      <w:r>
        <w:rPr>
          <w:color w:val="231F20"/>
          <w:spacing w:val="-4"/>
          <w:sz w:val="24"/>
        </w:rPr>
        <w:t> </w:t>
      </w:r>
      <w:r>
        <w:rPr>
          <w:color w:val="231F20"/>
          <w:sz w:val="24"/>
        </w:rPr>
        <w:t>FROM</w:t>
      </w:r>
      <w:r>
        <w:rPr>
          <w:color w:val="231F20"/>
          <w:spacing w:val="-4"/>
          <w:sz w:val="24"/>
        </w:rPr>
        <w:t> </w:t>
      </w:r>
      <w:r>
        <w:rPr>
          <w:color w:val="231F20"/>
          <w:sz w:val="24"/>
        </w:rPr>
        <w:t>FINANCIAL</w:t>
      </w:r>
      <w:r>
        <w:rPr>
          <w:color w:val="231F20"/>
          <w:spacing w:val="-4"/>
          <w:sz w:val="24"/>
        </w:rPr>
        <w:t> </w:t>
      </w:r>
      <w:r>
        <w:rPr>
          <w:color w:val="231F20"/>
          <w:spacing w:val="-2"/>
          <w:sz w:val="24"/>
        </w:rPr>
        <w:t>INSTRUMENTS</w:t>
      </w:r>
      <w:r>
        <w:rPr>
          <w:color w:val="231F20"/>
          <w:sz w:val="24"/>
        </w:rPr>
        <w:tab/>
      </w:r>
      <w:r>
        <w:rPr>
          <w:color w:val="231F20"/>
          <w:spacing w:val="-5"/>
          <w:sz w:val="24"/>
        </w:rPr>
        <w:t>119</w:t>
      </w:r>
    </w:p>
    <w:p>
      <w:pPr>
        <w:pStyle w:val="ListParagraph"/>
        <w:numPr>
          <w:ilvl w:val="0"/>
          <w:numId w:val="1"/>
        </w:numPr>
        <w:tabs>
          <w:tab w:pos="1049" w:val="left" w:leader="none"/>
          <w:tab w:pos="10383" w:val="left" w:leader="none"/>
        </w:tabs>
        <w:spacing w:line="240" w:lineRule="auto" w:before="94" w:after="0"/>
        <w:ind w:left="1048" w:right="0" w:hanging="483"/>
        <w:jc w:val="left"/>
        <w:rPr>
          <w:sz w:val="24"/>
        </w:rPr>
      </w:pPr>
      <w:r>
        <w:rPr>
          <w:color w:val="231F20"/>
          <w:sz w:val="24"/>
        </w:rPr>
        <w:t>TRUST </w:t>
      </w:r>
      <w:r>
        <w:rPr>
          <w:color w:val="231F20"/>
          <w:spacing w:val="-2"/>
          <w:sz w:val="24"/>
        </w:rPr>
        <w:t>FUNDS</w:t>
      </w:r>
      <w:r>
        <w:rPr>
          <w:color w:val="231F20"/>
          <w:sz w:val="24"/>
        </w:rPr>
        <w:tab/>
      </w:r>
      <w:r>
        <w:rPr>
          <w:color w:val="231F20"/>
          <w:spacing w:val="-5"/>
          <w:sz w:val="24"/>
        </w:rPr>
        <w:t>123</w:t>
      </w:r>
    </w:p>
    <w:p>
      <w:pPr>
        <w:pStyle w:val="Heading3"/>
        <w:spacing w:line="240" w:lineRule="auto" w:before="502"/>
        <w:ind w:left="566"/>
        <w:rPr>
          <w:rFonts w:ascii="Segoe UI Black"/>
          <w:b/>
        </w:rPr>
      </w:pPr>
      <w:r>
        <w:rPr>
          <w:rFonts w:ascii="Segoe UI Black"/>
          <w:b/>
          <w:color w:val="231F20"/>
        </w:rPr>
        <w:t>SUPPLEMENTARY FINANCIAL </w:t>
      </w:r>
      <w:r>
        <w:rPr>
          <w:rFonts w:ascii="Segoe UI Black"/>
          <w:b/>
          <w:color w:val="231F20"/>
          <w:spacing w:val="-2"/>
        </w:rPr>
        <w:t>STATEMENTS</w:t>
      </w:r>
    </w:p>
    <w:p>
      <w:pPr>
        <w:pStyle w:val="BodyText"/>
        <w:tabs>
          <w:tab w:pos="10383" w:val="left" w:leader="none"/>
        </w:tabs>
        <w:spacing w:before="321"/>
        <w:ind w:left="566"/>
      </w:pPr>
      <w:r>
        <w:rPr>
          <w:color w:val="231F20"/>
        </w:rPr>
        <w:t>HOUSING</w:t>
      </w:r>
      <w:r>
        <w:rPr>
          <w:color w:val="231F20"/>
          <w:spacing w:val="-4"/>
        </w:rPr>
        <w:t> </w:t>
      </w:r>
      <w:r>
        <w:rPr>
          <w:color w:val="231F20"/>
        </w:rPr>
        <w:t>REVENUE</w:t>
      </w:r>
      <w:r>
        <w:rPr>
          <w:color w:val="231F20"/>
          <w:spacing w:val="-3"/>
        </w:rPr>
        <w:t> </w:t>
      </w:r>
      <w:r>
        <w:rPr>
          <w:color w:val="231F20"/>
          <w:spacing w:val="-2"/>
        </w:rPr>
        <w:t>ACCOUNT</w:t>
      </w:r>
      <w:r>
        <w:rPr>
          <w:color w:val="231F20"/>
        </w:rPr>
        <w:tab/>
      </w:r>
      <w:r>
        <w:rPr>
          <w:color w:val="231F20"/>
          <w:spacing w:val="-5"/>
        </w:rPr>
        <w:t>124</w:t>
      </w:r>
    </w:p>
    <w:p>
      <w:pPr>
        <w:pStyle w:val="BodyText"/>
        <w:tabs>
          <w:tab w:pos="10383" w:val="left" w:leader="none"/>
        </w:tabs>
        <w:spacing w:before="321"/>
        <w:ind w:left="566"/>
      </w:pPr>
      <w:r>
        <w:rPr>
          <w:color w:val="231F20"/>
        </w:rPr>
        <w:t>COLLECTION</w:t>
      </w:r>
      <w:r>
        <w:rPr>
          <w:color w:val="231F20"/>
          <w:spacing w:val="-7"/>
        </w:rPr>
        <w:t> </w:t>
      </w:r>
      <w:r>
        <w:rPr>
          <w:color w:val="231F20"/>
          <w:spacing w:val="-4"/>
        </w:rPr>
        <w:t>FUND</w:t>
      </w:r>
      <w:r>
        <w:rPr>
          <w:color w:val="231F20"/>
        </w:rPr>
        <w:tab/>
      </w:r>
      <w:r>
        <w:rPr>
          <w:color w:val="231F20"/>
          <w:spacing w:val="-5"/>
        </w:rPr>
        <w:t>130</w:t>
      </w:r>
    </w:p>
    <w:p>
      <w:pPr>
        <w:pStyle w:val="BodyText"/>
        <w:tabs>
          <w:tab w:pos="10383" w:val="left" w:leader="none"/>
        </w:tabs>
        <w:spacing w:before="321"/>
        <w:ind w:left="566"/>
      </w:pPr>
      <w:r>
        <w:rPr>
          <w:color w:val="231F20"/>
        </w:rPr>
        <w:t>ANNUAL</w:t>
      </w:r>
      <w:r>
        <w:rPr>
          <w:color w:val="231F20"/>
          <w:spacing w:val="-10"/>
        </w:rPr>
        <w:t> </w:t>
      </w:r>
      <w:r>
        <w:rPr>
          <w:color w:val="231F20"/>
        </w:rPr>
        <w:t>GOVERNANCE</w:t>
      </w:r>
      <w:r>
        <w:rPr>
          <w:color w:val="231F20"/>
          <w:spacing w:val="-10"/>
        </w:rPr>
        <w:t> </w:t>
      </w:r>
      <w:r>
        <w:rPr>
          <w:color w:val="231F20"/>
          <w:spacing w:val="-2"/>
        </w:rPr>
        <w:t>STATEMENT</w:t>
      </w:r>
      <w:r>
        <w:rPr>
          <w:color w:val="231F20"/>
        </w:rPr>
        <w:tab/>
      </w:r>
      <w:r>
        <w:rPr>
          <w:color w:val="231F20"/>
          <w:spacing w:val="-5"/>
        </w:rPr>
        <w:t>136</w:t>
      </w:r>
    </w:p>
    <w:p>
      <w:pPr>
        <w:pStyle w:val="BodyText"/>
        <w:tabs>
          <w:tab w:pos="10383" w:val="left" w:leader="none"/>
        </w:tabs>
        <w:spacing w:before="321"/>
        <w:ind w:left="566"/>
      </w:pPr>
      <w:r>
        <w:rPr>
          <w:color w:val="231F20"/>
        </w:rPr>
        <w:t>GLOSSARY</w:t>
      </w:r>
      <w:r>
        <w:rPr>
          <w:color w:val="231F20"/>
          <w:spacing w:val="-4"/>
        </w:rPr>
        <w:t> </w:t>
      </w:r>
      <w:r>
        <w:rPr>
          <w:color w:val="231F20"/>
        </w:rPr>
        <w:t>OF</w:t>
      </w:r>
      <w:r>
        <w:rPr>
          <w:color w:val="231F20"/>
          <w:spacing w:val="-3"/>
        </w:rPr>
        <w:t> </w:t>
      </w:r>
      <w:r>
        <w:rPr>
          <w:color w:val="231F20"/>
        </w:rPr>
        <w:t>TERMS</w:t>
      </w:r>
      <w:r>
        <w:rPr>
          <w:color w:val="231F20"/>
          <w:spacing w:val="-4"/>
        </w:rPr>
        <w:t> </w:t>
      </w:r>
      <w:r>
        <w:rPr>
          <w:color w:val="231F20"/>
        </w:rPr>
        <w:t>AND</w:t>
      </w:r>
      <w:r>
        <w:rPr>
          <w:color w:val="231F20"/>
          <w:spacing w:val="-3"/>
        </w:rPr>
        <w:t> </w:t>
      </w:r>
      <w:r>
        <w:rPr>
          <w:color w:val="231F20"/>
          <w:spacing w:val="-2"/>
        </w:rPr>
        <w:t>ABBREVIATIONS</w:t>
      </w:r>
      <w:r>
        <w:rPr>
          <w:color w:val="231F20"/>
        </w:rPr>
        <w:tab/>
      </w:r>
      <w:r>
        <w:rPr>
          <w:color w:val="231F20"/>
          <w:spacing w:val="-5"/>
        </w:rPr>
        <w:t>171</w:t>
      </w:r>
    </w:p>
    <w:p>
      <w:pPr>
        <w:spacing w:after="0"/>
        <w:sectPr>
          <w:pgSz w:w="11910" w:h="16840"/>
          <w:pgMar w:header="377" w:footer="367" w:top="560" w:bottom="560" w:left="0" w:right="0"/>
        </w:sectPr>
      </w:pPr>
    </w:p>
    <w:p>
      <w:pPr>
        <w:pStyle w:val="BodyText"/>
        <w:rPr>
          <w:sz w:val="80"/>
        </w:rPr>
      </w:pPr>
      <w:r>
        <w:rPr/>
        <w:pict>
          <v:group style="position:absolute;margin-left:0pt;margin-top:.000015pt;width:595.3pt;height:841.9pt;mso-position-horizontal-relative:page;mso-position-vertical-relative:page;z-index:-16879104" id="docshapegroup15" coordorigin="0,0" coordsize="11906,16838">
            <v:shape style="position:absolute;left:0;top:0;width:11906;height:16799" type="#_x0000_t75" id="docshape16" stroked="false">
              <v:imagedata r:id="rId15" o:title=""/>
            </v:shape>
            <v:rect style="position:absolute;left:0;top:16270;width:11906;height:567" id="docshape17" filled="true" fillcolor="#5d6b86" stroked="false">
              <v:fill type="solid"/>
            </v:rect>
            <v:rect style="position:absolute;left:11570;top:9382;width:336;height:964" id="docshape18" filled="true" fillcolor="#f15d6b" stroked="false">
              <v:fill type="solid"/>
            </v:rect>
            <v:rect style="position:absolute;left:11570;top:8418;width:336;height:964" id="docshape19" filled="true" fillcolor="#fbac42" stroked="false">
              <v:fill type="solid"/>
            </v:rect>
            <v:rect style="position:absolute;left:11570;top:7455;width:336;height:964" id="docshape20" filled="true" fillcolor="#b78fc1" stroked="false">
              <v:fill type="solid"/>
            </v:rect>
            <v:rect style="position:absolute;left:11570;top:6491;width:336;height:964" id="docshape21" filled="true" fillcolor="#378372" stroked="false">
              <v:fill type="solid"/>
            </v:rect>
            <w10:wrap type="none"/>
          </v:group>
        </w:pict>
      </w:r>
    </w:p>
    <w:p>
      <w:pPr>
        <w:pStyle w:val="BodyText"/>
        <w:rPr>
          <w:sz w:val="80"/>
        </w:rPr>
      </w:pPr>
    </w:p>
    <w:p>
      <w:pPr>
        <w:pStyle w:val="BodyText"/>
        <w:rPr>
          <w:sz w:val="80"/>
        </w:rPr>
      </w:pPr>
    </w:p>
    <w:p>
      <w:pPr>
        <w:pStyle w:val="BodyText"/>
        <w:rPr>
          <w:sz w:val="80"/>
        </w:rPr>
      </w:pPr>
    </w:p>
    <w:p>
      <w:pPr>
        <w:pStyle w:val="BodyText"/>
        <w:rPr>
          <w:sz w:val="80"/>
        </w:rPr>
      </w:pPr>
    </w:p>
    <w:p>
      <w:pPr>
        <w:pStyle w:val="BodyText"/>
        <w:rPr>
          <w:sz w:val="80"/>
        </w:rPr>
      </w:pPr>
    </w:p>
    <w:p>
      <w:pPr>
        <w:pStyle w:val="BodyText"/>
        <w:spacing w:before="8"/>
        <w:rPr>
          <w:sz w:val="65"/>
        </w:rPr>
      </w:pPr>
    </w:p>
    <w:p>
      <w:pPr>
        <w:tabs>
          <w:tab w:pos="860" w:val="left" w:leader="none"/>
        </w:tabs>
        <w:spacing w:before="1"/>
        <w:ind w:left="0" w:right="0" w:firstLine="0"/>
        <w:jc w:val="left"/>
        <w:rPr>
          <w:sz w:val="60"/>
        </w:rPr>
      </w:pPr>
      <w:r>
        <w:rPr>
          <w:b/>
          <w:color w:val="FFFFFF"/>
          <w:sz w:val="60"/>
          <w:shd w:fill="3B5673" w:color="auto" w:val="clear"/>
        </w:rPr>
        <w:tab/>
      </w:r>
      <w:r>
        <w:rPr>
          <w:b/>
          <w:color w:val="FFFFFF"/>
          <w:spacing w:val="13"/>
          <w:sz w:val="60"/>
          <w:shd w:fill="3B5673" w:color="auto" w:val="clear"/>
        </w:rPr>
        <w:t>NARRATIVE</w:t>
      </w:r>
      <w:r>
        <w:rPr>
          <w:b/>
          <w:color w:val="FFFFFF"/>
          <w:spacing w:val="16"/>
          <w:sz w:val="60"/>
          <w:shd w:fill="3B5673" w:color="auto" w:val="clear"/>
        </w:rPr>
        <w:t> </w:t>
      </w:r>
      <w:r>
        <w:rPr>
          <w:color w:val="FFFFFF"/>
          <w:spacing w:val="10"/>
          <w:sz w:val="60"/>
          <w:shd w:fill="3B5673" w:color="auto" w:val="clear"/>
        </w:rPr>
        <w:t>REPORT</w:t>
      </w:r>
      <w:r>
        <w:rPr>
          <w:color w:val="FFFFFF"/>
          <w:spacing w:val="80"/>
          <w:sz w:val="60"/>
          <w:shd w:fill="3B5673" w:color="auto" w:val="clear"/>
        </w:rPr>
        <w:t> </w:t>
      </w:r>
    </w:p>
    <w:p>
      <w:pPr>
        <w:pStyle w:val="BodyText"/>
        <w:spacing w:before="8" w:after="1"/>
        <w:rPr>
          <w:sz w:val="22"/>
        </w:rPr>
      </w:pPr>
    </w:p>
    <w:p>
      <w:pPr>
        <w:pStyle w:val="BodyText"/>
        <w:ind w:left="-20"/>
        <w:rPr>
          <w:sz w:val="20"/>
        </w:rPr>
      </w:pPr>
      <w:r>
        <w:rPr>
          <w:sz w:val="20"/>
        </w:rPr>
        <w:pict>
          <v:shape style="width:432.3pt;height:269.45pt;mso-position-horizontal-relative:char;mso-position-vertical-relative:line" type="#_x0000_t202" id="docshape22" filled="true" fillcolor="#ffffff" stroked="true" strokeweight="2pt" strokecolor="#3b5673">
            <w10:anchorlock/>
            <v:textbox inset="0,0,0,0">
              <w:txbxContent>
                <w:p>
                  <w:pPr>
                    <w:spacing w:line="613" w:lineRule="exact" w:before="88"/>
                    <w:ind w:left="830" w:right="0" w:firstLine="0"/>
                    <w:jc w:val="left"/>
                    <w:rPr>
                      <w:color w:val="000000"/>
                      <w:sz w:val="50"/>
                    </w:rPr>
                  </w:pPr>
                  <w:r>
                    <w:rPr>
                      <w:b/>
                      <w:color w:val="3B5673"/>
                      <w:sz w:val="50"/>
                    </w:rPr>
                    <w:t>1.</w:t>
                  </w:r>
                  <w:r>
                    <w:rPr>
                      <w:b/>
                      <w:color w:val="3B5673"/>
                      <w:spacing w:val="10"/>
                      <w:sz w:val="50"/>
                    </w:rPr>
                    <w:t> </w:t>
                  </w:r>
                  <w:r>
                    <w:rPr>
                      <w:color w:val="3B5673"/>
                      <w:spacing w:val="11"/>
                      <w:sz w:val="50"/>
                    </w:rPr>
                    <w:t>BACKGROUND</w:t>
                  </w:r>
                  <w:r>
                    <w:rPr>
                      <w:color w:val="3B5673"/>
                      <w:spacing w:val="20"/>
                      <w:sz w:val="50"/>
                    </w:rPr>
                    <w:t> </w:t>
                  </w:r>
                  <w:r>
                    <w:rPr>
                      <w:color w:val="3B5673"/>
                      <w:spacing w:val="-5"/>
                      <w:sz w:val="50"/>
                    </w:rPr>
                    <w:t>TO</w:t>
                  </w:r>
                </w:p>
                <w:p>
                  <w:pPr>
                    <w:spacing w:line="613" w:lineRule="exact" w:before="0"/>
                    <w:ind w:left="839" w:right="0" w:firstLine="0"/>
                    <w:jc w:val="left"/>
                    <w:rPr>
                      <w:b/>
                      <w:color w:val="000000"/>
                      <w:sz w:val="50"/>
                    </w:rPr>
                  </w:pPr>
                  <w:r>
                    <w:rPr>
                      <w:b/>
                      <w:color w:val="3B5673"/>
                      <w:spacing w:val="11"/>
                      <w:sz w:val="50"/>
                    </w:rPr>
                    <w:t>THE</w:t>
                  </w:r>
                  <w:r>
                    <w:rPr>
                      <w:b/>
                      <w:color w:val="3B5673"/>
                      <w:spacing w:val="18"/>
                      <w:sz w:val="50"/>
                    </w:rPr>
                    <w:t> </w:t>
                  </w:r>
                  <w:r>
                    <w:rPr>
                      <w:b/>
                      <w:color w:val="3B5673"/>
                      <w:spacing w:val="11"/>
                      <w:sz w:val="50"/>
                    </w:rPr>
                    <w:t>NARRATIVE</w:t>
                  </w:r>
                  <w:r>
                    <w:rPr>
                      <w:b/>
                      <w:color w:val="3B5673"/>
                      <w:spacing w:val="19"/>
                      <w:sz w:val="50"/>
                    </w:rPr>
                    <w:t> </w:t>
                  </w:r>
                  <w:r>
                    <w:rPr>
                      <w:b/>
                      <w:color w:val="3B5673"/>
                      <w:spacing w:val="8"/>
                      <w:sz w:val="50"/>
                    </w:rPr>
                    <w:t>REPORT</w:t>
                  </w:r>
                </w:p>
                <w:p>
                  <w:pPr>
                    <w:pStyle w:val="BodyText"/>
                    <w:spacing w:line="225" w:lineRule="auto" w:before="231"/>
                    <w:ind w:left="830" w:right="171"/>
                    <w:rPr>
                      <w:color w:val="000000"/>
                    </w:rPr>
                  </w:pPr>
                  <w:r>
                    <w:rPr>
                      <w:color w:val="231F20"/>
                    </w:rPr>
                    <w:t>The Accounts and Audit (England) Regulations 2015 introduced a requirement</w:t>
                  </w:r>
                  <w:r>
                    <w:rPr>
                      <w:color w:val="231F20"/>
                      <w:spacing w:val="-4"/>
                    </w:rPr>
                    <w:t> </w:t>
                  </w:r>
                  <w:r>
                    <w:rPr>
                      <w:color w:val="231F20"/>
                    </w:rPr>
                    <w:t>for</w:t>
                  </w:r>
                  <w:r>
                    <w:rPr>
                      <w:color w:val="231F20"/>
                      <w:spacing w:val="-4"/>
                    </w:rPr>
                    <w:t> </w:t>
                  </w:r>
                  <w:r>
                    <w:rPr>
                      <w:color w:val="231F20"/>
                    </w:rPr>
                    <w:t>Local</w:t>
                  </w:r>
                  <w:r>
                    <w:rPr>
                      <w:color w:val="231F20"/>
                      <w:spacing w:val="-4"/>
                    </w:rPr>
                    <w:t> </w:t>
                  </w:r>
                  <w:r>
                    <w:rPr>
                      <w:color w:val="231F20"/>
                    </w:rPr>
                    <w:t>Authorities</w:t>
                  </w:r>
                  <w:r>
                    <w:rPr>
                      <w:color w:val="231F20"/>
                      <w:spacing w:val="-4"/>
                    </w:rPr>
                    <w:t> </w:t>
                  </w:r>
                  <w:r>
                    <w:rPr>
                      <w:color w:val="231F20"/>
                    </w:rPr>
                    <w:t>to</w:t>
                  </w:r>
                  <w:r>
                    <w:rPr>
                      <w:color w:val="231F20"/>
                      <w:spacing w:val="-4"/>
                    </w:rPr>
                    <w:t> </w:t>
                  </w:r>
                  <w:r>
                    <w:rPr>
                      <w:color w:val="231F20"/>
                    </w:rPr>
                    <w:t>publish</w:t>
                  </w:r>
                  <w:r>
                    <w:rPr>
                      <w:color w:val="231F20"/>
                      <w:spacing w:val="-4"/>
                    </w:rPr>
                    <w:t> </w:t>
                  </w:r>
                  <w:r>
                    <w:rPr>
                      <w:color w:val="231F20"/>
                    </w:rPr>
                    <w:t>an</w:t>
                  </w:r>
                  <w:r>
                    <w:rPr>
                      <w:color w:val="231F20"/>
                      <w:spacing w:val="-4"/>
                    </w:rPr>
                    <w:t> </w:t>
                  </w:r>
                  <w:r>
                    <w:rPr>
                      <w:color w:val="231F20"/>
                    </w:rPr>
                    <w:t>annual</w:t>
                  </w:r>
                  <w:r>
                    <w:rPr>
                      <w:color w:val="231F20"/>
                      <w:spacing w:val="-4"/>
                    </w:rPr>
                    <w:t> </w:t>
                  </w:r>
                  <w:r>
                    <w:rPr>
                      <w:color w:val="231F20"/>
                    </w:rPr>
                    <w:t>narrative</w:t>
                  </w:r>
                  <w:r>
                    <w:rPr>
                      <w:color w:val="231F20"/>
                      <w:spacing w:val="-4"/>
                    </w:rPr>
                    <w:t> </w:t>
                  </w:r>
                  <w:r>
                    <w:rPr>
                      <w:color w:val="231F20"/>
                    </w:rPr>
                    <w:t>report to accompany its Statement of Accounts. The purpose of the narrative report is to comment on the Council’s financial performance and economy, efficiency and effectiveness in its use of resources over</w:t>
                  </w:r>
                </w:p>
                <w:p>
                  <w:pPr>
                    <w:pStyle w:val="BodyText"/>
                    <w:spacing w:line="225" w:lineRule="auto"/>
                    <w:ind w:left="830" w:right="171"/>
                    <w:rPr>
                      <w:color w:val="000000"/>
                    </w:rPr>
                  </w:pPr>
                  <w:r>
                    <w:rPr>
                      <w:color w:val="231F20"/>
                    </w:rPr>
                    <w:t>the financial year. The Narrative Report summarises what Ashfield District</w:t>
                  </w:r>
                  <w:r>
                    <w:rPr>
                      <w:color w:val="231F20"/>
                      <w:spacing w:val="-4"/>
                    </w:rPr>
                    <w:t> </w:t>
                  </w:r>
                  <w:r>
                    <w:rPr>
                      <w:color w:val="231F20"/>
                    </w:rPr>
                    <w:t>Council</w:t>
                  </w:r>
                  <w:r>
                    <w:rPr>
                      <w:color w:val="231F20"/>
                      <w:spacing w:val="-4"/>
                    </w:rPr>
                    <w:t> </w:t>
                  </w:r>
                  <w:r>
                    <w:rPr>
                      <w:color w:val="231F20"/>
                    </w:rPr>
                    <w:t>spent</w:t>
                  </w:r>
                  <w:r>
                    <w:rPr>
                      <w:color w:val="231F20"/>
                      <w:spacing w:val="-4"/>
                    </w:rPr>
                    <w:t> </w:t>
                  </w:r>
                  <w:r>
                    <w:rPr>
                      <w:color w:val="231F20"/>
                    </w:rPr>
                    <w:t>in</w:t>
                  </w:r>
                  <w:r>
                    <w:rPr>
                      <w:color w:val="231F20"/>
                      <w:spacing w:val="-4"/>
                    </w:rPr>
                    <w:t> </w:t>
                  </w:r>
                  <w:r>
                    <w:rPr>
                      <w:color w:val="231F20"/>
                    </w:rPr>
                    <w:t>2022/23,</w:t>
                  </w:r>
                  <w:r>
                    <w:rPr>
                      <w:color w:val="231F20"/>
                      <w:spacing w:val="-4"/>
                    </w:rPr>
                    <w:t> </w:t>
                  </w:r>
                  <w:r>
                    <w:rPr>
                      <w:color w:val="231F20"/>
                    </w:rPr>
                    <w:t>how</w:t>
                  </w:r>
                  <w:r>
                    <w:rPr>
                      <w:color w:val="231F20"/>
                      <w:spacing w:val="-3"/>
                    </w:rPr>
                    <w:t> </w:t>
                  </w:r>
                  <w:r>
                    <w:rPr>
                      <w:color w:val="231F20"/>
                    </w:rPr>
                    <w:t>it</w:t>
                  </w:r>
                  <w:r>
                    <w:rPr>
                      <w:color w:val="231F20"/>
                      <w:spacing w:val="-4"/>
                    </w:rPr>
                    <w:t> </w:t>
                  </w:r>
                  <w:r>
                    <w:rPr>
                      <w:color w:val="231F20"/>
                    </w:rPr>
                    <w:t>was</w:t>
                  </w:r>
                  <w:r>
                    <w:rPr>
                      <w:color w:val="231F20"/>
                      <w:spacing w:val="-3"/>
                    </w:rPr>
                    <w:t> </w:t>
                  </w:r>
                  <w:r>
                    <w:rPr>
                      <w:color w:val="231F20"/>
                    </w:rPr>
                    <w:t>spent</w:t>
                  </w:r>
                  <w:r>
                    <w:rPr>
                      <w:color w:val="231F20"/>
                      <w:spacing w:val="-4"/>
                    </w:rPr>
                    <w:t> </w:t>
                  </w:r>
                  <w:r>
                    <w:rPr>
                      <w:color w:val="231F20"/>
                    </w:rPr>
                    <w:t>and</w:t>
                  </w:r>
                  <w:r>
                    <w:rPr>
                      <w:color w:val="231F20"/>
                      <w:spacing w:val="-3"/>
                    </w:rPr>
                    <w:t> </w:t>
                  </w:r>
                  <w:r>
                    <w:rPr>
                      <w:color w:val="231F20"/>
                    </w:rPr>
                    <w:t>what</w:t>
                  </w:r>
                  <w:r>
                    <w:rPr>
                      <w:color w:val="231F20"/>
                      <w:spacing w:val="-3"/>
                    </w:rPr>
                    <w:t> </w:t>
                  </w:r>
                  <w:r>
                    <w:rPr>
                      <w:color w:val="231F20"/>
                    </w:rPr>
                    <w:t>has</w:t>
                  </w:r>
                  <w:r>
                    <w:rPr>
                      <w:color w:val="231F20"/>
                      <w:spacing w:val="-3"/>
                    </w:rPr>
                    <w:t> </w:t>
                  </w:r>
                  <w:r>
                    <w:rPr>
                      <w:color w:val="231F20"/>
                    </w:rPr>
                    <w:t>been achieved in line with the Corporate Priorities. It provides a narrative context</w:t>
                  </w:r>
                  <w:r>
                    <w:rPr>
                      <w:color w:val="231F20"/>
                      <w:spacing w:val="-2"/>
                    </w:rPr>
                    <w:t> </w:t>
                  </w:r>
                  <w:r>
                    <w:rPr>
                      <w:color w:val="231F20"/>
                    </w:rPr>
                    <w:t>to</w:t>
                  </w:r>
                  <w:r>
                    <w:rPr>
                      <w:color w:val="231F20"/>
                      <w:spacing w:val="-2"/>
                    </w:rPr>
                    <w:t> </w:t>
                  </w:r>
                  <w:r>
                    <w:rPr>
                      <w:color w:val="231F20"/>
                    </w:rPr>
                    <w:t>the</w:t>
                  </w:r>
                  <w:r>
                    <w:rPr>
                      <w:color w:val="231F20"/>
                      <w:spacing w:val="-2"/>
                    </w:rPr>
                    <w:t> </w:t>
                  </w:r>
                  <w:r>
                    <w:rPr>
                      <w:color w:val="231F20"/>
                    </w:rPr>
                    <w:t>accounts</w:t>
                  </w:r>
                  <w:r>
                    <w:rPr>
                      <w:color w:val="231F20"/>
                      <w:spacing w:val="-2"/>
                    </w:rPr>
                    <w:t> </w:t>
                  </w:r>
                  <w:r>
                    <w:rPr>
                      <w:color w:val="231F20"/>
                    </w:rPr>
                    <w:t>by</w:t>
                  </w:r>
                  <w:r>
                    <w:rPr>
                      <w:color w:val="231F20"/>
                      <w:spacing w:val="-2"/>
                    </w:rPr>
                    <w:t> </w:t>
                  </w:r>
                  <w:r>
                    <w:rPr>
                      <w:color w:val="231F20"/>
                    </w:rPr>
                    <w:t>presenting</w:t>
                  </w:r>
                  <w:r>
                    <w:rPr>
                      <w:color w:val="231F20"/>
                      <w:spacing w:val="-2"/>
                    </w:rPr>
                    <w:t> </w:t>
                  </w:r>
                  <w:r>
                    <w:rPr>
                      <w:color w:val="231F20"/>
                    </w:rPr>
                    <w:t>a</w:t>
                  </w:r>
                  <w:r>
                    <w:rPr>
                      <w:color w:val="231F20"/>
                      <w:spacing w:val="-2"/>
                    </w:rPr>
                    <w:t> </w:t>
                  </w:r>
                  <w:r>
                    <w:rPr>
                      <w:color w:val="231F20"/>
                    </w:rPr>
                    <w:t>clear</w:t>
                  </w:r>
                  <w:r>
                    <w:rPr>
                      <w:color w:val="231F20"/>
                      <w:spacing w:val="-2"/>
                    </w:rPr>
                    <w:t> </w:t>
                  </w:r>
                  <w:r>
                    <w:rPr>
                      <w:color w:val="231F20"/>
                    </w:rPr>
                    <w:t>and</w:t>
                  </w:r>
                  <w:r>
                    <w:rPr>
                      <w:color w:val="231F20"/>
                      <w:spacing w:val="-2"/>
                    </w:rPr>
                    <w:t> </w:t>
                  </w:r>
                  <w:r>
                    <w:rPr>
                      <w:color w:val="231F20"/>
                    </w:rPr>
                    <w:t>simple</w:t>
                  </w:r>
                  <w:r>
                    <w:rPr>
                      <w:color w:val="231F20"/>
                      <w:spacing w:val="-3"/>
                    </w:rPr>
                    <w:t> </w:t>
                  </w:r>
                  <w:r>
                    <w:rPr>
                      <w:color w:val="231F20"/>
                    </w:rPr>
                    <w:t>summary</w:t>
                  </w:r>
                  <w:r>
                    <w:rPr>
                      <w:color w:val="231F20"/>
                      <w:spacing w:val="-3"/>
                    </w:rPr>
                    <w:t> </w:t>
                  </w:r>
                  <w:r>
                    <w:rPr>
                      <w:color w:val="231F20"/>
                    </w:rPr>
                    <w:t>for residents,</w:t>
                  </w:r>
                  <w:r>
                    <w:rPr>
                      <w:color w:val="231F20"/>
                      <w:spacing w:val="-4"/>
                    </w:rPr>
                    <w:t> </w:t>
                  </w:r>
                  <w:r>
                    <w:rPr>
                      <w:color w:val="231F20"/>
                    </w:rPr>
                    <w:t>of</w:t>
                  </w:r>
                  <w:r>
                    <w:rPr>
                      <w:color w:val="231F20"/>
                      <w:spacing w:val="-4"/>
                    </w:rPr>
                    <w:t> </w:t>
                  </w:r>
                  <w:r>
                    <w:rPr>
                      <w:color w:val="231F20"/>
                    </w:rPr>
                    <w:t>Ashfield’s</w:t>
                  </w:r>
                  <w:r>
                    <w:rPr>
                      <w:color w:val="231F20"/>
                      <w:spacing w:val="-4"/>
                    </w:rPr>
                    <w:t> </w:t>
                  </w:r>
                  <w:r>
                    <w:rPr>
                      <w:color w:val="231F20"/>
                    </w:rPr>
                    <w:t>financial</w:t>
                  </w:r>
                  <w:r>
                    <w:rPr>
                      <w:color w:val="231F20"/>
                      <w:spacing w:val="-4"/>
                    </w:rPr>
                    <w:t> </w:t>
                  </w:r>
                  <w:r>
                    <w:rPr>
                      <w:color w:val="231F20"/>
                    </w:rPr>
                    <w:t>position</w:t>
                  </w:r>
                  <w:r>
                    <w:rPr>
                      <w:color w:val="231F20"/>
                      <w:spacing w:val="-4"/>
                    </w:rPr>
                    <w:t> </w:t>
                  </w:r>
                  <w:r>
                    <w:rPr>
                      <w:color w:val="231F20"/>
                    </w:rPr>
                    <w:t>and</w:t>
                  </w:r>
                  <w:r>
                    <w:rPr>
                      <w:color w:val="231F20"/>
                      <w:spacing w:val="-4"/>
                    </w:rPr>
                    <w:t> </w:t>
                  </w:r>
                  <w:r>
                    <w:rPr>
                      <w:color w:val="231F20"/>
                    </w:rPr>
                    <w:t>performance</w:t>
                  </w:r>
                  <w:r>
                    <w:rPr>
                      <w:color w:val="231F20"/>
                      <w:spacing w:val="-4"/>
                    </w:rPr>
                    <w:t> </w:t>
                  </w:r>
                  <w:r>
                    <w:rPr>
                      <w:color w:val="231F20"/>
                    </w:rPr>
                    <w:t>for</w:t>
                  </w:r>
                  <w:r>
                    <w:rPr>
                      <w:color w:val="231F20"/>
                      <w:spacing w:val="-4"/>
                    </w:rPr>
                    <w:t> </w:t>
                  </w:r>
                  <w:r>
                    <w:rPr>
                      <w:color w:val="231F20"/>
                    </w:rPr>
                    <w:t>the</w:t>
                  </w:r>
                  <w:r>
                    <w:rPr>
                      <w:color w:val="231F20"/>
                      <w:spacing w:val="-4"/>
                    </w:rPr>
                    <w:t> </w:t>
                  </w:r>
                  <w:r>
                    <w:rPr>
                      <w:color w:val="231F20"/>
                    </w:rPr>
                    <w:t>year and its prospects for future years.</w:t>
                  </w:r>
                </w:p>
              </w:txbxContent>
            </v:textbox>
            <v:fill type="solid"/>
            <v:stroke dashstyle="solid"/>
          </v:shape>
        </w:pict>
      </w:r>
      <w:r>
        <w:rPr>
          <w:sz w:val="20"/>
        </w:rPr>
      </w:r>
    </w:p>
    <w:p>
      <w:pPr>
        <w:pStyle w:val="BodyText"/>
        <w:rPr>
          <w:sz w:val="20"/>
        </w:rPr>
      </w:pPr>
    </w:p>
    <w:p>
      <w:pPr>
        <w:pStyle w:val="BodyText"/>
        <w:spacing w:before="11"/>
        <w:rPr>
          <w:sz w:val="17"/>
        </w:rPr>
      </w:pPr>
    </w:p>
    <w:p>
      <w:pPr>
        <w:tabs>
          <w:tab w:pos="11122" w:val="left" w:leader="none"/>
        </w:tabs>
        <w:spacing w:before="99"/>
        <w:ind w:left="5470" w:right="0" w:firstLine="0"/>
        <w:jc w:val="left"/>
        <w:rPr>
          <w:rFonts w:ascii="Poppins ExtraBold"/>
          <w:b/>
          <w:sz w:val="24"/>
        </w:rPr>
      </w:pPr>
      <w:r>
        <w:rPr>
          <w:rFonts w:ascii="Segoe UI Black"/>
          <w:b/>
          <w:color w:val="FFFFFF"/>
          <w:position w:val="1"/>
          <w:sz w:val="24"/>
        </w:rPr>
        <w:t>DRAFT</w:t>
      </w:r>
      <w:r>
        <w:rPr>
          <w:rFonts w:ascii="Segoe UI Black"/>
          <w:b/>
          <w:color w:val="FFFFFF"/>
          <w:spacing w:val="-4"/>
          <w:position w:val="1"/>
          <w:sz w:val="24"/>
        </w:rPr>
        <w:t> </w:t>
      </w:r>
      <w:r>
        <w:rPr>
          <w:rFonts w:ascii="Segoe UI Black"/>
          <w:b/>
          <w:color w:val="FFFFFF"/>
          <w:position w:val="1"/>
          <w:sz w:val="24"/>
        </w:rPr>
        <w:t>STATEMENT</w:t>
      </w:r>
      <w:r>
        <w:rPr>
          <w:rFonts w:ascii="Segoe UI Black"/>
          <w:b/>
          <w:color w:val="FFFFFF"/>
          <w:spacing w:val="-1"/>
          <w:position w:val="1"/>
          <w:sz w:val="24"/>
        </w:rPr>
        <w:t> </w:t>
      </w:r>
      <w:r>
        <w:rPr>
          <w:rFonts w:ascii="Segoe UI Black"/>
          <w:b/>
          <w:color w:val="FFFFFF"/>
          <w:position w:val="1"/>
          <w:sz w:val="24"/>
        </w:rPr>
        <w:t>OF</w:t>
      </w:r>
      <w:r>
        <w:rPr>
          <w:rFonts w:ascii="Segoe UI Black"/>
          <w:b/>
          <w:color w:val="FFFFFF"/>
          <w:spacing w:val="-2"/>
          <w:position w:val="1"/>
          <w:sz w:val="24"/>
        </w:rPr>
        <w:t> </w:t>
      </w:r>
      <w:r>
        <w:rPr>
          <w:rFonts w:ascii="Segoe UI Black"/>
          <w:b/>
          <w:color w:val="FFFFFF"/>
          <w:position w:val="1"/>
          <w:sz w:val="24"/>
        </w:rPr>
        <w:t>ACCOUNTS</w:t>
      </w:r>
      <w:r>
        <w:rPr>
          <w:rFonts w:ascii="Segoe UI Black"/>
          <w:b/>
          <w:color w:val="FFFFFF"/>
          <w:spacing w:val="-3"/>
          <w:position w:val="1"/>
          <w:sz w:val="24"/>
        </w:rPr>
        <w:t> </w:t>
      </w:r>
      <w:r>
        <w:rPr>
          <w:rFonts w:ascii="Segoe UI Semibold"/>
          <w:b/>
          <w:color w:val="FFFFFF"/>
          <w:position w:val="1"/>
          <w:sz w:val="24"/>
        </w:rPr>
        <w:t>2022</w:t>
      </w:r>
      <w:r>
        <w:rPr>
          <w:rFonts w:ascii="Segoe UI Semibold"/>
          <w:b/>
          <w:color w:val="FFFFFF"/>
          <w:position w:val="2"/>
          <w:sz w:val="24"/>
        </w:rPr>
        <w:t>-</w:t>
      </w:r>
      <w:r>
        <w:rPr>
          <w:rFonts w:ascii="Segoe UI Semibold"/>
          <w:b/>
          <w:color w:val="FFFFFF"/>
          <w:spacing w:val="-4"/>
          <w:position w:val="1"/>
          <w:sz w:val="24"/>
        </w:rPr>
        <w:t>2023</w:t>
      </w:r>
      <w:r>
        <w:rPr>
          <w:rFonts w:ascii="Segoe UI Semibold"/>
          <w:b/>
          <w:color w:val="FFFFFF"/>
          <w:position w:val="1"/>
          <w:sz w:val="24"/>
        </w:rPr>
        <w:tab/>
      </w:r>
      <w:r>
        <w:rPr>
          <w:rFonts w:ascii="Poppins ExtraBold"/>
          <w:b/>
          <w:color w:val="FFFFFF"/>
          <w:spacing w:val="-10"/>
          <w:sz w:val="24"/>
        </w:rPr>
        <w:t>3</w:t>
      </w:r>
    </w:p>
    <w:p>
      <w:pPr>
        <w:spacing w:after="0"/>
        <w:jc w:val="left"/>
        <w:rPr>
          <w:rFonts w:ascii="Poppins ExtraBold"/>
          <w:sz w:val="24"/>
        </w:rPr>
        <w:sectPr>
          <w:headerReference w:type="default" r:id="rId13"/>
          <w:footerReference w:type="default" r:id="rId14"/>
          <w:pgSz w:w="11910" w:h="16840"/>
          <w:pgMar w:header="0" w:footer="0" w:top="1920" w:bottom="0" w:left="0" w:right="0"/>
        </w:sectPr>
      </w:pPr>
    </w:p>
    <w:p>
      <w:pPr>
        <w:pStyle w:val="BodyText"/>
        <w:rPr>
          <w:rFonts w:ascii="Poppins ExtraBold"/>
          <w:b/>
          <w:sz w:val="20"/>
        </w:rPr>
      </w:pPr>
    </w:p>
    <w:p>
      <w:pPr>
        <w:pStyle w:val="BodyText"/>
        <w:spacing w:before="11"/>
        <w:rPr>
          <w:rFonts w:ascii="Poppins ExtraBold"/>
          <w:b/>
          <w:sz w:val="28"/>
        </w:rPr>
      </w:pPr>
    </w:p>
    <w:p>
      <w:pPr>
        <w:spacing w:line="699" w:lineRule="exact" w:before="100"/>
        <w:ind w:left="564" w:right="0" w:firstLine="0"/>
        <w:jc w:val="left"/>
        <w:rPr>
          <w:sz w:val="60"/>
        </w:rPr>
      </w:pPr>
      <w:r>
        <w:rPr/>
        <w:pict>
          <v:group style="position:absolute;margin-left:0pt;margin-top:-30.60227pt;width:595.3pt;height:144.050pt;mso-position-horizontal-relative:page;mso-position-vertical-relative:paragraph;z-index:-16878080" id="docshapegroup26" coordorigin="0,-612" coordsize="11906,2881">
            <v:rect style="position:absolute;left:0;top:833;width:11906;height:1435" id="docshape27" filled="true" fillcolor="#c9cbd4" stroked="false">
              <v:fill type="solid"/>
            </v:rect>
            <v:shape style="position:absolute;left:8920;top:-593;width:2399;height:2313" type="#_x0000_t75" id="docshape28" stroked="false">
              <v:imagedata r:id="rId18" o:title=""/>
            </v:shape>
            <v:rect style="position:absolute;left:8920;top:-593;width:2399;height:2313" id="docshape29" filled="false" stroked="true" strokeweight="2pt" strokecolor="#ffffff">
              <v:stroke dashstyle="solid"/>
            </v:rect>
            <w10:wrap type="none"/>
          </v:group>
        </w:pict>
      </w:r>
      <w:r>
        <w:rPr>
          <w:b/>
          <w:color w:val="3B5673"/>
          <w:sz w:val="60"/>
        </w:rPr>
        <w:t>2.</w:t>
      </w:r>
      <w:r>
        <w:rPr>
          <w:b/>
          <w:color w:val="3B5673"/>
          <w:spacing w:val="9"/>
          <w:sz w:val="60"/>
        </w:rPr>
        <w:t> </w:t>
      </w:r>
      <w:r>
        <w:rPr>
          <w:color w:val="3B5673"/>
          <w:spacing w:val="15"/>
          <w:sz w:val="60"/>
        </w:rPr>
        <w:t>COUNCIL</w:t>
      </w:r>
      <w:r>
        <w:rPr>
          <w:color w:val="3B5673"/>
          <w:spacing w:val="22"/>
          <w:sz w:val="60"/>
        </w:rPr>
        <w:t> </w:t>
      </w:r>
      <w:r>
        <w:rPr>
          <w:color w:val="3B5673"/>
          <w:spacing w:val="13"/>
          <w:sz w:val="60"/>
        </w:rPr>
        <w:t>LEADER’S</w:t>
      </w:r>
    </w:p>
    <w:p>
      <w:pPr>
        <w:pStyle w:val="Heading1"/>
        <w:ind w:left="4696"/>
      </w:pPr>
      <w:r>
        <w:rPr>
          <w:color w:val="3B5673"/>
          <w:spacing w:val="12"/>
        </w:rPr>
        <w:t>PREFACE</w:t>
      </w:r>
    </w:p>
    <w:p>
      <w:pPr>
        <w:pStyle w:val="BodyText"/>
        <w:spacing w:before="11"/>
        <w:rPr>
          <w:b/>
          <w:sz w:val="28"/>
        </w:rPr>
      </w:pPr>
    </w:p>
    <w:p>
      <w:pPr>
        <w:spacing w:after="0"/>
        <w:rPr>
          <w:sz w:val="28"/>
        </w:rPr>
        <w:sectPr>
          <w:headerReference w:type="default" r:id="rId16"/>
          <w:footerReference w:type="default" r:id="rId17"/>
          <w:pgSz w:w="11910" w:h="16840"/>
          <w:pgMar w:header="377" w:footer="367" w:top="560" w:bottom="560" w:left="0" w:right="0"/>
          <w:pgNumType w:start="4"/>
        </w:sectPr>
      </w:pPr>
    </w:p>
    <w:p>
      <w:pPr>
        <w:pStyle w:val="BodyText"/>
        <w:rPr>
          <w:b/>
          <w:sz w:val="32"/>
        </w:rPr>
      </w:pPr>
    </w:p>
    <w:p>
      <w:pPr>
        <w:pStyle w:val="BodyText"/>
        <w:spacing w:before="7"/>
        <w:rPr>
          <w:b/>
          <w:sz w:val="37"/>
        </w:rPr>
      </w:pPr>
    </w:p>
    <w:p>
      <w:pPr>
        <w:spacing w:line="225" w:lineRule="auto" w:before="0"/>
        <w:ind w:left="566" w:right="7" w:firstLine="0"/>
        <w:jc w:val="left"/>
        <w:rPr>
          <w:b/>
          <w:sz w:val="24"/>
        </w:rPr>
      </w:pPr>
      <w:r>
        <w:rPr>
          <w:b/>
          <w:color w:val="3B5673"/>
          <w:sz w:val="24"/>
        </w:rPr>
        <w:t>2022/23 has been a difficult year for all – our </w:t>
      </w:r>
      <w:r>
        <w:rPr>
          <w:b/>
          <w:color w:val="3B5673"/>
          <w:spacing w:val="-2"/>
          <w:sz w:val="24"/>
        </w:rPr>
        <w:t>residents,</w:t>
      </w:r>
      <w:r>
        <w:rPr>
          <w:b/>
          <w:color w:val="3B5673"/>
          <w:spacing w:val="-11"/>
          <w:sz w:val="24"/>
        </w:rPr>
        <w:t> </w:t>
      </w:r>
      <w:r>
        <w:rPr>
          <w:b/>
          <w:color w:val="3B5673"/>
          <w:spacing w:val="-2"/>
          <w:sz w:val="24"/>
        </w:rPr>
        <w:t>businesses</w:t>
      </w:r>
      <w:r>
        <w:rPr>
          <w:b/>
          <w:color w:val="3B5673"/>
          <w:spacing w:val="-11"/>
          <w:sz w:val="24"/>
        </w:rPr>
        <w:t> </w:t>
      </w:r>
      <w:r>
        <w:rPr>
          <w:b/>
          <w:color w:val="3B5673"/>
          <w:spacing w:val="-2"/>
          <w:sz w:val="24"/>
        </w:rPr>
        <w:t>and</w:t>
      </w:r>
      <w:r>
        <w:rPr>
          <w:b/>
          <w:color w:val="3B5673"/>
          <w:spacing w:val="-11"/>
          <w:sz w:val="24"/>
        </w:rPr>
        <w:t> </w:t>
      </w:r>
      <w:r>
        <w:rPr>
          <w:b/>
          <w:color w:val="3B5673"/>
          <w:spacing w:val="-2"/>
          <w:sz w:val="24"/>
        </w:rPr>
        <w:t>the</w:t>
      </w:r>
      <w:r>
        <w:rPr>
          <w:b/>
          <w:color w:val="3B5673"/>
          <w:spacing w:val="-11"/>
          <w:sz w:val="24"/>
        </w:rPr>
        <w:t> </w:t>
      </w:r>
      <w:r>
        <w:rPr>
          <w:b/>
          <w:color w:val="3B5673"/>
          <w:spacing w:val="-2"/>
          <w:sz w:val="24"/>
        </w:rPr>
        <w:t>Council</w:t>
      </w:r>
      <w:r>
        <w:rPr>
          <w:b/>
          <w:color w:val="3B5673"/>
          <w:spacing w:val="-11"/>
          <w:sz w:val="24"/>
        </w:rPr>
        <w:t> </w:t>
      </w:r>
      <w:r>
        <w:rPr>
          <w:b/>
          <w:color w:val="3B5673"/>
          <w:spacing w:val="-2"/>
          <w:sz w:val="24"/>
        </w:rPr>
        <w:t>itself</w:t>
      </w:r>
      <w:r>
        <w:rPr>
          <w:b/>
          <w:color w:val="3B5673"/>
          <w:spacing w:val="-11"/>
          <w:sz w:val="24"/>
        </w:rPr>
        <w:t> </w:t>
      </w:r>
      <w:r>
        <w:rPr>
          <w:b/>
          <w:color w:val="3B5673"/>
          <w:spacing w:val="-2"/>
          <w:sz w:val="24"/>
        </w:rPr>
        <w:t>-</w:t>
      </w:r>
      <w:r>
        <w:rPr>
          <w:b/>
          <w:color w:val="3B5673"/>
          <w:spacing w:val="-11"/>
          <w:sz w:val="24"/>
        </w:rPr>
        <w:t> </w:t>
      </w:r>
      <w:r>
        <w:rPr>
          <w:b/>
          <w:color w:val="3B5673"/>
          <w:spacing w:val="-2"/>
          <w:sz w:val="24"/>
        </w:rPr>
        <w:t>as </w:t>
      </w:r>
      <w:r>
        <w:rPr>
          <w:b/>
          <w:color w:val="3B5673"/>
          <w:sz w:val="24"/>
        </w:rPr>
        <w:t>a</w:t>
      </w:r>
      <w:r>
        <w:rPr>
          <w:b/>
          <w:color w:val="3B5673"/>
          <w:spacing w:val="-11"/>
          <w:sz w:val="24"/>
        </w:rPr>
        <w:t> </w:t>
      </w:r>
      <w:r>
        <w:rPr>
          <w:b/>
          <w:color w:val="3B5673"/>
          <w:sz w:val="24"/>
        </w:rPr>
        <w:t>consequence</w:t>
      </w:r>
      <w:r>
        <w:rPr>
          <w:b/>
          <w:color w:val="3B5673"/>
          <w:spacing w:val="-11"/>
          <w:sz w:val="24"/>
        </w:rPr>
        <w:t> </w:t>
      </w:r>
      <w:r>
        <w:rPr>
          <w:b/>
          <w:color w:val="3B5673"/>
          <w:sz w:val="24"/>
        </w:rPr>
        <w:t>of</w:t>
      </w:r>
      <w:r>
        <w:rPr>
          <w:b/>
          <w:color w:val="3B5673"/>
          <w:spacing w:val="-11"/>
          <w:sz w:val="24"/>
        </w:rPr>
        <w:t> </w:t>
      </w:r>
      <w:r>
        <w:rPr>
          <w:b/>
          <w:color w:val="3B5673"/>
          <w:sz w:val="24"/>
        </w:rPr>
        <w:t>the</w:t>
      </w:r>
      <w:r>
        <w:rPr>
          <w:b/>
          <w:color w:val="3B5673"/>
          <w:spacing w:val="-11"/>
          <w:sz w:val="24"/>
        </w:rPr>
        <w:t> </w:t>
      </w:r>
      <w:r>
        <w:rPr>
          <w:b/>
          <w:color w:val="3B5673"/>
          <w:sz w:val="24"/>
        </w:rPr>
        <w:t>unprecedented</w:t>
      </w:r>
      <w:r>
        <w:rPr>
          <w:b/>
          <w:color w:val="3B5673"/>
          <w:spacing w:val="-11"/>
          <w:sz w:val="24"/>
        </w:rPr>
        <w:t> </w:t>
      </w:r>
      <w:r>
        <w:rPr>
          <w:b/>
          <w:color w:val="3B5673"/>
          <w:sz w:val="24"/>
        </w:rPr>
        <w:t>levels</w:t>
      </w:r>
      <w:r>
        <w:rPr>
          <w:b/>
          <w:color w:val="3B5673"/>
          <w:spacing w:val="-11"/>
          <w:sz w:val="24"/>
        </w:rPr>
        <w:t> </w:t>
      </w:r>
      <w:r>
        <w:rPr>
          <w:b/>
          <w:color w:val="3B5673"/>
          <w:sz w:val="24"/>
        </w:rPr>
        <w:t>of inflation in the economy which have caused the cost of living crisis. However, despite</w:t>
      </w:r>
    </w:p>
    <w:p>
      <w:pPr>
        <w:spacing w:line="225" w:lineRule="auto" w:before="0"/>
        <w:ind w:left="566" w:right="135" w:firstLine="0"/>
        <w:jc w:val="left"/>
        <w:rPr>
          <w:b/>
          <w:sz w:val="24"/>
        </w:rPr>
      </w:pPr>
      <w:r>
        <w:rPr>
          <w:b/>
          <w:color w:val="3B5673"/>
          <w:sz w:val="24"/>
        </w:rPr>
        <w:t>this, 2022/23 has still proved to be a very </w:t>
      </w:r>
      <w:r>
        <w:rPr>
          <w:b/>
          <w:color w:val="3B5673"/>
          <w:spacing w:val="-2"/>
          <w:sz w:val="24"/>
        </w:rPr>
        <w:t>successful</w:t>
      </w:r>
      <w:r>
        <w:rPr>
          <w:b/>
          <w:color w:val="3B5673"/>
          <w:spacing w:val="-11"/>
          <w:sz w:val="24"/>
        </w:rPr>
        <w:t> </w:t>
      </w:r>
      <w:r>
        <w:rPr>
          <w:b/>
          <w:color w:val="3B5673"/>
          <w:spacing w:val="-2"/>
          <w:sz w:val="24"/>
        </w:rPr>
        <w:t>year</w:t>
      </w:r>
      <w:r>
        <w:rPr>
          <w:b/>
          <w:color w:val="3B5673"/>
          <w:spacing w:val="-11"/>
          <w:sz w:val="24"/>
        </w:rPr>
        <w:t> </w:t>
      </w:r>
      <w:r>
        <w:rPr>
          <w:b/>
          <w:color w:val="3B5673"/>
          <w:spacing w:val="-2"/>
          <w:sz w:val="24"/>
        </w:rPr>
        <w:t>for</w:t>
      </w:r>
      <w:r>
        <w:rPr>
          <w:b/>
          <w:color w:val="3B5673"/>
          <w:spacing w:val="-11"/>
          <w:sz w:val="24"/>
        </w:rPr>
        <w:t> </w:t>
      </w:r>
      <w:r>
        <w:rPr>
          <w:b/>
          <w:color w:val="3B5673"/>
          <w:spacing w:val="-2"/>
          <w:sz w:val="24"/>
        </w:rPr>
        <w:t>the</w:t>
      </w:r>
      <w:r>
        <w:rPr>
          <w:b/>
          <w:color w:val="3B5673"/>
          <w:spacing w:val="-11"/>
          <w:sz w:val="24"/>
        </w:rPr>
        <w:t> </w:t>
      </w:r>
      <w:r>
        <w:rPr>
          <w:b/>
          <w:color w:val="3B5673"/>
          <w:spacing w:val="-2"/>
          <w:sz w:val="24"/>
        </w:rPr>
        <w:t>Council</w:t>
      </w:r>
      <w:r>
        <w:rPr>
          <w:b/>
          <w:color w:val="3B5673"/>
          <w:spacing w:val="-11"/>
          <w:sz w:val="24"/>
        </w:rPr>
        <w:t> </w:t>
      </w:r>
      <w:r>
        <w:rPr>
          <w:b/>
          <w:color w:val="3B5673"/>
          <w:spacing w:val="-2"/>
          <w:sz w:val="24"/>
        </w:rPr>
        <w:t>both</w:t>
      </w:r>
      <w:r>
        <w:rPr>
          <w:b/>
          <w:color w:val="3B5673"/>
          <w:spacing w:val="-11"/>
          <w:sz w:val="24"/>
        </w:rPr>
        <w:t> </w:t>
      </w:r>
      <w:r>
        <w:rPr>
          <w:b/>
          <w:color w:val="3B5673"/>
          <w:spacing w:val="-2"/>
          <w:sz w:val="24"/>
        </w:rPr>
        <w:t>in</w:t>
      </w:r>
      <w:r>
        <w:rPr>
          <w:b/>
          <w:color w:val="3B5673"/>
          <w:spacing w:val="-11"/>
          <w:sz w:val="24"/>
        </w:rPr>
        <w:t> </w:t>
      </w:r>
      <w:r>
        <w:rPr>
          <w:b/>
          <w:color w:val="3B5673"/>
          <w:spacing w:val="-2"/>
          <w:sz w:val="24"/>
        </w:rPr>
        <w:t>terms </w:t>
      </w:r>
      <w:r>
        <w:rPr>
          <w:b/>
          <w:color w:val="3B5673"/>
          <w:sz w:val="24"/>
        </w:rPr>
        <w:t>of</w:t>
      </w:r>
      <w:r>
        <w:rPr>
          <w:b/>
          <w:color w:val="3B5673"/>
          <w:spacing w:val="-7"/>
          <w:sz w:val="24"/>
        </w:rPr>
        <w:t> </w:t>
      </w:r>
      <w:r>
        <w:rPr>
          <w:b/>
          <w:color w:val="3B5673"/>
          <w:sz w:val="24"/>
        </w:rPr>
        <w:t>maintaining</w:t>
      </w:r>
      <w:r>
        <w:rPr>
          <w:b/>
          <w:color w:val="3B5673"/>
          <w:spacing w:val="-7"/>
          <w:sz w:val="24"/>
        </w:rPr>
        <w:t> </w:t>
      </w:r>
      <w:r>
        <w:rPr>
          <w:b/>
          <w:color w:val="3B5673"/>
          <w:sz w:val="24"/>
        </w:rPr>
        <w:t>high</w:t>
      </w:r>
      <w:r>
        <w:rPr>
          <w:b/>
          <w:color w:val="3B5673"/>
          <w:spacing w:val="-7"/>
          <w:sz w:val="24"/>
        </w:rPr>
        <w:t> </w:t>
      </w:r>
      <w:r>
        <w:rPr>
          <w:b/>
          <w:color w:val="3B5673"/>
          <w:sz w:val="24"/>
        </w:rPr>
        <w:t>quality</w:t>
      </w:r>
      <w:r>
        <w:rPr>
          <w:b/>
          <w:color w:val="3B5673"/>
          <w:spacing w:val="-7"/>
          <w:sz w:val="24"/>
        </w:rPr>
        <w:t> </w:t>
      </w:r>
      <w:r>
        <w:rPr>
          <w:b/>
          <w:color w:val="3B5673"/>
          <w:sz w:val="24"/>
        </w:rPr>
        <w:t>service</w:t>
      </w:r>
      <w:r>
        <w:rPr>
          <w:b/>
          <w:color w:val="3B5673"/>
          <w:spacing w:val="-7"/>
          <w:sz w:val="24"/>
        </w:rPr>
        <w:t> </w:t>
      </w:r>
      <w:r>
        <w:rPr>
          <w:b/>
          <w:color w:val="3B5673"/>
          <w:sz w:val="24"/>
        </w:rPr>
        <w:t>delivery</w:t>
      </w:r>
    </w:p>
    <w:p>
      <w:pPr>
        <w:spacing w:line="225" w:lineRule="auto" w:before="0"/>
        <w:ind w:left="566" w:right="0" w:firstLine="0"/>
        <w:jc w:val="left"/>
        <w:rPr>
          <w:b/>
          <w:sz w:val="24"/>
        </w:rPr>
      </w:pPr>
      <w:r>
        <w:rPr>
          <w:b/>
          <w:color w:val="3B5673"/>
          <w:spacing w:val="-2"/>
          <w:sz w:val="24"/>
        </w:rPr>
        <w:t>and</w:t>
      </w:r>
      <w:r>
        <w:rPr>
          <w:b/>
          <w:color w:val="3B5673"/>
          <w:spacing w:val="-15"/>
          <w:sz w:val="24"/>
        </w:rPr>
        <w:t> </w:t>
      </w:r>
      <w:r>
        <w:rPr>
          <w:b/>
          <w:color w:val="3B5673"/>
          <w:spacing w:val="-2"/>
          <w:sz w:val="24"/>
        </w:rPr>
        <w:t>continued</w:t>
      </w:r>
      <w:r>
        <w:rPr>
          <w:b/>
          <w:color w:val="3B5673"/>
          <w:spacing w:val="-15"/>
          <w:sz w:val="24"/>
        </w:rPr>
        <w:t> </w:t>
      </w:r>
      <w:r>
        <w:rPr>
          <w:b/>
          <w:color w:val="3B5673"/>
          <w:spacing w:val="-2"/>
          <w:sz w:val="24"/>
        </w:rPr>
        <w:t>effective</w:t>
      </w:r>
      <w:r>
        <w:rPr>
          <w:b/>
          <w:color w:val="3B5673"/>
          <w:spacing w:val="-14"/>
          <w:sz w:val="24"/>
        </w:rPr>
        <w:t> </w:t>
      </w:r>
      <w:r>
        <w:rPr>
          <w:b/>
          <w:color w:val="3B5673"/>
          <w:spacing w:val="-2"/>
          <w:sz w:val="24"/>
        </w:rPr>
        <w:t>financial</w:t>
      </w:r>
      <w:r>
        <w:rPr>
          <w:b/>
          <w:color w:val="3B5673"/>
          <w:spacing w:val="-15"/>
          <w:sz w:val="24"/>
        </w:rPr>
        <w:t> </w:t>
      </w:r>
      <w:r>
        <w:rPr>
          <w:b/>
          <w:color w:val="3B5673"/>
          <w:spacing w:val="-2"/>
          <w:sz w:val="24"/>
        </w:rPr>
        <w:t>management, </w:t>
      </w:r>
      <w:r>
        <w:rPr>
          <w:b/>
          <w:color w:val="3B5673"/>
          <w:sz w:val="24"/>
        </w:rPr>
        <w:t>again delivering services within budget.</w:t>
      </w:r>
    </w:p>
    <w:p>
      <w:pPr>
        <w:pStyle w:val="BodyText"/>
        <w:spacing w:before="6"/>
        <w:rPr>
          <w:b/>
          <w:sz w:val="22"/>
        </w:rPr>
      </w:pPr>
    </w:p>
    <w:p>
      <w:pPr>
        <w:pStyle w:val="BodyText"/>
        <w:spacing w:line="225" w:lineRule="auto"/>
        <w:ind w:left="566" w:right="7"/>
      </w:pPr>
      <w:r>
        <w:rPr>
          <w:color w:val="231F20"/>
        </w:rPr>
        <w:t>This year I am particularly delighted with the progression of the projects in our Capital Programme.</w:t>
      </w:r>
      <w:r>
        <w:rPr>
          <w:color w:val="231F20"/>
          <w:spacing w:val="-7"/>
        </w:rPr>
        <w:t> </w:t>
      </w:r>
      <w:r>
        <w:rPr>
          <w:color w:val="231F20"/>
        </w:rPr>
        <w:t>The</w:t>
      </w:r>
      <w:r>
        <w:rPr>
          <w:color w:val="231F20"/>
          <w:spacing w:val="-6"/>
        </w:rPr>
        <w:t> </w:t>
      </w:r>
      <w:r>
        <w:rPr>
          <w:color w:val="231F20"/>
        </w:rPr>
        <w:t>completion</w:t>
      </w:r>
      <w:r>
        <w:rPr>
          <w:color w:val="231F20"/>
          <w:spacing w:val="-6"/>
        </w:rPr>
        <w:t> </w:t>
      </w:r>
      <w:r>
        <w:rPr>
          <w:color w:val="231F20"/>
        </w:rPr>
        <w:t>and</w:t>
      </w:r>
      <w:r>
        <w:rPr>
          <w:color w:val="231F20"/>
          <w:spacing w:val="-6"/>
        </w:rPr>
        <w:t> </w:t>
      </w:r>
      <w:r>
        <w:rPr>
          <w:color w:val="231F20"/>
        </w:rPr>
        <w:t>opening</w:t>
      </w:r>
      <w:r>
        <w:rPr>
          <w:color w:val="231F20"/>
          <w:spacing w:val="-6"/>
        </w:rPr>
        <w:t> </w:t>
      </w:r>
      <w:r>
        <w:rPr>
          <w:color w:val="231F20"/>
        </w:rPr>
        <w:t>of</w:t>
      </w:r>
      <w:r>
        <w:rPr>
          <w:color w:val="231F20"/>
          <w:spacing w:val="-6"/>
        </w:rPr>
        <w:t> </w:t>
      </w:r>
      <w:r>
        <w:rPr>
          <w:color w:val="231F20"/>
        </w:rPr>
        <w:t>our new state-of-the-art Leisure Centre at Kirkby in summer</w:t>
      </w:r>
      <w:r>
        <w:rPr>
          <w:color w:val="231F20"/>
          <w:spacing w:val="-6"/>
        </w:rPr>
        <w:t> </w:t>
      </w:r>
      <w:r>
        <w:rPr>
          <w:color w:val="231F20"/>
        </w:rPr>
        <w:t>2022</w:t>
      </w:r>
      <w:r>
        <w:rPr>
          <w:color w:val="231F20"/>
          <w:spacing w:val="-6"/>
        </w:rPr>
        <w:t> </w:t>
      </w:r>
      <w:r>
        <w:rPr>
          <w:color w:val="231F20"/>
        </w:rPr>
        <w:t>being</w:t>
      </w:r>
      <w:r>
        <w:rPr>
          <w:color w:val="231F20"/>
          <w:spacing w:val="-5"/>
        </w:rPr>
        <w:t> </w:t>
      </w:r>
      <w:r>
        <w:rPr>
          <w:color w:val="231F20"/>
        </w:rPr>
        <w:t>the</w:t>
      </w:r>
      <w:r>
        <w:rPr>
          <w:color w:val="231F20"/>
          <w:spacing w:val="-5"/>
        </w:rPr>
        <w:t> </w:t>
      </w:r>
      <w:r>
        <w:rPr>
          <w:color w:val="231F20"/>
        </w:rPr>
        <w:t>most</w:t>
      </w:r>
      <w:r>
        <w:rPr>
          <w:color w:val="231F20"/>
          <w:spacing w:val="-6"/>
        </w:rPr>
        <w:t> </w:t>
      </w:r>
      <w:r>
        <w:rPr>
          <w:color w:val="231F20"/>
        </w:rPr>
        <w:t>prominent,</w:t>
      </w:r>
      <w:r>
        <w:rPr>
          <w:color w:val="231F20"/>
          <w:spacing w:val="-5"/>
        </w:rPr>
        <w:t> </w:t>
      </w:r>
      <w:r>
        <w:rPr>
          <w:color w:val="231F20"/>
        </w:rPr>
        <w:t>as</w:t>
      </w:r>
      <w:r>
        <w:rPr>
          <w:color w:val="231F20"/>
          <w:spacing w:val="-5"/>
        </w:rPr>
        <w:t> </w:t>
      </w:r>
      <w:r>
        <w:rPr>
          <w:color w:val="231F20"/>
        </w:rPr>
        <w:t>part of</w:t>
      </w:r>
      <w:r>
        <w:rPr>
          <w:color w:val="231F20"/>
          <w:spacing w:val="-11"/>
        </w:rPr>
        <w:t> </w:t>
      </w:r>
      <w:r>
        <w:rPr>
          <w:color w:val="231F20"/>
        </w:rPr>
        <w:t>our</w:t>
      </w:r>
      <w:r>
        <w:rPr>
          <w:color w:val="231F20"/>
          <w:spacing w:val="-11"/>
        </w:rPr>
        <w:t> </w:t>
      </w:r>
      <w:r>
        <w:rPr>
          <w:color w:val="231F20"/>
        </w:rPr>
        <w:t>wider</w:t>
      </w:r>
      <w:r>
        <w:rPr>
          <w:color w:val="231F20"/>
          <w:spacing w:val="-11"/>
        </w:rPr>
        <w:t> </w:t>
      </w:r>
      <w:r>
        <w:rPr>
          <w:color w:val="231F20"/>
        </w:rPr>
        <w:t>Leisure</w:t>
      </w:r>
      <w:r>
        <w:rPr>
          <w:color w:val="231F20"/>
          <w:spacing w:val="-11"/>
        </w:rPr>
        <w:t> </w:t>
      </w:r>
      <w:r>
        <w:rPr>
          <w:color w:val="231F20"/>
        </w:rPr>
        <w:t>Transformation</w:t>
      </w:r>
      <w:r>
        <w:rPr>
          <w:color w:val="231F20"/>
          <w:spacing w:val="-11"/>
        </w:rPr>
        <w:t> </w:t>
      </w:r>
      <w:r>
        <w:rPr>
          <w:color w:val="231F20"/>
        </w:rPr>
        <w:t>programme, which</w:t>
      </w:r>
      <w:r>
        <w:rPr>
          <w:color w:val="231F20"/>
          <w:spacing w:val="-2"/>
        </w:rPr>
        <w:t> </w:t>
      </w:r>
      <w:r>
        <w:rPr>
          <w:color w:val="231F20"/>
        </w:rPr>
        <w:t>has</w:t>
      </w:r>
      <w:r>
        <w:rPr>
          <w:color w:val="231F20"/>
          <w:spacing w:val="-2"/>
        </w:rPr>
        <w:t> </w:t>
      </w:r>
      <w:r>
        <w:rPr>
          <w:color w:val="231F20"/>
        </w:rPr>
        <w:t>also</w:t>
      </w:r>
      <w:r>
        <w:rPr>
          <w:color w:val="231F20"/>
          <w:spacing w:val="-2"/>
        </w:rPr>
        <w:t> </w:t>
      </w:r>
      <w:r>
        <w:rPr>
          <w:color w:val="231F20"/>
        </w:rPr>
        <w:t>seen</w:t>
      </w:r>
      <w:r>
        <w:rPr>
          <w:color w:val="231F20"/>
          <w:spacing w:val="-3"/>
        </w:rPr>
        <w:t> </w:t>
      </w:r>
      <w:r>
        <w:rPr>
          <w:color w:val="231F20"/>
        </w:rPr>
        <w:t>significant</w:t>
      </w:r>
      <w:r>
        <w:rPr>
          <w:color w:val="231F20"/>
          <w:spacing w:val="-3"/>
        </w:rPr>
        <w:t> </w:t>
      </w:r>
      <w:r>
        <w:rPr>
          <w:color w:val="231F20"/>
        </w:rPr>
        <w:t>enhancements</w:t>
      </w:r>
      <w:r>
        <w:rPr>
          <w:color w:val="231F20"/>
          <w:spacing w:val="-2"/>
        </w:rPr>
        <w:t> </w:t>
      </w:r>
      <w:r>
        <w:rPr>
          <w:color w:val="231F20"/>
        </w:rPr>
        <w:t>at our Hucknall and Lammas Leisure Centres. The addition of the new swimming pool to Hucknall Leisure Centre is on target for opening to the public this summer.</w:t>
      </w:r>
    </w:p>
    <w:p>
      <w:pPr>
        <w:pStyle w:val="BodyText"/>
        <w:spacing w:before="7"/>
        <w:rPr>
          <w:sz w:val="22"/>
        </w:rPr>
      </w:pPr>
    </w:p>
    <w:p>
      <w:pPr>
        <w:pStyle w:val="BodyText"/>
        <w:spacing w:line="225" w:lineRule="auto"/>
        <w:ind w:left="566" w:right="7"/>
      </w:pPr>
      <w:r>
        <w:rPr>
          <w:color w:val="231F20"/>
        </w:rPr>
        <w:t>We continue to make good progress on delivering the Future High Streets and Towns Fund projects. The 14 Low Street Future High Streets</w:t>
      </w:r>
      <w:r>
        <w:rPr>
          <w:color w:val="231F20"/>
          <w:spacing w:val="-8"/>
        </w:rPr>
        <w:t> </w:t>
      </w:r>
      <w:r>
        <w:rPr>
          <w:color w:val="231F20"/>
        </w:rPr>
        <w:t>funded</w:t>
      </w:r>
      <w:r>
        <w:rPr>
          <w:color w:val="231F20"/>
          <w:spacing w:val="-8"/>
        </w:rPr>
        <w:t> </w:t>
      </w:r>
      <w:r>
        <w:rPr>
          <w:color w:val="231F20"/>
        </w:rPr>
        <w:t>project</w:t>
      </w:r>
      <w:r>
        <w:rPr>
          <w:color w:val="231F20"/>
          <w:spacing w:val="-8"/>
        </w:rPr>
        <w:t> </w:t>
      </w:r>
      <w:r>
        <w:rPr>
          <w:color w:val="231F20"/>
        </w:rPr>
        <w:t>completed</w:t>
      </w:r>
      <w:r>
        <w:rPr>
          <w:color w:val="231F20"/>
          <w:spacing w:val="-8"/>
        </w:rPr>
        <w:t> </w:t>
      </w:r>
      <w:r>
        <w:rPr>
          <w:color w:val="231F20"/>
        </w:rPr>
        <w:t>in</w:t>
      </w:r>
      <w:r>
        <w:rPr>
          <w:color w:val="231F20"/>
          <w:spacing w:val="-8"/>
        </w:rPr>
        <w:t> </w:t>
      </w:r>
      <w:r>
        <w:rPr>
          <w:color w:val="231F20"/>
        </w:rPr>
        <w:t>March,</w:t>
      </w:r>
      <w:r>
        <w:rPr>
          <w:color w:val="231F20"/>
          <w:spacing w:val="-8"/>
        </w:rPr>
        <w:t> </w:t>
      </w:r>
      <w:r>
        <w:rPr>
          <w:color w:val="231F20"/>
        </w:rPr>
        <w:t>and we have secured a new tenant for the whole building. The new business ‘Rendezvous’ will</w:t>
      </w:r>
    </w:p>
    <w:p>
      <w:pPr>
        <w:pStyle w:val="BodyText"/>
        <w:spacing w:line="225" w:lineRule="auto"/>
        <w:ind w:left="566" w:right="7"/>
      </w:pPr>
      <w:r>
        <w:rPr>
          <w:color w:val="231F20"/>
        </w:rPr>
        <w:t>be launched this June bringing a new lease of</w:t>
      </w:r>
      <w:r>
        <w:rPr>
          <w:color w:val="231F20"/>
          <w:spacing w:val="40"/>
        </w:rPr>
        <w:t> </w:t>
      </w:r>
      <w:r>
        <w:rPr>
          <w:color w:val="231F20"/>
        </w:rPr>
        <w:t>life to the high street. The Towns Fund project ‘Enterprising Ashfield’ being delivered by our partner, Nottingham Trent University, has also started to deliver key project outputs and outcomes in terms of numbers of learners, business</w:t>
      </w:r>
      <w:r>
        <w:rPr>
          <w:color w:val="231F20"/>
          <w:spacing w:val="-5"/>
        </w:rPr>
        <w:t> </w:t>
      </w:r>
      <w:r>
        <w:rPr>
          <w:color w:val="231F20"/>
        </w:rPr>
        <w:t>collaborations,</w:t>
      </w:r>
      <w:r>
        <w:rPr>
          <w:color w:val="231F20"/>
          <w:spacing w:val="-5"/>
        </w:rPr>
        <w:t> </w:t>
      </w:r>
      <w:r>
        <w:rPr>
          <w:color w:val="231F20"/>
        </w:rPr>
        <w:t>and</w:t>
      </w:r>
      <w:r>
        <w:rPr>
          <w:color w:val="231F20"/>
          <w:spacing w:val="-5"/>
        </w:rPr>
        <w:t> </w:t>
      </w:r>
      <w:r>
        <w:rPr>
          <w:color w:val="231F20"/>
        </w:rPr>
        <w:t>business</w:t>
      </w:r>
      <w:r>
        <w:rPr>
          <w:color w:val="231F20"/>
          <w:spacing w:val="-5"/>
        </w:rPr>
        <w:t> </w:t>
      </w:r>
      <w:r>
        <w:rPr>
          <w:color w:val="231F20"/>
        </w:rPr>
        <w:t>enterprises supported</w:t>
      </w:r>
      <w:r>
        <w:rPr>
          <w:color w:val="231F20"/>
          <w:spacing w:val="-3"/>
        </w:rPr>
        <w:t> </w:t>
      </w:r>
      <w:r>
        <w:rPr>
          <w:color w:val="231F20"/>
        </w:rPr>
        <w:t>with</w:t>
      </w:r>
      <w:r>
        <w:rPr>
          <w:color w:val="231F20"/>
          <w:spacing w:val="-2"/>
        </w:rPr>
        <w:t> </w:t>
      </w:r>
      <w:r>
        <w:rPr>
          <w:color w:val="231F20"/>
        </w:rPr>
        <w:t>grants</w:t>
      </w:r>
      <w:r>
        <w:rPr>
          <w:color w:val="231F20"/>
          <w:spacing w:val="-1"/>
        </w:rPr>
        <w:t> </w:t>
      </w:r>
      <w:r>
        <w:rPr>
          <w:color w:val="231F20"/>
        </w:rPr>
        <w:t>and</w:t>
      </w:r>
      <w:r>
        <w:rPr>
          <w:color w:val="231F20"/>
          <w:spacing w:val="-2"/>
        </w:rPr>
        <w:t> </w:t>
      </w:r>
      <w:r>
        <w:rPr>
          <w:color w:val="231F20"/>
        </w:rPr>
        <w:t>non-financial</w:t>
      </w:r>
      <w:r>
        <w:rPr>
          <w:color w:val="231F20"/>
          <w:spacing w:val="-1"/>
        </w:rPr>
        <w:t> </w:t>
      </w:r>
      <w:r>
        <w:rPr>
          <w:color w:val="231F20"/>
          <w:spacing w:val="-2"/>
        </w:rPr>
        <w:t>support.</w:t>
      </w:r>
    </w:p>
    <w:p>
      <w:pPr>
        <w:spacing w:line="213" w:lineRule="auto" w:before="126"/>
        <w:ind w:left="1988" w:right="565" w:firstLine="1501"/>
        <w:jc w:val="left"/>
        <w:rPr>
          <w:b/>
          <w:sz w:val="22"/>
        </w:rPr>
      </w:pPr>
      <w:r>
        <w:rPr/>
        <w:br w:type="column"/>
      </w:r>
      <w:r>
        <w:rPr>
          <w:b/>
          <w:color w:val="3B5673"/>
          <w:sz w:val="22"/>
        </w:rPr>
        <w:t>Cllr</w:t>
      </w:r>
      <w:r>
        <w:rPr>
          <w:b/>
          <w:color w:val="3B5673"/>
          <w:spacing w:val="-16"/>
          <w:sz w:val="22"/>
        </w:rPr>
        <w:t> </w:t>
      </w:r>
      <w:r>
        <w:rPr>
          <w:b/>
          <w:color w:val="3B5673"/>
          <w:sz w:val="22"/>
        </w:rPr>
        <w:t>Jason</w:t>
      </w:r>
      <w:r>
        <w:rPr>
          <w:b/>
          <w:color w:val="3B5673"/>
          <w:spacing w:val="-15"/>
          <w:sz w:val="22"/>
        </w:rPr>
        <w:t> </w:t>
      </w:r>
      <w:r>
        <w:rPr>
          <w:b/>
          <w:color w:val="3B5673"/>
          <w:sz w:val="22"/>
        </w:rPr>
        <w:t>Zadrozny Leader</w:t>
      </w:r>
      <w:r>
        <w:rPr>
          <w:b/>
          <w:color w:val="3B5673"/>
          <w:spacing w:val="-9"/>
          <w:sz w:val="22"/>
        </w:rPr>
        <w:t> </w:t>
      </w:r>
      <w:r>
        <w:rPr>
          <w:b/>
          <w:color w:val="3B5673"/>
          <w:sz w:val="22"/>
        </w:rPr>
        <w:t>of</w:t>
      </w:r>
      <w:r>
        <w:rPr>
          <w:b/>
          <w:color w:val="3B5673"/>
          <w:spacing w:val="-8"/>
          <w:sz w:val="22"/>
        </w:rPr>
        <w:t> </w:t>
      </w:r>
      <w:r>
        <w:rPr>
          <w:b/>
          <w:color w:val="3B5673"/>
          <w:sz w:val="22"/>
        </w:rPr>
        <w:t>Ashfield</w:t>
      </w:r>
      <w:r>
        <w:rPr>
          <w:b/>
          <w:color w:val="3B5673"/>
          <w:spacing w:val="-9"/>
          <w:sz w:val="22"/>
        </w:rPr>
        <w:t> </w:t>
      </w:r>
      <w:r>
        <w:rPr>
          <w:b/>
          <w:color w:val="3B5673"/>
          <w:sz w:val="22"/>
        </w:rPr>
        <w:t>District</w:t>
      </w:r>
      <w:r>
        <w:rPr>
          <w:b/>
          <w:color w:val="3B5673"/>
          <w:spacing w:val="-8"/>
          <w:sz w:val="22"/>
        </w:rPr>
        <w:t> </w:t>
      </w:r>
      <w:r>
        <w:rPr>
          <w:b/>
          <w:color w:val="3B5673"/>
          <w:spacing w:val="-2"/>
          <w:sz w:val="22"/>
        </w:rPr>
        <w:t>Council</w:t>
      </w:r>
    </w:p>
    <w:p>
      <w:pPr>
        <w:pStyle w:val="BodyText"/>
        <w:spacing w:before="11"/>
        <w:rPr>
          <w:b/>
          <w:sz w:val="20"/>
        </w:rPr>
      </w:pPr>
    </w:p>
    <w:p>
      <w:pPr>
        <w:pStyle w:val="BodyText"/>
        <w:spacing w:line="225" w:lineRule="auto" w:before="1"/>
        <w:ind w:left="281" w:right="565"/>
      </w:pPr>
      <w:r>
        <w:rPr>
          <w:color w:val="231F20"/>
        </w:rPr>
        <w:t>Following the success of the Ashfield Independents at the May 2023 District Elections this means that we will see all 21 of these key projects through from inception to full delivery. As</w:t>
      </w:r>
      <w:r>
        <w:rPr>
          <w:color w:val="231F20"/>
          <w:spacing w:val="-6"/>
        </w:rPr>
        <w:t> </w:t>
      </w:r>
      <w:r>
        <w:rPr>
          <w:color w:val="231F20"/>
        </w:rPr>
        <w:t>these</w:t>
      </w:r>
      <w:r>
        <w:rPr>
          <w:color w:val="231F20"/>
          <w:spacing w:val="-6"/>
        </w:rPr>
        <w:t> </w:t>
      </w:r>
      <w:r>
        <w:rPr>
          <w:color w:val="231F20"/>
        </w:rPr>
        <w:t>projects</w:t>
      </w:r>
      <w:r>
        <w:rPr>
          <w:color w:val="231F20"/>
          <w:spacing w:val="-6"/>
        </w:rPr>
        <w:t> </w:t>
      </w:r>
      <w:r>
        <w:rPr>
          <w:color w:val="231F20"/>
        </w:rPr>
        <w:t>come</w:t>
      </w:r>
      <w:r>
        <w:rPr>
          <w:color w:val="231F20"/>
          <w:spacing w:val="-6"/>
        </w:rPr>
        <w:t> </w:t>
      </w:r>
      <w:r>
        <w:rPr>
          <w:color w:val="231F20"/>
        </w:rPr>
        <w:t>to</w:t>
      </w:r>
      <w:r>
        <w:rPr>
          <w:color w:val="231F20"/>
          <w:spacing w:val="-6"/>
        </w:rPr>
        <w:t> </w:t>
      </w:r>
      <w:r>
        <w:rPr>
          <w:color w:val="231F20"/>
        </w:rPr>
        <w:t>fruition</w:t>
      </w:r>
      <w:r>
        <w:rPr>
          <w:color w:val="231F20"/>
          <w:spacing w:val="-6"/>
        </w:rPr>
        <w:t> </w:t>
      </w:r>
      <w:r>
        <w:rPr>
          <w:color w:val="231F20"/>
        </w:rPr>
        <w:t>this</w:t>
      </w:r>
      <w:r>
        <w:rPr>
          <w:color w:val="231F20"/>
          <w:spacing w:val="-6"/>
        </w:rPr>
        <w:t> </w:t>
      </w:r>
      <w:r>
        <w:rPr>
          <w:color w:val="231F20"/>
        </w:rPr>
        <w:t>investment in</w:t>
      </w:r>
      <w:r>
        <w:rPr>
          <w:color w:val="231F20"/>
          <w:spacing w:val="-2"/>
        </w:rPr>
        <w:t> </w:t>
      </w:r>
      <w:r>
        <w:rPr>
          <w:color w:val="231F20"/>
        </w:rPr>
        <w:t>our</w:t>
      </w:r>
      <w:r>
        <w:rPr>
          <w:color w:val="231F20"/>
          <w:spacing w:val="-1"/>
        </w:rPr>
        <w:t> </w:t>
      </w:r>
      <w:r>
        <w:rPr>
          <w:color w:val="231F20"/>
        </w:rPr>
        <w:t>District</w:t>
      </w:r>
      <w:r>
        <w:rPr>
          <w:color w:val="231F20"/>
          <w:spacing w:val="-2"/>
        </w:rPr>
        <w:t> </w:t>
      </w:r>
      <w:r>
        <w:rPr>
          <w:color w:val="231F20"/>
        </w:rPr>
        <w:t>will</w:t>
      </w:r>
      <w:r>
        <w:rPr>
          <w:color w:val="231F20"/>
          <w:spacing w:val="-1"/>
        </w:rPr>
        <w:t> </w:t>
      </w:r>
      <w:r>
        <w:rPr>
          <w:color w:val="231F20"/>
        </w:rPr>
        <w:t>offer</w:t>
      </w:r>
      <w:r>
        <w:rPr>
          <w:color w:val="231F20"/>
          <w:spacing w:val="-1"/>
        </w:rPr>
        <w:t> </w:t>
      </w:r>
      <w:r>
        <w:rPr>
          <w:color w:val="231F20"/>
        </w:rPr>
        <w:t>huge</w:t>
      </w:r>
      <w:r>
        <w:rPr>
          <w:color w:val="231F20"/>
          <w:spacing w:val="-1"/>
        </w:rPr>
        <w:t> </w:t>
      </w:r>
      <w:r>
        <w:rPr>
          <w:color w:val="231F20"/>
        </w:rPr>
        <w:t>opportunities</w:t>
      </w:r>
      <w:r>
        <w:rPr>
          <w:color w:val="231F20"/>
          <w:spacing w:val="-1"/>
        </w:rPr>
        <w:t> </w:t>
      </w:r>
      <w:r>
        <w:rPr>
          <w:color w:val="231F20"/>
        </w:rPr>
        <w:t>to</w:t>
      </w:r>
      <w:r>
        <w:rPr>
          <w:color w:val="231F20"/>
          <w:spacing w:val="-1"/>
        </w:rPr>
        <w:t> </w:t>
      </w:r>
      <w:r>
        <w:rPr>
          <w:color w:val="231F20"/>
        </w:rPr>
        <w:t>our local residents and businesses going forward,</w:t>
      </w:r>
    </w:p>
    <w:p>
      <w:pPr>
        <w:pStyle w:val="BodyText"/>
        <w:spacing w:line="225" w:lineRule="auto"/>
        <w:ind w:left="281" w:right="663"/>
      </w:pPr>
      <w:r>
        <w:rPr/>
        <w:pict>
          <v:group style="position:absolute;margin-left:578.504028pt;margin-top:7.569664pt;width:16.8pt;height:192.8pt;mso-position-horizontal-relative:page;mso-position-vertical-relative:paragraph;z-index:15735296" id="docshapegroup30" coordorigin="11570,151" coordsize="336,3856">
            <v:rect style="position:absolute;left:11570;top:3042;width:336;height:964" id="docshape31" filled="true" fillcolor="#f15d6b" stroked="false">
              <v:fill type="solid"/>
            </v:rect>
            <v:rect style="position:absolute;left:11570;top:2078;width:336;height:964" id="docshape32" filled="true" fillcolor="#fbac42" stroked="false">
              <v:fill type="solid"/>
            </v:rect>
            <v:rect style="position:absolute;left:11570;top:1115;width:336;height:964" id="docshape33" filled="true" fillcolor="#b78fc1" stroked="false">
              <v:fill type="solid"/>
            </v:rect>
            <v:rect style="position:absolute;left:11570;top:151;width:336;height:964" id="docshape34" filled="true" fillcolor="#378372" stroked="false">
              <v:fill type="solid"/>
            </v:rect>
            <w10:wrap type="none"/>
          </v:group>
        </w:pict>
      </w:r>
      <w:r>
        <w:rPr>
          <w:color w:val="231F20"/>
        </w:rPr>
        <w:t>as well as attract further inward investment to the</w:t>
      </w:r>
      <w:r>
        <w:rPr>
          <w:color w:val="231F20"/>
          <w:spacing w:val="-4"/>
        </w:rPr>
        <w:t> </w:t>
      </w:r>
      <w:r>
        <w:rPr>
          <w:color w:val="231F20"/>
        </w:rPr>
        <w:t>District,</w:t>
      </w:r>
      <w:r>
        <w:rPr>
          <w:color w:val="231F20"/>
          <w:spacing w:val="-5"/>
        </w:rPr>
        <w:t> </w:t>
      </w:r>
      <w:r>
        <w:rPr>
          <w:color w:val="231F20"/>
        </w:rPr>
        <w:t>all</w:t>
      </w:r>
      <w:r>
        <w:rPr>
          <w:color w:val="231F20"/>
          <w:spacing w:val="-4"/>
        </w:rPr>
        <w:t> </w:t>
      </w:r>
      <w:r>
        <w:rPr>
          <w:color w:val="231F20"/>
        </w:rPr>
        <w:t>of</w:t>
      </w:r>
      <w:r>
        <w:rPr>
          <w:color w:val="231F20"/>
          <w:spacing w:val="-4"/>
        </w:rPr>
        <w:t> </w:t>
      </w:r>
      <w:r>
        <w:rPr>
          <w:color w:val="231F20"/>
        </w:rPr>
        <w:t>which</w:t>
      </w:r>
      <w:r>
        <w:rPr>
          <w:color w:val="231F20"/>
          <w:spacing w:val="-4"/>
        </w:rPr>
        <w:t> </w:t>
      </w:r>
      <w:r>
        <w:rPr>
          <w:color w:val="231F20"/>
        </w:rPr>
        <w:t>will</w:t>
      </w:r>
      <w:r>
        <w:rPr>
          <w:color w:val="231F20"/>
          <w:spacing w:val="-4"/>
        </w:rPr>
        <w:t> </w:t>
      </w:r>
      <w:r>
        <w:rPr>
          <w:color w:val="231F20"/>
        </w:rPr>
        <w:t>help</w:t>
      </w:r>
      <w:r>
        <w:rPr>
          <w:color w:val="231F20"/>
          <w:spacing w:val="-4"/>
        </w:rPr>
        <w:t> </w:t>
      </w:r>
      <w:r>
        <w:rPr>
          <w:color w:val="231F20"/>
        </w:rPr>
        <w:t>grow</w:t>
      </w:r>
      <w:r>
        <w:rPr>
          <w:color w:val="231F20"/>
          <w:spacing w:val="-4"/>
        </w:rPr>
        <w:t> </w:t>
      </w:r>
      <w:r>
        <w:rPr>
          <w:color w:val="231F20"/>
        </w:rPr>
        <w:t>the</w:t>
      </w:r>
      <w:r>
        <w:rPr>
          <w:color w:val="231F20"/>
          <w:spacing w:val="-4"/>
        </w:rPr>
        <w:t> </w:t>
      </w:r>
      <w:r>
        <w:rPr>
          <w:color w:val="231F20"/>
        </w:rPr>
        <w:t>local economy for the benefit of all.</w:t>
      </w:r>
    </w:p>
    <w:p>
      <w:pPr>
        <w:pStyle w:val="BodyText"/>
        <w:spacing w:before="6"/>
        <w:rPr>
          <w:sz w:val="22"/>
        </w:rPr>
      </w:pPr>
    </w:p>
    <w:p>
      <w:pPr>
        <w:pStyle w:val="BodyText"/>
        <w:spacing w:line="225" w:lineRule="auto"/>
        <w:ind w:left="281" w:right="612"/>
      </w:pPr>
      <w:r>
        <w:rPr>
          <w:color w:val="231F20"/>
        </w:rPr>
        <w:t>Following the launch of our Climate Change Strategy (June 2022) the Council has established a Decarbonisation Plan for its non-domestic assets</w:t>
      </w:r>
      <w:r>
        <w:rPr>
          <w:color w:val="231F20"/>
          <w:spacing w:val="-5"/>
        </w:rPr>
        <w:t> </w:t>
      </w:r>
      <w:r>
        <w:rPr>
          <w:color w:val="231F20"/>
        </w:rPr>
        <w:t>(£5.3m)</w:t>
      </w:r>
      <w:r>
        <w:rPr>
          <w:color w:val="231F20"/>
          <w:spacing w:val="-5"/>
        </w:rPr>
        <w:t> </w:t>
      </w:r>
      <w:r>
        <w:rPr>
          <w:color w:val="231F20"/>
        </w:rPr>
        <w:t>of</w:t>
      </w:r>
      <w:r>
        <w:rPr>
          <w:color w:val="231F20"/>
          <w:spacing w:val="-5"/>
        </w:rPr>
        <w:t> </w:t>
      </w:r>
      <w:r>
        <w:rPr>
          <w:color w:val="231F20"/>
        </w:rPr>
        <w:t>which</w:t>
      </w:r>
      <w:r>
        <w:rPr>
          <w:color w:val="231F20"/>
          <w:spacing w:val="-5"/>
        </w:rPr>
        <w:t> </w:t>
      </w:r>
      <w:r>
        <w:rPr>
          <w:color w:val="231F20"/>
        </w:rPr>
        <w:t>£4m</w:t>
      </w:r>
      <w:r>
        <w:rPr>
          <w:color w:val="231F20"/>
          <w:spacing w:val="-5"/>
        </w:rPr>
        <w:t> </w:t>
      </w:r>
      <w:r>
        <w:rPr>
          <w:color w:val="231F20"/>
        </w:rPr>
        <w:t>is</w:t>
      </w:r>
      <w:r>
        <w:rPr>
          <w:color w:val="231F20"/>
          <w:spacing w:val="-5"/>
        </w:rPr>
        <w:t> </w:t>
      </w:r>
      <w:r>
        <w:rPr>
          <w:color w:val="231F20"/>
        </w:rPr>
        <w:t>externally</w:t>
      </w:r>
      <w:r>
        <w:rPr>
          <w:color w:val="231F20"/>
          <w:spacing w:val="-5"/>
        </w:rPr>
        <w:t> </w:t>
      </w:r>
      <w:r>
        <w:rPr>
          <w:color w:val="231F20"/>
        </w:rPr>
        <w:t>funded. In addition the Council continues to invest in decarbonisation works to its own housing stock and wider social housing having secured £4m</w:t>
      </w:r>
    </w:p>
    <w:p>
      <w:pPr>
        <w:pStyle w:val="BodyText"/>
        <w:spacing w:line="225" w:lineRule="auto"/>
        <w:ind w:left="281" w:right="859"/>
      </w:pPr>
      <w:r>
        <w:rPr>
          <w:color w:val="231F20"/>
        </w:rPr>
        <w:t>to date. We continue to work collaboratively</w:t>
      </w:r>
      <w:r>
        <w:rPr>
          <w:color w:val="231F20"/>
          <w:spacing w:val="40"/>
        </w:rPr>
        <w:t> </w:t>
      </w:r>
      <w:r>
        <w:rPr>
          <w:color w:val="231F20"/>
        </w:rPr>
        <w:t>to</w:t>
      </w:r>
      <w:r>
        <w:rPr>
          <w:color w:val="231F20"/>
          <w:spacing w:val="-5"/>
        </w:rPr>
        <w:t> </w:t>
      </w:r>
      <w:r>
        <w:rPr>
          <w:color w:val="231F20"/>
        </w:rPr>
        <w:t>influence</w:t>
      </w:r>
      <w:r>
        <w:rPr>
          <w:color w:val="231F20"/>
          <w:spacing w:val="-6"/>
        </w:rPr>
        <w:t> </w:t>
      </w:r>
      <w:r>
        <w:rPr>
          <w:color w:val="231F20"/>
        </w:rPr>
        <w:t>and</w:t>
      </w:r>
      <w:r>
        <w:rPr>
          <w:color w:val="231F20"/>
          <w:spacing w:val="-5"/>
        </w:rPr>
        <w:t> </w:t>
      </w:r>
      <w:r>
        <w:rPr>
          <w:color w:val="231F20"/>
        </w:rPr>
        <w:t>assist</w:t>
      </w:r>
      <w:r>
        <w:rPr>
          <w:color w:val="231F20"/>
          <w:spacing w:val="-5"/>
        </w:rPr>
        <w:t> </w:t>
      </w:r>
      <w:r>
        <w:rPr>
          <w:color w:val="231F20"/>
        </w:rPr>
        <w:t>the</w:t>
      </w:r>
      <w:r>
        <w:rPr>
          <w:color w:val="231F20"/>
          <w:spacing w:val="-5"/>
        </w:rPr>
        <w:t> </w:t>
      </w:r>
      <w:r>
        <w:rPr>
          <w:color w:val="231F20"/>
        </w:rPr>
        <w:t>wider</w:t>
      </w:r>
      <w:r>
        <w:rPr>
          <w:color w:val="231F20"/>
          <w:spacing w:val="-5"/>
        </w:rPr>
        <w:t> </w:t>
      </w:r>
      <w:r>
        <w:rPr>
          <w:color w:val="231F20"/>
        </w:rPr>
        <w:t>community</w:t>
      </w:r>
      <w:r>
        <w:rPr>
          <w:color w:val="231F20"/>
          <w:spacing w:val="-5"/>
        </w:rPr>
        <w:t> </w:t>
      </w:r>
      <w:r>
        <w:rPr>
          <w:color w:val="231F20"/>
        </w:rPr>
        <w:t>to</w:t>
      </w:r>
    </w:p>
    <w:p>
      <w:pPr>
        <w:pStyle w:val="BodyText"/>
        <w:spacing w:line="294" w:lineRule="exact"/>
        <w:ind w:left="281"/>
      </w:pPr>
      <w:r>
        <w:rPr>
          <w:color w:val="231F20"/>
        </w:rPr>
        <w:t>reduce</w:t>
      </w:r>
      <w:r>
        <w:rPr>
          <w:color w:val="231F20"/>
          <w:spacing w:val="-2"/>
        </w:rPr>
        <w:t> </w:t>
      </w:r>
      <w:r>
        <w:rPr>
          <w:color w:val="231F20"/>
        </w:rPr>
        <w:t>emissions</w:t>
      </w:r>
      <w:r>
        <w:rPr>
          <w:color w:val="231F20"/>
          <w:spacing w:val="-2"/>
        </w:rPr>
        <w:t> </w:t>
      </w:r>
      <w:r>
        <w:rPr>
          <w:color w:val="231F20"/>
        </w:rPr>
        <w:t>and</w:t>
      </w:r>
      <w:r>
        <w:rPr>
          <w:color w:val="231F20"/>
          <w:spacing w:val="-2"/>
        </w:rPr>
        <w:t> </w:t>
      </w:r>
      <w:r>
        <w:rPr>
          <w:color w:val="231F20"/>
        </w:rPr>
        <w:t>to</w:t>
      </w:r>
      <w:r>
        <w:rPr>
          <w:color w:val="231F20"/>
          <w:spacing w:val="-1"/>
        </w:rPr>
        <w:t> </w:t>
      </w:r>
      <w:r>
        <w:rPr>
          <w:color w:val="231F20"/>
        </w:rPr>
        <w:t>reduce</w:t>
      </w:r>
      <w:r>
        <w:rPr>
          <w:color w:val="231F20"/>
          <w:spacing w:val="-2"/>
        </w:rPr>
        <w:t> </w:t>
      </w:r>
      <w:r>
        <w:rPr>
          <w:color w:val="231F20"/>
        </w:rPr>
        <w:t>Ashfield’s</w:t>
      </w:r>
      <w:r>
        <w:rPr>
          <w:color w:val="231F20"/>
          <w:spacing w:val="-2"/>
        </w:rPr>
        <w:t> overall</w:t>
      </w:r>
    </w:p>
    <w:p>
      <w:pPr>
        <w:pStyle w:val="BodyText"/>
        <w:spacing w:line="310" w:lineRule="exact"/>
        <w:ind w:left="281"/>
      </w:pPr>
      <w:r>
        <w:rPr>
          <w:color w:val="231F20"/>
        </w:rPr>
        <w:t>carbon </w:t>
      </w:r>
      <w:r>
        <w:rPr>
          <w:color w:val="231F20"/>
          <w:spacing w:val="-2"/>
        </w:rPr>
        <w:t>footprint.</w:t>
      </w:r>
    </w:p>
    <w:p>
      <w:pPr>
        <w:pStyle w:val="BodyText"/>
        <w:spacing w:line="310" w:lineRule="exact" w:before="281"/>
        <w:ind w:left="281"/>
      </w:pPr>
      <w:r>
        <w:rPr>
          <w:color w:val="231F20"/>
        </w:rPr>
        <w:t>Ashfield</w:t>
      </w:r>
      <w:r>
        <w:rPr>
          <w:color w:val="231F20"/>
          <w:spacing w:val="-2"/>
        </w:rPr>
        <w:t> </w:t>
      </w:r>
      <w:r>
        <w:rPr>
          <w:color w:val="231F20"/>
        </w:rPr>
        <w:t>is</w:t>
      </w:r>
      <w:r>
        <w:rPr>
          <w:color w:val="231F20"/>
          <w:spacing w:val="-3"/>
        </w:rPr>
        <w:t> </w:t>
      </w:r>
      <w:r>
        <w:rPr>
          <w:color w:val="231F20"/>
        </w:rPr>
        <w:t>an</w:t>
      </w:r>
      <w:r>
        <w:rPr>
          <w:color w:val="231F20"/>
          <w:spacing w:val="-1"/>
        </w:rPr>
        <w:t> </w:t>
      </w:r>
      <w:r>
        <w:rPr>
          <w:color w:val="231F20"/>
        </w:rPr>
        <w:t>ambitious</w:t>
      </w:r>
      <w:r>
        <w:rPr>
          <w:color w:val="231F20"/>
          <w:spacing w:val="-2"/>
        </w:rPr>
        <w:t> </w:t>
      </w:r>
      <w:r>
        <w:rPr>
          <w:color w:val="231F20"/>
        </w:rPr>
        <w:t>and</w:t>
      </w:r>
      <w:r>
        <w:rPr>
          <w:color w:val="231F20"/>
          <w:spacing w:val="-1"/>
        </w:rPr>
        <w:t> </w:t>
      </w:r>
      <w:r>
        <w:rPr>
          <w:color w:val="231F20"/>
        </w:rPr>
        <w:t>aspirational</w:t>
      </w:r>
      <w:r>
        <w:rPr>
          <w:color w:val="231F20"/>
          <w:spacing w:val="-2"/>
        </w:rPr>
        <w:t> District</w:t>
      </w:r>
    </w:p>
    <w:p>
      <w:pPr>
        <w:pStyle w:val="BodyText"/>
        <w:spacing w:line="225" w:lineRule="auto" w:before="6"/>
        <w:ind w:left="281" w:right="1003"/>
      </w:pPr>
      <w:r>
        <w:rPr>
          <w:color w:val="231F20"/>
        </w:rPr>
        <w:t>Council, but also one that delivers. We put our residents and businesses at the heart of everything we do and will continue to do </w:t>
      </w:r>
      <w:r>
        <w:rPr>
          <w:color w:val="231F20"/>
          <w:spacing w:val="-5"/>
        </w:rPr>
        <w:t>so.</w:t>
      </w:r>
    </w:p>
    <w:p>
      <w:pPr>
        <w:pStyle w:val="BodyText"/>
        <w:spacing w:before="7"/>
        <w:rPr>
          <w:sz w:val="22"/>
        </w:rPr>
      </w:pPr>
    </w:p>
    <w:p>
      <w:pPr>
        <w:pStyle w:val="BodyText"/>
        <w:spacing w:line="225" w:lineRule="auto"/>
        <w:ind w:left="281" w:right="447"/>
      </w:pPr>
      <w:r>
        <w:rPr>
          <w:color w:val="231F20"/>
        </w:rPr>
        <w:t>We know Ashfield, like all Councils faces future financial challenges but with our passion and desire we are confident that we will continue to invest in our District and through this, deliver increased</w:t>
      </w:r>
      <w:r>
        <w:rPr>
          <w:color w:val="231F20"/>
          <w:spacing w:val="-8"/>
        </w:rPr>
        <w:t> </w:t>
      </w:r>
      <w:r>
        <w:rPr>
          <w:color w:val="231F20"/>
        </w:rPr>
        <w:t>opportunities</w:t>
      </w:r>
      <w:r>
        <w:rPr>
          <w:color w:val="231F20"/>
          <w:spacing w:val="-7"/>
        </w:rPr>
        <w:t> </w:t>
      </w:r>
      <w:r>
        <w:rPr>
          <w:color w:val="231F20"/>
        </w:rPr>
        <w:t>and</w:t>
      </w:r>
      <w:r>
        <w:rPr>
          <w:color w:val="231F20"/>
          <w:spacing w:val="-7"/>
        </w:rPr>
        <w:t> </w:t>
      </w:r>
      <w:r>
        <w:rPr>
          <w:color w:val="231F20"/>
        </w:rPr>
        <w:t>increased</w:t>
      </w:r>
      <w:r>
        <w:rPr>
          <w:color w:val="231F20"/>
          <w:spacing w:val="-8"/>
        </w:rPr>
        <w:t> </w:t>
      </w:r>
      <w:r>
        <w:rPr>
          <w:color w:val="231F20"/>
        </w:rPr>
        <w:t>chances</w:t>
      </w:r>
      <w:r>
        <w:rPr>
          <w:color w:val="231F20"/>
          <w:spacing w:val="-7"/>
        </w:rPr>
        <w:t> </w:t>
      </w:r>
      <w:r>
        <w:rPr>
          <w:color w:val="231F20"/>
        </w:rPr>
        <w:t>of an improved quality of life for our residents.</w:t>
      </w:r>
    </w:p>
    <w:p>
      <w:pPr>
        <w:pStyle w:val="BodyText"/>
        <w:spacing w:before="11"/>
        <w:rPr>
          <w:sz w:val="10"/>
        </w:rPr>
      </w:pPr>
      <w:r>
        <w:rPr/>
        <w:drawing>
          <wp:anchor distT="0" distB="0" distL="0" distR="0" allowOverlap="1" layoutInCell="1" locked="0" behindDoc="0" simplePos="0" relativeHeight="11">
            <wp:simplePos x="0" y="0"/>
            <wp:positionH relativeFrom="page">
              <wp:posOffset>3885998</wp:posOffset>
            </wp:positionH>
            <wp:positionV relativeFrom="paragraph">
              <wp:posOffset>107222</wp:posOffset>
            </wp:positionV>
            <wp:extent cx="977586" cy="352044"/>
            <wp:effectExtent l="0" t="0" r="0" b="0"/>
            <wp:wrapTopAndBottom/>
            <wp:docPr id="13" name="image9.png"/>
            <wp:cNvGraphicFramePr>
              <a:graphicFrameLocks noChangeAspect="1"/>
            </wp:cNvGraphicFramePr>
            <a:graphic>
              <a:graphicData uri="http://schemas.openxmlformats.org/drawingml/2006/picture">
                <pic:pic>
                  <pic:nvPicPr>
                    <pic:cNvPr id="14" name="image9.png"/>
                    <pic:cNvPicPr/>
                  </pic:nvPicPr>
                  <pic:blipFill>
                    <a:blip r:embed="rId19" cstate="print"/>
                    <a:stretch>
                      <a:fillRect/>
                    </a:stretch>
                  </pic:blipFill>
                  <pic:spPr>
                    <a:xfrm>
                      <a:off x="0" y="0"/>
                      <a:ext cx="977586" cy="352044"/>
                    </a:xfrm>
                    <a:prstGeom prst="rect">
                      <a:avLst/>
                    </a:prstGeom>
                  </pic:spPr>
                </pic:pic>
              </a:graphicData>
            </a:graphic>
          </wp:anchor>
        </w:drawing>
      </w:r>
    </w:p>
    <w:p>
      <w:pPr>
        <w:spacing w:line="310" w:lineRule="exact" w:before="87"/>
        <w:ind w:left="281" w:right="0" w:firstLine="0"/>
        <w:jc w:val="left"/>
        <w:rPr>
          <w:b/>
          <w:sz w:val="24"/>
        </w:rPr>
      </w:pPr>
      <w:r>
        <w:rPr>
          <w:b/>
          <w:color w:val="231F20"/>
          <w:sz w:val="24"/>
        </w:rPr>
        <w:t>Cllr</w:t>
      </w:r>
      <w:r>
        <w:rPr>
          <w:b/>
          <w:color w:val="231F20"/>
          <w:spacing w:val="-5"/>
          <w:sz w:val="24"/>
        </w:rPr>
        <w:t> </w:t>
      </w:r>
      <w:r>
        <w:rPr>
          <w:b/>
          <w:color w:val="231F20"/>
          <w:sz w:val="24"/>
        </w:rPr>
        <w:t>Jason</w:t>
      </w:r>
      <w:r>
        <w:rPr>
          <w:b/>
          <w:color w:val="231F20"/>
          <w:spacing w:val="-5"/>
          <w:sz w:val="24"/>
        </w:rPr>
        <w:t> </w:t>
      </w:r>
      <w:r>
        <w:rPr>
          <w:b/>
          <w:color w:val="231F20"/>
          <w:spacing w:val="-2"/>
          <w:sz w:val="24"/>
        </w:rPr>
        <w:t>Zadrozny</w:t>
      </w:r>
    </w:p>
    <w:p>
      <w:pPr>
        <w:pStyle w:val="ListParagraph"/>
        <w:numPr>
          <w:ilvl w:val="0"/>
          <w:numId w:val="2"/>
        </w:numPr>
        <w:tabs>
          <w:tab w:pos="468" w:val="left" w:leader="none"/>
        </w:tabs>
        <w:spacing w:line="310" w:lineRule="exact" w:before="0" w:after="0"/>
        <w:ind w:left="467" w:right="0" w:hanging="187"/>
        <w:jc w:val="left"/>
        <w:rPr>
          <w:sz w:val="24"/>
        </w:rPr>
      </w:pPr>
      <w:r>
        <w:rPr>
          <w:color w:val="231F20"/>
          <w:sz w:val="24"/>
        </w:rPr>
        <w:t>Leader</w:t>
      </w:r>
      <w:r>
        <w:rPr>
          <w:color w:val="231F20"/>
          <w:spacing w:val="-4"/>
          <w:sz w:val="24"/>
        </w:rPr>
        <w:t> </w:t>
      </w:r>
      <w:r>
        <w:rPr>
          <w:color w:val="231F20"/>
          <w:sz w:val="24"/>
        </w:rPr>
        <w:t>of</w:t>
      </w:r>
      <w:r>
        <w:rPr>
          <w:color w:val="231F20"/>
          <w:spacing w:val="-4"/>
          <w:sz w:val="24"/>
        </w:rPr>
        <w:t> </w:t>
      </w:r>
      <w:r>
        <w:rPr>
          <w:color w:val="231F20"/>
          <w:sz w:val="24"/>
        </w:rPr>
        <w:t>Ashfield</w:t>
      </w:r>
      <w:r>
        <w:rPr>
          <w:color w:val="231F20"/>
          <w:spacing w:val="-4"/>
          <w:sz w:val="24"/>
        </w:rPr>
        <w:t> </w:t>
      </w:r>
      <w:r>
        <w:rPr>
          <w:color w:val="231F20"/>
          <w:sz w:val="24"/>
        </w:rPr>
        <w:t>District</w:t>
      </w:r>
      <w:r>
        <w:rPr>
          <w:color w:val="231F20"/>
          <w:spacing w:val="-5"/>
          <w:sz w:val="24"/>
        </w:rPr>
        <w:t> </w:t>
      </w:r>
      <w:r>
        <w:rPr>
          <w:color w:val="231F20"/>
          <w:spacing w:val="-2"/>
          <w:sz w:val="24"/>
        </w:rPr>
        <w:t>Council</w:t>
      </w:r>
    </w:p>
    <w:p>
      <w:pPr>
        <w:spacing w:after="0" w:line="310" w:lineRule="exact"/>
        <w:jc w:val="left"/>
        <w:rPr>
          <w:sz w:val="24"/>
        </w:rPr>
        <w:sectPr>
          <w:type w:val="continuous"/>
          <w:pgSz w:w="11910" w:h="16840"/>
          <w:pgMar w:header="377" w:footer="367" w:top="260" w:bottom="0" w:left="0" w:right="0"/>
          <w:cols w:num="2" w:equalWidth="0">
            <w:col w:w="5773" w:space="40"/>
            <w:col w:w="609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spacing w:after="0"/>
        <w:rPr>
          <w:sz w:val="23"/>
        </w:rPr>
        <w:sectPr>
          <w:headerReference w:type="default" r:id="rId20"/>
          <w:footerReference w:type="default" r:id="rId21"/>
          <w:pgSz w:w="11910" w:h="16840"/>
          <w:pgMar w:header="567" w:footer="367" w:top="1520" w:bottom="560" w:left="0" w:right="0"/>
        </w:sectPr>
      </w:pPr>
    </w:p>
    <w:p>
      <w:pPr>
        <w:pStyle w:val="Heading4"/>
        <w:spacing w:line="225" w:lineRule="auto" w:before="116"/>
      </w:pPr>
      <w:r>
        <w:rPr/>
        <w:pict>
          <v:group style="position:absolute;margin-left:.638pt;margin-top:76.160866pt;width:594.65pt;height:103.85pt;mso-position-horizontal-relative:page;mso-position-vertical-relative:page;z-index:-16877056" id="docshapegroup39" coordorigin="13,1523" coordsize="11893,2077">
            <v:rect style="position:absolute;left:12;top:1658;width:11893;height:1942" id="docshape40" filled="true" fillcolor="#c9cbd4" stroked="false">
              <v:fill type="solid"/>
            </v:rect>
            <v:shape style="position:absolute;left:12;top:1523;width:11893;height:2077" type="#_x0000_t202" id="docshape41" filled="false" stroked="false">
              <v:textbox inset="0,0,0,0">
                <w:txbxContent>
                  <w:p>
                    <w:pPr>
                      <w:spacing w:line="767" w:lineRule="exact" w:before="0"/>
                      <w:ind w:left="2709" w:right="0" w:firstLine="0"/>
                      <w:jc w:val="left"/>
                      <w:rPr>
                        <w:b/>
                        <w:sz w:val="60"/>
                      </w:rPr>
                    </w:pPr>
                    <w:r>
                      <w:rPr>
                        <w:b/>
                        <w:color w:val="3B5673"/>
                        <w:spacing w:val="14"/>
                        <w:sz w:val="60"/>
                      </w:rPr>
                      <w:t>THE</w:t>
                    </w:r>
                    <w:r>
                      <w:rPr>
                        <w:b/>
                        <w:color w:val="3B5673"/>
                        <w:spacing w:val="21"/>
                        <w:sz w:val="60"/>
                      </w:rPr>
                      <w:t> </w:t>
                    </w:r>
                    <w:r>
                      <w:rPr>
                        <w:b/>
                        <w:color w:val="3B5673"/>
                        <w:spacing w:val="13"/>
                        <w:sz w:val="60"/>
                      </w:rPr>
                      <w:t>NARRATIVE</w:t>
                    </w:r>
                    <w:r>
                      <w:rPr>
                        <w:b/>
                        <w:color w:val="3B5673"/>
                        <w:spacing w:val="24"/>
                        <w:sz w:val="60"/>
                      </w:rPr>
                      <w:t> </w:t>
                    </w:r>
                    <w:r>
                      <w:rPr>
                        <w:b/>
                        <w:color w:val="3B5673"/>
                        <w:spacing w:val="9"/>
                        <w:sz w:val="60"/>
                      </w:rPr>
                      <w:t>STATEMENT</w:t>
                    </w:r>
                  </w:p>
                  <w:p>
                    <w:pPr>
                      <w:spacing w:line="279" w:lineRule="exact" w:before="0"/>
                      <w:ind w:left="2736" w:right="0" w:firstLine="0"/>
                      <w:jc w:val="left"/>
                      <w:rPr>
                        <w:b/>
                        <w:sz w:val="24"/>
                      </w:rPr>
                    </w:pPr>
                    <w:r>
                      <w:rPr>
                        <w:b/>
                        <w:color w:val="3B5673"/>
                        <w:sz w:val="24"/>
                      </w:rPr>
                      <w:t>by</w:t>
                    </w:r>
                    <w:r>
                      <w:rPr>
                        <w:b/>
                        <w:color w:val="3B5673"/>
                        <w:spacing w:val="-6"/>
                        <w:sz w:val="24"/>
                      </w:rPr>
                      <w:t> </w:t>
                    </w:r>
                    <w:r>
                      <w:rPr>
                        <w:b/>
                        <w:color w:val="3B5673"/>
                        <w:sz w:val="24"/>
                      </w:rPr>
                      <w:t>the</w:t>
                    </w:r>
                    <w:r>
                      <w:rPr>
                        <w:b/>
                        <w:color w:val="3B5673"/>
                        <w:spacing w:val="-4"/>
                        <w:sz w:val="24"/>
                      </w:rPr>
                      <w:t> </w:t>
                    </w:r>
                    <w:r>
                      <w:rPr>
                        <w:b/>
                        <w:color w:val="3B5673"/>
                        <w:sz w:val="24"/>
                      </w:rPr>
                      <w:t>Corporate</w:t>
                    </w:r>
                    <w:r>
                      <w:rPr>
                        <w:b/>
                        <w:color w:val="3B5673"/>
                        <w:spacing w:val="-3"/>
                        <w:sz w:val="24"/>
                      </w:rPr>
                      <w:t> </w:t>
                    </w:r>
                    <w:r>
                      <w:rPr>
                        <w:b/>
                        <w:color w:val="3B5673"/>
                        <w:sz w:val="24"/>
                      </w:rPr>
                      <w:t>Resources</w:t>
                    </w:r>
                    <w:r>
                      <w:rPr>
                        <w:b/>
                        <w:color w:val="3B5673"/>
                        <w:spacing w:val="-2"/>
                        <w:sz w:val="24"/>
                      </w:rPr>
                      <w:t> Director</w:t>
                    </w:r>
                  </w:p>
                  <w:p>
                    <w:pPr>
                      <w:spacing w:line="310" w:lineRule="exact" w:before="0"/>
                      <w:ind w:left="2736" w:right="0" w:firstLine="0"/>
                      <w:jc w:val="left"/>
                      <w:rPr>
                        <w:b/>
                        <w:sz w:val="24"/>
                      </w:rPr>
                    </w:pPr>
                    <w:r>
                      <w:rPr>
                        <w:b/>
                        <w:color w:val="3B5673"/>
                        <w:sz w:val="24"/>
                      </w:rPr>
                      <w:t>(Section</w:t>
                    </w:r>
                    <w:r>
                      <w:rPr>
                        <w:b/>
                        <w:color w:val="3B5673"/>
                        <w:spacing w:val="-8"/>
                        <w:sz w:val="24"/>
                      </w:rPr>
                      <w:t> </w:t>
                    </w:r>
                    <w:r>
                      <w:rPr>
                        <w:b/>
                        <w:color w:val="3B5673"/>
                        <w:sz w:val="24"/>
                      </w:rPr>
                      <w:t>151</w:t>
                    </w:r>
                    <w:r>
                      <w:rPr>
                        <w:b/>
                        <w:color w:val="3B5673"/>
                        <w:spacing w:val="-5"/>
                        <w:sz w:val="24"/>
                      </w:rPr>
                      <w:t> </w:t>
                    </w:r>
                    <w:r>
                      <w:rPr>
                        <w:b/>
                        <w:color w:val="3B5673"/>
                        <w:spacing w:val="-2"/>
                        <w:sz w:val="24"/>
                      </w:rPr>
                      <w:t>Officer)</w:t>
                    </w:r>
                  </w:p>
                </w:txbxContent>
              </v:textbox>
              <w10:wrap type="none"/>
            </v:shape>
            <w10:wrap type="none"/>
          </v:group>
        </w:pict>
      </w:r>
      <w:r>
        <w:rPr>
          <w:color w:val="3B5673"/>
        </w:rPr>
        <w:t>As the Council’s Chief Finance Officer I am pleased to present Ashfield District Council’s </w:t>
      </w:r>
      <w:r>
        <w:rPr>
          <w:color w:val="3B5673"/>
          <w:spacing w:val="-2"/>
        </w:rPr>
        <w:t>Statement</w:t>
      </w:r>
      <w:r>
        <w:rPr>
          <w:color w:val="3B5673"/>
          <w:spacing w:val="-12"/>
        </w:rPr>
        <w:t> </w:t>
      </w:r>
      <w:r>
        <w:rPr>
          <w:color w:val="3B5673"/>
          <w:spacing w:val="-2"/>
        </w:rPr>
        <w:t>of</w:t>
      </w:r>
      <w:r>
        <w:rPr>
          <w:color w:val="3B5673"/>
          <w:spacing w:val="-12"/>
        </w:rPr>
        <w:t> </w:t>
      </w:r>
      <w:r>
        <w:rPr>
          <w:color w:val="3B5673"/>
          <w:spacing w:val="-2"/>
        </w:rPr>
        <w:t>Accounts</w:t>
      </w:r>
      <w:r>
        <w:rPr>
          <w:color w:val="3B5673"/>
          <w:spacing w:val="-12"/>
        </w:rPr>
        <w:t> </w:t>
      </w:r>
      <w:r>
        <w:rPr>
          <w:color w:val="3B5673"/>
          <w:spacing w:val="-2"/>
        </w:rPr>
        <w:t>for</w:t>
      </w:r>
      <w:r>
        <w:rPr>
          <w:color w:val="3B5673"/>
          <w:spacing w:val="-12"/>
        </w:rPr>
        <w:t> </w:t>
      </w:r>
      <w:r>
        <w:rPr>
          <w:color w:val="3B5673"/>
          <w:spacing w:val="-2"/>
        </w:rPr>
        <w:t>the</w:t>
      </w:r>
      <w:r>
        <w:rPr>
          <w:color w:val="3B5673"/>
          <w:spacing w:val="-12"/>
        </w:rPr>
        <w:t> </w:t>
      </w:r>
      <w:r>
        <w:rPr>
          <w:color w:val="3B5673"/>
          <w:spacing w:val="-2"/>
        </w:rPr>
        <w:t>year</w:t>
      </w:r>
      <w:r>
        <w:rPr>
          <w:color w:val="3B5673"/>
          <w:spacing w:val="-12"/>
        </w:rPr>
        <w:t> </w:t>
      </w:r>
      <w:r>
        <w:rPr>
          <w:color w:val="3B5673"/>
          <w:spacing w:val="-2"/>
        </w:rPr>
        <w:t>ending</w:t>
      </w:r>
      <w:r>
        <w:rPr>
          <w:color w:val="3B5673"/>
          <w:spacing w:val="-12"/>
        </w:rPr>
        <w:t> </w:t>
      </w:r>
      <w:r>
        <w:rPr>
          <w:color w:val="3B5673"/>
          <w:spacing w:val="-2"/>
        </w:rPr>
        <w:t>31st </w:t>
      </w:r>
      <w:r>
        <w:rPr>
          <w:color w:val="3B5673"/>
        </w:rPr>
        <w:t>March 2023. The Statement aims to provide </w:t>
      </w:r>
      <w:r>
        <w:rPr>
          <w:color w:val="3B5673"/>
          <w:spacing w:val="-2"/>
        </w:rPr>
        <w:t>information</w:t>
      </w:r>
      <w:r>
        <w:rPr>
          <w:color w:val="3B5673"/>
          <w:spacing w:val="-9"/>
        </w:rPr>
        <w:t> </w:t>
      </w:r>
      <w:r>
        <w:rPr>
          <w:color w:val="3B5673"/>
          <w:spacing w:val="-2"/>
        </w:rPr>
        <w:t>to</w:t>
      </w:r>
      <w:r>
        <w:rPr>
          <w:color w:val="3B5673"/>
          <w:spacing w:val="-9"/>
        </w:rPr>
        <w:t> </w:t>
      </w:r>
      <w:r>
        <w:rPr>
          <w:color w:val="3B5673"/>
          <w:spacing w:val="-2"/>
        </w:rPr>
        <w:t>all</w:t>
      </w:r>
      <w:r>
        <w:rPr>
          <w:color w:val="3B5673"/>
          <w:spacing w:val="-9"/>
        </w:rPr>
        <w:t> </w:t>
      </w:r>
      <w:r>
        <w:rPr>
          <w:color w:val="3B5673"/>
          <w:spacing w:val="-2"/>
        </w:rPr>
        <w:t>stakeholders</w:t>
      </w:r>
      <w:r>
        <w:rPr>
          <w:color w:val="3B5673"/>
          <w:spacing w:val="-9"/>
        </w:rPr>
        <w:t> </w:t>
      </w:r>
      <w:r>
        <w:rPr>
          <w:color w:val="3B5673"/>
          <w:spacing w:val="-2"/>
        </w:rPr>
        <w:t>(residents,</w:t>
      </w:r>
      <w:r>
        <w:rPr>
          <w:color w:val="3B5673"/>
          <w:spacing w:val="-9"/>
        </w:rPr>
        <w:t> </w:t>
      </w:r>
      <w:r>
        <w:rPr>
          <w:color w:val="3B5673"/>
          <w:spacing w:val="-2"/>
        </w:rPr>
        <w:t>local </w:t>
      </w:r>
      <w:r>
        <w:rPr>
          <w:color w:val="3B5673"/>
        </w:rPr>
        <w:t>businesses, Councillors, partners, members of the public) so that they can:</w:t>
      </w:r>
    </w:p>
    <w:p>
      <w:pPr>
        <w:pStyle w:val="ListParagraph"/>
        <w:numPr>
          <w:ilvl w:val="1"/>
          <w:numId w:val="2"/>
        </w:numPr>
        <w:tabs>
          <w:tab w:pos="737" w:val="left" w:leader="none"/>
        </w:tabs>
        <w:spacing w:line="310" w:lineRule="exact" w:before="284" w:after="0"/>
        <w:ind w:left="737" w:right="0" w:hanging="171"/>
        <w:jc w:val="left"/>
        <w:rPr>
          <w:sz w:val="24"/>
        </w:rPr>
      </w:pPr>
      <w:r>
        <w:rPr>
          <w:color w:val="231F20"/>
          <w:sz w:val="24"/>
        </w:rPr>
        <w:t>Understand</w:t>
      </w:r>
      <w:r>
        <w:rPr>
          <w:color w:val="231F20"/>
          <w:spacing w:val="-2"/>
          <w:sz w:val="24"/>
        </w:rPr>
        <w:t> </w:t>
      </w:r>
      <w:r>
        <w:rPr>
          <w:color w:val="231F20"/>
          <w:sz w:val="24"/>
        </w:rPr>
        <w:t>the</w:t>
      </w:r>
      <w:r>
        <w:rPr>
          <w:color w:val="231F20"/>
          <w:spacing w:val="-1"/>
          <w:sz w:val="24"/>
        </w:rPr>
        <w:t> </w:t>
      </w:r>
      <w:r>
        <w:rPr>
          <w:color w:val="231F20"/>
          <w:sz w:val="24"/>
        </w:rPr>
        <w:t>overall</w:t>
      </w:r>
      <w:r>
        <w:rPr>
          <w:color w:val="231F20"/>
          <w:spacing w:val="-2"/>
          <w:sz w:val="24"/>
        </w:rPr>
        <w:t> </w:t>
      </w:r>
      <w:r>
        <w:rPr>
          <w:color w:val="231F20"/>
          <w:sz w:val="24"/>
        </w:rPr>
        <w:t>financial</w:t>
      </w:r>
      <w:r>
        <w:rPr>
          <w:color w:val="231F20"/>
          <w:spacing w:val="-1"/>
          <w:sz w:val="24"/>
        </w:rPr>
        <w:t> </w:t>
      </w:r>
      <w:r>
        <w:rPr>
          <w:color w:val="231F20"/>
          <w:sz w:val="24"/>
        </w:rPr>
        <w:t>position</w:t>
      </w:r>
      <w:r>
        <w:rPr>
          <w:color w:val="231F20"/>
          <w:spacing w:val="-2"/>
          <w:sz w:val="24"/>
        </w:rPr>
        <w:t> </w:t>
      </w:r>
      <w:r>
        <w:rPr>
          <w:color w:val="231F20"/>
          <w:sz w:val="24"/>
        </w:rPr>
        <w:t>of</w:t>
      </w:r>
      <w:r>
        <w:rPr>
          <w:color w:val="231F20"/>
          <w:spacing w:val="-1"/>
          <w:sz w:val="24"/>
        </w:rPr>
        <w:t> </w:t>
      </w:r>
      <w:r>
        <w:rPr>
          <w:color w:val="231F20"/>
          <w:spacing w:val="-5"/>
          <w:sz w:val="24"/>
        </w:rPr>
        <w:t>the</w:t>
      </w:r>
    </w:p>
    <w:p>
      <w:pPr>
        <w:pStyle w:val="BodyText"/>
        <w:spacing w:line="310" w:lineRule="exact"/>
        <w:ind w:left="737"/>
      </w:pPr>
      <w:r>
        <w:rPr>
          <w:color w:val="231F20"/>
        </w:rPr>
        <w:t>Council</w:t>
      </w:r>
      <w:r>
        <w:rPr>
          <w:color w:val="231F20"/>
          <w:spacing w:val="-3"/>
        </w:rPr>
        <w:t> </w:t>
      </w:r>
      <w:r>
        <w:rPr>
          <w:color w:val="231F20"/>
        </w:rPr>
        <w:t>and</w:t>
      </w:r>
      <w:r>
        <w:rPr>
          <w:color w:val="231F20"/>
          <w:spacing w:val="-1"/>
        </w:rPr>
        <w:t> </w:t>
      </w:r>
      <w:r>
        <w:rPr>
          <w:color w:val="231F20"/>
        </w:rPr>
        <w:t>the</w:t>
      </w:r>
      <w:r>
        <w:rPr>
          <w:color w:val="231F20"/>
          <w:spacing w:val="-1"/>
        </w:rPr>
        <w:t> </w:t>
      </w:r>
      <w:r>
        <w:rPr>
          <w:color w:val="231F20"/>
        </w:rPr>
        <w:t>Outturn</w:t>
      </w:r>
      <w:r>
        <w:rPr>
          <w:color w:val="231F20"/>
          <w:spacing w:val="-1"/>
        </w:rPr>
        <w:t> </w:t>
      </w:r>
      <w:r>
        <w:rPr>
          <w:color w:val="231F20"/>
        </w:rPr>
        <w:t>for</w:t>
      </w:r>
      <w:r>
        <w:rPr>
          <w:color w:val="231F20"/>
          <w:spacing w:val="-1"/>
        </w:rPr>
        <w:t> </w:t>
      </w:r>
      <w:r>
        <w:rPr>
          <w:color w:val="231F20"/>
          <w:spacing w:val="-2"/>
        </w:rPr>
        <w:t>2022/23</w:t>
      </w:r>
    </w:p>
    <w:p>
      <w:pPr>
        <w:pStyle w:val="ListParagraph"/>
        <w:numPr>
          <w:ilvl w:val="1"/>
          <w:numId w:val="2"/>
        </w:numPr>
        <w:tabs>
          <w:tab w:pos="737" w:val="left" w:leader="none"/>
        </w:tabs>
        <w:spacing w:line="225" w:lineRule="auto" w:before="53" w:after="0"/>
        <w:ind w:left="737" w:right="98" w:hanging="171"/>
        <w:jc w:val="left"/>
        <w:rPr>
          <w:sz w:val="24"/>
        </w:rPr>
      </w:pPr>
      <w:r>
        <w:rPr>
          <w:color w:val="231F20"/>
          <w:sz w:val="24"/>
        </w:rPr>
        <w:t>Have</w:t>
      </w:r>
      <w:r>
        <w:rPr>
          <w:color w:val="231F20"/>
          <w:spacing w:val="-6"/>
          <w:sz w:val="24"/>
        </w:rPr>
        <w:t> </w:t>
      </w:r>
      <w:r>
        <w:rPr>
          <w:color w:val="231F20"/>
          <w:sz w:val="24"/>
        </w:rPr>
        <w:t>confidence</w:t>
      </w:r>
      <w:r>
        <w:rPr>
          <w:color w:val="231F20"/>
          <w:spacing w:val="-6"/>
          <w:sz w:val="24"/>
        </w:rPr>
        <w:t> </w:t>
      </w:r>
      <w:r>
        <w:rPr>
          <w:color w:val="231F20"/>
          <w:sz w:val="24"/>
        </w:rPr>
        <w:t>that</w:t>
      </w:r>
      <w:r>
        <w:rPr>
          <w:color w:val="231F20"/>
          <w:spacing w:val="-6"/>
          <w:sz w:val="24"/>
        </w:rPr>
        <w:t> </w:t>
      </w:r>
      <w:r>
        <w:rPr>
          <w:color w:val="231F20"/>
          <w:sz w:val="24"/>
        </w:rPr>
        <w:t>the</w:t>
      </w:r>
      <w:r>
        <w:rPr>
          <w:color w:val="231F20"/>
          <w:spacing w:val="-6"/>
          <w:sz w:val="24"/>
        </w:rPr>
        <w:t> </w:t>
      </w:r>
      <w:r>
        <w:rPr>
          <w:color w:val="231F20"/>
          <w:sz w:val="24"/>
        </w:rPr>
        <w:t>Council</w:t>
      </w:r>
      <w:r>
        <w:rPr>
          <w:color w:val="231F20"/>
          <w:spacing w:val="-7"/>
          <w:sz w:val="24"/>
        </w:rPr>
        <w:t> </w:t>
      </w:r>
      <w:r>
        <w:rPr>
          <w:color w:val="231F20"/>
          <w:sz w:val="24"/>
        </w:rPr>
        <w:t>has</w:t>
      </w:r>
      <w:r>
        <w:rPr>
          <w:color w:val="231F20"/>
          <w:spacing w:val="-6"/>
          <w:sz w:val="24"/>
        </w:rPr>
        <w:t> </w:t>
      </w:r>
      <w:r>
        <w:rPr>
          <w:color w:val="231F20"/>
          <w:sz w:val="24"/>
        </w:rPr>
        <w:t>used</w:t>
      </w:r>
      <w:r>
        <w:rPr>
          <w:color w:val="231F20"/>
          <w:spacing w:val="-6"/>
          <w:sz w:val="24"/>
        </w:rPr>
        <w:t> </w:t>
      </w:r>
      <w:r>
        <w:rPr>
          <w:color w:val="231F20"/>
          <w:sz w:val="24"/>
        </w:rPr>
        <w:t>and accounted for public money in an appropriate </w:t>
      </w:r>
      <w:r>
        <w:rPr>
          <w:color w:val="231F20"/>
          <w:spacing w:val="-2"/>
          <w:sz w:val="24"/>
        </w:rPr>
        <w:t>manner</w:t>
      </w:r>
    </w:p>
    <w:p>
      <w:pPr>
        <w:pStyle w:val="ListParagraph"/>
        <w:numPr>
          <w:ilvl w:val="1"/>
          <w:numId w:val="2"/>
        </w:numPr>
        <w:tabs>
          <w:tab w:pos="737" w:val="left" w:leader="none"/>
        </w:tabs>
        <w:spacing w:line="310" w:lineRule="exact" w:before="41" w:after="0"/>
        <w:ind w:left="737" w:right="0" w:hanging="171"/>
        <w:jc w:val="left"/>
        <w:rPr>
          <w:sz w:val="24"/>
        </w:rPr>
      </w:pPr>
      <w:r>
        <w:rPr>
          <w:color w:val="231F20"/>
          <w:sz w:val="24"/>
        </w:rPr>
        <w:t>Be</w:t>
      </w:r>
      <w:r>
        <w:rPr>
          <w:color w:val="231F20"/>
          <w:spacing w:val="-3"/>
          <w:sz w:val="24"/>
        </w:rPr>
        <w:t> </w:t>
      </w:r>
      <w:r>
        <w:rPr>
          <w:color w:val="231F20"/>
          <w:sz w:val="24"/>
        </w:rPr>
        <w:t>assured</w:t>
      </w:r>
      <w:r>
        <w:rPr>
          <w:color w:val="231F20"/>
          <w:spacing w:val="-1"/>
          <w:sz w:val="24"/>
        </w:rPr>
        <w:t> </w:t>
      </w:r>
      <w:r>
        <w:rPr>
          <w:color w:val="231F20"/>
          <w:sz w:val="24"/>
        </w:rPr>
        <w:t>that</w:t>
      </w:r>
      <w:r>
        <w:rPr>
          <w:color w:val="231F20"/>
          <w:spacing w:val="-2"/>
          <w:sz w:val="24"/>
        </w:rPr>
        <w:t> </w:t>
      </w:r>
      <w:r>
        <w:rPr>
          <w:color w:val="231F20"/>
          <w:sz w:val="24"/>
        </w:rPr>
        <w:t>the</w:t>
      </w:r>
      <w:r>
        <w:rPr>
          <w:color w:val="231F20"/>
          <w:spacing w:val="-1"/>
          <w:sz w:val="24"/>
        </w:rPr>
        <w:t> </w:t>
      </w:r>
      <w:r>
        <w:rPr>
          <w:color w:val="231F20"/>
          <w:sz w:val="24"/>
        </w:rPr>
        <w:t>financial</w:t>
      </w:r>
      <w:r>
        <w:rPr>
          <w:color w:val="231F20"/>
          <w:spacing w:val="-1"/>
          <w:sz w:val="24"/>
        </w:rPr>
        <w:t> </w:t>
      </w:r>
      <w:r>
        <w:rPr>
          <w:color w:val="231F20"/>
          <w:sz w:val="24"/>
        </w:rPr>
        <w:t>position</w:t>
      </w:r>
      <w:r>
        <w:rPr>
          <w:color w:val="231F20"/>
          <w:spacing w:val="-2"/>
          <w:sz w:val="24"/>
        </w:rPr>
        <w:t> </w:t>
      </w:r>
      <w:r>
        <w:rPr>
          <w:color w:val="231F20"/>
          <w:sz w:val="24"/>
        </w:rPr>
        <w:t>of</w:t>
      </w:r>
      <w:r>
        <w:rPr>
          <w:color w:val="231F20"/>
          <w:spacing w:val="-1"/>
          <w:sz w:val="24"/>
        </w:rPr>
        <w:t> </w:t>
      </w:r>
      <w:r>
        <w:rPr>
          <w:color w:val="231F20"/>
          <w:spacing w:val="-5"/>
          <w:sz w:val="24"/>
        </w:rPr>
        <w:t>the</w:t>
      </w:r>
    </w:p>
    <w:p>
      <w:pPr>
        <w:pStyle w:val="BodyText"/>
        <w:spacing w:line="310" w:lineRule="exact"/>
        <w:ind w:left="737"/>
      </w:pPr>
      <w:r>
        <w:rPr>
          <w:color w:val="231F20"/>
        </w:rPr>
        <w:t>Council</w:t>
      </w:r>
      <w:r>
        <w:rPr>
          <w:color w:val="231F20"/>
          <w:spacing w:val="-4"/>
        </w:rPr>
        <w:t> </w:t>
      </w:r>
      <w:r>
        <w:rPr>
          <w:color w:val="231F20"/>
        </w:rPr>
        <w:t>is</w:t>
      </w:r>
      <w:r>
        <w:rPr>
          <w:color w:val="231F20"/>
          <w:spacing w:val="-4"/>
        </w:rPr>
        <w:t> </w:t>
      </w:r>
      <w:r>
        <w:rPr>
          <w:color w:val="231F20"/>
        </w:rPr>
        <w:t>sound</w:t>
      </w:r>
      <w:r>
        <w:rPr>
          <w:color w:val="231F20"/>
          <w:spacing w:val="-4"/>
        </w:rPr>
        <w:t> </w:t>
      </w:r>
      <w:r>
        <w:rPr>
          <w:color w:val="231F20"/>
        </w:rPr>
        <w:t>and</w:t>
      </w:r>
      <w:r>
        <w:rPr>
          <w:color w:val="231F20"/>
          <w:spacing w:val="-2"/>
        </w:rPr>
        <w:t> secure</w:t>
      </w:r>
    </w:p>
    <w:p>
      <w:pPr>
        <w:pStyle w:val="BodyText"/>
        <w:spacing w:before="7"/>
        <w:rPr>
          <w:sz w:val="26"/>
        </w:rPr>
      </w:pPr>
    </w:p>
    <w:p>
      <w:pPr>
        <w:pStyle w:val="BodyText"/>
        <w:spacing w:line="225" w:lineRule="auto"/>
        <w:ind w:left="566"/>
      </w:pPr>
      <w:r>
        <w:rPr>
          <w:color w:val="231F20"/>
        </w:rPr>
        <w:t>This Statement of Accounts has been prepared and published in accordance with the Code of Practice on Local Authority Accounting 2022/23 </w:t>
      </w:r>
      <w:r>
        <w:rPr>
          <w:color w:val="231F20"/>
          <w:spacing w:val="-2"/>
        </w:rPr>
        <w:t>issued</w:t>
      </w:r>
      <w:r>
        <w:rPr>
          <w:color w:val="231F20"/>
          <w:spacing w:val="-11"/>
        </w:rPr>
        <w:t> </w:t>
      </w:r>
      <w:r>
        <w:rPr>
          <w:color w:val="231F20"/>
          <w:spacing w:val="-2"/>
        </w:rPr>
        <w:t>by</w:t>
      </w:r>
      <w:r>
        <w:rPr>
          <w:color w:val="231F20"/>
          <w:spacing w:val="-11"/>
        </w:rPr>
        <w:t> </w:t>
      </w:r>
      <w:r>
        <w:rPr>
          <w:color w:val="231F20"/>
          <w:spacing w:val="-2"/>
        </w:rPr>
        <w:t>the</w:t>
      </w:r>
      <w:r>
        <w:rPr>
          <w:color w:val="231F20"/>
          <w:spacing w:val="-11"/>
        </w:rPr>
        <w:t> </w:t>
      </w:r>
      <w:r>
        <w:rPr>
          <w:color w:val="231F20"/>
          <w:spacing w:val="-2"/>
        </w:rPr>
        <w:t>Chartered</w:t>
      </w:r>
      <w:r>
        <w:rPr>
          <w:color w:val="231F20"/>
          <w:spacing w:val="-11"/>
        </w:rPr>
        <w:t> </w:t>
      </w:r>
      <w:r>
        <w:rPr>
          <w:color w:val="231F20"/>
          <w:spacing w:val="-2"/>
        </w:rPr>
        <w:t>Institute</w:t>
      </w:r>
      <w:r>
        <w:rPr>
          <w:color w:val="231F20"/>
          <w:spacing w:val="-11"/>
        </w:rPr>
        <w:t> </w:t>
      </w:r>
      <w:r>
        <w:rPr>
          <w:color w:val="231F20"/>
          <w:spacing w:val="-2"/>
        </w:rPr>
        <w:t>of</w:t>
      </w:r>
      <w:r>
        <w:rPr>
          <w:color w:val="231F20"/>
          <w:spacing w:val="-11"/>
        </w:rPr>
        <w:t> </w:t>
      </w:r>
      <w:r>
        <w:rPr>
          <w:color w:val="231F20"/>
          <w:spacing w:val="-2"/>
        </w:rPr>
        <w:t>Public</w:t>
      </w:r>
      <w:r>
        <w:rPr>
          <w:color w:val="231F20"/>
          <w:spacing w:val="-11"/>
        </w:rPr>
        <w:t> </w:t>
      </w:r>
      <w:r>
        <w:rPr>
          <w:color w:val="231F20"/>
          <w:spacing w:val="-2"/>
        </w:rPr>
        <w:t>Finance </w:t>
      </w:r>
      <w:r>
        <w:rPr>
          <w:color w:val="231F20"/>
        </w:rPr>
        <w:t>and Accountancy (CIPFA) and the Accounts and Audit (Amendment) Regulations 2022.</w:t>
      </w:r>
    </w:p>
    <w:p>
      <w:pPr>
        <w:pStyle w:val="BodyText"/>
        <w:spacing w:before="7"/>
        <w:rPr>
          <w:sz w:val="22"/>
        </w:rPr>
      </w:pPr>
    </w:p>
    <w:p>
      <w:pPr>
        <w:pStyle w:val="BodyText"/>
        <w:spacing w:line="225" w:lineRule="auto"/>
        <w:ind w:left="566"/>
        <w:jc w:val="both"/>
      </w:pPr>
      <w:r>
        <w:rPr>
          <w:color w:val="231F20"/>
        </w:rPr>
        <w:t>The Statement of Accounts should be read in the context</w:t>
      </w:r>
      <w:r>
        <w:rPr>
          <w:color w:val="231F20"/>
          <w:spacing w:val="-7"/>
        </w:rPr>
        <w:t> </w:t>
      </w:r>
      <w:r>
        <w:rPr>
          <w:color w:val="231F20"/>
        </w:rPr>
        <w:t>of</w:t>
      </w:r>
      <w:r>
        <w:rPr>
          <w:color w:val="231F20"/>
          <w:spacing w:val="-7"/>
        </w:rPr>
        <w:t> </w:t>
      </w:r>
      <w:r>
        <w:rPr>
          <w:color w:val="231F20"/>
        </w:rPr>
        <w:t>continuing</w:t>
      </w:r>
      <w:r>
        <w:rPr>
          <w:color w:val="231F20"/>
          <w:spacing w:val="-7"/>
        </w:rPr>
        <w:t> </w:t>
      </w:r>
      <w:r>
        <w:rPr>
          <w:color w:val="231F20"/>
        </w:rPr>
        <w:t>demand</w:t>
      </w:r>
      <w:r>
        <w:rPr>
          <w:color w:val="231F20"/>
          <w:spacing w:val="-7"/>
        </w:rPr>
        <w:t> </w:t>
      </w:r>
      <w:r>
        <w:rPr>
          <w:color w:val="231F20"/>
        </w:rPr>
        <w:t>and</w:t>
      </w:r>
      <w:r>
        <w:rPr>
          <w:color w:val="231F20"/>
          <w:spacing w:val="-7"/>
        </w:rPr>
        <w:t> </w:t>
      </w:r>
      <w:r>
        <w:rPr>
          <w:color w:val="231F20"/>
        </w:rPr>
        <w:t>cost</w:t>
      </w:r>
      <w:r>
        <w:rPr>
          <w:color w:val="231F20"/>
          <w:spacing w:val="-7"/>
        </w:rPr>
        <w:t> </w:t>
      </w:r>
      <w:r>
        <w:rPr>
          <w:color w:val="231F20"/>
        </w:rPr>
        <w:t>pressures on the services provided by the Council, and</w:t>
      </w:r>
    </w:p>
    <w:p>
      <w:pPr>
        <w:pStyle w:val="BodyText"/>
        <w:spacing w:line="225" w:lineRule="auto"/>
        <w:ind w:left="566"/>
      </w:pPr>
      <w:r>
        <w:rPr>
          <w:color w:val="231F20"/>
        </w:rPr>
        <w:t>the</w:t>
      </w:r>
      <w:r>
        <w:rPr>
          <w:color w:val="231F20"/>
          <w:spacing w:val="-5"/>
        </w:rPr>
        <w:t> </w:t>
      </w:r>
      <w:r>
        <w:rPr>
          <w:color w:val="231F20"/>
        </w:rPr>
        <w:t>level</w:t>
      </w:r>
      <w:r>
        <w:rPr>
          <w:color w:val="231F20"/>
          <w:spacing w:val="-6"/>
        </w:rPr>
        <w:t> </w:t>
      </w:r>
      <w:r>
        <w:rPr>
          <w:color w:val="231F20"/>
        </w:rPr>
        <w:t>of</w:t>
      </w:r>
      <w:r>
        <w:rPr>
          <w:color w:val="231F20"/>
          <w:spacing w:val="-5"/>
        </w:rPr>
        <w:t> </w:t>
      </w:r>
      <w:r>
        <w:rPr>
          <w:color w:val="231F20"/>
        </w:rPr>
        <w:t>resources</w:t>
      </w:r>
      <w:r>
        <w:rPr>
          <w:color w:val="231F20"/>
          <w:spacing w:val="-5"/>
        </w:rPr>
        <w:t> </w:t>
      </w:r>
      <w:r>
        <w:rPr>
          <w:color w:val="231F20"/>
        </w:rPr>
        <w:t>available</w:t>
      </w:r>
      <w:r>
        <w:rPr>
          <w:color w:val="231F20"/>
          <w:spacing w:val="-5"/>
        </w:rPr>
        <w:t> </w:t>
      </w:r>
      <w:r>
        <w:rPr>
          <w:color w:val="231F20"/>
        </w:rPr>
        <w:t>to</w:t>
      </w:r>
      <w:r>
        <w:rPr>
          <w:color w:val="231F20"/>
          <w:spacing w:val="-5"/>
        </w:rPr>
        <w:t> </w:t>
      </w:r>
      <w:r>
        <w:rPr>
          <w:color w:val="231F20"/>
        </w:rPr>
        <w:t>fund</w:t>
      </w:r>
      <w:r>
        <w:rPr>
          <w:color w:val="231F20"/>
          <w:spacing w:val="-5"/>
        </w:rPr>
        <w:t> </w:t>
      </w:r>
      <w:r>
        <w:rPr>
          <w:color w:val="231F20"/>
        </w:rPr>
        <w:t>them.</w:t>
      </w:r>
      <w:r>
        <w:rPr>
          <w:color w:val="231F20"/>
          <w:spacing w:val="-5"/>
        </w:rPr>
        <w:t> </w:t>
      </w:r>
      <w:r>
        <w:rPr>
          <w:color w:val="231F20"/>
        </w:rPr>
        <w:t>This includes the unprecedented level of inflation in the economy which has caused a cost of living crisis, severely impacting both our residents and businesses across the District.</w:t>
      </w:r>
    </w:p>
    <w:p>
      <w:pPr>
        <w:pStyle w:val="BodyText"/>
        <w:spacing w:before="7"/>
        <w:rPr>
          <w:sz w:val="22"/>
        </w:rPr>
      </w:pPr>
    </w:p>
    <w:p>
      <w:pPr>
        <w:pStyle w:val="BodyText"/>
        <w:spacing w:line="225" w:lineRule="auto"/>
        <w:ind w:left="566" w:right="4"/>
      </w:pPr>
      <w:r>
        <w:rPr>
          <w:color w:val="231F20"/>
        </w:rPr>
        <w:t>As the Government issued another single year Spending Round for 2023/24 there remains significant uncertainty about the level of future core Government funding. In the 2023/24 Local Government</w:t>
      </w:r>
      <w:r>
        <w:rPr>
          <w:color w:val="231F20"/>
          <w:spacing w:val="-8"/>
        </w:rPr>
        <w:t> </w:t>
      </w:r>
      <w:r>
        <w:rPr>
          <w:color w:val="231F20"/>
        </w:rPr>
        <w:t>Finance</w:t>
      </w:r>
      <w:r>
        <w:rPr>
          <w:color w:val="231F20"/>
          <w:spacing w:val="-8"/>
        </w:rPr>
        <w:t> </w:t>
      </w:r>
      <w:r>
        <w:rPr>
          <w:color w:val="231F20"/>
        </w:rPr>
        <w:t>Settlement</w:t>
      </w:r>
      <w:r>
        <w:rPr>
          <w:color w:val="231F20"/>
          <w:spacing w:val="-8"/>
        </w:rPr>
        <w:t> </w:t>
      </w:r>
      <w:r>
        <w:rPr>
          <w:color w:val="231F20"/>
        </w:rPr>
        <w:t>it</w:t>
      </w:r>
      <w:r>
        <w:rPr>
          <w:color w:val="231F20"/>
          <w:spacing w:val="-8"/>
        </w:rPr>
        <w:t> </w:t>
      </w:r>
      <w:r>
        <w:rPr>
          <w:color w:val="231F20"/>
        </w:rPr>
        <w:t>was</w:t>
      </w:r>
      <w:r>
        <w:rPr>
          <w:color w:val="231F20"/>
          <w:spacing w:val="-8"/>
        </w:rPr>
        <w:t> </w:t>
      </w:r>
      <w:r>
        <w:rPr>
          <w:color w:val="231F20"/>
        </w:rPr>
        <w:t>confirmed that Local Government Funding Reform would not</w:t>
      </w:r>
      <w:r>
        <w:rPr>
          <w:color w:val="231F20"/>
          <w:spacing w:val="-2"/>
        </w:rPr>
        <w:t> </w:t>
      </w:r>
      <w:r>
        <w:rPr>
          <w:color w:val="231F20"/>
        </w:rPr>
        <w:t>be</w:t>
      </w:r>
      <w:r>
        <w:rPr>
          <w:color w:val="231F20"/>
          <w:spacing w:val="-2"/>
        </w:rPr>
        <w:t> </w:t>
      </w:r>
      <w:r>
        <w:rPr>
          <w:color w:val="231F20"/>
        </w:rPr>
        <w:t>implemented</w:t>
      </w:r>
      <w:r>
        <w:rPr>
          <w:color w:val="231F20"/>
          <w:spacing w:val="-3"/>
        </w:rPr>
        <w:t> </w:t>
      </w:r>
      <w:r>
        <w:rPr>
          <w:color w:val="231F20"/>
        </w:rPr>
        <w:t>until</w:t>
      </w:r>
      <w:r>
        <w:rPr>
          <w:color w:val="231F20"/>
          <w:spacing w:val="-2"/>
        </w:rPr>
        <w:t> </w:t>
      </w:r>
      <w:r>
        <w:rPr>
          <w:color w:val="231F20"/>
        </w:rPr>
        <w:t>2025/26</w:t>
      </w:r>
      <w:r>
        <w:rPr>
          <w:color w:val="231F20"/>
          <w:spacing w:val="-3"/>
        </w:rPr>
        <w:t> </w:t>
      </w:r>
      <w:r>
        <w:rPr>
          <w:color w:val="231F20"/>
        </w:rPr>
        <w:t>at</w:t>
      </w:r>
      <w:r>
        <w:rPr>
          <w:color w:val="231F20"/>
          <w:spacing w:val="-2"/>
        </w:rPr>
        <w:t> </w:t>
      </w:r>
      <w:r>
        <w:rPr>
          <w:color w:val="231F20"/>
        </w:rPr>
        <w:t>the</w:t>
      </w:r>
      <w:r>
        <w:rPr>
          <w:color w:val="231F20"/>
          <w:spacing w:val="-2"/>
        </w:rPr>
        <w:t> </w:t>
      </w:r>
      <w:r>
        <w:rPr>
          <w:color w:val="231F20"/>
        </w:rPr>
        <w:t>earliest.</w:t>
      </w:r>
    </w:p>
    <w:p>
      <w:pPr>
        <w:pStyle w:val="BodyText"/>
        <w:spacing w:line="225" w:lineRule="auto" w:before="116"/>
        <w:ind w:left="248" w:right="570"/>
      </w:pPr>
      <w:r>
        <w:rPr/>
        <w:br w:type="column"/>
      </w:r>
      <w:r>
        <w:rPr>
          <w:color w:val="231F20"/>
        </w:rPr>
        <w:t>This severely hampers effective medium to</w:t>
      </w:r>
      <w:r>
        <w:rPr>
          <w:color w:val="231F20"/>
          <w:spacing w:val="40"/>
        </w:rPr>
        <w:t> </w:t>
      </w:r>
      <w:r>
        <w:rPr>
          <w:color w:val="231F20"/>
        </w:rPr>
        <w:t>longer term financial planning. This financial uncertainty</w:t>
      </w:r>
      <w:r>
        <w:rPr>
          <w:color w:val="231F20"/>
          <w:spacing w:val="-6"/>
        </w:rPr>
        <w:t> </w:t>
      </w:r>
      <w:r>
        <w:rPr>
          <w:color w:val="231F20"/>
        </w:rPr>
        <w:t>is</w:t>
      </w:r>
      <w:r>
        <w:rPr>
          <w:color w:val="231F20"/>
          <w:spacing w:val="-6"/>
        </w:rPr>
        <w:t> </w:t>
      </w:r>
      <w:r>
        <w:rPr>
          <w:color w:val="231F20"/>
        </w:rPr>
        <w:t>further</w:t>
      </w:r>
      <w:r>
        <w:rPr>
          <w:color w:val="231F20"/>
          <w:spacing w:val="-6"/>
        </w:rPr>
        <w:t> </w:t>
      </w:r>
      <w:r>
        <w:rPr>
          <w:color w:val="231F20"/>
        </w:rPr>
        <w:t>compounded</w:t>
      </w:r>
      <w:r>
        <w:rPr>
          <w:color w:val="231F20"/>
          <w:spacing w:val="-6"/>
        </w:rPr>
        <w:t> </w:t>
      </w:r>
      <w:r>
        <w:rPr>
          <w:color w:val="231F20"/>
        </w:rPr>
        <w:t>by</w:t>
      </w:r>
      <w:r>
        <w:rPr>
          <w:color w:val="231F20"/>
          <w:spacing w:val="-6"/>
        </w:rPr>
        <w:t> </w:t>
      </w:r>
      <w:r>
        <w:rPr>
          <w:color w:val="231F20"/>
        </w:rPr>
        <w:t>the</w:t>
      </w:r>
      <w:r>
        <w:rPr>
          <w:color w:val="231F20"/>
          <w:spacing w:val="-6"/>
        </w:rPr>
        <w:t> </w:t>
      </w:r>
      <w:r>
        <w:rPr>
          <w:color w:val="231F20"/>
        </w:rPr>
        <w:t>current levels of inflation in the economy.</w:t>
      </w:r>
    </w:p>
    <w:p>
      <w:pPr>
        <w:pStyle w:val="BodyText"/>
        <w:spacing w:before="7"/>
        <w:rPr>
          <w:sz w:val="22"/>
        </w:rPr>
      </w:pPr>
    </w:p>
    <w:p>
      <w:pPr>
        <w:pStyle w:val="BodyText"/>
        <w:spacing w:line="225" w:lineRule="auto"/>
        <w:ind w:left="248" w:right="686"/>
      </w:pPr>
      <w:r>
        <w:rPr/>
        <w:pict>
          <v:group style="position:absolute;margin-left:578.504028pt;margin-top:58.829491pt;width:16.8pt;height:192.8pt;mso-position-horizontal-relative:page;mso-position-vertical-relative:paragraph;z-index:15736320" id="docshapegroup42" coordorigin="11570,1177" coordsize="336,3856">
            <v:rect style="position:absolute;left:11570;top:4067;width:336;height:964" id="docshape43" filled="true" fillcolor="#f15d6b" stroked="false">
              <v:fill type="solid"/>
            </v:rect>
            <v:rect style="position:absolute;left:11570;top:3104;width:336;height:964" id="docshape44" filled="true" fillcolor="#fbac42" stroked="false">
              <v:fill type="solid"/>
            </v:rect>
            <v:rect style="position:absolute;left:11570;top:2140;width:336;height:964" id="docshape45" filled="true" fillcolor="#b78fc1" stroked="false">
              <v:fill type="solid"/>
            </v:rect>
            <v:rect style="position:absolute;left:11570;top:1176;width:336;height:964" id="docshape46" filled="true" fillcolor="#378372" stroked="false">
              <v:fill type="solid"/>
            </v:rect>
            <w10:wrap type="none"/>
          </v:group>
        </w:pict>
      </w:r>
      <w:r>
        <w:rPr>
          <w:color w:val="231F20"/>
        </w:rPr>
        <w:t>It is expected that the pressures on Council services will continue to rise and the future financial position of the Council will be dependent on its ability to manage demand, with</w:t>
      </w:r>
      <w:r>
        <w:rPr>
          <w:color w:val="231F20"/>
          <w:spacing w:val="-5"/>
        </w:rPr>
        <w:t> </w:t>
      </w:r>
      <w:r>
        <w:rPr>
          <w:color w:val="231F20"/>
        </w:rPr>
        <w:t>reducing</w:t>
      </w:r>
      <w:r>
        <w:rPr>
          <w:color w:val="231F20"/>
          <w:spacing w:val="-5"/>
        </w:rPr>
        <w:t> </w:t>
      </w:r>
      <w:r>
        <w:rPr>
          <w:color w:val="231F20"/>
        </w:rPr>
        <w:t>resources</w:t>
      </w:r>
      <w:r>
        <w:rPr>
          <w:color w:val="231F20"/>
          <w:spacing w:val="-5"/>
        </w:rPr>
        <w:t> </w:t>
      </w:r>
      <w:r>
        <w:rPr>
          <w:color w:val="231F20"/>
        </w:rPr>
        <w:t>at</w:t>
      </w:r>
      <w:r>
        <w:rPr>
          <w:color w:val="231F20"/>
          <w:spacing w:val="-5"/>
        </w:rPr>
        <w:t> </w:t>
      </w:r>
      <w:r>
        <w:rPr>
          <w:color w:val="231F20"/>
        </w:rPr>
        <w:t>a</w:t>
      </w:r>
      <w:r>
        <w:rPr>
          <w:color w:val="231F20"/>
          <w:spacing w:val="-5"/>
        </w:rPr>
        <w:t> </w:t>
      </w:r>
      <w:r>
        <w:rPr>
          <w:color w:val="231F20"/>
        </w:rPr>
        <w:t>time</w:t>
      </w:r>
      <w:r>
        <w:rPr>
          <w:color w:val="231F20"/>
          <w:spacing w:val="-5"/>
        </w:rPr>
        <w:t> </w:t>
      </w:r>
      <w:r>
        <w:rPr>
          <w:color w:val="231F20"/>
        </w:rPr>
        <w:t>of</w:t>
      </w:r>
      <w:r>
        <w:rPr>
          <w:color w:val="231F20"/>
          <w:spacing w:val="-5"/>
        </w:rPr>
        <w:t> </w:t>
      </w:r>
      <w:r>
        <w:rPr>
          <w:color w:val="231F20"/>
        </w:rPr>
        <w:t>increasing </w:t>
      </w:r>
      <w:r>
        <w:rPr>
          <w:color w:val="231F20"/>
          <w:spacing w:val="-2"/>
        </w:rPr>
        <w:t>inflation.</w:t>
      </w:r>
    </w:p>
    <w:p>
      <w:pPr>
        <w:pStyle w:val="BodyText"/>
        <w:spacing w:before="7"/>
        <w:rPr>
          <w:sz w:val="22"/>
        </w:rPr>
      </w:pPr>
    </w:p>
    <w:p>
      <w:pPr>
        <w:pStyle w:val="BodyText"/>
        <w:spacing w:line="225" w:lineRule="auto"/>
        <w:ind w:left="248" w:right="584"/>
      </w:pPr>
      <w:r>
        <w:rPr>
          <w:color w:val="231F20"/>
        </w:rPr>
        <w:t>The Council continues to progress implementation of its Digital Services Transformation Strategy, which along with the review of current services and service level provision, and the identification of opportunities for additional income generation, will be critical to the Council’s ongoing financial sustainability. Ashfield</w:t>
      </w:r>
      <w:r>
        <w:rPr>
          <w:color w:val="231F20"/>
          <w:spacing w:val="-4"/>
        </w:rPr>
        <w:t> </w:t>
      </w:r>
      <w:r>
        <w:rPr>
          <w:color w:val="231F20"/>
        </w:rPr>
        <w:t>is</w:t>
      </w:r>
      <w:r>
        <w:rPr>
          <w:color w:val="231F20"/>
          <w:spacing w:val="-5"/>
        </w:rPr>
        <w:t> </w:t>
      </w:r>
      <w:r>
        <w:rPr>
          <w:color w:val="231F20"/>
        </w:rPr>
        <w:t>not</w:t>
      </w:r>
      <w:r>
        <w:rPr>
          <w:color w:val="231F20"/>
          <w:spacing w:val="-4"/>
        </w:rPr>
        <w:t> </w:t>
      </w:r>
      <w:r>
        <w:rPr>
          <w:color w:val="231F20"/>
        </w:rPr>
        <w:t>unique</w:t>
      </w:r>
      <w:r>
        <w:rPr>
          <w:color w:val="231F20"/>
          <w:spacing w:val="-4"/>
        </w:rPr>
        <w:t> </w:t>
      </w:r>
      <w:r>
        <w:rPr>
          <w:color w:val="231F20"/>
        </w:rPr>
        <w:t>in</w:t>
      </w:r>
      <w:r>
        <w:rPr>
          <w:color w:val="231F20"/>
          <w:spacing w:val="-5"/>
        </w:rPr>
        <w:t> </w:t>
      </w:r>
      <w:r>
        <w:rPr>
          <w:color w:val="231F20"/>
        </w:rPr>
        <w:t>this</w:t>
      </w:r>
      <w:r>
        <w:rPr>
          <w:color w:val="231F20"/>
          <w:spacing w:val="-4"/>
        </w:rPr>
        <w:t> </w:t>
      </w:r>
      <w:r>
        <w:rPr>
          <w:color w:val="231F20"/>
        </w:rPr>
        <w:t>regard</w:t>
      </w:r>
      <w:r>
        <w:rPr>
          <w:color w:val="231F20"/>
          <w:spacing w:val="-4"/>
        </w:rPr>
        <w:t> </w:t>
      </w:r>
      <w:r>
        <w:rPr>
          <w:color w:val="231F20"/>
        </w:rPr>
        <w:t>–</w:t>
      </w:r>
      <w:r>
        <w:rPr>
          <w:color w:val="231F20"/>
          <w:spacing w:val="-4"/>
        </w:rPr>
        <w:t> </w:t>
      </w:r>
      <w:r>
        <w:rPr>
          <w:color w:val="231F20"/>
        </w:rPr>
        <w:t>all</w:t>
      </w:r>
      <w:r>
        <w:rPr>
          <w:color w:val="231F20"/>
          <w:spacing w:val="-4"/>
        </w:rPr>
        <w:t> </w:t>
      </w:r>
      <w:r>
        <w:rPr>
          <w:color w:val="231F20"/>
        </w:rPr>
        <w:t>Councils face this future funding uncertainty.</w:t>
      </w:r>
    </w:p>
    <w:p>
      <w:pPr>
        <w:pStyle w:val="BodyText"/>
        <w:spacing w:before="7"/>
        <w:rPr>
          <w:sz w:val="22"/>
        </w:rPr>
      </w:pPr>
    </w:p>
    <w:p>
      <w:pPr>
        <w:pStyle w:val="BodyText"/>
        <w:spacing w:line="225" w:lineRule="auto"/>
        <w:ind w:left="248" w:right="570"/>
      </w:pPr>
      <w:r>
        <w:rPr>
          <w:color w:val="231F20"/>
        </w:rPr>
        <w:t>We know that further challenges lie ahead and the Council’s Cabinet working with senior management</w:t>
      </w:r>
      <w:r>
        <w:rPr>
          <w:color w:val="231F20"/>
          <w:spacing w:val="-8"/>
        </w:rPr>
        <w:t> </w:t>
      </w:r>
      <w:r>
        <w:rPr>
          <w:color w:val="231F20"/>
        </w:rPr>
        <w:t>are</w:t>
      </w:r>
      <w:r>
        <w:rPr>
          <w:color w:val="231F20"/>
          <w:spacing w:val="-7"/>
        </w:rPr>
        <w:t> </w:t>
      </w:r>
      <w:r>
        <w:rPr>
          <w:color w:val="231F20"/>
        </w:rPr>
        <w:t>actively</w:t>
      </w:r>
      <w:r>
        <w:rPr>
          <w:color w:val="231F20"/>
          <w:spacing w:val="-7"/>
        </w:rPr>
        <w:t> </w:t>
      </w:r>
      <w:r>
        <w:rPr>
          <w:color w:val="231F20"/>
        </w:rPr>
        <w:t>progressing</w:t>
      </w:r>
      <w:r>
        <w:rPr>
          <w:color w:val="231F20"/>
          <w:spacing w:val="-7"/>
        </w:rPr>
        <w:t> </w:t>
      </w:r>
      <w:r>
        <w:rPr>
          <w:color w:val="231F20"/>
        </w:rPr>
        <w:t>options</w:t>
      </w:r>
      <w:r>
        <w:rPr>
          <w:color w:val="231F20"/>
          <w:spacing w:val="-7"/>
        </w:rPr>
        <w:t> </w:t>
      </w:r>
      <w:r>
        <w:rPr>
          <w:color w:val="231F20"/>
        </w:rPr>
        <w:t>to address these challenges.</w:t>
      </w:r>
    </w:p>
    <w:p>
      <w:pPr>
        <w:pStyle w:val="BodyText"/>
        <w:spacing w:before="7"/>
        <w:rPr>
          <w:sz w:val="22"/>
        </w:rPr>
      </w:pPr>
    </w:p>
    <w:p>
      <w:pPr>
        <w:pStyle w:val="BodyText"/>
        <w:spacing w:line="225" w:lineRule="auto"/>
        <w:ind w:left="248" w:right="703"/>
      </w:pPr>
      <w:r>
        <w:rPr>
          <w:color w:val="231F20"/>
        </w:rPr>
        <w:t>The 2022/23 accounts demonstrate the</w:t>
      </w:r>
      <w:r>
        <w:rPr>
          <w:color w:val="231F20"/>
          <w:spacing w:val="40"/>
        </w:rPr>
        <w:t> </w:t>
      </w:r>
      <w:r>
        <w:rPr>
          <w:color w:val="231F20"/>
        </w:rPr>
        <w:t>Council’s</w:t>
      </w:r>
      <w:r>
        <w:rPr>
          <w:color w:val="231F20"/>
          <w:spacing w:val="-7"/>
        </w:rPr>
        <w:t> </w:t>
      </w:r>
      <w:r>
        <w:rPr>
          <w:color w:val="231F20"/>
        </w:rPr>
        <w:t>success,</w:t>
      </w:r>
      <w:r>
        <w:rPr>
          <w:color w:val="231F20"/>
          <w:spacing w:val="-7"/>
        </w:rPr>
        <w:t> </w:t>
      </w:r>
      <w:r>
        <w:rPr>
          <w:color w:val="231F20"/>
        </w:rPr>
        <w:t>despite</w:t>
      </w:r>
      <w:r>
        <w:rPr>
          <w:color w:val="231F20"/>
          <w:spacing w:val="-6"/>
        </w:rPr>
        <w:t> </w:t>
      </w:r>
      <w:r>
        <w:rPr>
          <w:color w:val="231F20"/>
        </w:rPr>
        <w:t>the</w:t>
      </w:r>
      <w:r>
        <w:rPr>
          <w:color w:val="231F20"/>
          <w:spacing w:val="-6"/>
        </w:rPr>
        <w:t> </w:t>
      </w:r>
      <w:r>
        <w:rPr>
          <w:color w:val="231F20"/>
        </w:rPr>
        <w:t>ongoing</w:t>
      </w:r>
      <w:r>
        <w:rPr>
          <w:color w:val="231F20"/>
          <w:spacing w:val="-6"/>
        </w:rPr>
        <w:t> </w:t>
      </w:r>
      <w:r>
        <w:rPr>
          <w:color w:val="231F20"/>
        </w:rPr>
        <w:t>impact</w:t>
      </w:r>
      <w:r>
        <w:rPr>
          <w:color w:val="231F20"/>
          <w:spacing w:val="-7"/>
        </w:rPr>
        <w:t> </w:t>
      </w:r>
      <w:r>
        <w:rPr>
          <w:color w:val="231F20"/>
        </w:rPr>
        <w:t>of unprecedented</w:t>
      </w:r>
      <w:r>
        <w:rPr>
          <w:color w:val="231F20"/>
          <w:spacing w:val="-4"/>
        </w:rPr>
        <w:t> </w:t>
      </w:r>
      <w:r>
        <w:rPr>
          <w:color w:val="231F20"/>
        </w:rPr>
        <w:t>inflation,</w:t>
      </w:r>
      <w:r>
        <w:rPr>
          <w:color w:val="231F20"/>
          <w:spacing w:val="-5"/>
        </w:rPr>
        <w:t> </w:t>
      </w:r>
      <w:r>
        <w:rPr>
          <w:color w:val="231F20"/>
        </w:rPr>
        <w:t>in</w:t>
      </w:r>
      <w:r>
        <w:rPr>
          <w:color w:val="231F20"/>
          <w:spacing w:val="-5"/>
        </w:rPr>
        <w:t> </w:t>
      </w:r>
      <w:r>
        <w:rPr>
          <w:color w:val="231F20"/>
        </w:rPr>
        <w:t>continuing</w:t>
      </w:r>
      <w:r>
        <w:rPr>
          <w:color w:val="231F20"/>
          <w:spacing w:val="-4"/>
        </w:rPr>
        <w:t> </w:t>
      </w:r>
      <w:r>
        <w:rPr>
          <w:color w:val="231F20"/>
        </w:rPr>
        <w:t>to</w:t>
      </w:r>
      <w:r>
        <w:rPr>
          <w:color w:val="231F20"/>
          <w:spacing w:val="-4"/>
        </w:rPr>
        <w:t> </w:t>
      </w:r>
      <w:r>
        <w:rPr>
          <w:color w:val="231F20"/>
        </w:rPr>
        <w:t>deliver high quality services within budget and this will put the Council in a good position in respect of addressing future financial challenges.</w:t>
      </w:r>
    </w:p>
    <w:p>
      <w:pPr>
        <w:spacing w:line="310" w:lineRule="exact" w:before="284"/>
        <w:ind w:left="248" w:right="0" w:firstLine="0"/>
        <w:jc w:val="left"/>
        <w:rPr>
          <w:b/>
          <w:sz w:val="24"/>
        </w:rPr>
      </w:pPr>
      <w:r>
        <w:rPr>
          <w:b/>
          <w:color w:val="231F20"/>
          <w:sz w:val="24"/>
        </w:rPr>
        <w:t>Pete</w:t>
      </w:r>
      <w:r>
        <w:rPr>
          <w:b/>
          <w:color w:val="231F20"/>
          <w:spacing w:val="-7"/>
          <w:sz w:val="24"/>
        </w:rPr>
        <w:t> </w:t>
      </w:r>
      <w:r>
        <w:rPr>
          <w:b/>
          <w:color w:val="231F20"/>
          <w:sz w:val="24"/>
        </w:rPr>
        <w:t>Hudson</w:t>
      </w:r>
      <w:r>
        <w:rPr>
          <w:b/>
          <w:color w:val="231F20"/>
          <w:spacing w:val="-4"/>
          <w:sz w:val="24"/>
        </w:rPr>
        <w:t> </w:t>
      </w:r>
      <w:r>
        <w:rPr>
          <w:b/>
          <w:color w:val="231F20"/>
          <w:sz w:val="24"/>
        </w:rPr>
        <w:t>ACMA,</w:t>
      </w:r>
      <w:r>
        <w:rPr>
          <w:b/>
          <w:color w:val="231F20"/>
          <w:spacing w:val="-4"/>
          <w:sz w:val="24"/>
        </w:rPr>
        <w:t> CGMA</w:t>
      </w:r>
    </w:p>
    <w:p>
      <w:pPr>
        <w:pStyle w:val="BodyText"/>
        <w:spacing w:line="310" w:lineRule="exact"/>
        <w:ind w:left="248"/>
      </w:pPr>
      <w:r>
        <w:rPr>
          <w:color w:val="231F20"/>
        </w:rPr>
        <w:t>Corporate</w:t>
      </w:r>
      <w:r>
        <w:rPr>
          <w:color w:val="231F20"/>
          <w:spacing w:val="-9"/>
        </w:rPr>
        <w:t> </w:t>
      </w:r>
      <w:r>
        <w:rPr>
          <w:color w:val="231F20"/>
        </w:rPr>
        <w:t>Resources</w:t>
      </w:r>
      <w:r>
        <w:rPr>
          <w:color w:val="231F20"/>
          <w:spacing w:val="-6"/>
        </w:rPr>
        <w:t> </w:t>
      </w:r>
      <w:r>
        <w:rPr>
          <w:color w:val="231F20"/>
        </w:rPr>
        <w:t>Director</w:t>
      </w:r>
      <w:r>
        <w:rPr>
          <w:color w:val="231F20"/>
          <w:spacing w:val="-7"/>
        </w:rPr>
        <w:t> </w:t>
      </w:r>
      <w:r>
        <w:rPr>
          <w:color w:val="231F20"/>
        </w:rPr>
        <w:t>(S151</w:t>
      </w:r>
      <w:r>
        <w:rPr>
          <w:color w:val="231F20"/>
          <w:spacing w:val="-5"/>
        </w:rPr>
        <w:t> </w:t>
      </w:r>
      <w:r>
        <w:rPr>
          <w:color w:val="231F20"/>
          <w:spacing w:val="-2"/>
        </w:rPr>
        <w:t>Officer)</w:t>
      </w:r>
    </w:p>
    <w:p>
      <w:pPr>
        <w:spacing w:after="0" w:line="310" w:lineRule="exact"/>
        <w:sectPr>
          <w:type w:val="continuous"/>
          <w:pgSz w:w="11910" w:h="16840"/>
          <w:pgMar w:header="567" w:footer="367" w:top="260" w:bottom="0" w:left="0" w:right="0"/>
          <w:cols w:num="2" w:equalWidth="0">
            <w:col w:w="5806" w:space="40"/>
            <w:col w:w="606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8"/>
        </w:rPr>
      </w:pPr>
    </w:p>
    <w:p>
      <w:pPr>
        <w:spacing w:after="0"/>
        <w:rPr>
          <w:sz w:val="28"/>
        </w:rPr>
        <w:sectPr>
          <w:headerReference w:type="default" r:id="rId22"/>
          <w:footerReference w:type="default" r:id="rId23"/>
          <w:pgSz w:w="11910" w:h="16840"/>
          <w:pgMar w:header="567" w:footer="367" w:top="2120" w:bottom="560" w:left="0" w:right="0"/>
        </w:sectPr>
      </w:pPr>
    </w:p>
    <w:p>
      <w:pPr>
        <w:pStyle w:val="Heading4"/>
        <w:spacing w:line="225" w:lineRule="auto" w:before="115"/>
        <w:ind w:right="257"/>
      </w:pPr>
      <w:r>
        <w:rPr/>
        <w:pict>
          <v:group style="position:absolute;margin-left:0pt;margin-top:106.704269pt;width:595.3pt;height:120.1pt;mso-position-horizontal-relative:page;mso-position-vertical-relative:page;z-index:-16876032" id="docshapegroup51" coordorigin="0,2134" coordsize="11906,2402">
            <v:shape style="position:absolute;left:0;top:2267;width:11906;height:2268" type="#_x0000_t75" id="docshape52" stroked="false">
              <v:imagedata r:id="rId24" o:title=""/>
            </v:shape>
            <v:shape style="position:absolute;left:3095;top:2134;width:8272;height:799" type="#_x0000_t202" id="docshape53" filled="false" stroked="false">
              <v:textbox inset="0,0,0,0">
                <w:txbxContent>
                  <w:p>
                    <w:pPr>
                      <w:spacing w:before="0"/>
                      <w:ind w:left="0" w:right="0" w:firstLine="0"/>
                      <w:jc w:val="left"/>
                      <w:rPr>
                        <w:b/>
                        <w:sz w:val="60"/>
                      </w:rPr>
                    </w:pPr>
                    <w:r>
                      <w:rPr>
                        <w:b/>
                        <w:color w:val="FFFFFF"/>
                        <w:spacing w:val="14"/>
                        <w:sz w:val="60"/>
                      </w:rPr>
                      <w:t>THE</w:t>
                    </w:r>
                    <w:r>
                      <w:rPr>
                        <w:b/>
                        <w:color w:val="FFFFFF"/>
                        <w:spacing w:val="21"/>
                        <w:sz w:val="60"/>
                      </w:rPr>
                      <w:t> </w:t>
                    </w:r>
                    <w:r>
                      <w:rPr>
                        <w:b/>
                        <w:color w:val="FFFFFF"/>
                        <w:spacing w:val="18"/>
                        <w:sz w:val="60"/>
                      </w:rPr>
                      <w:t>DISTRICT</w:t>
                    </w:r>
                    <w:r>
                      <w:rPr>
                        <w:b/>
                        <w:color w:val="FFFFFF"/>
                        <w:spacing w:val="21"/>
                        <w:sz w:val="60"/>
                      </w:rPr>
                      <w:t> </w:t>
                    </w:r>
                    <w:r>
                      <w:rPr>
                        <w:b/>
                        <w:color w:val="FFFFFF"/>
                        <w:spacing w:val="10"/>
                        <w:sz w:val="60"/>
                      </w:rPr>
                      <w:t>OF</w:t>
                    </w:r>
                    <w:r>
                      <w:rPr>
                        <w:b/>
                        <w:color w:val="FFFFFF"/>
                        <w:spacing w:val="21"/>
                        <w:sz w:val="60"/>
                      </w:rPr>
                      <w:t> </w:t>
                    </w:r>
                    <w:r>
                      <w:rPr>
                        <w:b/>
                        <w:color w:val="FFFFFF"/>
                        <w:spacing w:val="18"/>
                        <w:sz w:val="60"/>
                      </w:rPr>
                      <w:t>ASHFIELD</w:t>
                    </w:r>
                  </w:p>
                </w:txbxContent>
              </v:textbox>
              <w10:wrap type="none"/>
            </v:shape>
            <v:shape style="position:absolute;left:10543;top:4240;width:1240;height:205" type="#_x0000_t202" id="docshape54" filled="false" stroked="false">
              <v:textbox inset="0,0,0,0">
                <w:txbxContent>
                  <w:p>
                    <w:pPr>
                      <w:spacing w:line="204" w:lineRule="exact" w:before="0"/>
                      <w:ind w:left="0" w:right="0" w:firstLine="0"/>
                      <w:jc w:val="left"/>
                      <w:rPr>
                        <w:rFonts w:ascii="Poppins"/>
                        <w:sz w:val="20"/>
                      </w:rPr>
                    </w:pPr>
                    <w:r>
                      <w:rPr>
                        <w:rFonts w:ascii="Poppins"/>
                        <w:color w:val="FFFFFF"/>
                        <w:sz w:val="20"/>
                      </w:rPr>
                      <w:t>Ashley </w:t>
                    </w:r>
                    <w:r>
                      <w:rPr>
                        <w:rFonts w:ascii="Poppins"/>
                        <w:color w:val="FFFFFF"/>
                        <w:spacing w:val="-4"/>
                        <w:sz w:val="20"/>
                      </w:rPr>
                      <w:t>Duffy</w:t>
                    </w:r>
                  </w:p>
                </w:txbxContent>
              </v:textbox>
              <w10:wrap type="none"/>
            </v:shape>
            <w10:wrap type="none"/>
          </v:group>
        </w:pict>
      </w:r>
      <w:r>
        <w:rPr>
          <w:color w:val="3B5673"/>
        </w:rPr>
        <w:t>Ashfield is situated within North Nottinghamshire and serves a population of</w:t>
      </w:r>
      <w:r>
        <w:rPr>
          <w:color w:val="3B5673"/>
          <w:spacing w:val="-13"/>
        </w:rPr>
        <w:t> </w:t>
      </w:r>
      <w:r>
        <w:rPr>
          <w:color w:val="3B5673"/>
        </w:rPr>
        <w:t>approximately</w:t>
      </w:r>
      <w:r>
        <w:rPr>
          <w:color w:val="3B5673"/>
          <w:spacing w:val="-12"/>
        </w:rPr>
        <w:t> </w:t>
      </w:r>
      <w:r>
        <w:rPr>
          <w:color w:val="3B5673"/>
        </w:rPr>
        <w:t>128,300</w:t>
      </w:r>
      <w:r>
        <w:rPr>
          <w:color w:val="3B5673"/>
          <w:spacing w:val="-13"/>
        </w:rPr>
        <w:t> </w:t>
      </w:r>
      <w:r>
        <w:rPr>
          <w:color w:val="3B5673"/>
        </w:rPr>
        <w:t>residents</w:t>
      </w:r>
      <w:r>
        <w:rPr>
          <w:color w:val="3B5673"/>
          <w:spacing w:val="-12"/>
        </w:rPr>
        <w:t> </w:t>
      </w:r>
      <w:r>
        <w:rPr>
          <w:color w:val="3B5673"/>
        </w:rPr>
        <w:t>(Census 2021) covering an area of 42 square miles across three towns (Kirkby-in-Ashfield, Sutton-in-Ashfield and Hucknall) and a number of rural villages. The area boasts a</w:t>
      </w:r>
    </w:p>
    <w:p>
      <w:pPr>
        <w:spacing w:line="225" w:lineRule="auto" w:before="0"/>
        <w:ind w:left="566" w:right="84" w:firstLine="0"/>
        <w:jc w:val="left"/>
        <w:rPr>
          <w:b/>
          <w:sz w:val="24"/>
        </w:rPr>
      </w:pPr>
      <w:r>
        <w:rPr>
          <w:b/>
          <w:color w:val="3B5673"/>
          <w:sz w:val="24"/>
        </w:rPr>
        <w:t>mix</w:t>
      </w:r>
      <w:r>
        <w:rPr>
          <w:b/>
          <w:color w:val="3B5673"/>
          <w:spacing w:val="-8"/>
          <w:sz w:val="24"/>
        </w:rPr>
        <w:t> </w:t>
      </w:r>
      <w:r>
        <w:rPr>
          <w:b/>
          <w:color w:val="3B5673"/>
          <w:sz w:val="24"/>
        </w:rPr>
        <w:t>of</w:t>
      </w:r>
      <w:r>
        <w:rPr>
          <w:b/>
          <w:color w:val="3B5673"/>
          <w:spacing w:val="-9"/>
          <w:sz w:val="24"/>
        </w:rPr>
        <w:t> </w:t>
      </w:r>
      <w:r>
        <w:rPr>
          <w:b/>
          <w:color w:val="3B5673"/>
          <w:sz w:val="24"/>
        </w:rPr>
        <w:t>beautiful</w:t>
      </w:r>
      <w:r>
        <w:rPr>
          <w:b/>
          <w:color w:val="3B5673"/>
          <w:spacing w:val="-9"/>
          <w:sz w:val="24"/>
        </w:rPr>
        <w:t> </w:t>
      </w:r>
      <w:r>
        <w:rPr>
          <w:b/>
          <w:color w:val="3B5673"/>
          <w:sz w:val="24"/>
        </w:rPr>
        <w:t>countryside,</w:t>
      </w:r>
      <w:r>
        <w:rPr>
          <w:b/>
          <w:color w:val="3B5673"/>
          <w:spacing w:val="-9"/>
          <w:sz w:val="24"/>
        </w:rPr>
        <w:t> </w:t>
      </w:r>
      <w:r>
        <w:rPr>
          <w:b/>
          <w:color w:val="3B5673"/>
          <w:sz w:val="24"/>
        </w:rPr>
        <w:t>complemented by award winning urban and country parks. Ashfield is one of seven District Councils in </w:t>
      </w:r>
      <w:r>
        <w:rPr>
          <w:b/>
          <w:color w:val="3B5673"/>
          <w:spacing w:val="-2"/>
          <w:sz w:val="24"/>
        </w:rPr>
        <w:t>Nottinghamshire.</w:t>
      </w:r>
    </w:p>
    <w:p>
      <w:pPr>
        <w:pStyle w:val="BodyText"/>
        <w:spacing w:before="7"/>
        <w:rPr>
          <w:b/>
          <w:sz w:val="22"/>
        </w:rPr>
      </w:pPr>
    </w:p>
    <w:p>
      <w:pPr>
        <w:pStyle w:val="BodyText"/>
        <w:spacing w:line="225" w:lineRule="auto"/>
        <w:ind w:left="566" w:right="84"/>
      </w:pPr>
      <w:r>
        <w:rPr>
          <w:color w:val="231F20"/>
        </w:rPr>
        <w:t>Ashfield has excellent transport links through the</w:t>
      </w:r>
      <w:r>
        <w:rPr>
          <w:color w:val="231F20"/>
          <w:spacing w:val="-5"/>
        </w:rPr>
        <w:t> </w:t>
      </w:r>
      <w:r>
        <w:rPr>
          <w:color w:val="231F20"/>
        </w:rPr>
        <w:t>M1</w:t>
      </w:r>
      <w:r>
        <w:rPr>
          <w:color w:val="231F20"/>
          <w:spacing w:val="-5"/>
        </w:rPr>
        <w:t> </w:t>
      </w:r>
      <w:r>
        <w:rPr>
          <w:color w:val="231F20"/>
        </w:rPr>
        <w:t>motorway,</w:t>
      </w:r>
      <w:r>
        <w:rPr>
          <w:color w:val="231F20"/>
          <w:spacing w:val="-6"/>
        </w:rPr>
        <w:t> </w:t>
      </w:r>
      <w:r>
        <w:rPr>
          <w:color w:val="231F20"/>
        </w:rPr>
        <w:t>bus,</w:t>
      </w:r>
      <w:r>
        <w:rPr>
          <w:color w:val="231F20"/>
          <w:spacing w:val="-5"/>
        </w:rPr>
        <w:t> </w:t>
      </w:r>
      <w:r>
        <w:rPr>
          <w:color w:val="231F20"/>
        </w:rPr>
        <w:t>rail</w:t>
      </w:r>
      <w:r>
        <w:rPr>
          <w:color w:val="231F20"/>
          <w:spacing w:val="-5"/>
        </w:rPr>
        <w:t> </w:t>
      </w:r>
      <w:r>
        <w:rPr>
          <w:color w:val="231F20"/>
        </w:rPr>
        <w:t>and</w:t>
      </w:r>
      <w:r>
        <w:rPr>
          <w:color w:val="231F20"/>
          <w:spacing w:val="-5"/>
        </w:rPr>
        <w:t> </w:t>
      </w:r>
      <w:r>
        <w:rPr>
          <w:color w:val="231F20"/>
        </w:rPr>
        <w:t>tram</w:t>
      </w:r>
      <w:r>
        <w:rPr>
          <w:color w:val="231F20"/>
          <w:spacing w:val="-5"/>
        </w:rPr>
        <w:t> </w:t>
      </w:r>
      <w:r>
        <w:rPr>
          <w:color w:val="231F20"/>
        </w:rPr>
        <w:t>links</w:t>
      </w:r>
      <w:r>
        <w:rPr>
          <w:color w:val="231F20"/>
          <w:spacing w:val="-6"/>
        </w:rPr>
        <w:t> </w:t>
      </w:r>
      <w:r>
        <w:rPr>
          <w:color w:val="231F20"/>
        </w:rPr>
        <w:t>which makes the area an ideal business location. The District is also within one hour’s drive of East Midlands Airport.</w:t>
      </w:r>
    </w:p>
    <w:p>
      <w:pPr>
        <w:pStyle w:val="BodyText"/>
        <w:spacing w:before="7"/>
        <w:rPr>
          <w:sz w:val="22"/>
        </w:rPr>
      </w:pPr>
    </w:p>
    <w:p>
      <w:pPr>
        <w:pStyle w:val="BodyText"/>
        <w:spacing w:line="225" w:lineRule="auto"/>
        <w:ind w:left="566" w:right="84"/>
      </w:pPr>
      <w:r>
        <w:rPr>
          <w:color w:val="231F20"/>
        </w:rPr>
        <w:t>Ashfield has traditionally relied on the manufacturing</w:t>
      </w:r>
      <w:r>
        <w:rPr>
          <w:color w:val="231F20"/>
          <w:spacing w:val="-9"/>
        </w:rPr>
        <w:t> </w:t>
      </w:r>
      <w:r>
        <w:rPr>
          <w:color w:val="231F20"/>
        </w:rPr>
        <w:t>sector</w:t>
      </w:r>
      <w:r>
        <w:rPr>
          <w:color w:val="231F20"/>
          <w:spacing w:val="-9"/>
        </w:rPr>
        <w:t> </w:t>
      </w:r>
      <w:r>
        <w:rPr>
          <w:color w:val="231F20"/>
        </w:rPr>
        <w:t>for</w:t>
      </w:r>
      <w:r>
        <w:rPr>
          <w:color w:val="231F20"/>
          <w:spacing w:val="-8"/>
        </w:rPr>
        <w:t> </w:t>
      </w:r>
      <w:r>
        <w:rPr>
          <w:color w:val="231F20"/>
        </w:rPr>
        <w:t>local</w:t>
      </w:r>
      <w:r>
        <w:rPr>
          <w:color w:val="231F20"/>
          <w:spacing w:val="-9"/>
        </w:rPr>
        <w:t> </w:t>
      </w:r>
      <w:r>
        <w:rPr>
          <w:color w:val="231F20"/>
        </w:rPr>
        <w:t>employment</w:t>
      </w:r>
      <w:r>
        <w:rPr>
          <w:color w:val="231F20"/>
          <w:spacing w:val="-8"/>
        </w:rPr>
        <w:t> </w:t>
      </w:r>
      <w:r>
        <w:rPr>
          <w:color w:val="231F20"/>
        </w:rPr>
        <w:t>but recognises</w:t>
      </w:r>
      <w:r>
        <w:rPr>
          <w:color w:val="231F20"/>
          <w:spacing w:val="-3"/>
        </w:rPr>
        <w:t> </w:t>
      </w:r>
      <w:r>
        <w:rPr>
          <w:color w:val="231F20"/>
        </w:rPr>
        <w:t>the</w:t>
      </w:r>
      <w:r>
        <w:rPr>
          <w:color w:val="231F20"/>
          <w:spacing w:val="-3"/>
        </w:rPr>
        <w:t> </w:t>
      </w:r>
      <w:r>
        <w:rPr>
          <w:color w:val="231F20"/>
        </w:rPr>
        <w:t>need</w:t>
      </w:r>
      <w:r>
        <w:rPr>
          <w:color w:val="231F20"/>
          <w:spacing w:val="-3"/>
        </w:rPr>
        <w:t> </w:t>
      </w:r>
      <w:r>
        <w:rPr>
          <w:color w:val="231F20"/>
        </w:rPr>
        <w:t>to</w:t>
      </w:r>
      <w:r>
        <w:rPr>
          <w:color w:val="231F20"/>
          <w:spacing w:val="-3"/>
        </w:rPr>
        <w:t> </w:t>
      </w:r>
      <w:r>
        <w:rPr>
          <w:color w:val="231F20"/>
        </w:rPr>
        <w:t>move</w:t>
      </w:r>
      <w:r>
        <w:rPr>
          <w:color w:val="231F20"/>
          <w:spacing w:val="-4"/>
        </w:rPr>
        <w:t> </w:t>
      </w:r>
      <w:r>
        <w:rPr>
          <w:color w:val="231F20"/>
        </w:rPr>
        <w:t>to</w:t>
      </w:r>
      <w:r>
        <w:rPr>
          <w:color w:val="231F20"/>
          <w:spacing w:val="-3"/>
        </w:rPr>
        <w:t> </w:t>
      </w:r>
      <w:r>
        <w:rPr>
          <w:color w:val="231F20"/>
        </w:rPr>
        <w:t>a</w:t>
      </w:r>
      <w:r>
        <w:rPr>
          <w:color w:val="231F20"/>
          <w:spacing w:val="-3"/>
        </w:rPr>
        <w:t> </w:t>
      </w:r>
      <w:r>
        <w:rPr>
          <w:color w:val="231F20"/>
        </w:rPr>
        <w:t>more</w:t>
      </w:r>
      <w:r>
        <w:rPr>
          <w:color w:val="231F20"/>
          <w:spacing w:val="-4"/>
        </w:rPr>
        <w:t> </w:t>
      </w:r>
      <w:r>
        <w:rPr>
          <w:color w:val="231F20"/>
        </w:rPr>
        <w:t>diverse local economy offering ‘high value added’ services as well as manufacturing. In 2022 the unemployment rate (16-64) was 2.7% which</w:t>
      </w:r>
    </w:p>
    <w:p>
      <w:pPr>
        <w:pStyle w:val="BodyText"/>
        <w:spacing w:line="225" w:lineRule="auto"/>
        <w:ind w:left="566" w:right="84"/>
      </w:pPr>
      <w:r>
        <w:rPr>
          <w:color w:val="231F20"/>
        </w:rPr>
        <w:t>is</w:t>
      </w:r>
      <w:r>
        <w:rPr>
          <w:color w:val="231F20"/>
          <w:spacing w:val="-6"/>
        </w:rPr>
        <w:t> </w:t>
      </w:r>
      <w:r>
        <w:rPr>
          <w:color w:val="231F20"/>
        </w:rPr>
        <w:t>lower</w:t>
      </w:r>
      <w:r>
        <w:rPr>
          <w:color w:val="231F20"/>
          <w:spacing w:val="-6"/>
        </w:rPr>
        <w:t> </w:t>
      </w:r>
      <w:r>
        <w:rPr>
          <w:color w:val="231F20"/>
        </w:rPr>
        <w:t>than</w:t>
      </w:r>
      <w:r>
        <w:rPr>
          <w:color w:val="231F20"/>
          <w:spacing w:val="-5"/>
        </w:rPr>
        <w:t> </w:t>
      </w:r>
      <w:r>
        <w:rPr>
          <w:color w:val="231F20"/>
        </w:rPr>
        <w:t>the</w:t>
      </w:r>
      <w:r>
        <w:rPr>
          <w:color w:val="231F20"/>
          <w:spacing w:val="-5"/>
        </w:rPr>
        <w:t> </w:t>
      </w:r>
      <w:r>
        <w:rPr>
          <w:color w:val="231F20"/>
        </w:rPr>
        <w:t>East</w:t>
      </w:r>
      <w:r>
        <w:rPr>
          <w:color w:val="231F20"/>
          <w:spacing w:val="-5"/>
        </w:rPr>
        <w:t> </w:t>
      </w:r>
      <w:r>
        <w:rPr>
          <w:color w:val="231F20"/>
        </w:rPr>
        <w:t>Midlands</w:t>
      </w:r>
      <w:r>
        <w:rPr>
          <w:color w:val="231F20"/>
          <w:spacing w:val="-5"/>
        </w:rPr>
        <w:t> </w:t>
      </w:r>
      <w:r>
        <w:rPr>
          <w:color w:val="231F20"/>
        </w:rPr>
        <w:t>(3.0%)</w:t>
      </w:r>
      <w:r>
        <w:rPr>
          <w:color w:val="231F20"/>
          <w:spacing w:val="-5"/>
        </w:rPr>
        <w:t> </w:t>
      </w:r>
      <w:r>
        <w:rPr>
          <w:color w:val="231F20"/>
        </w:rPr>
        <w:t>and</w:t>
      </w:r>
      <w:r>
        <w:rPr>
          <w:color w:val="231F20"/>
          <w:spacing w:val="-5"/>
        </w:rPr>
        <w:t> </w:t>
      </w:r>
      <w:r>
        <w:rPr>
          <w:color w:val="231F20"/>
        </w:rPr>
        <w:t>Great Britain (3.7%), however, those in employment</w:t>
      </w:r>
      <w:r>
        <w:rPr>
          <w:color w:val="231F20"/>
          <w:spacing w:val="40"/>
        </w:rPr>
        <w:t> </w:t>
      </w:r>
      <w:r>
        <w:rPr>
          <w:color w:val="231F20"/>
        </w:rPr>
        <w:t>on average earn less (£564 per week gross, an increase of 5.6% on 2021) than the average weekly pay in Great Britain (£642, an increase of</w:t>
      </w:r>
    </w:p>
    <w:p>
      <w:pPr>
        <w:pStyle w:val="BodyText"/>
        <w:spacing w:line="225" w:lineRule="auto"/>
        <w:ind w:left="566"/>
      </w:pPr>
      <w:r>
        <w:rPr>
          <w:color w:val="231F20"/>
        </w:rPr>
        <w:t>4.9%</w:t>
      </w:r>
      <w:r>
        <w:rPr>
          <w:color w:val="231F20"/>
          <w:spacing w:val="-6"/>
        </w:rPr>
        <w:t> </w:t>
      </w:r>
      <w:r>
        <w:rPr>
          <w:color w:val="231F20"/>
        </w:rPr>
        <w:t>since</w:t>
      </w:r>
      <w:r>
        <w:rPr>
          <w:color w:val="231F20"/>
          <w:spacing w:val="-6"/>
        </w:rPr>
        <w:t> </w:t>
      </w:r>
      <w:r>
        <w:rPr>
          <w:color w:val="231F20"/>
        </w:rPr>
        <w:t>2021</w:t>
      </w:r>
      <w:r>
        <w:rPr>
          <w:color w:val="231F20"/>
          <w:spacing w:val="-6"/>
        </w:rPr>
        <w:t> </w:t>
      </w:r>
      <w:r>
        <w:rPr>
          <w:color w:val="231F20"/>
        </w:rPr>
        <w:t>and</w:t>
      </w:r>
      <w:r>
        <w:rPr>
          <w:color w:val="231F20"/>
          <w:spacing w:val="-5"/>
        </w:rPr>
        <w:t> </w:t>
      </w:r>
      <w:r>
        <w:rPr>
          <w:color w:val="231F20"/>
        </w:rPr>
        <w:t>the</w:t>
      </w:r>
      <w:r>
        <w:rPr>
          <w:color w:val="231F20"/>
          <w:spacing w:val="-5"/>
        </w:rPr>
        <w:t> </w:t>
      </w:r>
      <w:r>
        <w:rPr>
          <w:color w:val="231F20"/>
        </w:rPr>
        <w:t>East</w:t>
      </w:r>
      <w:r>
        <w:rPr>
          <w:color w:val="231F20"/>
          <w:spacing w:val="-5"/>
        </w:rPr>
        <w:t> </w:t>
      </w:r>
      <w:r>
        <w:rPr>
          <w:color w:val="231F20"/>
        </w:rPr>
        <w:t>Midlands</w:t>
      </w:r>
      <w:r>
        <w:rPr>
          <w:color w:val="231F20"/>
          <w:spacing w:val="-5"/>
        </w:rPr>
        <w:t> </w:t>
      </w:r>
      <w:r>
        <w:rPr>
          <w:color w:val="231F20"/>
        </w:rPr>
        <w:t>(£572,</w:t>
      </w:r>
      <w:r>
        <w:rPr>
          <w:color w:val="231F20"/>
          <w:spacing w:val="-5"/>
        </w:rPr>
        <w:t> </w:t>
      </w:r>
      <w:r>
        <w:rPr>
          <w:color w:val="231F20"/>
        </w:rPr>
        <w:t>an increase of 5.4% since 2021).</w:t>
      </w:r>
    </w:p>
    <w:p>
      <w:pPr>
        <w:pStyle w:val="BodyText"/>
        <w:spacing w:before="6"/>
        <w:rPr>
          <w:sz w:val="22"/>
        </w:rPr>
      </w:pPr>
    </w:p>
    <w:p>
      <w:pPr>
        <w:pStyle w:val="BodyText"/>
        <w:spacing w:line="225" w:lineRule="auto"/>
        <w:ind w:left="566"/>
      </w:pPr>
      <w:r>
        <w:rPr>
          <w:color w:val="231F20"/>
        </w:rPr>
        <w:t>The Council is working with its partners to address the skills gap and promote the area as a place</w:t>
      </w:r>
      <w:r>
        <w:rPr>
          <w:color w:val="231F20"/>
          <w:spacing w:val="-7"/>
        </w:rPr>
        <w:t> </w:t>
      </w:r>
      <w:r>
        <w:rPr>
          <w:color w:val="231F20"/>
        </w:rPr>
        <w:t>to</w:t>
      </w:r>
      <w:r>
        <w:rPr>
          <w:color w:val="231F20"/>
          <w:spacing w:val="-7"/>
        </w:rPr>
        <w:t> </w:t>
      </w:r>
      <w:r>
        <w:rPr>
          <w:color w:val="231F20"/>
        </w:rPr>
        <w:t>invest,</w:t>
      </w:r>
      <w:r>
        <w:rPr>
          <w:color w:val="231F20"/>
          <w:spacing w:val="-8"/>
        </w:rPr>
        <w:t> </w:t>
      </w:r>
      <w:r>
        <w:rPr>
          <w:color w:val="231F20"/>
        </w:rPr>
        <w:t>particularly</w:t>
      </w:r>
      <w:r>
        <w:rPr>
          <w:color w:val="231F20"/>
          <w:spacing w:val="-7"/>
        </w:rPr>
        <w:t> </w:t>
      </w:r>
      <w:r>
        <w:rPr>
          <w:color w:val="231F20"/>
        </w:rPr>
        <w:t>for</w:t>
      </w:r>
      <w:r>
        <w:rPr>
          <w:color w:val="231F20"/>
          <w:spacing w:val="-7"/>
        </w:rPr>
        <w:t> </w:t>
      </w:r>
      <w:r>
        <w:rPr>
          <w:color w:val="231F20"/>
        </w:rPr>
        <w:t>Creative,</w:t>
      </w:r>
      <w:r>
        <w:rPr>
          <w:color w:val="231F20"/>
          <w:spacing w:val="-8"/>
        </w:rPr>
        <w:t> </w:t>
      </w:r>
      <w:r>
        <w:rPr>
          <w:color w:val="231F20"/>
        </w:rPr>
        <w:t>Business, Professional Financial Services, Advanced</w:t>
      </w:r>
    </w:p>
    <w:p>
      <w:pPr>
        <w:pStyle w:val="BodyText"/>
        <w:spacing w:line="225" w:lineRule="auto" w:before="115"/>
        <w:ind w:left="313" w:right="616"/>
      </w:pPr>
      <w:r>
        <w:rPr/>
        <w:br w:type="column"/>
      </w:r>
      <w:r>
        <w:rPr>
          <w:color w:val="231F20"/>
        </w:rPr>
        <w:t>Manufacturing</w:t>
      </w:r>
      <w:r>
        <w:rPr>
          <w:color w:val="231F20"/>
          <w:spacing w:val="-4"/>
        </w:rPr>
        <w:t> </w:t>
      </w:r>
      <w:r>
        <w:rPr>
          <w:color w:val="231F20"/>
        </w:rPr>
        <w:t>and</w:t>
      </w:r>
      <w:r>
        <w:rPr>
          <w:color w:val="231F20"/>
          <w:spacing w:val="-4"/>
        </w:rPr>
        <w:t> </w:t>
      </w:r>
      <w:r>
        <w:rPr>
          <w:color w:val="231F20"/>
        </w:rPr>
        <w:t>Knowledge</w:t>
      </w:r>
      <w:r>
        <w:rPr>
          <w:color w:val="231F20"/>
          <w:spacing w:val="-5"/>
        </w:rPr>
        <w:t> </w:t>
      </w:r>
      <w:r>
        <w:rPr>
          <w:color w:val="231F20"/>
        </w:rPr>
        <w:t>Based</w:t>
      </w:r>
      <w:r>
        <w:rPr>
          <w:color w:val="231F20"/>
          <w:spacing w:val="-5"/>
        </w:rPr>
        <w:t> </w:t>
      </w:r>
      <w:r>
        <w:rPr>
          <w:color w:val="231F20"/>
        </w:rPr>
        <w:t>Industries; and to connect local people to local jobs. The ongoing</w:t>
      </w:r>
      <w:r>
        <w:rPr>
          <w:color w:val="231F20"/>
          <w:spacing w:val="-10"/>
        </w:rPr>
        <w:t> </w:t>
      </w:r>
      <w:r>
        <w:rPr>
          <w:color w:val="231F20"/>
        </w:rPr>
        <w:t>Towns</w:t>
      </w:r>
      <w:r>
        <w:rPr>
          <w:color w:val="231F20"/>
          <w:spacing w:val="-10"/>
        </w:rPr>
        <w:t> </w:t>
      </w:r>
      <w:r>
        <w:rPr>
          <w:color w:val="231F20"/>
        </w:rPr>
        <w:t>Fund</w:t>
      </w:r>
      <w:r>
        <w:rPr>
          <w:color w:val="231F20"/>
          <w:spacing w:val="-10"/>
        </w:rPr>
        <w:t> </w:t>
      </w:r>
      <w:r>
        <w:rPr>
          <w:color w:val="231F20"/>
        </w:rPr>
        <w:t>investment</w:t>
      </w:r>
      <w:r>
        <w:rPr>
          <w:color w:val="231F20"/>
          <w:spacing w:val="-10"/>
        </w:rPr>
        <w:t> </w:t>
      </w:r>
      <w:r>
        <w:rPr>
          <w:color w:val="231F20"/>
        </w:rPr>
        <w:t>will</w:t>
      </w:r>
      <w:r>
        <w:rPr>
          <w:color w:val="231F20"/>
          <w:spacing w:val="-10"/>
        </w:rPr>
        <w:t> </w:t>
      </w:r>
      <w:r>
        <w:rPr>
          <w:color w:val="231F20"/>
        </w:rPr>
        <w:t>help</w:t>
      </w:r>
      <w:r>
        <w:rPr>
          <w:color w:val="231F20"/>
          <w:spacing w:val="-10"/>
        </w:rPr>
        <w:t> </w:t>
      </w:r>
      <w:r>
        <w:rPr>
          <w:color w:val="231F20"/>
        </w:rPr>
        <w:t>realise some of this ambition.</w:t>
      </w:r>
    </w:p>
    <w:p>
      <w:pPr>
        <w:pStyle w:val="BodyText"/>
        <w:spacing w:before="7"/>
        <w:rPr>
          <w:sz w:val="22"/>
        </w:rPr>
      </w:pPr>
    </w:p>
    <w:p>
      <w:pPr>
        <w:pStyle w:val="BodyText"/>
        <w:spacing w:line="225" w:lineRule="auto"/>
        <w:ind w:left="313" w:right="688"/>
      </w:pPr>
      <w:r>
        <w:rPr/>
        <w:pict>
          <v:group style="position:absolute;margin-left:578.504028pt;margin-top:12.057884pt;width:16.8pt;height:192.8pt;mso-position-horizontal-relative:page;mso-position-vertical-relative:paragraph;z-index:15737344" id="docshapegroup55" coordorigin="11570,241" coordsize="336,3856">
            <v:rect style="position:absolute;left:11570;top:3132;width:336;height:964" id="docshape56" filled="true" fillcolor="#f15d6b" stroked="false">
              <v:fill type="solid"/>
            </v:rect>
            <v:rect style="position:absolute;left:11570;top:2168;width:336;height:964" id="docshape57" filled="true" fillcolor="#fbac42" stroked="false">
              <v:fill type="solid"/>
            </v:rect>
            <v:rect style="position:absolute;left:11570;top:1204;width:336;height:964" id="docshape58" filled="true" fillcolor="#b78fc1" stroked="false">
              <v:fill type="solid"/>
            </v:rect>
            <v:rect style="position:absolute;left:11570;top:241;width:336;height:964" id="docshape59" filled="true" fillcolor="#378372" stroked="false">
              <v:fill type="solid"/>
            </v:rect>
            <w10:wrap type="none"/>
          </v:group>
        </w:pict>
      </w:r>
      <w:r>
        <w:rPr>
          <w:color w:val="231F20"/>
        </w:rPr>
        <w:t>Since</w:t>
      </w:r>
      <w:r>
        <w:rPr>
          <w:color w:val="231F20"/>
          <w:spacing w:val="-6"/>
        </w:rPr>
        <w:t> </w:t>
      </w:r>
      <w:r>
        <w:rPr>
          <w:color w:val="231F20"/>
        </w:rPr>
        <w:t>October</w:t>
      </w:r>
      <w:r>
        <w:rPr>
          <w:color w:val="231F20"/>
          <w:spacing w:val="-5"/>
        </w:rPr>
        <w:t> </w:t>
      </w:r>
      <w:r>
        <w:rPr>
          <w:color w:val="231F20"/>
        </w:rPr>
        <w:t>2016</w:t>
      </w:r>
      <w:r>
        <w:rPr>
          <w:color w:val="231F20"/>
          <w:spacing w:val="-6"/>
        </w:rPr>
        <w:t> </w:t>
      </w:r>
      <w:r>
        <w:rPr>
          <w:color w:val="231F20"/>
        </w:rPr>
        <w:t>the</w:t>
      </w:r>
      <w:r>
        <w:rPr>
          <w:color w:val="231F20"/>
          <w:spacing w:val="-5"/>
        </w:rPr>
        <w:t> </w:t>
      </w:r>
      <w:r>
        <w:rPr>
          <w:color w:val="231F20"/>
        </w:rPr>
        <w:t>Council</w:t>
      </w:r>
      <w:r>
        <w:rPr>
          <w:color w:val="231F20"/>
          <w:spacing w:val="-6"/>
        </w:rPr>
        <w:t> </w:t>
      </w:r>
      <w:r>
        <w:rPr>
          <w:color w:val="231F20"/>
        </w:rPr>
        <w:t>has</w:t>
      </w:r>
      <w:r>
        <w:rPr>
          <w:color w:val="231F20"/>
          <w:spacing w:val="-5"/>
        </w:rPr>
        <w:t> </w:t>
      </w:r>
      <w:r>
        <w:rPr>
          <w:color w:val="231F20"/>
        </w:rPr>
        <w:t>managed</w:t>
      </w:r>
      <w:r>
        <w:rPr>
          <w:color w:val="231F20"/>
          <w:spacing w:val="-6"/>
        </w:rPr>
        <w:t> </w:t>
      </w:r>
      <w:r>
        <w:rPr>
          <w:color w:val="231F20"/>
        </w:rPr>
        <w:t>its own housing stock and remains committed to providing good quality housing and continues to invest in its housing stock. In the last two</w:t>
      </w:r>
    </w:p>
    <w:p>
      <w:pPr>
        <w:pStyle w:val="BodyText"/>
        <w:spacing w:line="225" w:lineRule="auto"/>
        <w:ind w:left="313" w:right="616"/>
      </w:pPr>
      <w:r>
        <w:rPr>
          <w:color w:val="231F20"/>
        </w:rPr>
        <w:t>financial</w:t>
      </w:r>
      <w:r>
        <w:rPr>
          <w:color w:val="231F20"/>
          <w:spacing w:val="-5"/>
        </w:rPr>
        <w:t> </w:t>
      </w:r>
      <w:r>
        <w:rPr>
          <w:color w:val="231F20"/>
        </w:rPr>
        <w:t>years</w:t>
      </w:r>
      <w:r>
        <w:rPr>
          <w:color w:val="231F20"/>
          <w:spacing w:val="-5"/>
        </w:rPr>
        <w:t> </w:t>
      </w:r>
      <w:r>
        <w:rPr>
          <w:color w:val="231F20"/>
        </w:rPr>
        <w:t>the</w:t>
      </w:r>
      <w:r>
        <w:rPr>
          <w:color w:val="231F20"/>
          <w:spacing w:val="-5"/>
        </w:rPr>
        <w:t> </w:t>
      </w:r>
      <w:r>
        <w:rPr>
          <w:color w:val="231F20"/>
        </w:rPr>
        <w:t>Council</w:t>
      </w:r>
      <w:r>
        <w:rPr>
          <w:color w:val="231F20"/>
          <w:spacing w:val="-6"/>
        </w:rPr>
        <w:t> </w:t>
      </w:r>
      <w:r>
        <w:rPr>
          <w:color w:val="231F20"/>
        </w:rPr>
        <w:t>has</w:t>
      </w:r>
      <w:r>
        <w:rPr>
          <w:color w:val="231F20"/>
          <w:spacing w:val="-5"/>
        </w:rPr>
        <w:t> </w:t>
      </w:r>
      <w:r>
        <w:rPr>
          <w:color w:val="231F20"/>
        </w:rPr>
        <w:t>built</w:t>
      </w:r>
      <w:r>
        <w:rPr>
          <w:color w:val="231F20"/>
          <w:spacing w:val="-5"/>
        </w:rPr>
        <w:t> </w:t>
      </w:r>
      <w:r>
        <w:rPr>
          <w:color w:val="231F20"/>
        </w:rPr>
        <w:t>24</w:t>
      </w:r>
      <w:r>
        <w:rPr>
          <w:color w:val="231F20"/>
          <w:spacing w:val="-6"/>
        </w:rPr>
        <w:t> </w:t>
      </w:r>
      <w:r>
        <w:rPr>
          <w:color w:val="231F20"/>
        </w:rPr>
        <w:t>properties and in partnership with East Midlands Housing has delivered a further 22 new build properties. In the last 5 years the Council has also acquired 63 additional properties to grow its stock and help meet the social housing needs of Ashfield residents. During 2022/23 £6.5m was spent to maintain Council houses to the Decent Homes Standard. This is significantly more than in 2021/22 (£2.0m) largely as a consequence of</w:t>
      </w:r>
    </w:p>
    <w:p>
      <w:pPr>
        <w:pStyle w:val="BodyText"/>
        <w:spacing w:line="225" w:lineRule="auto"/>
        <w:ind w:left="313" w:right="616"/>
      </w:pPr>
      <w:r>
        <w:rPr>
          <w:color w:val="231F20"/>
        </w:rPr>
        <w:t>the</w:t>
      </w:r>
      <w:r>
        <w:rPr>
          <w:color w:val="231F20"/>
          <w:spacing w:val="-5"/>
        </w:rPr>
        <w:t> </w:t>
      </w:r>
      <w:r>
        <w:rPr>
          <w:color w:val="231F20"/>
        </w:rPr>
        <w:t>return</w:t>
      </w:r>
      <w:r>
        <w:rPr>
          <w:color w:val="231F20"/>
          <w:spacing w:val="-5"/>
        </w:rPr>
        <w:t> </w:t>
      </w:r>
      <w:r>
        <w:rPr>
          <w:color w:val="231F20"/>
        </w:rPr>
        <w:t>of</w:t>
      </w:r>
      <w:r>
        <w:rPr>
          <w:color w:val="231F20"/>
          <w:spacing w:val="-5"/>
        </w:rPr>
        <w:t> </w:t>
      </w:r>
      <w:r>
        <w:rPr>
          <w:color w:val="231F20"/>
        </w:rPr>
        <w:t>availability</w:t>
      </w:r>
      <w:r>
        <w:rPr>
          <w:color w:val="231F20"/>
          <w:spacing w:val="-5"/>
        </w:rPr>
        <w:t> </w:t>
      </w:r>
      <w:r>
        <w:rPr>
          <w:color w:val="231F20"/>
        </w:rPr>
        <w:t>of</w:t>
      </w:r>
      <w:r>
        <w:rPr>
          <w:color w:val="231F20"/>
          <w:spacing w:val="-5"/>
        </w:rPr>
        <w:t> </w:t>
      </w:r>
      <w:r>
        <w:rPr>
          <w:color w:val="231F20"/>
        </w:rPr>
        <w:t>materials</w:t>
      </w:r>
      <w:r>
        <w:rPr>
          <w:color w:val="231F20"/>
          <w:spacing w:val="-6"/>
        </w:rPr>
        <w:t> </w:t>
      </w:r>
      <w:r>
        <w:rPr>
          <w:color w:val="231F20"/>
        </w:rPr>
        <w:t>and</w:t>
      </w:r>
      <w:r>
        <w:rPr>
          <w:color w:val="231F20"/>
          <w:spacing w:val="-5"/>
        </w:rPr>
        <w:t> </w:t>
      </w:r>
      <w:r>
        <w:rPr>
          <w:color w:val="231F20"/>
        </w:rPr>
        <w:t>shorter lead times to works, post pandemic. As at the 31st March 2023 the Council has 6,623 Council </w:t>
      </w:r>
      <w:r>
        <w:rPr>
          <w:color w:val="231F20"/>
          <w:spacing w:val="-2"/>
        </w:rPr>
        <w:t>dwellings.</w:t>
      </w:r>
    </w:p>
    <w:p>
      <w:pPr>
        <w:pStyle w:val="BodyText"/>
        <w:spacing w:before="6"/>
        <w:rPr>
          <w:sz w:val="22"/>
        </w:rPr>
      </w:pPr>
    </w:p>
    <w:p>
      <w:pPr>
        <w:pStyle w:val="BodyText"/>
        <w:spacing w:line="225" w:lineRule="auto" w:before="1"/>
        <w:ind w:left="313" w:right="828"/>
      </w:pPr>
      <w:r>
        <w:rPr>
          <w:color w:val="231F20"/>
        </w:rPr>
        <w:t>Although the rate of building new homes in</w:t>
      </w:r>
      <w:r>
        <w:rPr>
          <w:color w:val="231F20"/>
          <w:spacing w:val="40"/>
        </w:rPr>
        <w:t> </w:t>
      </w:r>
      <w:r>
        <w:rPr>
          <w:color w:val="231F20"/>
        </w:rPr>
        <w:t>the</w:t>
      </w:r>
      <w:r>
        <w:rPr>
          <w:color w:val="231F20"/>
          <w:spacing w:val="-4"/>
        </w:rPr>
        <w:t> </w:t>
      </w:r>
      <w:r>
        <w:rPr>
          <w:color w:val="231F20"/>
        </w:rPr>
        <w:t>District</w:t>
      </w:r>
      <w:r>
        <w:rPr>
          <w:color w:val="231F20"/>
          <w:spacing w:val="-5"/>
        </w:rPr>
        <w:t> </w:t>
      </w:r>
      <w:r>
        <w:rPr>
          <w:color w:val="231F20"/>
        </w:rPr>
        <w:t>has</w:t>
      </w:r>
      <w:r>
        <w:rPr>
          <w:color w:val="231F20"/>
          <w:spacing w:val="-4"/>
        </w:rPr>
        <w:t> </w:t>
      </w:r>
      <w:r>
        <w:rPr>
          <w:color w:val="231F20"/>
        </w:rPr>
        <w:t>declined</w:t>
      </w:r>
      <w:r>
        <w:rPr>
          <w:color w:val="231F20"/>
          <w:spacing w:val="-4"/>
        </w:rPr>
        <w:t> </w:t>
      </w:r>
      <w:r>
        <w:rPr>
          <w:color w:val="231F20"/>
        </w:rPr>
        <w:t>in</w:t>
      </w:r>
      <w:r>
        <w:rPr>
          <w:color w:val="231F20"/>
          <w:spacing w:val="-5"/>
        </w:rPr>
        <w:t> </w:t>
      </w:r>
      <w:r>
        <w:rPr>
          <w:color w:val="231F20"/>
        </w:rPr>
        <w:t>the</w:t>
      </w:r>
      <w:r>
        <w:rPr>
          <w:color w:val="231F20"/>
          <w:spacing w:val="-4"/>
        </w:rPr>
        <w:t> </w:t>
      </w:r>
      <w:r>
        <w:rPr>
          <w:color w:val="231F20"/>
        </w:rPr>
        <w:t>last</w:t>
      </w:r>
      <w:r>
        <w:rPr>
          <w:color w:val="231F20"/>
          <w:spacing w:val="-5"/>
        </w:rPr>
        <w:t> </w:t>
      </w:r>
      <w:r>
        <w:rPr>
          <w:color w:val="231F20"/>
        </w:rPr>
        <w:t>3</w:t>
      </w:r>
      <w:r>
        <w:rPr>
          <w:color w:val="231F20"/>
          <w:spacing w:val="-5"/>
        </w:rPr>
        <w:t> </w:t>
      </w:r>
      <w:r>
        <w:rPr>
          <w:color w:val="231F20"/>
        </w:rPr>
        <w:t>years,</w:t>
      </w:r>
      <w:r>
        <w:rPr>
          <w:color w:val="231F20"/>
          <w:spacing w:val="-4"/>
        </w:rPr>
        <w:t> </w:t>
      </w:r>
      <w:r>
        <w:rPr>
          <w:color w:val="231F20"/>
        </w:rPr>
        <w:t>new properties do continue to be built and the</w:t>
      </w:r>
    </w:p>
    <w:p>
      <w:pPr>
        <w:pStyle w:val="BodyText"/>
        <w:spacing w:line="225" w:lineRule="auto"/>
        <w:ind w:left="313" w:right="430"/>
      </w:pPr>
      <w:r>
        <w:rPr>
          <w:color w:val="231F20"/>
        </w:rPr>
        <w:t>Council Tax base continues to grow. The majority of</w:t>
      </w:r>
      <w:r>
        <w:rPr>
          <w:color w:val="231F20"/>
          <w:spacing w:val="-6"/>
        </w:rPr>
        <w:t> </w:t>
      </w:r>
      <w:r>
        <w:rPr>
          <w:color w:val="231F20"/>
        </w:rPr>
        <w:t>properties</w:t>
      </w:r>
      <w:r>
        <w:rPr>
          <w:color w:val="231F20"/>
          <w:spacing w:val="-6"/>
        </w:rPr>
        <w:t> </w:t>
      </w:r>
      <w:r>
        <w:rPr>
          <w:color w:val="231F20"/>
        </w:rPr>
        <w:t>within</w:t>
      </w:r>
      <w:r>
        <w:rPr>
          <w:color w:val="231F20"/>
          <w:spacing w:val="-6"/>
        </w:rPr>
        <w:t> </w:t>
      </w:r>
      <w:r>
        <w:rPr>
          <w:color w:val="231F20"/>
        </w:rPr>
        <w:t>the</w:t>
      </w:r>
      <w:r>
        <w:rPr>
          <w:color w:val="231F20"/>
          <w:spacing w:val="-6"/>
        </w:rPr>
        <w:t> </w:t>
      </w:r>
      <w:r>
        <w:rPr>
          <w:color w:val="231F20"/>
        </w:rPr>
        <w:t>District</w:t>
      </w:r>
      <w:r>
        <w:rPr>
          <w:color w:val="231F20"/>
          <w:spacing w:val="-6"/>
        </w:rPr>
        <w:t> </w:t>
      </w:r>
      <w:r>
        <w:rPr>
          <w:color w:val="231F20"/>
        </w:rPr>
        <w:t>are</w:t>
      </w:r>
      <w:r>
        <w:rPr>
          <w:color w:val="231F20"/>
          <w:spacing w:val="-6"/>
        </w:rPr>
        <w:t> </w:t>
      </w:r>
      <w:r>
        <w:rPr>
          <w:color w:val="231F20"/>
        </w:rPr>
        <w:t>categorised</w:t>
      </w:r>
      <w:r>
        <w:rPr>
          <w:color w:val="231F20"/>
          <w:spacing w:val="-6"/>
        </w:rPr>
        <w:t> </w:t>
      </w:r>
      <w:r>
        <w:rPr>
          <w:color w:val="231F20"/>
        </w:rPr>
        <w:t>at the lowest levels for Council Tax billing purposes, Band A to Band C. Band A: 53%, Band B: 20%</w:t>
      </w:r>
    </w:p>
    <w:p>
      <w:pPr>
        <w:pStyle w:val="BodyText"/>
        <w:spacing w:line="225" w:lineRule="auto"/>
        <w:ind w:left="313" w:right="430"/>
      </w:pPr>
      <w:r>
        <w:rPr>
          <w:color w:val="231F20"/>
        </w:rPr>
        <w:t>and</w:t>
      </w:r>
      <w:r>
        <w:rPr>
          <w:color w:val="231F20"/>
          <w:spacing w:val="-7"/>
        </w:rPr>
        <w:t> </w:t>
      </w:r>
      <w:r>
        <w:rPr>
          <w:color w:val="231F20"/>
        </w:rPr>
        <w:t>Band</w:t>
      </w:r>
      <w:r>
        <w:rPr>
          <w:color w:val="231F20"/>
          <w:spacing w:val="-8"/>
        </w:rPr>
        <w:t> </w:t>
      </w:r>
      <w:r>
        <w:rPr>
          <w:color w:val="231F20"/>
        </w:rPr>
        <w:t>C:</w:t>
      </w:r>
      <w:r>
        <w:rPr>
          <w:color w:val="231F20"/>
          <w:spacing w:val="-8"/>
        </w:rPr>
        <w:t> </w:t>
      </w:r>
      <w:r>
        <w:rPr>
          <w:color w:val="231F20"/>
        </w:rPr>
        <w:t>16%.</w:t>
      </w:r>
      <w:r>
        <w:rPr>
          <w:color w:val="231F20"/>
          <w:spacing w:val="-8"/>
        </w:rPr>
        <w:t> </w:t>
      </w:r>
      <w:r>
        <w:rPr>
          <w:color w:val="231F20"/>
        </w:rPr>
        <w:t>Of</w:t>
      </w:r>
      <w:r>
        <w:rPr>
          <w:color w:val="231F20"/>
          <w:spacing w:val="-7"/>
        </w:rPr>
        <w:t> </w:t>
      </w:r>
      <w:r>
        <w:rPr>
          <w:color w:val="231F20"/>
        </w:rPr>
        <w:t>the</w:t>
      </w:r>
      <w:r>
        <w:rPr>
          <w:color w:val="231F20"/>
          <w:spacing w:val="-7"/>
        </w:rPr>
        <w:t> </w:t>
      </w:r>
      <w:r>
        <w:rPr>
          <w:color w:val="231F20"/>
        </w:rPr>
        <w:t>£75.754m</w:t>
      </w:r>
      <w:r>
        <w:rPr>
          <w:color w:val="231F20"/>
          <w:spacing w:val="-8"/>
        </w:rPr>
        <w:t> </w:t>
      </w:r>
      <w:r>
        <w:rPr>
          <w:color w:val="231F20"/>
        </w:rPr>
        <w:t>of</w:t>
      </w:r>
      <w:r>
        <w:rPr>
          <w:color w:val="231F20"/>
          <w:spacing w:val="-7"/>
        </w:rPr>
        <w:t> </w:t>
      </w:r>
      <w:r>
        <w:rPr>
          <w:color w:val="231F20"/>
        </w:rPr>
        <w:t>Council</w:t>
      </w:r>
      <w:r>
        <w:rPr>
          <w:color w:val="231F20"/>
          <w:spacing w:val="-8"/>
        </w:rPr>
        <w:t> </w:t>
      </w:r>
      <w:r>
        <w:rPr>
          <w:color w:val="231F20"/>
        </w:rPr>
        <w:t>Tax raised in 2022/23, the Council received £6.656m (8.8%) to help provide residents with the services on which they rely.</w:t>
      </w:r>
    </w:p>
    <w:p>
      <w:pPr>
        <w:spacing w:after="0" w:line="225" w:lineRule="auto"/>
        <w:sectPr>
          <w:type w:val="continuous"/>
          <w:pgSz w:w="11910" w:h="16840"/>
          <w:pgMar w:header="567" w:footer="367" w:top="260" w:bottom="0" w:left="0" w:right="0"/>
          <w:cols w:num="2" w:equalWidth="0">
            <w:col w:w="5742" w:space="40"/>
            <w:col w:w="6128"/>
          </w:cols>
        </w:sectPr>
      </w:pPr>
    </w:p>
    <w:p>
      <w:pPr>
        <w:pStyle w:val="BodyText"/>
        <w:spacing w:before="8"/>
        <w:rPr>
          <w:sz w:val="18"/>
        </w:rPr>
      </w:pPr>
    </w:p>
    <w:p>
      <w:pPr>
        <w:pStyle w:val="Heading2"/>
        <w:numPr>
          <w:ilvl w:val="0"/>
          <w:numId w:val="3"/>
        </w:numPr>
        <w:tabs>
          <w:tab w:pos="1248" w:val="left" w:leader="none"/>
        </w:tabs>
        <w:spacing w:line="240" w:lineRule="auto" w:before="100" w:after="0"/>
        <w:ind w:left="1247" w:right="0" w:hanging="684"/>
        <w:jc w:val="left"/>
      </w:pPr>
      <w:r>
        <w:rPr/>
        <w:pict>
          <v:group style="position:absolute;margin-left:0pt;margin-top:35.000019pt;width:595.3pt;height:63.4pt;mso-position-horizontal-relative:page;mso-position-vertical-relative:paragraph;z-index:-16875008" id="docshapegroup63" coordorigin="0,700" coordsize="11906,1268">
            <v:rect style="position:absolute;left:0;top:833;width:11906;height:1134" id="docshape64" filled="true" fillcolor="#c9cbd4" stroked="false">
              <v:fill type="solid"/>
            </v:rect>
            <v:shape style="position:absolute;left:0;top:700;width:11906;height:1268" type="#_x0000_t202" id="docshape65" filled="false" stroked="false">
              <v:textbox inset="0,0,0,0">
                <w:txbxContent>
                  <w:p>
                    <w:pPr>
                      <w:spacing w:before="0"/>
                      <w:ind w:left="3885" w:right="0" w:firstLine="0"/>
                      <w:jc w:val="left"/>
                      <w:rPr>
                        <w:b/>
                        <w:sz w:val="60"/>
                      </w:rPr>
                    </w:pPr>
                    <w:r>
                      <w:rPr>
                        <w:b/>
                        <w:color w:val="3B5673"/>
                        <w:sz w:val="60"/>
                      </w:rPr>
                      <w:t>&amp;</w:t>
                    </w:r>
                    <w:r>
                      <w:rPr>
                        <w:b/>
                        <w:color w:val="3B5673"/>
                        <w:spacing w:val="10"/>
                        <w:sz w:val="60"/>
                      </w:rPr>
                      <w:t> </w:t>
                    </w:r>
                    <w:r>
                      <w:rPr>
                        <w:b/>
                        <w:color w:val="3B5673"/>
                        <w:spacing w:val="17"/>
                        <w:sz w:val="60"/>
                      </w:rPr>
                      <w:t>RISK</w:t>
                    </w:r>
                  </w:p>
                </w:txbxContent>
              </v:textbox>
              <w10:wrap type="none"/>
            </v:shape>
            <w10:wrap type="none"/>
          </v:group>
        </w:pict>
      </w:r>
      <w:r>
        <w:rPr>
          <w:color w:val="3B5673"/>
          <w:spacing w:val="16"/>
        </w:rPr>
        <w:t>GOVERNANCE</w:t>
      </w:r>
    </w:p>
    <w:p>
      <w:pPr>
        <w:pStyle w:val="BodyText"/>
        <w:rPr>
          <w:sz w:val="20"/>
        </w:rPr>
      </w:pPr>
    </w:p>
    <w:p>
      <w:pPr>
        <w:pStyle w:val="BodyText"/>
        <w:rPr>
          <w:sz w:val="20"/>
        </w:rPr>
      </w:pPr>
    </w:p>
    <w:p>
      <w:pPr>
        <w:pStyle w:val="BodyText"/>
        <w:rPr>
          <w:sz w:val="20"/>
        </w:rPr>
      </w:pPr>
    </w:p>
    <w:p>
      <w:pPr>
        <w:pStyle w:val="BodyText"/>
        <w:spacing w:before="11"/>
        <w:rPr>
          <w:sz w:val="27"/>
        </w:rPr>
      </w:pPr>
    </w:p>
    <w:p>
      <w:pPr>
        <w:pStyle w:val="Heading4"/>
        <w:spacing w:line="225" w:lineRule="auto" w:before="116"/>
      </w:pPr>
      <w:r>
        <w:rPr>
          <w:color w:val="3B5673"/>
        </w:rPr>
        <w:t>There</w:t>
      </w:r>
      <w:r>
        <w:rPr>
          <w:color w:val="3B5673"/>
          <w:spacing w:val="-3"/>
        </w:rPr>
        <w:t> </w:t>
      </w:r>
      <w:r>
        <w:rPr>
          <w:color w:val="3B5673"/>
        </w:rPr>
        <w:t>have</w:t>
      </w:r>
      <w:r>
        <w:rPr>
          <w:color w:val="3B5673"/>
          <w:spacing w:val="-3"/>
        </w:rPr>
        <w:t> </w:t>
      </w:r>
      <w:r>
        <w:rPr>
          <w:color w:val="3B5673"/>
        </w:rPr>
        <w:t>been</w:t>
      </w:r>
      <w:r>
        <w:rPr>
          <w:color w:val="3B5673"/>
          <w:spacing w:val="-4"/>
        </w:rPr>
        <w:t> </w:t>
      </w:r>
      <w:r>
        <w:rPr>
          <w:color w:val="3B5673"/>
        </w:rPr>
        <w:t>no</w:t>
      </w:r>
      <w:r>
        <w:rPr>
          <w:color w:val="3B5673"/>
          <w:spacing w:val="-3"/>
        </w:rPr>
        <w:t> </w:t>
      </w:r>
      <w:r>
        <w:rPr>
          <w:color w:val="3B5673"/>
        </w:rPr>
        <w:t>significant</w:t>
      </w:r>
      <w:r>
        <w:rPr>
          <w:color w:val="3B5673"/>
          <w:spacing w:val="-3"/>
        </w:rPr>
        <w:t> </w:t>
      </w:r>
      <w:r>
        <w:rPr>
          <w:color w:val="3B5673"/>
        </w:rPr>
        <w:t>changes</w:t>
      </w:r>
      <w:r>
        <w:rPr>
          <w:color w:val="3B5673"/>
          <w:spacing w:val="-3"/>
        </w:rPr>
        <w:t> </w:t>
      </w:r>
      <w:r>
        <w:rPr>
          <w:color w:val="3B5673"/>
        </w:rPr>
        <w:t>to</w:t>
      </w:r>
      <w:r>
        <w:rPr>
          <w:color w:val="3B5673"/>
          <w:spacing w:val="-4"/>
        </w:rPr>
        <w:t> </w:t>
      </w:r>
      <w:r>
        <w:rPr>
          <w:color w:val="3B5673"/>
        </w:rPr>
        <w:t>the</w:t>
      </w:r>
      <w:r>
        <w:rPr>
          <w:color w:val="3B5673"/>
          <w:spacing w:val="-4"/>
        </w:rPr>
        <w:t> </w:t>
      </w:r>
      <w:r>
        <w:rPr>
          <w:color w:val="3B5673"/>
        </w:rPr>
        <w:t>potential</w:t>
      </w:r>
      <w:r>
        <w:rPr>
          <w:color w:val="3B5673"/>
          <w:spacing w:val="-3"/>
        </w:rPr>
        <w:t> </w:t>
      </w:r>
      <w:r>
        <w:rPr>
          <w:color w:val="3B5673"/>
        </w:rPr>
        <w:t>significant</w:t>
      </w:r>
      <w:r>
        <w:rPr>
          <w:color w:val="3B5673"/>
          <w:spacing w:val="-3"/>
        </w:rPr>
        <w:t> </w:t>
      </w:r>
      <w:r>
        <w:rPr>
          <w:color w:val="3B5673"/>
        </w:rPr>
        <w:t>risks</w:t>
      </w:r>
      <w:r>
        <w:rPr>
          <w:color w:val="3B5673"/>
          <w:spacing w:val="-4"/>
        </w:rPr>
        <w:t> </w:t>
      </w:r>
      <w:r>
        <w:rPr>
          <w:color w:val="3B5673"/>
        </w:rPr>
        <w:t>included</w:t>
      </w:r>
      <w:r>
        <w:rPr>
          <w:color w:val="3B5673"/>
          <w:spacing w:val="-4"/>
        </w:rPr>
        <w:t> </w:t>
      </w:r>
      <w:r>
        <w:rPr>
          <w:color w:val="3B5673"/>
        </w:rPr>
        <w:t>in</w:t>
      </w:r>
      <w:r>
        <w:rPr>
          <w:color w:val="3B5673"/>
          <w:spacing w:val="-4"/>
        </w:rPr>
        <w:t> </w:t>
      </w:r>
      <w:r>
        <w:rPr>
          <w:color w:val="3B5673"/>
        </w:rPr>
        <w:t>the</w:t>
      </w:r>
      <w:r>
        <w:rPr>
          <w:color w:val="3B5673"/>
          <w:spacing w:val="-4"/>
        </w:rPr>
        <w:t> </w:t>
      </w:r>
      <w:r>
        <w:rPr>
          <w:color w:val="3B5673"/>
        </w:rPr>
        <w:t>Annual Governance Statement from 2021/22; they largely remain the same for 2022/23.</w:t>
      </w:r>
    </w:p>
    <w:p>
      <w:pPr>
        <w:pStyle w:val="BodyText"/>
        <w:spacing w:line="310" w:lineRule="exact" w:before="284"/>
        <w:ind w:left="566"/>
      </w:pPr>
      <w:r>
        <w:rPr>
          <w:color w:val="231F20"/>
        </w:rPr>
        <w:t>The</w:t>
      </w:r>
      <w:r>
        <w:rPr>
          <w:color w:val="231F20"/>
          <w:spacing w:val="-2"/>
        </w:rPr>
        <w:t> </w:t>
      </w:r>
      <w:r>
        <w:rPr>
          <w:color w:val="231F20"/>
        </w:rPr>
        <w:t>only</w:t>
      </w:r>
      <w:r>
        <w:rPr>
          <w:color w:val="231F20"/>
          <w:spacing w:val="-2"/>
        </w:rPr>
        <w:t> </w:t>
      </w:r>
      <w:r>
        <w:rPr>
          <w:color w:val="231F20"/>
        </w:rPr>
        <w:t>change</w:t>
      </w:r>
      <w:r>
        <w:rPr>
          <w:color w:val="231F20"/>
          <w:spacing w:val="-2"/>
        </w:rPr>
        <w:t> </w:t>
      </w:r>
      <w:r>
        <w:rPr>
          <w:color w:val="231F20"/>
        </w:rPr>
        <w:t>is</w:t>
      </w:r>
      <w:r>
        <w:rPr>
          <w:color w:val="231F20"/>
          <w:spacing w:val="-2"/>
        </w:rPr>
        <w:t> </w:t>
      </w:r>
      <w:r>
        <w:rPr>
          <w:color w:val="231F20"/>
        </w:rPr>
        <w:t>that</w:t>
      </w:r>
      <w:r>
        <w:rPr>
          <w:color w:val="231F20"/>
          <w:spacing w:val="-2"/>
        </w:rPr>
        <w:t> </w:t>
      </w:r>
      <w:r>
        <w:rPr>
          <w:color w:val="231F20"/>
        </w:rPr>
        <w:t>the</w:t>
      </w:r>
      <w:r>
        <w:rPr>
          <w:color w:val="231F20"/>
          <w:spacing w:val="-2"/>
        </w:rPr>
        <w:t> </w:t>
      </w:r>
      <w:r>
        <w:rPr>
          <w:color w:val="231F20"/>
        </w:rPr>
        <w:t>Towns</w:t>
      </w:r>
      <w:r>
        <w:rPr>
          <w:color w:val="231F20"/>
          <w:spacing w:val="-2"/>
        </w:rPr>
        <w:t> </w:t>
      </w:r>
      <w:r>
        <w:rPr>
          <w:color w:val="231F20"/>
        </w:rPr>
        <w:t>Fund</w:t>
      </w:r>
      <w:r>
        <w:rPr>
          <w:color w:val="231F20"/>
          <w:spacing w:val="-2"/>
        </w:rPr>
        <w:t> </w:t>
      </w:r>
      <w:r>
        <w:rPr>
          <w:color w:val="231F20"/>
        </w:rPr>
        <w:t>risk</w:t>
      </w:r>
      <w:r>
        <w:rPr>
          <w:color w:val="231F20"/>
          <w:spacing w:val="-2"/>
        </w:rPr>
        <w:t> </w:t>
      </w:r>
      <w:r>
        <w:rPr>
          <w:color w:val="231F20"/>
        </w:rPr>
        <w:t>has</w:t>
      </w:r>
      <w:r>
        <w:rPr>
          <w:color w:val="231F20"/>
          <w:spacing w:val="-2"/>
        </w:rPr>
        <w:t> </w:t>
      </w:r>
      <w:r>
        <w:rPr>
          <w:color w:val="231F20"/>
        </w:rPr>
        <w:t>been</w:t>
      </w:r>
      <w:r>
        <w:rPr>
          <w:color w:val="231F20"/>
          <w:spacing w:val="-2"/>
        </w:rPr>
        <w:t> </w:t>
      </w:r>
      <w:r>
        <w:rPr>
          <w:color w:val="231F20"/>
        </w:rPr>
        <w:t>expanded</w:t>
      </w:r>
      <w:r>
        <w:rPr>
          <w:color w:val="231F20"/>
          <w:spacing w:val="-1"/>
        </w:rPr>
        <w:t> </w:t>
      </w:r>
      <w:r>
        <w:rPr>
          <w:color w:val="231F20"/>
        </w:rPr>
        <w:t>to</w:t>
      </w:r>
      <w:r>
        <w:rPr>
          <w:color w:val="231F20"/>
          <w:spacing w:val="-2"/>
        </w:rPr>
        <w:t> </w:t>
      </w:r>
      <w:r>
        <w:rPr>
          <w:color w:val="231F20"/>
        </w:rPr>
        <w:t>capture</w:t>
      </w:r>
      <w:r>
        <w:rPr>
          <w:color w:val="231F20"/>
          <w:spacing w:val="-2"/>
        </w:rPr>
        <w:t> </w:t>
      </w:r>
      <w:r>
        <w:rPr>
          <w:color w:val="231F20"/>
        </w:rPr>
        <w:t>other</w:t>
      </w:r>
      <w:r>
        <w:rPr>
          <w:color w:val="231F20"/>
          <w:spacing w:val="-2"/>
        </w:rPr>
        <w:t> </w:t>
      </w:r>
      <w:r>
        <w:rPr>
          <w:color w:val="231F20"/>
        </w:rPr>
        <w:t>external</w:t>
      </w:r>
      <w:r>
        <w:rPr>
          <w:color w:val="231F20"/>
          <w:spacing w:val="-1"/>
        </w:rPr>
        <w:t> </w:t>
      </w:r>
      <w:r>
        <w:rPr>
          <w:color w:val="231F20"/>
          <w:spacing w:val="-2"/>
        </w:rPr>
        <w:t>funding</w:t>
      </w:r>
    </w:p>
    <w:p>
      <w:pPr>
        <w:pStyle w:val="BodyText"/>
        <w:spacing w:line="310" w:lineRule="exact"/>
        <w:ind w:left="566"/>
      </w:pPr>
      <w:r>
        <w:rPr>
          <w:color w:val="231F20"/>
        </w:rPr>
        <w:t>streams</w:t>
      </w:r>
      <w:r>
        <w:rPr>
          <w:color w:val="231F20"/>
          <w:spacing w:val="-4"/>
        </w:rPr>
        <w:t> </w:t>
      </w:r>
      <w:r>
        <w:rPr>
          <w:color w:val="231F20"/>
        </w:rPr>
        <w:t>(Future</w:t>
      </w:r>
      <w:r>
        <w:rPr>
          <w:color w:val="231F20"/>
          <w:spacing w:val="-3"/>
        </w:rPr>
        <w:t> </w:t>
      </w:r>
      <w:r>
        <w:rPr>
          <w:color w:val="231F20"/>
        </w:rPr>
        <w:t>High</w:t>
      </w:r>
      <w:r>
        <w:rPr>
          <w:color w:val="231F20"/>
          <w:spacing w:val="-3"/>
        </w:rPr>
        <w:t> </w:t>
      </w:r>
      <w:r>
        <w:rPr>
          <w:color w:val="231F20"/>
        </w:rPr>
        <w:t>Streets,</w:t>
      </w:r>
      <w:r>
        <w:rPr>
          <w:color w:val="231F20"/>
          <w:spacing w:val="-3"/>
        </w:rPr>
        <w:t> </w:t>
      </w:r>
      <w:r>
        <w:rPr>
          <w:color w:val="231F20"/>
        </w:rPr>
        <w:t>UK</w:t>
      </w:r>
      <w:r>
        <w:rPr>
          <w:color w:val="231F20"/>
          <w:spacing w:val="-3"/>
        </w:rPr>
        <w:t> </w:t>
      </w:r>
      <w:r>
        <w:rPr>
          <w:color w:val="231F20"/>
        </w:rPr>
        <w:t>Prosperity</w:t>
      </w:r>
      <w:r>
        <w:rPr>
          <w:color w:val="231F20"/>
          <w:spacing w:val="-4"/>
        </w:rPr>
        <w:t> </w:t>
      </w:r>
      <w:r>
        <w:rPr>
          <w:color w:val="231F20"/>
        </w:rPr>
        <w:t>Funding</w:t>
      </w:r>
      <w:r>
        <w:rPr>
          <w:color w:val="231F20"/>
          <w:spacing w:val="-4"/>
        </w:rPr>
        <w:t> </w:t>
      </w:r>
      <w:r>
        <w:rPr>
          <w:color w:val="231F20"/>
        </w:rPr>
        <w:t>and</w:t>
      </w:r>
      <w:r>
        <w:rPr>
          <w:color w:val="231F20"/>
          <w:spacing w:val="-3"/>
        </w:rPr>
        <w:t> </w:t>
      </w:r>
      <w:r>
        <w:rPr>
          <w:color w:val="231F20"/>
        </w:rPr>
        <w:t>Levelling</w:t>
      </w:r>
      <w:r>
        <w:rPr>
          <w:color w:val="231F20"/>
          <w:spacing w:val="-3"/>
        </w:rPr>
        <w:t> </w:t>
      </w:r>
      <w:r>
        <w:rPr>
          <w:color w:val="231F20"/>
        </w:rPr>
        <w:t>Up</w:t>
      </w:r>
      <w:r>
        <w:rPr>
          <w:color w:val="231F20"/>
          <w:spacing w:val="-2"/>
        </w:rPr>
        <w:t> funding).</w:t>
      </w:r>
    </w:p>
    <w:p>
      <w:pPr>
        <w:pStyle w:val="BodyText"/>
        <w:spacing w:before="281"/>
        <w:ind w:left="566"/>
      </w:pPr>
      <w:r>
        <w:rPr/>
        <w:pict>
          <v:group style="position:absolute;margin-left:578.504028pt;margin-top:99.050117pt;width:16.8pt;height:192.8pt;mso-position-horizontal-relative:page;mso-position-vertical-relative:paragraph;z-index:15738368" id="docshapegroup66" coordorigin="11570,1981" coordsize="336,3856">
            <v:rect style="position:absolute;left:11570;top:4872;width:336;height:964" id="docshape67" filled="true" fillcolor="#f15d6b" stroked="false">
              <v:fill type="solid"/>
            </v:rect>
            <v:rect style="position:absolute;left:11570;top:3908;width:336;height:964" id="docshape68" filled="true" fillcolor="#fbac42" stroked="false">
              <v:fill type="solid"/>
            </v:rect>
            <v:rect style="position:absolute;left:11570;top:2944;width:336;height:964" id="docshape69" filled="true" fillcolor="#b78fc1" stroked="false">
              <v:fill type="solid"/>
            </v:rect>
            <v:rect style="position:absolute;left:11570;top:1981;width:336;height:964" id="docshape70" filled="true" fillcolor="#378372" stroked="false">
              <v:fill type="solid"/>
            </v:rect>
            <w10:wrap type="none"/>
          </v:group>
        </w:pict>
      </w:r>
      <w:r>
        <w:rPr>
          <w:color w:val="231F20"/>
        </w:rPr>
        <w:t>Details</w:t>
      </w:r>
      <w:r>
        <w:rPr>
          <w:color w:val="231F20"/>
          <w:spacing w:val="-4"/>
        </w:rPr>
        <w:t> </w:t>
      </w:r>
      <w:r>
        <w:rPr>
          <w:color w:val="231F20"/>
        </w:rPr>
        <w:t>of</w:t>
      </w:r>
      <w:r>
        <w:rPr>
          <w:color w:val="231F20"/>
          <w:spacing w:val="-2"/>
        </w:rPr>
        <w:t> </w:t>
      </w:r>
      <w:r>
        <w:rPr>
          <w:color w:val="231F20"/>
        </w:rPr>
        <w:t>these</w:t>
      </w:r>
      <w:r>
        <w:rPr>
          <w:color w:val="231F20"/>
          <w:spacing w:val="-3"/>
        </w:rPr>
        <w:t> </w:t>
      </w:r>
      <w:r>
        <w:rPr>
          <w:color w:val="231F20"/>
        </w:rPr>
        <w:t>potential</w:t>
      </w:r>
      <w:r>
        <w:rPr>
          <w:color w:val="231F20"/>
          <w:spacing w:val="-2"/>
        </w:rPr>
        <w:t> </w:t>
      </w:r>
      <w:r>
        <w:rPr>
          <w:color w:val="231F20"/>
        </w:rPr>
        <w:t>significant</w:t>
      </w:r>
      <w:r>
        <w:rPr>
          <w:color w:val="231F20"/>
          <w:spacing w:val="-3"/>
        </w:rPr>
        <w:t> </w:t>
      </w:r>
      <w:r>
        <w:rPr>
          <w:color w:val="231F20"/>
        </w:rPr>
        <w:t>risks</w:t>
      </w:r>
      <w:r>
        <w:rPr>
          <w:color w:val="231F20"/>
          <w:spacing w:val="-3"/>
        </w:rPr>
        <w:t> </w:t>
      </w:r>
      <w:r>
        <w:rPr>
          <w:color w:val="231F20"/>
        </w:rPr>
        <w:t>and</w:t>
      </w:r>
      <w:r>
        <w:rPr>
          <w:color w:val="231F20"/>
          <w:spacing w:val="-2"/>
        </w:rPr>
        <w:t> </w:t>
      </w:r>
      <w:r>
        <w:rPr>
          <w:color w:val="231F20"/>
        </w:rPr>
        <w:t>the</w:t>
      </w:r>
      <w:r>
        <w:rPr>
          <w:color w:val="231F20"/>
          <w:spacing w:val="-3"/>
        </w:rPr>
        <w:t> </w:t>
      </w:r>
      <w:r>
        <w:rPr>
          <w:color w:val="231F20"/>
        </w:rPr>
        <w:t>mitigations</w:t>
      </w:r>
      <w:r>
        <w:rPr>
          <w:color w:val="231F20"/>
          <w:spacing w:val="-3"/>
        </w:rPr>
        <w:t> </w:t>
      </w:r>
      <w:r>
        <w:rPr>
          <w:color w:val="231F20"/>
        </w:rPr>
        <w:t>in</w:t>
      </w:r>
      <w:r>
        <w:rPr>
          <w:color w:val="231F20"/>
          <w:spacing w:val="-3"/>
        </w:rPr>
        <w:t> </w:t>
      </w:r>
      <w:r>
        <w:rPr>
          <w:color w:val="231F20"/>
        </w:rPr>
        <w:t>place</w:t>
      </w:r>
      <w:r>
        <w:rPr>
          <w:color w:val="231F20"/>
          <w:spacing w:val="-3"/>
        </w:rPr>
        <w:t> </w:t>
      </w:r>
      <w:r>
        <w:rPr>
          <w:color w:val="231F20"/>
        </w:rPr>
        <w:t>are</w:t>
      </w:r>
      <w:r>
        <w:rPr>
          <w:color w:val="231F20"/>
          <w:spacing w:val="-2"/>
        </w:rPr>
        <w:t> </w:t>
      </w:r>
      <w:r>
        <w:rPr>
          <w:color w:val="231F20"/>
        </w:rPr>
        <w:t>set</w:t>
      </w:r>
      <w:r>
        <w:rPr>
          <w:color w:val="231F20"/>
          <w:spacing w:val="-4"/>
        </w:rPr>
        <w:t> </w:t>
      </w:r>
      <w:r>
        <w:rPr>
          <w:color w:val="231F20"/>
        </w:rPr>
        <w:t>out</w:t>
      </w:r>
      <w:r>
        <w:rPr>
          <w:color w:val="231F20"/>
          <w:spacing w:val="-2"/>
        </w:rPr>
        <w:t> </w:t>
      </w:r>
      <w:r>
        <w:rPr>
          <w:color w:val="231F20"/>
        </w:rPr>
        <w:t>in</w:t>
      </w:r>
      <w:r>
        <w:rPr>
          <w:color w:val="231F20"/>
          <w:spacing w:val="-3"/>
        </w:rPr>
        <w:t> </w:t>
      </w:r>
      <w:r>
        <w:rPr>
          <w:color w:val="231F20"/>
        </w:rPr>
        <w:t>the</w:t>
      </w:r>
      <w:r>
        <w:rPr>
          <w:color w:val="231F20"/>
          <w:spacing w:val="-3"/>
        </w:rPr>
        <w:t> </w:t>
      </w:r>
      <w:r>
        <w:rPr>
          <w:color w:val="231F20"/>
        </w:rPr>
        <w:t>table</w:t>
      </w:r>
      <w:r>
        <w:rPr>
          <w:color w:val="231F20"/>
          <w:spacing w:val="-2"/>
        </w:rPr>
        <w:t> below:</w:t>
      </w:r>
    </w:p>
    <w:p>
      <w:pPr>
        <w:pStyle w:val="BodyText"/>
        <w:spacing w:before="1"/>
        <w:rPr>
          <w:sz w:val="27"/>
        </w:rPr>
      </w:pPr>
    </w:p>
    <w:tbl>
      <w:tblPr>
        <w:tblW w:w="0" w:type="auto"/>
        <w:jc w:val="left"/>
        <w:tblInd w:w="5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17"/>
        <w:gridCol w:w="9354"/>
      </w:tblGrid>
      <w:tr>
        <w:trPr>
          <w:trHeight w:val="534" w:hRule="atLeast"/>
        </w:trPr>
        <w:tc>
          <w:tcPr>
            <w:tcW w:w="1417" w:type="dxa"/>
            <w:tcBorders>
              <w:bottom w:val="single" w:sz="4" w:space="0" w:color="3B5673"/>
              <w:right w:val="single" w:sz="4" w:space="0" w:color="3B5673"/>
            </w:tcBorders>
            <w:shd w:val="clear" w:color="auto" w:fill="5D6B86"/>
          </w:tcPr>
          <w:p>
            <w:pPr>
              <w:pStyle w:val="TableParagraph"/>
              <w:spacing w:line="253" w:lineRule="exact" w:before="9"/>
              <w:ind w:left="80"/>
              <w:rPr>
                <w:b/>
                <w:sz w:val="20"/>
              </w:rPr>
            </w:pPr>
            <w:r>
              <w:rPr>
                <w:b/>
                <w:color w:val="FFFFFF"/>
                <w:spacing w:val="-2"/>
                <w:sz w:val="20"/>
              </w:rPr>
              <w:t>Corporate</w:t>
            </w:r>
          </w:p>
          <w:p>
            <w:pPr>
              <w:pStyle w:val="TableParagraph"/>
              <w:spacing w:line="253" w:lineRule="exact"/>
              <w:ind w:left="80"/>
              <w:rPr>
                <w:b/>
                <w:sz w:val="20"/>
              </w:rPr>
            </w:pPr>
            <w:r>
              <w:rPr>
                <w:b/>
                <w:color w:val="FFFFFF"/>
                <w:spacing w:val="-4"/>
                <w:sz w:val="20"/>
              </w:rPr>
              <w:t>Risk</w:t>
            </w:r>
          </w:p>
        </w:tc>
        <w:tc>
          <w:tcPr>
            <w:tcW w:w="9354" w:type="dxa"/>
            <w:tcBorders>
              <w:left w:val="single" w:sz="4" w:space="0" w:color="3B5673"/>
              <w:bottom w:val="single" w:sz="4" w:space="0" w:color="3B5673"/>
            </w:tcBorders>
            <w:shd w:val="clear" w:color="auto" w:fill="5D6B86"/>
          </w:tcPr>
          <w:p>
            <w:pPr>
              <w:pStyle w:val="TableParagraph"/>
              <w:spacing w:line="240" w:lineRule="auto" w:before="9"/>
              <w:ind w:left="75"/>
              <w:rPr>
                <w:b/>
                <w:sz w:val="20"/>
              </w:rPr>
            </w:pPr>
            <w:r>
              <w:rPr>
                <w:b/>
                <w:color w:val="FFFFFF"/>
                <w:sz w:val="20"/>
              </w:rPr>
              <w:t>Risk </w:t>
            </w:r>
            <w:r>
              <w:rPr>
                <w:b/>
                <w:color w:val="FFFFFF"/>
                <w:spacing w:val="-2"/>
                <w:sz w:val="20"/>
              </w:rPr>
              <w:t>Mitigation</w:t>
            </w:r>
          </w:p>
        </w:tc>
      </w:tr>
      <w:tr>
        <w:trPr>
          <w:trHeight w:val="1930" w:hRule="atLeast"/>
        </w:trPr>
        <w:tc>
          <w:tcPr>
            <w:tcW w:w="1417" w:type="dxa"/>
            <w:tcBorders>
              <w:top w:val="single" w:sz="4" w:space="0" w:color="3B5673"/>
              <w:bottom w:val="single" w:sz="4" w:space="0" w:color="3B5673"/>
            </w:tcBorders>
          </w:tcPr>
          <w:p>
            <w:pPr>
              <w:pStyle w:val="TableParagraph"/>
              <w:spacing w:line="216" w:lineRule="auto" w:before="10"/>
              <w:ind w:left="56"/>
              <w:rPr>
                <w:b/>
                <w:sz w:val="20"/>
              </w:rPr>
            </w:pPr>
            <w:r>
              <w:rPr>
                <w:b/>
                <w:color w:val="231F20"/>
                <w:spacing w:val="-2"/>
                <w:sz w:val="20"/>
              </w:rPr>
              <w:t>Future financial sustainability</w:t>
            </w:r>
          </w:p>
        </w:tc>
        <w:tc>
          <w:tcPr>
            <w:tcW w:w="9354" w:type="dxa"/>
            <w:tcBorders>
              <w:top w:val="single" w:sz="4" w:space="0" w:color="3B5673"/>
              <w:bottom w:val="single" w:sz="4" w:space="0" w:color="3B5673"/>
            </w:tcBorders>
          </w:tcPr>
          <w:p>
            <w:pPr>
              <w:pStyle w:val="TableParagraph"/>
              <w:spacing w:line="216" w:lineRule="auto" w:before="10"/>
              <w:ind w:left="57" w:right="463"/>
              <w:rPr>
                <w:sz w:val="20"/>
              </w:rPr>
            </w:pPr>
            <w:r>
              <w:rPr>
                <w:color w:val="231F20"/>
                <w:sz w:val="20"/>
              </w:rPr>
              <w:t>Robust balanced budget for 2022/23. Ongoing work programme with Cabinet/SLT to identify savings</w:t>
            </w:r>
            <w:r>
              <w:rPr>
                <w:color w:val="231F20"/>
                <w:spacing w:val="-4"/>
                <w:sz w:val="20"/>
              </w:rPr>
              <w:t> </w:t>
            </w:r>
            <w:r>
              <w:rPr>
                <w:color w:val="231F20"/>
                <w:sz w:val="20"/>
              </w:rPr>
              <w:t>and</w:t>
            </w:r>
            <w:r>
              <w:rPr>
                <w:color w:val="231F20"/>
                <w:spacing w:val="-3"/>
                <w:sz w:val="20"/>
              </w:rPr>
              <w:t> </w:t>
            </w:r>
            <w:r>
              <w:rPr>
                <w:color w:val="231F20"/>
                <w:sz w:val="20"/>
              </w:rPr>
              <w:t>income</w:t>
            </w:r>
            <w:r>
              <w:rPr>
                <w:color w:val="231F20"/>
                <w:spacing w:val="-4"/>
                <w:sz w:val="20"/>
              </w:rPr>
              <w:t> </w:t>
            </w:r>
            <w:r>
              <w:rPr>
                <w:color w:val="231F20"/>
                <w:sz w:val="20"/>
              </w:rPr>
              <w:t>generating</w:t>
            </w:r>
            <w:r>
              <w:rPr>
                <w:color w:val="231F20"/>
                <w:spacing w:val="-3"/>
                <w:sz w:val="20"/>
              </w:rPr>
              <w:t> </w:t>
            </w:r>
            <w:r>
              <w:rPr>
                <w:color w:val="231F20"/>
                <w:sz w:val="20"/>
              </w:rPr>
              <w:t>opportunities</w:t>
            </w:r>
            <w:r>
              <w:rPr>
                <w:color w:val="231F20"/>
                <w:spacing w:val="-3"/>
                <w:sz w:val="20"/>
              </w:rPr>
              <w:t> </w:t>
            </w:r>
            <w:r>
              <w:rPr>
                <w:color w:val="231F20"/>
                <w:sz w:val="20"/>
              </w:rPr>
              <w:t>to</w:t>
            </w:r>
            <w:r>
              <w:rPr>
                <w:color w:val="231F20"/>
                <w:spacing w:val="-3"/>
                <w:sz w:val="20"/>
              </w:rPr>
              <w:t> </w:t>
            </w:r>
            <w:r>
              <w:rPr>
                <w:color w:val="231F20"/>
                <w:sz w:val="20"/>
              </w:rPr>
              <w:t>address</w:t>
            </w:r>
            <w:r>
              <w:rPr>
                <w:color w:val="231F20"/>
                <w:spacing w:val="-3"/>
                <w:sz w:val="20"/>
              </w:rPr>
              <w:t> </w:t>
            </w:r>
            <w:r>
              <w:rPr>
                <w:color w:val="231F20"/>
                <w:sz w:val="20"/>
              </w:rPr>
              <w:t>the</w:t>
            </w:r>
            <w:r>
              <w:rPr>
                <w:color w:val="231F20"/>
                <w:spacing w:val="-3"/>
                <w:sz w:val="20"/>
              </w:rPr>
              <w:t> </w:t>
            </w:r>
            <w:r>
              <w:rPr>
                <w:color w:val="231F20"/>
                <w:sz w:val="20"/>
              </w:rPr>
              <w:t>estimated</w:t>
            </w:r>
            <w:r>
              <w:rPr>
                <w:color w:val="231F20"/>
                <w:spacing w:val="-3"/>
                <w:sz w:val="20"/>
              </w:rPr>
              <w:t> </w:t>
            </w:r>
            <w:r>
              <w:rPr>
                <w:color w:val="231F20"/>
                <w:sz w:val="20"/>
              </w:rPr>
              <w:t>funding</w:t>
            </w:r>
            <w:r>
              <w:rPr>
                <w:color w:val="231F20"/>
                <w:spacing w:val="-3"/>
                <w:sz w:val="20"/>
              </w:rPr>
              <w:t> </w:t>
            </w:r>
            <w:r>
              <w:rPr>
                <w:color w:val="231F20"/>
                <w:sz w:val="20"/>
              </w:rPr>
              <w:t>gap:</w:t>
            </w:r>
            <w:r>
              <w:rPr>
                <w:color w:val="231F20"/>
                <w:spacing w:val="-3"/>
                <w:sz w:val="20"/>
              </w:rPr>
              <w:t> </w:t>
            </w:r>
            <w:r>
              <w:rPr>
                <w:color w:val="231F20"/>
                <w:sz w:val="20"/>
              </w:rPr>
              <w:t>Digital</w:t>
            </w:r>
            <w:r>
              <w:rPr>
                <w:color w:val="231F20"/>
                <w:spacing w:val="-4"/>
                <w:sz w:val="20"/>
              </w:rPr>
              <w:t> </w:t>
            </w:r>
            <w:r>
              <w:rPr>
                <w:color w:val="231F20"/>
                <w:sz w:val="20"/>
              </w:rPr>
              <w:t>Services Transformation agenda, service reviews, review of fees and charges, procurement savings, asset </w:t>
            </w:r>
            <w:r>
              <w:rPr>
                <w:color w:val="231F20"/>
                <w:spacing w:val="-2"/>
                <w:sz w:val="20"/>
              </w:rPr>
              <w:t>rationalisation.</w:t>
            </w:r>
          </w:p>
          <w:p>
            <w:pPr>
              <w:pStyle w:val="TableParagraph"/>
              <w:spacing w:line="240" w:lineRule="exact" w:before="228"/>
              <w:ind w:left="57"/>
              <w:rPr>
                <w:sz w:val="20"/>
              </w:rPr>
            </w:pPr>
            <w:r>
              <w:rPr>
                <w:color w:val="231F20"/>
                <w:sz w:val="20"/>
              </w:rPr>
              <w:t>The Council also has robust reserves which will assist in transitioning to revised levels of central government</w:t>
            </w:r>
            <w:r>
              <w:rPr>
                <w:color w:val="231F20"/>
                <w:spacing w:val="-3"/>
                <w:sz w:val="20"/>
              </w:rPr>
              <w:t> </w:t>
            </w:r>
            <w:r>
              <w:rPr>
                <w:color w:val="231F20"/>
                <w:sz w:val="20"/>
              </w:rPr>
              <w:t>funding</w:t>
            </w:r>
            <w:r>
              <w:rPr>
                <w:color w:val="231F20"/>
                <w:spacing w:val="-3"/>
                <w:sz w:val="20"/>
              </w:rPr>
              <w:t> </w:t>
            </w:r>
            <w:r>
              <w:rPr>
                <w:color w:val="231F20"/>
                <w:sz w:val="20"/>
              </w:rPr>
              <w:t>whilst</w:t>
            </w:r>
            <w:r>
              <w:rPr>
                <w:color w:val="231F20"/>
                <w:spacing w:val="-3"/>
                <w:sz w:val="20"/>
              </w:rPr>
              <w:t> </w:t>
            </w:r>
            <w:r>
              <w:rPr>
                <w:color w:val="231F20"/>
                <w:sz w:val="20"/>
              </w:rPr>
              <w:t>at</w:t>
            </w:r>
            <w:r>
              <w:rPr>
                <w:color w:val="231F20"/>
                <w:spacing w:val="-3"/>
                <w:sz w:val="20"/>
              </w:rPr>
              <w:t> </w:t>
            </w:r>
            <w:r>
              <w:rPr>
                <w:color w:val="231F20"/>
                <w:sz w:val="20"/>
              </w:rPr>
              <w:t>the</w:t>
            </w:r>
            <w:r>
              <w:rPr>
                <w:color w:val="231F20"/>
                <w:spacing w:val="-3"/>
                <w:sz w:val="20"/>
              </w:rPr>
              <w:t> </w:t>
            </w:r>
            <w:r>
              <w:rPr>
                <w:color w:val="231F20"/>
                <w:sz w:val="20"/>
              </w:rPr>
              <w:t>same</w:t>
            </w:r>
            <w:r>
              <w:rPr>
                <w:color w:val="231F20"/>
                <w:spacing w:val="-4"/>
                <w:sz w:val="20"/>
              </w:rPr>
              <w:t> </w:t>
            </w:r>
            <w:r>
              <w:rPr>
                <w:color w:val="231F20"/>
                <w:sz w:val="20"/>
              </w:rPr>
              <w:t>time</w:t>
            </w:r>
            <w:r>
              <w:rPr>
                <w:color w:val="231F20"/>
                <w:spacing w:val="-3"/>
                <w:sz w:val="20"/>
              </w:rPr>
              <w:t> </w:t>
            </w:r>
            <w:r>
              <w:rPr>
                <w:color w:val="231F20"/>
                <w:sz w:val="20"/>
              </w:rPr>
              <w:t>identifying</w:t>
            </w:r>
            <w:r>
              <w:rPr>
                <w:color w:val="231F20"/>
                <w:spacing w:val="-4"/>
                <w:sz w:val="20"/>
              </w:rPr>
              <w:t> </w:t>
            </w:r>
            <w:r>
              <w:rPr>
                <w:color w:val="231F20"/>
                <w:sz w:val="20"/>
              </w:rPr>
              <w:t>and</w:t>
            </w:r>
            <w:r>
              <w:rPr>
                <w:color w:val="231F20"/>
                <w:spacing w:val="-3"/>
                <w:sz w:val="20"/>
              </w:rPr>
              <w:t> </w:t>
            </w:r>
            <w:r>
              <w:rPr>
                <w:color w:val="231F20"/>
                <w:sz w:val="20"/>
              </w:rPr>
              <w:t>implementing</w:t>
            </w:r>
            <w:r>
              <w:rPr>
                <w:color w:val="231F20"/>
                <w:spacing w:val="-4"/>
                <w:sz w:val="20"/>
              </w:rPr>
              <w:t> </w:t>
            </w:r>
            <w:r>
              <w:rPr>
                <w:color w:val="231F20"/>
                <w:sz w:val="20"/>
              </w:rPr>
              <w:t>‘Options</w:t>
            </w:r>
            <w:r>
              <w:rPr>
                <w:color w:val="231F20"/>
                <w:spacing w:val="-3"/>
                <w:sz w:val="20"/>
              </w:rPr>
              <w:t> </w:t>
            </w:r>
            <w:r>
              <w:rPr>
                <w:color w:val="231F20"/>
                <w:sz w:val="20"/>
              </w:rPr>
              <w:t>for</w:t>
            </w:r>
            <w:r>
              <w:rPr>
                <w:color w:val="231F20"/>
                <w:spacing w:val="-3"/>
                <w:sz w:val="20"/>
              </w:rPr>
              <w:t> </w:t>
            </w:r>
            <w:r>
              <w:rPr>
                <w:color w:val="231F20"/>
                <w:sz w:val="20"/>
              </w:rPr>
              <w:t>Change’</w:t>
            </w:r>
            <w:r>
              <w:rPr>
                <w:color w:val="231F20"/>
                <w:spacing w:val="-4"/>
                <w:sz w:val="20"/>
              </w:rPr>
              <w:t> </w:t>
            </w:r>
            <w:r>
              <w:rPr>
                <w:color w:val="231F20"/>
                <w:sz w:val="20"/>
              </w:rPr>
              <w:t>to</w:t>
            </w:r>
            <w:r>
              <w:rPr>
                <w:color w:val="231F20"/>
                <w:spacing w:val="-3"/>
                <w:sz w:val="20"/>
              </w:rPr>
              <w:t> </w:t>
            </w:r>
            <w:r>
              <w:rPr>
                <w:color w:val="231F20"/>
                <w:sz w:val="20"/>
              </w:rPr>
              <w:t>assist with addressing the Council’s future financial challenges.</w:t>
            </w:r>
          </w:p>
        </w:tc>
      </w:tr>
      <w:tr>
        <w:trPr>
          <w:trHeight w:val="2408" w:hRule="atLeast"/>
        </w:trPr>
        <w:tc>
          <w:tcPr>
            <w:tcW w:w="1417" w:type="dxa"/>
            <w:tcBorders>
              <w:top w:val="single" w:sz="4" w:space="0" w:color="3B5673"/>
              <w:bottom w:val="single" w:sz="4" w:space="0" w:color="3B5673"/>
            </w:tcBorders>
            <w:shd w:val="clear" w:color="auto" w:fill="C9CBD4"/>
          </w:tcPr>
          <w:p>
            <w:pPr>
              <w:pStyle w:val="TableParagraph"/>
              <w:spacing w:line="216" w:lineRule="auto" w:before="3"/>
              <w:ind w:left="56"/>
              <w:rPr>
                <w:b/>
                <w:sz w:val="20"/>
              </w:rPr>
            </w:pPr>
            <w:r>
              <w:rPr>
                <w:b/>
                <w:color w:val="231F20"/>
                <w:sz w:val="20"/>
              </w:rPr>
              <w:t>Failure to adopt</w:t>
            </w:r>
            <w:r>
              <w:rPr>
                <w:b/>
                <w:color w:val="231F20"/>
                <w:spacing w:val="-14"/>
                <w:sz w:val="20"/>
              </w:rPr>
              <w:t> </w:t>
            </w:r>
            <w:r>
              <w:rPr>
                <w:b/>
                <w:color w:val="231F20"/>
                <w:sz w:val="20"/>
              </w:rPr>
              <w:t>a</w:t>
            </w:r>
            <w:r>
              <w:rPr>
                <w:b/>
                <w:color w:val="231F20"/>
                <w:spacing w:val="-14"/>
                <w:sz w:val="20"/>
              </w:rPr>
              <w:t> </w:t>
            </w:r>
            <w:r>
              <w:rPr>
                <w:b/>
                <w:color w:val="231F20"/>
                <w:sz w:val="20"/>
              </w:rPr>
              <w:t>Local </w:t>
            </w:r>
            <w:r>
              <w:rPr>
                <w:b/>
                <w:color w:val="231F20"/>
                <w:spacing w:val="-4"/>
                <w:sz w:val="20"/>
              </w:rPr>
              <w:t>Plan</w:t>
            </w:r>
          </w:p>
        </w:tc>
        <w:tc>
          <w:tcPr>
            <w:tcW w:w="9354" w:type="dxa"/>
            <w:tcBorders>
              <w:top w:val="single" w:sz="4" w:space="0" w:color="3B5673"/>
              <w:bottom w:val="single" w:sz="4" w:space="0" w:color="3B5673"/>
            </w:tcBorders>
            <w:shd w:val="clear" w:color="auto" w:fill="C9CBD4"/>
          </w:tcPr>
          <w:p>
            <w:pPr>
              <w:pStyle w:val="TableParagraph"/>
              <w:spacing w:line="216" w:lineRule="auto" w:before="3"/>
              <w:ind w:left="57" w:right="63"/>
              <w:rPr>
                <w:sz w:val="20"/>
              </w:rPr>
            </w:pPr>
            <w:r>
              <w:rPr>
                <w:color w:val="231F20"/>
                <w:sz w:val="20"/>
              </w:rPr>
              <w:t>The Council has agreed to progress the Local Plan which will provide for certainty of housing for 10 years.</w:t>
            </w:r>
            <w:r>
              <w:rPr>
                <w:color w:val="231F20"/>
                <w:spacing w:val="-2"/>
                <w:sz w:val="20"/>
              </w:rPr>
              <w:t> </w:t>
            </w:r>
            <w:r>
              <w:rPr>
                <w:color w:val="231F20"/>
                <w:sz w:val="20"/>
              </w:rPr>
              <w:t>Given</w:t>
            </w:r>
            <w:r>
              <w:rPr>
                <w:color w:val="231F20"/>
                <w:spacing w:val="-2"/>
                <w:sz w:val="20"/>
              </w:rPr>
              <w:t> </w:t>
            </w:r>
            <w:r>
              <w:rPr>
                <w:color w:val="231F20"/>
                <w:sz w:val="20"/>
              </w:rPr>
              <w:t>the</w:t>
            </w:r>
            <w:r>
              <w:rPr>
                <w:color w:val="231F20"/>
                <w:spacing w:val="-2"/>
                <w:sz w:val="20"/>
              </w:rPr>
              <w:t> </w:t>
            </w:r>
            <w:r>
              <w:rPr>
                <w:color w:val="231F20"/>
                <w:sz w:val="20"/>
              </w:rPr>
              <w:t>direction</w:t>
            </w:r>
            <w:r>
              <w:rPr>
                <w:color w:val="231F20"/>
                <w:spacing w:val="-2"/>
                <w:sz w:val="20"/>
              </w:rPr>
              <w:t> </w:t>
            </w:r>
            <w:r>
              <w:rPr>
                <w:color w:val="231F20"/>
                <w:sz w:val="20"/>
              </w:rPr>
              <w:t>of</w:t>
            </w:r>
            <w:r>
              <w:rPr>
                <w:color w:val="231F20"/>
                <w:spacing w:val="-2"/>
                <w:sz w:val="20"/>
              </w:rPr>
              <w:t> </w:t>
            </w:r>
            <w:r>
              <w:rPr>
                <w:color w:val="231F20"/>
                <w:sz w:val="20"/>
              </w:rPr>
              <w:t>travel</w:t>
            </w:r>
            <w:r>
              <w:rPr>
                <w:color w:val="231F20"/>
                <w:spacing w:val="-2"/>
                <w:sz w:val="20"/>
              </w:rPr>
              <w:t> </w:t>
            </w:r>
            <w:r>
              <w:rPr>
                <w:color w:val="231F20"/>
                <w:sz w:val="20"/>
              </w:rPr>
              <w:t>by</w:t>
            </w:r>
            <w:r>
              <w:rPr>
                <w:color w:val="231F20"/>
                <w:spacing w:val="-2"/>
                <w:sz w:val="20"/>
              </w:rPr>
              <w:t> </w:t>
            </w:r>
            <w:r>
              <w:rPr>
                <w:color w:val="231F20"/>
                <w:sz w:val="20"/>
              </w:rPr>
              <w:t>Government</w:t>
            </w:r>
            <w:r>
              <w:rPr>
                <w:color w:val="231F20"/>
                <w:spacing w:val="-2"/>
                <w:sz w:val="20"/>
              </w:rPr>
              <w:t> </w:t>
            </w:r>
            <w:r>
              <w:rPr>
                <w:color w:val="231F20"/>
                <w:sz w:val="20"/>
              </w:rPr>
              <w:t>in</w:t>
            </w:r>
            <w:r>
              <w:rPr>
                <w:color w:val="231F20"/>
                <w:spacing w:val="-3"/>
                <w:sz w:val="20"/>
              </w:rPr>
              <w:t> </w:t>
            </w:r>
            <w:r>
              <w:rPr>
                <w:color w:val="231F20"/>
                <w:sz w:val="20"/>
              </w:rPr>
              <w:t>relation</w:t>
            </w:r>
            <w:r>
              <w:rPr>
                <w:color w:val="231F20"/>
                <w:spacing w:val="-2"/>
                <w:sz w:val="20"/>
              </w:rPr>
              <w:t> </w:t>
            </w:r>
            <w:r>
              <w:rPr>
                <w:color w:val="231F20"/>
                <w:sz w:val="20"/>
              </w:rPr>
              <w:t>to</w:t>
            </w:r>
            <w:r>
              <w:rPr>
                <w:color w:val="231F20"/>
                <w:spacing w:val="-2"/>
                <w:sz w:val="20"/>
              </w:rPr>
              <w:t> </w:t>
            </w:r>
            <w:r>
              <w:rPr>
                <w:color w:val="231F20"/>
                <w:sz w:val="20"/>
              </w:rPr>
              <w:t>the</w:t>
            </w:r>
            <w:r>
              <w:rPr>
                <w:color w:val="231F20"/>
                <w:spacing w:val="-2"/>
                <w:sz w:val="20"/>
              </w:rPr>
              <w:t> </w:t>
            </w:r>
            <w:r>
              <w:rPr>
                <w:color w:val="231F20"/>
                <w:sz w:val="20"/>
              </w:rPr>
              <w:t>green</w:t>
            </w:r>
            <w:r>
              <w:rPr>
                <w:color w:val="231F20"/>
                <w:spacing w:val="-2"/>
                <w:sz w:val="20"/>
              </w:rPr>
              <w:t> </w:t>
            </w:r>
            <w:r>
              <w:rPr>
                <w:color w:val="231F20"/>
                <w:sz w:val="20"/>
              </w:rPr>
              <w:t>belt,</w:t>
            </w:r>
            <w:r>
              <w:rPr>
                <w:color w:val="231F20"/>
                <w:spacing w:val="-2"/>
                <w:sz w:val="20"/>
              </w:rPr>
              <w:t> </w:t>
            </w:r>
            <w:r>
              <w:rPr>
                <w:color w:val="231F20"/>
                <w:sz w:val="20"/>
              </w:rPr>
              <w:t>and</w:t>
            </w:r>
            <w:r>
              <w:rPr>
                <w:color w:val="231F20"/>
                <w:spacing w:val="-2"/>
                <w:sz w:val="20"/>
              </w:rPr>
              <w:t> </w:t>
            </w:r>
            <w:r>
              <w:rPr>
                <w:color w:val="231F20"/>
                <w:sz w:val="20"/>
              </w:rPr>
              <w:t>in</w:t>
            </w:r>
            <w:r>
              <w:rPr>
                <w:color w:val="231F20"/>
                <w:spacing w:val="-3"/>
                <w:sz w:val="20"/>
              </w:rPr>
              <w:t> </w:t>
            </w:r>
            <w:r>
              <w:rPr>
                <w:color w:val="231F20"/>
                <w:sz w:val="20"/>
              </w:rPr>
              <w:t>acknowledgement of local opposition to two new settlements, it has been agreed to progress the Local Plan without the two new settlements originally proposed.</w:t>
            </w:r>
          </w:p>
          <w:p>
            <w:pPr>
              <w:pStyle w:val="TableParagraph"/>
              <w:spacing w:line="240" w:lineRule="auto" w:before="221"/>
              <w:ind w:left="57"/>
              <w:rPr>
                <w:sz w:val="20"/>
              </w:rPr>
            </w:pPr>
            <w:r>
              <w:rPr>
                <w:color w:val="231F20"/>
                <w:sz w:val="20"/>
              </w:rPr>
              <w:t>Work</w:t>
            </w:r>
            <w:r>
              <w:rPr>
                <w:color w:val="231F20"/>
                <w:spacing w:val="-2"/>
                <w:sz w:val="20"/>
              </w:rPr>
              <w:t> </w:t>
            </w:r>
            <w:r>
              <w:rPr>
                <w:color w:val="231F20"/>
                <w:sz w:val="20"/>
              </w:rPr>
              <w:t>has</w:t>
            </w:r>
            <w:r>
              <w:rPr>
                <w:color w:val="231F20"/>
                <w:spacing w:val="-1"/>
                <w:sz w:val="20"/>
              </w:rPr>
              <w:t> </w:t>
            </w:r>
            <w:r>
              <w:rPr>
                <w:color w:val="231F20"/>
                <w:sz w:val="20"/>
              </w:rPr>
              <w:t>progressed</w:t>
            </w:r>
            <w:r>
              <w:rPr>
                <w:color w:val="231F20"/>
                <w:spacing w:val="-2"/>
                <w:sz w:val="20"/>
              </w:rPr>
              <w:t> </w:t>
            </w:r>
            <w:r>
              <w:rPr>
                <w:color w:val="231F20"/>
                <w:sz w:val="20"/>
              </w:rPr>
              <w:t>on</w:t>
            </w:r>
            <w:r>
              <w:rPr>
                <w:color w:val="231F20"/>
                <w:spacing w:val="-1"/>
                <w:sz w:val="20"/>
              </w:rPr>
              <w:t> </w:t>
            </w:r>
            <w:r>
              <w:rPr>
                <w:color w:val="231F20"/>
                <w:sz w:val="20"/>
              </w:rPr>
              <w:t>the</w:t>
            </w:r>
            <w:r>
              <w:rPr>
                <w:color w:val="231F20"/>
                <w:spacing w:val="-2"/>
                <w:sz w:val="20"/>
              </w:rPr>
              <w:t> </w:t>
            </w:r>
            <w:r>
              <w:rPr>
                <w:color w:val="231F20"/>
                <w:sz w:val="20"/>
              </w:rPr>
              <w:t>evidence</w:t>
            </w:r>
            <w:r>
              <w:rPr>
                <w:color w:val="231F20"/>
                <w:spacing w:val="-2"/>
                <w:sz w:val="20"/>
              </w:rPr>
              <w:t> </w:t>
            </w:r>
            <w:r>
              <w:rPr>
                <w:color w:val="231F20"/>
                <w:sz w:val="20"/>
              </w:rPr>
              <w:t>base</w:t>
            </w:r>
            <w:r>
              <w:rPr>
                <w:color w:val="231F20"/>
                <w:spacing w:val="-1"/>
                <w:sz w:val="20"/>
              </w:rPr>
              <w:t> </w:t>
            </w:r>
            <w:r>
              <w:rPr>
                <w:color w:val="231F20"/>
                <w:sz w:val="20"/>
              </w:rPr>
              <w:t>and</w:t>
            </w:r>
            <w:r>
              <w:rPr>
                <w:color w:val="231F20"/>
                <w:spacing w:val="-2"/>
                <w:sz w:val="20"/>
              </w:rPr>
              <w:t> </w:t>
            </w:r>
            <w:r>
              <w:rPr>
                <w:color w:val="231F20"/>
                <w:sz w:val="20"/>
              </w:rPr>
              <w:t>a</w:t>
            </w:r>
            <w:r>
              <w:rPr>
                <w:color w:val="231F20"/>
                <w:spacing w:val="-1"/>
                <w:sz w:val="20"/>
              </w:rPr>
              <w:t> </w:t>
            </w:r>
            <w:r>
              <w:rPr>
                <w:color w:val="231F20"/>
                <w:sz w:val="20"/>
              </w:rPr>
              <w:t>meeting</w:t>
            </w:r>
            <w:r>
              <w:rPr>
                <w:color w:val="231F20"/>
                <w:spacing w:val="-2"/>
                <w:sz w:val="20"/>
              </w:rPr>
              <w:t> </w:t>
            </w:r>
            <w:r>
              <w:rPr>
                <w:color w:val="231F20"/>
                <w:sz w:val="20"/>
              </w:rPr>
              <w:t>held</w:t>
            </w:r>
            <w:r>
              <w:rPr>
                <w:color w:val="231F20"/>
                <w:spacing w:val="-2"/>
                <w:sz w:val="20"/>
              </w:rPr>
              <w:t> </w:t>
            </w:r>
            <w:r>
              <w:rPr>
                <w:color w:val="231F20"/>
                <w:sz w:val="20"/>
              </w:rPr>
              <w:t>with</w:t>
            </w:r>
            <w:r>
              <w:rPr>
                <w:color w:val="231F20"/>
                <w:spacing w:val="-1"/>
                <w:sz w:val="20"/>
              </w:rPr>
              <w:t> </w:t>
            </w:r>
            <w:r>
              <w:rPr>
                <w:color w:val="231F20"/>
                <w:sz w:val="20"/>
              </w:rPr>
              <w:t>the</w:t>
            </w:r>
            <w:r>
              <w:rPr>
                <w:color w:val="231F20"/>
                <w:spacing w:val="-2"/>
                <w:sz w:val="20"/>
              </w:rPr>
              <w:t> </w:t>
            </w:r>
            <w:r>
              <w:rPr>
                <w:color w:val="231F20"/>
                <w:sz w:val="20"/>
              </w:rPr>
              <w:t>Planning</w:t>
            </w:r>
            <w:r>
              <w:rPr>
                <w:color w:val="231F20"/>
                <w:spacing w:val="-1"/>
                <w:sz w:val="20"/>
              </w:rPr>
              <w:t> </w:t>
            </w:r>
            <w:r>
              <w:rPr>
                <w:color w:val="231F20"/>
                <w:spacing w:val="-2"/>
                <w:sz w:val="20"/>
              </w:rPr>
              <w:t>Inspectorate.</w:t>
            </w:r>
          </w:p>
          <w:p>
            <w:pPr>
              <w:pStyle w:val="TableParagraph"/>
              <w:spacing w:line="480" w:lineRule="atLeast"/>
              <w:ind w:left="57" w:right="648"/>
              <w:rPr>
                <w:sz w:val="20"/>
              </w:rPr>
            </w:pPr>
            <w:r>
              <w:rPr>
                <w:color w:val="231F20"/>
                <w:sz w:val="20"/>
              </w:rPr>
              <w:t>A</w:t>
            </w:r>
            <w:r>
              <w:rPr>
                <w:color w:val="231F20"/>
                <w:spacing w:val="-3"/>
                <w:sz w:val="20"/>
              </w:rPr>
              <w:t> </w:t>
            </w:r>
            <w:r>
              <w:rPr>
                <w:color w:val="231F20"/>
                <w:sz w:val="20"/>
              </w:rPr>
              <w:t>new</w:t>
            </w:r>
            <w:r>
              <w:rPr>
                <w:color w:val="231F20"/>
                <w:spacing w:val="-3"/>
                <w:sz w:val="20"/>
              </w:rPr>
              <w:t> </w:t>
            </w:r>
            <w:r>
              <w:rPr>
                <w:color w:val="231F20"/>
                <w:sz w:val="20"/>
              </w:rPr>
              <w:t>Local</w:t>
            </w:r>
            <w:r>
              <w:rPr>
                <w:color w:val="231F20"/>
                <w:spacing w:val="-3"/>
                <w:sz w:val="20"/>
              </w:rPr>
              <w:t> </w:t>
            </w:r>
            <w:r>
              <w:rPr>
                <w:color w:val="231F20"/>
                <w:sz w:val="20"/>
              </w:rPr>
              <w:t>Plan</w:t>
            </w:r>
            <w:r>
              <w:rPr>
                <w:color w:val="231F20"/>
                <w:spacing w:val="-3"/>
                <w:sz w:val="20"/>
              </w:rPr>
              <w:t> </w:t>
            </w:r>
            <w:r>
              <w:rPr>
                <w:color w:val="231F20"/>
                <w:sz w:val="20"/>
              </w:rPr>
              <w:t>Development</w:t>
            </w:r>
            <w:r>
              <w:rPr>
                <w:color w:val="231F20"/>
                <w:spacing w:val="-4"/>
                <w:sz w:val="20"/>
              </w:rPr>
              <w:t> </w:t>
            </w:r>
            <w:r>
              <w:rPr>
                <w:color w:val="231F20"/>
                <w:sz w:val="20"/>
              </w:rPr>
              <w:t>Scheme</w:t>
            </w:r>
            <w:r>
              <w:rPr>
                <w:color w:val="231F20"/>
                <w:spacing w:val="-4"/>
                <w:sz w:val="20"/>
              </w:rPr>
              <w:t> </w:t>
            </w:r>
            <w:r>
              <w:rPr>
                <w:color w:val="231F20"/>
                <w:sz w:val="20"/>
              </w:rPr>
              <w:t>will</w:t>
            </w:r>
            <w:r>
              <w:rPr>
                <w:color w:val="231F20"/>
                <w:spacing w:val="-3"/>
                <w:sz w:val="20"/>
              </w:rPr>
              <w:t> </w:t>
            </w:r>
            <w:r>
              <w:rPr>
                <w:color w:val="231F20"/>
                <w:sz w:val="20"/>
              </w:rPr>
              <w:t>be</w:t>
            </w:r>
            <w:r>
              <w:rPr>
                <w:color w:val="231F20"/>
                <w:spacing w:val="-3"/>
                <w:sz w:val="20"/>
              </w:rPr>
              <w:t> </w:t>
            </w:r>
            <w:r>
              <w:rPr>
                <w:color w:val="231F20"/>
                <w:sz w:val="20"/>
              </w:rPr>
              <w:t>finalised</w:t>
            </w:r>
            <w:r>
              <w:rPr>
                <w:color w:val="231F20"/>
                <w:spacing w:val="-3"/>
                <w:sz w:val="20"/>
              </w:rPr>
              <w:t> </w:t>
            </w:r>
            <w:r>
              <w:rPr>
                <w:color w:val="231F20"/>
                <w:sz w:val="20"/>
              </w:rPr>
              <w:t>in</w:t>
            </w:r>
            <w:r>
              <w:rPr>
                <w:color w:val="231F20"/>
                <w:spacing w:val="-4"/>
                <w:sz w:val="20"/>
              </w:rPr>
              <w:t> </w:t>
            </w:r>
            <w:r>
              <w:rPr>
                <w:color w:val="231F20"/>
                <w:sz w:val="20"/>
              </w:rPr>
              <w:t>June</w:t>
            </w:r>
            <w:r>
              <w:rPr>
                <w:color w:val="231F20"/>
                <w:spacing w:val="-3"/>
                <w:sz w:val="20"/>
              </w:rPr>
              <w:t> </w:t>
            </w:r>
            <w:r>
              <w:rPr>
                <w:color w:val="231F20"/>
                <w:sz w:val="20"/>
              </w:rPr>
              <w:t>2023</w:t>
            </w:r>
            <w:r>
              <w:rPr>
                <w:color w:val="231F20"/>
                <w:spacing w:val="-4"/>
                <w:sz w:val="20"/>
              </w:rPr>
              <w:t> </w:t>
            </w:r>
            <w:r>
              <w:rPr>
                <w:color w:val="231F20"/>
                <w:sz w:val="20"/>
              </w:rPr>
              <w:t>with</w:t>
            </w:r>
            <w:r>
              <w:rPr>
                <w:color w:val="231F20"/>
                <w:spacing w:val="-3"/>
                <w:sz w:val="20"/>
              </w:rPr>
              <w:t> </w:t>
            </w:r>
            <w:r>
              <w:rPr>
                <w:color w:val="231F20"/>
                <w:sz w:val="20"/>
              </w:rPr>
              <w:t>the</w:t>
            </w:r>
            <w:r>
              <w:rPr>
                <w:color w:val="231F20"/>
                <w:spacing w:val="-3"/>
                <w:sz w:val="20"/>
              </w:rPr>
              <w:t> </w:t>
            </w:r>
            <w:r>
              <w:rPr>
                <w:color w:val="231F20"/>
                <w:sz w:val="20"/>
              </w:rPr>
              <w:t>new</w:t>
            </w:r>
            <w:r>
              <w:rPr>
                <w:color w:val="231F20"/>
                <w:spacing w:val="-3"/>
                <w:sz w:val="20"/>
              </w:rPr>
              <w:t> </w:t>
            </w:r>
            <w:r>
              <w:rPr>
                <w:color w:val="231F20"/>
                <w:sz w:val="20"/>
              </w:rPr>
              <w:t>administration. It is expected that a draft plan will be consulted on in autumn 2023.</w:t>
            </w:r>
          </w:p>
        </w:tc>
      </w:tr>
      <w:tr>
        <w:trPr>
          <w:trHeight w:val="2419" w:hRule="atLeast"/>
        </w:trPr>
        <w:tc>
          <w:tcPr>
            <w:tcW w:w="1417" w:type="dxa"/>
            <w:tcBorders>
              <w:top w:val="single" w:sz="4" w:space="0" w:color="3B5673"/>
            </w:tcBorders>
          </w:tcPr>
          <w:p>
            <w:pPr>
              <w:pStyle w:val="TableParagraph"/>
              <w:spacing w:line="216" w:lineRule="auto" w:before="3"/>
              <w:ind w:left="56" w:right="526"/>
              <w:rPr>
                <w:b/>
                <w:sz w:val="20"/>
              </w:rPr>
            </w:pPr>
            <w:r>
              <w:rPr>
                <w:b/>
                <w:color w:val="231F20"/>
                <w:spacing w:val="-2"/>
                <w:sz w:val="20"/>
              </w:rPr>
              <w:t>Planning Appeals</w:t>
            </w:r>
          </w:p>
        </w:tc>
        <w:tc>
          <w:tcPr>
            <w:tcW w:w="9354" w:type="dxa"/>
            <w:tcBorders>
              <w:top w:val="single" w:sz="4" w:space="0" w:color="3B5673"/>
            </w:tcBorders>
          </w:tcPr>
          <w:p>
            <w:pPr>
              <w:pStyle w:val="TableParagraph"/>
              <w:spacing w:line="216" w:lineRule="auto" w:before="3"/>
              <w:ind w:left="57"/>
              <w:rPr>
                <w:sz w:val="20"/>
              </w:rPr>
            </w:pPr>
            <w:r>
              <w:rPr>
                <w:color w:val="231F20"/>
                <w:sz w:val="20"/>
              </w:rPr>
              <w:t>Following</w:t>
            </w:r>
            <w:r>
              <w:rPr>
                <w:color w:val="231F20"/>
                <w:spacing w:val="-4"/>
                <w:sz w:val="20"/>
              </w:rPr>
              <w:t> </w:t>
            </w:r>
            <w:r>
              <w:rPr>
                <w:color w:val="231F20"/>
                <w:sz w:val="20"/>
              </w:rPr>
              <w:t>Internal</w:t>
            </w:r>
            <w:r>
              <w:rPr>
                <w:color w:val="231F20"/>
                <w:spacing w:val="-4"/>
                <w:sz w:val="20"/>
              </w:rPr>
              <w:t> </w:t>
            </w:r>
            <w:r>
              <w:rPr>
                <w:color w:val="231F20"/>
                <w:sz w:val="20"/>
              </w:rPr>
              <w:t>Audit</w:t>
            </w:r>
            <w:r>
              <w:rPr>
                <w:color w:val="231F20"/>
                <w:spacing w:val="-3"/>
                <w:sz w:val="20"/>
              </w:rPr>
              <w:t> </w:t>
            </w:r>
            <w:r>
              <w:rPr>
                <w:color w:val="231F20"/>
                <w:sz w:val="20"/>
              </w:rPr>
              <w:t>work</w:t>
            </w:r>
            <w:r>
              <w:rPr>
                <w:color w:val="231F20"/>
                <w:spacing w:val="-3"/>
                <w:sz w:val="20"/>
              </w:rPr>
              <w:t> </w:t>
            </w:r>
            <w:r>
              <w:rPr>
                <w:color w:val="231F20"/>
                <w:sz w:val="20"/>
              </w:rPr>
              <w:t>during</w:t>
            </w:r>
            <w:r>
              <w:rPr>
                <w:color w:val="231F20"/>
                <w:spacing w:val="-3"/>
                <w:sz w:val="20"/>
              </w:rPr>
              <w:t> </w:t>
            </w:r>
            <w:r>
              <w:rPr>
                <w:color w:val="231F20"/>
                <w:sz w:val="20"/>
              </w:rPr>
              <w:t>the</w:t>
            </w:r>
            <w:r>
              <w:rPr>
                <w:color w:val="231F20"/>
                <w:spacing w:val="-3"/>
                <w:sz w:val="20"/>
              </w:rPr>
              <w:t> </w:t>
            </w:r>
            <w:r>
              <w:rPr>
                <w:color w:val="231F20"/>
                <w:sz w:val="20"/>
              </w:rPr>
              <w:t>2021/22</w:t>
            </w:r>
            <w:r>
              <w:rPr>
                <w:color w:val="231F20"/>
                <w:spacing w:val="-4"/>
                <w:sz w:val="20"/>
              </w:rPr>
              <w:t> </w:t>
            </w:r>
            <w:r>
              <w:rPr>
                <w:color w:val="231F20"/>
                <w:sz w:val="20"/>
              </w:rPr>
              <w:t>a</w:t>
            </w:r>
            <w:r>
              <w:rPr>
                <w:color w:val="231F20"/>
                <w:spacing w:val="-3"/>
                <w:sz w:val="20"/>
              </w:rPr>
              <w:t> </w:t>
            </w:r>
            <w:r>
              <w:rPr>
                <w:color w:val="231F20"/>
                <w:sz w:val="20"/>
              </w:rPr>
              <w:t>risk</w:t>
            </w:r>
            <w:r>
              <w:rPr>
                <w:color w:val="231F20"/>
                <w:spacing w:val="-3"/>
                <w:sz w:val="20"/>
              </w:rPr>
              <w:t> </w:t>
            </w:r>
            <w:r>
              <w:rPr>
                <w:color w:val="231F20"/>
                <w:sz w:val="20"/>
              </w:rPr>
              <w:t>was</w:t>
            </w:r>
            <w:r>
              <w:rPr>
                <w:color w:val="231F20"/>
                <w:spacing w:val="-3"/>
                <w:sz w:val="20"/>
              </w:rPr>
              <w:t> </w:t>
            </w:r>
            <w:r>
              <w:rPr>
                <w:color w:val="231F20"/>
                <w:sz w:val="20"/>
              </w:rPr>
              <w:t>identified</w:t>
            </w:r>
            <w:r>
              <w:rPr>
                <w:color w:val="231F20"/>
                <w:spacing w:val="-4"/>
                <w:sz w:val="20"/>
              </w:rPr>
              <w:t> </w:t>
            </w:r>
            <w:r>
              <w:rPr>
                <w:color w:val="231F20"/>
                <w:sz w:val="20"/>
              </w:rPr>
              <w:t>relating</w:t>
            </w:r>
            <w:r>
              <w:rPr>
                <w:color w:val="231F20"/>
                <w:spacing w:val="-3"/>
                <w:sz w:val="20"/>
              </w:rPr>
              <w:t> </w:t>
            </w:r>
            <w:r>
              <w:rPr>
                <w:color w:val="231F20"/>
                <w:sz w:val="20"/>
              </w:rPr>
              <w:t>to</w:t>
            </w:r>
            <w:r>
              <w:rPr>
                <w:color w:val="231F20"/>
                <w:spacing w:val="-3"/>
                <w:sz w:val="20"/>
              </w:rPr>
              <w:t> </w:t>
            </w:r>
            <w:r>
              <w:rPr>
                <w:color w:val="231F20"/>
                <w:sz w:val="20"/>
              </w:rPr>
              <w:t>the</w:t>
            </w:r>
            <w:r>
              <w:rPr>
                <w:color w:val="231F20"/>
                <w:spacing w:val="-3"/>
                <w:sz w:val="20"/>
              </w:rPr>
              <w:t> </w:t>
            </w:r>
            <w:r>
              <w:rPr>
                <w:color w:val="231F20"/>
                <w:sz w:val="20"/>
              </w:rPr>
              <w:t>planning</w:t>
            </w:r>
            <w:r>
              <w:rPr>
                <w:color w:val="231F20"/>
                <w:spacing w:val="-3"/>
                <w:sz w:val="20"/>
              </w:rPr>
              <w:t> </w:t>
            </w:r>
            <w:r>
              <w:rPr>
                <w:color w:val="231F20"/>
                <w:sz w:val="20"/>
              </w:rPr>
              <w:t>appeal overturn level which was monitored during 2022/23.</w:t>
            </w:r>
          </w:p>
          <w:p>
            <w:pPr>
              <w:pStyle w:val="TableParagraph"/>
              <w:spacing w:line="240" w:lineRule="auto" w:before="1"/>
              <w:rPr>
                <w:sz w:val="18"/>
              </w:rPr>
            </w:pPr>
          </w:p>
          <w:p>
            <w:pPr>
              <w:pStyle w:val="TableParagraph"/>
              <w:spacing w:line="216" w:lineRule="auto" w:before="1"/>
              <w:ind w:left="57"/>
              <w:rPr>
                <w:sz w:val="20"/>
              </w:rPr>
            </w:pPr>
            <w:r>
              <w:rPr>
                <w:color w:val="231F20"/>
                <w:sz w:val="20"/>
              </w:rPr>
              <w:t>Department for Levelling Up, Housing and Communities requirements specify that at 10% a Council’s Planning process may be placed in special measures. A process has been agreed to provide quarterly updates</w:t>
            </w:r>
            <w:r>
              <w:rPr>
                <w:color w:val="231F20"/>
                <w:spacing w:val="-3"/>
                <w:sz w:val="20"/>
              </w:rPr>
              <w:t> </w:t>
            </w:r>
            <w:r>
              <w:rPr>
                <w:color w:val="231F20"/>
                <w:sz w:val="20"/>
              </w:rPr>
              <w:t>to</w:t>
            </w:r>
            <w:r>
              <w:rPr>
                <w:color w:val="231F20"/>
                <w:spacing w:val="-3"/>
                <w:sz w:val="20"/>
              </w:rPr>
              <w:t> </w:t>
            </w:r>
            <w:r>
              <w:rPr>
                <w:color w:val="231F20"/>
                <w:sz w:val="20"/>
              </w:rPr>
              <w:t>the</w:t>
            </w:r>
            <w:r>
              <w:rPr>
                <w:color w:val="231F20"/>
                <w:spacing w:val="-3"/>
                <w:sz w:val="20"/>
              </w:rPr>
              <w:t> </w:t>
            </w:r>
            <w:r>
              <w:rPr>
                <w:color w:val="231F20"/>
                <w:sz w:val="20"/>
              </w:rPr>
              <w:t>Leadership</w:t>
            </w:r>
            <w:r>
              <w:rPr>
                <w:color w:val="231F20"/>
                <w:spacing w:val="-3"/>
                <w:sz w:val="20"/>
              </w:rPr>
              <w:t> </w:t>
            </w:r>
            <w:r>
              <w:rPr>
                <w:color w:val="231F20"/>
                <w:sz w:val="20"/>
              </w:rPr>
              <w:t>Team</w:t>
            </w:r>
            <w:r>
              <w:rPr>
                <w:color w:val="231F20"/>
                <w:spacing w:val="-3"/>
                <w:sz w:val="20"/>
              </w:rPr>
              <w:t> </w:t>
            </w:r>
            <w:r>
              <w:rPr>
                <w:color w:val="231F20"/>
                <w:sz w:val="20"/>
              </w:rPr>
              <w:t>when</w:t>
            </w:r>
            <w:r>
              <w:rPr>
                <w:color w:val="231F20"/>
                <w:spacing w:val="-3"/>
                <w:sz w:val="20"/>
              </w:rPr>
              <w:t> </w:t>
            </w:r>
            <w:r>
              <w:rPr>
                <w:color w:val="231F20"/>
                <w:sz w:val="20"/>
              </w:rPr>
              <w:t>the</w:t>
            </w:r>
            <w:r>
              <w:rPr>
                <w:color w:val="231F20"/>
                <w:spacing w:val="-3"/>
                <w:sz w:val="20"/>
              </w:rPr>
              <w:t> </w:t>
            </w:r>
            <w:r>
              <w:rPr>
                <w:color w:val="231F20"/>
                <w:sz w:val="20"/>
              </w:rPr>
              <w:t>percentage</w:t>
            </w:r>
            <w:r>
              <w:rPr>
                <w:color w:val="231F20"/>
                <w:spacing w:val="-3"/>
                <w:sz w:val="20"/>
              </w:rPr>
              <w:t> </w:t>
            </w:r>
            <w:r>
              <w:rPr>
                <w:color w:val="231F20"/>
                <w:sz w:val="20"/>
              </w:rPr>
              <w:t>is</w:t>
            </w:r>
            <w:r>
              <w:rPr>
                <w:color w:val="231F20"/>
                <w:spacing w:val="-4"/>
                <w:sz w:val="20"/>
              </w:rPr>
              <w:t> </w:t>
            </w:r>
            <w:r>
              <w:rPr>
                <w:color w:val="231F20"/>
                <w:sz w:val="20"/>
              </w:rPr>
              <w:t>over</w:t>
            </w:r>
            <w:r>
              <w:rPr>
                <w:color w:val="231F20"/>
                <w:spacing w:val="-3"/>
                <w:sz w:val="20"/>
              </w:rPr>
              <w:t> </w:t>
            </w:r>
            <w:r>
              <w:rPr>
                <w:color w:val="231F20"/>
                <w:sz w:val="20"/>
              </w:rPr>
              <w:t>8%.</w:t>
            </w:r>
            <w:r>
              <w:rPr>
                <w:color w:val="231F20"/>
                <w:spacing w:val="-4"/>
                <w:sz w:val="20"/>
              </w:rPr>
              <w:t> </w:t>
            </w:r>
            <w:r>
              <w:rPr>
                <w:color w:val="231F20"/>
                <w:sz w:val="20"/>
              </w:rPr>
              <w:t>Officers</w:t>
            </w:r>
            <w:r>
              <w:rPr>
                <w:color w:val="231F20"/>
                <w:spacing w:val="-3"/>
                <w:sz w:val="20"/>
              </w:rPr>
              <w:t> </w:t>
            </w:r>
            <w:r>
              <w:rPr>
                <w:color w:val="231F20"/>
                <w:sz w:val="20"/>
              </w:rPr>
              <w:t>have</w:t>
            </w:r>
            <w:r>
              <w:rPr>
                <w:color w:val="231F20"/>
                <w:spacing w:val="-3"/>
                <w:sz w:val="20"/>
              </w:rPr>
              <w:t> </w:t>
            </w:r>
            <w:r>
              <w:rPr>
                <w:color w:val="231F20"/>
                <w:sz w:val="20"/>
              </w:rPr>
              <w:t>regularly</w:t>
            </w:r>
            <w:r>
              <w:rPr>
                <w:color w:val="231F20"/>
                <w:spacing w:val="-3"/>
                <w:sz w:val="20"/>
              </w:rPr>
              <w:t> </w:t>
            </w:r>
            <w:r>
              <w:rPr>
                <w:color w:val="231F20"/>
                <w:sz w:val="20"/>
              </w:rPr>
              <w:t>reported</w:t>
            </w:r>
            <w:r>
              <w:rPr>
                <w:color w:val="231F20"/>
                <w:spacing w:val="-3"/>
                <w:sz w:val="20"/>
              </w:rPr>
              <w:t> </w:t>
            </w:r>
            <w:r>
              <w:rPr>
                <w:color w:val="231F20"/>
                <w:sz w:val="20"/>
              </w:rPr>
              <w:t>to</w:t>
            </w:r>
            <w:r>
              <w:rPr>
                <w:color w:val="231F20"/>
                <w:spacing w:val="-3"/>
                <w:sz w:val="20"/>
              </w:rPr>
              <w:t> </w:t>
            </w:r>
            <w:r>
              <w:rPr>
                <w:color w:val="231F20"/>
                <w:sz w:val="20"/>
              </w:rPr>
              <w:t>the leadership team on the appeals risk during 2022/23.</w:t>
            </w:r>
          </w:p>
          <w:p>
            <w:pPr>
              <w:pStyle w:val="TableParagraph"/>
              <w:spacing w:line="240" w:lineRule="exact" w:before="226"/>
              <w:ind w:left="57" w:right="93"/>
              <w:rPr>
                <w:sz w:val="20"/>
              </w:rPr>
            </w:pPr>
            <w:r>
              <w:rPr>
                <w:color w:val="231F20"/>
                <w:sz w:val="20"/>
              </w:rPr>
              <w:t>Member</w:t>
            </w:r>
            <w:r>
              <w:rPr>
                <w:color w:val="231F20"/>
                <w:spacing w:val="-2"/>
                <w:sz w:val="20"/>
              </w:rPr>
              <w:t> </w:t>
            </w:r>
            <w:r>
              <w:rPr>
                <w:color w:val="231F20"/>
                <w:sz w:val="20"/>
              </w:rPr>
              <w:t>training</w:t>
            </w:r>
            <w:r>
              <w:rPr>
                <w:color w:val="231F20"/>
                <w:spacing w:val="-2"/>
                <w:sz w:val="20"/>
              </w:rPr>
              <w:t> </w:t>
            </w:r>
            <w:r>
              <w:rPr>
                <w:color w:val="231F20"/>
                <w:sz w:val="20"/>
              </w:rPr>
              <w:t>was</w:t>
            </w:r>
            <w:r>
              <w:rPr>
                <w:color w:val="231F20"/>
                <w:spacing w:val="-2"/>
                <w:sz w:val="20"/>
              </w:rPr>
              <w:t> </w:t>
            </w:r>
            <w:r>
              <w:rPr>
                <w:color w:val="231F20"/>
                <w:sz w:val="20"/>
              </w:rPr>
              <w:t>provided</w:t>
            </w:r>
            <w:r>
              <w:rPr>
                <w:color w:val="231F20"/>
                <w:spacing w:val="-2"/>
                <w:sz w:val="20"/>
              </w:rPr>
              <w:t> </w:t>
            </w:r>
            <w:r>
              <w:rPr>
                <w:color w:val="231F20"/>
                <w:sz w:val="20"/>
              </w:rPr>
              <w:t>to</w:t>
            </w:r>
            <w:r>
              <w:rPr>
                <w:color w:val="231F20"/>
                <w:spacing w:val="-2"/>
                <w:sz w:val="20"/>
              </w:rPr>
              <w:t> </w:t>
            </w:r>
            <w:r>
              <w:rPr>
                <w:color w:val="231F20"/>
                <w:sz w:val="20"/>
              </w:rPr>
              <w:t>all</w:t>
            </w:r>
            <w:r>
              <w:rPr>
                <w:color w:val="231F20"/>
                <w:spacing w:val="-2"/>
                <w:sz w:val="20"/>
              </w:rPr>
              <w:t> </w:t>
            </w:r>
            <w:r>
              <w:rPr>
                <w:color w:val="231F20"/>
                <w:sz w:val="20"/>
              </w:rPr>
              <w:t>new</w:t>
            </w:r>
            <w:r>
              <w:rPr>
                <w:color w:val="231F20"/>
                <w:spacing w:val="-2"/>
                <w:sz w:val="20"/>
              </w:rPr>
              <w:t> </w:t>
            </w:r>
            <w:r>
              <w:rPr>
                <w:color w:val="231F20"/>
                <w:sz w:val="20"/>
              </w:rPr>
              <w:t>members</w:t>
            </w:r>
            <w:r>
              <w:rPr>
                <w:color w:val="231F20"/>
                <w:spacing w:val="-3"/>
                <w:sz w:val="20"/>
              </w:rPr>
              <w:t> </w:t>
            </w:r>
            <w:r>
              <w:rPr>
                <w:color w:val="231F20"/>
                <w:sz w:val="20"/>
              </w:rPr>
              <w:t>in</w:t>
            </w:r>
            <w:r>
              <w:rPr>
                <w:color w:val="231F20"/>
                <w:spacing w:val="-3"/>
                <w:sz w:val="20"/>
              </w:rPr>
              <w:t> </w:t>
            </w:r>
            <w:r>
              <w:rPr>
                <w:color w:val="231F20"/>
                <w:sz w:val="20"/>
              </w:rPr>
              <w:t>May</w:t>
            </w:r>
            <w:r>
              <w:rPr>
                <w:color w:val="231F20"/>
                <w:spacing w:val="-2"/>
                <w:sz w:val="20"/>
              </w:rPr>
              <w:t> </w:t>
            </w:r>
            <w:r>
              <w:rPr>
                <w:color w:val="231F20"/>
                <w:sz w:val="20"/>
              </w:rPr>
              <w:t>2023.</w:t>
            </w:r>
            <w:r>
              <w:rPr>
                <w:color w:val="231F20"/>
                <w:spacing w:val="-3"/>
                <w:sz w:val="20"/>
              </w:rPr>
              <w:t> </w:t>
            </w:r>
            <w:r>
              <w:rPr>
                <w:color w:val="231F20"/>
                <w:sz w:val="20"/>
              </w:rPr>
              <w:t>The</w:t>
            </w:r>
            <w:r>
              <w:rPr>
                <w:color w:val="231F20"/>
                <w:spacing w:val="-2"/>
                <w:sz w:val="20"/>
              </w:rPr>
              <w:t> </w:t>
            </w:r>
            <w:r>
              <w:rPr>
                <w:color w:val="231F20"/>
                <w:sz w:val="20"/>
              </w:rPr>
              <w:t>position</w:t>
            </w:r>
            <w:r>
              <w:rPr>
                <w:color w:val="231F20"/>
                <w:spacing w:val="-2"/>
                <w:sz w:val="20"/>
              </w:rPr>
              <w:t> </w:t>
            </w:r>
            <w:r>
              <w:rPr>
                <w:color w:val="231F20"/>
                <w:sz w:val="20"/>
              </w:rPr>
              <w:t>reported</w:t>
            </w:r>
            <w:r>
              <w:rPr>
                <w:color w:val="231F20"/>
                <w:spacing w:val="-2"/>
                <w:sz w:val="20"/>
              </w:rPr>
              <w:t> </w:t>
            </w:r>
            <w:r>
              <w:rPr>
                <w:color w:val="231F20"/>
                <w:sz w:val="20"/>
              </w:rPr>
              <w:t>in</w:t>
            </w:r>
            <w:r>
              <w:rPr>
                <w:color w:val="231F20"/>
                <w:spacing w:val="-3"/>
                <w:sz w:val="20"/>
              </w:rPr>
              <w:t> </w:t>
            </w:r>
            <w:r>
              <w:rPr>
                <w:color w:val="231F20"/>
                <w:sz w:val="20"/>
              </w:rPr>
              <w:t>March</w:t>
            </w:r>
            <w:r>
              <w:rPr>
                <w:color w:val="231F20"/>
                <w:spacing w:val="-2"/>
                <w:sz w:val="20"/>
              </w:rPr>
              <w:t> </w:t>
            </w:r>
            <w:r>
              <w:rPr>
                <w:color w:val="231F20"/>
                <w:sz w:val="20"/>
              </w:rPr>
              <w:t>2023 was 8.5%. Monitoring and reporting will continue.</w:t>
            </w:r>
          </w:p>
        </w:tc>
      </w:tr>
    </w:tbl>
    <w:p>
      <w:pPr>
        <w:spacing w:after="0" w:line="240" w:lineRule="exact"/>
        <w:rPr>
          <w:sz w:val="20"/>
        </w:rPr>
        <w:sectPr>
          <w:headerReference w:type="default" r:id="rId25"/>
          <w:footerReference w:type="default" r:id="rId26"/>
          <w:pgSz w:w="11910" w:h="16840"/>
          <w:pgMar w:header="377" w:footer="287" w:top="560" w:bottom="480" w:left="0" w:right="0"/>
        </w:sectPr>
      </w:pPr>
    </w:p>
    <w:p>
      <w:pPr>
        <w:pStyle w:val="BodyText"/>
        <w:rPr>
          <w:sz w:val="20"/>
        </w:rPr>
      </w:pPr>
      <w:r>
        <w:rPr/>
        <w:pict>
          <v:group style="position:absolute;margin-left:578.504028pt;margin-top:324.567017pt;width:16.8pt;height:192.8pt;mso-position-horizontal-relative:page;mso-position-vertical-relative:page;z-index:15739392" id="docshapegroup71" coordorigin="11570,6491" coordsize="336,3856">
            <v:rect style="position:absolute;left:11570;top:9382;width:336;height:964" id="docshape72" filled="true" fillcolor="#f15d6b" stroked="false">
              <v:fill type="solid"/>
            </v:rect>
            <v:rect style="position:absolute;left:11570;top:8418;width:336;height:964" id="docshape73" filled="true" fillcolor="#fbac42" stroked="false">
              <v:fill type="solid"/>
            </v:rect>
            <v:rect style="position:absolute;left:11570;top:7455;width:336;height:964" id="docshape74" filled="true" fillcolor="#b78fc1" stroked="false">
              <v:fill type="solid"/>
            </v:rect>
            <v:rect style="position:absolute;left:11570;top:6491;width:336;height:964" id="docshape75" filled="true" fillcolor="#378372" stroked="false">
              <v:fill type="solid"/>
            </v:rect>
            <w10:wrap type="none"/>
          </v:group>
        </w:pict>
      </w:r>
    </w:p>
    <w:p>
      <w:pPr>
        <w:pStyle w:val="BodyText"/>
        <w:spacing w:before="11"/>
        <w:rPr>
          <w:sz w:val="21"/>
        </w:rPr>
      </w:pPr>
    </w:p>
    <w:tbl>
      <w:tblPr>
        <w:tblW w:w="0" w:type="auto"/>
        <w:jc w:val="left"/>
        <w:tblInd w:w="5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17"/>
        <w:gridCol w:w="9354"/>
      </w:tblGrid>
      <w:tr>
        <w:trPr>
          <w:trHeight w:val="536" w:hRule="atLeast"/>
        </w:trPr>
        <w:tc>
          <w:tcPr>
            <w:tcW w:w="1417" w:type="dxa"/>
            <w:tcBorders>
              <w:bottom w:val="double" w:sz="4" w:space="0" w:color="3B5673"/>
              <w:right w:val="single" w:sz="4" w:space="0" w:color="3B5673"/>
            </w:tcBorders>
            <w:shd w:val="clear" w:color="auto" w:fill="5D6B86"/>
          </w:tcPr>
          <w:p>
            <w:pPr>
              <w:pStyle w:val="TableParagraph"/>
              <w:spacing w:line="253" w:lineRule="exact" w:before="9"/>
              <w:ind w:left="80"/>
              <w:rPr>
                <w:b/>
                <w:sz w:val="20"/>
              </w:rPr>
            </w:pPr>
            <w:r>
              <w:rPr>
                <w:b/>
                <w:color w:val="FFFFFF"/>
                <w:spacing w:val="-2"/>
                <w:sz w:val="20"/>
              </w:rPr>
              <w:t>Corporate</w:t>
            </w:r>
          </w:p>
          <w:p>
            <w:pPr>
              <w:pStyle w:val="TableParagraph"/>
              <w:spacing w:line="253" w:lineRule="exact"/>
              <w:ind w:left="80"/>
              <w:rPr>
                <w:b/>
                <w:sz w:val="20"/>
              </w:rPr>
            </w:pPr>
            <w:r>
              <w:rPr>
                <w:b/>
                <w:color w:val="FFFFFF"/>
                <w:spacing w:val="-4"/>
                <w:sz w:val="20"/>
              </w:rPr>
              <w:t>Risk</w:t>
            </w:r>
          </w:p>
        </w:tc>
        <w:tc>
          <w:tcPr>
            <w:tcW w:w="9354" w:type="dxa"/>
            <w:tcBorders>
              <w:left w:val="single" w:sz="4" w:space="0" w:color="3B5673"/>
              <w:bottom w:val="double" w:sz="4" w:space="0" w:color="3B5673"/>
            </w:tcBorders>
            <w:shd w:val="clear" w:color="auto" w:fill="5D6B86"/>
          </w:tcPr>
          <w:p>
            <w:pPr>
              <w:pStyle w:val="TableParagraph"/>
              <w:spacing w:line="240" w:lineRule="auto" w:before="9"/>
              <w:ind w:left="75"/>
              <w:rPr>
                <w:b/>
                <w:sz w:val="20"/>
              </w:rPr>
            </w:pPr>
            <w:r>
              <w:rPr>
                <w:b/>
                <w:color w:val="FFFFFF"/>
                <w:sz w:val="20"/>
              </w:rPr>
              <w:t>Risk </w:t>
            </w:r>
            <w:r>
              <w:rPr>
                <w:b/>
                <w:color w:val="FFFFFF"/>
                <w:spacing w:val="-2"/>
                <w:sz w:val="20"/>
              </w:rPr>
              <w:t>Mitigation</w:t>
            </w:r>
          </w:p>
        </w:tc>
      </w:tr>
      <w:tr>
        <w:trPr>
          <w:trHeight w:val="2165" w:hRule="atLeast"/>
        </w:trPr>
        <w:tc>
          <w:tcPr>
            <w:tcW w:w="1417" w:type="dxa"/>
            <w:tcBorders>
              <w:top w:val="double" w:sz="4" w:space="0" w:color="3B5673"/>
              <w:bottom w:val="single" w:sz="4" w:space="0" w:color="3B5673"/>
            </w:tcBorders>
            <w:shd w:val="clear" w:color="auto" w:fill="C9CBD4"/>
          </w:tcPr>
          <w:p>
            <w:pPr>
              <w:pStyle w:val="TableParagraph"/>
              <w:spacing w:line="216" w:lineRule="auto"/>
              <w:ind w:left="56" w:right="139"/>
              <w:rPr>
                <w:b/>
                <w:sz w:val="20"/>
              </w:rPr>
            </w:pPr>
            <w:r>
              <w:rPr>
                <w:b/>
                <w:color w:val="231F20"/>
                <w:spacing w:val="-4"/>
                <w:sz w:val="20"/>
              </w:rPr>
              <w:t>Data </w:t>
            </w:r>
            <w:r>
              <w:rPr>
                <w:b/>
                <w:color w:val="231F20"/>
                <w:spacing w:val="-2"/>
                <w:sz w:val="20"/>
              </w:rPr>
              <w:t>Matching </w:t>
            </w:r>
            <w:r>
              <w:rPr>
                <w:b/>
                <w:color w:val="231F20"/>
                <w:sz w:val="20"/>
              </w:rPr>
              <w:t>and</w:t>
            </w:r>
            <w:r>
              <w:rPr>
                <w:b/>
                <w:color w:val="231F20"/>
                <w:spacing w:val="-14"/>
                <w:sz w:val="20"/>
              </w:rPr>
              <w:t> </w:t>
            </w:r>
            <w:r>
              <w:rPr>
                <w:b/>
                <w:color w:val="231F20"/>
                <w:sz w:val="20"/>
              </w:rPr>
              <w:t>National </w:t>
            </w:r>
            <w:r>
              <w:rPr>
                <w:b/>
                <w:color w:val="231F20"/>
                <w:spacing w:val="-2"/>
                <w:sz w:val="20"/>
              </w:rPr>
              <w:t>Fraud Initiative</w:t>
            </w:r>
          </w:p>
        </w:tc>
        <w:tc>
          <w:tcPr>
            <w:tcW w:w="9354" w:type="dxa"/>
            <w:tcBorders>
              <w:top w:val="double" w:sz="4" w:space="0" w:color="3B5673"/>
              <w:bottom w:val="single" w:sz="4" w:space="0" w:color="3B5673"/>
            </w:tcBorders>
            <w:shd w:val="clear" w:color="auto" w:fill="C9CBD4"/>
          </w:tcPr>
          <w:p>
            <w:pPr>
              <w:pStyle w:val="TableParagraph"/>
              <w:spacing w:line="216" w:lineRule="auto"/>
              <w:ind w:left="57"/>
              <w:rPr>
                <w:sz w:val="20"/>
              </w:rPr>
            </w:pPr>
            <w:r>
              <w:rPr>
                <w:color w:val="231F20"/>
                <w:sz w:val="20"/>
              </w:rPr>
              <w:t>The</w:t>
            </w:r>
            <w:r>
              <w:rPr>
                <w:color w:val="231F20"/>
                <w:spacing w:val="-3"/>
                <w:sz w:val="20"/>
              </w:rPr>
              <w:t> </w:t>
            </w:r>
            <w:r>
              <w:rPr>
                <w:color w:val="231F20"/>
                <w:sz w:val="20"/>
              </w:rPr>
              <w:t>Council</w:t>
            </w:r>
            <w:r>
              <w:rPr>
                <w:color w:val="231F20"/>
                <w:spacing w:val="-4"/>
                <w:sz w:val="20"/>
              </w:rPr>
              <w:t> </w:t>
            </w:r>
            <w:r>
              <w:rPr>
                <w:color w:val="231F20"/>
                <w:sz w:val="20"/>
              </w:rPr>
              <w:t>must</w:t>
            </w:r>
            <w:r>
              <w:rPr>
                <w:color w:val="231F20"/>
                <w:spacing w:val="-4"/>
                <w:sz w:val="20"/>
              </w:rPr>
              <w:t> </w:t>
            </w:r>
            <w:r>
              <w:rPr>
                <w:color w:val="231F20"/>
                <w:sz w:val="20"/>
              </w:rPr>
              <w:t>continue</w:t>
            </w:r>
            <w:r>
              <w:rPr>
                <w:color w:val="231F20"/>
                <w:spacing w:val="-3"/>
                <w:sz w:val="20"/>
              </w:rPr>
              <w:t> </w:t>
            </w:r>
            <w:r>
              <w:rPr>
                <w:color w:val="231F20"/>
                <w:sz w:val="20"/>
              </w:rPr>
              <w:t>to</w:t>
            </w:r>
            <w:r>
              <w:rPr>
                <w:color w:val="231F20"/>
                <w:spacing w:val="-3"/>
                <w:sz w:val="20"/>
              </w:rPr>
              <w:t> </w:t>
            </w:r>
            <w:r>
              <w:rPr>
                <w:color w:val="231F20"/>
                <w:sz w:val="20"/>
              </w:rPr>
              <w:t>develop</w:t>
            </w:r>
            <w:r>
              <w:rPr>
                <w:color w:val="231F20"/>
                <w:spacing w:val="-3"/>
                <w:sz w:val="20"/>
              </w:rPr>
              <w:t> </w:t>
            </w:r>
            <w:r>
              <w:rPr>
                <w:color w:val="231F20"/>
                <w:sz w:val="20"/>
              </w:rPr>
              <w:t>and</w:t>
            </w:r>
            <w:r>
              <w:rPr>
                <w:color w:val="231F20"/>
                <w:spacing w:val="-3"/>
                <w:sz w:val="20"/>
              </w:rPr>
              <w:t> </w:t>
            </w:r>
            <w:r>
              <w:rPr>
                <w:color w:val="231F20"/>
                <w:sz w:val="20"/>
              </w:rPr>
              <w:t>embed</w:t>
            </w:r>
            <w:r>
              <w:rPr>
                <w:color w:val="231F20"/>
                <w:spacing w:val="-3"/>
                <w:sz w:val="20"/>
              </w:rPr>
              <w:t> </w:t>
            </w:r>
            <w:r>
              <w:rPr>
                <w:color w:val="231F20"/>
                <w:sz w:val="20"/>
              </w:rPr>
              <w:t>its</w:t>
            </w:r>
            <w:r>
              <w:rPr>
                <w:color w:val="231F20"/>
                <w:spacing w:val="-4"/>
                <w:sz w:val="20"/>
              </w:rPr>
              <w:t> </w:t>
            </w:r>
            <w:r>
              <w:rPr>
                <w:color w:val="231F20"/>
                <w:sz w:val="20"/>
              </w:rPr>
              <w:t>corporate</w:t>
            </w:r>
            <w:r>
              <w:rPr>
                <w:color w:val="231F20"/>
                <w:spacing w:val="-3"/>
                <w:sz w:val="20"/>
              </w:rPr>
              <w:t> </w:t>
            </w:r>
            <w:r>
              <w:rPr>
                <w:color w:val="231F20"/>
                <w:sz w:val="20"/>
              </w:rPr>
              <w:t>approach</w:t>
            </w:r>
            <w:r>
              <w:rPr>
                <w:color w:val="231F20"/>
                <w:spacing w:val="-3"/>
                <w:sz w:val="20"/>
              </w:rPr>
              <w:t> </w:t>
            </w:r>
            <w:r>
              <w:rPr>
                <w:color w:val="231F20"/>
                <w:sz w:val="20"/>
              </w:rPr>
              <w:t>to</w:t>
            </w:r>
            <w:r>
              <w:rPr>
                <w:color w:val="231F20"/>
                <w:spacing w:val="-3"/>
                <w:sz w:val="20"/>
              </w:rPr>
              <w:t> </w:t>
            </w:r>
            <w:r>
              <w:rPr>
                <w:color w:val="231F20"/>
                <w:sz w:val="20"/>
              </w:rPr>
              <w:t>anti-fraud</w:t>
            </w:r>
            <w:r>
              <w:rPr>
                <w:color w:val="231F20"/>
                <w:spacing w:val="-3"/>
                <w:sz w:val="20"/>
              </w:rPr>
              <w:t> </w:t>
            </w:r>
            <w:r>
              <w:rPr>
                <w:color w:val="231F20"/>
                <w:sz w:val="20"/>
              </w:rPr>
              <w:t>(including</w:t>
            </w:r>
            <w:r>
              <w:rPr>
                <w:color w:val="231F20"/>
                <w:spacing w:val="-3"/>
                <w:sz w:val="20"/>
              </w:rPr>
              <w:t> </w:t>
            </w:r>
            <w:r>
              <w:rPr>
                <w:color w:val="231F20"/>
                <w:sz w:val="20"/>
              </w:rPr>
              <w:t>data </w:t>
            </w:r>
            <w:r>
              <w:rPr>
                <w:color w:val="231F20"/>
                <w:spacing w:val="-2"/>
                <w:sz w:val="20"/>
              </w:rPr>
              <w:t>matching).</w:t>
            </w:r>
          </w:p>
          <w:p>
            <w:pPr>
              <w:pStyle w:val="TableParagraph"/>
              <w:spacing w:line="253" w:lineRule="exact" w:before="218"/>
              <w:ind w:left="57"/>
              <w:rPr>
                <w:sz w:val="20"/>
              </w:rPr>
            </w:pPr>
            <w:r>
              <w:rPr>
                <w:color w:val="231F20"/>
                <w:sz w:val="20"/>
              </w:rPr>
              <w:t>The</w:t>
            </w:r>
            <w:r>
              <w:rPr>
                <w:color w:val="231F20"/>
                <w:spacing w:val="-1"/>
                <w:sz w:val="20"/>
              </w:rPr>
              <w:t> </w:t>
            </w:r>
            <w:r>
              <w:rPr>
                <w:color w:val="231F20"/>
                <w:sz w:val="20"/>
              </w:rPr>
              <w:t>Anti-Fraud</w:t>
            </w:r>
            <w:r>
              <w:rPr>
                <w:color w:val="231F20"/>
                <w:spacing w:val="-1"/>
                <w:sz w:val="20"/>
              </w:rPr>
              <w:t> </w:t>
            </w:r>
            <w:r>
              <w:rPr>
                <w:color w:val="231F20"/>
                <w:sz w:val="20"/>
              </w:rPr>
              <w:t>Officer</w:t>
            </w:r>
            <w:r>
              <w:rPr>
                <w:color w:val="231F20"/>
                <w:spacing w:val="-1"/>
                <w:sz w:val="20"/>
              </w:rPr>
              <w:t> </w:t>
            </w:r>
            <w:r>
              <w:rPr>
                <w:color w:val="231F20"/>
                <w:sz w:val="20"/>
              </w:rPr>
              <w:t>Working</w:t>
            </w:r>
            <w:r>
              <w:rPr>
                <w:color w:val="231F20"/>
                <w:spacing w:val="-1"/>
                <w:sz w:val="20"/>
              </w:rPr>
              <w:t> </w:t>
            </w:r>
            <w:r>
              <w:rPr>
                <w:color w:val="231F20"/>
                <w:sz w:val="20"/>
              </w:rPr>
              <w:t>Group</w:t>
            </w:r>
            <w:r>
              <w:rPr>
                <w:color w:val="231F20"/>
                <w:spacing w:val="-1"/>
                <w:sz w:val="20"/>
              </w:rPr>
              <w:t> </w:t>
            </w:r>
            <w:r>
              <w:rPr>
                <w:color w:val="231F20"/>
                <w:sz w:val="20"/>
              </w:rPr>
              <w:t>will</w:t>
            </w:r>
            <w:r>
              <w:rPr>
                <w:color w:val="231F20"/>
                <w:spacing w:val="-1"/>
                <w:sz w:val="20"/>
              </w:rPr>
              <w:t> </w:t>
            </w:r>
            <w:r>
              <w:rPr>
                <w:color w:val="231F20"/>
                <w:sz w:val="20"/>
              </w:rPr>
              <w:t>continue</w:t>
            </w:r>
            <w:r>
              <w:rPr>
                <w:color w:val="231F20"/>
                <w:spacing w:val="-1"/>
                <w:sz w:val="20"/>
              </w:rPr>
              <w:t> </w:t>
            </w:r>
            <w:r>
              <w:rPr>
                <w:color w:val="231F20"/>
                <w:sz w:val="20"/>
              </w:rPr>
              <w:t>to deliver</w:t>
            </w:r>
            <w:r>
              <w:rPr>
                <w:color w:val="231F20"/>
                <w:spacing w:val="-1"/>
                <w:sz w:val="20"/>
              </w:rPr>
              <w:t> </w:t>
            </w:r>
            <w:r>
              <w:rPr>
                <w:color w:val="231F20"/>
                <w:sz w:val="20"/>
              </w:rPr>
              <w:t>the</w:t>
            </w:r>
            <w:r>
              <w:rPr>
                <w:color w:val="231F20"/>
                <w:spacing w:val="-1"/>
                <w:sz w:val="20"/>
              </w:rPr>
              <w:t> </w:t>
            </w:r>
            <w:r>
              <w:rPr>
                <w:color w:val="231F20"/>
                <w:sz w:val="20"/>
              </w:rPr>
              <w:t>action</w:t>
            </w:r>
            <w:r>
              <w:rPr>
                <w:color w:val="231F20"/>
                <w:spacing w:val="-1"/>
                <w:sz w:val="20"/>
              </w:rPr>
              <w:t> </w:t>
            </w:r>
            <w:r>
              <w:rPr>
                <w:color w:val="231F20"/>
                <w:sz w:val="20"/>
              </w:rPr>
              <w:t>plan</w:t>
            </w:r>
            <w:r>
              <w:rPr>
                <w:color w:val="231F20"/>
                <w:spacing w:val="-1"/>
                <w:sz w:val="20"/>
              </w:rPr>
              <w:t> </w:t>
            </w:r>
            <w:r>
              <w:rPr>
                <w:color w:val="231F20"/>
                <w:sz w:val="20"/>
              </w:rPr>
              <w:t>which</w:t>
            </w:r>
            <w:r>
              <w:rPr>
                <w:color w:val="231F20"/>
                <w:spacing w:val="-1"/>
                <w:sz w:val="20"/>
              </w:rPr>
              <w:t> </w:t>
            </w:r>
            <w:r>
              <w:rPr>
                <w:color w:val="231F20"/>
                <w:sz w:val="20"/>
              </w:rPr>
              <w:t>was</w:t>
            </w:r>
            <w:r>
              <w:rPr>
                <w:color w:val="231F20"/>
                <w:spacing w:val="-1"/>
                <w:sz w:val="20"/>
              </w:rPr>
              <w:t> </w:t>
            </w:r>
            <w:r>
              <w:rPr>
                <w:color w:val="231F20"/>
                <w:sz w:val="20"/>
              </w:rPr>
              <w:t>developed </w:t>
            </w:r>
            <w:r>
              <w:rPr>
                <w:color w:val="231F20"/>
                <w:spacing w:val="-5"/>
                <w:sz w:val="20"/>
              </w:rPr>
              <w:t>to</w:t>
            </w:r>
          </w:p>
          <w:p>
            <w:pPr>
              <w:pStyle w:val="TableParagraph"/>
              <w:spacing w:line="253" w:lineRule="exact"/>
              <w:ind w:left="57"/>
              <w:rPr>
                <w:sz w:val="20"/>
              </w:rPr>
            </w:pPr>
            <w:r>
              <w:rPr>
                <w:color w:val="231F20"/>
                <w:sz w:val="20"/>
              </w:rPr>
              <w:t>better</w:t>
            </w:r>
            <w:r>
              <w:rPr>
                <w:color w:val="231F20"/>
                <w:spacing w:val="-3"/>
                <w:sz w:val="20"/>
              </w:rPr>
              <w:t> </w:t>
            </w:r>
            <w:r>
              <w:rPr>
                <w:color w:val="231F20"/>
                <w:sz w:val="20"/>
              </w:rPr>
              <w:t>meet</w:t>
            </w:r>
            <w:r>
              <w:rPr>
                <w:color w:val="231F20"/>
                <w:spacing w:val="-4"/>
                <w:sz w:val="20"/>
              </w:rPr>
              <w:t> </w:t>
            </w:r>
            <w:r>
              <w:rPr>
                <w:color w:val="231F20"/>
                <w:sz w:val="20"/>
              </w:rPr>
              <w:t>the</w:t>
            </w:r>
            <w:r>
              <w:rPr>
                <w:color w:val="231F20"/>
                <w:spacing w:val="-3"/>
                <w:sz w:val="20"/>
              </w:rPr>
              <w:t> </w:t>
            </w:r>
            <w:r>
              <w:rPr>
                <w:color w:val="231F20"/>
                <w:sz w:val="20"/>
              </w:rPr>
              <w:t>Government’s</w:t>
            </w:r>
            <w:r>
              <w:rPr>
                <w:color w:val="231F20"/>
                <w:spacing w:val="-3"/>
                <w:sz w:val="20"/>
              </w:rPr>
              <w:t> </w:t>
            </w:r>
            <w:r>
              <w:rPr>
                <w:color w:val="231F20"/>
                <w:sz w:val="20"/>
              </w:rPr>
              <w:t>functional</w:t>
            </w:r>
            <w:r>
              <w:rPr>
                <w:color w:val="231F20"/>
                <w:spacing w:val="-2"/>
                <w:sz w:val="20"/>
              </w:rPr>
              <w:t> standard.</w:t>
            </w:r>
          </w:p>
          <w:p>
            <w:pPr>
              <w:pStyle w:val="TableParagraph"/>
              <w:spacing w:line="240" w:lineRule="exact" w:before="222"/>
              <w:ind w:left="57" w:right="93"/>
              <w:rPr>
                <w:sz w:val="20"/>
              </w:rPr>
            </w:pPr>
            <w:r>
              <w:rPr>
                <w:color w:val="231F20"/>
                <w:sz w:val="20"/>
              </w:rPr>
              <w:t>Recent</w:t>
            </w:r>
            <w:r>
              <w:rPr>
                <w:color w:val="231F20"/>
                <w:spacing w:val="-3"/>
                <w:sz w:val="20"/>
              </w:rPr>
              <w:t> </w:t>
            </w:r>
            <w:r>
              <w:rPr>
                <w:color w:val="231F20"/>
                <w:sz w:val="20"/>
              </w:rPr>
              <w:t>realignment</w:t>
            </w:r>
            <w:r>
              <w:rPr>
                <w:color w:val="231F20"/>
                <w:spacing w:val="-3"/>
                <w:sz w:val="20"/>
              </w:rPr>
              <w:t> </w:t>
            </w:r>
            <w:r>
              <w:rPr>
                <w:color w:val="231F20"/>
                <w:sz w:val="20"/>
              </w:rPr>
              <w:t>of</w:t>
            </w:r>
            <w:r>
              <w:rPr>
                <w:color w:val="231F20"/>
                <w:spacing w:val="-3"/>
                <w:sz w:val="20"/>
              </w:rPr>
              <w:t> </w:t>
            </w:r>
            <w:r>
              <w:rPr>
                <w:color w:val="231F20"/>
                <w:sz w:val="20"/>
              </w:rPr>
              <w:t>the</w:t>
            </w:r>
            <w:r>
              <w:rPr>
                <w:color w:val="231F20"/>
                <w:spacing w:val="-3"/>
                <w:sz w:val="20"/>
              </w:rPr>
              <w:t> </w:t>
            </w:r>
            <w:r>
              <w:rPr>
                <w:color w:val="231F20"/>
                <w:sz w:val="20"/>
              </w:rPr>
              <w:t>function</w:t>
            </w:r>
            <w:r>
              <w:rPr>
                <w:color w:val="231F20"/>
                <w:spacing w:val="-3"/>
                <w:sz w:val="20"/>
              </w:rPr>
              <w:t> </w:t>
            </w:r>
            <w:r>
              <w:rPr>
                <w:color w:val="231F20"/>
                <w:sz w:val="20"/>
              </w:rPr>
              <w:t>to</w:t>
            </w:r>
            <w:r>
              <w:rPr>
                <w:color w:val="231F20"/>
                <w:spacing w:val="-3"/>
                <w:sz w:val="20"/>
              </w:rPr>
              <w:t> </w:t>
            </w:r>
            <w:r>
              <w:rPr>
                <w:color w:val="231F20"/>
                <w:sz w:val="20"/>
              </w:rPr>
              <w:t>the</w:t>
            </w:r>
            <w:r>
              <w:rPr>
                <w:color w:val="231F20"/>
                <w:spacing w:val="-3"/>
                <w:sz w:val="20"/>
              </w:rPr>
              <w:t> </w:t>
            </w:r>
            <w:r>
              <w:rPr>
                <w:color w:val="231F20"/>
                <w:sz w:val="20"/>
              </w:rPr>
              <w:t>Corporate</w:t>
            </w:r>
            <w:r>
              <w:rPr>
                <w:color w:val="231F20"/>
                <w:spacing w:val="-4"/>
                <w:sz w:val="20"/>
              </w:rPr>
              <w:t> </w:t>
            </w:r>
            <w:r>
              <w:rPr>
                <w:color w:val="231F20"/>
                <w:sz w:val="20"/>
              </w:rPr>
              <w:t>Resources</w:t>
            </w:r>
            <w:r>
              <w:rPr>
                <w:color w:val="231F20"/>
                <w:spacing w:val="-3"/>
                <w:sz w:val="20"/>
              </w:rPr>
              <w:t> </w:t>
            </w:r>
            <w:r>
              <w:rPr>
                <w:color w:val="231F20"/>
                <w:sz w:val="20"/>
              </w:rPr>
              <w:t>Director</w:t>
            </w:r>
            <w:r>
              <w:rPr>
                <w:color w:val="231F20"/>
                <w:spacing w:val="-4"/>
                <w:sz w:val="20"/>
              </w:rPr>
              <w:t> </w:t>
            </w:r>
            <w:r>
              <w:rPr>
                <w:color w:val="231F20"/>
                <w:sz w:val="20"/>
              </w:rPr>
              <w:t>will</w:t>
            </w:r>
            <w:r>
              <w:rPr>
                <w:color w:val="231F20"/>
                <w:spacing w:val="-3"/>
                <w:sz w:val="20"/>
              </w:rPr>
              <w:t> </w:t>
            </w:r>
            <w:r>
              <w:rPr>
                <w:color w:val="231F20"/>
                <w:sz w:val="20"/>
              </w:rPr>
              <w:t>enable</w:t>
            </w:r>
            <w:r>
              <w:rPr>
                <w:color w:val="231F20"/>
                <w:spacing w:val="-3"/>
                <w:sz w:val="20"/>
              </w:rPr>
              <w:t> </w:t>
            </w:r>
            <w:r>
              <w:rPr>
                <w:color w:val="231F20"/>
                <w:sz w:val="20"/>
              </w:rPr>
              <w:t>the</w:t>
            </w:r>
            <w:r>
              <w:rPr>
                <w:color w:val="231F20"/>
                <w:spacing w:val="-3"/>
                <w:sz w:val="20"/>
              </w:rPr>
              <w:t> </w:t>
            </w:r>
            <w:r>
              <w:rPr>
                <w:color w:val="231F20"/>
                <w:sz w:val="20"/>
              </w:rPr>
              <w:t>Council</w:t>
            </w:r>
            <w:r>
              <w:rPr>
                <w:color w:val="231F20"/>
                <w:spacing w:val="-4"/>
                <w:sz w:val="20"/>
              </w:rPr>
              <w:t> </w:t>
            </w:r>
            <w:r>
              <w:rPr>
                <w:color w:val="231F20"/>
                <w:sz w:val="20"/>
              </w:rPr>
              <w:t>to</w:t>
            </w:r>
            <w:r>
              <w:rPr>
                <w:color w:val="231F20"/>
                <w:spacing w:val="-3"/>
                <w:sz w:val="20"/>
              </w:rPr>
              <w:t> </w:t>
            </w:r>
            <w:r>
              <w:rPr>
                <w:color w:val="231F20"/>
                <w:sz w:val="20"/>
              </w:rPr>
              <w:t>create greater operational resilience and improve capacity to identify and deal with suspected fraudulent </w:t>
            </w:r>
            <w:r>
              <w:rPr>
                <w:color w:val="231F20"/>
                <w:spacing w:val="-2"/>
                <w:sz w:val="20"/>
              </w:rPr>
              <w:t>activity.</w:t>
            </w:r>
          </w:p>
        </w:tc>
      </w:tr>
      <w:tr>
        <w:trPr>
          <w:trHeight w:val="3847" w:hRule="atLeast"/>
        </w:trPr>
        <w:tc>
          <w:tcPr>
            <w:tcW w:w="1417" w:type="dxa"/>
            <w:tcBorders>
              <w:top w:val="single" w:sz="4" w:space="0" w:color="3B5673"/>
            </w:tcBorders>
          </w:tcPr>
          <w:p>
            <w:pPr>
              <w:pStyle w:val="TableParagraph"/>
              <w:spacing w:line="216" w:lineRule="auto" w:before="3"/>
              <w:ind w:left="56" w:right="583"/>
              <w:rPr>
                <w:b/>
                <w:sz w:val="20"/>
              </w:rPr>
            </w:pPr>
            <w:r>
              <w:rPr>
                <w:b/>
                <w:color w:val="231F20"/>
                <w:spacing w:val="-2"/>
                <w:sz w:val="20"/>
              </w:rPr>
              <w:t>External Funding</w:t>
            </w:r>
          </w:p>
        </w:tc>
        <w:tc>
          <w:tcPr>
            <w:tcW w:w="9354" w:type="dxa"/>
            <w:tcBorders>
              <w:top w:val="single" w:sz="4" w:space="0" w:color="3B5673"/>
            </w:tcBorders>
          </w:tcPr>
          <w:p>
            <w:pPr>
              <w:pStyle w:val="TableParagraph"/>
              <w:spacing w:line="247" w:lineRule="exact"/>
              <w:ind w:left="57"/>
              <w:rPr>
                <w:sz w:val="20"/>
              </w:rPr>
            </w:pPr>
            <w:r>
              <w:rPr>
                <w:color w:val="231F20"/>
                <w:sz w:val="20"/>
              </w:rPr>
              <w:t>The</w:t>
            </w:r>
            <w:r>
              <w:rPr>
                <w:color w:val="231F20"/>
                <w:spacing w:val="-2"/>
                <w:sz w:val="20"/>
              </w:rPr>
              <w:t> </w:t>
            </w:r>
            <w:r>
              <w:rPr>
                <w:color w:val="231F20"/>
                <w:sz w:val="20"/>
              </w:rPr>
              <w:t>Council</w:t>
            </w:r>
            <w:r>
              <w:rPr>
                <w:color w:val="231F20"/>
                <w:spacing w:val="-3"/>
                <w:sz w:val="20"/>
              </w:rPr>
              <w:t> </w:t>
            </w:r>
            <w:r>
              <w:rPr>
                <w:color w:val="231F20"/>
                <w:sz w:val="20"/>
              </w:rPr>
              <w:t>uses</w:t>
            </w:r>
            <w:r>
              <w:rPr>
                <w:color w:val="231F20"/>
                <w:spacing w:val="-2"/>
                <w:sz w:val="20"/>
              </w:rPr>
              <w:t> </w:t>
            </w:r>
            <w:r>
              <w:rPr>
                <w:color w:val="231F20"/>
                <w:sz w:val="20"/>
              </w:rPr>
              <w:t>the</w:t>
            </w:r>
            <w:r>
              <w:rPr>
                <w:color w:val="231F20"/>
                <w:spacing w:val="-1"/>
                <w:sz w:val="20"/>
              </w:rPr>
              <w:t> </w:t>
            </w:r>
            <w:r>
              <w:rPr>
                <w:color w:val="231F20"/>
                <w:sz w:val="20"/>
              </w:rPr>
              <w:t>Local</w:t>
            </w:r>
            <w:r>
              <w:rPr>
                <w:color w:val="231F20"/>
                <w:spacing w:val="-2"/>
                <w:sz w:val="20"/>
              </w:rPr>
              <w:t> </w:t>
            </w:r>
            <w:r>
              <w:rPr>
                <w:color w:val="231F20"/>
                <w:sz w:val="20"/>
              </w:rPr>
              <w:t>Assurance</w:t>
            </w:r>
            <w:r>
              <w:rPr>
                <w:color w:val="231F20"/>
                <w:spacing w:val="-2"/>
                <w:sz w:val="20"/>
              </w:rPr>
              <w:t> </w:t>
            </w:r>
            <w:r>
              <w:rPr>
                <w:color w:val="231F20"/>
                <w:sz w:val="20"/>
              </w:rPr>
              <w:t>Framework</w:t>
            </w:r>
            <w:r>
              <w:rPr>
                <w:color w:val="231F20"/>
                <w:spacing w:val="-3"/>
                <w:sz w:val="20"/>
              </w:rPr>
              <w:t> </w:t>
            </w:r>
            <w:r>
              <w:rPr>
                <w:color w:val="231F20"/>
                <w:sz w:val="20"/>
              </w:rPr>
              <w:t>developed</w:t>
            </w:r>
            <w:r>
              <w:rPr>
                <w:color w:val="231F20"/>
                <w:spacing w:val="-1"/>
                <w:sz w:val="20"/>
              </w:rPr>
              <w:t> </w:t>
            </w:r>
            <w:r>
              <w:rPr>
                <w:color w:val="231F20"/>
                <w:sz w:val="20"/>
              </w:rPr>
              <w:t>from</w:t>
            </w:r>
            <w:r>
              <w:rPr>
                <w:color w:val="231F20"/>
                <w:spacing w:val="-2"/>
                <w:sz w:val="20"/>
              </w:rPr>
              <w:t> </w:t>
            </w:r>
            <w:r>
              <w:rPr>
                <w:color w:val="231F20"/>
                <w:sz w:val="20"/>
              </w:rPr>
              <w:t>D2N2’s</w:t>
            </w:r>
            <w:r>
              <w:rPr>
                <w:color w:val="231F20"/>
                <w:spacing w:val="-3"/>
                <w:sz w:val="20"/>
              </w:rPr>
              <w:t> </w:t>
            </w:r>
            <w:r>
              <w:rPr>
                <w:color w:val="231F20"/>
                <w:sz w:val="20"/>
              </w:rPr>
              <w:t>funding</w:t>
            </w:r>
            <w:r>
              <w:rPr>
                <w:color w:val="231F20"/>
                <w:spacing w:val="-1"/>
                <w:sz w:val="20"/>
              </w:rPr>
              <w:t> </w:t>
            </w:r>
            <w:r>
              <w:rPr>
                <w:color w:val="231F20"/>
                <w:spacing w:val="-2"/>
                <w:sz w:val="20"/>
              </w:rPr>
              <w:t>programme.</w:t>
            </w:r>
          </w:p>
          <w:p>
            <w:pPr>
              <w:pStyle w:val="TableParagraph"/>
              <w:spacing w:line="240" w:lineRule="auto" w:before="9"/>
              <w:rPr>
                <w:sz w:val="17"/>
              </w:rPr>
            </w:pPr>
          </w:p>
          <w:p>
            <w:pPr>
              <w:pStyle w:val="TableParagraph"/>
              <w:spacing w:line="216" w:lineRule="auto"/>
              <w:ind w:left="57" w:right="463"/>
              <w:rPr>
                <w:sz w:val="20"/>
              </w:rPr>
            </w:pPr>
            <w:r>
              <w:rPr>
                <w:color w:val="231F20"/>
                <w:sz w:val="20"/>
              </w:rPr>
              <w:t>The flagship project of the Towns Fund programme - the ADMC (Automated Distribution and Manufacturing</w:t>
            </w:r>
            <w:r>
              <w:rPr>
                <w:color w:val="231F20"/>
                <w:spacing w:val="-3"/>
                <w:sz w:val="20"/>
              </w:rPr>
              <w:t> </w:t>
            </w:r>
            <w:r>
              <w:rPr>
                <w:color w:val="231F20"/>
                <w:sz w:val="20"/>
              </w:rPr>
              <w:t>Centre)</w:t>
            </w:r>
            <w:r>
              <w:rPr>
                <w:color w:val="231F20"/>
                <w:spacing w:val="-4"/>
                <w:sz w:val="20"/>
              </w:rPr>
              <w:t> </w:t>
            </w:r>
            <w:r>
              <w:rPr>
                <w:color w:val="231F20"/>
                <w:sz w:val="20"/>
              </w:rPr>
              <w:t>is</w:t>
            </w:r>
            <w:r>
              <w:rPr>
                <w:color w:val="231F20"/>
                <w:spacing w:val="-4"/>
                <w:sz w:val="20"/>
              </w:rPr>
              <w:t> </w:t>
            </w:r>
            <w:r>
              <w:rPr>
                <w:color w:val="231F20"/>
                <w:sz w:val="20"/>
              </w:rPr>
              <w:t>being</w:t>
            </w:r>
            <w:r>
              <w:rPr>
                <w:color w:val="231F20"/>
                <w:spacing w:val="-3"/>
                <w:sz w:val="20"/>
              </w:rPr>
              <w:t> </w:t>
            </w:r>
            <w:r>
              <w:rPr>
                <w:color w:val="231F20"/>
                <w:sz w:val="20"/>
              </w:rPr>
              <w:t>reviewed</w:t>
            </w:r>
            <w:r>
              <w:rPr>
                <w:color w:val="231F20"/>
                <w:spacing w:val="-3"/>
                <w:sz w:val="20"/>
              </w:rPr>
              <w:t> </w:t>
            </w:r>
            <w:r>
              <w:rPr>
                <w:color w:val="231F20"/>
                <w:sz w:val="20"/>
              </w:rPr>
              <w:t>by</w:t>
            </w:r>
            <w:r>
              <w:rPr>
                <w:color w:val="231F20"/>
                <w:spacing w:val="-3"/>
                <w:sz w:val="20"/>
              </w:rPr>
              <w:t> </w:t>
            </w:r>
            <w:r>
              <w:rPr>
                <w:color w:val="231F20"/>
                <w:sz w:val="20"/>
              </w:rPr>
              <w:t>DLUHC</w:t>
            </w:r>
            <w:r>
              <w:rPr>
                <w:color w:val="231F20"/>
                <w:spacing w:val="-4"/>
                <w:sz w:val="20"/>
              </w:rPr>
              <w:t> </w:t>
            </w:r>
            <w:r>
              <w:rPr>
                <w:color w:val="231F20"/>
                <w:sz w:val="20"/>
              </w:rPr>
              <w:t>(Department</w:t>
            </w:r>
            <w:r>
              <w:rPr>
                <w:color w:val="231F20"/>
                <w:spacing w:val="-3"/>
                <w:sz w:val="20"/>
              </w:rPr>
              <w:t> </w:t>
            </w:r>
            <w:r>
              <w:rPr>
                <w:color w:val="231F20"/>
                <w:sz w:val="20"/>
              </w:rPr>
              <w:t>for</w:t>
            </w:r>
            <w:r>
              <w:rPr>
                <w:color w:val="231F20"/>
                <w:spacing w:val="-3"/>
                <w:sz w:val="20"/>
              </w:rPr>
              <w:t> </w:t>
            </w:r>
            <w:r>
              <w:rPr>
                <w:color w:val="231F20"/>
                <w:sz w:val="20"/>
              </w:rPr>
              <w:t>Levelling</w:t>
            </w:r>
            <w:r>
              <w:rPr>
                <w:color w:val="231F20"/>
                <w:spacing w:val="-3"/>
                <w:sz w:val="20"/>
              </w:rPr>
              <w:t> </w:t>
            </w:r>
            <w:r>
              <w:rPr>
                <w:color w:val="231F20"/>
                <w:sz w:val="20"/>
              </w:rPr>
              <w:t>Up,</w:t>
            </w:r>
            <w:r>
              <w:rPr>
                <w:color w:val="231F20"/>
                <w:spacing w:val="-4"/>
                <w:sz w:val="20"/>
              </w:rPr>
              <w:t> </w:t>
            </w:r>
            <w:r>
              <w:rPr>
                <w:color w:val="231F20"/>
                <w:sz w:val="20"/>
              </w:rPr>
              <w:t>Communities</w:t>
            </w:r>
            <w:r>
              <w:rPr>
                <w:color w:val="231F20"/>
                <w:spacing w:val="-4"/>
                <w:sz w:val="20"/>
              </w:rPr>
              <w:t> </w:t>
            </w:r>
            <w:r>
              <w:rPr>
                <w:color w:val="231F20"/>
                <w:sz w:val="20"/>
              </w:rPr>
              <w:t>and Housing) due to its high value (£20m Towns Fund).</w:t>
            </w:r>
          </w:p>
          <w:p>
            <w:pPr>
              <w:pStyle w:val="TableParagraph"/>
              <w:spacing w:line="240" w:lineRule="auto" w:before="220"/>
              <w:ind w:left="57"/>
              <w:rPr>
                <w:sz w:val="20"/>
              </w:rPr>
            </w:pPr>
            <w:r>
              <w:rPr>
                <w:color w:val="231F20"/>
                <w:sz w:val="20"/>
              </w:rPr>
              <w:t>Six</w:t>
            </w:r>
            <w:r>
              <w:rPr>
                <w:color w:val="231F20"/>
                <w:spacing w:val="-4"/>
                <w:sz w:val="20"/>
              </w:rPr>
              <w:t> </w:t>
            </w:r>
            <w:r>
              <w:rPr>
                <w:color w:val="231F20"/>
                <w:sz w:val="20"/>
              </w:rPr>
              <w:t>monthly</w:t>
            </w:r>
            <w:r>
              <w:rPr>
                <w:color w:val="231F20"/>
                <w:spacing w:val="-3"/>
                <w:sz w:val="20"/>
              </w:rPr>
              <w:t> </w:t>
            </w:r>
            <w:r>
              <w:rPr>
                <w:color w:val="231F20"/>
                <w:sz w:val="20"/>
              </w:rPr>
              <w:t>monitoring</w:t>
            </w:r>
            <w:r>
              <w:rPr>
                <w:color w:val="231F20"/>
                <w:spacing w:val="-4"/>
                <w:sz w:val="20"/>
              </w:rPr>
              <w:t> </w:t>
            </w:r>
            <w:r>
              <w:rPr>
                <w:color w:val="231F20"/>
                <w:sz w:val="20"/>
              </w:rPr>
              <w:t>returns</w:t>
            </w:r>
            <w:r>
              <w:rPr>
                <w:color w:val="231F20"/>
                <w:spacing w:val="-2"/>
                <w:sz w:val="20"/>
              </w:rPr>
              <w:t> </w:t>
            </w:r>
            <w:r>
              <w:rPr>
                <w:color w:val="231F20"/>
                <w:sz w:val="20"/>
              </w:rPr>
              <w:t>are</w:t>
            </w:r>
            <w:r>
              <w:rPr>
                <w:color w:val="231F20"/>
                <w:spacing w:val="-2"/>
                <w:sz w:val="20"/>
              </w:rPr>
              <w:t> </w:t>
            </w:r>
            <w:r>
              <w:rPr>
                <w:color w:val="231F20"/>
                <w:sz w:val="20"/>
              </w:rPr>
              <w:t>submitted</w:t>
            </w:r>
            <w:r>
              <w:rPr>
                <w:color w:val="231F20"/>
                <w:spacing w:val="-4"/>
                <w:sz w:val="20"/>
              </w:rPr>
              <w:t> </w:t>
            </w:r>
            <w:r>
              <w:rPr>
                <w:color w:val="231F20"/>
                <w:sz w:val="20"/>
              </w:rPr>
              <w:t>to</w:t>
            </w:r>
            <w:r>
              <w:rPr>
                <w:color w:val="231F20"/>
                <w:spacing w:val="-2"/>
                <w:sz w:val="20"/>
              </w:rPr>
              <w:t> </w:t>
            </w:r>
            <w:r>
              <w:rPr>
                <w:color w:val="231F20"/>
                <w:sz w:val="20"/>
              </w:rPr>
              <w:t>DLUHC</w:t>
            </w:r>
            <w:r>
              <w:rPr>
                <w:color w:val="231F20"/>
                <w:spacing w:val="-2"/>
                <w:sz w:val="20"/>
              </w:rPr>
              <w:t> </w:t>
            </w:r>
            <w:r>
              <w:rPr>
                <w:color w:val="231F20"/>
                <w:sz w:val="20"/>
              </w:rPr>
              <w:t>for</w:t>
            </w:r>
            <w:r>
              <w:rPr>
                <w:color w:val="231F20"/>
                <w:spacing w:val="-3"/>
                <w:sz w:val="20"/>
              </w:rPr>
              <w:t> </w:t>
            </w:r>
            <w:r>
              <w:rPr>
                <w:color w:val="231F20"/>
                <w:sz w:val="20"/>
              </w:rPr>
              <w:t>each</w:t>
            </w:r>
            <w:r>
              <w:rPr>
                <w:color w:val="231F20"/>
                <w:spacing w:val="-2"/>
                <w:sz w:val="20"/>
              </w:rPr>
              <w:t> </w:t>
            </w:r>
            <w:r>
              <w:rPr>
                <w:color w:val="231F20"/>
                <w:sz w:val="20"/>
              </w:rPr>
              <w:t>of</w:t>
            </w:r>
            <w:r>
              <w:rPr>
                <w:color w:val="231F20"/>
                <w:spacing w:val="-3"/>
                <w:sz w:val="20"/>
              </w:rPr>
              <w:t> </w:t>
            </w:r>
            <w:r>
              <w:rPr>
                <w:color w:val="231F20"/>
                <w:sz w:val="20"/>
              </w:rPr>
              <w:t>the</w:t>
            </w:r>
            <w:r>
              <w:rPr>
                <w:color w:val="231F20"/>
                <w:spacing w:val="-2"/>
                <w:sz w:val="20"/>
              </w:rPr>
              <w:t> </w:t>
            </w:r>
            <w:r>
              <w:rPr>
                <w:color w:val="231F20"/>
                <w:sz w:val="20"/>
              </w:rPr>
              <w:t>four</w:t>
            </w:r>
            <w:r>
              <w:rPr>
                <w:color w:val="231F20"/>
                <w:spacing w:val="-2"/>
                <w:sz w:val="20"/>
              </w:rPr>
              <w:t> funds.</w:t>
            </w:r>
          </w:p>
          <w:p>
            <w:pPr>
              <w:pStyle w:val="TableParagraph"/>
              <w:spacing w:line="240" w:lineRule="auto" w:before="10"/>
              <w:rPr>
                <w:sz w:val="17"/>
              </w:rPr>
            </w:pPr>
          </w:p>
          <w:p>
            <w:pPr>
              <w:pStyle w:val="TableParagraph"/>
              <w:spacing w:line="216" w:lineRule="auto"/>
              <w:ind w:left="57" w:right="276"/>
              <w:rPr>
                <w:sz w:val="20"/>
              </w:rPr>
            </w:pPr>
            <w:r>
              <w:rPr>
                <w:color w:val="231F20"/>
                <w:sz w:val="20"/>
              </w:rPr>
              <w:t>The Levelling Up Funds Local Authority Assurance Framework sets out the annual cycle of assurance for</w:t>
            </w:r>
            <w:r>
              <w:rPr>
                <w:color w:val="231F20"/>
                <w:spacing w:val="-2"/>
                <w:sz w:val="20"/>
              </w:rPr>
              <w:t> </w:t>
            </w:r>
            <w:r>
              <w:rPr>
                <w:color w:val="231F20"/>
                <w:sz w:val="20"/>
              </w:rPr>
              <w:t>grant</w:t>
            </w:r>
            <w:r>
              <w:rPr>
                <w:color w:val="231F20"/>
                <w:spacing w:val="-2"/>
                <w:sz w:val="20"/>
              </w:rPr>
              <w:t> </w:t>
            </w:r>
            <w:r>
              <w:rPr>
                <w:color w:val="231F20"/>
                <w:sz w:val="20"/>
              </w:rPr>
              <w:t>recipients</w:t>
            </w:r>
            <w:r>
              <w:rPr>
                <w:color w:val="231F20"/>
                <w:spacing w:val="-2"/>
                <w:sz w:val="20"/>
              </w:rPr>
              <w:t> </w:t>
            </w:r>
            <w:r>
              <w:rPr>
                <w:color w:val="231F20"/>
                <w:sz w:val="20"/>
              </w:rPr>
              <w:t>and</w:t>
            </w:r>
            <w:r>
              <w:rPr>
                <w:color w:val="231F20"/>
                <w:spacing w:val="-2"/>
                <w:sz w:val="20"/>
              </w:rPr>
              <w:t> </w:t>
            </w:r>
            <w:r>
              <w:rPr>
                <w:color w:val="231F20"/>
                <w:sz w:val="20"/>
              </w:rPr>
              <w:t>the</w:t>
            </w:r>
            <w:r>
              <w:rPr>
                <w:color w:val="231F20"/>
                <w:spacing w:val="-2"/>
                <w:sz w:val="20"/>
              </w:rPr>
              <w:t> </w:t>
            </w:r>
            <w:r>
              <w:rPr>
                <w:color w:val="231F20"/>
                <w:sz w:val="20"/>
              </w:rPr>
              <w:t>Chief</w:t>
            </w:r>
            <w:r>
              <w:rPr>
                <w:color w:val="231F20"/>
                <w:spacing w:val="-3"/>
                <w:sz w:val="20"/>
              </w:rPr>
              <w:t> </w:t>
            </w:r>
            <w:r>
              <w:rPr>
                <w:color w:val="231F20"/>
                <w:sz w:val="20"/>
              </w:rPr>
              <w:t>Finance</w:t>
            </w:r>
            <w:r>
              <w:rPr>
                <w:color w:val="231F20"/>
                <w:spacing w:val="-3"/>
                <w:sz w:val="20"/>
              </w:rPr>
              <w:t> </w:t>
            </w:r>
            <w:r>
              <w:rPr>
                <w:color w:val="231F20"/>
                <w:sz w:val="20"/>
              </w:rPr>
              <w:t>Officer</w:t>
            </w:r>
            <w:r>
              <w:rPr>
                <w:color w:val="231F20"/>
                <w:spacing w:val="-2"/>
                <w:sz w:val="20"/>
              </w:rPr>
              <w:t> </w:t>
            </w:r>
            <w:r>
              <w:rPr>
                <w:color w:val="231F20"/>
                <w:sz w:val="20"/>
              </w:rPr>
              <w:t>is</w:t>
            </w:r>
            <w:r>
              <w:rPr>
                <w:color w:val="231F20"/>
                <w:spacing w:val="-3"/>
                <w:sz w:val="20"/>
              </w:rPr>
              <w:t> </w:t>
            </w:r>
            <w:r>
              <w:rPr>
                <w:color w:val="231F20"/>
                <w:sz w:val="20"/>
              </w:rPr>
              <w:t>required</w:t>
            </w:r>
            <w:r>
              <w:rPr>
                <w:color w:val="231F20"/>
                <w:spacing w:val="-2"/>
                <w:sz w:val="20"/>
              </w:rPr>
              <w:t> </w:t>
            </w:r>
            <w:r>
              <w:rPr>
                <w:color w:val="231F20"/>
                <w:sz w:val="20"/>
              </w:rPr>
              <w:t>to</w:t>
            </w:r>
            <w:r>
              <w:rPr>
                <w:color w:val="231F20"/>
                <w:spacing w:val="-2"/>
                <w:sz w:val="20"/>
              </w:rPr>
              <w:t> </w:t>
            </w:r>
            <w:r>
              <w:rPr>
                <w:color w:val="231F20"/>
                <w:sz w:val="20"/>
              </w:rPr>
              <w:t>submit</w:t>
            </w:r>
            <w:r>
              <w:rPr>
                <w:color w:val="231F20"/>
                <w:spacing w:val="-3"/>
                <w:sz w:val="20"/>
              </w:rPr>
              <w:t> </w:t>
            </w:r>
            <w:r>
              <w:rPr>
                <w:color w:val="231F20"/>
                <w:sz w:val="20"/>
              </w:rPr>
              <w:t>an</w:t>
            </w:r>
            <w:r>
              <w:rPr>
                <w:color w:val="231F20"/>
                <w:spacing w:val="-2"/>
                <w:sz w:val="20"/>
              </w:rPr>
              <w:t> </w:t>
            </w:r>
            <w:r>
              <w:rPr>
                <w:color w:val="231F20"/>
                <w:sz w:val="20"/>
              </w:rPr>
              <w:t>assurance</w:t>
            </w:r>
            <w:r>
              <w:rPr>
                <w:color w:val="231F20"/>
                <w:spacing w:val="-2"/>
                <w:sz w:val="20"/>
              </w:rPr>
              <w:t> </w:t>
            </w:r>
            <w:r>
              <w:rPr>
                <w:color w:val="231F20"/>
                <w:sz w:val="20"/>
              </w:rPr>
              <w:t>letter</w:t>
            </w:r>
            <w:r>
              <w:rPr>
                <w:color w:val="231F20"/>
                <w:spacing w:val="-3"/>
                <w:sz w:val="20"/>
              </w:rPr>
              <w:t> </w:t>
            </w:r>
            <w:r>
              <w:rPr>
                <w:color w:val="231F20"/>
                <w:sz w:val="20"/>
              </w:rPr>
              <w:t>annually</w:t>
            </w:r>
            <w:r>
              <w:rPr>
                <w:color w:val="231F20"/>
                <w:spacing w:val="-2"/>
                <w:sz w:val="20"/>
              </w:rPr>
              <w:t> </w:t>
            </w:r>
            <w:r>
              <w:rPr>
                <w:color w:val="231F20"/>
                <w:sz w:val="20"/>
              </w:rPr>
              <w:t>to confirm that the framework is being adhered to.</w:t>
            </w:r>
          </w:p>
          <w:p>
            <w:pPr>
              <w:pStyle w:val="TableParagraph"/>
              <w:spacing w:line="240" w:lineRule="exact" w:before="226"/>
              <w:ind w:left="57" w:right="93"/>
              <w:rPr>
                <w:sz w:val="20"/>
              </w:rPr>
            </w:pPr>
            <w:r>
              <w:rPr>
                <w:color w:val="231F20"/>
                <w:sz w:val="20"/>
              </w:rPr>
              <w:t>Reports are taken to the Discover Ashfield (DA) Board (which acts as the town Deal Board for Towns Fund</w:t>
            </w:r>
            <w:r>
              <w:rPr>
                <w:color w:val="231F20"/>
                <w:spacing w:val="-5"/>
                <w:sz w:val="20"/>
              </w:rPr>
              <w:t> </w:t>
            </w:r>
            <w:r>
              <w:rPr>
                <w:color w:val="231F20"/>
                <w:sz w:val="20"/>
              </w:rPr>
              <w:t>projects)</w:t>
            </w:r>
            <w:r>
              <w:rPr>
                <w:color w:val="231F20"/>
                <w:spacing w:val="-4"/>
                <w:sz w:val="20"/>
              </w:rPr>
              <w:t> </w:t>
            </w:r>
            <w:r>
              <w:rPr>
                <w:color w:val="231F20"/>
                <w:sz w:val="20"/>
              </w:rPr>
              <w:t>every</w:t>
            </w:r>
            <w:r>
              <w:rPr>
                <w:color w:val="231F20"/>
                <w:spacing w:val="-4"/>
                <w:sz w:val="20"/>
              </w:rPr>
              <w:t> </w:t>
            </w:r>
            <w:r>
              <w:rPr>
                <w:color w:val="231F20"/>
                <w:sz w:val="20"/>
              </w:rPr>
              <w:t>six</w:t>
            </w:r>
            <w:r>
              <w:rPr>
                <w:color w:val="231F20"/>
                <w:spacing w:val="-5"/>
                <w:sz w:val="20"/>
              </w:rPr>
              <w:t> </w:t>
            </w:r>
            <w:r>
              <w:rPr>
                <w:color w:val="231F20"/>
                <w:sz w:val="20"/>
              </w:rPr>
              <w:t>weeks</w:t>
            </w:r>
            <w:r>
              <w:rPr>
                <w:color w:val="231F20"/>
                <w:spacing w:val="-4"/>
                <w:sz w:val="20"/>
              </w:rPr>
              <w:t> </w:t>
            </w:r>
            <w:r>
              <w:rPr>
                <w:color w:val="231F20"/>
                <w:sz w:val="20"/>
              </w:rPr>
              <w:t>and</w:t>
            </w:r>
            <w:r>
              <w:rPr>
                <w:color w:val="231F20"/>
                <w:spacing w:val="-4"/>
                <w:sz w:val="20"/>
              </w:rPr>
              <w:t> </w:t>
            </w:r>
            <w:r>
              <w:rPr>
                <w:color w:val="231F20"/>
                <w:sz w:val="20"/>
              </w:rPr>
              <w:t>to</w:t>
            </w:r>
            <w:r>
              <w:rPr>
                <w:color w:val="231F20"/>
                <w:spacing w:val="-4"/>
                <w:sz w:val="20"/>
              </w:rPr>
              <w:t> </w:t>
            </w:r>
            <w:r>
              <w:rPr>
                <w:color w:val="231F20"/>
                <w:sz w:val="20"/>
              </w:rPr>
              <w:t>the</w:t>
            </w:r>
            <w:r>
              <w:rPr>
                <w:color w:val="231F20"/>
                <w:spacing w:val="-4"/>
                <w:sz w:val="20"/>
              </w:rPr>
              <w:t> </w:t>
            </w:r>
            <w:r>
              <w:rPr>
                <w:color w:val="231F20"/>
                <w:sz w:val="20"/>
              </w:rPr>
              <w:t>Council’s</w:t>
            </w:r>
            <w:r>
              <w:rPr>
                <w:color w:val="231F20"/>
                <w:spacing w:val="-5"/>
                <w:sz w:val="20"/>
              </w:rPr>
              <w:t> </w:t>
            </w:r>
            <w:r>
              <w:rPr>
                <w:color w:val="231F20"/>
                <w:sz w:val="20"/>
              </w:rPr>
              <w:t>Strategic</w:t>
            </w:r>
            <w:r>
              <w:rPr>
                <w:color w:val="231F20"/>
                <w:spacing w:val="-4"/>
                <w:sz w:val="20"/>
              </w:rPr>
              <w:t> </w:t>
            </w:r>
            <w:r>
              <w:rPr>
                <w:color w:val="231F20"/>
                <w:sz w:val="20"/>
              </w:rPr>
              <w:t>Leadership</w:t>
            </w:r>
            <w:r>
              <w:rPr>
                <w:color w:val="231F20"/>
                <w:spacing w:val="-4"/>
                <w:sz w:val="20"/>
              </w:rPr>
              <w:t> </w:t>
            </w:r>
            <w:r>
              <w:rPr>
                <w:color w:val="231F20"/>
                <w:sz w:val="20"/>
              </w:rPr>
              <w:t>Team</w:t>
            </w:r>
            <w:r>
              <w:rPr>
                <w:color w:val="231F20"/>
                <w:spacing w:val="-4"/>
                <w:sz w:val="20"/>
              </w:rPr>
              <w:t> </w:t>
            </w:r>
            <w:r>
              <w:rPr>
                <w:color w:val="231F20"/>
                <w:sz w:val="20"/>
              </w:rPr>
              <w:t>and</w:t>
            </w:r>
            <w:r>
              <w:rPr>
                <w:color w:val="231F20"/>
                <w:spacing w:val="-4"/>
                <w:sz w:val="20"/>
              </w:rPr>
              <w:t> </w:t>
            </w:r>
            <w:r>
              <w:rPr>
                <w:color w:val="231F20"/>
                <w:sz w:val="20"/>
              </w:rPr>
              <w:t>Leadership</w:t>
            </w:r>
            <w:r>
              <w:rPr>
                <w:color w:val="231F20"/>
                <w:spacing w:val="-4"/>
                <w:sz w:val="20"/>
              </w:rPr>
              <w:t> </w:t>
            </w:r>
            <w:r>
              <w:rPr>
                <w:color w:val="231F20"/>
                <w:sz w:val="20"/>
              </w:rPr>
              <w:t>team,</w:t>
            </w:r>
            <w:r>
              <w:rPr>
                <w:color w:val="231F20"/>
                <w:spacing w:val="-4"/>
                <w:sz w:val="20"/>
              </w:rPr>
              <w:t> </w:t>
            </w:r>
            <w:r>
              <w:rPr>
                <w:color w:val="231F20"/>
                <w:sz w:val="20"/>
              </w:rPr>
              <w:t>as well as bi-monthly to the internal</w:t>
            </w:r>
            <w:r>
              <w:rPr>
                <w:color w:val="231F20"/>
                <w:spacing w:val="-1"/>
                <w:sz w:val="20"/>
              </w:rPr>
              <w:t> </w:t>
            </w:r>
            <w:r>
              <w:rPr>
                <w:color w:val="231F20"/>
                <w:sz w:val="20"/>
              </w:rPr>
              <w:t>Regeneration Board.</w:t>
            </w:r>
            <w:r>
              <w:rPr>
                <w:color w:val="231F20"/>
                <w:spacing w:val="-1"/>
                <w:sz w:val="20"/>
              </w:rPr>
              <w:t> </w:t>
            </w:r>
            <w:r>
              <w:rPr>
                <w:color w:val="231F20"/>
                <w:sz w:val="20"/>
              </w:rPr>
              <w:t>The DA Board</w:t>
            </w:r>
            <w:r>
              <w:rPr>
                <w:color w:val="231F20"/>
                <w:spacing w:val="-1"/>
                <w:sz w:val="20"/>
              </w:rPr>
              <w:t> </w:t>
            </w:r>
            <w:r>
              <w:rPr>
                <w:color w:val="231F20"/>
                <w:sz w:val="20"/>
              </w:rPr>
              <w:t>also acts as the local</w:t>
            </w:r>
            <w:r>
              <w:rPr>
                <w:color w:val="231F20"/>
                <w:spacing w:val="-1"/>
                <w:sz w:val="20"/>
              </w:rPr>
              <w:t> </w:t>
            </w:r>
            <w:r>
              <w:rPr>
                <w:color w:val="231F20"/>
                <w:sz w:val="20"/>
              </w:rPr>
              <w:t>partnership group for the UK Shared Prosperity Fund.</w:t>
            </w:r>
          </w:p>
        </w:tc>
      </w:tr>
    </w:tbl>
    <w:p>
      <w:pPr>
        <w:pStyle w:val="BodyText"/>
        <w:rPr>
          <w:sz w:val="20"/>
        </w:rPr>
      </w:pPr>
    </w:p>
    <w:p>
      <w:pPr>
        <w:pStyle w:val="BodyText"/>
        <w:rPr>
          <w:sz w:val="20"/>
        </w:rPr>
      </w:pPr>
    </w:p>
    <w:p>
      <w:pPr>
        <w:pStyle w:val="BodyText"/>
        <w:spacing w:before="8"/>
        <w:rPr>
          <w:sz w:val="10"/>
        </w:rPr>
      </w:pPr>
      <w:r>
        <w:rPr/>
        <w:drawing>
          <wp:anchor distT="0" distB="0" distL="0" distR="0" allowOverlap="1" layoutInCell="1" locked="0" behindDoc="0" simplePos="0" relativeHeight="20">
            <wp:simplePos x="0" y="0"/>
            <wp:positionH relativeFrom="page">
              <wp:posOffset>0</wp:posOffset>
            </wp:positionH>
            <wp:positionV relativeFrom="paragraph">
              <wp:posOffset>104780</wp:posOffset>
            </wp:positionV>
            <wp:extent cx="7162501" cy="4601908"/>
            <wp:effectExtent l="0" t="0" r="0" b="0"/>
            <wp:wrapTopAndBottom/>
            <wp:docPr id="15" name="image11.jpeg"/>
            <wp:cNvGraphicFramePr>
              <a:graphicFrameLocks noChangeAspect="1"/>
            </wp:cNvGraphicFramePr>
            <a:graphic>
              <a:graphicData uri="http://schemas.openxmlformats.org/drawingml/2006/picture">
                <pic:pic>
                  <pic:nvPicPr>
                    <pic:cNvPr id="16" name="image11.jpeg"/>
                    <pic:cNvPicPr/>
                  </pic:nvPicPr>
                  <pic:blipFill>
                    <a:blip r:embed="rId27" cstate="print"/>
                    <a:stretch>
                      <a:fillRect/>
                    </a:stretch>
                  </pic:blipFill>
                  <pic:spPr>
                    <a:xfrm>
                      <a:off x="0" y="0"/>
                      <a:ext cx="7162501" cy="4601908"/>
                    </a:xfrm>
                    <a:prstGeom prst="rect">
                      <a:avLst/>
                    </a:prstGeom>
                  </pic:spPr>
                </pic:pic>
              </a:graphicData>
            </a:graphic>
          </wp:anchor>
        </w:drawing>
      </w:r>
    </w:p>
    <w:p>
      <w:pPr>
        <w:spacing w:after="0"/>
        <w:rPr>
          <w:sz w:val="10"/>
        </w:rPr>
        <w:sectPr>
          <w:pgSz w:w="11910" w:h="16840"/>
          <w:pgMar w:header="377" w:footer="287" w:top="560" w:bottom="480" w:left="0" w:right="0"/>
        </w:sectPr>
      </w:pPr>
    </w:p>
    <w:p>
      <w:pPr>
        <w:pStyle w:val="BodyText"/>
        <w:spacing w:before="10"/>
        <w:rPr>
          <w:sz w:val="20"/>
        </w:rPr>
      </w:pPr>
    </w:p>
    <w:p>
      <w:pPr>
        <w:pStyle w:val="ListParagraph"/>
        <w:numPr>
          <w:ilvl w:val="0"/>
          <w:numId w:val="3"/>
        </w:numPr>
        <w:tabs>
          <w:tab w:pos="1248" w:val="left" w:leader="none"/>
        </w:tabs>
        <w:spacing w:line="699" w:lineRule="exact" w:before="100" w:after="0"/>
        <w:ind w:left="1247" w:right="0" w:hanging="684"/>
        <w:jc w:val="left"/>
        <w:rPr>
          <w:sz w:val="60"/>
        </w:rPr>
      </w:pPr>
      <w:r>
        <w:rPr>
          <w:color w:val="3B5673"/>
          <w:spacing w:val="12"/>
          <w:sz w:val="60"/>
        </w:rPr>
        <w:t>CORPORATE</w:t>
      </w:r>
    </w:p>
    <w:p>
      <w:pPr>
        <w:pStyle w:val="Heading1"/>
        <w:tabs>
          <w:tab w:pos="3670" w:val="left" w:leader="none"/>
          <w:tab w:pos="11905" w:val="left" w:leader="none"/>
        </w:tabs>
      </w:pPr>
      <w:r>
        <w:rPr>
          <w:color w:val="3B5673"/>
          <w:shd w:fill="C9CBD4" w:color="auto" w:val="clear"/>
        </w:rPr>
        <w:tab/>
      </w:r>
      <w:r>
        <w:rPr>
          <w:color w:val="3B5673"/>
          <w:spacing w:val="14"/>
          <w:shd w:fill="C9CBD4" w:color="auto" w:val="clear"/>
        </w:rPr>
        <w:t>PLAN</w:t>
      </w:r>
      <w:r>
        <w:rPr>
          <w:color w:val="3B5673"/>
          <w:shd w:fill="C9CBD4" w:color="auto" w:val="clear"/>
        </w:rPr>
        <w:tab/>
      </w:r>
    </w:p>
    <w:p>
      <w:pPr>
        <w:pStyle w:val="BodyText"/>
        <w:rPr>
          <w:b/>
          <w:sz w:val="20"/>
        </w:rPr>
      </w:pPr>
    </w:p>
    <w:p>
      <w:pPr>
        <w:pStyle w:val="BodyText"/>
        <w:spacing w:before="9"/>
        <w:rPr>
          <w:b/>
          <w:sz w:val="21"/>
        </w:rPr>
      </w:pPr>
    </w:p>
    <w:p>
      <w:pPr>
        <w:spacing w:line="225" w:lineRule="auto" w:before="115"/>
        <w:ind w:left="566" w:right="576" w:firstLine="0"/>
        <w:jc w:val="left"/>
        <w:rPr>
          <w:b/>
          <w:sz w:val="24"/>
        </w:rPr>
      </w:pPr>
      <w:r>
        <w:rPr>
          <w:b/>
          <w:color w:val="3B5673"/>
          <w:sz w:val="24"/>
        </w:rPr>
        <w:t>The current Corporate Plan covers the period 2019 to 2023 and was originally approved by Cabinet</w:t>
      </w:r>
      <w:r>
        <w:rPr>
          <w:b/>
          <w:color w:val="3B5673"/>
          <w:spacing w:val="-3"/>
          <w:sz w:val="24"/>
        </w:rPr>
        <w:t> </w:t>
      </w:r>
      <w:r>
        <w:rPr>
          <w:b/>
          <w:color w:val="3B5673"/>
          <w:sz w:val="24"/>
        </w:rPr>
        <w:t>in</w:t>
      </w:r>
      <w:r>
        <w:rPr>
          <w:b/>
          <w:color w:val="3B5673"/>
          <w:spacing w:val="-4"/>
          <w:sz w:val="24"/>
        </w:rPr>
        <w:t> </w:t>
      </w:r>
      <w:r>
        <w:rPr>
          <w:b/>
          <w:color w:val="3B5673"/>
          <w:sz w:val="24"/>
        </w:rPr>
        <w:t>September</w:t>
      </w:r>
      <w:r>
        <w:rPr>
          <w:b/>
          <w:color w:val="3B5673"/>
          <w:spacing w:val="-3"/>
          <w:sz w:val="24"/>
        </w:rPr>
        <w:t> </w:t>
      </w:r>
      <w:r>
        <w:rPr>
          <w:b/>
          <w:color w:val="3B5673"/>
          <w:sz w:val="24"/>
        </w:rPr>
        <w:t>2019</w:t>
      </w:r>
      <w:r>
        <w:rPr>
          <w:b/>
          <w:color w:val="3B5673"/>
          <w:spacing w:val="-4"/>
          <w:sz w:val="24"/>
        </w:rPr>
        <w:t> </w:t>
      </w:r>
      <w:r>
        <w:rPr>
          <w:b/>
          <w:color w:val="3B5673"/>
          <w:sz w:val="24"/>
        </w:rPr>
        <w:t>with</w:t>
      </w:r>
      <w:r>
        <w:rPr>
          <w:b/>
          <w:color w:val="3B5673"/>
          <w:spacing w:val="-4"/>
          <w:sz w:val="24"/>
        </w:rPr>
        <w:t> </w:t>
      </w:r>
      <w:r>
        <w:rPr>
          <w:b/>
          <w:color w:val="3B5673"/>
          <w:sz w:val="24"/>
        </w:rPr>
        <w:t>a</w:t>
      </w:r>
      <w:r>
        <w:rPr>
          <w:b/>
          <w:color w:val="3B5673"/>
          <w:spacing w:val="-4"/>
          <w:sz w:val="24"/>
        </w:rPr>
        <w:t> </w:t>
      </w:r>
      <w:r>
        <w:rPr>
          <w:b/>
          <w:color w:val="3B5673"/>
          <w:sz w:val="24"/>
        </w:rPr>
        <w:t>refresh</w:t>
      </w:r>
      <w:r>
        <w:rPr>
          <w:b/>
          <w:color w:val="3B5673"/>
          <w:spacing w:val="-3"/>
          <w:sz w:val="24"/>
        </w:rPr>
        <w:t> </w:t>
      </w:r>
      <w:r>
        <w:rPr>
          <w:b/>
          <w:color w:val="3B5673"/>
          <w:sz w:val="24"/>
        </w:rPr>
        <w:t>of</w:t>
      </w:r>
      <w:r>
        <w:rPr>
          <w:b/>
          <w:color w:val="3B5673"/>
          <w:spacing w:val="-4"/>
          <w:sz w:val="24"/>
        </w:rPr>
        <w:t> </w:t>
      </w:r>
      <w:r>
        <w:rPr>
          <w:b/>
          <w:color w:val="3B5673"/>
          <w:sz w:val="24"/>
        </w:rPr>
        <w:t>the</w:t>
      </w:r>
      <w:r>
        <w:rPr>
          <w:b/>
          <w:color w:val="3B5673"/>
          <w:spacing w:val="-4"/>
          <w:sz w:val="24"/>
        </w:rPr>
        <w:t> </w:t>
      </w:r>
      <w:r>
        <w:rPr>
          <w:b/>
          <w:color w:val="3B5673"/>
          <w:sz w:val="24"/>
        </w:rPr>
        <w:t>Plan</w:t>
      </w:r>
      <w:r>
        <w:rPr>
          <w:b/>
          <w:color w:val="3B5673"/>
          <w:spacing w:val="-4"/>
          <w:sz w:val="24"/>
        </w:rPr>
        <w:t> </w:t>
      </w:r>
      <w:r>
        <w:rPr>
          <w:b/>
          <w:color w:val="3B5673"/>
          <w:sz w:val="24"/>
        </w:rPr>
        <w:t>being</w:t>
      </w:r>
      <w:r>
        <w:rPr>
          <w:b/>
          <w:color w:val="3B5673"/>
          <w:spacing w:val="-4"/>
          <w:sz w:val="24"/>
        </w:rPr>
        <w:t> </w:t>
      </w:r>
      <w:r>
        <w:rPr>
          <w:b/>
          <w:color w:val="3B5673"/>
          <w:sz w:val="24"/>
        </w:rPr>
        <w:t>approved</w:t>
      </w:r>
      <w:r>
        <w:rPr>
          <w:b/>
          <w:color w:val="3B5673"/>
          <w:spacing w:val="-3"/>
          <w:sz w:val="24"/>
        </w:rPr>
        <w:t> </w:t>
      </w:r>
      <w:r>
        <w:rPr>
          <w:b/>
          <w:color w:val="3B5673"/>
          <w:sz w:val="24"/>
        </w:rPr>
        <w:t>by</w:t>
      </w:r>
      <w:r>
        <w:rPr>
          <w:b/>
          <w:color w:val="3B5673"/>
          <w:spacing w:val="-4"/>
          <w:sz w:val="24"/>
        </w:rPr>
        <w:t> </w:t>
      </w:r>
      <w:r>
        <w:rPr>
          <w:b/>
          <w:color w:val="3B5673"/>
          <w:sz w:val="24"/>
        </w:rPr>
        <w:t>Cabinet</w:t>
      </w:r>
      <w:r>
        <w:rPr>
          <w:b/>
          <w:color w:val="3B5673"/>
          <w:spacing w:val="-3"/>
          <w:sz w:val="24"/>
        </w:rPr>
        <w:t> </w:t>
      </w:r>
      <w:r>
        <w:rPr>
          <w:b/>
          <w:color w:val="3B5673"/>
          <w:sz w:val="24"/>
        </w:rPr>
        <w:t>in</w:t>
      </w:r>
      <w:r>
        <w:rPr>
          <w:b/>
          <w:color w:val="3B5673"/>
          <w:spacing w:val="-4"/>
          <w:sz w:val="24"/>
        </w:rPr>
        <w:t> </w:t>
      </w:r>
      <w:r>
        <w:rPr>
          <w:b/>
          <w:color w:val="3B5673"/>
          <w:sz w:val="24"/>
        </w:rPr>
        <w:t>June</w:t>
      </w:r>
      <w:r>
        <w:rPr>
          <w:b/>
          <w:color w:val="3B5673"/>
          <w:spacing w:val="-4"/>
          <w:sz w:val="24"/>
        </w:rPr>
        <w:t> </w:t>
      </w:r>
      <w:r>
        <w:rPr>
          <w:b/>
          <w:color w:val="3B5673"/>
          <w:sz w:val="24"/>
        </w:rPr>
        <w:t>2022.</w:t>
      </w:r>
    </w:p>
    <w:p>
      <w:pPr>
        <w:pStyle w:val="BodyText"/>
        <w:spacing w:before="1"/>
        <w:rPr>
          <w:b/>
          <w:sz w:val="20"/>
        </w:rPr>
      </w:pPr>
      <w:r>
        <w:rPr/>
        <w:pict>
          <v:shape style="position:absolute;margin-left:28.346001pt;margin-top:14.567011pt;width:255.15pt;height:255.15pt;mso-position-horizontal-relative:page;mso-position-vertical-relative:paragraph;z-index:-15717376;mso-wrap-distance-left:0;mso-wrap-distance-right:0" type="#_x0000_t202" id="docshape76" filled="true" fillcolor="#3b5673" stroked="false">
            <v:textbox inset="0,0,0,0">
              <w:txbxContent>
                <w:p>
                  <w:pPr>
                    <w:spacing w:line="675" w:lineRule="exact" w:before="44"/>
                    <w:ind w:left="235" w:right="0" w:firstLine="0"/>
                    <w:jc w:val="left"/>
                    <w:rPr>
                      <w:b/>
                      <w:color w:val="000000"/>
                      <w:sz w:val="52"/>
                    </w:rPr>
                  </w:pPr>
                  <w:r>
                    <w:rPr>
                      <w:b/>
                      <w:color w:val="FFFFFF"/>
                      <w:spacing w:val="16"/>
                      <w:sz w:val="52"/>
                    </w:rPr>
                    <w:t>VISION</w:t>
                  </w:r>
                </w:p>
                <w:p>
                  <w:pPr>
                    <w:pStyle w:val="BodyText"/>
                    <w:spacing w:line="225" w:lineRule="auto"/>
                    <w:ind w:left="226"/>
                    <w:rPr>
                      <w:color w:val="000000"/>
                    </w:rPr>
                  </w:pPr>
                  <w:r>
                    <w:rPr>
                      <w:color w:val="FFFFFF"/>
                    </w:rPr>
                    <w:t>The</w:t>
                  </w:r>
                  <w:r>
                    <w:rPr>
                      <w:color w:val="FFFFFF"/>
                      <w:spacing w:val="-4"/>
                    </w:rPr>
                    <w:t> </w:t>
                  </w:r>
                  <w:r>
                    <w:rPr>
                      <w:color w:val="FFFFFF"/>
                    </w:rPr>
                    <w:t>purpose</w:t>
                  </w:r>
                  <w:r>
                    <w:rPr>
                      <w:color w:val="FFFFFF"/>
                      <w:spacing w:val="-4"/>
                    </w:rPr>
                    <w:t> </w:t>
                  </w:r>
                  <w:r>
                    <w:rPr>
                      <w:color w:val="FFFFFF"/>
                    </w:rPr>
                    <w:t>of</w:t>
                  </w:r>
                  <w:r>
                    <w:rPr>
                      <w:color w:val="FFFFFF"/>
                      <w:spacing w:val="-4"/>
                    </w:rPr>
                    <w:t> </w:t>
                  </w:r>
                  <w:r>
                    <w:rPr>
                      <w:color w:val="FFFFFF"/>
                    </w:rPr>
                    <w:t>the</w:t>
                  </w:r>
                  <w:r>
                    <w:rPr>
                      <w:color w:val="FFFFFF"/>
                      <w:spacing w:val="-4"/>
                    </w:rPr>
                    <w:t> </w:t>
                  </w:r>
                  <w:r>
                    <w:rPr>
                      <w:color w:val="FFFFFF"/>
                    </w:rPr>
                    <w:t>Council</w:t>
                  </w:r>
                  <w:r>
                    <w:rPr>
                      <w:color w:val="FFFFFF"/>
                      <w:spacing w:val="-5"/>
                    </w:rPr>
                    <w:t> </w:t>
                  </w:r>
                  <w:r>
                    <w:rPr>
                      <w:color w:val="FFFFFF"/>
                    </w:rPr>
                    <w:t>as</w:t>
                  </w:r>
                  <w:r>
                    <w:rPr>
                      <w:color w:val="FFFFFF"/>
                      <w:spacing w:val="-4"/>
                    </w:rPr>
                    <w:t> </w:t>
                  </w:r>
                  <w:r>
                    <w:rPr>
                      <w:color w:val="FFFFFF"/>
                    </w:rPr>
                    <w:t>set</w:t>
                  </w:r>
                  <w:r>
                    <w:rPr>
                      <w:color w:val="FFFFFF"/>
                      <w:spacing w:val="-5"/>
                    </w:rPr>
                    <w:t> </w:t>
                  </w:r>
                  <w:r>
                    <w:rPr>
                      <w:color w:val="FFFFFF"/>
                    </w:rPr>
                    <w:t>out</w:t>
                  </w:r>
                  <w:r>
                    <w:rPr>
                      <w:color w:val="FFFFFF"/>
                      <w:spacing w:val="-4"/>
                    </w:rPr>
                    <w:t> </w:t>
                  </w:r>
                  <w:r>
                    <w:rPr>
                      <w:color w:val="FFFFFF"/>
                    </w:rPr>
                    <w:t>in</w:t>
                  </w:r>
                  <w:r>
                    <w:rPr>
                      <w:color w:val="FFFFFF"/>
                      <w:spacing w:val="-5"/>
                    </w:rPr>
                    <w:t> </w:t>
                  </w:r>
                  <w:r>
                    <w:rPr>
                      <w:color w:val="FFFFFF"/>
                    </w:rPr>
                    <w:t>the current Corporate Plan is to:</w:t>
                  </w:r>
                </w:p>
                <w:p>
                  <w:pPr>
                    <w:pStyle w:val="BodyText"/>
                    <w:numPr>
                      <w:ilvl w:val="0"/>
                      <w:numId w:val="4"/>
                    </w:numPr>
                    <w:tabs>
                      <w:tab w:pos="360" w:val="left" w:leader="none"/>
                    </w:tabs>
                    <w:spacing w:line="310" w:lineRule="exact" w:before="283" w:after="0"/>
                    <w:ind w:left="360" w:right="1372" w:hanging="360"/>
                    <w:jc w:val="center"/>
                    <w:rPr>
                      <w:color w:val="000000"/>
                    </w:rPr>
                  </w:pPr>
                  <w:r>
                    <w:rPr>
                      <w:color w:val="FFFFFF"/>
                    </w:rPr>
                    <w:t>Serve</w:t>
                  </w:r>
                  <w:r>
                    <w:rPr>
                      <w:color w:val="FFFFFF"/>
                      <w:spacing w:val="-6"/>
                    </w:rPr>
                    <w:t> </w:t>
                  </w:r>
                  <w:r>
                    <w:rPr>
                      <w:color w:val="FFFFFF"/>
                    </w:rPr>
                    <w:t>the</w:t>
                  </w:r>
                  <w:r>
                    <w:rPr>
                      <w:color w:val="FFFFFF"/>
                      <w:spacing w:val="-5"/>
                    </w:rPr>
                    <w:t> </w:t>
                  </w:r>
                  <w:r>
                    <w:rPr>
                      <w:color w:val="FFFFFF"/>
                    </w:rPr>
                    <w:t>Communities</w:t>
                  </w:r>
                  <w:r>
                    <w:rPr>
                      <w:color w:val="FFFFFF"/>
                      <w:spacing w:val="-5"/>
                    </w:rPr>
                    <w:t> and</w:t>
                  </w:r>
                </w:p>
                <w:p>
                  <w:pPr>
                    <w:pStyle w:val="BodyText"/>
                    <w:spacing w:line="310" w:lineRule="exact"/>
                    <w:ind w:left="578" w:right="2246"/>
                    <w:jc w:val="center"/>
                    <w:rPr>
                      <w:color w:val="000000"/>
                    </w:rPr>
                  </w:pPr>
                  <w:r>
                    <w:rPr>
                      <w:color w:val="FFFFFF"/>
                    </w:rPr>
                    <w:t>Residents</w:t>
                  </w:r>
                  <w:r>
                    <w:rPr>
                      <w:color w:val="FFFFFF"/>
                      <w:spacing w:val="-4"/>
                    </w:rPr>
                    <w:t> </w:t>
                  </w:r>
                  <w:r>
                    <w:rPr>
                      <w:color w:val="FFFFFF"/>
                    </w:rPr>
                    <w:t>of</w:t>
                  </w:r>
                  <w:r>
                    <w:rPr>
                      <w:color w:val="FFFFFF"/>
                      <w:spacing w:val="-4"/>
                    </w:rPr>
                    <w:t> </w:t>
                  </w:r>
                  <w:r>
                    <w:rPr>
                      <w:color w:val="FFFFFF"/>
                      <w:spacing w:val="-2"/>
                    </w:rPr>
                    <w:t>Ashfield;</w:t>
                  </w:r>
                </w:p>
                <w:p>
                  <w:pPr>
                    <w:pStyle w:val="BodyText"/>
                    <w:numPr>
                      <w:ilvl w:val="0"/>
                      <w:numId w:val="4"/>
                    </w:numPr>
                    <w:tabs>
                      <w:tab w:pos="360" w:val="left" w:leader="none"/>
                    </w:tabs>
                    <w:spacing w:line="310" w:lineRule="exact" w:before="38" w:after="0"/>
                    <w:ind w:left="360" w:right="1405" w:hanging="360"/>
                    <w:jc w:val="center"/>
                    <w:rPr>
                      <w:color w:val="000000"/>
                    </w:rPr>
                  </w:pPr>
                  <w:r>
                    <w:rPr>
                      <w:color w:val="FFFFFF"/>
                    </w:rPr>
                    <w:t>Provide</w:t>
                  </w:r>
                  <w:r>
                    <w:rPr>
                      <w:color w:val="FFFFFF"/>
                      <w:spacing w:val="-3"/>
                    </w:rPr>
                    <w:t> </w:t>
                  </w:r>
                  <w:r>
                    <w:rPr>
                      <w:color w:val="FFFFFF"/>
                    </w:rPr>
                    <w:t>good</w:t>
                  </w:r>
                  <w:r>
                    <w:rPr>
                      <w:color w:val="FFFFFF"/>
                      <w:spacing w:val="-2"/>
                    </w:rPr>
                    <w:t> </w:t>
                  </w:r>
                  <w:r>
                    <w:rPr>
                      <w:color w:val="FFFFFF"/>
                    </w:rPr>
                    <w:t>quality,</w:t>
                  </w:r>
                  <w:r>
                    <w:rPr>
                      <w:color w:val="FFFFFF"/>
                      <w:spacing w:val="-2"/>
                    </w:rPr>
                    <w:t> value</w:t>
                  </w:r>
                </w:p>
                <w:p>
                  <w:pPr>
                    <w:pStyle w:val="BodyText"/>
                    <w:spacing w:line="310" w:lineRule="exact"/>
                    <w:ind w:left="581" w:right="2015"/>
                    <w:jc w:val="center"/>
                    <w:rPr>
                      <w:color w:val="000000"/>
                    </w:rPr>
                  </w:pPr>
                  <w:r>
                    <w:rPr>
                      <w:color w:val="FFFFFF"/>
                    </w:rPr>
                    <w:t>for</w:t>
                  </w:r>
                  <w:r>
                    <w:rPr>
                      <w:color w:val="FFFFFF"/>
                      <w:spacing w:val="-5"/>
                    </w:rPr>
                    <w:t> </w:t>
                  </w:r>
                  <w:r>
                    <w:rPr>
                      <w:color w:val="FFFFFF"/>
                    </w:rPr>
                    <w:t>money</w:t>
                  </w:r>
                  <w:r>
                    <w:rPr>
                      <w:color w:val="FFFFFF"/>
                      <w:spacing w:val="-5"/>
                    </w:rPr>
                    <w:t> </w:t>
                  </w:r>
                  <w:r>
                    <w:rPr>
                      <w:color w:val="FFFFFF"/>
                    </w:rPr>
                    <w:t>services;</w:t>
                  </w:r>
                  <w:r>
                    <w:rPr>
                      <w:color w:val="FFFFFF"/>
                      <w:spacing w:val="-4"/>
                    </w:rPr>
                    <w:t> </w:t>
                  </w:r>
                  <w:r>
                    <w:rPr>
                      <w:color w:val="FFFFFF"/>
                      <w:spacing w:val="-5"/>
                    </w:rPr>
                    <w:t>and</w:t>
                  </w:r>
                </w:p>
                <w:p>
                  <w:pPr>
                    <w:pStyle w:val="BodyText"/>
                    <w:numPr>
                      <w:ilvl w:val="0"/>
                      <w:numId w:val="4"/>
                    </w:numPr>
                    <w:tabs>
                      <w:tab w:pos="587" w:val="left" w:leader="none"/>
                    </w:tabs>
                    <w:spacing w:line="225" w:lineRule="auto" w:before="53" w:after="0"/>
                    <w:ind w:left="586" w:right="742" w:hanging="360"/>
                    <w:jc w:val="both"/>
                    <w:rPr>
                      <w:color w:val="000000"/>
                    </w:rPr>
                  </w:pPr>
                  <w:r>
                    <w:rPr>
                      <w:color w:val="FFFFFF"/>
                    </w:rPr>
                    <w:t>To act strategically</w:t>
                  </w:r>
                  <w:r>
                    <w:rPr>
                      <w:color w:val="FFFFFF"/>
                      <w:spacing w:val="-1"/>
                    </w:rPr>
                    <w:t> </w:t>
                  </w:r>
                  <w:r>
                    <w:rPr>
                      <w:color w:val="FFFFFF"/>
                    </w:rPr>
                    <w:t>and plan for the future,</w:t>
                  </w:r>
                  <w:r>
                    <w:rPr>
                      <w:color w:val="FFFFFF"/>
                      <w:spacing w:val="-7"/>
                    </w:rPr>
                    <w:t> </w:t>
                  </w:r>
                  <w:r>
                    <w:rPr>
                      <w:color w:val="FFFFFF"/>
                    </w:rPr>
                    <w:t>working</w:t>
                  </w:r>
                  <w:r>
                    <w:rPr>
                      <w:color w:val="FFFFFF"/>
                      <w:spacing w:val="-7"/>
                    </w:rPr>
                    <w:t> </w:t>
                  </w:r>
                  <w:r>
                    <w:rPr>
                      <w:color w:val="FFFFFF"/>
                    </w:rPr>
                    <w:t>with</w:t>
                  </w:r>
                  <w:r>
                    <w:rPr>
                      <w:color w:val="FFFFFF"/>
                      <w:spacing w:val="-7"/>
                    </w:rPr>
                    <w:t> </w:t>
                  </w:r>
                  <w:r>
                    <w:rPr>
                      <w:color w:val="FFFFFF"/>
                    </w:rPr>
                    <w:t>others</w:t>
                  </w:r>
                  <w:r>
                    <w:rPr>
                      <w:color w:val="FFFFFF"/>
                      <w:spacing w:val="-7"/>
                    </w:rPr>
                    <w:t> </w:t>
                  </w:r>
                  <w:r>
                    <w:rPr>
                      <w:color w:val="FFFFFF"/>
                    </w:rPr>
                    <w:t>to</w:t>
                  </w:r>
                  <w:r>
                    <w:rPr>
                      <w:color w:val="FFFFFF"/>
                      <w:spacing w:val="-7"/>
                    </w:rPr>
                    <w:t> </w:t>
                  </w:r>
                  <w:r>
                    <w:rPr>
                      <w:color w:val="FFFFFF"/>
                    </w:rPr>
                    <w:t>bring about sustainable improvements in people’s lives.</w:t>
                  </w:r>
                </w:p>
              </w:txbxContent>
            </v:textbox>
            <v:fill type="solid"/>
            <w10:wrap type="topAndBottom"/>
          </v:shape>
        </w:pict>
      </w:r>
      <w:r>
        <w:rPr/>
        <w:pict>
          <v:shape style="position:absolute;margin-left:311.811005pt;margin-top:14.567011pt;width:255.15pt;height:255.15pt;mso-position-horizontal-relative:page;mso-position-vertical-relative:paragraph;z-index:-15716864;mso-wrap-distance-left:0;mso-wrap-distance-right:0" type="#_x0000_t202" id="docshape77" filled="true" fillcolor="#3b5673" stroked="false">
            <v:textbox inset="0,0,0,0">
              <w:txbxContent>
                <w:p>
                  <w:pPr>
                    <w:spacing w:line="675" w:lineRule="exact" w:before="44"/>
                    <w:ind w:left="235" w:right="0" w:firstLine="0"/>
                    <w:jc w:val="left"/>
                    <w:rPr>
                      <w:b/>
                      <w:color w:val="000000"/>
                      <w:sz w:val="52"/>
                    </w:rPr>
                  </w:pPr>
                  <w:r>
                    <w:rPr>
                      <w:b/>
                      <w:color w:val="FFFFFF"/>
                      <w:spacing w:val="14"/>
                      <w:sz w:val="52"/>
                    </w:rPr>
                    <w:t>PRIORITIES</w:t>
                  </w:r>
                </w:p>
                <w:p>
                  <w:pPr>
                    <w:pStyle w:val="BodyText"/>
                    <w:spacing w:line="225" w:lineRule="auto"/>
                    <w:ind w:left="226" w:right="35"/>
                    <w:rPr>
                      <w:color w:val="000000"/>
                    </w:rPr>
                  </w:pPr>
                  <w:r>
                    <w:rPr>
                      <w:color w:val="FFFFFF"/>
                    </w:rPr>
                    <w:t>The</w:t>
                  </w:r>
                  <w:r>
                    <w:rPr>
                      <w:color w:val="FFFFFF"/>
                      <w:spacing w:val="-5"/>
                    </w:rPr>
                    <w:t> </w:t>
                  </w:r>
                  <w:r>
                    <w:rPr>
                      <w:color w:val="FFFFFF"/>
                    </w:rPr>
                    <w:t>Council’s</w:t>
                  </w:r>
                  <w:r>
                    <w:rPr>
                      <w:color w:val="FFFFFF"/>
                      <w:spacing w:val="-6"/>
                    </w:rPr>
                    <w:t> </w:t>
                  </w:r>
                  <w:r>
                    <w:rPr>
                      <w:color w:val="FFFFFF"/>
                    </w:rPr>
                    <w:t>Priorities</w:t>
                  </w:r>
                  <w:r>
                    <w:rPr>
                      <w:color w:val="FFFFFF"/>
                      <w:spacing w:val="-6"/>
                    </w:rPr>
                    <w:t> </w:t>
                  </w:r>
                  <w:r>
                    <w:rPr>
                      <w:color w:val="FFFFFF"/>
                    </w:rPr>
                    <w:t>as</w:t>
                  </w:r>
                  <w:r>
                    <w:rPr>
                      <w:color w:val="FFFFFF"/>
                      <w:spacing w:val="-5"/>
                    </w:rPr>
                    <w:t> </w:t>
                  </w:r>
                  <w:r>
                    <w:rPr>
                      <w:color w:val="FFFFFF"/>
                    </w:rPr>
                    <w:t>set</w:t>
                  </w:r>
                  <w:r>
                    <w:rPr>
                      <w:color w:val="FFFFFF"/>
                      <w:spacing w:val="-6"/>
                    </w:rPr>
                    <w:t> </w:t>
                  </w:r>
                  <w:r>
                    <w:rPr>
                      <w:color w:val="FFFFFF"/>
                    </w:rPr>
                    <w:t>out</w:t>
                  </w:r>
                  <w:r>
                    <w:rPr>
                      <w:color w:val="FFFFFF"/>
                      <w:spacing w:val="-5"/>
                    </w:rPr>
                    <w:t> </w:t>
                  </w:r>
                  <w:r>
                    <w:rPr>
                      <w:color w:val="FFFFFF"/>
                    </w:rPr>
                    <w:t>in</w:t>
                  </w:r>
                  <w:r>
                    <w:rPr>
                      <w:color w:val="FFFFFF"/>
                      <w:spacing w:val="-6"/>
                    </w:rPr>
                    <w:t> </w:t>
                  </w:r>
                  <w:r>
                    <w:rPr>
                      <w:color w:val="FFFFFF"/>
                    </w:rPr>
                    <w:t>the current Corporate Plan are:</w:t>
                  </w:r>
                </w:p>
                <w:p>
                  <w:pPr>
                    <w:pStyle w:val="BodyText"/>
                    <w:numPr>
                      <w:ilvl w:val="0"/>
                      <w:numId w:val="5"/>
                    </w:numPr>
                    <w:tabs>
                      <w:tab w:pos="587" w:val="left" w:leader="none"/>
                    </w:tabs>
                    <w:spacing w:line="240" w:lineRule="auto" w:before="283" w:after="0"/>
                    <w:ind w:left="586" w:right="0" w:hanging="361"/>
                    <w:jc w:val="left"/>
                    <w:rPr>
                      <w:color w:val="000000"/>
                    </w:rPr>
                  </w:pPr>
                  <w:r>
                    <w:rPr>
                      <w:color w:val="FFFFFF"/>
                    </w:rPr>
                    <w:t>Health &amp;</w:t>
                  </w:r>
                  <w:r>
                    <w:rPr>
                      <w:color w:val="FFFFFF"/>
                      <w:spacing w:val="-1"/>
                    </w:rPr>
                    <w:t> </w:t>
                  </w:r>
                  <w:r>
                    <w:rPr>
                      <w:color w:val="FFFFFF"/>
                      <w:spacing w:val="-2"/>
                    </w:rPr>
                    <w:t>Happiness;</w:t>
                  </w:r>
                </w:p>
                <w:p>
                  <w:pPr>
                    <w:pStyle w:val="BodyText"/>
                    <w:numPr>
                      <w:ilvl w:val="0"/>
                      <w:numId w:val="5"/>
                    </w:numPr>
                    <w:tabs>
                      <w:tab w:pos="587" w:val="left" w:leader="none"/>
                    </w:tabs>
                    <w:spacing w:line="240" w:lineRule="auto" w:before="38" w:after="0"/>
                    <w:ind w:left="586" w:right="0" w:hanging="361"/>
                    <w:jc w:val="left"/>
                    <w:rPr>
                      <w:color w:val="000000"/>
                    </w:rPr>
                  </w:pPr>
                  <w:r>
                    <w:rPr>
                      <w:color w:val="FFFFFF"/>
                    </w:rPr>
                    <w:t>Homes</w:t>
                  </w:r>
                  <w:r>
                    <w:rPr>
                      <w:color w:val="FFFFFF"/>
                      <w:spacing w:val="-2"/>
                    </w:rPr>
                    <w:t> </w:t>
                  </w:r>
                  <w:r>
                    <w:rPr>
                      <w:color w:val="FFFFFF"/>
                    </w:rPr>
                    <w:t>&amp;</w:t>
                  </w:r>
                  <w:r>
                    <w:rPr>
                      <w:color w:val="FFFFFF"/>
                      <w:spacing w:val="-1"/>
                    </w:rPr>
                    <w:t> </w:t>
                  </w:r>
                  <w:r>
                    <w:rPr>
                      <w:color w:val="FFFFFF"/>
                      <w:spacing w:val="-2"/>
                    </w:rPr>
                    <w:t>Housing;</w:t>
                  </w:r>
                </w:p>
                <w:p>
                  <w:pPr>
                    <w:pStyle w:val="BodyText"/>
                    <w:numPr>
                      <w:ilvl w:val="0"/>
                      <w:numId w:val="5"/>
                    </w:numPr>
                    <w:tabs>
                      <w:tab w:pos="587" w:val="left" w:leader="none"/>
                    </w:tabs>
                    <w:spacing w:line="240" w:lineRule="auto" w:before="37" w:after="0"/>
                    <w:ind w:left="586" w:right="0" w:hanging="361"/>
                    <w:jc w:val="left"/>
                    <w:rPr>
                      <w:color w:val="000000"/>
                    </w:rPr>
                  </w:pPr>
                  <w:r>
                    <w:rPr>
                      <w:color w:val="FFFFFF"/>
                    </w:rPr>
                    <w:t>Economic</w:t>
                  </w:r>
                  <w:r>
                    <w:rPr>
                      <w:color w:val="FFFFFF"/>
                      <w:spacing w:val="-2"/>
                    </w:rPr>
                    <w:t> </w:t>
                  </w:r>
                  <w:r>
                    <w:rPr>
                      <w:color w:val="FFFFFF"/>
                    </w:rPr>
                    <w:t>Growth</w:t>
                  </w:r>
                  <w:r>
                    <w:rPr>
                      <w:color w:val="FFFFFF"/>
                      <w:spacing w:val="-2"/>
                    </w:rPr>
                    <w:t> </w:t>
                  </w:r>
                  <w:r>
                    <w:rPr>
                      <w:color w:val="FFFFFF"/>
                    </w:rPr>
                    <w:t>&amp;</w:t>
                  </w:r>
                  <w:r>
                    <w:rPr>
                      <w:color w:val="FFFFFF"/>
                      <w:spacing w:val="-2"/>
                    </w:rPr>
                    <w:t> Place;</w:t>
                  </w:r>
                </w:p>
                <w:p>
                  <w:pPr>
                    <w:pStyle w:val="BodyText"/>
                    <w:numPr>
                      <w:ilvl w:val="0"/>
                      <w:numId w:val="5"/>
                    </w:numPr>
                    <w:tabs>
                      <w:tab w:pos="587" w:val="left" w:leader="none"/>
                    </w:tabs>
                    <w:spacing w:line="240" w:lineRule="auto" w:before="38" w:after="0"/>
                    <w:ind w:left="586" w:right="0" w:hanging="361"/>
                    <w:jc w:val="left"/>
                    <w:rPr>
                      <w:color w:val="000000"/>
                    </w:rPr>
                  </w:pPr>
                  <w:r>
                    <w:rPr>
                      <w:color w:val="FFFFFF"/>
                    </w:rPr>
                    <w:t>Cleaner</w:t>
                  </w:r>
                  <w:r>
                    <w:rPr>
                      <w:color w:val="FFFFFF"/>
                      <w:spacing w:val="-4"/>
                    </w:rPr>
                    <w:t> </w:t>
                  </w:r>
                  <w:r>
                    <w:rPr>
                      <w:color w:val="FFFFFF"/>
                    </w:rPr>
                    <w:t>&amp;</w:t>
                  </w:r>
                  <w:r>
                    <w:rPr>
                      <w:color w:val="FFFFFF"/>
                      <w:spacing w:val="-4"/>
                    </w:rPr>
                    <w:t> </w:t>
                  </w:r>
                  <w:r>
                    <w:rPr>
                      <w:color w:val="FFFFFF"/>
                      <w:spacing w:val="-2"/>
                    </w:rPr>
                    <w:t>Greener;</w:t>
                  </w:r>
                </w:p>
                <w:p>
                  <w:pPr>
                    <w:pStyle w:val="BodyText"/>
                    <w:numPr>
                      <w:ilvl w:val="0"/>
                      <w:numId w:val="5"/>
                    </w:numPr>
                    <w:tabs>
                      <w:tab w:pos="587" w:val="left" w:leader="none"/>
                    </w:tabs>
                    <w:spacing w:line="240" w:lineRule="auto" w:before="37" w:after="0"/>
                    <w:ind w:left="586" w:right="0" w:hanging="361"/>
                    <w:jc w:val="left"/>
                    <w:rPr>
                      <w:color w:val="000000"/>
                    </w:rPr>
                  </w:pPr>
                  <w:r>
                    <w:rPr>
                      <w:color w:val="FFFFFF"/>
                    </w:rPr>
                    <w:t>Safer</w:t>
                  </w:r>
                  <w:r>
                    <w:rPr>
                      <w:color w:val="FFFFFF"/>
                      <w:spacing w:val="-5"/>
                    </w:rPr>
                    <w:t> </w:t>
                  </w:r>
                  <w:r>
                    <w:rPr>
                      <w:color w:val="FFFFFF"/>
                    </w:rPr>
                    <w:t>&amp;</w:t>
                  </w:r>
                  <w:r>
                    <w:rPr>
                      <w:color w:val="FFFFFF"/>
                      <w:spacing w:val="-5"/>
                    </w:rPr>
                    <w:t> </w:t>
                  </w:r>
                  <w:r>
                    <w:rPr>
                      <w:color w:val="FFFFFF"/>
                    </w:rPr>
                    <w:t>Stronger;</w:t>
                  </w:r>
                  <w:r>
                    <w:rPr>
                      <w:color w:val="FFFFFF"/>
                      <w:spacing w:val="-4"/>
                    </w:rPr>
                    <w:t> </w:t>
                  </w:r>
                  <w:r>
                    <w:rPr>
                      <w:color w:val="FFFFFF"/>
                      <w:spacing w:val="-5"/>
                    </w:rPr>
                    <w:t>and</w:t>
                  </w:r>
                </w:p>
                <w:p>
                  <w:pPr>
                    <w:pStyle w:val="BodyText"/>
                    <w:numPr>
                      <w:ilvl w:val="0"/>
                      <w:numId w:val="5"/>
                    </w:numPr>
                    <w:tabs>
                      <w:tab w:pos="586" w:val="left" w:leader="none"/>
                      <w:tab w:pos="587" w:val="left" w:leader="none"/>
                    </w:tabs>
                    <w:spacing w:line="240" w:lineRule="auto" w:before="38" w:after="0"/>
                    <w:ind w:left="586" w:right="0" w:hanging="361"/>
                    <w:jc w:val="left"/>
                    <w:rPr>
                      <w:color w:val="000000"/>
                    </w:rPr>
                  </w:pPr>
                  <w:r>
                    <w:rPr>
                      <w:color w:val="FFFFFF"/>
                    </w:rPr>
                    <w:t>Innovate</w:t>
                  </w:r>
                  <w:r>
                    <w:rPr>
                      <w:color w:val="FFFFFF"/>
                      <w:spacing w:val="-5"/>
                    </w:rPr>
                    <w:t> </w:t>
                  </w:r>
                  <w:r>
                    <w:rPr>
                      <w:color w:val="FFFFFF"/>
                    </w:rPr>
                    <w:t>&amp;</w:t>
                  </w:r>
                  <w:r>
                    <w:rPr>
                      <w:color w:val="FFFFFF"/>
                      <w:spacing w:val="-4"/>
                    </w:rPr>
                    <w:t> </w:t>
                  </w:r>
                  <w:r>
                    <w:rPr>
                      <w:color w:val="FFFFFF"/>
                      <w:spacing w:val="-2"/>
                    </w:rPr>
                    <w:t>Improve</w:t>
                  </w:r>
                </w:p>
                <w:p>
                  <w:pPr>
                    <w:pStyle w:val="BodyText"/>
                    <w:spacing w:line="225" w:lineRule="auto" w:before="53"/>
                    <w:ind w:left="226" w:right="35"/>
                    <w:rPr>
                      <w:color w:val="000000"/>
                    </w:rPr>
                  </w:pPr>
                  <w:r>
                    <w:rPr>
                      <w:color w:val="FFFFFF"/>
                    </w:rPr>
                    <w:t>Each Directorate has a number of service areas and each has a Service Plan which supports</w:t>
                  </w:r>
                  <w:r>
                    <w:rPr>
                      <w:color w:val="FFFFFF"/>
                      <w:spacing w:val="-9"/>
                    </w:rPr>
                    <w:t> </w:t>
                  </w:r>
                  <w:r>
                    <w:rPr>
                      <w:color w:val="FFFFFF"/>
                    </w:rPr>
                    <w:t>effective</w:t>
                  </w:r>
                  <w:r>
                    <w:rPr>
                      <w:color w:val="FFFFFF"/>
                      <w:spacing w:val="-8"/>
                    </w:rPr>
                    <w:t> </w:t>
                  </w:r>
                  <w:r>
                    <w:rPr>
                      <w:color w:val="FFFFFF"/>
                    </w:rPr>
                    <w:t>delivery</w:t>
                  </w:r>
                  <w:r>
                    <w:rPr>
                      <w:color w:val="FFFFFF"/>
                      <w:spacing w:val="-8"/>
                    </w:rPr>
                    <w:t> </w:t>
                  </w:r>
                  <w:r>
                    <w:rPr>
                      <w:color w:val="FFFFFF"/>
                    </w:rPr>
                    <w:t>of</w:t>
                  </w:r>
                  <w:r>
                    <w:rPr>
                      <w:color w:val="FFFFFF"/>
                      <w:spacing w:val="-8"/>
                    </w:rPr>
                    <w:t> </w:t>
                  </w:r>
                  <w:r>
                    <w:rPr>
                      <w:color w:val="FFFFFF"/>
                    </w:rPr>
                    <w:t>the</w:t>
                  </w:r>
                  <w:r>
                    <w:rPr>
                      <w:color w:val="FFFFFF"/>
                      <w:spacing w:val="-8"/>
                    </w:rPr>
                    <w:t> </w:t>
                  </w:r>
                  <w:r>
                    <w:rPr>
                      <w:color w:val="FFFFFF"/>
                    </w:rPr>
                    <w:t>Corporate Plan priorities.</w:t>
                  </w:r>
                </w:p>
              </w:txbxContent>
            </v:textbox>
            <v:fill type="solid"/>
            <w10:wrap type="topAndBottom"/>
          </v:shape>
        </w:pict>
      </w:r>
    </w:p>
    <w:p>
      <w:pPr>
        <w:pStyle w:val="BodyText"/>
        <w:rPr>
          <w:b/>
          <w:sz w:val="20"/>
        </w:rPr>
      </w:pPr>
    </w:p>
    <w:p>
      <w:pPr>
        <w:pStyle w:val="BodyText"/>
        <w:spacing w:before="8"/>
        <w:rPr>
          <w:b/>
          <w:sz w:val="22"/>
        </w:rPr>
      </w:pPr>
    </w:p>
    <w:p>
      <w:pPr>
        <w:pStyle w:val="Heading3"/>
        <w:ind w:left="5149"/>
      </w:pPr>
      <w:r>
        <w:rPr/>
        <w:drawing>
          <wp:anchor distT="0" distB="0" distL="0" distR="0" allowOverlap="1" layoutInCell="1" locked="0" behindDoc="0" simplePos="0" relativeHeight="15740928">
            <wp:simplePos x="0" y="0"/>
            <wp:positionH relativeFrom="page">
              <wp:posOffset>358203</wp:posOffset>
            </wp:positionH>
            <wp:positionV relativeFrom="paragraph">
              <wp:posOffset>54762</wp:posOffset>
            </wp:positionV>
            <wp:extent cx="2683802" cy="3833239"/>
            <wp:effectExtent l="0" t="0" r="0" b="0"/>
            <wp:wrapNone/>
            <wp:docPr id="17" name="image12.jpeg"/>
            <wp:cNvGraphicFramePr>
              <a:graphicFrameLocks noChangeAspect="1"/>
            </wp:cNvGraphicFramePr>
            <a:graphic>
              <a:graphicData uri="http://schemas.openxmlformats.org/drawingml/2006/picture">
                <pic:pic>
                  <pic:nvPicPr>
                    <pic:cNvPr id="18" name="image12.jpeg"/>
                    <pic:cNvPicPr/>
                  </pic:nvPicPr>
                  <pic:blipFill>
                    <a:blip r:embed="rId28" cstate="print"/>
                    <a:stretch>
                      <a:fillRect/>
                    </a:stretch>
                  </pic:blipFill>
                  <pic:spPr>
                    <a:xfrm>
                      <a:off x="0" y="0"/>
                      <a:ext cx="2683802" cy="3833239"/>
                    </a:xfrm>
                    <a:prstGeom prst="rect">
                      <a:avLst/>
                    </a:prstGeom>
                  </pic:spPr>
                </pic:pic>
              </a:graphicData>
            </a:graphic>
          </wp:anchor>
        </w:drawing>
      </w:r>
      <w:r>
        <w:rPr/>
        <w:pict>
          <v:group style="position:absolute;margin-left:578.504028pt;margin-top:-154.488068pt;width:16.8pt;height:192.8pt;mso-position-horizontal-relative:page;mso-position-vertical-relative:paragraph;z-index:15741440" id="docshapegroup78" coordorigin="11570,-3090" coordsize="336,3856">
            <v:rect style="position:absolute;left:11570;top:-199;width:336;height:964" id="docshape79" filled="true" fillcolor="#f15d6b" stroked="false">
              <v:fill type="solid"/>
            </v:rect>
            <v:rect style="position:absolute;left:11570;top:-1163;width:336;height:964" id="docshape80" filled="true" fillcolor="#fbac42" stroked="false">
              <v:fill type="solid"/>
            </v:rect>
            <v:rect style="position:absolute;left:11570;top:-2126;width:336;height:964" id="docshape81" filled="true" fillcolor="#b78fc1" stroked="false">
              <v:fill type="solid"/>
            </v:rect>
            <v:rect style="position:absolute;left:11570;top:-3090;width:336;height:964" id="docshape82" filled="true" fillcolor="#378372" stroked="false">
              <v:fill type="solid"/>
            </v:rect>
            <w10:wrap type="none"/>
          </v:group>
        </w:pict>
      </w:r>
      <w:r>
        <w:rPr>
          <w:color w:val="3B5673"/>
        </w:rPr>
        <w:t>OVERALL</w:t>
      </w:r>
      <w:r>
        <w:rPr>
          <w:color w:val="3B5673"/>
          <w:spacing w:val="56"/>
        </w:rPr>
        <w:t> </w:t>
      </w:r>
      <w:r>
        <w:rPr>
          <w:color w:val="3B5673"/>
          <w:spacing w:val="-2"/>
        </w:rPr>
        <w:t>PERFORMANCE</w:t>
      </w:r>
    </w:p>
    <w:p>
      <w:pPr>
        <w:pStyle w:val="BodyText"/>
        <w:spacing w:line="225" w:lineRule="auto" w:before="6"/>
        <w:ind w:left="5144"/>
      </w:pPr>
      <w:r>
        <w:rPr>
          <w:color w:val="231F20"/>
        </w:rPr>
        <w:t>Corporate</w:t>
      </w:r>
      <w:r>
        <w:rPr>
          <w:color w:val="231F20"/>
          <w:spacing w:val="-6"/>
        </w:rPr>
        <w:t> </w:t>
      </w:r>
      <w:r>
        <w:rPr>
          <w:color w:val="231F20"/>
        </w:rPr>
        <w:t>Plan</w:t>
      </w:r>
      <w:r>
        <w:rPr>
          <w:color w:val="231F20"/>
          <w:spacing w:val="-6"/>
        </w:rPr>
        <w:t> </w:t>
      </w:r>
      <w:r>
        <w:rPr>
          <w:color w:val="231F20"/>
        </w:rPr>
        <w:t>progress</w:t>
      </w:r>
      <w:r>
        <w:rPr>
          <w:color w:val="231F20"/>
          <w:spacing w:val="-5"/>
        </w:rPr>
        <w:t> </w:t>
      </w:r>
      <w:r>
        <w:rPr>
          <w:color w:val="231F20"/>
        </w:rPr>
        <w:t>is</w:t>
      </w:r>
      <w:r>
        <w:rPr>
          <w:color w:val="231F20"/>
          <w:spacing w:val="-6"/>
        </w:rPr>
        <w:t> </w:t>
      </w:r>
      <w:r>
        <w:rPr>
          <w:color w:val="231F20"/>
        </w:rPr>
        <w:t>monitored</w:t>
      </w:r>
      <w:r>
        <w:rPr>
          <w:color w:val="231F20"/>
          <w:spacing w:val="-6"/>
        </w:rPr>
        <w:t> </w:t>
      </w:r>
      <w:r>
        <w:rPr>
          <w:color w:val="231F20"/>
        </w:rPr>
        <w:t>through</w:t>
      </w:r>
      <w:r>
        <w:rPr>
          <w:color w:val="231F20"/>
          <w:spacing w:val="-5"/>
        </w:rPr>
        <w:t> </w:t>
      </w:r>
      <w:r>
        <w:rPr>
          <w:color w:val="231F20"/>
        </w:rPr>
        <w:t>both</w:t>
      </w:r>
      <w:r>
        <w:rPr>
          <w:color w:val="231F20"/>
          <w:spacing w:val="-5"/>
        </w:rPr>
        <w:t> </w:t>
      </w:r>
      <w:r>
        <w:rPr>
          <w:color w:val="231F20"/>
        </w:rPr>
        <w:t>the successful delivery of key projects and initiatives, and performance achieved against the corporate scorecard.</w:t>
      </w:r>
    </w:p>
    <w:p>
      <w:pPr>
        <w:pStyle w:val="BodyText"/>
        <w:spacing w:line="310" w:lineRule="exact" w:before="284"/>
        <w:ind w:left="5144"/>
      </w:pPr>
      <w:r>
        <w:rPr>
          <w:color w:val="231F20"/>
        </w:rPr>
        <w:t>Overall,</w:t>
      </w:r>
      <w:r>
        <w:rPr>
          <w:color w:val="231F20"/>
          <w:spacing w:val="-2"/>
        </w:rPr>
        <w:t> </w:t>
      </w:r>
      <w:r>
        <w:rPr>
          <w:color w:val="231F20"/>
        </w:rPr>
        <w:t>the</w:t>
      </w:r>
      <w:r>
        <w:rPr>
          <w:color w:val="231F20"/>
          <w:spacing w:val="-1"/>
        </w:rPr>
        <w:t> </w:t>
      </w:r>
      <w:r>
        <w:rPr>
          <w:color w:val="231F20"/>
        </w:rPr>
        <w:t>corporate</w:t>
      </w:r>
      <w:r>
        <w:rPr>
          <w:color w:val="231F20"/>
          <w:spacing w:val="-1"/>
        </w:rPr>
        <w:t> </w:t>
      </w:r>
      <w:r>
        <w:rPr>
          <w:color w:val="231F20"/>
        </w:rPr>
        <w:t>scorecard</w:t>
      </w:r>
      <w:r>
        <w:rPr>
          <w:color w:val="231F20"/>
          <w:spacing w:val="-2"/>
        </w:rPr>
        <w:t> </w:t>
      </w:r>
      <w:r>
        <w:rPr>
          <w:color w:val="231F20"/>
        </w:rPr>
        <w:t>outturn</w:t>
      </w:r>
      <w:r>
        <w:rPr>
          <w:color w:val="231F20"/>
          <w:spacing w:val="-1"/>
        </w:rPr>
        <w:t> </w:t>
      </w:r>
      <w:r>
        <w:rPr>
          <w:color w:val="231F20"/>
        </w:rPr>
        <w:t>for</w:t>
      </w:r>
      <w:r>
        <w:rPr>
          <w:color w:val="231F20"/>
          <w:spacing w:val="-1"/>
        </w:rPr>
        <w:t> </w:t>
      </w:r>
      <w:r>
        <w:rPr>
          <w:color w:val="231F20"/>
        </w:rPr>
        <w:t>April</w:t>
      </w:r>
      <w:r>
        <w:rPr>
          <w:color w:val="231F20"/>
          <w:spacing w:val="-1"/>
        </w:rPr>
        <w:t> </w:t>
      </w:r>
      <w:r>
        <w:rPr>
          <w:color w:val="231F20"/>
          <w:spacing w:val="-4"/>
        </w:rPr>
        <w:t>2022</w:t>
      </w:r>
    </w:p>
    <w:p>
      <w:pPr>
        <w:pStyle w:val="BodyText"/>
        <w:spacing w:line="310" w:lineRule="exact"/>
        <w:ind w:left="5144"/>
      </w:pPr>
      <w:r>
        <w:rPr>
          <w:color w:val="231F20"/>
        </w:rPr>
        <w:t>to</w:t>
      </w:r>
      <w:r>
        <w:rPr>
          <w:color w:val="231F20"/>
          <w:spacing w:val="-3"/>
        </w:rPr>
        <w:t> </w:t>
      </w:r>
      <w:r>
        <w:rPr>
          <w:color w:val="231F20"/>
        </w:rPr>
        <w:t>March</w:t>
      </w:r>
      <w:r>
        <w:rPr>
          <w:color w:val="231F20"/>
          <w:spacing w:val="-2"/>
        </w:rPr>
        <w:t> </w:t>
      </w:r>
      <w:r>
        <w:rPr>
          <w:color w:val="231F20"/>
        </w:rPr>
        <w:t>2023</w:t>
      </w:r>
      <w:r>
        <w:rPr>
          <w:color w:val="231F20"/>
          <w:spacing w:val="-3"/>
        </w:rPr>
        <w:t> </w:t>
      </w:r>
      <w:r>
        <w:rPr>
          <w:color w:val="231F20"/>
        </w:rPr>
        <w:t>indicates</w:t>
      </w:r>
      <w:r>
        <w:rPr>
          <w:color w:val="231F20"/>
          <w:spacing w:val="-3"/>
        </w:rPr>
        <w:t> </w:t>
      </w:r>
      <w:r>
        <w:rPr>
          <w:color w:val="231F20"/>
        </w:rPr>
        <w:t>the</w:t>
      </w:r>
      <w:r>
        <w:rPr>
          <w:color w:val="231F20"/>
          <w:spacing w:val="-2"/>
        </w:rPr>
        <w:t> following:</w:t>
      </w:r>
    </w:p>
    <w:p>
      <w:pPr>
        <w:pStyle w:val="BodyText"/>
        <w:spacing w:before="13"/>
        <w:rPr>
          <w:sz w:val="23"/>
        </w:rPr>
      </w:pPr>
    </w:p>
    <w:p>
      <w:pPr>
        <w:spacing w:after="0"/>
        <w:rPr>
          <w:sz w:val="23"/>
        </w:rPr>
        <w:sectPr>
          <w:pgSz w:w="11910" w:h="16840"/>
          <w:pgMar w:header="377" w:footer="287" w:top="560" w:bottom="480" w:left="0" w:right="0"/>
        </w:sectPr>
      </w:pPr>
    </w:p>
    <w:p>
      <w:pPr>
        <w:spacing w:before="100"/>
        <w:ind w:left="0" w:right="0" w:firstLine="0"/>
        <w:jc w:val="right"/>
        <w:rPr>
          <w:b/>
          <w:sz w:val="70"/>
        </w:rPr>
      </w:pPr>
      <w:r>
        <w:rPr>
          <w:b/>
          <w:color w:val="3B5673"/>
          <w:spacing w:val="-5"/>
          <w:sz w:val="70"/>
        </w:rPr>
        <w:t>79%</w:t>
      </w:r>
    </w:p>
    <w:p>
      <w:pPr>
        <w:spacing w:before="259"/>
        <w:ind w:left="0" w:right="0" w:firstLine="0"/>
        <w:jc w:val="right"/>
        <w:rPr>
          <w:b/>
          <w:sz w:val="70"/>
        </w:rPr>
      </w:pPr>
      <w:r>
        <w:rPr>
          <w:b/>
          <w:color w:val="3B5673"/>
          <w:spacing w:val="-5"/>
          <w:sz w:val="70"/>
        </w:rPr>
        <w:t>63%</w:t>
      </w:r>
    </w:p>
    <w:p>
      <w:pPr>
        <w:pStyle w:val="BodyText"/>
        <w:spacing w:line="310" w:lineRule="exact" w:before="261"/>
        <w:ind w:left="305"/>
      </w:pPr>
      <w:r>
        <w:rPr/>
        <w:br w:type="column"/>
      </w:r>
      <w:r>
        <w:rPr>
          <w:color w:val="231F20"/>
        </w:rPr>
        <w:t>of</w:t>
      </w:r>
      <w:r>
        <w:rPr>
          <w:color w:val="231F20"/>
          <w:spacing w:val="-2"/>
        </w:rPr>
        <w:t> </w:t>
      </w:r>
      <w:r>
        <w:rPr>
          <w:color w:val="231F20"/>
        </w:rPr>
        <w:t>measures</w:t>
      </w:r>
      <w:r>
        <w:rPr>
          <w:color w:val="231F20"/>
          <w:spacing w:val="-2"/>
        </w:rPr>
        <w:t> </w:t>
      </w:r>
      <w:r>
        <w:rPr>
          <w:color w:val="231F20"/>
        </w:rPr>
        <w:t>achieved</w:t>
      </w:r>
      <w:r>
        <w:rPr>
          <w:color w:val="231F20"/>
          <w:spacing w:val="-2"/>
        </w:rPr>
        <w:t> </w:t>
      </w:r>
      <w:r>
        <w:rPr>
          <w:color w:val="231F20"/>
        </w:rPr>
        <w:t>or</w:t>
      </w:r>
      <w:r>
        <w:rPr>
          <w:color w:val="231F20"/>
          <w:spacing w:val="-1"/>
        </w:rPr>
        <w:t> </w:t>
      </w:r>
      <w:r>
        <w:rPr>
          <w:color w:val="231F20"/>
        </w:rPr>
        <w:t>exceeded</w:t>
      </w:r>
      <w:r>
        <w:rPr>
          <w:color w:val="231F20"/>
          <w:spacing w:val="-1"/>
        </w:rPr>
        <w:t> </w:t>
      </w:r>
      <w:r>
        <w:rPr>
          <w:color w:val="231F20"/>
          <w:spacing w:val="-2"/>
        </w:rPr>
        <w:t>target,</w:t>
      </w:r>
    </w:p>
    <w:p>
      <w:pPr>
        <w:pStyle w:val="BodyText"/>
        <w:spacing w:line="310" w:lineRule="exact"/>
        <w:ind w:left="305"/>
      </w:pPr>
      <w:r>
        <w:rPr>
          <w:color w:val="231F20"/>
        </w:rPr>
        <w:t>or</w:t>
      </w:r>
      <w:r>
        <w:rPr>
          <w:color w:val="231F20"/>
          <w:spacing w:val="-1"/>
        </w:rPr>
        <w:t> </w:t>
      </w:r>
      <w:r>
        <w:rPr>
          <w:color w:val="231F20"/>
        </w:rPr>
        <w:t>were within a</w:t>
      </w:r>
      <w:r>
        <w:rPr>
          <w:color w:val="231F20"/>
          <w:spacing w:val="-1"/>
        </w:rPr>
        <w:t> </w:t>
      </w:r>
      <w:r>
        <w:rPr>
          <w:color w:val="231F20"/>
        </w:rPr>
        <w:t>10%</w:t>
      </w:r>
      <w:r>
        <w:rPr>
          <w:color w:val="231F20"/>
          <w:spacing w:val="-1"/>
        </w:rPr>
        <w:t> </w:t>
      </w:r>
      <w:r>
        <w:rPr>
          <w:color w:val="231F20"/>
        </w:rPr>
        <w:t>variance of </w:t>
      </w:r>
      <w:r>
        <w:rPr>
          <w:color w:val="231F20"/>
          <w:spacing w:val="-2"/>
        </w:rPr>
        <w:t>target.</w:t>
      </w:r>
    </w:p>
    <w:p>
      <w:pPr>
        <w:pStyle w:val="BodyText"/>
        <w:spacing w:before="4"/>
        <w:rPr>
          <w:sz w:val="22"/>
        </w:rPr>
      </w:pPr>
    </w:p>
    <w:p>
      <w:pPr>
        <w:pStyle w:val="BodyText"/>
        <w:spacing w:line="225" w:lineRule="auto"/>
        <w:ind w:left="305" w:right="615"/>
      </w:pPr>
      <w:r>
        <w:rPr>
          <w:color w:val="231F20"/>
        </w:rPr>
        <w:t>of measures indicated an improved position</w:t>
      </w:r>
      <w:r>
        <w:rPr>
          <w:color w:val="231F20"/>
          <w:spacing w:val="-7"/>
        </w:rPr>
        <w:t> </w:t>
      </w:r>
      <w:r>
        <w:rPr>
          <w:color w:val="231F20"/>
        </w:rPr>
        <w:t>compared</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previous</w:t>
      </w:r>
      <w:r>
        <w:rPr>
          <w:color w:val="231F20"/>
          <w:spacing w:val="-7"/>
        </w:rPr>
        <w:t> </w:t>
      </w:r>
      <w:r>
        <w:rPr>
          <w:color w:val="231F20"/>
        </w:rPr>
        <w:t>year, or were within 5% of previous year’s performance levels.</w:t>
      </w:r>
    </w:p>
    <w:p>
      <w:pPr>
        <w:spacing w:after="0" w:line="225" w:lineRule="auto"/>
        <w:sectPr>
          <w:type w:val="continuous"/>
          <w:pgSz w:w="11910" w:h="16840"/>
          <w:pgMar w:header="377" w:footer="287" w:top="260" w:bottom="0" w:left="0" w:right="0"/>
          <w:cols w:num="2" w:equalWidth="0">
            <w:col w:w="6557" w:space="40"/>
            <w:col w:w="5313"/>
          </w:cols>
        </w:sectPr>
      </w:pPr>
    </w:p>
    <w:p>
      <w:pPr>
        <w:pStyle w:val="BodyText"/>
        <w:spacing w:before="9"/>
        <w:rPr>
          <w:sz w:val="19"/>
        </w:rPr>
      </w:pPr>
    </w:p>
    <w:p>
      <w:pPr>
        <w:pStyle w:val="Heading2"/>
        <w:numPr>
          <w:ilvl w:val="0"/>
          <w:numId w:val="3"/>
        </w:numPr>
        <w:tabs>
          <w:tab w:pos="1248" w:val="left" w:leader="none"/>
        </w:tabs>
        <w:spacing w:line="240" w:lineRule="auto" w:before="100" w:after="0"/>
        <w:ind w:left="1247" w:right="0" w:hanging="684"/>
        <w:jc w:val="left"/>
      </w:pPr>
      <w:r>
        <w:rPr/>
        <w:pict>
          <v:group style="position:absolute;margin-left:0pt;margin-top:34.999977pt;width:595.3pt;height:62.7pt;mso-position-horizontal-relative:page;mso-position-vertical-relative:paragraph;z-index:-16870912" id="docshapegroup86" coordorigin="0,700" coordsize="11906,1254">
            <v:rect style="position:absolute;left:0;top:819;width:11906;height:1134" id="docshape87" filled="true" fillcolor="#c9cbd4" stroked="false">
              <v:fill type="solid"/>
            </v:rect>
            <v:shape style="position:absolute;left:0;top:700;width:11906;height:1254" type="#_x0000_t202" id="docshape88" filled="false" stroked="false">
              <v:textbox inset="0,0,0,0">
                <w:txbxContent>
                  <w:p>
                    <w:pPr>
                      <w:spacing w:line="704" w:lineRule="exact" w:before="0"/>
                      <w:ind w:left="933" w:right="0" w:firstLine="0"/>
                      <w:jc w:val="left"/>
                      <w:rPr>
                        <w:b/>
                        <w:sz w:val="60"/>
                      </w:rPr>
                    </w:pPr>
                    <w:r>
                      <w:rPr>
                        <w:b/>
                        <w:color w:val="3B5673"/>
                        <w:spacing w:val="18"/>
                        <w:sz w:val="60"/>
                      </w:rPr>
                      <w:t>PERFORMANCE</w:t>
                    </w:r>
                    <w:r>
                      <w:rPr>
                        <w:b/>
                        <w:color w:val="3B5673"/>
                        <w:spacing w:val="9"/>
                        <w:sz w:val="60"/>
                      </w:rPr>
                      <w:t> </w:t>
                    </w:r>
                    <w:r>
                      <w:rPr>
                        <w:b/>
                        <w:color w:val="3B5673"/>
                        <w:sz w:val="60"/>
                      </w:rPr>
                      <w:t>/</w:t>
                    </w:r>
                    <w:r>
                      <w:rPr>
                        <w:b/>
                        <w:color w:val="3B5673"/>
                        <w:spacing w:val="11"/>
                        <w:sz w:val="60"/>
                      </w:rPr>
                      <w:t> </w:t>
                    </w:r>
                    <w:r>
                      <w:rPr>
                        <w:b/>
                        <w:color w:val="3B5673"/>
                        <w:spacing w:val="16"/>
                        <w:sz w:val="60"/>
                      </w:rPr>
                      <w:t>ACHIEVEMENTS</w:t>
                    </w:r>
                  </w:p>
                  <w:p>
                    <w:pPr>
                      <w:spacing w:line="544" w:lineRule="exact" w:before="0"/>
                      <w:ind w:left="0" w:right="962" w:firstLine="0"/>
                      <w:jc w:val="right"/>
                      <w:rPr>
                        <w:b/>
                        <w:sz w:val="48"/>
                      </w:rPr>
                    </w:pPr>
                    <w:r>
                      <w:rPr>
                        <w:b/>
                        <w:color w:val="3B5673"/>
                        <w:spacing w:val="-2"/>
                        <w:sz w:val="48"/>
                      </w:rPr>
                      <w:t>2022/23</w:t>
                    </w:r>
                  </w:p>
                </w:txbxContent>
              </v:textbox>
              <w10:wrap type="none"/>
            </v:shape>
            <w10:wrap type="none"/>
          </v:group>
        </w:pict>
      </w:r>
      <w:r>
        <w:rPr>
          <w:color w:val="3B5673"/>
          <w:spacing w:val="15"/>
        </w:rPr>
        <w:t>OPERATIONAL</w:t>
      </w:r>
    </w:p>
    <w:p>
      <w:pPr>
        <w:pStyle w:val="BodyText"/>
        <w:rPr>
          <w:sz w:val="20"/>
        </w:rPr>
      </w:pPr>
    </w:p>
    <w:p>
      <w:pPr>
        <w:pStyle w:val="BodyText"/>
        <w:rPr>
          <w:sz w:val="20"/>
        </w:rPr>
      </w:pPr>
    </w:p>
    <w:p>
      <w:pPr>
        <w:pStyle w:val="BodyText"/>
        <w:rPr>
          <w:sz w:val="20"/>
        </w:rPr>
      </w:pPr>
    </w:p>
    <w:p>
      <w:pPr>
        <w:pStyle w:val="BodyText"/>
        <w:spacing w:before="11"/>
        <w:rPr>
          <w:sz w:val="27"/>
        </w:rPr>
      </w:pPr>
    </w:p>
    <w:p>
      <w:pPr>
        <w:spacing w:line="225" w:lineRule="auto" w:before="116"/>
        <w:ind w:left="566" w:right="576" w:firstLine="0"/>
        <w:jc w:val="left"/>
        <w:rPr>
          <w:b/>
          <w:sz w:val="24"/>
        </w:rPr>
      </w:pPr>
      <w:r>
        <w:rPr>
          <w:b/>
          <w:color w:val="3B5673"/>
          <w:sz w:val="24"/>
        </w:rPr>
        <w:t>The</w:t>
      </w:r>
      <w:r>
        <w:rPr>
          <w:b/>
          <w:color w:val="3B5673"/>
          <w:spacing w:val="-4"/>
          <w:sz w:val="24"/>
        </w:rPr>
        <w:t> </w:t>
      </w:r>
      <w:r>
        <w:rPr>
          <w:b/>
          <w:color w:val="3B5673"/>
          <w:sz w:val="24"/>
        </w:rPr>
        <w:t>Council</w:t>
      </w:r>
      <w:r>
        <w:rPr>
          <w:b/>
          <w:color w:val="3B5673"/>
          <w:spacing w:val="-4"/>
          <w:sz w:val="24"/>
        </w:rPr>
        <w:t> </w:t>
      </w:r>
      <w:r>
        <w:rPr>
          <w:b/>
          <w:color w:val="3B5673"/>
          <w:sz w:val="24"/>
        </w:rPr>
        <w:t>has</w:t>
      </w:r>
      <w:r>
        <w:rPr>
          <w:b/>
          <w:color w:val="3B5673"/>
          <w:spacing w:val="-4"/>
          <w:sz w:val="24"/>
        </w:rPr>
        <w:t> </w:t>
      </w:r>
      <w:r>
        <w:rPr>
          <w:b/>
          <w:color w:val="3B5673"/>
          <w:sz w:val="24"/>
        </w:rPr>
        <w:t>delivered</w:t>
      </w:r>
      <w:r>
        <w:rPr>
          <w:b/>
          <w:color w:val="3B5673"/>
          <w:spacing w:val="-4"/>
          <w:sz w:val="24"/>
        </w:rPr>
        <w:t> </w:t>
      </w:r>
      <w:r>
        <w:rPr>
          <w:b/>
          <w:color w:val="3B5673"/>
          <w:sz w:val="24"/>
        </w:rPr>
        <w:t>many</w:t>
      </w:r>
      <w:r>
        <w:rPr>
          <w:b/>
          <w:color w:val="3B5673"/>
          <w:spacing w:val="-4"/>
          <w:sz w:val="24"/>
        </w:rPr>
        <w:t> </w:t>
      </w:r>
      <w:r>
        <w:rPr>
          <w:b/>
          <w:color w:val="3B5673"/>
          <w:sz w:val="24"/>
        </w:rPr>
        <w:t>significant</w:t>
      </w:r>
      <w:r>
        <w:rPr>
          <w:b/>
          <w:color w:val="3B5673"/>
          <w:spacing w:val="-4"/>
          <w:sz w:val="24"/>
        </w:rPr>
        <w:t> </w:t>
      </w:r>
      <w:r>
        <w:rPr>
          <w:b/>
          <w:color w:val="3B5673"/>
          <w:sz w:val="24"/>
        </w:rPr>
        <w:t>achievements</w:t>
      </w:r>
      <w:r>
        <w:rPr>
          <w:b/>
          <w:color w:val="3B5673"/>
          <w:spacing w:val="-4"/>
          <w:sz w:val="24"/>
        </w:rPr>
        <w:t> </w:t>
      </w:r>
      <w:r>
        <w:rPr>
          <w:b/>
          <w:color w:val="3B5673"/>
          <w:sz w:val="24"/>
        </w:rPr>
        <w:t>in</w:t>
      </w:r>
      <w:r>
        <w:rPr>
          <w:b/>
          <w:color w:val="3B5673"/>
          <w:spacing w:val="-5"/>
          <w:sz w:val="24"/>
        </w:rPr>
        <w:t> </w:t>
      </w:r>
      <w:r>
        <w:rPr>
          <w:b/>
          <w:color w:val="3B5673"/>
          <w:sz w:val="24"/>
        </w:rPr>
        <w:t>2022/23.</w:t>
      </w:r>
      <w:r>
        <w:rPr>
          <w:b/>
          <w:color w:val="3B5673"/>
          <w:spacing w:val="-5"/>
          <w:sz w:val="24"/>
        </w:rPr>
        <w:t> </w:t>
      </w:r>
      <w:r>
        <w:rPr>
          <w:b/>
          <w:color w:val="3B5673"/>
          <w:sz w:val="24"/>
        </w:rPr>
        <w:t>Some</w:t>
      </w:r>
      <w:r>
        <w:rPr>
          <w:b/>
          <w:color w:val="3B5673"/>
          <w:spacing w:val="-4"/>
          <w:sz w:val="24"/>
        </w:rPr>
        <w:t> </w:t>
      </w:r>
      <w:r>
        <w:rPr>
          <w:b/>
          <w:color w:val="3B5673"/>
          <w:sz w:val="24"/>
        </w:rPr>
        <w:t>of</w:t>
      </w:r>
      <w:r>
        <w:rPr>
          <w:b/>
          <w:color w:val="3B5673"/>
          <w:spacing w:val="-5"/>
          <w:sz w:val="24"/>
        </w:rPr>
        <w:t> </w:t>
      </w:r>
      <w:r>
        <w:rPr>
          <w:b/>
          <w:color w:val="3B5673"/>
          <w:sz w:val="24"/>
        </w:rPr>
        <w:t>the</w:t>
      </w:r>
      <w:r>
        <w:rPr>
          <w:b/>
          <w:color w:val="3B5673"/>
          <w:spacing w:val="-5"/>
          <w:sz w:val="24"/>
        </w:rPr>
        <w:t> </w:t>
      </w:r>
      <w:r>
        <w:rPr>
          <w:b/>
          <w:color w:val="3B5673"/>
          <w:sz w:val="24"/>
        </w:rPr>
        <w:t>key achievements set out by Corporate Plan Priority are:</w:t>
      </w:r>
    </w:p>
    <w:p>
      <w:pPr>
        <w:spacing w:after="0" w:line="225" w:lineRule="auto"/>
        <w:jc w:val="left"/>
        <w:rPr>
          <w:sz w:val="24"/>
        </w:rPr>
        <w:sectPr>
          <w:headerReference w:type="default" r:id="rId29"/>
          <w:footerReference w:type="default" r:id="rId30"/>
          <w:pgSz w:w="11910" w:h="16840"/>
          <w:pgMar w:header="377" w:footer="367" w:top="560" w:bottom="560" w:left="0" w:right="0"/>
        </w:sectPr>
      </w:pPr>
    </w:p>
    <w:p>
      <w:pPr>
        <w:pStyle w:val="Heading3"/>
        <w:spacing w:before="150"/>
      </w:pPr>
      <w:r>
        <w:rPr>
          <w:color w:val="3B5673"/>
        </w:rPr>
        <w:t>HEALTH</w:t>
      </w:r>
      <w:r>
        <w:rPr>
          <w:color w:val="3B5673"/>
          <w:spacing w:val="29"/>
        </w:rPr>
        <w:t> </w:t>
      </w:r>
      <w:r>
        <w:rPr>
          <w:color w:val="3B5673"/>
        </w:rPr>
        <w:t>AND</w:t>
      </w:r>
      <w:r>
        <w:rPr>
          <w:color w:val="3B5673"/>
          <w:spacing w:val="30"/>
        </w:rPr>
        <w:t> </w:t>
      </w:r>
      <w:r>
        <w:rPr>
          <w:color w:val="3B5673"/>
          <w:spacing w:val="-2"/>
        </w:rPr>
        <w:t>HAPPINESS</w:t>
      </w:r>
    </w:p>
    <w:p>
      <w:pPr>
        <w:pStyle w:val="ListParagraph"/>
        <w:numPr>
          <w:ilvl w:val="1"/>
          <w:numId w:val="3"/>
        </w:numPr>
        <w:tabs>
          <w:tab w:pos="737" w:val="left" w:leader="none"/>
        </w:tabs>
        <w:spacing w:line="225" w:lineRule="auto" w:before="5" w:after="0"/>
        <w:ind w:left="737" w:right="255" w:hanging="171"/>
        <w:jc w:val="left"/>
        <w:rPr>
          <w:sz w:val="24"/>
        </w:rPr>
      </w:pPr>
      <w:r>
        <w:rPr>
          <w:b/>
          <w:color w:val="3B5673"/>
          <w:sz w:val="24"/>
        </w:rPr>
        <w:t>Events - </w:t>
      </w:r>
      <w:r>
        <w:rPr>
          <w:color w:val="231F20"/>
          <w:sz w:val="24"/>
        </w:rPr>
        <w:t>Ashfield Day was a huge success with around 12,000 people attending across the day. The Food and Drink festival in Hucknall in August was also a great success with approximately 4,000 attendances. There were</w:t>
      </w:r>
      <w:r>
        <w:rPr>
          <w:color w:val="231F20"/>
          <w:spacing w:val="-7"/>
          <w:sz w:val="24"/>
        </w:rPr>
        <w:t> </w:t>
      </w:r>
      <w:r>
        <w:rPr>
          <w:color w:val="231F20"/>
          <w:sz w:val="24"/>
        </w:rPr>
        <w:t>1,405</w:t>
      </w:r>
      <w:r>
        <w:rPr>
          <w:color w:val="231F20"/>
          <w:spacing w:val="-8"/>
          <w:sz w:val="24"/>
        </w:rPr>
        <w:t> </w:t>
      </w:r>
      <w:r>
        <w:rPr>
          <w:color w:val="231F20"/>
          <w:sz w:val="24"/>
        </w:rPr>
        <w:t>attendances</w:t>
      </w:r>
      <w:r>
        <w:rPr>
          <w:color w:val="231F20"/>
          <w:spacing w:val="-7"/>
          <w:sz w:val="24"/>
        </w:rPr>
        <w:t> </w:t>
      </w:r>
      <w:r>
        <w:rPr>
          <w:color w:val="231F20"/>
          <w:sz w:val="24"/>
        </w:rPr>
        <w:t>through</w:t>
      </w:r>
      <w:r>
        <w:rPr>
          <w:color w:val="231F20"/>
          <w:spacing w:val="-7"/>
          <w:sz w:val="24"/>
        </w:rPr>
        <w:t> </w:t>
      </w:r>
      <w:r>
        <w:rPr>
          <w:color w:val="231F20"/>
          <w:sz w:val="24"/>
        </w:rPr>
        <w:t>the</w:t>
      </w:r>
      <w:r>
        <w:rPr>
          <w:color w:val="231F20"/>
          <w:spacing w:val="-7"/>
          <w:sz w:val="24"/>
        </w:rPr>
        <w:t> </w:t>
      </w:r>
      <w:r>
        <w:rPr>
          <w:color w:val="231F20"/>
          <w:sz w:val="24"/>
        </w:rPr>
        <w:t>Holidays Activities and Food (HAF) during Easter, summer and October school holidays.</w:t>
      </w:r>
    </w:p>
    <w:p>
      <w:pPr>
        <w:pStyle w:val="ListParagraph"/>
        <w:numPr>
          <w:ilvl w:val="1"/>
          <w:numId w:val="3"/>
        </w:numPr>
        <w:tabs>
          <w:tab w:pos="737" w:val="left" w:leader="none"/>
        </w:tabs>
        <w:spacing w:line="225" w:lineRule="auto" w:before="57" w:after="0"/>
        <w:ind w:left="737" w:right="0" w:hanging="171"/>
        <w:jc w:val="left"/>
        <w:rPr>
          <w:sz w:val="24"/>
        </w:rPr>
      </w:pPr>
      <w:r>
        <w:rPr>
          <w:b/>
          <w:color w:val="3B5673"/>
          <w:sz w:val="24"/>
        </w:rPr>
        <w:t>Health &amp; Wellbeing - </w:t>
      </w:r>
      <w:r>
        <w:rPr>
          <w:color w:val="231F20"/>
          <w:sz w:val="24"/>
        </w:rPr>
        <w:t>Better Care Fund (BCF) expenditure</w:t>
      </w:r>
      <w:r>
        <w:rPr>
          <w:color w:val="231F20"/>
          <w:spacing w:val="-10"/>
          <w:sz w:val="24"/>
        </w:rPr>
        <w:t> </w:t>
      </w:r>
      <w:r>
        <w:rPr>
          <w:color w:val="231F20"/>
          <w:sz w:val="24"/>
        </w:rPr>
        <w:t>on</w:t>
      </w:r>
      <w:r>
        <w:rPr>
          <w:color w:val="231F20"/>
          <w:spacing w:val="-10"/>
          <w:sz w:val="24"/>
        </w:rPr>
        <w:t> </w:t>
      </w:r>
      <w:r>
        <w:rPr>
          <w:color w:val="231F20"/>
          <w:sz w:val="24"/>
        </w:rPr>
        <w:t>Disabled</w:t>
      </w:r>
      <w:r>
        <w:rPr>
          <w:color w:val="231F20"/>
          <w:spacing w:val="-11"/>
          <w:sz w:val="24"/>
        </w:rPr>
        <w:t> </w:t>
      </w:r>
      <w:r>
        <w:rPr>
          <w:color w:val="231F20"/>
          <w:sz w:val="24"/>
        </w:rPr>
        <w:t>Facilities</w:t>
      </w:r>
      <w:r>
        <w:rPr>
          <w:color w:val="231F20"/>
          <w:spacing w:val="-10"/>
          <w:sz w:val="24"/>
        </w:rPr>
        <w:t> </w:t>
      </w:r>
      <w:r>
        <w:rPr>
          <w:color w:val="231F20"/>
          <w:sz w:val="24"/>
        </w:rPr>
        <w:t>Grants</w:t>
      </w:r>
      <w:r>
        <w:rPr>
          <w:color w:val="231F20"/>
          <w:spacing w:val="-10"/>
          <w:sz w:val="24"/>
        </w:rPr>
        <w:t> </w:t>
      </w:r>
      <w:r>
        <w:rPr>
          <w:color w:val="231F20"/>
          <w:sz w:val="24"/>
        </w:rPr>
        <w:t>(DFGs) has remained on track throughout the year.</w:t>
      </w:r>
    </w:p>
    <w:p>
      <w:pPr>
        <w:pStyle w:val="ListParagraph"/>
        <w:numPr>
          <w:ilvl w:val="1"/>
          <w:numId w:val="3"/>
        </w:numPr>
        <w:tabs>
          <w:tab w:pos="737" w:val="left" w:leader="none"/>
        </w:tabs>
        <w:spacing w:line="225" w:lineRule="auto" w:before="56" w:after="0"/>
        <w:ind w:left="737" w:right="427" w:hanging="171"/>
        <w:jc w:val="left"/>
        <w:rPr>
          <w:sz w:val="24"/>
        </w:rPr>
      </w:pPr>
      <w:r>
        <w:rPr>
          <w:b/>
          <w:color w:val="3B5673"/>
          <w:sz w:val="24"/>
        </w:rPr>
        <w:t>The Leisure Transformation Programme </w:t>
      </w:r>
      <w:r>
        <w:rPr>
          <w:color w:val="231F20"/>
          <w:sz w:val="24"/>
        </w:rPr>
        <w:t>2022/23 saw the completion and formal opening of the new state-of-the-art Kirkby Leisure Centre and further significant investment</w:t>
      </w:r>
      <w:r>
        <w:rPr>
          <w:color w:val="231F20"/>
          <w:spacing w:val="-8"/>
          <w:sz w:val="24"/>
        </w:rPr>
        <w:t> </w:t>
      </w:r>
      <w:r>
        <w:rPr>
          <w:color w:val="231F20"/>
          <w:sz w:val="24"/>
        </w:rPr>
        <w:t>at</w:t>
      </w:r>
      <w:r>
        <w:rPr>
          <w:color w:val="231F20"/>
          <w:spacing w:val="-7"/>
          <w:sz w:val="24"/>
        </w:rPr>
        <w:t> </w:t>
      </w:r>
      <w:r>
        <w:rPr>
          <w:color w:val="231F20"/>
          <w:sz w:val="24"/>
        </w:rPr>
        <w:t>Hucknall</w:t>
      </w:r>
      <w:r>
        <w:rPr>
          <w:color w:val="231F20"/>
          <w:spacing w:val="-7"/>
          <w:sz w:val="24"/>
        </w:rPr>
        <w:t> </w:t>
      </w:r>
      <w:r>
        <w:rPr>
          <w:color w:val="231F20"/>
          <w:sz w:val="24"/>
        </w:rPr>
        <w:t>and</w:t>
      </w:r>
      <w:r>
        <w:rPr>
          <w:color w:val="231F20"/>
          <w:spacing w:val="-7"/>
          <w:sz w:val="24"/>
        </w:rPr>
        <w:t> </w:t>
      </w:r>
      <w:r>
        <w:rPr>
          <w:color w:val="231F20"/>
          <w:sz w:val="24"/>
        </w:rPr>
        <w:t>Lammas</w:t>
      </w:r>
      <w:r>
        <w:rPr>
          <w:color w:val="231F20"/>
          <w:spacing w:val="-7"/>
          <w:sz w:val="24"/>
        </w:rPr>
        <w:t> </w:t>
      </w:r>
      <w:r>
        <w:rPr>
          <w:color w:val="231F20"/>
          <w:sz w:val="24"/>
        </w:rPr>
        <w:t>Leisure Centres. The new learner pool being added to Hucknall Leisure Centre will be open, as planned, this summer.</w:t>
      </w:r>
    </w:p>
    <w:p>
      <w:pPr>
        <w:pStyle w:val="ListParagraph"/>
        <w:numPr>
          <w:ilvl w:val="1"/>
          <w:numId w:val="3"/>
        </w:numPr>
        <w:tabs>
          <w:tab w:pos="737" w:val="left" w:leader="none"/>
        </w:tabs>
        <w:spacing w:line="225" w:lineRule="auto" w:before="56" w:after="0"/>
        <w:ind w:left="737" w:right="238" w:hanging="171"/>
        <w:jc w:val="left"/>
        <w:rPr>
          <w:sz w:val="24"/>
        </w:rPr>
      </w:pPr>
      <w:r>
        <w:rPr>
          <w:b/>
          <w:color w:val="3B5673"/>
          <w:sz w:val="24"/>
        </w:rPr>
        <w:t>Leisure Attendance - </w:t>
      </w:r>
      <w:r>
        <w:rPr>
          <w:color w:val="231F20"/>
          <w:sz w:val="24"/>
        </w:rPr>
        <w:t>From April 2022 to March 2023 there were over 1.3 million attendances at our Leisure Centres (a 25% increase compared with 2021/22) and the highest level of attendances in the last 9 years. We are now able to assess the value of the leisure facilities in meeting social value objectives such as reduced GP visits, hospital admissions, cancer, diabetes, education attainment and crime prevention. Social Value</w:t>
      </w:r>
      <w:r>
        <w:rPr>
          <w:color w:val="231F20"/>
          <w:spacing w:val="-9"/>
          <w:sz w:val="24"/>
        </w:rPr>
        <w:t> </w:t>
      </w:r>
      <w:r>
        <w:rPr>
          <w:color w:val="231F20"/>
          <w:sz w:val="24"/>
        </w:rPr>
        <w:t>across</w:t>
      </w:r>
      <w:r>
        <w:rPr>
          <w:color w:val="231F20"/>
          <w:spacing w:val="-9"/>
          <w:sz w:val="24"/>
        </w:rPr>
        <w:t> </w:t>
      </w:r>
      <w:r>
        <w:rPr>
          <w:color w:val="231F20"/>
          <w:sz w:val="24"/>
        </w:rPr>
        <w:t>the</w:t>
      </w:r>
      <w:r>
        <w:rPr>
          <w:color w:val="231F20"/>
          <w:spacing w:val="-9"/>
          <w:sz w:val="24"/>
        </w:rPr>
        <w:t> </w:t>
      </w:r>
      <w:r>
        <w:rPr>
          <w:color w:val="231F20"/>
          <w:sz w:val="24"/>
        </w:rPr>
        <w:t>sites</w:t>
      </w:r>
      <w:r>
        <w:rPr>
          <w:color w:val="231F20"/>
          <w:spacing w:val="-10"/>
          <w:sz w:val="24"/>
        </w:rPr>
        <w:t> </w:t>
      </w:r>
      <w:r>
        <w:rPr>
          <w:color w:val="231F20"/>
          <w:sz w:val="24"/>
        </w:rPr>
        <w:t>and</w:t>
      </w:r>
      <w:r>
        <w:rPr>
          <w:color w:val="231F20"/>
          <w:spacing w:val="-9"/>
          <w:sz w:val="24"/>
        </w:rPr>
        <w:t> </w:t>
      </w:r>
      <w:r>
        <w:rPr>
          <w:color w:val="231F20"/>
          <w:sz w:val="24"/>
        </w:rPr>
        <w:t>active</w:t>
      </w:r>
      <w:r>
        <w:rPr>
          <w:color w:val="231F20"/>
          <w:spacing w:val="-9"/>
          <w:sz w:val="24"/>
        </w:rPr>
        <w:t> </w:t>
      </w:r>
      <w:r>
        <w:rPr>
          <w:color w:val="231F20"/>
          <w:sz w:val="24"/>
        </w:rPr>
        <w:t>communities programme totalled £4.859m, an increase of</w:t>
      </w:r>
    </w:p>
    <w:p>
      <w:pPr>
        <w:pStyle w:val="BodyText"/>
        <w:spacing w:line="303" w:lineRule="exact"/>
        <w:ind w:left="737"/>
      </w:pPr>
      <w:r>
        <w:rPr>
          <w:color w:val="231F20"/>
        </w:rPr>
        <w:t>£1.197m</w:t>
      </w:r>
      <w:r>
        <w:rPr>
          <w:color w:val="231F20"/>
          <w:spacing w:val="-6"/>
        </w:rPr>
        <w:t> </w:t>
      </w:r>
      <w:r>
        <w:rPr>
          <w:color w:val="231F20"/>
        </w:rPr>
        <w:t>since</w:t>
      </w:r>
      <w:r>
        <w:rPr>
          <w:color w:val="231F20"/>
          <w:spacing w:val="-6"/>
        </w:rPr>
        <w:t> </w:t>
      </w:r>
      <w:r>
        <w:rPr>
          <w:color w:val="231F20"/>
          <w:spacing w:val="-2"/>
        </w:rPr>
        <w:t>2021/22.</w:t>
      </w:r>
    </w:p>
    <w:p>
      <w:pPr>
        <w:pStyle w:val="ListParagraph"/>
        <w:numPr>
          <w:ilvl w:val="0"/>
          <w:numId w:val="6"/>
        </w:numPr>
        <w:tabs>
          <w:tab w:pos="433" w:val="left" w:leader="none"/>
        </w:tabs>
        <w:spacing w:line="225" w:lineRule="auto" w:before="165" w:after="0"/>
        <w:ind w:left="432" w:right="563" w:hanging="171"/>
        <w:jc w:val="left"/>
        <w:rPr>
          <w:sz w:val="24"/>
        </w:rPr>
      </w:pPr>
      <w:r>
        <w:rPr/>
        <w:br w:type="column"/>
      </w:r>
      <w:r>
        <w:rPr>
          <w:b/>
          <w:color w:val="3B5673"/>
          <w:sz w:val="24"/>
        </w:rPr>
        <w:t>Support for Families - </w:t>
      </w:r>
      <w:r>
        <w:rPr>
          <w:color w:val="231F20"/>
          <w:sz w:val="24"/>
        </w:rPr>
        <w:t>The Council continues to</w:t>
      </w:r>
      <w:r>
        <w:rPr>
          <w:color w:val="231F20"/>
          <w:spacing w:val="-1"/>
          <w:sz w:val="24"/>
        </w:rPr>
        <w:t> </w:t>
      </w:r>
      <w:r>
        <w:rPr>
          <w:color w:val="231F20"/>
          <w:sz w:val="24"/>
        </w:rPr>
        <w:t>facilitate</w:t>
      </w:r>
      <w:r>
        <w:rPr>
          <w:color w:val="231F20"/>
          <w:spacing w:val="-1"/>
          <w:sz w:val="24"/>
        </w:rPr>
        <w:t> </w:t>
      </w:r>
      <w:r>
        <w:rPr>
          <w:color w:val="231F20"/>
          <w:sz w:val="24"/>
        </w:rPr>
        <w:t>the</w:t>
      </w:r>
      <w:r>
        <w:rPr>
          <w:color w:val="231F20"/>
          <w:spacing w:val="-1"/>
          <w:sz w:val="24"/>
        </w:rPr>
        <w:t> </w:t>
      </w:r>
      <w:r>
        <w:rPr>
          <w:color w:val="231F20"/>
          <w:sz w:val="24"/>
        </w:rPr>
        <w:t>Coxmoor</w:t>
      </w:r>
      <w:r>
        <w:rPr>
          <w:color w:val="231F20"/>
          <w:spacing w:val="-2"/>
          <w:sz w:val="24"/>
        </w:rPr>
        <w:t> </w:t>
      </w:r>
      <w:r>
        <w:rPr>
          <w:color w:val="231F20"/>
          <w:sz w:val="24"/>
        </w:rPr>
        <w:t>and</w:t>
      </w:r>
      <w:r>
        <w:rPr>
          <w:color w:val="231F20"/>
          <w:spacing w:val="-1"/>
          <w:sz w:val="24"/>
        </w:rPr>
        <w:t> </w:t>
      </w:r>
      <w:r>
        <w:rPr>
          <w:color w:val="231F20"/>
          <w:sz w:val="24"/>
        </w:rPr>
        <w:t>Broomhill/Butler’s Hill</w:t>
      </w:r>
      <w:r>
        <w:rPr>
          <w:color w:val="231F20"/>
          <w:spacing w:val="-6"/>
          <w:sz w:val="24"/>
        </w:rPr>
        <w:t> </w:t>
      </w:r>
      <w:r>
        <w:rPr>
          <w:color w:val="231F20"/>
          <w:sz w:val="24"/>
        </w:rPr>
        <w:t>priority</w:t>
      </w:r>
      <w:r>
        <w:rPr>
          <w:color w:val="231F20"/>
          <w:spacing w:val="-6"/>
          <w:sz w:val="24"/>
        </w:rPr>
        <w:t> </w:t>
      </w:r>
      <w:r>
        <w:rPr>
          <w:color w:val="231F20"/>
          <w:sz w:val="24"/>
        </w:rPr>
        <w:t>places</w:t>
      </w:r>
      <w:r>
        <w:rPr>
          <w:color w:val="231F20"/>
          <w:spacing w:val="-6"/>
          <w:sz w:val="24"/>
        </w:rPr>
        <w:t> </w:t>
      </w:r>
      <w:r>
        <w:rPr>
          <w:color w:val="231F20"/>
          <w:sz w:val="24"/>
        </w:rPr>
        <w:t>partnership</w:t>
      </w:r>
      <w:r>
        <w:rPr>
          <w:color w:val="231F20"/>
          <w:spacing w:val="-6"/>
          <w:sz w:val="24"/>
        </w:rPr>
        <w:t> </w:t>
      </w:r>
      <w:r>
        <w:rPr>
          <w:color w:val="231F20"/>
          <w:sz w:val="24"/>
        </w:rPr>
        <w:t>which</w:t>
      </w:r>
      <w:r>
        <w:rPr>
          <w:color w:val="231F20"/>
          <w:spacing w:val="-6"/>
          <w:sz w:val="24"/>
        </w:rPr>
        <w:t> </w:t>
      </w:r>
      <w:r>
        <w:rPr>
          <w:color w:val="231F20"/>
          <w:sz w:val="24"/>
        </w:rPr>
        <w:t>now</w:t>
      </w:r>
      <w:r>
        <w:rPr>
          <w:color w:val="231F20"/>
          <w:spacing w:val="-6"/>
          <w:sz w:val="24"/>
        </w:rPr>
        <w:t> </w:t>
      </w:r>
      <w:r>
        <w:rPr>
          <w:color w:val="231F20"/>
          <w:sz w:val="24"/>
        </w:rPr>
        <w:t>meets every six weeks.</w:t>
      </w:r>
    </w:p>
    <w:p>
      <w:pPr>
        <w:pStyle w:val="ListParagraph"/>
        <w:numPr>
          <w:ilvl w:val="0"/>
          <w:numId w:val="6"/>
        </w:numPr>
        <w:tabs>
          <w:tab w:pos="433" w:val="left" w:leader="none"/>
        </w:tabs>
        <w:spacing w:line="225" w:lineRule="auto" w:before="57" w:after="0"/>
        <w:ind w:left="432" w:right="574" w:hanging="171"/>
        <w:jc w:val="left"/>
        <w:rPr>
          <w:sz w:val="24"/>
        </w:rPr>
      </w:pPr>
      <w:r>
        <w:rPr/>
        <w:pict>
          <v:group style="position:absolute;margin-left:304.725006pt;margin-top:75.262192pt;width:290.6pt;height:460.65pt;mso-position-horizontal-relative:page;mso-position-vertical-relative:paragraph;z-index:-16870400" id="docshapegroup89" coordorigin="6095,1505" coordsize="5812,9213">
            <v:shape style="position:absolute;left:6094;top:4906;width:5812;height:5812" type="#_x0000_t75" id="docshape90" stroked="false">
              <v:imagedata r:id="rId31" o:title=""/>
            </v:shape>
            <v:rect style="position:absolute;left:11570;top:4396;width:336;height:964" id="docshape91" filled="true" fillcolor="#f15d6b" stroked="false">
              <v:fill type="solid"/>
            </v:rect>
            <v:rect style="position:absolute;left:11570;top:3432;width:336;height:964" id="docshape92" filled="true" fillcolor="#fbac42" stroked="false">
              <v:fill type="solid"/>
            </v:rect>
            <v:rect style="position:absolute;left:11570;top:2469;width:336;height:964" id="docshape93" filled="true" fillcolor="#b78fc1" stroked="false">
              <v:fill type="solid"/>
            </v:rect>
            <v:rect style="position:absolute;left:11570;top:1505;width:336;height:964" id="docshape94" filled="true" fillcolor="#378372" stroked="false">
              <v:fill type="solid"/>
            </v:rect>
            <v:shape style="position:absolute;left:6094;top:1505;width:5812;height:9213" type="#_x0000_t202" id="docshape95" filled="false" stroked="false">
              <v:textbox inset="0,0,0,0">
                <w:txbxContent>
                  <w:p>
                    <w:pPr>
                      <w:spacing w:line="225" w:lineRule="auto" w:before="51"/>
                      <w:ind w:left="170" w:right="747" w:firstLine="0"/>
                      <w:jc w:val="left"/>
                      <w:rPr>
                        <w:sz w:val="24"/>
                      </w:rPr>
                    </w:pPr>
                    <w:r>
                      <w:rPr>
                        <w:color w:val="231F20"/>
                        <w:sz w:val="24"/>
                      </w:rPr>
                      <w:t>Escape Pain and Domestic Abuse support have</w:t>
                    </w:r>
                    <w:r>
                      <w:rPr>
                        <w:color w:val="231F20"/>
                        <w:spacing w:val="-5"/>
                        <w:sz w:val="24"/>
                      </w:rPr>
                      <w:t> </w:t>
                    </w:r>
                    <w:r>
                      <w:rPr>
                        <w:color w:val="231F20"/>
                        <w:sz w:val="24"/>
                      </w:rPr>
                      <w:t>been</w:t>
                    </w:r>
                    <w:r>
                      <w:rPr>
                        <w:color w:val="231F20"/>
                        <w:spacing w:val="-5"/>
                        <w:sz w:val="24"/>
                      </w:rPr>
                      <w:t> </w:t>
                    </w:r>
                    <w:r>
                      <w:rPr>
                        <w:color w:val="231F20"/>
                        <w:sz w:val="24"/>
                      </w:rPr>
                      <w:t>set</w:t>
                    </w:r>
                    <w:r>
                      <w:rPr>
                        <w:color w:val="231F20"/>
                        <w:spacing w:val="-6"/>
                        <w:sz w:val="24"/>
                      </w:rPr>
                      <w:t> </w:t>
                    </w:r>
                    <w:r>
                      <w:rPr>
                        <w:color w:val="231F20"/>
                        <w:sz w:val="24"/>
                      </w:rPr>
                      <w:t>up.</w:t>
                    </w:r>
                    <w:r>
                      <w:rPr>
                        <w:color w:val="231F20"/>
                        <w:spacing w:val="-5"/>
                        <w:sz w:val="24"/>
                      </w:rPr>
                      <w:t> </w:t>
                    </w:r>
                    <w:r>
                      <w:rPr>
                        <w:color w:val="231F20"/>
                        <w:sz w:val="24"/>
                      </w:rPr>
                      <w:t>The</w:t>
                    </w:r>
                    <w:r>
                      <w:rPr>
                        <w:color w:val="231F20"/>
                        <w:spacing w:val="-5"/>
                        <w:sz w:val="24"/>
                      </w:rPr>
                      <w:t> </w:t>
                    </w:r>
                    <w:r>
                      <w:rPr>
                        <w:color w:val="231F20"/>
                        <w:sz w:val="24"/>
                      </w:rPr>
                      <w:t>Health</w:t>
                    </w:r>
                    <w:r>
                      <w:rPr>
                        <w:color w:val="231F20"/>
                        <w:spacing w:val="-5"/>
                        <w:sz w:val="24"/>
                      </w:rPr>
                      <w:t> </w:t>
                    </w:r>
                    <w:r>
                      <w:rPr>
                        <w:color w:val="231F20"/>
                        <w:sz w:val="24"/>
                      </w:rPr>
                      <w:t>Hubs</w:t>
                    </w:r>
                    <w:r>
                      <w:rPr>
                        <w:color w:val="231F20"/>
                        <w:spacing w:val="-5"/>
                        <w:sz w:val="24"/>
                      </w:rPr>
                      <w:t> </w:t>
                    </w:r>
                    <w:r>
                      <w:rPr>
                        <w:color w:val="231F20"/>
                        <w:sz w:val="24"/>
                      </w:rPr>
                      <w:t>at</w:t>
                    </w:r>
                    <w:r>
                      <w:rPr>
                        <w:color w:val="231F20"/>
                        <w:spacing w:val="-5"/>
                        <w:sz w:val="24"/>
                      </w:rPr>
                      <w:t> </w:t>
                    </w:r>
                    <w:r>
                      <w:rPr>
                        <w:color w:val="231F20"/>
                        <w:sz w:val="24"/>
                      </w:rPr>
                      <w:t>Lammas and Hucknall provide a variety of sessions for people living with Dementia, Parkinson’s and </w:t>
                    </w:r>
                    <w:r>
                      <w:rPr>
                        <w:color w:val="231F20"/>
                        <w:spacing w:val="-2"/>
                        <w:sz w:val="24"/>
                      </w:rPr>
                      <w:t>Autism.</w:t>
                    </w:r>
                  </w:p>
                  <w:p>
                    <w:pPr>
                      <w:numPr>
                        <w:ilvl w:val="0"/>
                        <w:numId w:val="7"/>
                      </w:numPr>
                      <w:tabs>
                        <w:tab w:pos="171" w:val="left" w:leader="none"/>
                      </w:tabs>
                      <w:spacing w:line="225" w:lineRule="auto" w:before="57"/>
                      <w:ind w:left="170" w:right="706" w:hanging="171"/>
                      <w:jc w:val="left"/>
                      <w:rPr>
                        <w:sz w:val="24"/>
                      </w:rPr>
                    </w:pPr>
                    <w:r>
                      <w:rPr>
                        <w:b/>
                        <w:color w:val="3B5673"/>
                        <w:sz w:val="24"/>
                      </w:rPr>
                      <w:t>Cost of Living - </w:t>
                    </w:r>
                    <w:r>
                      <w:rPr>
                        <w:color w:val="231F20"/>
                        <w:sz w:val="24"/>
                      </w:rPr>
                      <w:t>A 15 point Cost of Living Action Plan was developed with input from Ashfield Voluntary Action and implemented</w:t>
                    </w:r>
                    <w:r>
                      <w:rPr>
                        <w:color w:val="231F20"/>
                        <w:spacing w:val="40"/>
                        <w:sz w:val="24"/>
                      </w:rPr>
                      <w:t> </w:t>
                    </w:r>
                    <w:r>
                      <w:rPr>
                        <w:color w:val="231F20"/>
                        <w:sz w:val="24"/>
                      </w:rPr>
                      <w:t>on</w:t>
                    </w:r>
                    <w:r>
                      <w:rPr>
                        <w:color w:val="231F20"/>
                        <w:spacing w:val="-5"/>
                        <w:sz w:val="24"/>
                      </w:rPr>
                      <w:t> </w:t>
                    </w:r>
                    <w:r>
                      <w:rPr>
                        <w:color w:val="231F20"/>
                        <w:sz w:val="24"/>
                      </w:rPr>
                      <w:t>the</w:t>
                    </w:r>
                    <w:r>
                      <w:rPr>
                        <w:color w:val="231F20"/>
                        <w:spacing w:val="-5"/>
                        <w:sz w:val="24"/>
                      </w:rPr>
                      <w:t> </w:t>
                    </w:r>
                    <w:r>
                      <w:rPr>
                        <w:color w:val="231F20"/>
                        <w:sz w:val="24"/>
                      </w:rPr>
                      <w:t>Council’s</w:t>
                    </w:r>
                    <w:r>
                      <w:rPr>
                        <w:color w:val="231F20"/>
                        <w:spacing w:val="-6"/>
                        <w:sz w:val="24"/>
                      </w:rPr>
                      <w:t> </w:t>
                    </w:r>
                    <w:r>
                      <w:rPr>
                        <w:color w:val="231F20"/>
                        <w:sz w:val="24"/>
                      </w:rPr>
                      <w:t>website.</w:t>
                    </w:r>
                    <w:r>
                      <w:rPr>
                        <w:color w:val="231F20"/>
                        <w:spacing w:val="-5"/>
                        <w:sz w:val="24"/>
                      </w:rPr>
                      <w:t> </w:t>
                    </w:r>
                    <w:r>
                      <w:rPr>
                        <w:color w:val="231F20"/>
                        <w:sz w:val="24"/>
                      </w:rPr>
                      <w:t>Since</w:t>
                    </w:r>
                    <w:r>
                      <w:rPr>
                        <w:color w:val="231F20"/>
                        <w:spacing w:val="-6"/>
                        <w:sz w:val="24"/>
                      </w:rPr>
                      <w:t> </w:t>
                    </w:r>
                    <w:r>
                      <w:rPr>
                        <w:color w:val="231F20"/>
                        <w:sz w:val="24"/>
                      </w:rPr>
                      <w:t>its</w:t>
                    </w:r>
                    <w:r>
                      <w:rPr>
                        <w:color w:val="231F20"/>
                        <w:spacing w:val="-6"/>
                        <w:sz w:val="24"/>
                      </w:rPr>
                      <w:t> </w:t>
                    </w:r>
                    <w:r>
                      <w:rPr>
                        <w:color w:val="231F20"/>
                        <w:sz w:val="24"/>
                      </w:rPr>
                      <w:t>launch</w:t>
                    </w:r>
                    <w:r>
                      <w:rPr>
                        <w:color w:val="231F20"/>
                        <w:spacing w:val="-6"/>
                        <w:sz w:val="24"/>
                      </w:rPr>
                      <w:t> </w:t>
                    </w:r>
                    <w:r>
                      <w:rPr>
                        <w:color w:val="231F20"/>
                        <w:sz w:val="24"/>
                      </w:rPr>
                      <w:t>there have been nearly 13,000 views.</w:t>
                    </w:r>
                  </w:p>
                </w:txbxContent>
              </v:textbox>
              <w10:wrap type="none"/>
            </v:shape>
            <w10:wrap type="none"/>
          </v:group>
        </w:pict>
      </w:r>
      <w:r>
        <w:rPr>
          <w:b/>
          <w:color w:val="3B5673"/>
          <w:sz w:val="24"/>
        </w:rPr>
        <w:t>The</w:t>
      </w:r>
      <w:r>
        <w:rPr>
          <w:b/>
          <w:color w:val="3B5673"/>
          <w:spacing w:val="-5"/>
          <w:sz w:val="24"/>
        </w:rPr>
        <w:t> </w:t>
      </w:r>
      <w:r>
        <w:rPr>
          <w:b/>
          <w:color w:val="3B5673"/>
          <w:sz w:val="24"/>
        </w:rPr>
        <w:t>new</w:t>
      </w:r>
      <w:r>
        <w:rPr>
          <w:b/>
          <w:color w:val="3B5673"/>
          <w:spacing w:val="-5"/>
          <w:sz w:val="24"/>
        </w:rPr>
        <w:t> </w:t>
      </w:r>
      <w:r>
        <w:rPr>
          <w:b/>
          <w:color w:val="3B5673"/>
          <w:sz w:val="24"/>
        </w:rPr>
        <w:t>Health</w:t>
      </w:r>
      <w:r>
        <w:rPr>
          <w:b/>
          <w:color w:val="3B5673"/>
          <w:spacing w:val="-6"/>
          <w:sz w:val="24"/>
        </w:rPr>
        <w:t> </w:t>
      </w:r>
      <w:r>
        <w:rPr>
          <w:b/>
          <w:color w:val="3B5673"/>
          <w:sz w:val="24"/>
        </w:rPr>
        <w:t>Hub</w:t>
      </w:r>
      <w:r>
        <w:rPr>
          <w:b/>
          <w:color w:val="3B5673"/>
          <w:spacing w:val="-6"/>
          <w:sz w:val="24"/>
        </w:rPr>
        <w:t> </w:t>
      </w:r>
      <w:r>
        <w:rPr>
          <w:b/>
          <w:color w:val="3B5673"/>
          <w:sz w:val="24"/>
        </w:rPr>
        <w:t>at</w:t>
      </w:r>
      <w:r>
        <w:rPr>
          <w:b/>
          <w:color w:val="3B5673"/>
          <w:spacing w:val="-6"/>
          <w:sz w:val="24"/>
        </w:rPr>
        <w:t> </w:t>
      </w:r>
      <w:r>
        <w:rPr>
          <w:b/>
          <w:color w:val="3B5673"/>
          <w:sz w:val="24"/>
        </w:rPr>
        <w:t>Kirkby</w:t>
      </w:r>
      <w:r>
        <w:rPr>
          <w:b/>
          <w:color w:val="3B5673"/>
          <w:spacing w:val="-5"/>
          <w:sz w:val="24"/>
        </w:rPr>
        <w:t> </w:t>
      </w:r>
      <w:r>
        <w:rPr>
          <w:b/>
          <w:color w:val="3B5673"/>
          <w:sz w:val="24"/>
        </w:rPr>
        <w:t>Leisure</w:t>
      </w:r>
      <w:r>
        <w:rPr>
          <w:b/>
          <w:color w:val="3B5673"/>
          <w:spacing w:val="-5"/>
          <w:sz w:val="24"/>
        </w:rPr>
        <w:t> </w:t>
      </w:r>
      <w:r>
        <w:rPr>
          <w:b/>
          <w:color w:val="3B5673"/>
          <w:sz w:val="24"/>
        </w:rPr>
        <w:t>Centre </w:t>
      </w:r>
      <w:r>
        <w:rPr>
          <w:color w:val="231F20"/>
          <w:sz w:val="24"/>
        </w:rPr>
        <w:t>has received a donation from a local resident enabling the purchase of furnishings for the facility. New sessions including Singing for the Brain, Warm Hub, MSK (Muscular Skeletal),</w:t>
      </w:r>
    </w:p>
    <w:p>
      <w:pPr>
        <w:spacing w:after="0" w:line="225" w:lineRule="auto"/>
        <w:jc w:val="left"/>
        <w:rPr>
          <w:sz w:val="24"/>
        </w:rPr>
        <w:sectPr>
          <w:type w:val="continuous"/>
          <w:pgSz w:w="11910" w:h="16840"/>
          <w:pgMar w:header="377" w:footer="367" w:top="260" w:bottom="0" w:left="0" w:right="0"/>
          <w:cols w:num="2" w:equalWidth="0">
            <w:col w:w="5793" w:space="40"/>
            <w:col w:w="6077"/>
          </w:cols>
        </w:sectPr>
      </w:pPr>
    </w:p>
    <w:p>
      <w:pPr>
        <w:pStyle w:val="BodyText"/>
        <w:rPr>
          <w:sz w:val="28"/>
        </w:rPr>
      </w:pPr>
      <w:r>
        <w:rPr/>
        <w:drawing>
          <wp:anchor distT="0" distB="0" distL="0" distR="0" allowOverlap="1" layoutInCell="1" locked="0" behindDoc="0" simplePos="0" relativeHeight="15742976">
            <wp:simplePos x="0" y="0"/>
            <wp:positionH relativeFrom="page">
              <wp:posOffset>0</wp:posOffset>
            </wp:positionH>
            <wp:positionV relativeFrom="page">
              <wp:posOffset>720002</wp:posOffset>
            </wp:positionV>
            <wp:extent cx="2627591" cy="9251999"/>
            <wp:effectExtent l="0" t="0" r="0" b="0"/>
            <wp:wrapNone/>
            <wp:docPr id="19" name="image14.jpeg"/>
            <wp:cNvGraphicFramePr>
              <a:graphicFrameLocks noChangeAspect="1"/>
            </wp:cNvGraphicFramePr>
            <a:graphic>
              <a:graphicData uri="http://schemas.openxmlformats.org/drawingml/2006/picture">
                <pic:pic>
                  <pic:nvPicPr>
                    <pic:cNvPr id="20" name="image14.jpeg"/>
                    <pic:cNvPicPr/>
                  </pic:nvPicPr>
                  <pic:blipFill>
                    <a:blip r:embed="rId32" cstate="print"/>
                    <a:stretch>
                      <a:fillRect/>
                    </a:stretch>
                  </pic:blipFill>
                  <pic:spPr>
                    <a:xfrm>
                      <a:off x="0" y="0"/>
                      <a:ext cx="2627591" cy="9251999"/>
                    </a:xfrm>
                    <a:prstGeom prst="rect">
                      <a:avLst/>
                    </a:prstGeom>
                  </pic:spPr>
                </pic:pic>
              </a:graphicData>
            </a:graphic>
          </wp:anchor>
        </w:drawing>
      </w:r>
    </w:p>
    <w:p>
      <w:pPr>
        <w:pStyle w:val="Heading3"/>
        <w:ind w:left="4786" w:right="4398"/>
        <w:jc w:val="center"/>
      </w:pPr>
      <w:r>
        <w:rPr>
          <w:color w:val="3B5673"/>
        </w:rPr>
        <w:t>HOMES</w:t>
      </w:r>
      <w:r>
        <w:rPr>
          <w:color w:val="3B5673"/>
          <w:spacing w:val="32"/>
        </w:rPr>
        <w:t> </w:t>
      </w:r>
      <w:r>
        <w:rPr>
          <w:color w:val="3B5673"/>
        </w:rPr>
        <w:t>AND</w:t>
      </w:r>
      <w:r>
        <w:rPr>
          <w:color w:val="3B5673"/>
          <w:spacing w:val="32"/>
        </w:rPr>
        <w:t> </w:t>
      </w:r>
      <w:r>
        <w:rPr>
          <w:color w:val="3B5673"/>
          <w:spacing w:val="-2"/>
        </w:rPr>
        <w:t>HOUSING</w:t>
      </w:r>
    </w:p>
    <w:p>
      <w:pPr>
        <w:pStyle w:val="ListParagraph"/>
        <w:numPr>
          <w:ilvl w:val="1"/>
          <w:numId w:val="6"/>
        </w:numPr>
        <w:tabs>
          <w:tab w:pos="4933" w:val="left" w:leader="none"/>
        </w:tabs>
        <w:spacing w:line="300" w:lineRule="exact" w:before="0" w:after="0"/>
        <w:ind w:left="4932" w:right="0" w:hanging="171"/>
        <w:jc w:val="left"/>
        <w:rPr>
          <w:sz w:val="24"/>
        </w:rPr>
      </w:pPr>
      <w:r>
        <w:rPr>
          <w:b/>
          <w:color w:val="3B5673"/>
          <w:sz w:val="24"/>
        </w:rPr>
        <w:t>Housing</w:t>
      </w:r>
      <w:r>
        <w:rPr>
          <w:b/>
          <w:color w:val="3B5673"/>
          <w:spacing w:val="-4"/>
          <w:sz w:val="24"/>
        </w:rPr>
        <w:t> </w:t>
      </w:r>
      <w:r>
        <w:rPr>
          <w:b/>
          <w:color w:val="3B5673"/>
          <w:sz w:val="24"/>
        </w:rPr>
        <w:t>-</w:t>
      </w:r>
      <w:r>
        <w:rPr>
          <w:b/>
          <w:color w:val="3B5673"/>
          <w:spacing w:val="-2"/>
          <w:sz w:val="24"/>
        </w:rPr>
        <w:t> </w:t>
      </w:r>
      <w:r>
        <w:rPr>
          <w:color w:val="231F20"/>
          <w:sz w:val="24"/>
        </w:rPr>
        <w:t>Void</w:t>
      </w:r>
      <w:r>
        <w:rPr>
          <w:color w:val="231F20"/>
          <w:spacing w:val="-2"/>
          <w:sz w:val="24"/>
        </w:rPr>
        <w:t> </w:t>
      </w:r>
      <w:r>
        <w:rPr>
          <w:color w:val="231F20"/>
          <w:sz w:val="24"/>
        </w:rPr>
        <w:t>re-let</w:t>
      </w:r>
      <w:r>
        <w:rPr>
          <w:color w:val="231F20"/>
          <w:spacing w:val="-2"/>
          <w:sz w:val="24"/>
        </w:rPr>
        <w:t> </w:t>
      </w:r>
      <w:r>
        <w:rPr>
          <w:color w:val="231F20"/>
          <w:sz w:val="24"/>
        </w:rPr>
        <w:t>times</w:t>
      </w:r>
      <w:r>
        <w:rPr>
          <w:color w:val="231F20"/>
          <w:spacing w:val="-2"/>
          <w:sz w:val="24"/>
        </w:rPr>
        <w:t> </w:t>
      </w:r>
      <w:r>
        <w:rPr>
          <w:color w:val="231F20"/>
          <w:sz w:val="24"/>
        </w:rPr>
        <w:t>–</w:t>
      </w:r>
      <w:r>
        <w:rPr>
          <w:color w:val="231F20"/>
          <w:spacing w:val="-3"/>
          <w:sz w:val="24"/>
        </w:rPr>
        <w:t> </w:t>
      </w:r>
      <w:r>
        <w:rPr>
          <w:color w:val="231F20"/>
          <w:sz w:val="24"/>
        </w:rPr>
        <w:t>These</w:t>
      </w:r>
      <w:r>
        <w:rPr>
          <w:color w:val="231F20"/>
          <w:spacing w:val="-2"/>
          <w:sz w:val="24"/>
        </w:rPr>
        <w:t> </w:t>
      </w:r>
      <w:r>
        <w:rPr>
          <w:color w:val="231F20"/>
          <w:sz w:val="24"/>
        </w:rPr>
        <w:t>have</w:t>
      </w:r>
      <w:r>
        <w:rPr>
          <w:color w:val="231F20"/>
          <w:spacing w:val="-2"/>
          <w:sz w:val="24"/>
        </w:rPr>
        <w:t> </w:t>
      </w:r>
      <w:r>
        <w:rPr>
          <w:color w:val="231F20"/>
          <w:sz w:val="24"/>
        </w:rPr>
        <w:t>reduced</w:t>
      </w:r>
      <w:r>
        <w:rPr>
          <w:color w:val="231F20"/>
          <w:spacing w:val="-2"/>
          <w:sz w:val="24"/>
        </w:rPr>
        <w:t> </w:t>
      </w:r>
      <w:r>
        <w:rPr>
          <w:color w:val="231F20"/>
          <w:sz w:val="24"/>
        </w:rPr>
        <w:t>by</w:t>
      </w:r>
      <w:r>
        <w:rPr>
          <w:color w:val="231F20"/>
          <w:spacing w:val="-2"/>
          <w:sz w:val="24"/>
        </w:rPr>
        <w:t> </w:t>
      </w:r>
      <w:r>
        <w:rPr>
          <w:color w:val="231F20"/>
          <w:spacing w:val="-5"/>
          <w:sz w:val="24"/>
        </w:rPr>
        <w:t>20%</w:t>
      </w:r>
    </w:p>
    <w:p>
      <w:pPr>
        <w:pStyle w:val="BodyText"/>
        <w:spacing w:line="300" w:lineRule="exact"/>
        <w:ind w:left="4932"/>
      </w:pPr>
      <w:r>
        <w:rPr>
          <w:color w:val="231F20"/>
        </w:rPr>
        <w:t>from</w:t>
      </w:r>
      <w:r>
        <w:rPr>
          <w:color w:val="231F20"/>
          <w:spacing w:val="-2"/>
        </w:rPr>
        <w:t> </w:t>
      </w:r>
      <w:r>
        <w:rPr>
          <w:color w:val="231F20"/>
        </w:rPr>
        <w:t>29.8</w:t>
      </w:r>
      <w:r>
        <w:rPr>
          <w:color w:val="231F20"/>
          <w:spacing w:val="-2"/>
        </w:rPr>
        <w:t> </w:t>
      </w:r>
      <w:r>
        <w:rPr>
          <w:color w:val="231F20"/>
        </w:rPr>
        <w:t>days</w:t>
      </w:r>
      <w:r>
        <w:rPr>
          <w:color w:val="231F20"/>
          <w:spacing w:val="-1"/>
        </w:rPr>
        <w:t> </w:t>
      </w:r>
      <w:r>
        <w:rPr>
          <w:color w:val="231F20"/>
        </w:rPr>
        <w:t>(April</w:t>
      </w:r>
      <w:r>
        <w:rPr>
          <w:color w:val="231F20"/>
          <w:spacing w:val="-2"/>
        </w:rPr>
        <w:t> </w:t>
      </w:r>
      <w:r>
        <w:rPr>
          <w:color w:val="231F20"/>
        </w:rPr>
        <w:t>2021</w:t>
      </w:r>
      <w:r>
        <w:rPr>
          <w:color w:val="231F20"/>
          <w:spacing w:val="-2"/>
        </w:rPr>
        <w:t> </w:t>
      </w:r>
      <w:r>
        <w:rPr>
          <w:color w:val="231F20"/>
        </w:rPr>
        <w:t>to</w:t>
      </w:r>
      <w:r>
        <w:rPr>
          <w:color w:val="231F20"/>
          <w:spacing w:val="-1"/>
        </w:rPr>
        <w:t> </w:t>
      </w:r>
      <w:r>
        <w:rPr>
          <w:color w:val="231F20"/>
        </w:rPr>
        <w:t>March</w:t>
      </w:r>
      <w:r>
        <w:rPr>
          <w:color w:val="231F20"/>
          <w:spacing w:val="-2"/>
        </w:rPr>
        <w:t> </w:t>
      </w:r>
      <w:r>
        <w:rPr>
          <w:color w:val="231F20"/>
        </w:rPr>
        <w:t>2022)</w:t>
      </w:r>
      <w:r>
        <w:rPr>
          <w:color w:val="231F20"/>
          <w:spacing w:val="-2"/>
        </w:rPr>
        <w:t> </w:t>
      </w:r>
      <w:r>
        <w:rPr>
          <w:color w:val="231F20"/>
        </w:rPr>
        <w:t>to</w:t>
      </w:r>
      <w:r>
        <w:rPr>
          <w:color w:val="231F20"/>
          <w:spacing w:val="-1"/>
        </w:rPr>
        <w:t> </w:t>
      </w:r>
      <w:r>
        <w:rPr>
          <w:color w:val="231F20"/>
        </w:rPr>
        <w:t>23.8</w:t>
      </w:r>
      <w:r>
        <w:rPr>
          <w:color w:val="231F20"/>
          <w:spacing w:val="-2"/>
        </w:rPr>
        <w:t> </w:t>
      </w:r>
      <w:r>
        <w:rPr>
          <w:color w:val="231F20"/>
          <w:spacing w:val="-4"/>
        </w:rPr>
        <w:t>days</w:t>
      </w:r>
    </w:p>
    <w:p>
      <w:pPr>
        <w:pStyle w:val="BodyText"/>
        <w:spacing w:line="310" w:lineRule="exact"/>
        <w:ind w:left="4932"/>
      </w:pPr>
      <w:r>
        <w:rPr>
          <w:color w:val="231F20"/>
        </w:rPr>
        <w:t>(April</w:t>
      </w:r>
      <w:r>
        <w:rPr>
          <w:color w:val="231F20"/>
          <w:spacing w:val="-1"/>
        </w:rPr>
        <w:t> </w:t>
      </w:r>
      <w:r>
        <w:rPr>
          <w:color w:val="231F20"/>
        </w:rPr>
        <w:t>2022</w:t>
      </w:r>
      <w:r>
        <w:rPr>
          <w:color w:val="231F20"/>
          <w:spacing w:val="-2"/>
        </w:rPr>
        <w:t> </w:t>
      </w:r>
      <w:r>
        <w:rPr>
          <w:color w:val="231F20"/>
        </w:rPr>
        <w:t>to</w:t>
      </w:r>
      <w:r>
        <w:rPr>
          <w:color w:val="231F20"/>
          <w:spacing w:val="-1"/>
        </w:rPr>
        <w:t> </w:t>
      </w:r>
      <w:r>
        <w:rPr>
          <w:color w:val="231F20"/>
        </w:rPr>
        <w:t>March </w:t>
      </w:r>
      <w:r>
        <w:rPr>
          <w:color w:val="231F20"/>
          <w:spacing w:val="-2"/>
        </w:rPr>
        <w:t>2023).</w:t>
      </w:r>
    </w:p>
    <w:p>
      <w:pPr>
        <w:pStyle w:val="ListParagraph"/>
        <w:numPr>
          <w:ilvl w:val="1"/>
          <w:numId w:val="6"/>
        </w:numPr>
        <w:tabs>
          <w:tab w:pos="4933" w:val="left" w:leader="none"/>
        </w:tabs>
        <w:spacing w:line="225" w:lineRule="auto" w:before="53" w:after="0"/>
        <w:ind w:left="4932" w:right="987" w:hanging="171"/>
        <w:jc w:val="left"/>
        <w:rPr>
          <w:sz w:val="24"/>
        </w:rPr>
      </w:pPr>
      <w:r>
        <w:rPr>
          <w:b/>
          <w:color w:val="3B5673"/>
          <w:sz w:val="24"/>
        </w:rPr>
        <w:t>Housing Developments - </w:t>
      </w:r>
      <w:r>
        <w:rPr>
          <w:color w:val="231F20"/>
          <w:sz w:val="24"/>
        </w:rPr>
        <w:t>The Affordable Housing Development</w:t>
      </w:r>
      <w:r>
        <w:rPr>
          <w:color w:val="231F20"/>
          <w:spacing w:val="-6"/>
          <w:sz w:val="24"/>
        </w:rPr>
        <w:t> </w:t>
      </w:r>
      <w:r>
        <w:rPr>
          <w:color w:val="231F20"/>
          <w:sz w:val="24"/>
        </w:rPr>
        <w:t>Programme</w:t>
      </w:r>
      <w:r>
        <w:rPr>
          <w:color w:val="231F20"/>
          <w:spacing w:val="-6"/>
          <w:sz w:val="24"/>
        </w:rPr>
        <w:t> </w:t>
      </w:r>
      <w:r>
        <w:rPr>
          <w:color w:val="231F20"/>
          <w:sz w:val="24"/>
        </w:rPr>
        <w:t>which</w:t>
      </w:r>
      <w:r>
        <w:rPr>
          <w:color w:val="231F20"/>
          <w:spacing w:val="-5"/>
          <w:sz w:val="24"/>
        </w:rPr>
        <w:t> </w:t>
      </w:r>
      <w:r>
        <w:rPr>
          <w:color w:val="231F20"/>
          <w:sz w:val="24"/>
        </w:rPr>
        <w:t>the</w:t>
      </w:r>
      <w:r>
        <w:rPr>
          <w:color w:val="231F20"/>
          <w:spacing w:val="-5"/>
          <w:sz w:val="24"/>
        </w:rPr>
        <w:t> </w:t>
      </w:r>
      <w:r>
        <w:rPr>
          <w:color w:val="231F20"/>
          <w:sz w:val="24"/>
        </w:rPr>
        <w:t>Council</w:t>
      </w:r>
      <w:r>
        <w:rPr>
          <w:color w:val="231F20"/>
          <w:spacing w:val="-6"/>
          <w:sz w:val="24"/>
        </w:rPr>
        <w:t> </w:t>
      </w:r>
      <w:r>
        <w:rPr>
          <w:color w:val="231F20"/>
          <w:sz w:val="24"/>
        </w:rPr>
        <w:t>has</w:t>
      </w:r>
      <w:r>
        <w:rPr>
          <w:color w:val="231F20"/>
          <w:spacing w:val="-5"/>
          <w:sz w:val="24"/>
        </w:rPr>
        <w:t> </w:t>
      </w:r>
      <w:r>
        <w:rPr>
          <w:color w:val="231F20"/>
          <w:sz w:val="24"/>
        </w:rPr>
        <w:t>in</w:t>
      </w:r>
      <w:r>
        <w:rPr>
          <w:color w:val="231F20"/>
          <w:spacing w:val="-6"/>
          <w:sz w:val="24"/>
        </w:rPr>
        <w:t> </w:t>
      </w:r>
      <w:r>
        <w:rPr>
          <w:color w:val="231F20"/>
          <w:sz w:val="24"/>
        </w:rPr>
        <w:t>place in respect of properties to rent with a total of 11 sites delivering over 100 units with more in the pipeline.</w:t>
      </w:r>
    </w:p>
    <w:p>
      <w:pPr>
        <w:pStyle w:val="ListParagraph"/>
        <w:numPr>
          <w:ilvl w:val="1"/>
          <w:numId w:val="6"/>
        </w:numPr>
        <w:tabs>
          <w:tab w:pos="4933" w:val="left" w:leader="none"/>
        </w:tabs>
        <w:spacing w:line="225" w:lineRule="auto" w:before="56" w:after="0"/>
        <w:ind w:left="4932" w:right="703" w:hanging="171"/>
        <w:jc w:val="left"/>
        <w:rPr>
          <w:sz w:val="24"/>
        </w:rPr>
      </w:pPr>
      <w:r>
        <w:rPr>
          <w:b/>
          <w:color w:val="3B5673"/>
          <w:sz w:val="24"/>
        </w:rPr>
        <w:t>Homes made available under the Next Steps Accommodation Programme (NSAP) </w:t>
      </w:r>
      <w:r>
        <w:rPr>
          <w:color w:val="231F20"/>
          <w:sz w:val="24"/>
        </w:rPr>
        <w:t>are having a significant</w:t>
      </w:r>
      <w:r>
        <w:rPr>
          <w:color w:val="231F20"/>
          <w:spacing w:val="-6"/>
          <w:sz w:val="24"/>
        </w:rPr>
        <w:t> </w:t>
      </w:r>
      <w:r>
        <w:rPr>
          <w:color w:val="231F20"/>
          <w:sz w:val="24"/>
        </w:rPr>
        <w:t>positive</w:t>
      </w:r>
      <w:r>
        <w:rPr>
          <w:color w:val="231F20"/>
          <w:spacing w:val="-5"/>
          <w:sz w:val="24"/>
        </w:rPr>
        <w:t> </w:t>
      </w:r>
      <w:r>
        <w:rPr>
          <w:color w:val="231F20"/>
          <w:sz w:val="24"/>
        </w:rPr>
        <w:t>impact</w:t>
      </w:r>
      <w:r>
        <w:rPr>
          <w:color w:val="231F20"/>
          <w:spacing w:val="-6"/>
          <w:sz w:val="24"/>
        </w:rPr>
        <w:t> </w:t>
      </w:r>
      <w:r>
        <w:rPr>
          <w:color w:val="231F20"/>
          <w:sz w:val="24"/>
        </w:rPr>
        <w:t>on</w:t>
      </w:r>
      <w:r>
        <w:rPr>
          <w:color w:val="231F20"/>
          <w:spacing w:val="-5"/>
          <w:sz w:val="24"/>
        </w:rPr>
        <w:t> </w:t>
      </w:r>
      <w:r>
        <w:rPr>
          <w:color w:val="231F20"/>
          <w:sz w:val="24"/>
        </w:rPr>
        <w:t>levels</w:t>
      </w:r>
      <w:r>
        <w:rPr>
          <w:color w:val="231F20"/>
          <w:spacing w:val="-6"/>
          <w:sz w:val="24"/>
        </w:rPr>
        <w:t> </w:t>
      </w:r>
      <w:r>
        <w:rPr>
          <w:color w:val="231F20"/>
          <w:sz w:val="24"/>
        </w:rPr>
        <w:t>of</w:t>
      </w:r>
      <w:r>
        <w:rPr>
          <w:color w:val="231F20"/>
          <w:spacing w:val="-5"/>
          <w:sz w:val="24"/>
        </w:rPr>
        <w:t> </w:t>
      </w:r>
      <w:r>
        <w:rPr>
          <w:color w:val="231F20"/>
          <w:sz w:val="24"/>
        </w:rPr>
        <w:t>street</w:t>
      </w:r>
      <w:r>
        <w:rPr>
          <w:color w:val="231F20"/>
          <w:spacing w:val="-6"/>
          <w:sz w:val="24"/>
        </w:rPr>
        <w:t> </w:t>
      </w:r>
      <w:r>
        <w:rPr>
          <w:color w:val="231F20"/>
          <w:sz w:val="24"/>
        </w:rPr>
        <w:t>homelessness. The Sanctuary Scheme has been reinvigorated preventing homelessness by ensuring survivors of domestic violence can</w:t>
      </w:r>
      <w:r>
        <w:rPr>
          <w:color w:val="231F20"/>
          <w:spacing w:val="-3"/>
          <w:sz w:val="24"/>
        </w:rPr>
        <w:t> </w:t>
      </w:r>
      <w:r>
        <w:rPr>
          <w:color w:val="231F20"/>
          <w:sz w:val="24"/>
        </w:rPr>
        <w:t>remain</w:t>
      </w:r>
      <w:r>
        <w:rPr>
          <w:color w:val="231F20"/>
          <w:spacing w:val="-3"/>
          <w:sz w:val="24"/>
        </w:rPr>
        <w:t> </w:t>
      </w:r>
      <w:r>
        <w:rPr>
          <w:color w:val="231F20"/>
          <w:sz w:val="24"/>
        </w:rPr>
        <w:t>safe</w:t>
      </w:r>
      <w:r>
        <w:rPr>
          <w:color w:val="231F20"/>
          <w:spacing w:val="-4"/>
          <w:sz w:val="24"/>
        </w:rPr>
        <w:t> </w:t>
      </w:r>
      <w:r>
        <w:rPr>
          <w:color w:val="231F20"/>
          <w:sz w:val="24"/>
        </w:rPr>
        <w:t>in</w:t>
      </w:r>
      <w:r>
        <w:rPr>
          <w:color w:val="231F20"/>
          <w:spacing w:val="-4"/>
          <w:sz w:val="24"/>
        </w:rPr>
        <w:t> </w:t>
      </w:r>
      <w:r>
        <w:rPr>
          <w:color w:val="231F20"/>
          <w:sz w:val="24"/>
        </w:rPr>
        <w:t>their</w:t>
      </w:r>
      <w:r>
        <w:rPr>
          <w:color w:val="231F20"/>
          <w:spacing w:val="-3"/>
          <w:sz w:val="24"/>
        </w:rPr>
        <w:t> </w:t>
      </w:r>
      <w:r>
        <w:rPr>
          <w:color w:val="231F20"/>
          <w:sz w:val="24"/>
        </w:rPr>
        <w:t>home.</w:t>
      </w:r>
      <w:r>
        <w:rPr>
          <w:color w:val="231F20"/>
          <w:spacing w:val="-3"/>
          <w:sz w:val="24"/>
        </w:rPr>
        <w:t> </w:t>
      </w:r>
      <w:r>
        <w:rPr>
          <w:color w:val="231F20"/>
          <w:sz w:val="24"/>
        </w:rPr>
        <w:t>The</w:t>
      </w:r>
      <w:r>
        <w:rPr>
          <w:color w:val="231F20"/>
          <w:spacing w:val="-3"/>
          <w:sz w:val="24"/>
        </w:rPr>
        <w:t> </w:t>
      </w:r>
      <w:r>
        <w:rPr>
          <w:color w:val="231F20"/>
          <w:sz w:val="24"/>
        </w:rPr>
        <w:t>Council</w:t>
      </w:r>
      <w:r>
        <w:rPr>
          <w:color w:val="231F20"/>
          <w:spacing w:val="-4"/>
          <w:sz w:val="24"/>
        </w:rPr>
        <w:t> </w:t>
      </w:r>
      <w:r>
        <w:rPr>
          <w:color w:val="231F20"/>
          <w:sz w:val="24"/>
        </w:rPr>
        <w:t>has</w:t>
      </w:r>
      <w:r>
        <w:rPr>
          <w:color w:val="231F20"/>
          <w:spacing w:val="-3"/>
          <w:sz w:val="24"/>
        </w:rPr>
        <w:t> </w:t>
      </w:r>
      <w:r>
        <w:rPr>
          <w:color w:val="231F20"/>
          <w:sz w:val="24"/>
        </w:rPr>
        <w:t>also</w:t>
      </w:r>
      <w:r>
        <w:rPr>
          <w:color w:val="231F20"/>
          <w:spacing w:val="-3"/>
          <w:sz w:val="24"/>
        </w:rPr>
        <w:t> </w:t>
      </w:r>
      <w:r>
        <w:rPr>
          <w:color w:val="231F20"/>
          <w:sz w:val="24"/>
        </w:rPr>
        <w:t>actively participated in the Homes for Ukraine Scheme and other asylum and resettlement schemes.</w:t>
      </w:r>
    </w:p>
    <w:p>
      <w:pPr>
        <w:pStyle w:val="ListParagraph"/>
        <w:numPr>
          <w:ilvl w:val="1"/>
          <w:numId w:val="6"/>
        </w:numPr>
        <w:tabs>
          <w:tab w:pos="4933" w:val="left" w:leader="none"/>
        </w:tabs>
        <w:spacing w:line="225" w:lineRule="auto" w:before="57" w:after="0"/>
        <w:ind w:left="4932" w:right="858" w:hanging="171"/>
        <w:jc w:val="left"/>
        <w:rPr>
          <w:sz w:val="24"/>
        </w:rPr>
      </w:pPr>
      <w:r>
        <w:rPr/>
        <w:pict>
          <v:group style="position:absolute;margin-left:578.504028pt;margin-top:25.655993pt;width:16.8pt;height:192.8pt;mso-position-horizontal-relative:page;mso-position-vertical-relative:paragraph;z-index:15743488" id="docshapegroup96" coordorigin="11570,513" coordsize="336,3856">
            <v:rect style="position:absolute;left:11570;top:3404;width:336;height:964" id="docshape97" filled="true" fillcolor="#f15d6b" stroked="false">
              <v:fill type="solid"/>
            </v:rect>
            <v:rect style="position:absolute;left:11570;top:2440;width:336;height:964" id="docshape98" filled="true" fillcolor="#fbac42" stroked="false">
              <v:fill type="solid"/>
            </v:rect>
            <v:rect style="position:absolute;left:11570;top:1476;width:336;height:964" id="docshape99" filled="true" fillcolor="#b78fc1" stroked="false">
              <v:fill type="solid"/>
            </v:rect>
            <v:rect style="position:absolute;left:11570;top:513;width:336;height:964" id="docshape100" filled="true" fillcolor="#378372" stroked="false">
              <v:fill type="solid"/>
            </v:rect>
            <w10:wrap type="none"/>
          </v:group>
        </w:pict>
      </w:r>
      <w:r>
        <w:rPr>
          <w:b/>
          <w:color w:val="3B5673"/>
          <w:sz w:val="24"/>
        </w:rPr>
        <w:t>Social</w:t>
      </w:r>
      <w:r>
        <w:rPr>
          <w:b/>
          <w:color w:val="3B5673"/>
          <w:spacing w:val="-6"/>
          <w:sz w:val="24"/>
        </w:rPr>
        <w:t> </w:t>
      </w:r>
      <w:r>
        <w:rPr>
          <w:b/>
          <w:color w:val="3B5673"/>
          <w:sz w:val="24"/>
        </w:rPr>
        <w:t>Housing</w:t>
      </w:r>
      <w:r>
        <w:rPr>
          <w:b/>
          <w:color w:val="3B5673"/>
          <w:spacing w:val="-7"/>
          <w:sz w:val="24"/>
        </w:rPr>
        <w:t> </w:t>
      </w:r>
      <w:r>
        <w:rPr>
          <w:b/>
          <w:color w:val="3B5673"/>
          <w:sz w:val="24"/>
        </w:rPr>
        <w:t>White</w:t>
      </w:r>
      <w:r>
        <w:rPr>
          <w:b/>
          <w:color w:val="3B5673"/>
          <w:spacing w:val="-6"/>
          <w:sz w:val="24"/>
        </w:rPr>
        <w:t> </w:t>
      </w:r>
      <w:r>
        <w:rPr>
          <w:b/>
          <w:color w:val="3B5673"/>
          <w:sz w:val="24"/>
        </w:rPr>
        <w:t>Paper</w:t>
      </w:r>
      <w:r>
        <w:rPr>
          <w:b/>
          <w:color w:val="3B5673"/>
          <w:spacing w:val="-7"/>
          <w:sz w:val="24"/>
        </w:rPr>
        <w:t> </w:t>
      </w:r>
      <w:r>
        <w:rPr>
          <w:b/>
          <w:color w:val="3B5673"/>
          <w:sz w:val="24"/>
        </w:rPr>
        <w:t>-</w:t>
      </w:r>
      <w:r>
        <w:rPr>
          <w:b/>
          <w:color w:val="3B5673"/>
          <w:spacing w:val="-8"/>
          <w:sz w:val="24"/>
        </w:rPr>
        <w:t> </w:t>
      </w:r>
      <w:r>
        <w:rPr>
          <w:color w:val="231F20"/>
          <w:sz w:val="24"/>
        </w:rPr>
        <w:t>following</w:t>
      </w:r>
      <w:r>
        <w:rPr>
          <w:color w:val="231F20"/>
          <w:spacing w:val="-6"/>
          <w:sz w:val="24"/>
        </w:rPr>
        <w:t> </w:t>
      </w:r>
      <w:r>
        <w:rPr>
          <w:color w:val="231F20"/>
          <w:sz w:val="24"/>
        </w:rPr>
        <w:t>the</w:t>
      </w:r>
      <w:r>
        <w:rPr>
          <w:color w:val="231F20"/>
          <w:spacing w:val="-6"/>
          <w:sz w:val="24"/>
        </w:rPr>
        <w:t> </w:t>
      </w:r>
      <w:r>
        <w:rPr>
          <w:color w:val="231F20"/>
          <w:sz w:val="24"/>
        </w:rPr>
        <w:t>introduction of the Social Housing White Paper, multiple sections of the Council are working to ensure that the necessary compliance is in place to meet the new standards and regulations coming into force for the Council’s social housing stock. In July 2022 the Council was notified that</w:t>
      </w:r>
      <w:r>
        <w:rPr>
          <w:color w:val="231F20"/>
          <w:spacing w:val="40"/>
          <w:sz w:val="24"/>
        </w:rPr>
        <w:t> </w:t>
      </w:r>
      <w:r>
        <w:rPr>
          <w:color w:val="231F20"/>
          <w:sz w:val="24"/>
        </w:rPr>
        <w:t>it had to install carbon monoxide detectors in 6,153</w:t>
      </w:r>
    </w:p>
    <w:p>
      <w:pPr>
        <w:pStyle w:val="BodyText"/>
        <w:spacing w:line="225" w:lineRule="auto"/>
        <w:ind w:left="4932"/>
      </w:pPr>
      <w:r>
        <w:rPr>
          <w:color w:val="231F20"/>
        </w:rPr>
        <w:t>properties.</w:t>
      </w:r>
      <w:r>
        <w:rPr>
          <w:color w:val="231F20"/>
          <w:spacing w:val="-3"/>
        </w:rPr>
        <w:t> </w:t>
      </w:r>
      <w:r>
        <w:rPr>
          <w:color w:val="231F20"/>
        </w:rPr>
        <w:t>By</w:t>
      </w:r>
      <w:r>
        <w:rPr>
          <w:color w:val="231F20"/>
          <w:spacing w:val="-4"/>
        </w:rPr>
        <w:t> </w:t>
      </w:r>
      <w:r>
        <w:rPr>
          <w:color w:val="231F20"/>
        </w:rPr>
        <w:t>the</w:t>
      </w:r>
      <w:r>
        <w:rPr>
          <w:color w:val="231F20"/>
          <w:spacing w:val="-3"/>
        </w:rPr>
        <w:t> </w:t>
      </w:r>
      <w:r>
        <w:rPr>
          <w:color w:val="231F20"/>
        </w:rPr>
        <w:t>end</w:t>
      </w:r>
      <w:r>
        <w:rPr>
          <w:color w:val="231F20"/>
          <w:spacing w:val="-3"/>
        </w:rPr>
        <w:t> </w:t>
      </w:r>
      <w:r>
        <w:rPr>
          <w:color w:val="231F20"/>
        </w:rPr>
        <w:t>of</w:t>
      </w:r>
      <w:r>
        <w:rPr>
          <w:color w:val="231F20"/>
          <w:spacing w:val="-3"/>
        </w:rPr>
        <w:t> </w:t>
      </w:r>
      <w:r>
        <w:rPr>
          <w:color w:val="231F20"/>
        </w:rPr>
        <w:t>March</w:t>
      </w:r>
      <w:r>
        <w:rPr>
          <w:color w:val="231F20"/>
          <w:spacing w:val="-3"/>
        </w:rPr>
        <w:t> </w:t>
      </w:r>
      <w:r>
        <w:rPr>
          <w:color w:val="231F20"/>
        </w:rPr>
        <w:t>2023</w:t>
      </w:r>
      <w:r>
        <w:rPr>
          <w:color w:val="231F20"/>
          <w:spacing w:val="-4"/>
        </w:rPr>
        <w:t> </w:t>
      </w:r>
      <w:r>
        <w:rPr>
          <w:color w:val="231F20"/>
        </w:rPr>
        <w:t>all</w:t>
      </w:r>
      <w:r>
        <w:rPr>
          <w:color w:val="231F20"/>
          <w:spacing w:val="-3"/>
        </w:rPr>
        <w:t> </w:t>
      </w:r>
      <w:r>
        <w:rPr>
          <w:color w:val="231F20"/>
        </w:rPr>
        <w:t>except</w:t>
      </w:r>
      <w:r>
        <w:rPr>
          <w:color w:val="231F20"/>
          <w:spacing w:val="-3"/>
        </w:rPr>
        <w:t> </w:t>
      </w:r>
      <w:r>
        <w:rPr>
          <w:color w:val="231F20"/>
        </w:rPr>
        <w:t>32</w:t>
      </w:r>
      <w:r>
        <w:rPr>
          <w:color w:val="231F20"/>
          <w:spacing w:val="-4"/>
        </w:rPr>
        <w:t> </w:t>
      </w:r>
      <w:r>
        <w:rPr>
          <w:color w:val="231F20"/>
        </w:rPr>
        <w:t>had</w:t>
      </w:r>
      <w:r>
        <w:rPr>
          <w:color w:val="231F20"/>
          <w:spacing w:val="-3"/>
        </w:rPr>
        <w:t> </w:t>
      </w:r>
      <w:r>
        <w:rPr>
          <w:color w:val="231F20"/>
        </w:rPr>
        <w:t>been </w:t>
      </w:r>
      <w:r>
        <w:rPr>
          <w:color w:val="231F20"/>
          <w:spacing w:val="-2"/>
        </w:rPr>
        <w:t>installed.</w:t>
      </w:r>
    </w:p>
    <w:p>
      <w:pPr>
        <w:pStyle w:val="ListParagraph"/>
        <w:numPr>
          <w:ilvl w:val="1"/>
          <w:numId w:val="6"/>
        </w:numPr>
        <w:tabs>
          <w:tab w:pos="4933" w:val="left" w:leader="none"/>
        </w:tabs>
        <w:spacing w:line="225" w:lineRule="auto" w:before="56" w:after="0"/>
        <w:ind w:left="4932" w:right="655" w:hanging="171"/>
        <w:jc w:val="left"/>
        <w:rPr>
          <w:sz w:val="24"/>
        </w:rPr>
      </w:pPr>
      <w:r>
        <w:rPr>
          <w:b/>
          <w:color w:val="3B5673"/>
          <w:sz w:val="24"/>
        </w:rPr>
        <w:t>Welfare &amp; Money Management Advice - </w:t>
      </w:r>
      <w:r>
        <w:rPr>
          <w:color w:val="231F20"/>
          <w:sz w:val="24"/>
        </w:rPr>
        <w:t>955 tenants have been assisted throughout the year, and all tenancy support</w:t>
      </w:r>
      <w:r>
        <w:rPr>
          <w:color w:val="231F20"/>
          <w:spacing w:val="-5"/>
          <w:sz w:val="24"/>
        </w:rPr>
        <w:t> </w:t>
      </w:r>
      <w:r>
        <w:rPr>
          <w:color w:val="231F20"/>
          <w:sz w:val="24"/>
        </w:rPr>
        <w:t>cases</w:t>
      </w:r>
      <w:r>
        <w:rPr>
          <w:color w:val="231F20"/>
          <w:spacing w:val="-4"/>
          <w:sz w:val="24"/>
        </w:rPr>
        <w:t> </w:t>
      </w:r>
      <w:r>
        <w:rPr>
          <w:color w:val="231F20"/>
          <w:sz w:val="24"/>
        </w:rPr>
        <w:t>have</w:t>
      </w:r>
      <w:r>
        <w:rPr>
          <w:color w:val="231F20"/>
          <w:spacing w:val="-4"/>
          <w:sz w:val="24"/>
        </w:rPr>
        <w:t> </w:t>
      </w:r>
      <w:r>
        <w:rPr>
          <w:color w:val="231F20"/>
          <w:sz w:val="24"/>
        </w:rPr>
        <w:t>been</w:t>
      </w:r>
      <w:r>
        <w:rPr>
          <w:color w:val="231F20"/>
          <w:spacing w:val="-4"/>
          <w:sz w:val="24"/>
        </w:rPr>
        <w:t> </w:t>
      </w:r>
      <w:r>
        <w:rPr>
          <w:color w:val="231F20"/>
          <w:sz w:val="24"/>
        </w:rPr>
        <w:t>able</w:t>
      </w:r>
      <w:r>
        <w:rPr>
          <w:color w:val="231F20"/>
          <w:spacing w:val="-4"/>
          <w:sz w:val="24"/>
        </w:rPr>
        <w:t> </w:t>
      </w:r>
      <w:r>
        <w:rPr>
          <w:color w:val="231F20"/>
          <w:sz w:val="24"/>
        </w:rPr>
        <w:t>to</w:t>
      </w:r>
      <w:r>
        <w:rPr>
          <w:color w:val="231F20"/>
          <w:spacing w:val="-4"/>
          <w:sz w:val="24"/>
        </w:rPr>
        <w:t> </w:t>
      </w:r>
      <w:r>
        <w:rPr>
          <w:color w:val="231F20"/>
          <w:sz w:val="24"/>
        </w:rPr>
        <w:t>successfully</w:t>
      </w:r>
      <w:r>
        <w:rPr>
          <w:color w:val="231F20"/>
          <w:spacing w:val="-5"/>
          <w:sz w:val="24"/>
        </w:rPr>
        <w:t> </w:t>
      </w:r>
      <w:r>
        <w:rPr>
          <w:color w:val="231F20"/>
          <w:sz w:val="24"/>
        </w:rPr>
        <w:t>remain</w:t>
      </w:r>
      <w:r>
        <w:rPr>
          <w:color w:val="231F20"/>
          <w:spacing w:val="-4"/>
          <w:sz w:val="24"/>
        </w:rPr>
        <w:t> </w:t>
      </w:r>
      <w:r>
        <w:rPr>
          <w:color w:val="231F20"/>
          <w:sz w:val="24"/>
        </w:rPr>
        <w:t>in</w:t>
      </w:r>
      <w:r>
        <w:rPr>
          <w:color w:val="231F20"/>
          <w:spacing w:val="-5"/>
          <w:sz w:val="24"/>
        </w:rPr>
        <w:t> </w:t>
      </w:r>
      <w:r>
        <w:rPr>
          <w:color w:val="231F20"/>
          <w:sz w:val="24"/>
        </w:rPr>
        <w:t>their tenancy following targeted support.</w:t>
      </w:r>
    </w:p>
    <w:p>
      <w:pPr>
        <w:pStyle w:val="ListParagraph"/>
        <w:numPr>
          <w:ilvl w:val="1"/>
          <w:numId w:val="6"/>
        </w:numPr>
        <w:tabs>
          <w:tab w:pos="4933" w:val="left" w:leader="none"/>
        </w:tabs>
        <w:spacing w:line="225" w:lineRule="auto" w:before="56" w:after="0"/>
        <w:ind w:left="4932" w:right="1015" w:hanging="171"/>
        <w:jc w:val="left"/>
        <w:rPr>
          <w:sz w:val="24"/>
        </w:rPr>
      </w:pPr>
      <w:r>
        <w:rPr>
          <w:b/>
          <w:color w:val="3B5673"/>
          <w:sz w:val="24"/>
        </w:rPr>
        <w:t>Tackling</w:t>
      </w:r>
      <w:r>
        <w:rPr>
          <w:b/>
          <w:color w:val="3B5673"/>
          <w:spacing w:val="-10"/>
          <w:sz w:val="24"/>
        </w:rPr>
        <w:t> </w:t>
      </w:r>
      <w:r>
        <w:rPr>
          <w:b/>
          <w:color w:val="3B5673"/>
          <w:sz w:val="24"/>
        </w:rPr>
        <w:t>disrepair</w:t>
      </w:r>
      <w:r>
        <w:rPr>
          <w:b/>
          <w:color w:val="3B5673"/>
          <w:spacing w:val="-10"/>
          <w:sz w:val="24"/>
        </w:rPr>
        <w:t> </w:t>
      </w:r>
      <w:r>
        <w:rPr>
          <w:b/>
          <w:color w:val="3B5673"/>
          <w:sz w:val="24"/>
        </w:rPr>
        <w:t>and</w:t>
      </w:r>
      <w:r>
        <w:rPr>
          <w:b/>
          <w:color w:val="3B5673"/>
          <w:spacing w:val="-10"/>
          <w:sz w:val="24"/>
        </w:rPr>
        <w:t> </w:t>
      </w:r>
      <w:r>
        <w:rPr>
          <w:b/>
          <w:color w:val="3B5673"/>
          <w:sz w:val="24"/>
        </w:rPr>
        <w:t>poor</w:t>
      </w:r>
      <w:r>
        <w:rPr>
          <w:b/>
          <w:color w:val="3B5673"/>
          <w:spacing w:val="-10"/>
          <w:sz w:val="24"/>
        </w:rPr>
        <w:t> </w:t>
      </w:r>
      <w:r>
        <w:rPr>
          <w:b/>
          <w:color w:val="3B5673"/>
          <w:sz w:val="24"/>
        </w:rPr>
        <w:t>housing</w:t>
      </w:r>
      <w:r>
        <w:rPr>
          <w:b/>
          <w:color w:val="3B5673"/>
          <w:spacing w:val="-10"/>
          <w:sz w:val="24"/>
        </w:rPr>
        <w:t> </w:t>
      </w:r>
      <w:r>
        <w:rPr>
          <w:b/>
          <w:color w:val="3B5673"/>
          <w:sz w:val="24"/>
        </w:rPr>
        <w:t>-</w:t>
      </w:r>
      <w:r>
        <w:rPr>
          <w:b/>
          <w:color w:val="3B5673"/>
          <w:spacing w:val="-10"/>
          <w:sz w:val="24"/>
        </w:rPr>
        <w:t> </w:t>
      </w:r>
      <w:r>
        <w:rPr>
          <w:color w:val="231F20"/>
          <w:sz w:val="24"/>
        </w:rPr>
        <w:t>Implementation of a new Selective Licensing Scheme for private rented properties in parts of Sutton and Stanton Hill has taken</w:t>
      </w:r>
    </w:p>
    <w:p>
      <w:pPr>
        <w:pStyle w:val="BodyText"/>
        <w:spacing w:line="294" w:lineRule="exact"/>
        <w:ind w:left="4932"/>
      </w:pPr>
      <w:r>
        <w:rPr>
          <w:color w:val="231F20"/>
        </w:rPr>
        <w:t>place</w:t>
      </w:r>
      <w:r>
        <w:rPr>
          <w:color w:val="231F20"/>
          <w:spacing w:val="-1"/>
        </w:rPr>
        <w:t> </w:t>
      </w:r>
      <w:r>
        <w:rPr>
          <w:color w:val="231F20"/>
        </w:rPr>
        <w:t>with</w:t>
      </w:r>
      <w:r>
        <w:rPr>
          <w:color w:val="231F20"/>
          <w:spacing w:val="-1"/>
        </w:rPr>
        <w:t> </w:t>
      </w:r>
      <w:r>
        <w:rPr>
          <w:color w:val="231F20"/>
        </w:rPr>
        <w:t>over</w:t>
      </w:r>
      <w:r>
        <w:rPr>
          <w:color w:val="231F20"/>
          <w:spacing w:val="-1"/>
        </w:rPr>
        <w:t> </w:t>
      </w:r>
      <w:r>
        <w:rPr>
          <w:color w:val="231F20"/>
        </w:rPr>
        <w:t>550</w:t>
      </w:r>
      <w:r>
        <w:rPr>
          <w:color w:val="231F20"/>
          <w:spacing w:val="-2"/>
        </w:rPr>
        <w:t> </w:t>
      </w:r>
      <w:r>
        <w:rPr>
          <w:color w:val="231F20"/>
        </w:rPr>
        <w:t>license</w:t>
      </w:r>
      <w:r>
        <w:rPr>
          <w:color w:val="231F20"/>
          <w:spacing w:val="-2"/>
        </w:rPr>
        <w:t> </w:t>
      </w:r>
      <w:r>
        <w:rPr>
          <w:color w:val="231F20"/>
        </w:rPr>
        <w:t>applications</w:t>
      </w:r>
      <w:r>
        <w:rPr>
          <w:color w:val="231F20"/>
          <w:spacing w:val="-1"/>
        </w:rPr>
        <w:t> </w:t>
      </w:r>
      <w:r>
        <w:rPr>
          <w:color w:val="231F20"/>
        </w:rPr>
        <w:t>received</w:t>
      </w:r>
      <w:r>
        <w:rPr>
          <w:color w:val="231F20"/>
          <w:spacing w:val="-1"/>
        </w:rPr>
        <w:t> </w:t>
      </w:r>
      <w:r>
        <w:rPr>
          <w:color w:val="231F20"/>
        </w:rPr>
        <w:t>by</w:t>
      </w:r>
      <w:r>
        <w:rPr>
          <w:color w:val="231F20"/>
          <w:spacing w:val="-1"/>
        </w:rPr>
        <w:t> </w:t>
      </w:r>
      <w:r>
        <w:rPr>
          <w:color w:val="231F20"/>
        </w:rPr>
        <w:t>the </w:t>
      </w:r>
      <w:r>
        <w:rPr>
          <w:color w:val="231F20"/>
          <w:spacing w:val="-5"/>
        </w:rPr>
        <w:t>end</w:t>
      </w:r>
    </w:p>
    <w:p>
      <w:pPr>
        <w:pStyle w:val="BodyText"/>
        <w:spacing w:line="310" w:lineRule="exact"/>
        <w:ind w:left="4932"/>
      </w:pPr>
      <w:r>
        <w:rPr>
          <w:color w:val="231F20"/>
        </w:rPr>
        <w:t>of March </w:t>
      </w:r>
      <w:r>
        <w:rPr>
          <w:color w:val="231F20"/>
          <w:spacing w:val="-2"/>
        </w:rPr>
        <w:t>2023.</w:t>
      </w:r>
    </w:p>
    <w:p>
      <w:pPr>
        <w:pStyle w:val="ListParagraph"/>
        <w:numPr>
          <w:ilvl w:val="1"/>
          <w:numId w:val="6"/>
        </w:numPr>
        <w:tabs>
          <w:tab w:pos="4933" w:val="left" w:leader="none"/>
        </w:tabs>
        <w:spacing w:line="225" w:lineRule="auto" w:before="53" w:after="0"/>
        <w:ind w:left="4932" w:right="650" w:hanging="171"/>
        <w:jc w:val="both"/>
        <w:rPr>
          <w:sz w:val="24"/>
        </w:rPr>
      </w:pPr>
      <w:r>
        <w:rPr>
          <w:b/>
          <w:color w:val="3B5673"/>
          <w:sz w:val="24"/>
        </w:rPr>
        <w:t>Suitable</w:t>
      </w:r>
      <w:r>
        <w:rPr>
          <w:b/>
          <w:color w:val="3B5673"/>
          <w:spacing w:val="-4"/>
          <w:sz w:val="24"/>
        </w:rPr>
        <w:t> </w:t>
      </w:r>
      <w:r>
        <w:rPr>
          <w:b/>
          <w:color w:val="3B5673"/>
          <w:sz w:val="24"/>
        </w:rPr>
        <w:t>Housing</w:t>
      </w:r>
      <w:r>
        <w:rPr>
          <w:b/>
          <w:color w:val="3B5673"/>
          <w:spacing w:val="-5"/>
          <w:sz w:val="24"/>
        </w:rPr>
        <w:t> </w:t>
      </w:r>
      <w:r>
        <w:rPr>
          <w:b/>
          <w:color w:val="3B5673"/>
          <w:sz w:val="24"/>
        </w:rPr>
        <w:t>-</w:t>
      </w:r>
      <w:r>
        <w:rPr>
          <w:b/>
          <w:color w:val="3B5673"/>
          <w:spacing w:val="-6"/>
          <w:sz w:val="24"/>
        </w:rPr>
        <w:t> </w:t>
      </w:r>
      <w:r>
        <w:rPr>
          <w:color w:val="231F20"/>
          <w:sz w:val="24"/>
        </w:rPr>
        <w:t>Improvements</w:t>
      </w:r>
      <w:r>
        <w:rPr>
          <w:color w:val="231F20"/>
          <w:spacing w:val="-5"/>
          <w:sz w:val="24"/>
        </w:rPr>
        <w:t> </w:t>
      </w:r>
      <w:r>
        <w:rPr>
          <w:color w:val="231F20"/>
          <w:sz w:val="24"/>
        </w:rPr>
        <w:t>to</w:t>
      </w:r>
      <w:r>
        <w:rPr>
          <w:color w:val="231F20"/>
          <w:spacing w:val="-4"/>
          <w:sz w:val="24"/>
        </w:rPr>
        <w:t> </w:t>
      </w:r>
      <w:r>
        <w:rPr>
          <w:color w:val="231F20"/>
          <w:sz w:val="24"/>
        </w:rPr>
        <w:t>the</w:t>
      </w:r>
      <w:r>
        <w:rPr>
          <w:color w:val="231F20"/>
          <w:spacing w:val="-4"/>
          <w:sz w:val="24"/>
        </w:rPr>
        <w:t> </w:t>
      </w:r>
      <w:r>
        <w:rPr>
          <w:color w:val="231F20"/>
          <w:sz w:val="24"/>
        </w:rPr>
        <w:t>thermal</w:t>
      </w:r>
      <w:r>
        <w:rPr>
          <w:color w:val="231F20"/>
          <w:spacing w:val="-4"/>
          <w:sz w:val="24"/>
        </w:rPr>
        <w:t> </w:t>
      </w:r>
      <w:r>
        <w:rPr>
          <w:color w:val="231F20"/>
          <w:sz w:val="24"/>
        </w:rPr>
        <w:t>efficiency of older private properties achieved through various ‘Green Homes’ schemes.</w:t>
      </w:r>
    </w:p>
    <w:p>
      <w:pPr>
        <w:spacing w:after="0" w:line="225" w:lineRule="auto"/>
        <w:jc w:val="both"/>
        <w:rPr>
          <w:sz w:val="24"/>
        </w:rPr>
        <w:sectPr>
          <w:pgSz w:w="11910" w:h="16840"/>
          <w:pgMar w:header="377" w:footer="367" w:top="560" w:bottom="560" w:left="0" w:right="0"/>
        </w:sectPr>
      </w:pPr>
    </w:p>
    <w:p>
      <w:pPr>
        <w:pStyle w:val="BodyText"/>
        <w:rPr>
          <w:sz w:val="28"/>
        </w:rPr>
      </w:pPr>
    </w:p>
    <w:p>
      <w:pPr>
        <w:spacing w:after="0"/>
        <w:rPr>
          <w:sz w:val="28"/>
        </w:rPr>
        <w:sectPr>
          <w:pgSz w:w="11910" w:h="16840"/>
          <w:pgMar w:header="377" w:footer="367" w:top="560" w:bottom="560" w:left="0" w:right="0"/>
        </w:sectPr>
      </w:pPr>
    </w:p>
    <w:p>
      <w:pPr>
        <w:pStyle w:val="Heading3"/>
      </w:pPr>
      <w:r>
        <w:rPr>
          <w:color w:val="3B5673"/>
        </w:rPr>
        <w:t>ECONOMIC</w:t>
      </w:r>
      <w:r>
        <w:rPr>
          <w:color w:val="3B5673"/>
          <w:spacing w:val="44"/>
        </w:rPr>
        <w:t> </w:t>
      </w:r>
      <w:r>
        <w:rPr>
          <w:color w:val="3B5673"/>
        </w:rPr>
        <w:t>GROWTH</w:t>
      </w:r>
      <w:r>
        <w:rPr>
          <w:color w:val="3B5673"/>
          <w:spacing w:val="45"/>
        </w:rPr>
        <w:t> </w:t>
      </w:r>
      <w:r>
        <w:rPr>
          <w:color w:val="3B5673"/>
        </w:rPr>
        <w:t>AND</w:t>
      </w:r>
      <w:r>
        <w:rPr>
          <w:color w:val="3B5673"/>
          <w:spacing w:val="45"/>
        </w:rPr>
        <w:t> </w:t>
      </w:r>
      <w:r>
        <w:rPr>
          <w:color w:val="3B5673"/>
          <w:spacing w:val="-4"/>
        </w:rPr>
        <w:t>PLACE</w:t>
      </w:r>
    </w:p>
    <w:p>
      <w:pPr>
        <w:pStyle w:val="ListParagraph"/>
        <w:numPr>
          <w:ilvl w:val="0"/>
          <w:numId w:val="8"/>
        </w:numPr>
        <w:tabs>
          <w:tab w:pos="737" w:val="left" w:leader="none"/>
        </w:tabs>
        <w:spacing w:line="225" w:lineRule="auto" w:before="6" w:after="0"/>
        <w:ind w:left="737" w:right="249" w:hanging="171"/>
        <w:jc w:val="left"/>
        <w:rPr>
          <w:sz w:val="24"/>
        </w:rPr>
      </w:pPr>
      <w:r>
        <w:rPr>
          <w:b/>
          <w:color w:val="3B5673"/>
          <w:sz w:val="24"/>
        </w:rPr>
        <w:t>Levelling</w:t>
      </w:r>
      <w:r>
        <w:rPr>
          <w:b/>
          <w:color w:val="3B5673"/>
          <w:spacing w:val="-5"/>
          <w:sz w:val="24"/>
        </w:rPr>
        <w:t> </w:t>
      </w:r>
      <w:r>
        <w:rPr>
          <w:b/>
          <w:color w:val="3B5673"/>
          <w:sz w:val="24"/>
        </w:rPr>
        <w:t>Up</w:t>
      </w:r>
      <w:r>
        <w:rPr>
          <w:b/>
          <w:color w:val="3B5673"/>
          <w:spacing w:val="-6"/>
          <w:sz w:val="24"/>
        </w:rPr>
        <w:t> </w:t>
      </w:r>
      <w:r>
        <w:rPr>
          <w:b/>
          <w:color w:val="3B5673"/>
          <w:sz w:val="24"/>
        </w:rPr>
        <w:t>Bid</w:t>
      </w:r>
      <w:r>
        <w:rPr>
          <w:b/>
          <w:color w:val="3B5673"/>
          <w:spacing w:val="-6"/>
          <w:sz w:val="24"/>
        </w:rPr>
        <w:t> </w:t>
      </w:r>
      <w:r>
        <w:rPr>
          <w:b/>
          <w:color w:val="3B5673"/>
          <w:sz w:val="24"/>
        </w:rPr>
        <w:t>for</w:t>
      </w:r>
      <w:r>
        <w:rPr>
          <w:b/>
          <w:color w:val="3B5673"/>
          <w:spacing w:val="-6"/>
          <w:sz w:val="24"/>
        </w:rPr>
        <w:t> </w:t>
      </w:r>
      <w:r>
        <w:rPr>
          <w:b/>
          <w:color w:val="3B5673"/>
          <w:sz w:val="24"/>
        </w:rPr>
        <w:t>the</w:t>
      </w:r>
      <w:r>
        <w:rPr>
          <w:b/>
          <w:color w:val="3B5673"/>
          <w:spacing w:val="-6"/>
          <w:sz w:val="24"/>
        </w:rPr>
        <w:t> </w:t>
      </w:r>
      <w:r>
        <w:rPr>
          <w:b/>
          <w:color w:val="3B5673"/>
          <w:sz w:val="24"/>
        </w:rPr>
        <w:t>Science</w:t>
      </w:r>
      <w:r>
        <w:rPr>
          <w:b/>
          <w:color w:val="3B5673"/>
          <w:spacing w:val="-5"/>
          <w:sz w:val="24"/>
        </w:rPr>
        <w:t> </w:t>
      </w:r>
      <w:r>
        <w:rPr>
          <w:b/>
          <w:color w:val="3B5673"/>
          <w:sz w:val="24"/>
        </w:rPr>
        <w:t>Discovery Centre and Planetarium - </w:t>
      </w:r>
      <w:r>
        <w:rPr>
          <w:color w:val="231F20"/>
          <w:sz w:val="24"/>
        </w:rPr>
        <w:t>was successful securing £3.1m match funding.</w:t>
      </w:r>
    </w:p>
    <w:p>
      <w:pPr>
        <w:pStyle w:val="ListParagraph"/>
        <w:numPr>
          <w:ilvl w:val="0"/>
          <w:numId w:val="8"/>
        </w:numPr>
        <w:tabs>
          <w:tab w:pos="737" w:val="left" w:leader="none"/>
        </w:tabs>
        <w:spacing w:line="225" w:lineRule="auto" w:before="56" w:after="0"/>
        <w:ind w:left="737" w:right="94" w:hanging="171"/>
        <w:jc w:val="left"/>
        <w:rPr>
          <w:sz w:val="24"/>
        </w:rPr>
      </w:pPr>
      <w:r>
        <w:rPr>
          <w:b/>
          <w:color w:val="3B5673"/>
          <w:sz w:val="24"/>
        </w:rPr>
        <w:t>The four Future High Street projects - </w:t>
      </w:r>
      <w:r>
        <w:rPr>
          <w:color w:val="231F20"/>
          <w:sz w:val="24"/>
        </w:rPr>
        <w:t>have progressed</w:t>
      </w:r>
      <w:r>
        <w:rPr>
          <w:color w:val="231F20"/>
          <w:spacing w:val="-6"/>
          <w:sz w:val="24"/>
        </w:rPr>
        <w:t> </w:t>
      </w:r>
      <w:r>
        <w:rPr>
          <w:color w:val="231F20"/>
          <w:sz w:val="24"/>
        </w:rPr>
        <w:t>well</w:t>
      </w:r>
      <w:r>
        <w:rPr>
          <w:color w:val="231F20"/>
          <w:spacing w:val="-6"/>
          <w:sz w:val="24"/>
        </w:rPr>
        <w:t> </w:t>
      </w:r>
      <w:r>
        <w:rPr>
          <w:color w:val="231F20"/>
          <w:sz w:val="24"/>
        </w:rPr>
        <w:t>with</w:t>
      </w:r>
      <w:r>
        <w:rPr>
          <w:color w:val="231F20"/>
          <w:spacing w:val="-6"/>
          <w:sz w:val="24"/>
        </w:rPr>
        <w:t> </w:t>
      </w:r>
      <w:r>
        <w:rPr>
          <w:color w:val="231F20"/>
          <w:sz w:val="24"/>
        </w:rPr>
        <w:t>the</w:t>
      </w:r>
      <w:r>
        <w:rPr>
          <w:color w:val="231F20"/>
          <w:spacing w:val="-6"/>
          <w:sz w:val="24"/>
        </w:rPr>
        <w:t> </w:t>
      </w:r>
      <w:r>
        <w:rPr>
          <w:color w:val="231F20"/>
          <w:sz w:val="24"/>
        </w:rPr>
        <w:t>14</w:t>
      </w:r>
      <w:r>
        <w:rPr>
          <w:color w:val="231F20"/>
          <w:spacing w:val="-7"/>
          <w:sz w:val="24"/>
        </w:rPr>
        <w:t> </w:t>
      </w:r>
      <w:r>
        <w:rPr>
          <w:color w:val="231F20"/>
          <w:sz w:val="24"/>
        </w:rPr>
        <w:t>Low</w:t>
      </w:r>
      <w:r>
        <w:rPr>
          <w:color w:val="231F20"/>
          <w:spacing w:val="-6"/>
          <w:sz w:val="24"/>
        </w:rPr>
        <w:t> </w:t>
      </w:r>
      <w:r>
        <w:rPr>
          <w:color w:val="231F20"/>
          <w:sz w:val="24"/>
        </w:rPr>
        <w:t>Street</w:t>
      </w:r>
      <w:r>
        <w:rPr>
          <w:color w:val="231F20"/>
          <w:spacing w:val="-6"/>
          <w:sz w:val="24"/>
        </w:rPr>
        <w:t> </w:t>
      </w:r>
      <w:r>
        <w:rPr>
          <w:color w:val="231F20"/>
          <w:sz w:val="24"/>
        </w:rPr>
        <w:t>project delivered for the end of May 2023 with the other projects well advanced and most will be delivered, as planned, during 2023/24.</w:t>
      </w:r>
    </w:p>
    <w:p>
      <w:pPr>
        <w:pStyle w:val="ListParagraph"/>
        <w:numPr>
          <w:ilvl w:val="0"/>
          <w:numId w:val="8"/>
        </w:numPr>
        <w:tabs>
          <w:tab w:pos="737" w:val="left" w:leader="none"/>
        </w:tabs>
        <w:spacing w:line="225" w:lineRule="auto" w:before="57" w:after="0"/>
        <w:ind w:left="737" w:right="16" w:hanging="171"/>
        <w:jc w:val="left"/>
        <w:rPr>
          <w:sz w:val="24"/>
        </w:rPr>
      </w:pPr>
      <w:r>
        <w:rPr>
          <w:b/>
          <w:color w:val="3B5673"/>
          <w:sz w:val="24"/>
        </w:rPr>
        <w:t>Business</w:t>
      </w:r>
      <w:r>
        <w:rPr>
          <w:b/>
          <w:color w:val="3B5673"/>
          <w:spacing w:val="-7"/>
          <w:sz w:val="24"/>
        </w:rPr>
        <w:t> </w:t>
      </w:r>
      <w:r>
        <w:rPr>
          <w:b/>
          <w:color w:val="3B5673"/>
          <w:sz w:val="24"/>
        </w:rPr>
        <w:t>Support</w:t>
      </w:r>
      <w:r>
        <w:rPr>
          <w:b/>
          <w:color w:val="3B5673"/>
          <w:spacing w:val="-7"/>
          <w:sz w:val="24"/>
        </w:rPr>
        <w:t> </w:t>
      </w:r>
      <w:r>
        <w:rPr>
          <w:b/>
          <w:color w:val="3B5673"/>
          <w:sz w:val="24"/>
        </w:rPr>
        <w:t>-</w:t>
      </w:r>
      <w:r>
        <w:rPr>
          <w:b/>
          <w:color w:val="3B5673"/>
          <w:spacing w:val="-7"/>
          <w:sz w:val="24"/>
        </w:rPr>
        <w:t> </w:t>
      </w:r>
      <w:r>
        <w:rPr>
          <w:color w:val="231F20"/>
          <w:sz w:val="24"/>
        </w:rPr>
        <w:t>quarterly</w:t>
      </w:r>
      <w:r>
        <w:rPr>
          <w:color w:val="231F20"/>
          <w:spacing w:val="-6"/>
          <w:sz w:val="24"/>
        </w:rPr>
        <w:t> </w:t>
      </w:r>
      <w:r>
        <w:rPr>
          <w:color w:val="231F20"/>
          <w:sz w:val="24"/>
        </w:rPr>
        <w:t>update</w:t>
      </w:r>
      <w:r>
        <w:rPr>
          <w:color w:val="231F20"/>
          <w:spacing w:val="-6"/>
          <w:sz w:val="24"/>
        </w:rPr>
        <w:t> </w:t>
      </w:r>
      <w:r>
        <w:rPr>
          <w:color w:val="231F20"/>
          <w:sz w:val="24"/>
        </w:rPr>
        <w:t>meetings are held with a range of industry sector stakeholders and partners to discuss delivery</w:t>
      </w:r>
      <w:r>
        <w:rPr>
          <w:color w:val="231F20"/>
          <w:spacing w:val="40"/>
          <w:sz w:val="24"/>
        </w:rPr>
        <w:t> </w:t>
      </w:r>
      <w:r>
        <w:rPr>
          <w:color w:val="231F20"/>
          <w:sz w:val="24"/>
        </w:rPr>
        <w:t>of business support and inward investment goals for the District. Our third Business Leaders Networking Event was held in March 2023 showcasing the business benefits of apprenticeships. These events are part of the local UK Shared Prosperity funding supporting local business delivery. Two further events are planned for May and November 2023.</w:t>
      </w:r>
    </w:p>
    <w:p>
      <w:pPr>
        <w:pStyle w:val="ListParagraph"/>
        <w:numPr>
          <w:ilvl w:val="0"/>
          <w:numId w:val="8"/>
        </w:numPr>
        <w:tabs>
          <w:tab w:pos="737" w:val="left" w:leader="none"/>
        </w:tabs>
        <w:spacing w:line="225" w:lineRule="auto" w:before="56" w:after="0"/>
        <w:ind w:left="737" w:right="0" w:hanging="171"/>
        <w:jc w:val="left"/>
        <w:rPr>
          <w:sz w:val="24"/>
        </w:rPr>
      </w:pPr>
      <w:r>
        <w:rPr>
          <w:b/>
          <w:color w:val="3B5673"/>
          <w:sz w:val="24"/>
        </w:rPr>
        <w:t>Business Development </w:t>
      </w:r>
      <w:r>
        <w:rPr>
          <w:color w:val="231F20"/>
          <w:sz w:val="24"/>
        </w:rPr>
        <w:t>- proposals around Junction 27 of the M1 motorway are progressing with discussions with Highways England and Nottinghamshire County Council. Discussions</w:t>
      </w:r>
      <w:r>
        <w:rPr>
          <w:color w:val="231F20"/>
          <w:spacing w:val="-5"/>
          <w:sz w:val="24"/>
        </w:rPr>
        <w:t> </w:t>
      </w:r>
      <w:r>
        <w:rPr>
          <w:color w:val="231F20"/>
          <w:sz w:val="24"/>
        </w:rPr>
        <w:t>also</w:t>
      </w:r>
      <w:r>
        <w:rPr>
          <w:color w:val="231F20"/>
          <w:spacing w:val="-4"/>
          <w:sz w:val="24"/>
        </w:rPr>
        <w:t> </w:t>
      </w:r>
      <w:r>
        <w:rPr>
          <w:color w:val="231F20"/>
          <w:sz w:val="24"/>
        </w:rPr>
        <w:t>continue</w:t>
      </w:r>
      <w:r>
        <w:rPr>
          <w:color w:val="231F20"/>
          <w:spacing w:val="-4"/>
          <w:sz w:val="24"/>
        </w:rPr>
        <w:t> </w:t>
      </w:r>
      <w:r>
        <w:rPr>
          <w:color w:val="231F20"/>
          <w:sz w:val="24"/>
        </w:rPr>
        <w:t>with</w:t>
      </w:r>
      <w:r>
        <w:rPr>
          <w:color w:val="231F20"/>
          <w:spacing w:val="-4"/>
          <w:sz w:val="24"/>
        </w:rPr>
        <w:t> </w:t>
      </w:r>
      <w:r>
        <w:rPr>
          <w:color w:val="231F20"/>
          <w:sz w:val="24"/>
        </w:rPr>
        <w:t>partners</w:t>
      </w:r>
      <w:r>
        <w:rPr>
          <w:color w:val="231F20"/>
          <w:spacing w:val="-4"/>
          <w:sz w:val="24"/>
        </w:rPr>
        <w:t> </w:t>
      </w:r>
      <w:r>
        <w:rPr>
          <w:color w:val="231F20"/>
          <w:sz w:val="24"/>
        </w:rPr>
        <w:t>around raising</w:t>
      </w:r>
      <w:r>
        <w:rPr>
          <w:color w:val="231F20"/>
          <w:spacing w:val="-6"/>
          <w:sz w:val="24"/>
        </w:rPr>
        <w:t> </w:t>
      </w:r>
      <w:r>
        <w:rPr>
          <w:color w:val="231F20"/>
          <w:sz w:val="24"/>
        </w:rPr>
        <w:t>the</w:t>
      </w:r>
      <w:r>
        <w:rPr>
          <w:color w:val="231F20"/>
          <w:spacing w:val="-6"/>
          <w:sz w:val="24"/>
        </w:rPr>
        <w:t> </w:t>
      </w:r>
      <w:r>
        <w:rPr>
          <w:color w:val="231F20"/>
          <w:sz w:val="24"/>
        </w:rPr>
        <w:t>profile</w:t>
      </w:r>
      <w:r>
        <w:rPr>
          <w:color w:val="231F20"/>
          <w:spacing w:val="-6"/>
          <w:sz w:val="24"/>
        </w:rPr>
        <w:t> </w:t>
      </w:r>
      <w:r>
        <w:rPr>
          <w:color w:val="231F20"/>
          <w:sz w:val="24"/>
        </w:rPr>
        <w:t>of</w:t>
      </w:r>
      <w:r>
        <w:rPr>
          <w:color w:val="231F20"/>
          <w:spacing w:val="-6"/>
          <w:sz w:val="24"/>
        </w:rPr>
        <w:t> </w:t>
      </w:r>
      <w:r>
        <w:rPr>
          <w:color w:val="231F20"/>
          <w:sz w:val="24"/>
        </w:rPr>
        <w:t>the</w:t>
      </w:r>
      <w:r>
        <w:rPr>
          <w:color w:val="231F20"/>
          <w:spacing w:val="-6"/>
          <w:sz w:val="24"/>
        </w:rPr>
        <w:t> </w:t>
      </w:r>
      <w:r>
        <w:rPr>
          <w:color w:val="231F20"/>
          <w:sz w:val="24"/>
        </w:rPr>
        <w:t>potential</w:t>
      </w:r>
      <w:r>
        <w:rPr>
          <w:color w:val="231F20"/>
          <w:spacing w:val="-6"/>
          <w:sz w:val="24"/>
        </w:rPr>
        <w:t> </w:t>
      </w:r>
      <w:r>
        <w:rPr>
          <w:color w:val="231F20"/>
          <w:sz w:val="24"/>
        </w:rPr>
        <w:t>of</w:t>
      </w:r>
      <w:r>
        <w:rPr>
          <w:color w:val="231F20"/>
          <w:spacing w:val="-6"/>
          <w:sz w:val="24"/>
        </w:rPr>
        <w:t> </w:t>
      </w:r>
      <w:r>
        <w:rPr>
          <w:color w:val="231F20"/>
          <w:sz w:val="24"/>
        </w:rPr>
        <w:t>reopening the Maid Marian Line.</w:t>
      </w:r>
    </w:p>
    <w:p>
      <w:pPr>
        <w:pStyle w:val="ListParagraph"/>
        <w:numPr>
          <w:ilvl w:val="0"/>
          <w:numId w:val="8"/>
        </w:numPr>
        <w:tabs>
          <w:tab w:pos="737" w:val="left" w:leader="none"/>
        </w:tabs>
        <w:spacing w:line="225" w:lineRule="auto" w:before="56" w:after="0"/>
        <w:ind w:left="737" w:right="42" w:hanging="171"/>
        <w:jc w:val="left"/>
        <w:rPr>
          <w:sz w:val="24"/>
        </w:rPr>
      </w:pPr>
      <w:r>
        <w:rPr/>
        <w:drawing>
          <wp:anchor distT="0" distB="0" distL="0" distR="0" allowOverlap="1" layoutInCell="1" locked="0" behindDoc="0" simplePos="0" relativeHeight="15744000">
            <wp:simplePos x="0" y="0"/>
            <wp:positionH relativeFrom="page">
              <wp:posOffset>3870007</wp:posOffset>
            </wp:positionH>
            <wp:positionV relativeFrom="paragraph">
              <wp:posOffset>857698</wp:posOffset>
            </wp:positionV>
            <wp:extent cx="3689997" cy="3185998"/>
            <wp:effectExtent l="0" t="0" r="0" b="0"/>
            <wp:wrapNone/>
            <wp:docPr id="21" name="image15.jpeg"/>
            <wp:cNvGraphicFramePr>
              <a:graphicFrameLocks noChangeAspect="1"/>
            </wp:cNvGraphicFramePr>
            <a:graphic>
              <a:graphicData uri="http://schemas.openxmlformats.org/drawingml/2006/picture">
                <pic:pic>
                  <pic:nvPicPr>
                    <pic:cNvPr id="22" name="image15.jpeg"/>
                    <pic:cNvPicPr/>
                  </pic:nvPicPr>
                  <pic:blipFill>
                    <a:blip r:embed="rId33" cstate="print"/>
                    <a:stretch>
                      <a:fillRect/>
                    </a:stretch>
                  </pic:blipFill>
                  <pic:spPr>
                    <a:xfrm>
                      <a:off x="0" y="0"/>
                      <a:ext cx="3689997" cy="3185998"/>
                    </a:xfrm>
                    <a:prstGeom prst="rect">
                      <a:avLst/>
                    </a:prstGeom>
                  </pic:spPr>
                </pic:pic>
              </a:graphicData>
            </a:graphic>
          </wp:anchor>
        </w:drawing>
      </w:r>
      <w:r>
        <w:rPr>
          <w:b/>
          <w:color w:val="3B5673"/>
          <w:sz w:val="24"/>
        </w:rPr>
        <w:t>Town Centres - </w:t>
      </w:r>
      <w:r>
        <w:rPr>
          <w:color w:val="231F20"/>
          <w:sz w:val="24"/>
        </w:rPr>
        <w:t>Idlewells Market is at 91% occupancy with only 3 stalls vacant at the end of</w:t>
      </w:r>
      <w:r>
        <w:rPr>
          <w:color w:val="231F20"/>
          <w:spacing w:val="-5"/>
          <w:sz w:val="24"/>
        </w:rPr>
        <w:t> </w:t>
      </w:r>
      <w:r>
        <w:rPr>
          <w:color w:val="231F20"/>
          <w:sz w:val="24"/>
        </w:rPr>
        <w:t>March</w:t>
      </w:r>
      <w:r>
        <w:rPr>
          <w:color w:val="231F20"/>
          <w:spacing w:val="-5"/>
          <w:sz w:val="24"/>
        </w:rPr>
        <w:t> </w:t>
      </w:r>
      <w:r>
        <w:rPr>
          <w:color w:val="231F20"/>
          <w:sz w:val="24"/>
        </w:rPr>
        <w:t>2023.</w:t>
      </w:r>
      <w:r>
        <w:rPr>
          <w:color w:val="231F20"/>
          <w:spacing w:val="-6"/>
          <w:sz w:val="24"/>
        </w:rPr>
        <w:t> </w:t>
      </w:r>
      <w:r>
        <w:rPr>
          <w:color w:val="231F20"/>
          <w:sz w:val="24"/>
        </w:rPr>
        <w:t>Town</w:t>
      </w:r>
      <w:r>
        <w:rPr>
          <w:color w:val="231F20"/>
          <w:spacing w:val="-5"/>
          <w:sz w:val="24"/>
        </w:rPr>
        <w:t> </w:t>
      </w:r>
      <w:r>
        <w:rPr>
          <w:color w:val="231F20"/>
          <w:sz w:val="24"/>
        </w:rPr>
        <w:t>Centre</w:t>
      </w:r>
      <w:r>
        <w:rPr>
          <w:color w:val="231F20"/>
          <w:spacing w:val="-6"/>
          <w:sz w:val="24"/>
        </w:rPr>
        <w:t> </w:t>
      </w:r>
      <w:r>
        <w:rPr>
          <w:color w:val="231F20"/>
          <w:sz w:val="24"/>
        </w:rPr>
        <w:t>unit</w:t>
      </w:r>
      <w:r>
        <w:rPr>
          <w:color w:val="231F20"/>
          <w:spacing w:val="-5"/>
          <w:sz w:val="24"/>
        </w:rPr>
        <w:t> </w:t>
      </w:r>
      <w:r>
        <w:rPr>
          <w:color w:val="231F20"/>
          <w:sz w:val="24"/>
        </w:rPr>
        <w:t>vacancy</w:t>
      </w:r>
      <w:r>
        <w:rPr>
          <w:color w:val="231F20"/>
          <w:spacing w:val="-5"/>
          <w:sz w:val="24"/>
        </w:rPr>
        <w:t> </w:t>
      </w:r>
      <w:r>
        <w:rPr>
          <w:color w:val="231F20"/>
          <w:sz w:val="24"/>
        </w:rPr>
        <w:t>rates are</w:t>
      </w:r>
      <w:r>
        <w:rPr>
          <w:color w:val="231F20"/>
          <w:spacing w:val="-4"/>
          <w:sz w:val="24"/>
        </w:rPr>
        <w:t> </w:t>
      </w:r>
      <w:r>
        <w:rPr>
          <w:color w:val="231F20"/>
          <w:sz w:val="24"/>
        </w:rPr>
        <w:t>also</w:t>
      </w:r>
      <w:r>
        <w:rPr>
          <w:color w:val="231F20"/>
          <w:spacing w:val="-4"/>
          <w:sz w:val="24"/>
        </w:rPr>
        <w:t> </w:t>
      </w:r>
      <w:r>
        <w:rPr>
          <w:color w:val="231F20"/>
          <w:sz w:val="24"/>
        </w:rPr>
        <w:t>lower</w:t>
      </w:r>
      <w:r>
        <w:rPr>
          <w:color w:val="231F20"/>
          <w:spacing w:val="-5"/>
          <w:sz w:val="24"/>
        </w:rPr>
        <w:t> </w:t>
      </w:r>
      <w:r>
        <w:rPr>
          <w:color w:val="231F20"/>
          <w:sz w:val="24"/>
        </w:rPr>
        <w:t>at</w:t>
      </w:r>
      <w:r>
        <w:rPr>
          <w:color w:val="231F20"/>
          <w:spacing w:val="-4"/>
          <w:sz w:val="24"/>
        </w:rPr>
        <w:t> </w:t>
      </w:r>
      <w:r>
        <w:rPr>
          <w:color w:val="231F20"/>
          <w:sz w:val="24"/>
        </w:rPr>
        <w:t>9%,</w:t>
      </w:r>
      <w:r>
        <w:rPr>
          <w:color w:val="231F20"/>
          <w:spacing w:val="-5"/>
          <w:sz w:val="24"/>
        </w:rPr>
        <w:t> </w:t>
      </w:r>
      <w:r>
        <w:rPr>
          <w:color w:val="231F20"/>
          <w:sz w:val="24"/>
        </w:rPr>
        <w:t>11%</w:t>
      </w:r>
      <w:r>
        <w:rPr>
          <w:color w:val="231F20"/>
          <w:spacing w:val="-5"/>
          <w:sz w:val="24"/>
        </w:rPr>
        <w:t> </w:t>
      </w:r>
      <w:r>
        <w:rPr>
          <w:color w:val="231F20"/>
          <w:sz w:val="24"/>
        </w:rPr>
        <w:t>and</w:t>
      </w:r>
      <w:r>
        <w:rPr>
          <w:color w:val="231F20"/>
          <w:spacing w:val="-4"/>
          <w:sz w:val="24"/>
        </w:rPr>
        <w:t> </w:t>
      </w:r>
      <w:r>
        <w:rPr>
          <w:color w:val="231F20"/>
          <w:sz w:val="24"/>
        </w:rPr>
        <w:t>9%</w:t>
      </w:r>
      <w:r>
        <w:rPr>
          <w:color w:val="231F20"/>
          <w:spacing w:val="-5"/>
          <w:sz w:val="24"/>
        </w:rPr>
        <w:t> </w:t>
      </w:r>
      <w:r>
        <w:rPr>
          <w:color w:val="231F20"/>
          <w:sz w:val="24"/>
        </w:rPr>
        <w:t>for</w:t>
      </w:r>
      <w:r>
        <w:rPr>
          <w:color w:val="231F20"/>
          <w:spacing w:val="-4"/>
          <w:sz w:val="24"/>
        </w:rPr>
        <w:t> </w:t>
      </w:r>
      <w:r>
        <w:rPr>
          <w:color w:val="231F20"/>
          <w:sz w:val="24"/>
        </w:rPr>
        <w:t>Hucknall, Kirkby and Sutton respectively.</w:t>
      </w:r>
    </w:p>
    <w:p>
      <w:pPr>
        <w:pStyle w:val="ListParagraph"/>
        <w:numPr>
          <w:ilvl w:val="0"/>
          <w:numId w:val="8"/>
        </w:numPr>
        <w:tabs>
          <w:tab w:pos="737" w:val="left" w:leader="none"/>
        </w:tabs>
        <w:spacing w:line="225" w:lineRule="auto" w:before="56" w:after="0"/>
        <w:ind w:left="737" w:right="61" w:hanging="171"/>
        <w:jc w:val="left"/>
        <w:rPr>
          <w:sz w:val="24"/>
        </w:rPr>
      </w:pPr>
      <w:r>
        <w:rPr>
          <w:b/>
          <w:color w:val="3B5673"/>
          <w:sz w:val="24"/>
        </w:rPr>
        <w:t>Towns Fund Key Projects - </w:t>
      </w:r>
      <w:r>
        <w:rPr>
          <w:color w:val="231F20"/>
          <w:sz w:val="24"/>
        </w:rPr>
        <w:t>Good progress is being</w:t>
      </w:r>
      <w:r>
        <w:rPr>
          <w:color w:val="231F20"/>
          <w:spacing w:val="-9"/>
          <w:sz w:val="24"/>
        </w:rPr>
        <w:t> </w:t>
      </w:r>
      <w:r>
        <w:rPr>
          <w:color w:val="231F20"/>
          <w:sz w:val="24"/>
        </w:rPr>
        <w:t>made</w:t>
      </w:r>
      <w:r>
        <w:rPr>
          <w:color w:val="231F20"/>
          <w:spacing w:val="-10"/>
          <w:sz w:val="24"/>
        </w:rPr>
        <w:t> </w:t>
      </w:r>
      <w:r>
        <w:rPr>
          <w:color w:val="231F20"/>
          <w:sz w:val="24"/>
        </w:rPr>
        <w:t>with</w:t>
      </w:r>
      <w:r>
        <w:rPr>
          <w:color w:val="231F20"/>
          <w:spacing w:val="-9"/>
          <w:sz w:val="24"/>
        </w:rPr>
        <w:t> </w:t>
      </w:r>
      <w:r>
        <w:rPr>
          <w:color w:val="231F20"/>
          <w:sz w:val="24"/>
        </w:rPr>
        <w:t>eight</w:t>
      </w:r>
      <w:r>
        <w:rPr>
          <w:color w:val="231F20"/>
          <w:spacing w:val="-9"/>
          <w:sz w:val="24"/>
        </w:rPr>
        <w:t> </w:t>
      </w:r>
      <w:r>
        <w:rPr>
          <w:color w:val="231F20"/>
          <w:sz w:val="24"/>
        </w:rPr>
        <w:t>of</w:t>
      </w:r>
      <w:r>
        <w:rPr>
          <w:color w:val="231F20"/>
          <w:spacing w:val="-9"/>
          <w:sz w:val="24"/>
        </w:rPr>
        <w:t> </w:t>
      </w:r>
      <w:r>
        <w:rPr>
          <w:color w:val="231F20"/>
          <w:sz w:val="24"/>
        </w:rPr>
        <w:t>the</w:t>
      </w:r>
      <w:r>
        <w:rPr>
          <w:color w:val="231F20"/>
          <w:spacing w:val="-9"/>
          <w:sz w:val="24"/>
        </w:rPr>
        <w:t> </w:t>
      </w:r>
      <w:r>
        <w:rPr>
          <w:color w:val="231F20"/>
          <w:sz w:val="24"/>
        </w:rPr>
        <w:t>seventeen</w:t>
      </w:r>
      <w:r>
        <w:rPr>
          <w:color w:val="231F20"/>
          <w:spacing w:val="-10"/>
          <w:sz w:val="24"/>
        </w:rPr>
        <w:t> </w:t>
      </w:r>
      <w:r>
        <w:rPr>
          <w:color w:val="231F20"/>
          <w:sz w:val="24"/>
        </w:rPr>
        <w:t>Towns Fund projects now in the delivery phase and</w:t>
      </w:r>
    </w:p>
    <w:p>
      <w:pPr>
        <w:pStyle w:val="BodyText"/>
        <w:spacing w:line="294" w:lineRule="exact"/>
        <w:ind w:left="737"/>
      </w:pPr>
      <w:r>
        <w:rPr>
          <w:color w:val="231F20"/>
        </w:rPr>
        <w:t>a number of these will be completed </w:t>
      </w:r>
      <w:r>
        <w:rPr>
          <w:color w:val="231F20"/>
          <w:spacing w:val="-2"/>
        </w:rPr>
        <w:t>during</w:t>
      </w:r>
    </w:p>
    <w:p>
      <w:pPr>
        <w:pStyle w:val="BodyText"/>
        <w:spacing w:line="310" w:lineRule="exact"/>
        <w:ind w:left="737"/>
      </w:pPr>
      <w:r>
        <w:rPr>
          <w:color w:val="231F20"/>
          <w:spacing w:val="-2"/>
        </w:rPr>
        <w:t>2023/24.</w:t>
      </w:r>
    </w:p>
    <w:p>
      <w:pPr>
        <w:pStyle w:val="ListParagraph"/>
        <w:numPr>
          <w:ilvl w:val="0"/>
          <w:numId w:val="8"/>
        </w:numPr>
        <w:tabs>
          <w:tab w:pos="737" w:val="left" w:leader="none"/>
        </w:tabs>
        <w:spacing w:line="225" w:lineRule="auto" w:before="53" w:after="0"/>
        <w:ind w:left="737" w:right="145" w:hanging="171"/>
        <w:jc w:val="left"/>
        <w:rPr>
          <w:sz w:val="24"/>
        </w:rPr>
      </w:pPr>
      <w:r>
        <w:rPr>
          <w:b/>
          <w:color w:val="3B5673"/>
          <w:sz w:val="24"/>
        </w:rPr>
        <w:t>Dilapidated Buildings - </w:t>
      </w:r>
      <w:r>
        <w:rPr>
          <w:color w:val="231F20"/>
          <w:sz w:val="24"/>
        </w:rPr>
        <w:t>there have been several</w:t>
      </w:r>
      <w:r>
        <w:rPr>
          <w:color w:val="231F20"/>
          <w:spacing w:val="-7"/>
          <w:sz w:val="24"/>
        </w:rPr>
        <w:t> </w:t>
      </w:r>
      <w:r>
        <w:rPr>
          <w:color w:val="231F20"/>
          <w:sz w:val="24"/>
        </w:rPr>
        <w:t>successes</w:t>
      </w:r>
      <w:r>
        <w:rPr>
          <w:color w:val="231F20"/>
          <w:spacing w:val="-7"/>
          <w:sz w:val="24"/>
        </w:rPr>
        <w:t> </w:t>
      </w:r>
      <w:r>
        <w:rPr>
          <w:color w:val="231F20"/>
          <w:sz w:val="24"/>
        </w:rPr>
        <w:t>this</w:t>
      </w:r>
      <w:r>
        <w:rPr>
          <w:color w:val="231F20"/>
          <w:spacing w:val="-6"/>
          <w:sz w:val="24"/>
        </w:rPr>
        <w:t> </w:t>
      </w:r>
      <w:r>
        <w:rPr>
          <w:color w:val="231F20"/>
          <w:sz w:val="24"/>
        </w:rPr>
        <w:t>year</w:t>
      </w:r>
      <w:r>
        <w:rPr>
          <w:color w:val="231F20"/>
          <w:spacing w:val="-6"/>
          <w:sz w:val="24"/>
        </w:rPr>
        <w:t> </w:t>
      </w:r>
      <w:r>
        <w:rPr>
          <w:color w:val="231F20"/>
          <w:sz w:val="24"/>
        </w:rPr>
        <w:t>and</w:t>
      </w:r>
      <w:r>
        <w:rPr>
          <w:color w:val="231F20"/>
          <w:spacing w:val="-6"/>
          <w:sz w:val="24"/>
        </w:rPr>
        <w:t> </w:t>
      </w:r>
      <w:r>
        <w:rPr>
          <w:color w:val="231F20"/>
          <w:sz w:val="24"/>
        </w:rPr>
        <w:t>good</w:t>
      </w:r>
      <w:r>
        <w:rPr>
          <w:color w:val="231F20"/>
          <w:spacing w:val="-6"/>
          <w:sz w:val="24"/>
        </w:rPr>
        <w:t> </w:t>
      </w:r>
      <w:r>
        <w:rPr>
          <w:color w:val="231F20"/>
          <w:sz w:val="24"/>
        </w:rPr>
        <w:t>progress made dealing with dilapidated buildings.</w:t>
      </w:r>
    </w:p>
    <w:p>
      <w:pPr>
        <w:pStyle w:val="ListParagraph"/>
        <w:numPr>
          <w:ilvl w:val="0"/>
          <w:numId w:val="8"/>
        </w:numPr>
        <w:tabs>
          <w:tab w:pos="493" w:val="left" w:leader="none"/>
        </w:tabs>
        <w:spacing w:line="225" w:lineRule="auto" w:before="115" w:after="0"/>
        <w:ind w:left="492" w:right="633" w:hanging="171"/>
        <w:jc w:val="both"/>
        <w:rPr>
          <w:sz w:val="24"/>
        </w:rPr>
      </w:pPr>
      <w:r>
        <w:rPr/>
        <w:br w:type="column"/>
      </w:r>
      <w:r>
        <w:rPr>
          <w:b/>
          <w:color w:val="3B5673"/>
          <w:sz w:val="24"/>
        </w:rPr>
        <w:t>UK</w:t>
      </w:r>
      <w:r>
        <w:rPr>
          <w:b/>
          <w:color w:val="3B5673"/>
          <w:spacing w:val="-7"/>
          <w:sz w:val="24"/>
        </w:rPr>
        <w:t> </w:t>
      </w:r>
      <w:r>
        <w:rPr>
          <w:b/>
          <w:color w:val="3B5673"/>
          <w:sz w:val="24"/>
        </w:rPr>
        <w:t>Shared</w:t>
      </w:r>
      <w:r>
        <w:rPr>
          <w:b/>
          <w:color w:val="3B5673"/>
          <w:spacing w:val="-6"/>
          <w:sz w:val="24"/>
        </w:rPr>
        <w:t> </w:t>
      </w:r>
      <w:r>
        <w:rPr>
          <w:b/>
          <w:color w:val="3B5673"/>
          <w:sz w:val="24"/>
        </w:rPr>
        <w:t>Prosperity</w:t>
      </w:r>
      <w:r>
        <w:rPr>
          <w:b/>
          <w:color w:val="3B5673"/>
          <w:spacing w:val="-7"/>
          <w:sz w:val="24"/>
        </w:rPr>
        <w:t> </w:t>
      </w:r>
      <w:r>
        <w:rPr>
          <w:b/>
          <w:color w:val="3B5673"/>
          <w:sz w:val="24"/>
        </w:rPr>
        <w:t>Fund</w:t>
      </w:r>
      <w:r>
        <w:rPr>
          <w:b/>
          <w:color w:val="3B5673"/>
          <w:spacing w:val="-6"/>
          <w:sz w:val="24"/>
        </w:rPr>
        <w:t> </w:t>
      </w:r>
      <w:r>
        <w:rPr>
          <w:b/>
          <w:color w:val="3B5673"/>
          <w:sz w:val="24"/>
        </w:rPr>
        <w:t>-</w:t>
      </w:r>
      <w:r>
        <w:rPr>
          <w:b/>
          <w:color w:val="3B5673"/>
          <w:spacing w:val="-6"/>
          <w:sz w:val="24"/>
        </w:rPr>
        <w:t> </w:t>
      </w:r>
      <w:r>
        <w:rPr>
          <w:color w:val="231F20"/>
          <w:sz w:val="24"/>
        </w:rPr>
        <w:t>Work</w:t>
      </w:r>
      <w:r>
        <w:rPr>
          <w:color w:val="231F20"/>
          <w:spacing w:val="-6"/>
          <w:sz w:val="24"/>
        </w:rPr>
        <w:t> </w:t>
      </w:r>
      <w:r>
        <w:rPr>
          <w:color w:val="231F20"/>
          <w:sz w:val="24"/>
        </w:rPr>
        <w:t>is</w:t>
      </w:r>
      <w:r>
        <w:rPr>
          <w:color w:val="231F20"/>
          <w:spacing w:val="-7"/>
          <w:sz w:val="24"/>
        </w:rPr>
        <w:t> </w:t>
      </w:r>
      <w:r>
        <w:rPr>
          <w:color w:val="231F20"/>
          <w:sz w:val="24"/>
        </w:rPr>
        <w:t>ongoing to deliver the programme which includes</w:t>
      </w:r>
    </w:p>
    <w:p>
      <w:pPr>
        <w:pStyle w:val="BodyText"/>
        <w:spacing w:line="225" w:lineRule="auto"/>
        <w:ind w:left="492" w:right="944"/>
        <w:jc w:val="both"/>
      </w:pPr>
      <w:r>
        <w:rPr>
          <w:color w:val="231F20"/>
        </w:rPr>
        <w:t>the</w:t>
      </w:r>
      <w:r>
        <w:rPr>
          <w:color w:val="231F20"/>
          <w:spacing w:val="-3"/>
        </w:rPr>
        <w:t> </w:t>
      </w:r>
      <w:r>
        <w:rPr>
          <w:color w:val="231F20"/>
        </w:rPr>
        <w:t>tendering</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local</w:t>
      </w:r>
      <w:r>
        <w:rPr>
          <w:color w:val="231F20"/>
          <w:spacing w:val="-4"/>
        </w:rPr>
        <w:t> </w:t>
      </w:r>
      <w:r>
        <w:rPr>
          <w:color w:val="231F20"/>
        </w:rPr>
        <w:t>business</w:t>
      </w:r>
      <w:r>
        <w:rPr>
          <w:color w:val="231F20"/>
          <w:spacing w:val="-3"/>
        </w:rPr>
        <w:t> </w:t>
      </w:r>
      <w:r>
        <w:rPr>
          <w:color w:val="231F20"/>
        </w:rPr>
        <w:t>and</w:t>
      </w:r>
      <w:r>
        <w:rPr>
          <w:color w:val="231F20"/>
          <w:spacing w:val="-3"/>
        </w:rPr>
        <w:t> </w:t>
      </w:r>
      <w:r>
        <w:rPr>
          <w:color w:val="231F20"/>
        </w:rPr>
        <w:t>skills themed</w:t>
      </w:r>
      <w:r>
        <w:rPr>
          <w:color w:val="231F20"/>
          <w:spacing w:val="-2"/>
        </w:rPr>
        <w:t> </w:t>
      </w:r>
      <w:r>
        <w:rPr>
          <w:color w:val="231F20"/>
        </w:rPr>
        <w:t>projects</w:t>
      </w:r>
      <w:r>
        <w:rPr>
          <w:color w:val="231F20"/>
          <w:spacing w:val="-2"/>
        </w:rPr>
        <w:t> </w:t>
      </w:r>
      <w:r>
        <w:rPr>
          <w:color w:val="231F20"/>
        </w:rPr>
        <w:t>with</w:t>
      </w:r>
      <w:r>
        <w:rPr>
          <w:color w:val="231F20"/>
          <w:spacing w:val="-2"/>
        </w:rPr>
        <w:t> </w:t>
      </w:r>
      <w:r>
        <w:rPr>
          <w:color w:val="231F20"/>
        </w:rPr>
        <w:t>other</w:t>
      </w:r>
      <w:r>
        <w:rPr>
          <w:color w:val="231F20"/>
          <w:spacing w:val="-2"/>
        </w:rPr>
        <w:t> </w:t>
      </w:r>
      <w:r>
        <w:rPr>
          <w:color w:val="231F20"/>
        </w:rPr>
        <w:t>district/borough Councils</w:t>
      </w:r>
      <w:r>
        <w:rPr>
          <w:color w:val="231F20"/>
          <w:spacing w:val="-3"/>
        </w:rPr>
        <w:t> </w:t>
      </w:r>
      <w:r>
        <w:rPr>
          <w:color w:val="231F20"/>
        </w:rPr>
        <w:t>to</w:t>
      </w:r>
      <w:r>
        <w:rPr>
          <w:color w:val="231F20"/>
          <w:spacing w:val="-1"/>
        </w:rPr>
        <w:t> </w:t>
      </w:r>
      <w:r>
        <w:rPr>
          <w:color w:val="231F20"/>
        </w:rPr>
        <w:t>achieve</w:t>
      </w:r>
      <w:r>
        <w:rPr>
          <w:color w:val="231F20"/>
          <w:spacing w:val="-1"/>
        </w:rPr>
        <w:t> </w:t>
      </w:r>
      <w:r>
        <w:rPr>
          <w:color w:val="231F20"/>
        </w:rPr>
        <w:t>greater</w:t>
      </w:r>
      <w:r>
        <w:rPr>
          <w:color w:val="231F20"/>
          <w:spacing w:val="-1"/>
        </w:rPr>
        <w:t> </w:t>
      </w:r>
      <w:r>
        <w:rPr>
          <w:color w:val="231F20"/>
        </w:rPr>
        <w:t>value</w:t>
      </w:r>
      <w:r>
        <w:rPr>
          <w:color w:val="231F20"/>
          <w:spacing w:val="-1"/>
        </w:rPr>
        <w:t> </w:t>
      </w:r>
      <w:r>
        <w:rPr>
          <w:color w:val="231F20"/>
        </w:rPr>
        <w:t>for</w:t>
      </w:r>
      <w:r>
        <w:rPr>
          <w:color w:val="231F20"/>
          <w:spacing w:val="-1"/>
        </w:rPr>
        <w:t> </w:t>
      </w:r>
      <w:r>
        <w:rPr>
          <w:color w:val="231F20"/>
          <w:spacing w:val="-2"/>
        </w:rPr>
        <w:t>money.</w:t>
      </w:r>
    </w:p>
    <w:p>
      <w:pPr>
        <w:pStyle w:val="ListParagraph"/>
        <w:numPr>
          <w:ilvl w:val="0"/>
          <w:numId w:val="8"/>
        </w:numPr>
        <w:tabs>
          <w:tab w:pos="493" w:val="left" w:leader="none"/>
        </w:tabs>
        <w:spacing w:line="225" w:lineRule="auto" w:before="57" w:after="0"/>
        <w:ind w:left="492" w:right="673" w:hanging="171"/>
        <w:jc w:val="left"/>
        <w:rPr>
          <w:sz w:val="24"/>
        </w:rPr>
      </w:pPr>
      <w:r>
        <w:rPr>
          <w:b/>
          <w:color w:val="3B5673"/>
          <w:sz w:val="24"/>
        </w:rPr>
        <w:t>The Local Plan - </w:t>
      </w:r>
      <w:r>
        <w:rPr>
          <w:color w:val="231F20"/>
          <w:sz w:val="24"/>
        </w:rPr>
        <w:t>work has continued towards the next stage of consultation (Regulation 19) of the emerging Local Plan. Consideration is now</w:t>
      </w:r>
      <w:r>
        <w:rPr>
          <w:color w:val="231F20"/>
          <w:spacing w:val="-6"/>
          <w:sz w:val="24"/>
        </w:rPr>
        <w:t> </w:t>
      </w:r>
      <w:r>
        <w:rPr>
          <w:color w:val="231F20"/>
          <w:sz w:val="24"/>
        </w:rPr>
        <w:t>being</w:t>
      </w:r>
      <w:r>
        <w:rPr>
          <w:color w:val="231F20"/>
          <w:spacing w:val="-6"/>
          <w:sz w:val="24"/>
        </w:rPr>
        <w:t> </w:t>
      </w:r>
      <w:r>
        <w:rPr>
          <w:color w:val="231F20"/>
          <w:sz w:val="24"/>
        </w:rPr>
        <w:t>given</w:t>
      </w:r>
      <w:r>
        <w:rPr>
          <w:color w:val="231F20"/>
          <w:spacing w:val="-6"/>
          <w:sz w:val="24"/>
        </w:rPr>
        <w:t> </w:t>
      </w:r>
      <w:r>
        <w:rPr>
          <w:color w:val="231F20"/>
          <w:sz w:val="24"/>
        </w:rPr>
        <w:t>to</w:t>
      </w:r>
      <w:r>
        <w:rPr>
          <w:color w:val="231F20"/>
          <w:spacing w:val="-6"/>
          <w:sz w:val="24"/>
        </w:rPr>
        <w:t> </w:t>
      </w:r>
      <w:r>
        <w:rPr>
          <w:color w:val="231F20"/>
          <w:sz w:val="24"/>
        </w:rPr>
        <w:t>new</w:t>
      </w:r>
      <w:r>
        <w:rPr>
          <w:color w:val="231F20"/>
          <w:spacing w:val="-6"/>
          <w:sz w:val="24"/>
        </w:rPr>
        <w:t> </w:t>
      </w:r>
      <w:r>
        <w:rPr>
          <w:color w:val="231F20"/>
          <w:sz w:val="24"/>
        </w:rPr>
        <w:t>Government</w:t>
      </w:r>
      <w:r>
        <w:rPr>
          <w:color w:val="231F20"/>
          <w:spacing w:val="-6"/>
          <w:sz w:val="24"/>
        </w:rPr>
        <w:t> </w:t>
      </w:r>
      <w:r>
        <w:rPr>
          <w:color w:val="231F20"/>
          <w:sz w:val="24"/>
        </w:rPr>
        <w:t>guidance around housing numbers flexibility and a revised National Planning Policy Framework. Work has continued on completing the Local Plan evidence base.</w:t>
      </w:r>
    </w:p>
    <w:p>
      <w:pPr>
        <w:pStyle w:val="ListParagraph"/>
        <w:numPr>
          <w:ilvl w:val="0"/>
          <w:numId w:val="8"/>
        </w:numPr>
        <w:tabs>
          <w:tab w:pos="493" w:val="left" w:leader="none"/>
        </w:tabs>
        <w:spacing w:line="310" w:lineRule="exact" w:before="40" w:after="0"/>
        <w:ind w:left="492" w:right="0" w:hanging="171"/>
        <w:jc w:val="left"/>
        <w:rPr>
          <w:sz w:val="24"/>
        </w:rPr>
      </w:pPr>
      <w:r>
        <w:rPr>
          <w:b/>
          <w:color w:val="3B5673"/>
          <w:sz w:val="24"/>
        </w:rPr>
        <w:t>The</w:t>
      </w:r>
      <w:r>
        <w:rPr>
          <w:b/>
          <w:color w:val="3B5673"/>
          <w:spacing w:val="-2"/>
          <w:sz w:val="24"/>
        </w:rPr>
        <w:t> </w:t>
      </w:r>
      <w:r>
        <w:rPr>
          <w:b/>
          <w:color w:val="3B5673"/>
          <w:sz w:val="24"/>
        </w:rPr>
        <w:t>Skills</w:t>
      </w:r>
      <w:r>
        <w:rPr>
          <w:b/>
          <w:color w:val="3B5673"/>
          <w:spacing w:val="-2"/>
          <w:sz w:val="24"/>
        </w:rPr>
        <w:t> </w:t>
      </w:r>
      <w:r>
        <w:rPr>
          <w:b/>
          <w:color w:val="3B5673"/>
          <w:sz w:val="24"/>
        </w:rPr>
        <w:t>strategy</w:t>
      </w:r>
      <w:r>
        <w:rPr>
          <w:b/>
          <w:color w:val="3B5673"/>
          <w:spacing w:val="-1"/>
          <w:sz w:val="24"/>
        </w:rPr>
        <w:t> </w:t>
      </w:r>
      <w:r>
        <w:rPr>
          <w:b/>
          <w:color w:val="3B5673"/>
          <w:sz w:val="24"/>
        </w:rPr>
        <w:t>-</w:t>
      </w:r>
      <w:r>
        <w:rPr>
          <w:b/>
          <w:color w:val="3B5673"/>
          <w:spacing w:val="-4"/>
          <w:sz w:val="24"/>
        </w:rPr>
        <w:t> </w:t>
      </w:r>
      <w:r>
        <w:rPr>
          <w:color w:val="231F20"/>
          <w:sz w:val="24"/>
        </w:rPr>
        <w:t>the</w:t>
      </w:r>
      <w:r>
        <w:rPr>
          <w:color w:val="231F20"/>
          <w:spacing w:val="-1"/>
          <w:sz w:val="24"/>
        </w:rPr>
        <w:t> </w:t>
      </w:r>
      <w:r>
        <w:rPr>
          <w:color w:val="231F20"/>
          <w:sz w:val="24"/>
        </w:rPr>
        <w:t>Council’s</w:t>
      </w:r>
      <w:r>
        <w:rPr>
          <w:color w:val="231F20"/>
          <w:spacing w:val="-2"/>
          <w:sz w:val="24"/>
        </w:rPr>
        <w:t> Education</w:t>
      </w:r>
    </w:p>
    <w:p>
      <w:pPr>
        <w:pStyle w:val="BodyText"/>
        <w:spacing w:line="225" w:lineRule="auto" w:before="6"/>
        <w:ind w:left="492" w:right="1167"/>
      </w:pPr>
      <w:r>
        <w:rPr>
          <w:color w:val="231F20"/>
        </w:rPr>
        <w:t>and Skills Improvement Plan (2022-2031) is</w:t>
      </w:r>
      <w:r>
        <w:rPr>
          <w:color w:val="231F20"/>
          <w:spacing w:val="-2"/>
        </w:rPr>
        <w:t> </w:t>
      </w:r>
      <w:r>
        <w:rPr>
          <w:color w:val="231F20"/>
        </w:rPr>
        <w:t>being progressed with regular </w:t>
      </w:r>
      <w:r>
        <w:rPr>
          <w:color w:val="231F20"/>
          <w:spacing w:val="-2"/>
        </w:rPr>
        <w:t>primary/</w:t>
      </w:r>
    </w:p>
    <w:p>
      <w:pPr>
        <w:pStyle w:val="BodyText"/>
        <w:spacing w:line="225" w:lineRule="auto"/>
        <w:ind w:left="492" w:right="554"/>
      </w:pPr>
      <w:r>
        <w:rPr/>
        <w:pict>
          <v:group style="position:absolute;margin-left:578.504028pt;margin-top:25.640587pt;width:16.8pt;height:192.8pt;mso-position-horizontal-relative:page;mso-position-vertical-relative:paragraph;z-index:15744512" id="docshapegroup101" coordorigin="11570,513" coordsize="336,3856">
            <v:rect style="position:absolute;left:11570;top:3404;width:336;height:964" id="docshape102" filled="true" fillcolor="#f15d6b" stroked="false">
              <v:fill type="solid"/>
            </v:rect>
            <v:rect style="position:absolute;left:11570;top:2440;width:336;height:964" id="docshape103" filled="true" fillcolor="#fbac42" stroked="false">
              <v:fill type="solid"/>
            </v:rect>
            <v:rect style="position:absolute;left:11570;top:1476;width:336;height:964" id="docshape104" filled="true" fillcolor="#b78fc1" stroked="false">
              <v:fill type="solid"/>
            </v:rect>
            <v:rect style="position:absolute;left:11570;top:512;width:336;height:964" id="docshape105" filled="true" fillcolor="#378372" stroked="false">
              <v:fill type="solid"/>
            </v:rect>
            <w10:wrap type="none"/>
          </v:group>
        </w:pict>
      </w:r>
      <w:r>
        <w:rPr>
          <w:color w:val="231F20"/>
        </w:rPr>
        <w:t>secondary</w:t>
      </w:r>
      <w:r>
        <w:rPr>
          <w:color w:val="231F20"/>
          <w:spacing w:val="-8"/>
        </w:rPr>
        <w:t> </w:t>
      </w:r>
      <w:r>
        <w:rPr>
          <w:color w:val="231F20"/>
        </w:rPr>
        <w:t>schools</w:t>
      </w:r>
      <w:r>
        <w:rPr>
          <w:color w:val="231F20"/>
          <w:spacing w:val="-8"/>
        </w:rPr>
        <w:t> </w:t>
      </w:r>
      <w:r>
        <w:rPr>
          <w:color w:val="231F20"/>
        </w:rPr>
        <w:t>and</w:t>
      </w:r>
      <w:r>
        <w:rPr>
          <w:color w:val="231F20"/>
          <w:spacing w:val="-7"/>
        </w:rPr>
        <w:t> </w:t>
      </w:r>
      <w:r>
        <w:rPr>
          <w:color w:val="231F20"/>
        </w:rPr>
        <w:t>adult</w:t>
      </w:r>
      <w:r>
        <w:rPr>
          <w:color w:val="231F20"/>
          <w:spacing w:val="-7"/>
        </w:rPr>
        <w:t> </w:t>
      </w:r>
      <w:r>
        <w:rPr>
          <w:color w:val="231F20"/>
        </w:rPr>
        <w:t>skills</w:t>
      </w:r>
      <w:r>
        <w:rPr>
          <w:color w:val="231F20"/>
          <w:spacing w:val="-8"/>
        </w:rPr>
        <w:t> </w:t>
      </w:r>
      <w:r>
        <w:rPr>
          <w:color w:val="231F20"/>
        </w:rPr>
        <w:t>partnership meetings. A Careers Fair was held on 4th November 2022 at the new Kirkby Leisure Centre</w:t>
      </w:r>
      <w:r>
        <w:rPr>
          <w:color w:val="231F20"/>
          <w:spacing w:val="-5"/>
        </w:rPr>
        <w:t> </w:t>
      </w:r>
      <w:r>
        <w:rPr>
          <w:color w:val="231F20"/>
        </w:rPr>
        <w:t>involving</w:t>
      </w:r>
      <w:r>
        <w:rPr>
          <w:color w:val="231F20"/>
          <w:spacing w:val="-5"/>
        </w:rPr>
        <w:t> </w:t>
      </w:r>
      <w:r>
        <w:rPr>
          <w:color w:val="231F20"/>
        </w:rPr>
        <w:t>key</w:t>
      </w:r>
      <w:r>
        <w:rPr>
          <w:color w:val="231F20"/>
          <w:spacing w:val="-5"/>
        </w:rPr>
        <w:t> </w:t>
      </w:r>
      <w:r>
        <w:rPr>
          <w:color w:val="231F20"/>
        </w:rPr>
        <w:t>private</w:t>
      </w:r>
      <w:r>
        <w:rPr>
          <w:color w:val="231F20"/>
          <w:spacing w:val="-4"/>
        </w:rPr>
        <w:t> </w:t>
      </w:r>
      <w:r>
        <w:rPr>
          <w:color w:val="231F20"/>
        </w:rPr>
        <w:t>and</w:t>
      </w:r>
      <w:r>
        <w:rPr>
          <w:color w:val="231F20"/>
          <w:spacing w:val="-4"/>
        </w:rPr>
        <w:t> </w:t>
      </w:r>
      <w:r>
        <w:rPr>
          <w:color w:val="231F20"/>
        </w:rPr>
        <w:t>public</w:t>
      </w:r>
      <w:r>
        <w:rPr>
          <w:color w:val="231F20"/>
          <w:spacing w:val="-4"/>
        </w:rPr>
        <w:t> </w:t>
      </w:r>
      <w:r>
        <w:rPr>
          <w:color w:val="231F20"/>
        </w:rPr>
        <w:t>sector partners. The event was a success bringing together</w:t>
      </w:r>
      <w:r>
        <w:rPr>
          <w:color w:val="231F20"/>
          <w:spacing w:val="-5"/>
        </w:rPr>
        <w:t> </w:t>
      </w:r>
      <w:r>
        <w:rPr>
          <w:color w:val="231F20"/>
        </w:rPr>
        <w:t>over</w:t>
      </w:r>
      <w:r>
        <w:rPr>
          <w:color w:val="231F20"/>
          <w:spacing w:val="-5"/>
        </w:rPr>
        <w:t> </w:t>
      </w:r>
      <w:r>
        <w:rPr>
          <w:color w:val="231F20"/>
        </w:rPr>
        <w:t>720</w:t>
      </w:r>
      <w:r>
        <w:rPr>
          <w:color w:val="231F20"/>
          <w:spacing w:val="-6"/>
        </w:rPr>
        <w:t> </w:t>
      </w:r>
      <w:r>
        <w:rPr>
          <w:color w:val="231F20"/>
        </w:rPr>
        <w:t>individuals</w:t>
      </w:r>
      <w:r>
        <w:rPr>
          <w:color w:val="231F20"/>
          <w:spacing w:val="-6"/>
        </w:rPr>
        <w:t> </w:t>
      </w:r>
      <w:r>
        <w:rPr>
          <w:color w:val="231F20"/>
        </w:rPr>
        <w:t>seeking</w:t>
      </w:r>
      <w:r>
        <w:rPr>
          <w:color w:val="231F20"/>
          <w:spacing w:val="-6"/>
        </w:rPr>
        <w:t> </w:t>
      </w:r>
      <w:r>
        <w:rPr>
          <w:color w:val="231F20"/>
        </w:rPr>
        <w:t>job</w:t>
      </w:r>
      <w:r>
        <w:rPr>
          <w:color w:val="231F20"/>
          <w:spacing w:val="-6"/>
        </w:rPr>
        <w:t> </w:t>
      </w:r>
      <w:r>
        <w:rPr>
          <w:color w:val="231F20"/>
        </w:rPr>
        <w:t>and training opportunities with 91 partners and </w:t>
      </w:r>
      <w:r>
        <w:rPr>
          <w:color w:val="231F20"/>
          <w:spacing w:val="-2"/>
        </w:rPr>
        <w:t>businesses.</w:t>
      </w:r>
    </w:p>
    <w:p>
      <w:pPr>
        <w:pStyle w:val="ListParagraph"/>
        <w:numPr>
          <w:ilvl w:val="0"/>
          <w:numId w:val="8"/>
        </w:numPr>
        <w:tabs>
          <w:tab w:pos="493" w:val="left" w:leader="none"/>
        </w:tabs>
        <w:spacing w:line="225" w:lineRule="auto" w:before="56" w:after="0"/>
        <w:ind w:left="492" w:right="765" w:hanging="171"/>
        <w:jc w:val="left"/>
        <w:rPr>
          <w:sz w:val="24"/>
        </w:rPr>
      </w:pPr>
      <w:r>
        <w:rPr>
          <w:b/>
          <w:color w:val="3B5673"/>
          <w:sz w:val="24"/>
        </w:rPr>
        <w:t>Social Value - </w:t>
      </w:r>
      <w:r>
        <w:rPr>
          <w:color w:val="231F20"/>
          <w:sz w:val="24"/>
        </w:rPr>
        <w:t>Excluding the Social Value</w:t>
      </w:r>
      <w:r>
        <w:rPr>
          <w:color w:val="231F20"/>
          <w:sz w:val="24"/>
        </w:rPr>
        <w:t> from</w:t>
      </w:r>
      <w:r>
        <w:rPr>
          <w:color w:val="231F20"/>
          <w:spacing w:val="-5"/>
          <w:sz w:val="24"/>
        </w:rPr>
        <w:t> </w:t>
      </w:r>
      <w:r>
        <w:rPr>
          <w:color w:val="231F20"/>
          <w:sz w:val="24"/>
        </w:rPr>
        <w:t>our</w:t>
      </w:r>
      <w:r>
        <w:rPr>
          <w:color w:val="231F20"/>
          <w:spacing w:val="-5"/>
          <w:sz w:val="24"/>
        </w:rPr>
        <w:t> </w:t>
      </w:r>
      <w:r>
        <w:rPr>
          <w:color w:val="231F20"/>
          <w:sz w:val="24"/>
        </w:rPr>
        <w:t>Leisure</w:t>
      </w:r>
      <w:r>
        <w:rPr>
          <w:color w:val="231F20"/>
          <w:spacing w:val="-5"/>
          <w:sz w:val="24"/>
        </w:rPr>
        <w:t> </w:t>
      </w:r>
      <w:r>
        <w:rPr>
          <w:color w:val="231F20"/>
          <w:sz w:val="24"/>
        </w:rPr>
        <w:t>contacts</w:t>
      </w:r>
      <w:r>
        <w:rPr>
          <w:color w:val="231F20"/>
          <w:spacing w:val="-5"/>
          <w:sz w:val="24"/>
        </w:rPr>
        <w:t> </w:t>
      </w:r>
      <w:r>
        <w:rPr>
          <w:color w:val="231F20"/>
          <w:sz w:val="24"/>
        </w:rPr>
        <w:t>over</w:t>
      </w:r>
      <w:r>
        <w:rPr>
          <w:color w:val="231F20"/>
          <w:spacing w:val="-5"/>
          <w:sz w:val="24"/>
        </w:rPr>
        <w:t> </w:t>
      </w:r>
      <w:r>
        <w:rPr>
          <w:color w:val="231F20"/>
          <w:sz w:val="24"/>
        </w:rPr>
        <w:t>£2.2m</w:t>
      </w:r>
      <w:r>
        <w:rPr>
          <w:color w:val="231F20"/>
          <w:spacing w:val="-6"/>
          <w:sz w:val="24"/>
        </w:rPr>
        <w:t> </w:t>
      </w:r>
      <w:r>
        <w:rPr>
          <w:color w:val="231F20"/>
          <w:sz w:val="24"/>
        </w:rPr>
        <w:t>of</w:t>
      </w:r>
      <w:r>
        <w:rPr>
          <w:color w:val="231F20"/>
          <w:spacing w:val="-5"/>
          <w:sz w:val="24"/>
        </w:rPr>
        <w:t> </w:t>
      </w:r>
      <w:r>
        <w:rPr>
          <w:color w:val="231F20"/>
          <w:sz w:val="24"/>
        </w:rPr>
        <w:t>social and economic value has now been delivered since</w:t>
      </w:r>
      <w:r>
        <w:rPr>
          <w:color w:val="231F20"/>
          <w:spacing w:val="-1"/>
          <w:sz w:val="24"/>
        </w:rPr>
        <w:t> </w:t>
      </w:r>
      <w:r>
        <w:rPr>
          <w:color w:val="231F20"/>
          <w:sz w:val="24"/>
        </w:rPr>
        <w:t>measurement</w:t>
      </w:r>
      <w:r>
        <w:rPr>
          <w:color w:val="231F20"/>
          <w:spacing w:val="-1"/>
          <w:sz w:val="24"/>
        </w:rPr>
        <w:t> </w:t>
      </w:r>
      <w:r>
        <w:rPr>
          <w:color w:val="231F20"/>
          <w:sz w:val="24"/>
        </w:rPr>
        <w:t>via the Social</w:t>
      </w:r>
      <w:r>
        <w:rPr>
          <w:color w:val="231F20"/>
          <w:spacing w:val="-1"/>
          <w:sz w:val="24"/>
        </w:rPr>
        <w:t> </w:t>
      </w:r>
      <w:r>
        <w:rPr>
          <w:color w:val="231F20"/>
          <w:sz w:val="24"/>
        </w:rPr>
        <w:t>Value Portal </w:t>
      </w:r>
      <w:r>
        <w:rPr>
          <w:color w:val="231F20"/>
          <w:spacing w:val="-2"/>
          <w:sz w:val="24"/>
        </w:rPr>
        <w:t>commenced.</w:t>
      </w:r>
    </w:p>
    <w:p>
      <w:pPr>
        <w:spacing w:after="0" w:line="225" w:lineRule="auto"/>
        <w:jc w:val="left"/>
        <w:rPr>
          <w:sz w:val="24"/>
        </w:rPr>
        <w:sectPr>
          <w:type w:val="continuous"/>
          <w:pgSz w:w="11910" w:h="16840"/>
          <w:pgMar w:header="377" w:footer="367" w:top="260" w:bottom="0" w:left="0" w:right="0"/>
          <w:cols w:num="2" w:equalWidth="0">
            <w:col w:w="5733" w:space="40"/>
            <w:col w:w="6137"/>
          </w:cols>
        </w:sectPr>
      </w:pPr>
    </w:p>
    <w:p>
      <w:pPr>
        <w:pStyle w:val="BodyText"/>
        <w:rPr>
          <w:sz w:val="28"/>
        </w:rPr>
      </w:pPr>
    </w:p>
    <w:p>
      <w:pPr>
        <w:spacing w:after="0"/>
        <w:rPr>
          <w:sz w:val="28"/>
        </w:rPr>
        <w:sectPr>
          <w:pgSz w:w="11910" w:h="16840"/>
          <w:pgMar w:header="377" w:footer="367" w:top="560" w:bottom="560" w:left="0" w:right="0"/>
        </w:sectPr>
      </w:pPr>
    </w:p>
    <w:p>
      <w:pPr>
        <w:pStyle w:val="Heading3"/>
      </w:pPr>
      <w:r>
        <w:rPr>
          <w:color w:val="3B5673"/>
        </w:rPr>
        <w:t>CLEANER</w:t>
      </w:r>
      <w:r>
        <w:rPr>
          <w:color w:val="3B5673"/>
          <w:spacing w:val="41"/>
        </w:rPr>
        <w:t> </w:t>
      </w:r>
      <w:r>
        <w:rPr>
          <w:color w:val="3B5673"/>
        </w:rPr>
        <w:t>AND</w:t>
      </w:r>
      <w:r>
        <w:rPr>
          <w:color w:val="3B5673"/>
          <w:spacing w:val="42"/>
        </w:rPr>
        <w:t> </w:t>
      </w:r>
      <w:r>
        <w:rPr>
          <w:color w:val="3B5673"/>
          <w:spacing w:val="-2"/>
        </w:rPr>
        <w:t>GREENER</w:t>
      </w:r>
    </w:p>
    <w:p>
      <w:pPr>
        <w:pStyle w:val="ListParagraph"/>
        <w:numPr>
          <w:ilvl w:val="1"/>
          <w:numId w:val="8"/>
        </w:numPr>
        <w:tabs>
          <w:tab w:pos="737" w:val="left" w:leader="none"/>
        </w:tabs>
        <w:spacing w:line="225" w:lineRule="auto" w:before="6" w:after="0"/>
        <w:ind w:left="737" w:right="270" w:hanging="171"/>
        <w:jc w:val="left"/>
        <w:rPr>
          <w:sz w:val="24"/>
        </w:rPr>
      </w:pPr>
      <w:r>
        <w:rPr>
          <w:b/>
          <w:color w:val="3B5673"/>
          <w:sz w:val="24"/>
        </w:rPr>
        <w:t>Parks</w:t>
      </w:r>
      <w:r>
        <w:rPr>
          <w:b/>
          <w:color w:val="3B5673"/>
          <w:spacing w:val="-3"/>
          <w:sz w:val="24"/>
        </w:rPr>
        <w:t> </w:t>
      </w:r>
      <w:r>
        <w:rPr>
          <w:b/>
          <w:color w:val="3B5673"/>
          <w:sz w:val="24"/>
        </w:rPr>
        <w:t>and</w:t>
      </w:r>
      <w:r>
        <w:rPr>
          <w:b/>
          <w:color w:val="3B5673"/>
          <w:spacing w:val="-3"/>
          <w:sz w:val="24"/>
        </w:rPr>
        <w:t> </w:t>
      </w:r>
      <w:r>
        <w:rPr>
          <w:b/>
          <w:color w:val="3B5673"/>
          <w:sz w:val="24"/>
        </w:rPr>
        <w:t>Open</w:t>
      </w:r>
      <w:r>
        <w:rPr>
          <w:b/>
          <w:color w:val="3B5673"/>
          <w:spacing w:val="-3"/>
          <w:sz w:val="24"/>
        </w:rPr>
        <w:t> </w:t>
      </w:r>
      <w:r>
        <w:rPr>
          <w:b/>
          <w:color w:val="3B5673"/>
          <w:sz w:val="24"/>
        </w:rPr>
        <w:t>Spaces</w:t>
      </w:r>
      <w:r>
        <w:rPr>
          <w:b/>
          <w:color w:val="3B5673"/>
          <w:spacing w:val="-3"/>
          <w:sz w:val="24"/>
        </w:rPr>
        <w:t> </w:t>
      </w:r>
      <w:r>
        <w:rPr>
          <w:b/>
          <w:color w:val="3B5673"/>
          <w:sz w:val="24"/>
        </w:rPr>
        <w:t>-</w:t>
      </w:r>
      <w:r>
        <w:rPr>
          <w:b/>
          <w:color w:val="3B5673"/>
          <w:spacing w:val="-2"/>
          <w:sz w:val="24"/>
        </w:rPr>
        <w:t> </w:t>
      </w:r>
      <w:r>
        <w:rPr>
          <w:color w:val="231F20"/>
          <w:sz w:val="24"/>
        </w:rPr>
        <w:t>The</w:t>
      </w:r>
      <w:r>
        <w:rPr>
          <w:color w:val="231F20"/>
          <w:spacing w:val="-2"/>
          <w:sz w:val="24"/>
        </w:rPr>
        <w:t> </w:t>
      </w:r>
      <w:r>
        <w:rPr>
          <w:color w:val="231F20"/>
          <w:sz w:val="24"/>
        </w:rPr>
        <w:t>six</w:t>
      </w:r>
      <w:r>
        <w:rPr>
          <w:color w:val="231F20"/>
          <w:spacing w:val="-3"/>
          <w:sz w:val="24"/>
        </w:rPr>
        <w:t> </w:t>
      </w:r>
      <w:r>
        <w:rPr>
          <w:color w:val="231F20"/>
          <w:sz w:val="24"/>
        </w:rPr>
        <w:t>Green</w:t>
      </w:r>
      <w:r>
        <w:rPr>
          <w:color w:val="231F20"/>
          <w:spacing w:val="-2"/>
          <w:sz w:val="24"/>
        </w:rPr>
        <w:t> </w:t>
      </w:r>
      <w:r>
        <w:rPr>
          <w:color w:val="231F20"/>
          <w:sz w:val="24"/>
        </w:rPr>
        <w:t>Flag Awards for the main parks were retained this year and an application has been made for a Green</w:t>
      </w:r>
      <w:r>
        <w:rPr>
          <w:color w:val="231F20"/>
          <w:spacing w:val="-7"/>
          <w:sz w:val="24"/>
        </w:rPr>
        <w:t> </w:t>
      </w:r>
      <w:r>
        <w:rPr>
          <w:color w:val="231F20"/>
          <w:sz w:val="24"/>
        </w:rPr>
        <w:t>Flag</w:t>
      </w:r>
      <w:r>
        <w:rPr>
          <w:color w:val="231F20"/>
          <w:spacing w:val="-8"/>
          <w:sz w:val="24"/>
        </w:rPr>
        <w:t> </w:t>
      </w:r>
      <w:r>
        <w:rPr>
          <w:color w:val="231F20"/>
          <w:sz w:val="24"/>
        </w:rPr>
        <w:t>Award</w:t>
      </w:r>
      <w:r>
        <w:rPr>
          <w:color w:val="231F20"/>
          <w:spacing w:val="-7"/>
          <w:sz w:val="24"/>
        </w:rPr>
        <w:t> </w:t>
      </w:r>
      <w:r>
        <w:rPr>
          <w:color w:val="231F20"/>
          <w:sz w:val="24"/>
        </w:rPr>
        <w:t>for</w:t>
      </w:r>
      <w:r>
        <w:rPr>
          <w:color w:val="231F20"/>
          <w:spacing w:val="-7"/>
          <w:sz w:val="24"/>
        </w:rPr>
        <w:t> </w:t>
      </w:r>
      <w:r>
        <w:rPr>
          <w:color w:val="231F20"/>
          <w:sz w:val="24"/>
        </w:rPr>
        <w:t>the</w:t>
      </w:r>
      <w:r>
        <w:rPr>
          <w:color w:val="231F20"/>
          <w:spacing w:val="-7"/>
          <w:sz w:val="24"/>
        </w:rPr>
        <w:t> </w:t>
      </w:r>
      <w:r>
        <w:rPr>
          <w:color w:val="231F20"/>
          <w:sz w:val="24"/>
        </w:rPr>
        <w:t>Kings</w:t>
      </w:r>
      <w:r>
        <w:rPr>
          <w:color w:val="231F20"/>
          <w:spacing w:val="-8"/>
          <w:sz w:val="24"/>
        </w:rPr>
        <w:t> </w:t>
      </w:r>
      <w:r>
        <w:rPr>
          <w:color w:val="231F20"/>
          <w:sz w:val="24"/>
        </w:rPr>
        <w:t>Mill</w:t>
      </w:r>
      <w:r>
        <w:rPr>
          <w:color w:val="231F20"/>
          <w:spacing w:val="-7"/>
          <w:sz w:val="24"/>
        </w:rPr>
        <w:t> </w:t>
      </w:r>
      <w:r>
        <w:rPr>
          <w:color w:val="231F20"/>
          <w:sz w:val="24"/>
        </w:rPr>
        <w:t>Reservoir site. The outcome will be known later in 2023. Implementation of the Green Spaces Programme has progressed and a review undertaken of the Green Space and Public Realm Investment Plan for the next 5 years. During</w:t>
      </w:r>
      <w:r>
        <w:rPr>
          <w:color w:val="231F20"/>
          <w:spacing w:val="-7"/>
          <w:sz w:val="24"/>
        </w:rPr>
        <w:t> </w:t>
      </w:r>
      <w:r>
        <w:rPr>
          <w:color w:val="231F20"/>
          <w:sz w:val="24"/>
        </w:rPr>
        <w:t>2022/23</w:t>
      </w:r>
      <w:r>
        <w:rPr>
          <w:color w:val="231F20"/>
          <w:spacing w:val="-7"/>
          <w:sz w:val="24"/>
        </w:rPr>
        <w:t> </w:t>
      </w:r>
      <w:r>
        <w:rPr>
          <w:color w:val="231F20"/>
          <w:sz w:val="24"/>
        </w:rPr>
        <w:t>£100k</w:t>
      </w:r>
      <w:r>
        <w:rPr>
          <w:color w:val="231F20"/>
          <w:spacing w:val="-7"/>
          <w:sz w:val="24"/>
        </w:rPr>
        <w:t> </w:t>
      </w:r>
      <w:r>
        <w:rPr>
          <w:color w:val="231F20"/>
          <w:sz w:val="24"/>
        </w:rPr>
        <w:t>capital</w:t>
      </w:r>
      <w:r>
        <w:rPr>
          <w:color w:val="231F20"/>
          <w:spacing w:val="-6"/>
          <w:sz w:val="24"/>
        </w:rPr>
        <w:t> </w:t>
      </w:r>
      <w:r>
        <w:rPr>
          <w:color w:val="231F20"/>
          <w:sz w:val="24"/>
        </w:rPr>
        <w:t>investment</w:t>
      </w:r>
      <w:r>
        <w:rPr>
          <w:color w:val="231F20"/>
          <w:spacing w:val="-7"/>
          <w:sz w:val="24"/>
        </w:rPr>
        <w:t> </w:t>
      </w:r>
      <w:r>
        <w:rPr>
          <w:color w:val="231F20"/>
          <w:sz w:val="24"/>
        </w:rPr>
        <w:t>has been made into our parks and open spaces.</w:t>
      </w:r>
    </w:p>
    <w:p>
      <w:pPr>
        <w:pStyle w:val="ListParagraph"/>
        <w:numPr>
          <w:ilvl w:val="1"/>
          <w:numId w:val="8"/>
        </w:numPr>
        <w:tabs>
          <w:tab w:pos="737" w:val="left" w:leader="none"/>
        </w:tabs>
        <w:spacing w:line="225" w:lineRule="auto" w:before="56" w:after="0"/>
        <w:ind w:left="737" w:right="0" w:hanging="171"/>
        <w:jc w:val="left"/>
        <w:rPr>
          <w:sz w:val="24"/>
        </w:rPr>
      </w:pPr>
      <w:r>
        <w:rPr>
          <w:b/>
          <w:color w:val="3B5673"/>
          <w:sz w:val="24"/>
        </w:rPr>
        <w:t>The Big Ashfield Spring Clean - </w:t>
      </w:r>
      <w:r>
        <w:rPr>
          <w:color w:val="231F20"/>
          <w:sz w:val="24"/>
        </w:rPr>
        <w:t>another successful</w:t>
      </w:r>
      <w:r>
        <w:rPr>
          <w:color w:val="231F20"/>
          <w:spacing w:val="-8"/>
          <w:sz w:val="24"/>
        </w:rPr>
        <w:t> </w:t>
      </w:r>
      <w:r>
        <w:rPr>
          <w:color w:val="231F20"/>
          <w:sz w:val="24"/>
        </w:rPr>
        <w:t>year</w:t>
      </w:r>
      <w:r>
        <w:rPr>
          <w:color w:val="231F20"/>
          <w:spacing w:val="-7"/>
          <w:sz w:val="24"/>
        </w:rPr>
        <w:t> </w:t>
      </w:r>
      <w:r>
        <w:rPr>
          <w:color w:val="231F20"/>
          <w:sz w:val="24"/>
        </w:rPr>
        <w:t>with</w:t>
      </w:r>
      <w:r>
        <w:rPr>
          <w:color w:val="231F20"/>
          <w:spacing w:val="-7"/>
          <w:sz w:val="24"/>
        </w:rPr>
        <w:t> </w:t>
      </w:r>
      <w:r>
        <w:rPr>
          <w:color w:val="231F20"/>
          <w:sz w:val="24"/>
        </w:rPr>
        <w:t>free</w:t>
      </w:r>
      <w:r>
        <w:rPr>
          <w:color w:val="231F20"/>
          <w:spacing w:val="-7"/>
          <w:sz w:val="24"/>
        </w:rPr>
        <w:t> </w:t>
      </w:r>
      <w:r>
        <w:rPr>
          <w:color w:val="231F20"/>
          <w:sz w:val="24"/>
        </w:rPr>
        <w:t>bulky</w:t>
      </w:r>
      <w:r>
        <w:rPr>
          <w:color w:val="231F20"/>
          <w:spacing w:val="-7"/>
          <w:sz w:val="24"/>
        </w:rPr>
        <w:t> </w:t>
      </w:r>
      <w:r>
        <w:rPr>
          <w:color w:val="231F20"/>
          <w:sz w:val="24"/>
        </w:rPr>
        <w:t>waste</w:t>
      </w:r>
      <w:r>
        <w:rPr>
          <w:color w:val="231F20"/>
          <w:spacing w:val="-7"/>
          <w:sz w:val="24"/>
        </w:rPr>
        <w:t> </w:t>
      </w:r>
      <w:r>
        <w:rPr>
          <w:color w:val="231F20"/>
          <w:sz w:val="24"/>
        </w:rPr>
        <w:t>collections continuing across the District. The Council also ran ‘flying skips’ over 3 weeks of the Spring Clean Event and collected over 70 tonnes of waste from residents.</w:t>
      </w:r>
    </w:p>
    <w:p>
      <w:pPr>
        <w:pStyle w:val="ListParagraph"/>
        <w:numPr>
          <w:ilvl w:val="1"/>
          <w:numId w:val="8"/>
        </w:numPr>
        <w:tabs>
          <w:tab w:pos="737" w:val="left" w:leader="none"/>
        </w:tabs>
        <w:spacing w:line="225" w:lineRule="auto" w:before="56" w:after="0"/>
        <w:ind w:left="737" w:right="23" w:hanging="171"/>
        <w:jc w:val="left"/>
        <w:rPr>
          <w:sz w:val="24"/>
        </w:rPr>
      </w:pPr>
      <w:r>
        <w:rPr>
          <w:b/>
          <w:color w:val="3B5673"/>
          <w:sz w:val="24"/>
        </w:rPr>
        <w:t>Green</w:t>
      </w:r>
      <w:r>
        <w:rPr>
          <w:b/>
          <w:color w:val="3B5673"/>
          <w:spacing w:val="-7"/>
          <w:sz w:val="24"/>
        </w:rPr>
        <w:t> </w:t>
      </w:r>
      <w:r>
        <w:rPr>
          <w:b/>
          <w:color w:val="3B5673"/>
          <w:sz w:val="24"/>
        </w:rPr>
        <w:t>Initiatives</w:t>
      </w:r>
      <w:r>
        <w:rPr>
          <w:b/>
          <w:color w:val="3B5673"/>
          <w:spacing w:val="-7"/>
          <w:sz w:val="24"/>
        </w:rPr>
        <w:t> </w:t>
      </w:r>
      <w:r>
        <w:rPr>
          <w:b/>
          <w:color w:val="3B5673"/>
          <w:sz w:val="24"/>
        </w:rPr>
        <w:t>-</w:t>
      </w:r>
      <w:r>
        <w:rPr>
          <w:b/>
          <w:color w:val="3B5673"/>
          <w:spacing w:val="-8"/>
          <w:sz w:val="24"/>
        </w:rPr>
        <w:t> </w:t>
      </w:r>
      <w:r>
        <w:rPr>
          <w:color w:val="231F20"/>
          <w:sz w:val="24"/>
        </w:rPr>
        <w:t>Following</w:t>
      </w:r>
      <w:r>
        <w:rPr>
          <w:color w:val="231F20"/>
          <w:spacing w:val="-8"/>
          <w:sz w:val="24"/>
        </w:rPr>
        <w:t> </w:t>
      </w:r>
      <w:r>
        <w:rPr>
          <w:color w:val="231F20"/>
          <w:sz w:val="24"/>
        </w:rPr>
        <w:t>on</w:t>
      </w:r>
      <w:r>
        <w:rPr>
          <w:color w:val="231F20"/>
          <w:spacing w:val="-7"/>
          <w:sz w:val="24"/>
        </w:rPr>
        <w:t> </w:t>
      </w:r>
      <w:r>
        <w:rPr>
          <w:color w:val="231F20"/>
          <w:sz w:val="24"/>
        </w:rPr>
        <w:t>from</w:t>
      </w:r>
      <w:r>
        <w:rPr>
          <w:color w:val="231F20"/>
          <w:spacing w:val="-7"/>
          <w:sz w:val="24"/>
        </w:rPr>
        <w:t> </w:t>
      </w:r>
      <w:r>
        <w:rPr>
          <w:color w:val="231F20"/>
          <w:sz w:val="24"/>
        </w:rPr>
        <w:t>donating litter pickers during 2022, 16 primary schools received upcycled planters handmade by Council staff using recycled wood and filled with donated compost. The Council continues to have the second highest recycling rate in Nottinghamshire. During 2022/23 the Council planted circa 1,500 trees, significantly greater than its 1,000 annual commitment.</w:t>
      </w:r>
    </w:p>
    <w:p>
      <w:pPr>
        <w:pStyle w:val="Heading4"/>
        <w:numPr>
          <w:ilvl w:val="0"/>
          <w:numId w:val="8"/>
        </w:numPr>
        <w:tabs>
          <w:tab w:pos="433" w:val="left" w:leader="none"/>
        </w:tabs>
        <w:spacing w:line="310" w:lineRule="exact" w:before="100" w:after="0"/>
        <w:ind w:left="432" w:right="0" w:hanging="171"/>
        <w:jc w:val="left"/>
        <w:rPr>
          <w:b w:val="0"/>
        </w:rPr>
      </w:pPr>
      <w:r>
        <w:rPr>
          <w:b w:val="0"/>
        </w:rPr>
        <w:br w:type="column"/>
      </w:r>
      <w:r>
        <w:rPr>
          <w:color w:val="3B5673"/>
        </w:rPr>
        <w:t>The</w:t>
      </w:r>
      <w:r>
        <w:rPr>
          <w:color w:val="3B5673"/>
          <w:spacing w:val="-10"/>
        </w:rPr>
        <w:t> </w:t>
      </w:r>
      <w:r>
        <w:rPr>
          <w:color w:val="3B5673"/>
        </w:rPr>
        <w:t>Council’s</w:t>
      </w:r>
      <w:r>
        <w:rPr>
          <w:color w:val="3B5673"/>
          <w:spacing w:val="-7"/>
        </w:rPr>
        <w:t> </w:t>
      </w:r>
      <w:r>
        <w:rPr>
          <w:color w:val="3B5673"/>
        </w:rPr>
        <w:t>Climate</w:t>
      </w:r>
      <w:r>
        <w:rPr>
          <w:color w:val="3B5673"/>
          <w:spacing w:val="-7"/>
        </w:rPr>
        <w:t> </w:t>
      </w:r>
      <w:r>
        <w:rPr>
          <w:color w:val="3B5673"/>
        </w:rPr>
        <w:t>Change</w:t>
      </w:r>
      <w:r>
        <w:rPr>
          <w:color w:val="3B5673"/>
          <w:spacing w:val="-7"/>
        </w:rPr>
        <w:t> </w:t>
      </w:r>
      <w:r>
        <w:rPr>
          <w:color w:val="3B5673"/>
        </w:rPr>
        <w:t>Strategy</w:t>
      </w:r>
      <w:r>
        <w:rPr>
          <w:color w:val="3B5673"/>
          <w:spacing w:val="-8"/>
        </w:rPr>
        <w:t> </w:t>
      </w:r>
      <w:r>
        <w:rPr>
          <w:b w:val="0"/>
          <w:color w:val="231F20"/>
          <w:spacing w:val="-5"/>
        </w:rPr>
        <w:t>and</w:t>
      </w:r>
    </w:p>
    <w:p>
      <w:pPr>
        <w:pStyle w:val="BodyText"/>
        <w:spacing w:line="225" w:lineRule="auto" w:before="6"/>
        <w:ind w:left="432" w:right="997"/>
      </w:pPr>
      <w:r>
        <w:rPr>
          <w:color w:val="231F20"/>
        </w:rPr>
        <w:t>Carbon Management Plan were approved</w:t>
      </w:r>
      <w:r>
        <w:rPr>
          <w:color w:val="231F20"/>
          <w:spacing w:val="40"/>
        </w:rPr>
        <w:t> </w:t>
      </w:r>
      <w:r>
        <w:rPr>
          <w:color w:val="231F20"/>
        </w:rPr>
        <w:t>at Council in the summer 2022. The Council has engaged specialist support to develop</w:t>
      </w:r>
      <w:r>
        <w:rPr>
          <w:color w:val="231F20"/>
          <w:spacing w:val="40"/>
        </w:rPr>
        <w:t> </w:t>
      </w:r>
      <w:r>
        <w:rPr>
          <w:color w:val="231F20"/>
        </w:rPr>
        <w:t>a</w:t>
      </w:r>
      <w:r>
        <w:rPr>
          <w:color w:val="231F20"/>
          <w:spacing w:val="-7"/>
        </w:rPr>
        <w:t> </w:t>
      </w:r>
      <w:r>
        <w:rPr>
          <w:color w:val="231F20"/>
        </w:rPr>
        <w:t>Decarbonisation</w:t>
      </w:r>
      <w:r>
        <w:rPr>
          <w:color w:val="231F20"/>
          <w:spacing w:val="-8"/>
        </w:rPr>
        <w:t> </w:t>
      </w:r>
      <w:r>
        <w:rPr>
          <w:color w:val="231F20"/>
        </w:rPr>
        <w:t>Plan</w:t>
      </w:r>
      <w:r>
        <w:rPr>
          <w:color w:val="231F20"/>
          <w:spacing w:val="-8"/>
        </w:rPr>
        <w:t> </w:t>
      </w:r>
      <w:r>
        <w:rPr>
          <w:color w:val="231F20"/>
        </w:rPr>
        <w:t>for</w:t>
      </w:r>
      <w:r>
        <w:rPr>
          <w:color w:val="231F20"/>
          <w:spacing w:val="-7"/>
        </w:rPr>
        <w:t> </w:t>
      </w:r>
      <w:r>
        <w:rPr>
          <w:color w:val="231F20"/>
        </w:rPr>
        <w:t>its</w:t>
      </w:r>
      <w:r>
        <w:rPr>
          <w:color w:val="231F20"/>
          <w:spacing w:val="-8"/>
        </w:rPr>
        <w:t> </w:t>
      </w:r>
      <w:r>
        <w:rPr>
          <w:color w:val="231F20"/>
        </w:rPr>
        <w:t>non-domestic assets, looking at identifying measures to significantly reduce its carbon emissions.</w:t>
      </w:r>
    </w:p>
    <w:p>
      <w:pPr>
        <w:pStyle w:val="BodyText"/>
        <w:spacing w:line="294" w:lineRule="exact"/>
        <w:ind w:left="432"/>
      </w:pPr>
      <w:r>
        <w:rPr>
          <w:color w:val="231F20"/>
        </w:rPr>
        <w:t>This</w:t>
      </w:r>
      <w:r>
        <w:rPr>
          <w:color w:val="231F20"/>
          <w:spacing w:val="-1"/>
        </w:rPr>
        <w:t> </w:t>
      </w:r>
      <w:r>
        <w:rPr>
          <w:color w:val="231F20"/>
        </w:rPr>
        <w:t>work is</w:t>
      </w:r>
      <w:r>
        <w:rPr>
          <w:color w:val="231F20"/>
          <w:spacing w:val="-1"/>
        </w:rPr>
        <w:t> </w:t>
      </w:r>
      <w:r>
        <w:rPr>
          <w:color w:val="231F20"/>
        </w:rPr>
        <w:t>nearing completion. </w:t>
      </w:r>
      <w:r>
        <w:rPr>
          <w:color w:val="231F20"/>
          <w:spacing w:val="-5"/>
        </w:rPr>
        <w:t>The</w:t>
      </w:r>
    </w:p>
    <w:p>
      <w:pPr>
        <w:pStyle w:val="BodyText"/>
        <w:spacing w:line="225" w:lineRule="auto" w:before="6"/>
        <w:ind w:left="432" w:right="496"/>
      </w:pPr>
      <w:r>
        <w:rPr>
          <w:color w:val="231F20"/>
        </w:rPr>
        <w:t>Council successfully bid for Public Sector Decarbonisation</w:t>
      </w:r>
      <w:r>
        <w:rPr>
          <w:color w:val="231F20"/>
          <w:spacing w:val="-7"/>
        </w:rPr>
        <w:t> </w:t>
      </w:r>
      <w:r>
        <w:rPr>
          <w:color w:val="231F20"/>
        </w:rPr>
        <w:t>Phase</w:t>
      </w:r>
      <w:r>
        <w:rPr>
          <w:color w:val="231F20"/>
          <w:spacing w:val="-7"/>
        </w:rPr>
        <w:t> </w:t>
      </w:r>
      <w:r>
        <w:rPr>
          <w:color w:val="231F20"/>
        </w:rPr>
        <w:t>3</w:t>
      </w:r>
      <w:r>
        <w:rPr>
          <w:color w:val="231F20"/>
          <w:spacing w:val="-7"/>
        </w:rPr>
        <w:t> </w:t>
      </w:r>
      <w:r>
        <w:rPr>
          <w:color w:val="231F20"/>
        </w:rPr>
        <w:t>funding</w:t>
      </w:r>
      <w:r>
        <w:rPr>
          <w:color w:val="231F20"/>
          <w:spacing w:val="-6"/>
        </w:rPr>
        <w:t> </w:t>
      </w:r>
      <w:r>
        <w:rPr>
          <w:color w:val="231F20"/>
        </w:rPr>
        <w:t>for</w:t>
      </w:r>
      <w:r>
        <w:rPr>
          <w:color w:val="231F20"/>
          <w:spacing w:val="-6"/>
        </w:rPr>
        <w:t> </w:t>
      </w:r>
      <w:r>
        <w:rPr>
          <w:color w:val="231F20"/>
        </w:rPr>
        <w:t>the</w:t>
      </w:r>
      <w:r>
        <w:rPr>
          <w:color w:val="231F20"/>
          <w:spacing w:val="-6"/>
        </w:rPr>
        <w:t> </w:t>
      </w:r>
      <w:r>
        <w:rPr>
          <w:color w:val="231F20"/>
        </w:rPr>
        <w:t>Urban Road offices and Hucknall Leisure Centre</w:t>
      </w:r>
    </w:p>
    <w:p>
      <w:pPr>
        <w:pStyle w:val="BodyText"/>
        <w:spacing w:line="225" w:lineRule="auto"/>
        <w:ind w:left="432" w:right="496"/>
      </w:pPr>
      <w:r>
        <w:rPr/>
        <w:pict>
          <v:group style="position:absolute;margin-left:578.504028pt;margin-top:106.309837pt;width:16.8pt;height:192.8pt;mso-position-horizontal-relative:page;mso-position-vertical-relative:paragraph;z-index:15745536" id="docshapegroup106" coordorigin="11570,2126" coordsize="336,3856">
            <v:rect style="position:absolute;left:11570;top:5017;width:336;height:964" id="docshape107" filled="true" fillcolor="#f15d6b" stroked="false">
              <v:fill type="solid"/>
            </v:rect>
            <v:rect style="position:absolute;left:11570;top:4053;width:336;height:964" id="docshape108" filled="true" fillcolor="#fbac42" stroked="false">
              <v:fill type="solid"/>
            </v:rect>
            <v:rect style="position:absolute;left:11570;top:3089;width:336;height:964" id="docshape109" filled="true" fillcolor="#b78fc1" stroked="false">
              <v:fill type="solid"/>
            </v:rect>
            <v:rect style="position:absolute;left:11570;top:2126;width:336;height:964" id="docshape110" filled="true" fillcolor="#378372" stroked="false">
              <v:fill type="solid"/>
            </v:rect>
            <w10:wrap type="none"/>
          </v:group>
        </w:pict>
      </w:r>
      <w:r>
        <w:rPr>
          <w:color w:val="231F20"/>
        </w:rPr>
        <w:t>(total value of works £2m). Other funding bids for Green Homes Grants and Social Housing Decarbonisation</w:t>
      </w:r>
      <w:r>
        <w:rPr>
          <w:color w:val="231F20"/>
          <w:spacing w:val="-4"/>
        </w:rPr>
        <w:t> </w:t>
      </w:r>
      <w:r>
        <w:rPr>
          <w:color w:val="231F20"/>
        </w:rPr>
        <w:t>have</w:t>
      </w:r>
      <w:r>
        <w:rPr>
          <w:color w:val="231F20"/>
          <w:spacing w:val="-3"/>
        </w:rPr>
        <w:t> </w:t>
      </w:r>
      <w:r>
        <w:rPr>
          <w:color w:val="231F20"/>
        </w:rPr>
        <w:t>also</w:t>
      </w:r>
      <w:r>
        <w:rPr>
          <w:color w:val="231F20"/>
          <w:spacing w:val="-3"/>
        </w:rPr>
        <w:t> </w:t>
      </w:r>
      <w:r>
        <w:rPr>
          <w:color w:val="231F20"/>
        </w:rPr>
        <w:t>been</w:t>
      </w:r>
      <w:r>
        <w:rPr>
          <w:color w:val="231F20"/>
          <w:spacing w:val="-3"/>
        </w:rPr>
        <w:t> </w:t>
      </w:r>
      <w:r>
        <w:rPr>
          <w:color w:val="231F20"/>
        </w:rPr>
        <w:t>successful</w:t>
      </w:r>
      <w:r>
        <w:rPr>
          <w:color w:val="231F20"/>
          <w:spacing w:val="-4"/>
        </w:rPr>
        <w:t> </w:t>
      </w:r>
      <w:r>
        <w:rPr>
          <w:color w:val="231F20"/>
        </w:rPr>
        <w:t>and are delivering £4m for works to improve the thermal</w:t>
      </w:r>
      <w:r>
        <w:rPr>
          <w:color w:val="231F20"/>
          <w:spacing w:val="-5"/>
        </w:rPr>
        <w:t> </w:t>
      </w:r>
      <w:r>
        <w:rPr>
          <w:color w:val="231F20"/>
        </w:rPr>
        <w:t>efficiency</w:t>
      </w:r>
      <w:r>
        <w:rPr>
          <w:color w:val="231F20"/>
          <w:spacing w:val="-5"/>
        </w:rPr>
        <w:t> </w:t>
      </w:r>
      <w:r>
        <w:rPr>
          <w:color w:val="231F20"/>
        </w:rPr>
        <w:t>of</w:t>
      </w:r>
      <w:r>
        <w:rPr>
          <w:color w:val="231F20"/>
          <w:spacing w:val="-5"/>
        </w:rPr>
        <w:t> </w:t>
      </w:r>
      <w:r>
        <w:rPr>
          <w:color w:val="231F20"/>
        </w:rPr>
        <w:t>private</w:t>
      </w:r>
      <w:r>
        <w:rPr>
          <w:color w:val="231F20"/>
          <w:spacing w:val="-5"/>
        </w:rPr>
        <w:t> </w:t>
      </w:r>
      <w:r>
        <w:rPr>
          <w:color w:val="231F20"/>
        </w:rPr>
        <w:t>sector</w:t>
      </w:r>
      <w:r>
        <w:rPr>
          <w:color w:val="231F20"/>
          <w:spacing w:val="-6"/>
        </w:rPr>
        <w:t> </w:t>
      </w:r>
      <w:r>
        <w:rPr>
          <w:color w:val="231F20"/>
        </w:rPr>
        <w:t>and</w:t>
      </w:r>
      <w:r>
        <w:rPr>
          <w:color w:val="231F20"/>
          <w:spacing w:val="-5"/>
        </w:rPr>
        <w:t> </w:t>
      </w:r>
      <w:r>
        <w:rPr>
          <w:color w:val="231F20"/>
        </w:rPr>
        <w:t>Council homes, and reduce energy demands thereby assisting in reducing the District’s carbon footprint and helping to reduce fuel poverty.</w:t>
      </w:r>
    </w:p>
    <w:p>
      <w:pPr>
        <w:pStyle w:val="BodyText"/>
        <w:spacing w:line="225" w:lineRule="auto"/>
        <w:ind w:left="432" w:right="496"/>
      </w:pPr>
      <w:r>
        <w:rPr>
          <w:color w:val="231F20"/>
        </w:rPr>
        <w:t>The Council continues to purchase zero carbon electricity</w:t>
      </w:r>
      <w:r>
        <w:rPr>
          <w:color w:val="231F20"/>
          <w:spacing w:val="-8"/>
        </w:rPr>
        <w:t> </w:t>
      </w:r>
      <w:r>
        <w:rPr>
          <w:color w:val="231F20"/>
        </w:rPr>
        <w:t>certified</w:t>
      </w:r>
      <w:r>
        <w:rPr>
          <w:color w:val="231F20"/>
          <w:spacing w:val="-8"/>
        </w:rPr>
        <w:t> </w:t>
      </w:r>
      <w:r>
        <w:rPr>
          <w:color w:val="231F20"/>
        </w:rPr>
        <w:t>under</w:t>
      </w:r>
      <w:r>
        <w:rPr>
          <w:color w:val="231F20"/>
          <w:spacing w:val="-8"/>
        </w:rPr>
        <w:t> </w:t>
      </w:r>
      <w:r>
        <w:rPr>
          <w:color w:val="231F20"/>
        </w:rPr>
        <w:t>the</w:t>
      </w:r>
      <w:r>
        <w:rPr>
          <w:color w:val="231F20"/>
          <w:spacing w:val="-8"/>
        </w:rPr>
        <w:t> </w:t>
      </w:r>
      <w:r>
        <w:rPr>
          <w:color w:val="231F20"/>
        </w:rPr>
        <w:t>Renewable</w:t>
      </w:r>
      <w:r>
        <w:rPr>
          <w:color w:val="231F20"/>
          <w:spacing w:val="-8"/>
        </w:rPr>
        <w:t> </w:t>
      </w:r>
      <w:r>
        <w:rPr>
          <w:color w:val="231F20"/>
        </w:rPr>
        <w:t>Energy Guarantee of Origin (REGO). The electricity is generated from wind, solar, hydro, landfill gas and biomass pellets.</w:t>
      </w:r>
    </w:p>
    <w:p>
      <w:pPr>
        <w:spacing w:after="0" w:line="225" w:lineRule="auto"/>
        <w:sectPr>
          <w:type w:val="continuous"/>
          <w:pgSz w:w="11910" w:h="16840"/>
          <w:pgMar w:header="377" w:footer="367" w:top="260" w:bottom="0" w:left="0" w:right="0"/>
          <w:cols w:num="2" w:equalWidth="0">
            <w:col w:w="5793" w:space="40"/>
            <w:col w:w="6077"/>
          </w:cols>
        </w:sectPr>
      </w:pPr>
    </w:p>
    <w:p>
      <w:pPr>
        <w:pStyle w:val="BodyText"/>
        <w:rPr>
          <w:sz w:val="20"/>
        </w:rPr>
      </w:pPr>
    </w:p>
    <w:p>
      <w:pPr>
        <w:pStyle w:val="BodyText"/>
        <w:rPr>
          <w:sz w:val="20"/>
        </w:rPr>
      </w:pPr>
    </w:p>
    <w:p>
      <w:pPr>
        <w:pStyle w:val="BodyText"/>
        <w:spacing w:before="11"/>
        <w:rPr>
          <w:sz w:val="16"/>
        </w:rPr>
      </w:pPr>
    </w:p>
    <w:p>
      <w:pPr>
        <w:pStyle w:val="BodyText"/>
        <w:rPr>
          <w:sz w:val="20"/>
        </w:rPr>
      </w:pPr>
      <w:r>
        <w:rPr>
          <w:sz w:val="20"/>
        </w:rPr>
        <w:pict>
          <v:group style="width:566.950pt;height:283.5pt;mso-position-horizontal-relative:char;mso-position-vertical-relative:line" id="docshapegroup111" coordorigin="0,0" coordsize="11339,5670">
            <v:shape style="position:absolute;left:0;top:0;width:11339;height:5670" type="#_x0000_t75" id="docshape112" stroked="false">
              <v:imagedata r:id="rId34" o:title=""/>
            </v:shape>
            <v:shape style="position:absolute;left:141;top:5374;width:1091;height:205" type="#_x0000_t202" id="docshape113" filled="false" stroked="false">
              <v:textbox inset="0,0,0,0">
                <w:txbxContent>
                  <w:p>
                    <w:pPr>
                      <w:spacing w:line="204" w:lineRule="exact" w:before="0"/>
                      <w:ind w:left="0" w:right="0" w:firstLine="0"/>
                      <w:jc w:val="left"/>
                      <w:rPr>
                        <w:rFonts w:ascii="Poppins"/>
                        <w:sz w:val="20"/>
                      </w:rPr>
                    </w:pPr>
                    <w:r>
                      <w:rPr>
                        <w:rFonts w:ascii="Poppins"/>
                        <w:color w:val="FFFFFF"/>
                        <w:sz w:val="20"/>
                      </w:rPr>
                      <w:t>Dylan </w:t>
                    </w:r>
                    <w:r>
                      <w:rPr>
                        <w:rFonts w:ascii="Poppins"/>
                        <w:color w:val="FFFFFF"/>
                        <w:spacing w:val="-2"/>
                        <w:sz w:val="20"/>
                      </w:rPr>
                      <w:t>Elliot</w:t>
                    </w:r>
                  </w:p>
                </w:txbxContent>
              </v:textbox>
              <w10:wrap type="none"/>
            </v:shape>
          </v:group>
        </w:pict>
      </w:r>
      <w:r>
        <w:rPr>
          <w:sz w:val="20"/>
        </w:rPr>
      </w:r>
    </w:p>
    <w:p>
      <w:pPr>
        <w:spacing w:after="0"/>
        <w:rPr>
          <w:sz w:val="20"/>
        </w:rPr>
        <w:sectPr>
          <w:type w:val="continuous"/>
          <w:pgSz w:w="11910" w:h="16840"/>
          <w:pgMar w:header="377" w:footer="367" w:top="260" w:bottom="0" w:left="0" w:right="0"/>
        </w:sectPr>
      </w:pPr>
    </w:p>
    <w:p>
      <w:pPr>
        <w:pStyle w:val="BodyText"/>
        <w:rPr>
          <w:sz w:val="28"/>
        </w:rPr>
      </w:pPr>
    </w:p>
    <w:p>
      <w:pPr>
        <w:spacing w:after="0"/>
        <w:rPr>
          <w:sz w:val="28"/>
        </w:rPr>
        <w:sectPr>
          <w:headerReference w:type="default" r:id="rId35"/>
          <w:footerReference w:type="default" r:id="rId36"/>
          <w:pgSz w:w="11910" w:h="16840"/>
          <w:pgMar w:header="377" w:footer="0" w:top="560" w:bottom="0" w:left="0" w:right="0"/>
        </w:sectPr>
      </w:pPr>
    </w:p>
    <w:p>
      <w:pPr>
        <w:pStyle w:val="Heading3"/>
      </w:pPr>
      <w:r>
        <w:rPr>
          <w:color w:val="3B5673"/>
        </w:rPr>
        <w:t>SAFER</w:t>
      </w:r>
      <w:r>
        <w:rPr>
          <w:color w:val="3B5673"/>
          <w:spacing w:val="32"/>
        </w:rPr>
        <w:t> </w:t>
      </w:r>
      <w:r>
        <w:rPr>
          <w:color w:val="3B5673"/>
        </w:rPr>
        <w:t>AND</w:t>
      </w:r>
      <w:r>
        <w:rPr>
          <w:color w:val="3B5673"/>
          <w:spacing w:val="32"/>
        </w:rPr>
        <w:t> </w:t>
      </w:r>
      <w:r>
        <w:rPr>
          <w:color w:val="3B5673"/>
          <w:spacing w:val="-2"/>
        </w:rPr>
        <w:t>STRONGER</w:t>
      </w:r>
    </w:p>
    <w:p>
      <w:pPr>
        <w:pStyle w:val="ListParagraph"/>
        <w:numPr>
          <w:ilvl w:val="1"/>
          <w:numId w:val="8"/>
        </w:numPr>
        <w:tabs>
          <w:tab w:pos="737" w:val="left" w:leader="none"/>
        </w:tabs>
        <w:spacing w:line="225" w:lineRule="auto" w:before="6" w:after="0"/>
        <w:ind w:left="737" w:right="209" w:hanging="171"/>
        <w:jc w:val="left"/>
        <w:rPr>
          <w:sz w:val="24"/>
        </w:rPr>
      </w:pPr>
      <w:r>
        <w:rPr>
          <w:b/>
          <w:color w:val="3B5673"/>
          <w:sz w:val="24"/>
        </w:rPr>
        <w:t>Anti-Social Behaviour - </w:t>
      </w:r>
      <w:r>
        <w:rPr>
          <w:color w:val="231F20"/>
          <w:sz w:val="24"/>
        </w:rPr>
        <w:t>The Council responded to 4,807 reports of anti-social behaviour, neighbourhood nuisance and environmental crime reports between 1st April</w:t>
      </w:r>
      <w:r>
        <w:rPr>
          <w:color w:val="231F20"/>
          <w:spacing w:val="-5"/>
          <w:sz w:val="24"/>
        </w:rPr>
        <w:t> </w:t>
      </w:r>
      <w:r>
        <w:rPr>
          <w:color w:val="231F20"/>
          <w:sz w:val="24"/>
        </w:rPr>
        <w:t>2022</w:t>
      </w:r>
      <w:r>
        <w:rPr>
          <w:color w:val="231F20"/>
          <w:spacing w:val="-6"/>
          <w:sz w:val="24"/>
        </w:rPr>
        <w:t> </w:t>
      </w:r>
      <w:r>
        <w:rPr>
          <w:color w:val="231F20"/>
          <w:sz w:val="24"/>
        </w:rPr>
        <w:t>and</w:t>
      </w:r>
      <w:r>
        <w:rPr>
          <w:color w:val="231F20"/>
          <w:spacing w:val="-5"/>
          <w:sz w:val="24"/>
        </w:rPr>
        <w:t> </w:t>
      </w:r>
      <w:r>
        <w:rPr>
          <w:color w:val="231F20"/>
          <w:sz w:val="24"/>
        </w:rPr>
        <w:t>31st</w:t>
      </w:r>
      <w:r>
        <w:rPr>
          <w:color w:val="231F20"/>
          <w:spacing w:val="-6"/>
          <w:sz w:val="24"/>
        </w:rPr>
        <w:t> </w:t>
      </w:r>
      <w:r>
        <w:rPr>
          <w:color w:val="231F20"/>
          <w:sz w:val="24"/>
        </w:rPr>
        <w:t>March</w:t>
      </w:r>
      <w:r>
        <w:rPr>
          <w:color w:val="231F20"/>
          <w:spacing w:val="-5"/>
          <w:sz w:val="24"/>
        </w:rPr>
        <w:t> </w:t>
      </w:r>
      <w:r>
        <w:rPr>
          <w:color w:val="231F20"/>
          <w:sz w:val="24"/>
        </w:rPr>
        <w:t>2023.</w:t>
      </w:r>
      <w:r>
        <w:rPr>
          <w:color w:val="231F20"/>
          <w:spacing w:val="-6"/>
          <w:sz w:val="24"/>
        </w:rPr>
        <w:t> </w:t>
      </w:r>
      <w:r>
        <w:rPr>
          <w:color w:val="231F20"/>
          <w:sz w:val="24"/>
        </w:rPr>
        <w:t>Based</w:t>
      </w:r>
      <w:r>
        <w:rPr>
          <w:color w:val="231F20"/>
          <w:spacing w:val="-6"/>
          <w:sz w:val="24"/>
        </w:rPr>
        <w:t> </w:t>
      </w:r>
      <w:r>
        <w:rPr>
          <w:color w:val="231F20"/>
          <w:sz w:val="24"/>
        </w:rPr>
        <w:t>on</w:t>
      </w:r>
      <w:r>
        <w:rPr>
          <w:color w:val="231F20"/>
          <w:spacing w:val="-5"/>
          <w:sz w:val="24"/>
        </w:rPr>
        <w:t> </w:t>
      </w:r>
      <w:r>
        <w:rPr>
          <w:color w:val="231F20"/>
          <w:sz w:val="24"/>
        </w:rPr>
        <w:t>the</w:t>
      </w:r>
    </w:p>
    <w:p>
      <w:pPr>
        <w:pStyle w:val="BodyText"/>
        <w:spacing w:line="225" w:lineRule="auto"/>
        <w:ind w:left="737"/>
      </w:pPr>
      <w:r>
        <w:rPr>
          <w:color w:val="231F20"/>
        </w:rPr>
        <w:t>reporting</w:t>
      </w:r>
      <w:r>
        <w:rPr>
          <w:color w:val="231F20"/>
          <w:spacing w:val="-5"/>
        </w:rPr>
        <w:t> </w:t>
      </w:r>
      <w:r>
        <w:rPr>
          <w:color w:val="231F20"/>
        </w:rPr>
        <w:t>period</w:t>
      </w:r>
      <w:r>
        <w:rPr>
          <w:color w:val="231F20"/>
          <w:spacing w:val="-5"/>
        </w:rPr>
        <w:t> </w:t>
      </w:r>
      <w:r>
        <w:rPr>
          <w:color w:val="231F20"/>
        </w:rPr>
        <w:t>for</w:t>
      </w:r>
      <w:r>
        <w:rPr>
          <w:color w:val="231F20"/>
          <w:spacing w:val="-5"/>
        </w:rPr>
        <w:t> </w:t>
      </w:r>
      <w:r>
        <w:rPr>
          <w:color w:val="231F20"/>
        </w:rPr>
        <w:t>the</w:t>
      </w:r>
      <w:r>
        <w:rPr>
          <w:color w:val="231F20"/>
          <w:spacing w:val="-5"/>
        </w:rPr>
        <w:t> </w:t>
      </w:r>
      <w:r>
        <w:rPr>
          <w:color w:val="231F20"/>
        </w:rPr>
        <w:t>previous</w:t>
      </w:r>
      <w:r>
        <w:rPr>
          <w:color w:val="231F20"/>
          <w:spacing w:val="-5"/>
        </w:rPr>
        <w:t> </w:t>
      </w:r>
      <w:r>
        <w:rPr>
          <w:color w:val="231F20"/>
        </w:rPr>
        <w:t>year</w:t>
      </w:r>
      <w:r>
        <w:rPr>
          <w:color w:val="231F20"/>
          <w:spacing w:val="-5"/>
        </w:rPr>
        <w:t> </w:t>
      </w:r>
      <w:r>
        <w:rPr>
          <w:color w:val="231F20"/>
        </w:rPr>
        <w:t>of</w:t>
      </w:r>
      <w:r>
        <w:rPr>
          <w:color w:val="231F20"/>
          <w:spacing w:val="-5"/>
        </w:rPr>
        <w:t> </w:t>
      </w:r>
      <w:r>
        <w:rPr>
          <w:color w:val="231F20"/>
        </w:rPr>
        <w:t>5,754 reports, this is a 16% reduction in reported demand over the course of the year.</w:t>
      </w:r>
    </w:p>
    <w:p>
      <w:pPr>
        <w:pStyle w:val="ListParagraph"/>
        <w:numPr>
          <w:ilvl w:val="1"/>
          <w:numId w:val="8"/>
        </w:numPr>
        <w:tabs>
          <w:tab w:pos="737" w:val="left" w:leader="none"/>
        </w:tabs>
        <w:spacing w:line="225" w:lineRule="auto" w:before="56" w:after="0"/>
        <w:ind w:left="737" w:right="93" w:hanging="171"/>
        <w:jc w:val="left"/>
        <w:rPr>
          <w:sz w:val="24"/>
        </w:rPr>
      </w:pPr>
      <w:r>
        <w:rPr>
          <w:b/>
          <w:color w:val="3B5673"/>
          <w:sz w:val="24"/>
        </w:rPr>
        <w:t>Enviro-crime - </w:t>
      </w:r>
      <w:r>
        <w:rPr>
          <w:color w:val="231F20"/>
          <w:sz w:val="24"/>
        </w:rPr>
        <w:t>A number of action and awareness days have been undertaken to address</w:t>
      </w:r>
      <w:r>
        <w:rPr>
          <w:color w:val="231F20"/>
          <w:spacing w:val="-1"/>
          <w:sz w:val="24"/>
        </w:rPr>
        <w:t> </w:t>
      </w:r>
      <w:r>
        <w:rPr>
          <w:color w:val="231F20"/>
          <w:sz w:val="24"/>
        </w:rPr>
        <w:t>fly</w:t>
      </w:r>
      <w:r>
        <w:rPr>
          <w:color w:val="231F20"/>
          <w:spacing w:val="-1"/>
          <w:sz w:val="24"/>
        </w:rPr>
        <w:t> </w:t>
      </w:r>
      <w:r>
        <w:rPr>
          <w:color w:val="231F20"/>
          <w:sz w:val="24"/>
        </w:rPr>
        <w:t>tipping,</w:t>
      </w:r>
      <w:r>
        <w:rPr>
          <w:color w:val="231F20"/>
          <w:spacing w:val="-1"/>
          <w:sz w:val="24"/>
        </w:rPr>
        <w:t> </w:t>
      </w:r>
      <w:r>
        <w:rPr>
          <w:color w:val="231F20"/>
          <w:sz w:val="24"/>
        </w:rPr>
        <w:t>waste</w:t>
      </w:r>
      <w:r>
        <w:rPr>
          <w:color w:val="231F20"/>
          <w:spacing w:val="-1"/>
          <w:sz w:val="24"/>
        </w:rPr>
        <w:t> </w:t>
      </w:r>
      <w:r>
        <w:rPr>
          <w:color w:val="231F20"/>
          <w:sz w:val="24"/>
        </w:rPr>
        <w:t>on</w:t>
      </w:r>
      <w:r>
        <w:rPr>
          <w:color w:val="231F20"/>
          <w:spacing w:val="-1"/>
          <w:sz w:val="24"/>
        </w:rPr>
        <w:t> </w:t>
      </w:r>
      <w:r>
        <w:rPr>
          <w:color w:val="231F20"/>
          <w:sz w:val="24"/>
        </w:rPr>
        <w:t>land,</w:t>
      </w:r>
      <w:r>
        <w:rPr>
          <w:color w:val="231F20"/>
          <w:spacing w:val="-1"/>
          <w:sz w:val="24"/>
        </w:rPr>
        <w:t> </w:t>
      </w:r>
      <w:r>
        <w:rPr>
          <w:color w:val="231F20"/>
          <w:sz w:val="24"/>
        </w:rPr>
        <w:t>littering</w:t>
      </w:r>
      <w:r>
        <w:rPr>
          <w:color w:val="231F20"/>
          <w:spacing w:val="-1"/>
          <w:sz w:val="24"/>
        </w:rPr>
        <w:t> </w:t>
      </w:r>
      <w:r>
        <w:rPr>
          <w:color w:val="231F20"/>
          <w:sz w:val="24"/>
        </w:rPr>
        <w:t>and dog fouling across the District. The Council </w:t>
      </w:r>
      <w:r>
        <w:rPr>
          <w:color w:val="231F20"/>
          <w:spacing w:val="-2"/>
          <w:sz w:val="24"/>
        </w:rPr>
        <w:t>investigated</w:t>
      </w:r>
      <w:r>
        <w:rPr>
          <w:color w:val="231F20"/>
          <w:spacing w:val="-10"/>
          <w:sz w:val="24"/>
        </w:rPr>
        <w:t> </w:t>
      </w:r>
      <w:r>
        <w:rPr>
          <w:color w:val="231F20"/>
          <w:spacing w:val="-2"/>
          <w:sz w:val="24"/>
        </w:rPr>
        <w:t>1,612</w:t>
      </w:r>
      <w:r>
        <w:rPr>
          <w:color w:val="231F20"/>
          <w:spacing w:val="-10"/>
          <w:sz w:val="24"/>
        </w:rPr>
        <w:t> </w:t>
      </w:r>
      <w:r>
        <w:rPr>
          <w:color w:val="231F20"/>
          <w:spacing w:val="-2"/>
          <w:sz w:val="24"/>
        </w:rPr>
        <w:t>cases</w:t>
      </w:r>
      <w:r>
        <w:rPr>
          <w:color w:val="231F20"/>
          <w:spacing w:val="-10"/>
          <w:sz w:val="24"/>
        </w:rPr>
        <w:t> </w:t>
      </w:r>
      <w:r>
        <w:rPr>
          <w:color w:val="231F20"/>
          <w:spacing w:val="-2"/>
          <w:sz w:val="24"/>
        </w:rPr>
        <w:t>of</w:t>
      </w:r>
      <w:r>
        <w:rPr>
          <w:color w:val="231F20"/>
          <w:spacing w:val="-10"/>
          <w:sz w:val="24"/>
        </w:rPr>
        <w:t> </w:t>
      </w:r>
      <w:r>
        <w:rPr>
          <w:color w:val="231F20"/>
          <w:spacing w:val="-2"/>
          <w:sz w:val="24"/>
        </w:rPr>
        <w:t>environmental</w:t>
      </w:r>
      <w:r>
        <w:rPr>
          <w:color w:val="231F20"/>
          <w:spacing w:val="-10"/>
          <w:sz w:val="24"/>
        </w:rPr>
        <w:t> </w:t>
      </w:r>
      <w:r>
        <w:rPr>
          <w:color w:val="231F20"/>
          <w:spacing w:val="-2"/>
          <w:sz w:val="24"/>
        </w:rPr>
        <w:t>crime related</w:t>
      </w:r>
      <w:r>
        <w:rPr>
          <w:color w:val="231F20"/>
          <w:spacing w:val="-11"/>
          <w:sz w:val="24"/>
        </w:rPr>
        <w:t> </w:t>
      </w:r>
      <w:r>
        <w:rPr>
          <w:color w:val="231F20"/>
          <w:spacing w:val="-2"/>
          <w:sz w:val="24"/>
        </w:rPr>
        <w:t>reports</w:t>
      </w:r>
      <w:r>
        <w:rPr>
          <w:color w:val="231F20"/>
          <w:spacing w:val="-11"/>
          <w:sz w:val="24"/>
        </w:rPr>
        <w:t> </w:t>
      </w:r>
      <w:r>
        <w:rPr>
          <w:color w:val="231F20"/>
          <w:spacing w:val="-2"/>
          <w:sz w:val="24"/>
        </w:rPr>
        <w:t>last</w:t>
      </w:r>
      <w:r>
        <w:rPr>
          <w:color w:val="231F20"/>
          <w:spacing w:val="-11"/>
          <w:sz w:val="24"/>
        </w:rPr>
        <w:t> </w:t>
      </w:r>
      <w:r>
        <w:rPr>
          <w:color w:val="231F20"/>
          <w:spacing w:val="-2"/>
          <w:sz w:val="24"/>
        </w:rPr>
        <w:t>year,</w:t>
      </w:r>
      <w:r>
        <w:rPr>
          <w:color w:val="231F20"/>
          <w:spacing w:val="-11"/>
          <w:sz w:val="24"/>
        </w:rPr>
        <w:t> </w:t>
      </w:r>
      <w:r>
        <w:rPr>
          <w:color w:val="231F20"/>
          <w:spacing w:val="-2"/>
          <w:sz w:val="24"/>
        </w:rPr>
        <w:t>resulting</w:t>
      </w:r>
      <w:r>
        <w:rPr>
          <w:color w:val="231F20"/>
          <w:spacing w:val="-11"/>
          <w:sz w:val="24"/>
        </w:rPr>
        <w:t> </w:t>
      </w:r>
      <w:r>
        <w:rPr>
          <w:color w:val="231F20"/>
          <w:spacing w:val="-2"/>
          <w:sz w:val="24"/>
        </w:rPr>
        <w:t>in</w:t>
      </w:r>
      <w:r>
        <w:rPr>
          <w:color w:val="231F20"/>
          <w:spacing w:val="-11"/>
          <w:sz w:val="24"/>
        </w:rPr>
        <w:t> </w:t>
      </w:r>
      <w:r>
        <w:rPr>
          <w:color w:val="231F20"/>
          <w:spacing w:val="-2"/>
          <w:sz w:val="24"/>
        </w:rPr>
        <w:t>educational </w:t>
      </w:r>
      <w:r>
        <w:rPr>
          <w:color w:val="231F20"/>
          <w:sz w:val="24"/>
        </w:rPr>
        <w:t>sessions and 318 notices being issued.</w:t>
      </w:r>
    </w:p>
    <w:p>
      <w:pPr>
        <w:pStyle w:val="ListParagraph"/>
        <w:numPr>
          <w:ilvl w:val="1"/>
          <w:numId w:val="8"/>
        </w:numPr>
        <w:tabs>
          <w:tab w:pos="737" w:val="left" w:leader="none"/>
        </w:tabs>
        <w:spacing w:line="225" w:lineRule="auto" w:before="56" w:after="0"/>
        <w:ind w:left="737" w:right="606" w:hanging="171"/>
        <w:jc w:val="left"/>
        <w:rPr>
          <w:sz w:val="24"/>
        </w:rPr>
      </w:pPr>
      <w:r>
        <w:rPr>
          <w:b/>
          <w:color w:val="3B5673"/>
          <w:sz w:val="24"/>
        </w:rPr>
        <w:t>Safer Streets - </w:t>
      </w:r>
      <w:r>
        <w:rPr>
          <w:color w:val="231F20"/>
          <w:sz w:val="24"/>
        </w:rPr>
        <w:t>the Council, alongside partners</w:t>
      </w:r>
      <w:r>
        <w:rPr>
          <w:color w:val="231F20"/>
          <w:spacing w:val="-17"/>
          <w:sz w:val="24"/>
        </w:rPr>
        <w:t> </w:t>
      </w:r>
      <w:r>
        <w:rPr>
          <w:color w:val="231F20"/>
          <w:sz w:val="24"/>
        </w:rPr>
        <w:t>and</w:t>
      </w:r>
      <w:r>
        <w:rPr>
          <w:color w:val="231F20"/>
          <w:spacing w:val="-16"/>
          <w:sz w:val="24"/>
        </w:rPr>
        <w:t> </w:t>
      </w:r>
      <w:r>
        <w:rPr>
          <w:color w:val="231F20"/>
          <w:sz w:val="24"/>
        </w:rPr>
        <w:t>the</w:t>
      </w:r>
      <w:r>
        <w:rPr>
          <w:color w:val="231F20"/>
          <w:spacing w:val="-17"/>
          <w:sz w:val="24"/>
        </w:rPr>
        <w:t> </w:t>
      </w:r>
      <w:r>
        <w:rPr>
          <w:color w:val="231F20"/>
          <w:sz w:val="24"/>
        </w:rPr>
        <w:t>Office</w:t>
      </w:r>
      <w:r>
        <w:rPr>
          <w:color w:val="231F20"/>
          <w:spacing w:val="-16"/>
          <w:sz w:val="24"/>
        </w:rPr>
        <w:t> </w:t>
      </w:r>
      <w:r>
        <w:rPr>
          <w:color w:val="231F20"/>
          <w:sz w:val="24"/>
        </w:rPr>
        <w:t>of</w:t>
      </w:r>
      <w:r>
        <w:rPr>
          <w:color w:val="231F20"/>
          <w:spacing w:val="-17"/>
          <w:sz w:val="24"/>
        </w:rPr>
        <w:t> </w:t>
      </w:r>
      <w:r>
        <w:rPr>
          <w:color w:val="231F20"/>
          <w:sz w:val="24"/>
        </w:rPr>
        <w:t>Police</w:t>
      </w:r>
      <w:r>
        <w:rPr>
          <w:color w:val="231F20"/>
          <w:spacing w:val="-16"/>
          <w:sz w:val="24"/>
        </w:rPr>
        <w:t> </w:t>
      </w:r>
      <w:r>
        <w:rPr>
          <w:color w:val="231F20"/>
          <w:sz w:val="24"/>
        </w:rPr>
        <w:t>and</w:t>
      </w:r>
      <w:r>
        <w:rPr>
          <w:color w:val="231F20"/>
          <w:spacing w:val="-17"/>
          <w:sz w:val="24"/>
        </w:rPr>
        <w:t> </w:t>
      </w:r>
      <w:r>
        <w:rPr>
          <w:color w:val="231F20"/>
          <w:sz w:val="24"/>
        </w:rPr>
        <w:t>Crime Commissioner, was successful in securing</w:t>
      </w:r>
    </w:p>
    <w:p>
      <w:pPr>
        <w:pStyle w:val="BodyText"/>
        <w:spacing w:line="225" w:lineRule="auto"/>
        <w:ind w:left="737"/>
      </w:pPr>
      <w:r>
        <w:rPr>
          <w:color w:val="231F20"/>
        </w:rPr>
        <w:t>£750,000 for Mansfield and Ashfield as part of the Safer Streets Round 4 Funding programme. The funding is being used to address longstanding community concerns relating to </w:t>
      </w:r>
      <w:r>
        <w:rPr>
          <w:color w:val="231F20"/>
          <w:spacing w:val="-2"/>
        </w:rPr>
        <w:t>feelings</w:t>
      </w:r>
      <w:r>
        <w:rPr>
          <w:color w:val="231F20"/>
          <w:spacing w:val="-12"/>
        </w:rPr>
        <w:t> </w:t>
      </w:r>
      <w:r>
        <w:rPr>
          <w:color w:val="231F20"/>
          <w:spacing w:val="-2"/>
        </w:rPr>
        <w:t>of</w:t>
      </w:r>
      <w:r>
        <w:rPr>
          <w:color w:val="231F20"/>
          <w:spacing w:val="-12"/>
        </w:rPr>
        <w:t> </w:t>
      </w:r>
      <w:r>
        <w:rPr>
          <w:color w:val="231F20"/>
          <w:spacing w:val="-2"/>
        </w:rPr>
        <w:t>safety,</w:t>
      </w:r>
      <w:r>
        <w:rPr>
          <w:color w:val="231F20"/>
          <w:spacing w:val="-12"/>
        </w:rPr>
        <w:t> </w:t>
      </w:r>
      <w:r>
        <w:rPr>
          <w:color w:val="231F20"/>
          <w:spacing w:val="-2"/>
        </w:rPr>
        <w:t>neighbourhood</w:t>
      </w:r>
      <w:r>
        <w:rPr>
          <w:color w:val="231F20"/>
          <w:spacing w:val="-12"/>
        </w:rPr>
        <w:t> </w:t>
      </w:r>
      <w:r>
        <w:rPr>
          <w:color w:val="231F20"/>
          <w:spacing w:val="-2"/>
        </w:rPr>
        <w:t>crimes</w:t>
      </w:r>
      <w:r>
        <w:rPr>
          <w:color w:val="231F20"/>
          <w:spacing w:val="-12"/>
        </w:rPr>
        <w:t> </w:t>
      </w:r>
      <w:r>
        <w:rPr>
          <w:color w:val="231F20"/>
          <w:spacing w:val="-2"/>
        </w:rPr>
        <w:t>and</w:t>
      </w:r>
      <w:r>
        <w:rPr>
          <w:color w:val="231F20"/>
          <w:spacing w:val="-12"/>
        </w:rPr>
        <w:t> </w:t>
      </w:r>
      <w:r>
        <w:rPr>
          <w:color w:val="231F20"/>
          <w:spacing w:val="-2"/>
        </w:rPr>
        <w:t>the </w:t>
      </w:r>
      <w:r>
        <w:rPr>
          <w:color w:val="231F20"/>
        </w:rPr>
        <w:t>perception of crime and anti-social behaviour</w:t>
      </w:r>
    </w:p>
    <w:p>
      <w:pPr>
        <w:pStyle w:val="BodyText"/>
        <w:spacing w:line="225" w:lineRule="auto"/>
        <w:ind w:left="737"/>
      </w:pPr>
      <w:r>
        <w:rPr>
          <w:color w:val="231F20"/>
        </w:rPr>
        <w:t>in</w:t>
      </w:r>
      <w:r>
        <w:rPr>
          <w:color w:val="231F20"/>
          <w:spacing w:val="-13"/>
        </w:rPr>
        <w:t> </w:t>
      </w:r>
      <w:r>
        <w:rPr>
          <w:color w:val="231F20"/>
        </w:rPr>
        <w:t>public</w:t>
      </w:r>
      <w:r>
        <w:rPr>
          <w:color w:val="231F20"/>
          <w:spacing w:val="-13"/>
        </w:rPr>
        <w:t> </w:t>
      </w:r>
      <w:r>
        <w:rPr>
          <w:color w:val="231F20"/>
        </w:rPr>
        <w:t>places.</w:t>
      </w:r>
      <w:r>
        <w:rPr>
          <w:color w:val="231F20"/>
          <w:spacing w:val="-13"/>
        </w:rPr>
        <w:t> </w:t>
      </w:r>
      <w:r>
        <w:rPr>
          <w:color w:val="231F20"/>
        </w:rPr>
        <w:t>The</w:t>
      </w:r>
      <w:r>
        <w:rPr>
          <w:color w:val="231F20"/>
          <w:spacing w:val="-13"/>
        </w:rPr>
        <w:t> </w:t>
      </w:r>
      <w:r>
        <w:rPr>
          <w:color w:val="231F20"/>
        </w:rPr>
        <w:t>Council</w:t>
      </w:r>
      <w:r>
        <w:rPr>
          <w:color w:val="231F20"/>
          <w:spacing w:val="-13"/>
        </w:rPr>
        <w:t> </w:t>
      </w:r>
      <w:r>
        <w:rPr>
          <w:color w:val="231F20"/>
        </w:rPr>
        <w:t>also</w:t>
      </w:r>
      <w:r>
        <w:rPr>
          <w:color w:val="231F20"/>
          <w:spacing w:val="-13"/>
        </w:rPr>
        <w:t> </w:t>
      </w:r>
      <w:r>
        <w:rPr>
          <w:color w:val="231F20"/>
        </w:rPr>
        <w:t>received</w:t>
      </w:r>
      <w:r>
        <w:rPr>
          <w:color w:val="231F20"/>
          <w:spacing w:val="-13"/>
        </w:rPr>
        <w:t> </w:t>
      </w:r>
      <w:r>
        <w:rPr>
          <w:color w:val="231F20"/>
        </w:rPr>
        <w:t>total </w:t>
      </w:r>
      <w:r>
        <w:rPr>
          <w:color w:val="231F20"/>
          <w:spacing w:val="-2"/>
        </w:rPr>
        <w:t>funding</w:t>
      </w:r>
      <w:r>
        <w:rPr>
          <w:color w:val="231F20"/>
          <w:spacing w:val="-12"/>
        </w:rPr>
        <w:t> </w:t>
      </w:r>
      <w:r>
        <w:rPr>
          <w:color w:val="231F20"/>
          <w:spacing w:val="-2"/>
        </w:rPr>
        <w:t>of</w:t>
      </w:r>
      <w:r>
        <w:rPr>
          <w:color w:val="231F20"/>
          <w:spacing w:val="-12"/>
        </w:rPr>
        <w:t> </w:t>
      </w:r>
      <w:r>
        <w:rPr>
          <w:color w:val="231F20"/>
          <w:spacing w:val="-2"/>
        </w:rPr>
        <w:t>£169,333</w:t>
      </w:r>
      <w:r>
        <w:rPr>
          <w:color w:val="231F20"/>
          <w:spacing w:val="-12"/>
        </w:rPr>
        <w:t> </w:t>
      </w:r>
      <w:r>
        <w:rPr>
          <w:color w:val="231F20"/>
          <w:spacing w:val="-2"/>
        </w:rPr>
        <w:t>from</w:t>
      </w:r>
      <w:r>
        <w:rPr>
          <w:color w:val="231F20"/>
          <w:spacing w:val="-12"/>
        </w:rPr>
        <w:t> </w:t>
      </w:r>
      <w:r>
        <w:rPr>
          <w:color w:val="231F20"/>
          <w:spacing w:val="-2"/>
        </w:rPr>
        <w:t>the</w:t>
      </w:r>
      <w:r>
        <w:rPr>
          <w:color w:val="231F20"/>
          <w:spacing w:val="-12"/>
        </w:rPr>
        <w:t> </w:t>
      </w:r>
      <w:r>
        <w:rPr>
          <w:color w:val="231F20"/>
          <w:spacing w:val="-2"/>
        </w:rPr>
        <w:t>Shared</w:t>
      </w:r>
      <w:r>
        <w:rPr>
          <w:color w:val="231F20"/>
          <w:spacing w:val="-12"/>
        </w:rPr>
        <w:t> </w:t>
      </w:r>
      <w:r>
        <w:rPr>
          <w:color w:val="231F20"/>
          <w:spacing w:val="-2"/>
        </w:rPr>
        <w:t>Prosperity </w:t>
      </w:r>
      <w:r>
        <w:rPr>
          <w:color w:val="231F20"/>
        </w:rPr>
        <w:t>Fund, Home Office Prevent Fund and Police Crime Commissioner to address community safety issues across the District.</w:t>
      </w:r>
    </w:p>
    <w:p>
      <w:pPr>
        <w:pStyle w:val="ListParagraph"/>
        <w:numPr>
          <w:ilvl w:val="1"/>
          <w:numId w:val="8"/>
        </w:numPr>
        <w:tabs>
          <w:tab w:pos="737" w:val="left" w:leader="none"/>
        </w:tabs>
        <w:spacing w:line="225" w:lineRule="auto" w:before="56" w:after="0"/>
        <w:ind w:left="737" w:right="31" w:hanging="171"/>
        <w:jc w:val="left"/>
        <w:rPr>
          <w:sz w:val="24"/>
        </w:rPr>
      </w:pPr>
      <w:r>
        <w:rPr>
          <w:b/>
          <w:color w:val="3B5673"/>
          <w:sz w:val="24"/>
        </w:rPr>
        <w:t>Safeguarding Vulnerable People - </w:t>
      </w:r>
      <w:r>
        <w:rPr>
          <w:color w:val="231F20"/>
          <w:sz w:val="24"/>
        </w:rPr>
        <w:t>The Community Safety Team made 115 referrals to the MASH (Multi- Agency Safeguarding Hub)</w:t>
      </w:r>
      <w:r>
        <w:rPr>
          <w:color w:val="231F20"/>
          <w:spacing w:val="40"/>
          <w:sz w:val="24"/>
        </w:rPr>
        <w:t> </w:t>
      </w:r>
      <w:r>
        <w:rPr>
          <w:color w:val="231F20"/>
          <w:sz w:val="24"/>
        </w:rPr>
        <w:t>to safeguard vulnerable adults and children</w:t>
      </w:r>
      <w:r>
        <w:rPr>
          <w:color w:val="231F20"/>
          <w:spacing w:val="40"/>
          <w:sz w:val="24"/>
        </w:rPr>
        <w:t> </w:t>
      </w:r>
      <w:r>
        <w:rPr>
          <w:color w:val="231F20"/>
          <w:sz w:val="24"/>
        </w:rPr>
        <w:t>and protect them from further harm/abuse. </w:t>
      </w:r>
      <w:r>
        <w:rPr>
          <w:color w:val="231F20"/>
          <w:spacing w:val="-5"/>
          <w:sz w:val="24"/>
        </w:rPr>
        <w:t>Th</w:t>
      </w:r>
      <w:r>
        <w:rPr>
          <w:color w:val="231F20"/>
          <w:spacing w:val="-5"/>
          <w:sz w:val="24"/>
        </w:rPr>
        <w:t>e</w:t>
      </w:r>
    </w:p>
    <w:p>
      <w:pPr>
        <w:pStyle w:val="BodyText"/>
        <w:spacing w:line="225" w:lineRule="auto"/>
        <w:ind w:left="737"/>
      </w:pPr>
      <w:r>
        <w:rPr>
          <w:color w:val="231F20"/>
        </w:rPr>
        <w:t>Council</w:t>
      </w:r>
      <w:r>
        <w:rPr>
          <w:color w:val="231F20"/>
          <w:spacing w:val="-8"/>
        </w:rPr>
        <w:t> </w:t>
      </w:r>
      <w:r>
        <w:rPr>
          <w:color w:val="231F20"/>
        </w:rPr>
        <w:t>also</w:t>
      </w:r>
      <w:r>
        <w:rPr>
          <w:color w:val="231F20"/>
          <w:spacing w:val="-8"/>
        </w:rPr>
        <w:t> </w:t>
      </w:r>
      <w:r>
        <w:rPr>
          <w:color w:val="231F20"/>
        </w:rPr>
        <w:t>chairs</w:t>
      </w:r>
      <w:r>
        <w:rPr>
          <w:color w:val="231F20"/>
          <w:spacing w:val="-8"/>
        </w:rPr>
        <w:t> </w:t>
      </w:r>
      <w:r>
        <w:rPr>
          <w:color w:val="231F20"/>
        </w:rPr>
        <w:t>and</w:t>
      </w:r>
      <w:r>
        <w:rPr>
          <w:color w:val="231F20"/>
          <w:spacing w:val="-8"/>
        </w:rPr>
        <w:t> </w:t>
      </w:r>
      <w:r>
        <w:rPr>
          <w:color w:val="231F20"/>
        </w:rPr>
        <w:t>operates</w:t>
      </w:r>
      <w:r>
        <w:rPr>
          <w:color w:val="231F20"/>
          <w:spacing w:val="-8"/>
        </w:rPr>
        <w:t> </w:t>
      </w:r>
      <w:r>
        <w:rPr>
          <w:color w:val="231F20"/>
        </w:rPr>
        <w:t>the</w:t>
      </w:r>
      <w:r>
        <w:rPr>
          <w:color w:val="231F20"/>
          <w:spacing w:val="-8"/>
        </w:rPr>
        <w:t> </w:t>
      </w:r>
      <w:r>
        <w:rPr>
          <w:color w:val="231F20"/>
        </w:rPr>
        <w:t>Partnership Complex Case Panel and dedicated Vulnerable Adult Support Scheme to assist those who present vulnerable or with multiple support </w:t>
      </w:r>
      <w:r>
        <w:rPr>
          <w:color w:val="231F20"/>
          <w:spacing w:val="-2"/>
        </w:rPr>
        <w:t>needs.</w:t>
      </w:r>
    </w:p>
    <w:p>
      <w:pPr>
        <w:pStyle w:val="ListParagraph"/>
        <w:numPr>
          <w:ilvl w:val="0"/>
          <w:numId w:val="8"/>
        </w:numPr>
        <w:tabs>
          <w:tab w:pos="412" w:val="left" w:leader="none"/>
        </w:tabs>
        <w:spacing w:line="225" w:lineRule="auto" w:before="115" w:after="0"/>
        <w:ind w:left="411" w:right="877" w:hanging="171"/>
        <w:jc w:val="left"/>
        <w:rPr>
          <w:sz w:val="24"/>
        </w:rPr>
      </w:pPr>
      <w:r>
        <w:rPr/>
        <w:br w:type="column"/>
      </w:r>
      <w:r>
        <w:rPr>
          <w:b/>
          <w:color w:val="3B5673"/>
          <w:sz w:val="24"/>
        </w:rPr>
        <w:t>CCTV - </w:t>
      </w:r>
      <w:r>
        <w:rPr>
          <w:color w:val="231F20"/>
          <w:sz w:val="24"/>
        </w:rPr>
        <w:t>The Council has increased its public space CCTV cameras to 51 devices across</w:t>
      </w:r>
      <w:r>
        <w:rPr>
          <w:color w:val="231F20"/>
          <w:spacing w:val="80"/>
          <w:sz w:val="24"/>
        </w:rPr>
        <w:t> </w:t>
      </w:r>
      <w:r>
        <w:rPr>
          <w:color w:val="231F20"/>
          <w:sz w:val="24"/>
        </w:rPr>
        <w:t>the District, to help promote feelings of safety,</w:t>
      </w:r>
      <w:r>
        <w:rPr>
          <w:color w:val="231F20"/>
          <w:spacing w:val="-6"/>
          <w:sz w:val="24"/>
        </w:rPr>
        <w:t> </w:t>
      </w:r>
      <w:r>
        <w:rPr>
          <w:color w:val="231F20"/>
          <w:sz w:val="24"/>
        </w:rPr>
        <w:t>detect</w:t>
      </w:r>
      <w:r>
        <w:rPr>
          <w:color w:val="231F20"/>
          <w:spacing w:val="-5"/>
          <w:sz w:val="24"/>
        </w:rPr>
        <w:t> </w:t>
      </w:r>
      <w:r>
        <w:rPr>
          <w:color w:val="231F20"/>
          <w:sz w:val="24"/>
        </w:rPr>
        <w:t>and</w:t>
      </w:r>
      <w:r>
        <w:rPr>
          <w:color w:val="231F20"/>
          <w:spacing w:val="-5"/>
          <w:sz w:val="24"/>
        </w:rPr>
        <w:t> </w:t>
      </w:r>
      <w:r>
        <w:rPr>
          <w:color w:val="231F20"/>
          <w:sz w:val="24"/>
        </w:rPr>
        <w:t>deter</w:t>
      </w:r>
      <w:r>
        <w:rPr>
          <w:color w:val="231F20"/>
          <w:spacing w:val="-5"/>
          <w:sz w:val="24"/>
        </w:rPr>
        <w:t> </w:t>
      </w:r>
      <w:r>
        <w:rPr>
          <w:color w:val="231F20"/>
          <w:sz w:val="24"/>
        </w:rPr>
        <w:t>crime</w:t>
      </w:r>
      <w:r>
        <w:rPr>
          <w:color w:val="231F20"/>
          <w:spacing w:val="-5"/>
          <w:sz w:val="24"/>
        </w:rPr>
        <w:t> </w:t>
      </w:r>
      <w:r>
        <w:rPr>
          <w:color w:val="231F20"/>
          <w:sz w:val="24"/>
        </w:rPr>
        <w:t>and</w:t>
      </w:r>
      <w:r>
        <w:rPr>
          <w:color w:val="231F20"/>
          <w:spacing w:val="-5"/>
          <w:sz w:val="24"/>
        </w:rPr>
        <w:t> </w:t>
      </w:r>
      <w:r>
        <w:rPr>
          <w:color w:val="231F20"/>
          <w:sz w:val="24"/>
        </w:rPr>
        <w:t>anti-social behaviour. The new equipment installed comprises of dedicated safe point cameras</w:t>
      </w:r>
      <w:r>
        <w:rPr>
          <w:color w:val="231F20"/>
          <w:spacing w:val="40"/>
          <w:sz w:val="24"/>
        </w:rPr>
        <w:t> </w:t>
      </w:r>
      <w:r>
        <w:rPr>
          <w:color w:val="231F20"/>
          <w:sz w:val="24"/>
        </w:rPr>
        <w:t>in all our town centers which has intruder alert activation and communicates directly with the Police control room. The cameras are monitored from Nottinghamshire Police Headquarters 24 hours, 7 days per week.</w:t>
      </w:r>
    </w:p>
    <w:p>
      <w:pPr>
        <w:pStyle w:val="ListParagraph"/>
        <w:numPr>
          <w:ilvl w:val="0"/>
          <w:numId w:val="8"/>
        </w:numPr>
        <w:tabs>
          <w:tab w:pos="412" w:val="left" w:leader="none"/>
        </w:tabs>
        <w:spacing w:line="225" w:lineRule="auto" w:before="56" w:after="0"/>
        <w:ind w:left="411" w:right="669" w:hanging="171"/>
        <w:jc w:val="left"/>
        <w:rPr>
          <w:sz w:val="24"/>
        </w:rPr>
      </w:pPr>
      <w:r>
        <w:rPr/>
        <w:pict>
          <v:group style="position:absolute;margin-left:578.504028pt;margin-top:106.275185pt;width:16.8pt;height:192.8pt;mso-position-horizontal-relative:page;mso-position-vertical-relative:paragraph;z-index:15746560" id="docshapegroup114" coordorigin="11570,2126" coordsize="336,3856">
            <v:rect style="position:absolute;left:11570;top:5016;width:336;height:964" id="docshape115" filled="true" fillcolor="#f15d6b" stroked="false">
              <v:fill type="solid"/>
            </v:rect>
            <v:rect style="position:absolute;left:11570;top:4053;width:336;height:964" id="docshape116" filled="true" fillcolor="#fbac42" stroked="false">
              <v:fill type="solid"/>
            </v:rect>
            <v:rect style="position:absolute;left:11570;top:3089;width:336;height:964" id="docshape117" filled="true" fillcolor="#b78fc1" stroked="false">
              <v:fill type="solid"/>
            </v:rect>
            <v:rect style="position:absolute;left:11570;top:2125;width:336;height:964" id="docshape118" filled="true" fillcolor="#378372" stroked="false">
              <v:fill type="solid"/>
            </v:rect>
            <w10:wrap type="none"/>
          </v:group>
        </w:pict>
      </w:r>
      <w:r>
        <w:rPr>
          <w:b/>
          <w:color w:val="3B5673"/>
          <w:sz w:val="24"/>
        </w:rPr>
        <w:t>Partnership</w:t>
      </w:r>
      <w:r>
        <w:rPr>
          <w:b/>
          <w:color w:val="3B5673"/>
          <w:spacing w:val="-8"/>
          <w:sz w:val="24"/>
        </w:rPr>
        <w:t> </w:t>
      </w:r>
      <w:r>
        <w:rPr>
          <w:b/>
          <w:color w:val="3B5673"/>
          <w:sz w:val="24"/>
        </w:rPr>
        <w:t>Working</w:t>
      </w:r>
      <w:r>
        <w:rPr>
          <w:b/>
          <w:color w:val="3B5673"/>
          <w:spacing w:val="-9"/>
          <w:sz w:val="24"/>
        </w:rPr>
        <w:t> </w:t>
      </w:r>
      <w:r>
        <w:rPr>
          <w:b/>
          <w:color w:val="3B5673"/>
          <w:sz w:val="24"/>
        </w:rPr>
        <w:t>-</w:t>
      </w:r>
      <w:r>
        <w:rPr>
          <w:b/>
          <w:color w:val="3B5673"/>
          <w:spacing w:val="-8"/>
          <w:sz w:val="24"/>
        </w:rPr>
        <w:t> </w:t>
      </w:r>
      <w:r>
        <w:rPr>
          <w:color w:val="231F20"/>
          <w:sz w:val="24"/>
        </w:rPr>
        <w:t>The</w:t>
      </w:r>
      <w:r>
        <w:rPr>
          <w:color w:val="231F20"/>
          <w:spacing w:val="-8"/>
          <w:sz w:val="24"/>
        </w:rPr>
        <w:t> </w:t>
      </w:r>
      <w:r>
        <w:rPr>
          <w:color w:val="231F20"/>
          <w:sz w:val="24"/>
        </w:rPr>
        <w:t>Community</w:t>
      </w:r>
      <w:r>
        <w:rPr>
          <w:color w:val="231F20"/>
          <w:spacing w:val="-9"/>
          <w:sz w:val="24"/>
        </w:rPr>
        <w:t> </w:t>
      </w:r>
      <w:r>
        <w:rPr>
          <w:color w:val="231F20"/>
          <w:sz w:val="24"/>
        </w:rPr>
        <w:t>Safety partnership</w:t>
      </w:r>
      <w:r>
        <w:rPr>
          <w:color w:val="231F20"/>
          <w:spacing w:val="-4"/>
          <w:sz w:val="24"/>
        </w:rPr>
        <w:t> </w:t>
      </w:r>
      <w:r>
        <w:rPr>
          <w:color w:val="231F20"/>
          <w:sz w:val="24"/>
        </w:rPr>
        <w:t>works</w:t>
      </w:r>
      <w:r>
        <w:rPr>
          <w:color w:val="231F20"/>
          <w:spacing w:val="-4"/>
          <w:sz w:val="24"/>
        </w:rPr>
        <w:t> </w:t>
      </w:r>
      <w:r>
        <w:rPr>
          <w:color w:val="231F20"/>
          <w:sz w:val="24"/>
        </w:rPr>
        <w:t>together</w:t>
      </w:r>
      <w:r>
        <w:rPr>
          <w:color w:val="231F20"/>
          <w:spacing w:val="-4"/>
          <w:sz w:val="24"/>
        </w:rPr>
        <w:t> </w:t>
      </w:r>
      <w:r>
        <w:rPr>
          <w:color w:val="231F20"/>
          <w:sz w:val="24"/>
        </w:rPr>
        <w:t>to</w:t>
      </w:r>
      <w:r>
        <w:rPr>
          <w:color w:val="231F20"/>
          <w:spacing w:val="-4"/>
          <w:sz w:val="24"/>
        </w:rPr>
        <w:t> </w:t>
      </w:r>
      <w:r>
        <w:rPr>
          <w:color w:val="231F20"/>
          <w:sz w:val="24"/>
        </w:rPr>
        <w:t>tackle</w:t>
      </w:r>
      <w:r>
        <w:rPr>
          <w:color w:val="231F20"/>
          <w:spacing w:val="-4"/>
          <w:sz w:val="24"/>
        </w:rPr>
        <w:t> </w:t>
      </w:r>
      <w:r>
        <w:rPr>
          <w:color w:val="231F20"/>
          <w:sz w:val="24"/>
        </w:rPr>
        <w:t>crime</w:t>
      </w:r>
      <w:r>
        <w:rPr>
          <w:color w:val="231F20"/>
          <w:spacing w:val="-4"/>
          <w:sz w:val="24"/>
        </w:rPr>
        <w:t> </w:t>
      </w:r>
      <w:r>
        <w:rPr>
          <w:color w:val="231F20"/>
          <w:sz w:val="24"/>
        </w:rPr>
        <w:t>and anti-social behaviour through the facilitation</w:t>
      </w:r>
      <w:r>
        <w:rPr>
          <w:color w:val="231F20"/>
          <w:spacing w:val="40"/>
          <w:sz w:val="24"/>
        </w:rPr>
        <w:t> </w:t>
      </w:r>
      <w:r>
        <w:rPr>
          <w:color w:val="231F20"/>
          <w:sz w:val="24"/>
        </w:rPr>
        <w:t>of neighborhood meetings, community action days</w:t>
      </w:r>
      <w:r>
        <w:rPr>
          <w:color w:val="231F20"/>
          <w:spacing w:val="-1"/>
          <w:sz w:val="24"/>
        </w:rPr>
        <w:t> </w:t>
      </w:r>
      <w:r>
        <w:rPr>
          <w:color w:val="231F20"/>
          <w:sz w:val="24"/>
        </w:rPr>
        <w:t>and</w:t>
      </w:r>
      <w:r>
        <w:rPr>
          <w:color w:val="231F20"/>
          <w:spacing w:val="-1"/>
          <w:sz w:val="24"/>
        </w:rPr>
        <w:t> </w:t>
      </w:r>
      <w:r>
        <w:rPr>
          <w:color w:val="231F20"/>
          <w:sz w:val="24"/>
        </w:rPr>
        <w:t>joint</w:t>
      </w:r>
      <w:r>
        <w:rPr>
          <w:color w:val="231F20"/>
          <w:spacing w:val="-2"/>
          <w:sz w:val="24"/>
        </w:rPr>
        <w:t> </w:t>
      </w:r>
      <w:r>
        <w:rPr>
          <w:color w:val="231F20"/>
          <w:sz w:val="24"/>
        </w:rPr>
        <w:t>patrols</w:t>
      </w:r>
      <w:r>
        <w:rPr>
          <w:color w:val="231F20"/>
          <w:spacing w:val="40"/>
          <w:sz w:val="24"/>
        </w:rPr>
        <w:t> </w:t>
      </w:r>
      <w:r>
        <w:rPr>
          <w:color w:val="231F20"/>
          <w:sz w:val="24"/>
        </w:rPr>
        <w:t>in</w:t>
      </w:r>
      <w:r>
        <w:rPr>
          <w:color w:val="231F20"/>
          <w:spacing w:val="-2"/>
          <w:sz w:val="24"/>
        </w:rPr>
        <w:t> </w:t>
      </w:r>
      <w:r>
        <w:rPr>
          <w:color w:val="231F20"/>
          <w:sz w:val="24"/>
        </w:rPr>
        <w:t>neighborhoods,</w:t>
      </w:r>
      <w:r>
        <w:rPr>
          <w:color w:val="231F20"/>
          <w:spacing w:val="-1"/>
          <w:sz w:val="24"/>
        </w:rPr>
        <w:t> </w:t>
      </w:r>
      <w:r>
        <w:rPr>
          <w:color w:val="231F20"/>
          <w:sz w:val="24"/>
        </w:rPr>
        <w:t>town Centre’s and public spaces across the District. The framework enables the Council to have a co-ordinated approach to tackle trends and emerging issues across Ashfield.</w:t>
      </w:r>
    </w:p>
    <w:p>
      <w:pPr>
        <w:pStyle w:val="ListParagraph"/>
        <w:numPr>
          <w:ilvl w:val="0"/>
          <w:numId w:val="8"/>
        </w:numPr>
        <w:tabs>
          <w:tab w:pos="412" w:val="left" w:leader="none"/>
        </w:tabs>
        <w:spacing w:line="225" w:lineRule="auto" w:before="57" w:after="0"/>
        <w:ind w:left="411" w:right="816" w:hanging="171"/>
        <w:jc w:val="left"/>
        <w:rPr>
          <w:sz w:val="24"/>
        </w:rPr>
      </w:pPr>
      <w:r>
        <w:rPr>
          <w:b/>
          <w:color w:val="3B5673"/>
          <w:sz w:val="24"/>
        </w:rPr>
        <w:t>Domestic Abuse - </w:t>
      </w:r>
      <w:r>
        <w:rPr>
          <w:color w:val="231F20"/>
          <w:sz w:val="24"/>
        </w:rPr>
        <w:t>The Council has been successful in extending its White Ribbon Accreditation until November 2025. The accreditation illustrates the Council’s commitment to ending violence against women and girls. Over £90,000 has been secured to address domestic abuse in 2022/2023, which comprises of £33,761 for domestic abuse statutory duty funding for safe</w:t>
      </w:r>
      <w:r>
        <w:rPr>
          <w:color w:val="231F20"/>
          <w:spacing w:val="-8"/>
          <w:sz w:val="24"/>
        </w:rPr>
        <w:t> </w:t>
      </w:r>
      <w:r>
        <w:rPr>
          <w:color w:val="231F20"/>
          <w:sz w:val="24"/>
        </w:rPr>
        <w:t>accommodation</w:t>
      </w:r>
      <w:r>
        <w:rPr>
          <w:color w:val="231F20"/>
          <w:spacing w:val="-7"/>
          <w:sz w:val="24"/>
        </w:rPr>
        <w:t> </w:t>
      </w:r>
      <w:r>
        <w:rPr>
          <w:color w:val="231F20"/>
          <w:sz w:val="24"/>
        </w:rPr>
        <w:t>and</w:t>
      </w:r>
      <w:r>
        <w:rPr>
          <w:color w:val="231F20"/>
          <w:spacing w:val="-7"/>
          <w:sz w:val="24"/>
        </w:rPr>
        <w:t> </w:t>
      </w:r>
      <w:r>
        <w:rPr>
          <w:color w:val="231F20"/>
          <w:sz w:val="24"/>
        </w:rPr>
        <w:t>£60,000</w:t>
      </w:r>
      <w:r>
        <w:rPr>
          <w:color w:val="231F20"/>
          <w:spacing w:val="-8"/>
          <w:sz w:val="24"/>
        </w:rPr>
        <w:t> </w:t>
      </w:r>
      <w:r>
        <w:rPr>
          <w:color w:val="231F20"/>
          <w:sz w:val="24"/>
        </w:rPr>
        <w:t>for</w:t>
      </w:r>
      <w:r>
        <w:rPr>
          <w:color w:val="231F20"/>
          <w:spacing w:val="-7"/>
          <w:sz w:val="24"/>
        </w:rPr>
        <w:t> </w:t>
      </w:r>
      <w:r>
        <w:rPr>
          <w:color w:val="231F20"/>
          <w:sz w:val="24"/>
        </w:rPr>
        <w:t>support provision</w:t>
      </w:r>
      <w:r>
        <w:rPr>
          <w:color w:val="231F20"/>
          <w:spacing w:val="-2"/>
          <w:sz w:val="24"/>
        </w:rPr>
        <w:t> </w:t>
      </w:r>
      <w:r>
        <w:rPr>
          <w:color w:val="231F20"/>
          <w:sz w:val="24"/>
        </w:rPr>
        <w:t>for</w:t>
      </w:r>
      <w:r>
        <w:rPr>
          <w:color w:val="231F20"/>
          <w:spacing w:val="-1"/>
          <w:sz w:val="24"/>
        </w:rPr>
        <w:t> </w:t>
      </w:r>
      <w:r>
        <w:rPr>
          <w:color w:val="231F20"/>
          <w:sz w:val="24"/>
        </w:rPr>
        <w:t>survivors</w:t>
      </w:r>
      <w:r>
        <w:rPr>
          <w:color w:val="231F20"/>
          <w:spacing w:val="-2"/>
          <w:sz w:val="24"/>
        </w:rPr>
        <w:t> </w:t>
      </w:r>
      <w:r>
        <w:rPr>
          <w:color w:val="231F20"/>
          <w:sz w:val="24"/>
        </w:rPr>
        <w:t>of</w:t>
      </w:r>
      <w:r>
        <w:rPr>
          <w:color w:val="231F20"/>
          <w:spacing w:val="-2"/>
          <w:sz w:val="24"/>
        </w:rPr>
        <w:t> </w:t>
      </w:r>
      <w:r>
        <w:rPr>
          <w:color w:val="231F20"/>
          <w:sz w:val="24"/>
        </w:rPr>
        <w:t>domestic</w:t>
      </w:r>
      <w:r>
        <w:rPr>
          <w:color w:val="231F20"/>
          <w:spacing w:val="-1"/>
          <w:sz w:val="24"/>
        </w:rPr>
        <w:t> </w:t>
      </w:r>
      <w:r>
        <w:rPr>
          <w:color w:val="231F20"/>
          <w:sz w:val="24"/>
        </w:rPr>
        <w:t>abuse</w:t>
      </w:r>
      <w:r>
        <w:rPr>
          <w:color w:val="231F20"/>
          <w:spacing w:val="-1"/>
          <w:sz w:val="24"/>
        </w:rPr>
        <w:t> </w:t>
      </w:r>
      <w:r>
        <w:rPr>
          <w:color w:val="231F20"/>
          <w:spacing w:val="-5"/>
          <w:sz w:val="24"/>
        </w:rPr>
        <w:t>and</w:t>
      </w:r>
    </w:p>
    <w:p>
      <w:pPr>
        <w:pStyle w:val="BodyText"/>
        <w:spacing w:line="225" w:lineRule="auto"/>
        <w:ind w:left="411" w:right="457"/>
      </w:pPr>
      <w:r>
        <w:rPr>
          <w:color w:val="231F20"/>
        </w:rPr>
        <w:t>help</w:t>
      </w:r>
      <w:r>
        <w:rPr>
          <w:color w:val="231F20"/>
          <w:spacing w:val="-6"/>
        </w:rPr>
        <w:t> </w:t>
      </w:r>
      <w:r>
        <w:rPr>
          <w:color w:val="231F20"/>
        </w:rPr>
        <w:t>deliver</w:t>
      </w:r>
      <w:r>
        <w:rPr>
          <w:color w:val="231F20"/>
          <w:spacing w:val="-6"/>
        </w:rPr>
        <w:t> </w:t>
      </w:r>
      <w:r>
        <w:rPr>
          <w:color w:val="231F20"/>
        </w:rPr>
        <w:t>the</w:t>
      </w:r>
      <w:r>
        <w:rPr>
          <w:color w:val="231F20"/>
          <w:spacing w:val="-6"/>
        </w:rPr>
        <w:t> </w:t>
      </w:r>
      <w:r>
        <w:rPr>
          <w:color w:val="231F20"/>
        </w:rPr>
        <w:t>Sanctuary</w:t>
      </w:r>
      <w:r>
        <w:rPr>
          <w:color w:val="231F20"/>
          <w:spacing w:val="-7"/>
        </w:rPr>
        <w:t> </w:t>
      </w:r>
      <w:r>
        <w:rPr>
          <w:color w:val="231F20"/>
        </w:rPr>
        <w:t>and</w:t>
      </w:r>
      <w:r>
        <w:rPr>
          <w:color w:val="231F20"/>
          <w:spacing w:val="-6"/>
        </w:rPr>
        <w:t> </w:t>
      </w:r>
      <w:r>
        <w:rPr>
          <w:color w:val="231F20"/>
        </w:rPr>
        <w:t>Serenity</w:t>
      </w:r>
      <w:r>
        <w:rPr>
          <w:color w:val="231F20"/>
          <w:spacing w:val="-7"/>
        </w:rPr>
        <w:t> </w:t>
      </w:r>
      <w:r>
        <w:rPr>
          <w:color w:val="231F20"/>
        </w:rPr>
        <w:t>Scheme to prevent homelessness and provide safe </w:t>
      </w:r>
      <w:r>
        <w:rPr>
          <w:color w:val="231F20"/>
          <w:spacing w:val="-2"/>
        </w:rPr>
        <w:t>accommodation.</w:t>
      </w:r>
    </w:p>
    <w:p>
      <w:pPr>
        <w:spacing w:after="0" w:line="225" w:lineRule="auto"/>
        <w:sectPr>
          <w:type w:val="continuous"/>
          <w:pgSz w:w="11910" w:h="16840"/>
          <w:pgMar w:header="377" w:footer="0" w:top="260" w:bottom="0" w:left="0" w:right="0"/>
          <w:cols w:num="2" w:equalWidth="0">
            <w:col w:w="5813" w:space="40"/>
            <w:col w:w="6057"/>
          </w:cols>
        </w:sectPr>
      </w:pPr>
    </w:p>
    <w:p>
      <w:pPr>
        <w:rPr>
          <w:sz w:val="2"/>
          <w:szCs w:val="2"/>
        </w:rPr>
      </w:pPr>
      <w:r>
        <w:rPr/>
        <w:pict>
          <v:group style="position:absolute;margin-left:0pt;margin-top:671.812012pt;width:595.3pt;height:170.1pt;mso-position-horizontal-relative:page;mso-position-vertical-relative:page;z-index:15746048" id="docshapegroup119" coordorigin="0,13436" coordsize="11906,3402">
            <v:shape style="position:absolute;left:0;top:13436;width:11906;height:2835" type="#_x0000_t75" id="docshape120" stroked="false">
              <v:imagedata r:id="rId37" o:title=""/>
            </v:shape>
            <v:rect style="position:absolute;left:0;top:16270;width:11906;height:567" id="docshape121" filled="true" fillcolor="#5d6b86" stroked="false">
              <v:fill type="solid"/>
            </v:rect>
            <v:shape style="position:absolute;left:0;top:13436;width:11906;height:3402" type="#_x0000_t202" id="docshape122" filled="false" stroked="false">
              <v:textbox inset="0,0,0,0">
                <w:txbxContent>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7"/>
                      <w:rPr>
                        <w:sz w:val="48"/>
                      </w:rPr>
                    </w:pPr>
                  </w:p>
                  <w:p>
                    <w:pPr>
                      <w:tabs>
                        <w:tab w:pos="11122" w:val="left" w:leader="none"/>
                      </w:tabs>
                      <w:spacing w:before="0"/>
                      <w:ind w:left="5470" w:right="0" w:firstLine="0"/>
                      <w:jc w:val="left"/>
                      <w:rPr>
                        <w:rFonts w:ascii="Poppins ExtraBold"/>
                        <w:b/>
                        <w:sz w:val="24"/>
                      </w:rPr>
                    </w:pPr>
                    <w:r>
                      <w:rPr>
                        <w:rFonts w:ascii="Segoe UI Black"/>
                        <w:b/>
                        <w:color w:val="FFFFFF"/>
                        <w:position w:val="1"/>
                        <w:sz w:val="24"/>
                      </w:rPr>
                      <w:t>DRAFT</w:t>
                    </w:r>
                    <w:r>
                      <w:rPr>
                        <w:rFonts w:ascii="Segoe UI Black"/>
                        <w:b/>
                        <w:color w:val="FFFFFF"/>
                        <w:spacing w:val="-4"/>
                        <w:position w:val="1"/>
                        <w:sz w:val="24"/>
                      </w:rPr>
                      <w:t> </w:t>
                    </w:r>
                    <w:r>
                      <w:rPr>
                        <w:rFonts w:ascii="Segoe UI Black"/>
                        <w:b/>
                        <w:color w:val="FFFFFF"/>
                        <w:position w:val="1"/>
                        <w:sz w:val="24"/>
                      </w:rPr>
                      <w:t>STATEMENT</w:t>
                    </w:r>
                    <w:r>
                      <w:rPr>
                        <w:rFonts w:ascii="Segoe UI Black"/>
                        <w:b/>
                        <w:color w:val="FFFFFF"/>
                        <w:spacing w:val="-1"/>
                        <w:position w:val="1"/>
                        <w:sz w:val="24"/>
                      </w:rPr>
                      <w:t> </w:t>
                    </w:r>
                    <w:r>
                      <w:rPr>
                        <w:rFonts w:ascii="Segoe UI Black"/>
                        <w:b/>
                        <w:color w:val="FFFFFF"/>
                        <w:position w:val="1"/>
                        <w:sz w:val="24"/>
                      </w:rPr>
                      <w:t>OF</w:t>
                    </w:r>
                    <w:r>
                      <w:rPr>
                        <w:rFonts w:ascii="Segoe UI Black"/>
                        <w:b/>
                        <w:color w:val="FFFFFF"/>
                        <w:spacing w:val="-2"/>
                        <w:position w:val="1"/>
                        <w:sz w:val="24"/>
                      </w:rPr>
                      <w:t> </w:t>
                    </w:r>
                    <w:r>
                      <w:rPr>
                        <w:rFonts w:ascii="Segoe UI Black"/>
                        <w:b/>
                        <w:color w:val="FFFFFF"/>
                        <w:position w:val="1"/>
                        <w:sz w:val="24"/>
                      </w:rPr>
                      <w:t>ACCOUNTS</w:t>
                    </w:r>
                    <w:r>
                      <w:rPr>
                        <w:rFonts w:ascii="Segoe UI Black"/>
                        <w:b/>
                        <w:color w:val="FFFFFF"/>
                        <w:spacing w:val="-3"/>
                        <w:position w:val="1"/>
                        <w:sz w:val="24"/>
                      </w:rPr>
                      <w:t> </w:t>
                    </w:r>
                    <w:r>
                      <w:rPr>
                        <w:rFonts w:ascii="Segoe UI Semibold"/>
                        <w:b/>
                        <w:color w:val="FFFFFF"/>
                        <w:position w:val="1"/>
                        <w:sz w:val="24"/>
                      </w:rPr>
                      <w:t>2022</w:t>
                    </w:r>
                    <w:r>
                      <w:rPr>
                        <w:rFonts w:ascii="Segoe UI Semibold"/>
                        <w:b/>
                        <w:color w:val="FFFFFF"/>
                        <w:position w:val="2"/>
                        <w:sz w:val="24"/>
                      </w:rPr>
                      <w:t>-</w:t>
                    </w:r>
                    <w:r>
                      <w:rPr>
                        <w:rFonts w:ascii="Segoe UI Semibold"/>
                        <w:b/>
                        <w:color w:val="FFFFFF"/>
                        <w:spacing w:val="-4"/>
                        <w:position w:val="1"/>
                        <w:sz w:val="24"/>
                      </w:rPr>
                      <w:t>2023</w:t>
                    </w:r>
                    <w:r>
                      <w:rPr>
                        <w:rFonts w:ascii="Segoe UI Semibold"/>
                        <w:b/>
                        <w:color w:val="FFFFFF"/>
                        <w:position w:val="1"/>
                        <w:sz w:val="24"/>
                      </w:rPr>
                      <w:tab/>
                    </w:r>
                    <w:r>
                      <w:rPr>
                        <w:rFonts w:ascii="Poppins ExtraBold"/>
                        <w:b/>
                        <w:color w:val="FFFFFF"/>
                        <w:sz w:val="24"/>
                      </w:rPr>
                      <w:t>1 </w:t>
                    </w:r>
                    <w:r>
                      <w:rPr>
                        <w:rFonts w:ascii="Poppins ExtraBold"/>
                        <w:b/>
                        <w:color w:val="FFFFFF"/>
                        <w:spacing w:val="-10"/>
                        <w:sz w:val="24"/>
                      </w:rPr>
                      <w:t>4</w:t>
                    </w:r>
                    <w:r>
                      <w:rPr>
                        <w:rFonts w:ascii="Poppins ExtraBold"/>
                        <w:b/>
                        <w:color w:val="FFFFFF"/>
                        <w:sz w:val="24"/>
                      </w:rPr>
                      <w:t> </w:t>
                    </w:r>
                  </w:p>
                </w:txbxContent>
              </v:textbox>
              <w10:wrap type="none"/>
            </v:shape>
            <w10:wrap type="none"/>
          </v:group>
        </w:pict>
      </w:r>
    </w:p>
    <w:p>
      <w:pPr>
        <w:spacing w:after="0"/>
        <w:rPr>
          <w:sz w:val="2"/>
          <w:szCs w:val="2"/>
        </w:rPr>
        <w:sectPr>
          <w:type w:val="continuous"/>
          <w:pgSz w:w="11910" w:h="16840"/>
          <w:pgMar w:header="377" w:footer="0" w:top="260" w:bottom="0" w:left="0" w:right="0"/>
        </w:sectPr>
      </w:pPr>
    </w:p>
    <w:p>
      <w:pPr>
        <w:pStyle w:val="BodyText"/>
        <w:rPr>
          <w:sz w:val="28"/>
        </w:rPr>
      </w:pPr>
      <w:r>
        <w:rPr/>
        <w:drawing>
          <wp:anchor distT="0" distB="0" distL="0" distR="0" allowOverlap="1" layoutInCell="1" locked="0" behindDoc="0" simplePos="0" relativeHeight="15747072">
            <wp:simplePos x="0" y="0"/>
            <wp:positionH relativeFrom="page">
              <wp:posOffset>0</wp:posOffset>
            </wp:positionH>
            <wp:positionV relativeFrom="page">
              <wp:posOffset>720001</wp:posOffset>
            </wp:positionV>
            <wp:extent cx="3600005" cy="9251988"/>
            <wp:effectExtent l="0" t="0" r="0" b="0"/>
            <wp:wrapNone/>
            <wp:docPr id="23" name="image18.jpeg"/>
            <wp:cNvGraphicFramePr>
              <a:graphicFrameLocks noChangeAspect="1"/>
            </wp:cNvGraphicFramePr>
            <a:graphic>
              <a:graphicData uri="http://schemas.openxmlformats.org/drawingml/2006/picture">
                <pic:pic>
                  <pic:nvPicPr>
                    <pic:cNvPr id="24" name="image18.jpeg"/>
                    <pic:cNvPicPr/>
                  </pic:nvPicPr>
                  <pic:blipFill>
                    <a:blip r:embed="rId40" cstate="print"/>
                    <a:stretch>
                      <a:fillRect/>
                    </a:stretch>
                  </pic:blipFill>
                  <pic:spPr>
                    <a:xfrm>
                      <a:off x="0" y="0"/>
                      <a:ext cx="3600005" cy="9251988"/>
                    </a:xfrm>
                    <a:prstGeom prst="rect">
                      <a:avLst/>
                    </a:prstGeom>
                  </pic:spPr>
                </pic:pic>
              </a:graphicData>
            </a:graphic>
          </wp:anchor>
        </w:drawing>
      </w:r>
    </w:p>
    <w:p>
      <w:pPr>
        <w:pStyle w:val="Heading3"/>
        <w:ind w:left="5956"/>
      </w:pPr>
      <w:r>
        <w:rPr>
          <w:color w:val="3B5673"/>
        </w:rPr>
        <w:t>INNOVATE</w:t>
      </w:r>
      <w:r>
        <w:rPr>
          <w:color w:val="3B5673"/>
          <w:spacing w:val="29"/>
        </w:rPr>
        <w:t> </w:t>
      </w:r>
      <w:r>
        <w:rPr>
          <w:color w:val="3B5673"/>
        </w:rPr>
        <w:t>AND</w:t>
      </w:r>
      <w:r>
        <w:rPr>
          <w:color w:val="3B5673"/>
          <w:spacing w:val="30"/>
        </w:rPr>
        <w:t> </w:t>
      </w:r>
      <w:r>
        <w:rPr>
          <w:color w:val="3B5673"/>
          <w:spacing w:val="-2"/>
        </w:rPr>
        <w:t>IMPROVE</w:t>
      </w:r>
    </w:p>
    <w:p>
      <w:pPr>
        <w:pStyle w:val="ListParagraph"/>
        <w:numPr>
          <w:ilvl w:val="1"/>
          <w:numId w:val="8"/>
        </w:numPr>
        <w:tabs>
          <w:tab w:pos="6123" w:val="left" w:leader="none"/>
        </w:tabs>
        <w:spacing w:line="225" w:lineRule="auto" w:before="6" w:after="0"/>
        <w:ind w:left="6122" w:right="792" w:hanging="171"/>
        <w:jc w:val="left"/>
        <w:rPr>
          <w:sz w:val="24"/>
        </w:rPr>
      </w:pPr>
      <w:r>
        <w:rPr>
          <w:b/>
          <w:color w:val="3B5673"/>
          <w:sz w:val="24"/>
        </w:rPr>
        <w:t>Customer Services - </w:t>
      </w:r>
      <w:r>
        <w:rPr>
          <w:color w:val="231F20"/>
          <w:sz w:val="24"/>
        </w:rPr>
        <w:t>the level of take-up for making</w:t>
      </w:r>
      <w:r>
        <w:rPr>
          <w:color w:val="231F20"/>
          <w:spacing w:val="-8"/>
          <w:sz w:val="24"/>
        </w:rPr>
        <w:t> </w:t>
      </w:r>
      <w:r>
        <w:rPr>
          <w:color w:val="231F20"/>
          <w:sz w:val="24"/>
        </w:rPr>
        <w:t>payments</w:t>
      </w:r>
      <w:r>
        <w:rPr>
          <w:color w:val="231F20"/>
          <w:spacing w:val="-7"/>
          <w:sz w:val="24"/>
        </w:rPr>
        <w:t> </w:t>
      </w:r>
      <w:r>
        <w:rPr>
          <w:color w:val="231F20"/>
          <w:sz w:val="24"/>
        </w:rPr>
        <w:t>easily,</w:t>
      </w:r>
      <w:r>
        <w:rPr>
          <w:color w:val="231F20"/>
          <w:spacing w:val="-7"/>
          <w:sz w:val="24"/>
        </w:rPr>
        <w:t> </w:t>
      </w:r>
      <w:r>
        <w:rPr>
          <w:color w:val="231F20"/>
          <w:sz w:val="24"/>
        </w:rPr>
        <w:t>using</w:t>
      </w:r>
      <w:r>
        <w:rPr>
          <w:color w:val="231F20"/>
          <w:spacing w:val="-7"/>
          <w:sz w:val="24"/>
        </w:rPr>
        <w:t> </w:t>
      </w:r>
      <w:r>
        <w:rPr>
          <w:color w:val="231F20"/>
          <w:sz w:val="24"/>
        </w:rPr>
        <w:t>digital</w:t>
      </w:r>
      <w:r>
        <w:rPr>
          <w:color w:val="231F20"/>
          <w:spacing w:val="-7"/>
          <w:sz w:val="24"/>
        </w:rPr>
        <w:t> </w:t>
      </w:r>
      <w:r>
        <w:rPr>
          <w:color w:val="231F20"/>
          <w:sz w:val="24"/>
        </w:rPr>
        <w:t>channels, continues to increase with 88% of payments received during 2022/23 being made either</w:t>
      </w:r>
    </w:p>
    <w:p>
      <w:pPr>
        <w:pStyle w:val="BodyText"/>
        <w:spacing w:line="225" w:lineRule="auto"/>
        <w:ind w:left="6122" w:right="576"/>
      </w:pPr>
      <w:r>
        <w:rPr>
          <w:color w:val="231F20"/>
        </w:rPr>
        <w:t>by direct debit, online ‘e-store’, automated telephone or recurring card payments. Paypoint and post office transactions which are more expensive</w:t>
      </w:r>
      <w:r>
        <w:rPr>
          <w:color w:val="231F20"/>
          <w:spacing w:val="-6"/>
        </w:rPr>
        <w:t> </w:t>
      </w:r>
      <w:r>
        <w:rPr>
          <w:color w:val="231F20"/>
        </w:rPr>
        <w:t>for</w:t>
      </w:r>
      <w:r>
        <w:rPr>
          <w:color w:val="231F20"/>
          <w:spacing w:val="-6"/>
        </w:rPr>
        <w:t> </w:t>
      </w:r>
      <w:r>
        <w:rPr>
          <w:color w:val="231F20"/>
        </w:rPr>
        <w:t>the</w:t>
      </w:r>
      <w:r>
        <w:rPr>
          <w:color w:val="231F20"/>
          <w:spacing w:val="-6"/>
        </w:rPr>
        <w:t> </w:t>
      </w:r>
      <w:r>
        <w:rPr>
          <w:color w:val="231F20"/>
        </w:rPr>
        <w:t>customer</w:t>
      </w:r>
      <w:r>
        <w:rPr>
          <w:color w:val="231F20"/>
          <w:spacing w:val="-6"/>
        </w:rPr>
        <w:t> </w:t>
      </w:r>
      <w:r>
        <w:rPr>
          <w:color w:val="231F20"/>
        </w:rPr>
        <w:t>continue</w:t>
      </w:r>
      <w:r>
        <w:rPr>
          <w:color w:val="231F20"/>
          <w:spacing w:val="-6"/>
        </w:rPr>
        <w:t> </w:t>
      </w:r>
      <w:r>
        <w:rPr>
          <w:color w:val="231F20"/>
        </w:rPr>
        <w:t>to</w:t>
      </w:r>
      <w:r>
        <w:rPr>
          <w:color w:val="231F20"/>
          <w:spacing w:val="-6"/>
        </w:rPr>
        <w:t> </w:t>
      </w:r>
      <w:r>
        <w:rPr>
          <w:color w:val="231F20"/>
        </w:rPr>
        <w:t>decrease with a further 13% reduction during 2022/23.</w:t>
      </w:r>
    </w:p>
    <w:p>
      <w:pPr>
        <w:pStyle w:val="BodyText"/>
        <w:spacing w:line="225" w:lineRule="auto"/>
        <w:ind w:left="6122" w:right="662"/>
      </w:pPr>
      <w:r>
        <w:rPr>
          <w:color w:val="231F20"/>
        </w:rPr>
        <w:t>20% of Council Tax payers and 80% of Business Rates</w:t>
      </w:r>
      <w:r>
        <w:rPr>
          <w:color w:val="231F20"/>
          <w:spacing w:val="-6"/>
        </w:rPr>
        <w:t> </w:t>
      </w:r>
      <w:r>
        <w:rPr>
          <w:color w:val="231F20"/>
        </w:rPr>
        <w:t>payers</w:t>
      </w:r>
      <w:r>
        <w:rPr>
          <w:color w:val="231F20"/>
          <w:spacing w:val="-5"/>
        </w:rPr>
        <w:t> </w:t>
      </w:r>
      <w:r>
        <w:rPr>
          <w:color w:val="231F20"/>
        </w:rPr>
        <w:t>are</w:t>
      </w:r>
      <w:r>
        <w:rPr>
          <w:color w:val="231F20"/>
          <w:spacing w:val="-5"/>
        </w:rPr>
        <w:t> </w:t>
      </w:r>
      <w:r>
        <w:rPr>
          <w:color w:val="231F20"/>
        </w:rPr>
        <w:t>now</w:t>
      </w:r>
      <w:r>
        <w:rPr>
          <w:color w:val="231F20"/>
          <w:spacing w:val="-5"/>
        </w:rPr>
        <w:t> </w:t>
      </w:r>
      <w:r>
        <w:rPr>
          <w:color w:val="231F20"/>
        </w:rPr>
        <w:t>signed</w:t>
      </w:r>
      <w:r>
        <w:rPr>
          <w:color w:val="231F20"/>
          <w:spacing w:val="-6"/>
        </w:rPr>
        <w:t> </w:t>
      </w:r>
      <w:r>
        <w:rPr>
          <w:color w:val="231F20"/>
        </w:rPr>
        <w:t>up</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Revenues portal. The new Customer Portal, Ashfield 24/7, was launched in February 2022 and now has over 11,000 residents signed up. The Council</w:t>
      </w:r>
    </w:p>
    <w:p>
      <w:pPr>
        <w:pStyle w:val="BodyText"/>
        <w:spacing w:line="225" w:lineRule="auto"/>
        <w:ind w:left="6122"/>
      </w:pPr>
      <w:r>
        <w:rPr>
          <w:color w:val="231F20"/>
        </w:rPr>
        <w:t>Tax Energy Rebate Scheme was successfully administered</w:t>
      </w:r>
      <w:r>
        <w:rPr>
          <w:color w:val="231F20"/>
          <w:spacing w:val="-5"/>
        </w:rPr>
        <w:t> </w:t>
      </w:r>
      <w:r>
        <w:rPr>
          <w:color w:val="231F20"/>
        </w:rPr>
        <w:t>quickly</w:t>
      </w:r>
      <w:r>
        <w:rPr>
          <w:color w:val="231F20"/>
          <w:spacing w:val="-5"/>
        </w:rPr>
        <w:t> </w:t>
      </w:r>
      <w:r>
        <w:rPr>
          <w:color w:val="231F20"/>
        </w:rPr>
        <w:t>and</w:t>
      </w:r>
      <w:r>
        <w:rPr>
          <w:color w:val="231F20"/>
          <w:spacing w:val="-5"/>
        </w:rPr>
        <w:t> </w:t>
      </w:r>
      <w:r>
        <w:rPr>
          <w:color w:val="231F20"/>
        </w:rPr>
        <w:t>at</w:t>
      </w:r>
      <w:r>
        <w:rPr>
          <w:color w:val="231F20"/>
          <w:spacing w:val="-5"/>
        </w:rPr>
        <w:t> </w:t>
      </w:r>
      <w:r>
        <w:rPr>
          <w:color w:val="231F20"/>
        </w:rPr>
        <w:t>short</w:t>
      </w:r>
      <w:r>
        <w:rPr>
          <w:color w:val="231F20"/>
          <w:spacing w:val="-6"/>
        </w:rPr>
        <w:t> </w:t>
      </w:r>
      <w:r>
        <w:rPr>
          <w:color w:val="231F20"/>
        </w:rPr>
        <w:t>notice</w:t>
      </w:r>
      <w:r>
        <w:rPr>
          <w:color w:val="231F20"/>
          <w:spacing w:val="-5"/>
        </w:rPr>
        <w:t> </w:t>
      </w:r>
      <w:r>
        <w:rPr>
          <w:color w:val="231F20"/>
        </w:rPr>
        <w:t>with</w:t>
      </w:r>
    </w:p>
    <w:p>
      <w:pPr>
        <w:pStyle w:val="BodyText"/>
        <w:spacing w:line="225" w:lineRule="auto"/>
        <w:ind w:left="6122" w:right="576"/>
      </w:pPr>
      <w:r>
        <w:rPr/>
        <w:pict>
          <v:group style="position:absolute;margin-left:578.504028pt;margin-top:16.309837pt;width:16.8pt;height:192.8pt;mso-position-horizontal-relative:page;mso-position-vertical-relative:paragraph;z-index:15747584" id="docshapegroup126" coordorigin="11570,326" coordsize="336,3856">
            <v:rect style="position:absolute;left:11570;top:3217;width:336;height:964" id="docshape127" filled="true" fillcolor="#f15d6b" stroked="false">
              <v:fill type="solid"/>
            </v:rect>
            <v:rect style="position:absolute;left:11570;top:2253;width:336;height:964" id="docshape128" filled="true" fillcolor="#fbac42" stroked="false">
              <v:fill type="solid"/>
            </v:rect>
            <v:rect style="position:absolute;left:11570;top:1289;width:336;height:964" id="docshape129" filled="true" fillcolor="#b78fc1" stroked="false">
              <v:fill type="solid"/>
            </v:rect>
            <v:rect style="position:absolute;left:11570;top:326;width:336;height:964" id="docshape130" filled="true" fillcolor="#378372" stroked="false">
              <v:fill type="solid"/>
            </v:rect>
            <w10:wrap type="none"/>
          </v:group>
        </w:pict>
      </w:r>
      <w:r>
        <w:rPr>
          <w:color w:val="231F20"/>
        </w:rPr>
        <w:t>£150</w:t>
      </w:r>
      <w:r>
        <w:rPr>
          <w:color w:val="231F20"/>
          <w:spacing w:val="-7"/>
        </w:rPr>
        <w:t> </w:t>
      </w:r>
      <w:r>
        <w:rPr>
          <w:color w:val="231F20"/>
        </w:rPr>
        <w:t>payments</w:t>
      </w:r>
      <w:r>
        <w:rPr>
          <w:color w:val="231F20"/>
          <w:spacing w:val="-6"/>
        </w:rPr>
        <w:t> </w:t>
      </w:r>
      <w:r>
        <w:rPr>
          <w:color w:val="231F20"/>
        </w:rPr>
        <w:t>made</w:t>
      </w:r>
      <w:r>
        <w:rPr>
          <w:color w:val="231F20"/>
          <w:spacing w:val="-7"/>
        </w:rPr>
        <w:t> </w:t>
      </w:r>
      <w:r>
        <w:rPr>
          <w:color w:val="231F20"/>
        </w:rPr>
        <w:t>from</w:t>
      </w:r>
      <w:r>
        <w:rPr>
          <w:color w:val="231F20"/>
          <w:spacing w:val="-6"/>
        </w:rPr>
        <w:t> </w:t>
      </w:r>
      <w:r>
        <w:rPr>
          <w:color w:val="231F20"/>
        </w:rPr>
        <w:t>April</w:t>
      </w:r>
      <w:r>
        <w:rPr>
          <w:color w:val="231F20"/>
          <w:spacing w:val="-6"/>
        </w:rPr>
        <w:t> </w:t>
      </w:r>
      <w:r>
        <w:rPr>
          <w:color w:val="231F20"/>
        </w:rPr>
        <w:t>to</w:t>
      </w:r>
      <w:r>
        <w:rPr>
          <w:color w:val="231F20"/>
          <w:spacing w:val="-6"/>
        </w:rPr>
        <w:t> </w:t>
      </w:r>
      <w:r>
        <w:rPr>
          <w:color w:val="231F20"/>
        </w:rPr>
        <w:t>November 2022 to 54,753 households (almost £8.2m).</w:t>
      </w:r>
    </w:p>
    <w:p>
      <w:pPr>
        <w:pStyle w:val="ListParagraph"/>
        <w:numPr>
          <w:ilvl w:val="1"/>
          <w:numId w:val="8"/>
        </w:numPr>
        <w:tabs>
          <w:tab w:pos="6123" w:val="left" w:leader="none"/>
        </w:tabs>
        <w:spacing w:line="225" w:lineRule="auto" w:before="55" w:after="0"/>
        <w:ind w:left="6122" w:right="724" w:hanging="171"/>
        <w:jc w:val="left"/>
        <w:rPr>
          <w:sz w:val="24"/>
        </w:rPr>
      </w:pPr>
      <w:r>
        <w:rPr>
          <w:b/>
          <w:color w:val="3B5673"/>
          <w:sz w:val="24"/>
        </w:rPr>
        <w:t>Digital transformation - </w:t>
      </w:r>
      <w:r>
        <w:rPr>
          <w:color w:val="231F20"/>
          <w:sz w:val="24"/>
        </w:rPr>
        <w:t>The Digital Transformation Programme has now delivered approaching</w:t>
      </w:r>
      <w:r>
        <w:rPr>
          <w:color w:val="231F20"/>
          <w:spacing w:val="-6"/>
          <w:sz w:val="24"/>
        </w:rPr>
        <w:t> </w:t>
      </w:r>
      <w:r>
        <w:rPr>
          <w:color w:val="231F20"/>
          <w:sz w:val="24"/>
        </w:rPr>
        <w:t>£3m</w:t>
      </w:r>
      <w:r>
        <w:rPr>
          <w:color w:val="231F20"/>
          <w:spacing w:val="-7"/>
          <w:sz w:val="24"/>
        </w:rPr>
        <w:t> </w:t>
      </w:r>
      <w:r>
        <w:rPr>
          <w:color w:val="231F20"/>
          <w:sz w:val="24"/>
        </w:rPr>
        <w:t>of</w:t>
      </w:r>
      <w:r>
        <w:rPr>
          <w:color w:val="231F20"/>
          <w:spacing w:val="-6"/>
          <w:sz w:val="24"/>
        </w:rPr>
        <w:t> </w:t>
      </w:r>
      <w:r>
        <w:rPr>
          <w:color w:val="231F20"/>
          <w:sz w:val="24"/>
        </w:rPr>
        <w:t>financial</w:t>
      </w:r>
      <w:r>
        <w:rPr>
          <w:color w:val="231F20"/>
          <w:spacing w:val="-6"/>
          <w:sz w:val="24"/>
        </w:rPr>
        <w:t> </w:t>
      </w:r>
      <w:r>
        <w:rPr>
          <w:color w:val="231F20"/>
          <w:sz w:val="24"/>
        </w:rPr>
        <w:t>benefits</w:t>
      </w:r>
      <w:r>
        <w:rPr>
          <w:color w:val="231F20"/>
          <w:spacing w:val="-6"/>
          <w:sz w:val="24"/>
        </w:rPr>
        <w:t> </w:t>
      </w:r>
      <w:r>
        <w:rPr>
          <w:color w:val="231F20"/>
          <w:sz w:val="24"/>
        </w:rPr>
        <w:t>(cashable and cost avoidance) over the last 5 years. In house digital development is now also leading more modern approaches in community projects, for example, a Safer Streets project</w:t>
      </w:r>
      <w:r>
        <w:rPr>
          <w:color w:val="231F20"/>
          <w:spacing w:val="40"/>
          <w:sz w:val="24"/>
        </w:rPr>
        <w:t> </w:t>
      </w:r>
      <w:r>
        <w:rPr>
          <w:color w:val="231F20"/>
          <w:sz w:val="24"/>
        </w:rPr>
        <w:t>has incorporated significantly less costly in house development, digital proof of concept using QR codes on lamp posts so residents can easily</w:t>
      </w:r>
      <w:r>
        <w:rPr>
          <w:color w:val="231F20"/>
          <w:spacing w:val="-5"/>
          <w:sz w:val="24"/>
        </w:rPr>
        <w:t> </w:t>
      </w:r>
      <w:r>
        <w:rPr>
          <w:color w:val="231F20"/>
          <w:sz w:val="24"/>
        </w:rPr>
        <w:t>report</w:t>
      </w:r>
      <w:r>
        <w:rPr>
          <w:color w:val="231F20"/>
          <w:spacing w:val="-2"/>
          <w:sz w:val="24"/>
        </w:rPr>
        <w:t> </w:t>
      </w:r>
      <w:r>
        <w:rPr>
          <w:color w:val="231F20"/>
          <w:sz w:val="24"/>
        </w:rPr>
        <w:t>street</w:t>
      </w:r>
      <w:r>
        <w:rPr>
          <w:color w:val="231F20"/>
          <w:spacing w:val="-4"/>
          <w:sz w:val="24"/>
        </w:rPr>
        <w:t> </w:t>
      </w:r>
      <w:r>
        <w:rPr>
          <w:color w:val="231F20"/>
          <w:sz w:val="24"/>
        </w:rPr>
        <w:t>lighting</w:t>
      </w:r>
      <w:r>
        <w:rPr>
          <w:color w:val="231F20"/>
          <w:spacing w:val="-3"/>
          <w:sz w:val="24"/>
        </w:rPr>
        <w:t> </w:t>
      </w:r>
      <w:r>
        <w:rPr>
          <w:color w:val="231F20"/>
          <w:sz w:val="24"/>
        </w:rPr>
        <w:t>issues</w:t>
      </w:r>
      <w:r>
        <w:rPr>
          <w:color w:val="231F20"/>
          <w:spacing w:val="-4"/>
          <w:sz w:val="24"/>
        </w:rPr>
        <w:t> </w:t>
      </w:r>
      <w:r>
        <w:rPr>
          <w:color w:val="231F20"/>
          <w:sz w:val="24"/>
        </w:rPr>
        <w:t>to</w:t>
      </w:r>
      <w:r>
        <w:rPr>
          <w:color w:val="231F20"/>
          <w:spacing w:val="-2"/>
          <w:sz w:val="24"/>
        </w:rPr>
        <w:t> </w:t>
      </w:r>
      <w:r>
        <w:rPr>
          <w:color w:val="231F20"/>
          <w:sz w:val="24"/>
        </w:rPr>
        <w:t>the</w:t>
      </w:r>
      <w:r>
        <w:rPr>
          <w:color w:val="231F20"/>
          <w:spacing w:val="-2"/>
          <w:sz w:val="24"/>
        </w:rPr>
        <w:t> County</w:t>
      </w:r>
    </w:p>
    <w:p>
      <w:pPr>
        <w:pStyle w:val="BodyText"/>
        <w:spacing w:line="225" w:lineRule="auto"/>
        <w:ind w:left="6122" w:right="576"/>
      </w:pPr>
      <w:r>
        <w:rPr>
          <w:color w:val="231F20"/>
        </w:rPr>
        <w:t>Council.</w:t>
      </w:r>
      <w:r>
        <w:rPr>
          <w:color w:val="231F20"/>
          <w:spacing w:val="-7"/>
        </w:rPr>
        <w:t> </w:t>
      </w:r>
      <w:r>
        <w:rPr>
          <w:color w:val="231F20"/>
        </w:rPr>
        <w:t>Significant</w:t>
      </w:r>
      <w:r>
        <w:rPr>
          <w:color w:val="231F20"/>
          <w:spacing w:val="-7"/>
        </w:rPr>
        <w:t> </w:t>
      </w:r>
      <w:r>
        <w:rPr>
          <w:color w:val="231F20"/>
        </w:rPr>
        <w:t>strides</w:t>
      </w:r>
      <w:r>
        <w:rPr>
          <w:color w:val="231F20"/>
          <w:spacing w:val="-7"/>
        </w:rPr>
        <w:t> </w:t>
      </w:r>
      <w:r>
        <w:rPr>
          <w:color w:val="231F20"/>
        </w:rPr>
        <w:t>have</w:t>
      </w:r>
      <w:r>
        <w:rPr>
          <w:color w:val="231F20"/>
          <w:spacing w:val="-6"/>
        </w:rPr>
        <w:t> </w:t>
      </w:r>
      <w:r>
        <w:rPr>
          <w:color w:val="231F20"/>
        </w:rPr>
        <w:t>also</w:t>
      </w:r>
      <w:r>
        <w:rPr>
          <w:color w:val="231F20"/>
          <w:spacing w:val="-6"/>
        </w:rPr>
        <w:t> </w:t>
      </w:r>
      <w:r>
        <w:rPr>
          <w:color w:val="231F20"/>
        </w:rPr>
        <w:t>been</w:t>
      </w:r>
      <w:r>
        <w:rPr>
          <w:color w:val="231F20"/>
          <w:spacing w:val="-6"/>
        </w:rPr>
        <w:t> </w:t>
      </w:r>
      <w:r>
        <w:rPr>
          <w:color w:val="231F20"/>
        </w:rPr>
        <w:t>made in the ongoing modernisation of the Council’s solution architecture with a particular focus</w:t>
      </w:r>
    </w:p>
    <w:p>
      <w:pPr>
        <w:pStyle w:val="BodyText"/>
        <w:spacing w:line="225" w:lineRule="auto"/>
        <w:ind w:left="6122" w:right="576"/>
      </w:pPr>
      <w:r>
        <w:rPr>
          <w:color w:val="231F20"/>
        </w:rPr>
        <w:t>on</w:t>
      </w:r>
      <w:r>
        <w:rPr>
          <w:color w:val="231F20"/>
          <w:spacing w:val="-5"/>
        </w:rPr>
        <w:t> </w:t>
      </w:r>
      <w:r>
        <w:rPr>
          <w:color w:val="231F20"/>
        </w:rPr>
        <w:t>moving</w:t>
      </w:r>
      <w:r>
        <w:rPr>
          <w:color w:val="231F20"/>
          <w:spacing w:val="-6"/>
        </w:rPr>
        <w:t> </w:t>
      </w:r>
      <w:r>
        <w:rPr>
          <w:color w:val="231F20"/>
        </w:rPr>
        <w:t>business</w:t>
      </w:r>
      <w:r>
        <w:rPr>
          <w:color w:val="231F20"/>
          <w:spacing w:val="-5"/>
        </w:rPr>
        <w:t> </w:t>
      </w:r>
      <w:r>
        <w:rPr>
          <w:color w:val="231F20"/>
        </w:rPr>
        <w:t>solutions</w:t>
      </w:r>
      <w:r>
        <w:rPr>
          <w:color w:val="231F20"/>
          <w:spacing w:val="-6"/>
        </w:rPr>
        <w:t> </w:t>
      </w:r>
      <w:r>
        <w:rPr>
          <w:color w:val="231F20"/>
        </w:rPr>
        <w:t>to</w:t>
      </w:r>
      <w:r>
        <w:rPr>
          <w:color w:val="231F20"/>
          <w:spacing w:val="-5"/>
        </w:rPr>
        <w:t> </w:t>
      </w:r>
      <w:r>
        <w:rPr>
          <w:color w:val="231F20"/>
        </w:rPr>
        <w:t>the</w:t>
      </w:r>
      <w:r>
        <w:rPr>
          <w:color w:val="231F20"/>
          <w:spacing w:val="-5"/>
        </w:rPr>
        <w:t> </w:t>
      </w:r>
      <w:r>
        <w:rPr>
          <w:color w:val="231F20"/>
        </w:rPr>
        <w:t>‘cloud’</w:t>
      </w:r>
      <w:r>
        <w:rPr>
          <w:color w:val="231F20"/>
          <w:spacing w:val="-5"/>
        </w:rPr>
        <w:t> </w:t>
      </w:r>
      <w:r>
        <w:rPr>
          <w:color w:val="231F20"/>
        </w:rPr>
        <w:t>to improve accessibility, usability and business </w:t>
      </w:r>
      <w:r>
        <w:rPr>
          <w:color w:val="231F20"/>
          <w:spacing w:val="-2"/>
        </w:rPr>
        <w:t>continuity.</w:t>
      </w:r>
    </w:p>
    <w:p>
      <w:pPr>
        <w:pStyle w:val="ListParagraph"/>
        <w:numPr>
          <w:ilvl w:val="1"/>
          <w:numId w:val="8"/>
        </w:numPr>
        <w:tabs>
          <w:tab w:pos="6123" w:val="left" w:leader="none"/>
        </w:tabs>
        <w:spacing w:line="310" w:lineRule="exact" w:before="40" w:after="0"/>
        <w:ind w:left="6122" w:right="0" w:hanging="171"/>
        <w:jc w:val="left"/>
        <w:rPr>
          <w:sz w:val="24"/>
        </w:rPr>
      </w:pPr>
      <w:r>
        <w:rPr>
          <w:b/>
          <w:color w:val="3B5673"/>
          <w:sz w:val="24"/>
        </w:rPr>
        <w:t>Partnering</w:t>
      </w:r>
      <w:r>
        <w:rPr>
          <w:b/>
          <w:color w:val="3B5673"/>
          <w:spacing w:val="-2"/>
          <w:sz w:val="24"/>
        </w:rPr>
        <w:t> </w:t>
      </w:r>
      <w:r>
        <w:rPr>
          <w:b/>
          <w:color w:val="3B5673"/>
          <w:sz w:val="24"/>
        </w:rPr>
        <w:t>-</w:t>
      </w:r>
      <w:r>
        <w:rPr>
          <w:b/>
          <w:color w:val="3B5673"/>
          <w:spacing w:val="-1"/>
          <w:sz w:val="24"/>
        </w:rPr>
        <w:t> </w:t>
      </w:r>
      <w:r>
        <w:rPr>
          <w:color w:val="231F20"/>
          <w:sz w:val="24"/>
        </w:rPr>
        <w:t>At</w:t>
      </w:r>
      <w:r>
        <w:rPr>
          <w:color w:val="231F20"/>
          <w:spacing w:val="-1"/>
          <w:sz w:val="24"/>
        </w:rPr>
        <w:t> </w:t>
      </w:r>
      <w:r>
        <w:rPr>
          <w:color w:val="231F20"/>
          <w:sz w:val="24"/>
        </w:rPr>
        <w:t>the</w:t>
      </w:r>
      <w:r>
        <w:rPr>
          <w:color w:val="231F20"/>
          <w:spacing w:val="-1"/>
          <w:sz w:val="24"/>
        </w:rPr>
        <w:t> </w:t>
      </w:r>
      <w:r>
        <w:rPr>
          <w:color w:val="231F20"/>
          <w:sz w:val="24"/>
        </w:rPr>
        <w:t>end</w:t>
      </w:r>
      <w:r>
        <w:rPr>
          <w:color w:val="231F20"/>
          <w:spacing w:val="-1"/>
          <w:sz w:val="24"/>
        </w:rPr>
        <w:t> </w:t>
      </w:r>
      <w:r>
        <w:rPr>
          <w:color w:val="231F20"/>
          <w:sz w:val="24"/>
        </w:rPr>
        <w:t>of</w:t>
      </w:r>
      <w:r>
        <w:rPr>
          <w:color w:val="231F20"/>
          <w:spacing w:val="-1"/>
          <w:sz w:val="24"/>
        </w:rPr>
        <w:t> </w:t>
      </w:r>
      <w:r>
        <w:rPr>
          <w:color w:val="231F20"/>
          <w:sz w:val="24"/>
        </w:rPr>
        <w:t>March </w:t>
      </w:r>
      <w:r>
        <w:rPr>
          <w:color w:val="231F20"/>
          <w:spacing w:val="-4"/>
          <w:sz w:val="24"/>
        </w:rPr>
        <w:t>2023</w:t>
      </w:r>
    </w:p>
    <w:p>
      <w:pPr>
        <w:pStyle w:val="BodyText"/>
        <w:spacing w:line="225" w:lineRule="auto" w:before="6"/>
        <w:ind w:left="6122" w:right="576"/>
      </w:pPr>
      <w:r>
        <w:rPr>
          <w:color w:val="231F20"/>
        </w:rPr>
        <w:t>there was a successful transition to our new Procurement Partner (Nottinghamshire County Council)</w:t>
      </w:r>
      <w:r>
        <w:rPr>
          <w:color w:val="231F20"/>
          <w:spacing w:val="-8"/>
        </w:rPr>
        <w:t> </w:t>
      </w:r>
      <w:r>
        <w:rPr>
          <w:color w:val="231F20"/>
        </w:rPr>
        <w:t>ensuring</w:t>
      </w:r>
      <w:r>
        <w:rPr>
          <w:color w:val="231F20"/>
          <w:spacing w:val="-7"/>
        </w:rPr>
        <w:t> </w:t>
      </w:r>
      <w:r>
        <w:rPr>
          <w:color w:val="231F20"/>
        </w:rPr>
        <w:t>continued</w:t>
      </w:r>
      <w:r>
        <w:rPr>
          <w:color w:val="231F20"/>
          <w:spacing w:val="-7"/>
        </w:rPr>
        <w:t> </w:t>
      </w:r>
      <w:r>
        <w:rPr>
          <w:color w:val="231F20"/>
        </w:rPr>
        <w:t>access</w:t>
      </w:r>
      <w:r>
        <w:rPr>
          <w:color w:val="231F20"/>
          <w:spacing w:val="-7"/>
        </w:rPr>
        <w:t> </w:t>
      </w:r>
      <w:r>
        <w:rPr>
          <w:color w:val="231F20"/>
        </w:rPr>
        <w:t>to</w:t>
      </w:r>
      <w:r>
        <w:rPr>
          <w:color w:val="231F20"/>
          <w:spacing w:val="-7"/>
        </w:rPr>
        <w:t> </w:t>
      </w:r>
      <w:r>
        <w:rPr>
          <w:color w:val="231F20"/>
        </w:rPr>
        <w:t>specialist support and minimising anticipated cost increases. In February 2023 the Council started implementation of its new core Finance system ‘One Council’ from Technology One, with implementation expected to be complete by March 2024.</w:t>
      </w:r>
    </w:p>
    <w:p>
      <w:pPr>
        <w:spacing w:after="0" w:line="225" w:lineRule="auto"/>
        <w:sectPr>
          <w:headerReference w:type="default" r:id="rId38"/>
          <w:footerReference w:type="default" r:id="rId39"/>
          <w:pgSz w:w="11910" w:h="16840"/>
          <w:pgMar w:header="377" w:footer="367" w:top="560" w:bottom="560" w:left="0" w:right="0"/>
          <w:pgNumType w:start="15"/>
        </w:sectPr>
      </w:pPr>
    </w:p>
    <w:p>
      <w:pPr>
        <w:pStyle w:val="BodyText"/>
        <w:spacing w:before="8"/>
        <w:rPr>
          <w:sz w:val="18"/>
        </w:rPr>
      </w:pPr>
      <w:r>
        <w:rPr/>
        <w:pict>
          <v:group style="position:absolute;margin-left:578.504028pt;margin-top:324.567017pt;width:16.8pt;height:192.8pt;mso-position-horizontal-relative:page;mso-position-vertical-relative:page;z-index:15749120" id="docshapegroup131" coordorigin="11570,6491" coordsize="336,3856">
            <v:rect style="position:absolute;left:11570;top:9382;width:336;height:964" id="docshape132" filled="true" fillcolor="#f15d6b" stroked="false">
              <v:fill type="solid"/>
            </v:rect>
            <v:rect style="position:absolute;left:11570;top:8418;width:336;height:964" id="docshape133" filled="true" fillcolor="#fbac42" stroked="false">
              <v:fill type="solid"/>
            </v:rect>
            <v:rect style="position:absolute;left:11570;top:7455;width:336;height:964" id="docshape134" filled="true" fillcolor="#b78fc1" stroked="false">
              <v:fill type="solid"/>
            </v:rect>
            <v:rect style="position:absolute;left:11570;top:6491;width:336;height:964" id="docshape135" filled="true" fillcolor="#378372" stroked="false">
              <v:fill type="solid"/>
            </v:rect>
            <w10:wrap type="none"/>
          </v:group>
        </w:pict>
      </w:r>
    </w:p>
    <w:p>
      <w:pPr>
        <w:pStyle w:val="Heading2"/>
        <w:numPr>
          <w:ilvl w:val="0"/>
          <w:numId w:val="3"/>
        </w:numPr>
        <w:tabs>
          <w:tab w:pos="1248" w:val="left" w:leader="none"/>
        </w:tabs>
        <w:spacing w:line="240" w:lineRule="auto" w:before="100" w:after="0"/>
        <w:ind w:left="1247" w:right="0" w:hanging="684"/>
        <w:jc w:val="left"/>
      </w:pPr>
      <w:r>
        <w:rPr/>
        <w:pict>
          <v:group style="position:absolute;margin-left:0pt;margin-top:35.000019pt;width:595.3pt;height:63.4pt;mso-position-horizontal-relative:page;mso-position-vertical-relative:paragraph;z-index:-16864256" id="docshapegroup136" coordorigin="0,700" coordsize="11906,1268">
            <v:rect style="position:absolute;left:0;top:833;width:11906;height:1134" id="docshape137" filled="true" fillcolor="#c9cbd4" stroked="false">
              <v:fill type="solid"/>
            </v:rect>
            <v:shape style="position:absolute;left:0;top:700;width:11906;height:1268" type="#_x0000_t202" id="docshape138" filled="false" stroked="false">
              <v:textbox inset="0,0,0,0">
                <w:txbxContent>
                  <w:p>
                    <w:pPr>
                      <w:spacing w:before="0"/>
                      <w:ind w:left="2515" w:right="1313" w:firstLine="0"/>
                      <w:jc w:val="center"/>
                      <w:rPr>
                        <w:b/>
                        <w:sz w:val="60"/>
                      </w:rPr>
                    </w:pPr>
                    <w:r>
                      <w:rPr>
                        <w:b/>
                        <w:color w:val="3B5673"/>
                        <w:spacing w:val="17"/>
                        <w:sz w:val="60"/>
                      </w:rPr>
                      <w:t>POLITICAL</w:t>
                    </w:r>
                    <w:r>
                      <w:rPr>
                        <w:b/>
                        <w:color w:val="3B5673"/>
                        <w:spacing w:val="28"/>
                        <w:sz w:val="60"/>
                      </w:rPr>
                      <w:t> </w:t>
                    </w:r>
                    <w:r>
                      <w:rPr>
                        <w:b/>
                        <w:color w:val="3B5673"/>
                        <w:spacing w:val="19"/>
                        <w:sz w:val="60"/>
                      </w:rPr>
                      <w:t>STRUCTURE</w:t>
                    </w:r>
                  </w:p>
                </w:txbxContent>
              </v:textbox>
              <w10:wrap type="none"/>
            </v:shape>
            <w10:wrap type="none"/>
          </v:group>
        </w:pict>
      </w:r>
      <w:r>
        <w:rPr>
          <w:color w:val="3B5673"/>
          <w:spacing w:val="15"/>
        </w:rPr>
        <w:t>ORGANISATIONAL</w:t>
      </w:r>
      <w:r>
        <w:rPr>
          <w:color w:val="3B5673"/>
          <w:spacing w:val="26"/>
        </w:rPr>
        <w:t> </w:t>
      </w:r>
      <w:r>
        <w:rPr>
          <w:color w:val="3B5673"/>
          <w:spacing w:val="14"/>
        </w:rPr>
        <w:t>DELIVERY</w:t>
      </w:r>
    </w:p>
    <w:p>
      <w:pPr>
        <w:pStyle w:val="BodyText"/>
        <w:rPr>
          <w:sz w:val="20"/>
        </w:rPr>
      </w:pPr>
    </w:p>
    <w:p>
      <w:pPr>
        <w:pStyle w:val="BodyText"/>
        <w:rPr>
          <w:sz w:val="20"/>
        </w:rPr>
      </w:pPr>
    </w:p>
    <w:p>
      <w:pPr>
        <w:pStyle w:val="BodyText"/>
        <w:rPr>
          <w:sz w:val="20"/>
        </w:rPr>
      </w:pPr>
    </w:p>
    <w:p>
      <w:pPr>
        <w:pStyle w:val="BodyText"/>
        <w:spacing w:before="12"/>
        <w:rPr>
          <w:sz w:val="28"/>
        </w:rPr>
      </w:pPr>
    </w:p>
    <w:p>
      <w:pPr>
        <w:pStyle w:val="Heading4"/>
        <w:spacing w:line="225" w:lineRule="auto" w:before="116"/>
        <w:ind w:right="576"/>
      </w:pPr>
      <w:r>
        <w:rPr>
          <w:color w:val="3B5673"/>
        </w:rPr>
        <w:t>During 2022/23 the Council consisted of 35 Councillors, controlled by the Ashfield Independents</w:t>
      </w:r>
      <w:r>
        <w:rPr>
          <w:color w:val="3B5673"/>
          <w:spacing w:val="-2"/>
        </w:rPr>
        <w:t> </w:t>
      </w:r>
      <w:r>
        <w:rPr>
          <w:color w:val="3B5673"/>
        </w:rPr>
        <w:t>(28)</w:t>
      </w:r>
      <w:r>
        <w:rPr>
          <w:color w:val="3B5673"/>
          <w:spacing w:val="-3"/>
        </w:rPr>
        <w:t> </w:t>
      </w:r>
      <w:r>
        <w:rPr>
          <w:color w:val="3B5673"/>
        </w:rPr>
        <w:t>with</w:t>
      </w:r>
      <w:r>
        <w:rPr>
          <w:color w:val="3B5673"/>
          <w:spacing w:val="-3"/>
        </w:rPr>
        <w:t> </w:t>
      </w:r>
      <w:r>
        <w:rPr>
          <w:color w:val="3B5673"/>
        </w:rPr>
        <w:t>3</w:t>
      </w:r>
      <w:r>
        <w:rPr>
          <w:color w:val="3B5673"/>
          <w:spacing w:val="-3"/>
        </w:rPr>
        <w:t> </w:t>
      </w:r>
      <w:r>
        <w:rPr>
          <w:color w:val="3B5673"/>
        </w:rPr>
        <w:t>Conservative,</w:t>
      </w:r>
      <w:r>
        <w:rPr>
          <w:color w:val="3B5673"/>
          <w:spacing w:val="-2"/>
        </w:rPr>
        <w:t> </w:t>
      </w:r>
      <w:r>
        <w:rPr>
          <w:color w:val="3B5673"/>
        </w:rPr>
        <w:t>2</w:t>
      </w:r>
      <w:r>
        <w:rPr>
          <w:color w:val="3B5673"/>
          <w:spacing w:val="-3"/>
        </w:rPr>
        <w:t> </w:t>
      </w:r>
      <w:r>
        <w:rPr>
          <w:color w:val="3B5673"/>
        </w:rPr>
        <w:t>non-aligned</w:t>
      </w:r>
      <w:r>
        <w:rPr>
          <w:color w:val="3B5673"/>
          <w:spacing w:val="-2"/>
        </w:rPr>
        <w:t> </w:t>
      </w:r>
      <w:r>
        <w:rPr>
          <w:color w:val="3B5673"/>
        </w:rPr>
        <w:t>and</w:t>
      </w:r>
      <w:r>
        <w:rPr>
          <w:color w:val="3B5673"/>
          <w:spacing w:val="-3"/>
        </w:rPr>
        <w:t> </w:t>
      </w:r>
      <w:r>
        <w:rPr>
          <w:color w:val="3B5673"/>
        </w:rPr>
        <w:t>2</w:t>
      </w:r>
      <w:r>
        <w:rPr>
          <w:color w:val="3B5673"/>
          <w:spacing w:val="-3"/>
        </w:rPr>
        <w:t> </w:t>
      </w:r>
      <w:r>
        <w:rPr>
          <w:color w:val="3B5673"/>
        </w:rPr>
        <w:t>Labour</w:t>
      </w:r>
      <w:r>
        <w:rPr>
          <w:color w:val="3B5673"/>
          <w:spacing w:val="-3"/>
        </w:rPr>
        <w:t> </w:t>
      </w:r>
      <w:r>
        <w:rPr>
          <w:color w:val="3B5673"/>
        </w:rPr>
        <w:t>Councillors.</w:t>
      </w:r>
      <w:r>
        <w:rPr>
          <w:color w:val="3B5673"/>
          <w:spacing w:val="-2"/>
        </w:rPr>
        <w:t> </w:t>
      </w:r>
      <w:r>
        <w:rPr>
          <w:color w:val="3B5673"/>
        </w:rPr>
        <w:t>In</w:t>
      </w:r>
      <w:r>
        <w:rPr>
          <w:color w:val="3B5673"/>
          <w:spacing w:val="-2"/>
        </w:rPr>
        <w:t> </w:t>
      </w:r>
      <w:r>
        <w:rPr>
          <w:color w:val="3B5673"/>
        </w:rPr>
        <w:t>2022/23</w:t>
      </w:r>
      <w:r>
        <w:rPr>
          <w:color w:val="3B5673"/>
          <w:spacing w:val="-3"/>
        </w:rPr>
        <w:t> </w:t>
      </w:r>
      <w:r>
        <w:rPr>
          <w:color w:val="3B5673"/>
        </w:rPr>
        <w:t>the Council’s Cabinet comprised of ten Councillors:</w:t>
      </w:r>
    </w:p>
    <w:p>
      <w:pPr>
        <w:pStyle w:val="BodyText"/>
        <w:spacing w:before="8"/>
        <w:rPr>
          <w:b/>
          <w:sz w:val="18"/>
        </w:rPr>
      </w:pPr>
      <w:r>
        <w:rPr/>
        <w:pict>
          <v:group style="position:absolute;margin-left:79.705399pt;margin-top:13.570704pt;width:435.9pt;height:571.4pt;mso-position-horizontal-relative:page;mso-position-vertical-relative:paragraph;z-index:-15709184;mso-wrap-distance-left:0;mso-wrap-distance-right:0" id="docshapegroup139" coordorigin="1594,271" coordsize="8718,11428">
            <v:shape style="position:absolute;left:3553;top:1059;width:4800;height:9850" id="docshape140" coordorigin="3553,1060" coordsize="4800,9850" path="m8352,1060l8295,1060,8295,1116,8295,10854,3611,10854,3611,10853,3611,1116,8295,1116,8295,1060,3553,1060,3553,1116,3553,10854,3553,10882,3553,10910,8352,10910,8352,10882,8352,10854,8352,1116,8352,1060xe" filled="true" fillcolor="#231f20" stroked="false">
              <v:path arrowok="t"/>
              <v:fill type="solid"/>
            </v:shape>
            <v:shape style="position:absolute;left:3993;top:271;width:3918;height:1633" type="#_x0000_t75" id="docshape141" stroked="false">
              <v:imagedata r:id="rId41" o:title=""/>
            </v:shape>
            <v:shape style="position:absolute;left:1594;top:6148;width:3918;height:1633" type="#_x0000_t75" id="docshape142" stroked="false">
              <v:imagedata r:id="rId42" o:title=""/>
            </v:shape>
            <v:shape style="position:absolute;left:6393;top:2230;width:3918;height:1633" type="#_x0000_t75" id="docshape143" stroked="false">
              <v:imagedata r:id="rId43" o:title=""/>
            </v:shape>
            <v:shape style="position:absolute;left:6393;top:4196;width:3918;height:1633" type="#_x0000_t75" id="docshape144" stroked="false">
              <v:imagedata r:id="rId44" o:title=""/>
            </v:shape>
            <v:shape style="position:absolute;left:6393;top:6148;width:3918;height:1633" type="#_x0000_t75" id="docshape145" stroked="false">
              <v:imagedata r:id="rId45" o:title=""/>
            </v:shape>
            <v:shape style="position:absolute;left:6393;top:8107;width:3918;height:1633" type="#_x0000_t75" id="docshape146" stroked="false">
              <v:imagedata r:id="rId46" o:title=""/>
            </v:shape>
            <v:shape style="position:absolute;left:1594;top:4189;width:3918;height:1633" type="#_x0000_t75" id="docshape147" stroked="false">
              <v:imagedata r:id="rId47" o:title=""/>
            </v:shape>
            <v:shape style="position:absolute;left:1594;top:2229;width:3918;height:1633" type="#_x0000_t75" id="docshape148" stroked="false">
              <v:imagedata r:id="rId48" o:title=""/>
            </v:shape>
            <v:shape style="position:absolute;left:1594;top:8107;width:3918;height:1633" type="#_x0000_t75" id="docshape149" stroked="false">
              <v:imagedata r:id="rId49" o:title=""/>
            </v:shape>
            <v:shape style="position:absolute;left:3993;top:10066;width:3918;height:1633" type="#_x0000_t75" id="docshape150" stroked="false">
              <v:imagedata r:id="rId50" o:title=""/>
            </v:shape>
            <v:shape style="position:absolute;left:4124;top:402;width:1001;height:1371" type="#_x0000_t75" id="docshape151" stroked="false">
              <v:imagedata r:id="rId51" o:title=""/>
            </v:shape>
            <v:shape style="position:absolute;left:1724;top:6278;width:1001;height:1371" type="#_x0000_t75" id="docshape152" stroked="false">
              <v:imagedata r:id="rId52" o:title=""/>
            </v:shape>
            <v:shape style="position:absolute;left:6524;top:2360;width:1001;height:1371" type="#_x0000_t75" id="docshape153" stroked="false">
              <v:imagedata r:id="rId53" o:title=""/>
            </v:shape>
            <v:shape style="position:absolute;left:6524;top:4327;width:1001;height:1371" type="#_x0000_t75" id="docshape154" stroked="false">
              <v:imagedata r:id="rId54" o:title=""/>
            </v:shape>
            <v:shape style="position:absolute;left:6524;top:6278;width:1001;height:1371" type="#_x0000_t75" id="docshape155" stroked="false">
              <v:imagedata r:id="rId55" o:title=""/>
            </v:shape>
            <v:shape style="position:absolute;left:6524;top:8237;width:1001;height:1371" type="#_x0000_t75" id="docshape156" stroked="false">
              <v:imagedata r:id="rId56" o:title=""/>
            </v:shape>
            <v:shape style="position:absolute;left:1724;top:4319;width:1001;height:1371" type="#_x0000_t75" id="docshape157" stroked="false">
              <v:imagedata r:id="rId57" o:title=""/>
            </v:shape>
            <v:shape style="position:absolute;left:1724;top:2360;width:1001;height:1371" type="#_x0000_t75" id="docshape158" stroked="false">
              <v:imagedata r:id="rId58" o:title=""/>
            </v:shape>
            <v:shape style="position:absolute;left:1724;top:8237;width:1001;height:1371" type="#_x0000_t75" id="docshape159" stroked="false">
              <v:imagedata r:id="rId59" o:title=""/>
            </v:shape>
            <v:shape style="position:absolute;left:4124;top:10196;width:1001;height:1371" type="#_x0000_t75" id="docshape160" stroked="false">
              <v:imagedata r:id="rId60" o:title=""/>
            </v:shape>
            <w10:wrap type="topAndBottom"/>
          </v:group>
        </w:pict>
      </w:r>
    </w:p>
    <w:p>
      <w:pPr>
        <w:spacing w:after="0"/>
        <w:rPr>
          <w:sz w:val="18"/>
        </w:rPr>
        <w:sectPr>
          <w:pgSz w:w="11910" w:h="16840"/>
          <w:pgMar w:header="377" w:footer="367" w:top="560" w:bottom="560" w:left="0" w:right="0"/>
        </w:sectPr>
      </w:pPr>
    </w:p>
    <w:p>
      <w:pPr>
        <w:pStyle w:val="BodyText"/>
        <w:rPr>
          <w:b/>
          <w:sz w:val="28"/>
        </w:rPr>
      </w:pPr>
    </w:p>
    <w:p>
      <w:pPr>
        <w:spacing w:after="0"/>
        <w:rPr>
          <w:sz w:val="28"/>
        </w:rPr>
        <w:sectPr>
          <w:pgSz w:w="11910" w:h="16840"/>
          <w:pgMar w:header="377" w:footer="367" w:top="560" w:bottom="560" w:left="0" w:right="0"/>
        </w:sectPr>
      </w:pPr>
    </w:p>
    <w:p>
      <w:pPr>
        <w:pStyle w:val="BodyText"/>
        <w:spacing w:line="225" w:lineRule="auto" w:before="115"/>
        <w:ind w:left="566"/>
      </w:pPr>
      <w:r>
        <w:rPr>
          <w:color w:val="231F20"/>
        </w:rPr>
        <w:t>Within</w:t>
      </w:r>
      <w:r>
        <w:rPr>
          <w:color w:val="231F20"/>
          <w:spacing w:val="-7"/>
        </w:rPr>
        <w:t> </w:t>
      </w:r>
      <w:r>
        <w:rPr>
          <w:color w:val="231F20"/>
        </w:rPr>
        <w:t>Ashfield</w:t>
      </w:r>
      <w:r>
        <w:rPr>
          <w:color w:val="231F20"/>
          <w:spacing w:val="-6"/>
        </w:rPr>
        <w:t> </w:t>
      </w:r>
      <w:r>
        <w:rPr>
          <w:color w:val="231F20"/>
        </w:rPr>
        <w:t>there</w:t>
      </w:r>
      <w:r>
        <w:rPr>
          <w:color w:val="231F20"/>
          <w:spacing w:val="-6"/>
        </w:rPr>
        <w:t> </w:t>
      </w:r>
      <w:r>
        <w:rPr>
          <w:color w:val="231F20"/>
        </w:rPr>
        <w:t>are</w:t>
      </w:r>
      <w:r>
        <w:rPr>
          <w:color w:val="231F20"/>
          <w:spacing w:val="-6"/>
        </w:rPr>
        <w:t> </w:t>
      </w:r>
      <w:r>
        <w:rPr>
          <w:color w:val="231F20"/>
        </w:rPr>
        <w:t>two</w:t>
      </w:r>
      <w:r>
        <w:rPr>
          <w:color w:val="231F20"/>
          <w:spacing w:val="-6"/>
        </w:rPr>
        <w:t> </w:t>
      </w:r>
      <w:r>
        <w:rPr>
          <w:color w:val="231F20"/>
        </w:rPr>
        <w:t>parishes,</w:t>
      </w:r>
      <w:r>
        <w:rPr>
          <w:color w:val="231F20"/>
          <w:spacing w:val="-6"/>
        </w:rPr>
        <w:t> </w:t>
      </w:r>
      <w:r>
        <w:rPr>
          <w:color w:val="231F20"/>
        </w:rPr>
        <w:t>Selston Parish Council and Annesley &amp; Felley Parish Council who provide additional services to residents within their respective boundaries.</w:t>
      </w:r>
    </w:p>
    <w:p>
      <w:pPr>
        <w:pStyle w:val="BodyText"/>
        <w:spacing w:before="7"/>
        <w:rPr>
          <w:sz w:val="22"/>
        </w:rPr>
      </w:pPr>
    </w:p>
    <w:p>
      <w:pPr>
        <w:pStyle w:val="BodyText"/>
        <w:spacing w:line="225" w:lineRule="auto" w:before="1"/>
        <w:ind w:left="566"/>
      </w:pPr>
      <w:r>
        <w:rPr>
          <w:color w:val="231F20"/>
        </w:rPr>
        <w:t>The JUS-t Neighbourhood Plan was made for a substantial</w:t>
      </w:r>
      <w:r>
        <w:rPr>
          <w:color w:val="231F20"/>
          <w:spacing w:val="-8"/>
        </w:rPr>
        <w:t> </w:t>
      </w:r>
      <w:r>
        <w:rPr>
          <w:color w:val="231F20"/>
        </w:rPr>
        <w:t>part</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Parish</w:t>
      </w:r>
      <w:r>
        <w:rPr>
          <w:color w:val="231F20"/>
          <w:spacing w:val="-7"/>
        </w:rPr>
        <w:t> </w:t>
      </w:r>
      <w:r>
        <w:rPr>
          <w:color w:val="231F20"/>
        </w:rPr>
        <w:t>of</w:t>
      </w:r>
      <w:r>
        <w:rPr>
          <w:color w:val="231F20"/>
          <w:spacing w:val="-7"/>
        </w:rPr>
        <w:t> </w:t>
      </w:r>
      <w:r>
        <w:rPr>
          <w:color w:val="231F20"/>
        </w:rPr>
        <w:t>Selston</w:t>
      </w:r>
      <w:r>
        <w:rPr>
          <w:color w:val="231F20"/>
          <w:spacing w:val="-8"/>
        </w:rPr>
        <w:t> </w:t>
      </w:r>
      <w:r>
        <w:rPr>
          <w:color w:val="231F20"/>
        </w:rPr>
        <w:t>following a referendum in October 2017. Currently no neighbourhood plan has been adopted by Annesley &amp; Felley Parish Council.</w:t>
      </w:r>
    </w:p>
    <w:p>
      <w:pPr>
        <w:pStyle w:val="BodyText"/>
        <w:spacing w:before="6"/>
        <w:rPr>
          <w:sz w:val="22"/>
        </w:rPr>
      </w:pPr>
    </w:p>
    <w:p>
      <w:pPr>
        <w:pStyle w:val="BodyText"/>
        <w:spacing w:line="225" w:lineRule="auto" w:before="1"/>
        <w:ind w:left="566"/>
      </w:pPr>
      <w:r>
        <w:rPr>
          <w:color w:val="231F20"/>
        </w:rPr>
        <w:t>The Teversal, Stanton Hill and Skegby Neighbourhood Forum brought forward a Neighbourhood Plan for Teversal, Stanton Hill and Skegby, which was also made in October 2017.</w:t>
      </w:r>
      <w:r>
        <w:rPr>
          <w:color w:val="231F20"/>
          <w:spacing w:val="-6"/>
        </w:rPr>
        <w:t> </w:t>
      </w:r>
      <w:r>
        <w:rPr>
          <w:color w:val="231F20"/>
        </w:rPr>
        <w:t>The</w:t>
      </w:r>
      <w:r>
        <w:rPr>
          <w:color w:val="231F20"/>
          <w:spacing w:val="-5"/>
        </w:rPr>
        <w:t> </w:t>
      </w:r>
      <w:r>
        <w:rPr>
          <w:color w:val="231F20"/>
        </w:rPr>
        <w:t>Forum</w:t>
      </w:r>
      <w:r>
        <w:rPr>
          <w:color w:val="231F20"/>
          <w:spacing w:val="-6"/>
        </w:rPr>
        <w:t> </w:t>
      </w:r>
      <w:r>
        <w:rPr>
          <w:color w:val="231F20"/>
        </w:rPr>
        <w:t>was</w:t>
      </w:r>
      <w:r>
        <w:rPr>
          <w:color w:val="231F20"/>
          <w:spacing w:val="-5"/>
        </w:rPr>
        <w:t> </w:t>
      </w:r>
      <w:r>
        <w:rPr>
          <w:color w:val="231F20"/>
        </w:rPr>
        <w:t>re-designated</w:t>
      </w:r>
      <w:r>
        <w:rPr>
          <w:color w:val="231F20"/>
          <w:spacing w:val="-5"/>
        </w:rPr>
        <w:t> </w:t>
      </w:r>
      <w:r>
        <w:rPr>
          <w:color w:val="231F20"/>
        </w:rPr>
        <w:t>for</w:t>
      </w:r>
      <w:r>
        <w:rPr>
          <w:color w:val="231F20"/>
          <w:spacing w:val="-5"/>
        </w:rPr>
        <w:t> </w:t>
      </w:r>
      <w:r>
        <w:rPr>
          <w:color w:val="231F20"/>
        </w:rPr>
        <w:t>a</w:t>
      </w:r>
      <w:r>
        <w:rPr>
          <w:color w:val="231F20"/>
          <w:spacing w:val="-5"/>
        </w:rPr>
        <w:t> </w:t>
      </w:r>
      <w:r>
        <w:rPr>
          <w:color w:val="231F20"/>
        </w:rPr>
        <w:t>further five years following a decision of the Cabinet on 27th January 2020.</w:t>
      </w:r>
    </w:p>
    <w:p>
      <w:pPr>
        <w:pStyle w:val="Heading3"/>
        <w:ind w:left="304"/>
      </w:pPr>
      <w:r>
        <w:rPr>
          <w:b w:val="0"/>
        </w:rPr>
        <w:br w:type="column"/>
      </w:r>
      <w:r>
        <w:rPr>
          <w:color w:val="3B5673"/>
        </w:rPr>
        <w:t>MANAGEMENT</w:t>
      </w:r>
      <w:r>
        <w:rPr>
          <w:color w:val="3B5673"/>
          <w:spacing w:val="78"/>
        </w:rPr>
        <w:t> </w:t>
      </w:r>
      <w:r>
        <w:rPr>
          <w:color w:val="3B5673"/>
          <w:spacing w:val="-2"/>
        </w:rPr>
        <w:t>STRUCTURE</w:t>
      </w:r>
    </w:p>
    <w:p>
      <w:pPr>
        <w:spacing w:line="300" w:lineRule="exact" w:before="0"/>
        <w:ind w:left="304" w:right="0" w:firstLine="0"/>
        <w:jc w:val="left"/>
        <w:rPr>
          <w:b/>
          <w:sz w:val="24"/>
        </w:rPr>
      </w:pPr>
      <w:r>
        <w:rPr>
          <w:b/>
          <w:color w:val="3B5673"/>
          <w:sz w:val="24"/>
        </w:rPr>
        <w:t>AND</w:t>
      </w:r>
      <w:r>
        <w:rPr>
          <w:b/>
          <w:color w:val="3B5673"/>
          <w:spacing w:val="24"/>
          <w:sz w:val="24"/>
        </w:rPr>
        <w:t> </w:t>
      </w:r>
      <w:r>
        <w:rPr>
          <w:b/>
          <w:color w:val="3B5673"/>
          <w:spacing w:val="-2"/>
          <w:sz w:val="24"/>
        </w:rPr>
        <w:t>WORKFORCE</w:t>
      </w:r>
    </w:p>
    <w:p>
      <w:pPr>
        <w:pStyle w:val="BodyText"/>
        <w:spacing w:line="225" w:lineRule="auto" w:before="6"/>
        <w:ind w:left="300" w:right="645"/>
      </w:pPr>
      <w:r>
        <w:rPr>
          <w:color w:val="231F20"/>
        </w:rPr>
        <w:t>The Council’s management structure – the Strategic Leadership Team (SLT) is documented in</w:t>
      </w:r>
      <w:r>
        <w:rPr>
          <w:color w:val="231F20"/>
          <w:spacing w:val="-2"/>
        </w:rPr>
        <w:t> </w:t>
      </w:r>
      <w:r>
        <w:rPr>
          <w:color w:val="231F20"/>
        </w:rPr>
        <w:t>the</w:t>
      </w:r>
      <w:r>
        <w:rPr>
          <w:color w:val="231F20"/>
          <w:spacing w:val="-1"/>
        </w:rPr>
        <w:t> </w:t>
      </w:r>
      <w:r>
        <w:rPr>
          <w:color w:val="231F20"/>
        </w:rPr>
        <w:t>Council’s</w:t>
      </w:r>
      <w:r>
        <w:rPr>
          <w:color w:val="231F20"/>
          <w:spacing w:val="-2"/>
        </w:rPr>
        <w:t> </w:t>
      </w:r>
      <w:r>
        <w:rPr>
          <w:color w:val="231F20"/>
        </w:rPr>
        <w:t>Constitution</w:t>
      </w:r>
      <w:r>
        <w:rPr>
          <w:color w:val="231F20"/>
          <w:spacing w:val="-2"/>
        </w:rPr>
        <w:t> </w:t>
      </w:r>
      <w:r>
        <w:rPr>
          <w:color w:val="231F20"/>
        </w:rPr>
        <w:t>and</w:t>
      </w:r>
      <w:r>
        <w:rPr>
          <w:color w:val="231F20"/>
          <w:spacing w:val="-1"/>
        </w:rPr>
        <w:t> </w:t>
      </w:r>
      <w:r>
        <w:rPr>
          <w:color w:val="231F20"/>
        </w:rPr>
        <w:t>is</w:t>
      </w:r>
      <w:r>
        <w:rPr>
          <w:color w:val="231F20"/>
          <w:spacing w:val="-2"/>
        </w:rPr>
        <w:t> </w:t>
      </w:r>
      <w:r>
        <w:rPr>
          <w:color w:val="231F20"/>
        </w:rPr>
        <w:t>comprised</w:t>
      </w:r>
      <w:r>
        <w:rPr>
          <w:color w:val="231F20"/>
          <w:spacing w:val="-1"/>
        </w:rPr>
        <w:t> </w:t>
      </w:r>
      <w:r>
        <w:rPr>
          <w:color w:val="231F20"/>
        </w:rPr>
        <w:t>of the Chief Executive, four Executive Directors and the</w:t>
      </w:r>
      <w:r>
        <w:rPr>
          <w:color w:val="231F20"/>
          <w:spacing w:val="-7"/>
        </w:rPr>
        <w:t> </w:t>
      </w:r>
      <w:r>
        <w:rPr>
          <w:color w:val="231F20"/>
        </w:rPr>
        <w:t>Corporate</w:t>
      </w:r>
      <w:r>
        <w:rPr>
          <w:color w:val="231F20"/>
          <w:spacing w:val="-8"/>
        </w:rPr>
        <w:t> </w:t>
      </w:r>
      <w:r>
        <w:rPr>
          <w:color w:val="231F20"/>
        </w:rPr>
        <w:t>Resources</w:t>
      </w:r>
      <w:r>
        <w:rPr>
          <w:color w:val="231F20"/>
          <w:spacing w:val="-7"/>
        </w:rPr>
        <w:t> </w:t>
      </w:r>
      <w:r>
        <w:rPr>
          <w:color w:val="231F20"/>
        </w:rPr>
        <w:t>Director</w:t>
      </w:r>
      <w:r>
        <w:rPr>
          <w:color w:val="231F20"/>
          <w:spacing w:val="-8"/>
        </w:rPr>
        <w:t> </w:t>
      </w:r>
      <w:r>
        <w:rPr>
          <w:color w:val="231F20"/>
        </w:rPr>
        <w:t>(&amp;</w:t>
      </w:r>
      <w:r>
        <w:rPr>
          <w:color w:val="231F20"/>
          <w:spacing w:val="-7"/>
        </w:rPr>
        <w:t> </w:t>
      </w:r>
      <w:r>
        <w:rPr>
          <w:color w:val="231F20"/>
        </w:rPr>
        <w:t>Section</w:t>
      </w:r>
      <w:r>
        <w:rPr>
          <w:color w:val="231F20"/>
          <w:spacing w:val="-8"/>
        </w:rPr>
        <w:t> </w:t>
      </w:r>
      <w:r>
        <w:rPr>
          <w:color w:val="231F20"/>
        </w:rPr>
        <w:t>151 </w:t>
      </w:r>
      <w:r>
        <w:rPr>
          <w:color w:val="231F20"/>
          <w:spacing w:val="-2"/>
        </w:rPr>
        <w:t>Officer).</w:t>
      </w:r>
    </w:p>
    <w:p>
      <w:pPr>
        <w:pStyle w:val="BodyText"/>
        <w:spacing w:line="310" w:lineRule="exact" w:before="284"/>
        <w:ind w:left="300"/>
      </w:pPr>
      <w:r>
        <w:rPr>
          <w:color w:val="231F20"/>
        </w:rPr>
        <w:t>SLT</w:t>
      </w:r>
      <w:r>
        <w:rPr>
          <w:color w:val="231F20"/>
          <w:spacing w:val="-5"/>
        </w:rPr>
        <w:t> </w:t>
      </w:r>
      <w:r>
        <w:rPr>
          <w:color w:val="231F20"/>
        </w:rPr>
        <w:t>is</w:t>
      </w:r>
      <w:r>
        <w:rPr>
          <w:color w:val="231F20"/>
          <w:spacing w:val="-6"/>
        </w:rPr>
        <w:t> </w:t>
      </w:r>
      <w:r>
        <w:rPr>
          <w:color w:val="231F20"/>
        </w:rPr>
        <w:t>responsible</w:t>
      </w:r>
      <w:r>
        <w:rPr>
          <w:color w:val="231F20"/>
          <w:spacing w:val="-5"/>
        </w:rPr>
        <w:t> </w:t>
      </w:r>
      <w:r>
        <w:rPr>
          <w:color w:val="231F20"/>
        </w:rPr>
        <w:t>for</w:t>
      </w:r>
      <w:r>
        <w:rPr>
          <w:color w:val="231F20"/>
          <w:spacing w:val="-4"/>
        </w:rPr>
        <w:t> </w:t>
      </w:r>
      <w:r>
        <w:rPr>
          <w:color w:val="231F20"/>
          <w:spacing w:val="-2"/>
        </w:rPr>
        <w:t>implementing</w:t>
      </w:r>
    </w:p>
    <w:p>
      <w:pPr>
        <w:pStyle w:val="BodyText"/>
        <w:spacing w:line="300" w:lineRule="exact"/>
        <w:ind w:left="300"/>
      </w:pPr>
      <w:r>
        <w:rPr>
          <w:color w:val="231F20"/>
        </w:rPr>
        <w:t>the</w:t>
      </w:r>
      <w:r>
        <w:rPr>
          <w:color w:val="231F20"/>
          <w:spacing w:val="-4"/>
        </w:rPr>
        <w:t> </w:t>
      </w:r>
      <w:r>
        <w:rPr>
          <w:color w:val="231F20"/>
        </w:rPr>
        <w:t>Council’s</w:t>
      </w:r>
      <w:r>
        <w:rPr>
          <w:color w:val="231F20"/>
          <w:spacing w:val="-4"/>
        </w:rPr>
        <w:t> </w:t>
      </w:r>
      <w:r>
        <w:rPr>
          <w:color w:val="231F20"/>
        </w:rPr>
        <w:t>strategic</w:t>
      </w:r>
      <w:r>
        <w:rPr>
          <w:color w:val="231F20"/>
          <w:spacing w:val="-4"/>
        </w:rPr>
        <w:t> </w:t>
      </w:r>
      <w:r>
        <w:rPr>
          <w:color w:val="231F20"/>
        </w:rPr>
        <w:t>goals</w:t>
      </w:r>
      <w:r>
        <w:rPr>
          <w:color w:val="231F20"/>
          <w:spacing w:val="-3"/>
        </w:rPr>
        <w:t> </w:t>
      </w:r>
      <w:r>
        <w:rPr>
          <w:color w:val="231F20"/>
        </w:rPr>
        <w:t>as</w:t>
      </w:r>
      <w:r>
        <w:rPr>
          <w:color w:val="231F20"/>
          <w:spacing w:val="-3"/>
        </w:rPr>
        <w:t> </w:t>
      </w:r>
      <w:r>
        <w:rPr>
          <w:color w:val="231F20"/>
          <w:spacing w:val="-2"/>
        </w:rPr>
        <w:t>determined</w:t>
      </w:r>
    </w:p>
    <w:p>
      <w:pPr>
        <w:pStyle w:val="BodyText"/>
        <w:spacing w:line="225" w:lineRule="auto" w:before="6"/>
        <w:ind w:left="300" w:right="645"/>
      </w:pPr>
      <w:r>
        <w:rPr>
          <w:color w:val="231F20"/>
        </w:rPr>
        <w:t>by elected Members, and for the effective operational</w:t>
      </w:r>
      <w:r>
        <w:rPr>
          <w:color w:val="231F20"/>
          <w:spacing w:val="-7"/>
        </w:rPr>
        <w:t> </w:t>
      </w:r>
      <w:r>
        <w:rPr>
          <w:color w:val="231F20"/>
        </w:rPr>
        <w:t>delivery</w:t>
      </w:r>
      <w:r>
        <w:rPr>
          <w:color w:val="231F20"/>
          <w:spacing w:val="-7"/>
        </w:rPr>
        <w:t> </w:t>
      </w:r>
      <w:r>
        <w:rPr>
          <w:color w:val="231F20"/>
        </w:rPr>
        <w:t>and</w:t>
      </w:r>
      <w:r>
        <w:rPr>
          <w:color w:val="231F20"/>
          <w:spacing w:val="-7"/>
        </w:rPr>
        <w:t> </w:t>
      </w:r>
      <w:r>
        <w:rPr>
          <w:color w:val="231F20"/>
        </w:rPr>
        <w:t>management</w:t>
      </w:r>
      <w:r>
        <w:rPr>
          <w:color w:val="231F20"/>
          <w:spacing w:val="-8"/>
        </w:rPr>
        <w:t> </w:t>
      </w:r>
      <w:r>
        <w:rPr>
          <w:color w:val="231F20"/>
        </w:rPr>
        <w:t>of</w:t>
      </w:r>
      <w:r>
        <w:rPr>
          <w:color w:val="231F20"/>
          <w:spacing w:val="-7"/>
        </w:rPr>
        <w:t> </w:t>
      </w:r>
      <w:r>
        <w:rPr>
          <w:color w:val="231F20"/>
        </w:rPr>
        <w:t>Council </w:t>
      </w:r>
      <w:r>
        <w:rPr>
          <w:color w:val="231F20"/>
          <w:spacing w:val="-2"/>
        </w:rPr>
        <w:t>services.</w:t>
      </w:r>
    </w:p>
    <w:p>
      <w:pPr>
        <w:pStyle w:val="BodyText"/>
        <w:spacing w:before="7"/>
        <w:rPr>
          <w:sz w:val="22"/>
        </w:rPr>
      </w:pPr>
    </w:p>
    <w:p>
      <w:pPr>
        <w:pStyle w:val="BodyText"/>
        <w:spacing w:line="225" w:lineRule="auto"/>
        <w:ind w:left="300" w:right="645"/>
      </w:pPr>
      <w:r>
        <w:rPr/>
        <w:pict>
          <v:group style="position:absolute;margin-left:578.504028pt;margin-top:46.309776pt;width:16.8pt;height:192.8pt;mso-position-horizontal-relative:page;mso-position-vertical-relative:paragraph;z-index:15750144" id="docshapegroup161" coordorigin="11570,926" coordsize="336,3856">
            <v:rect style="position:absolute;left:11570;top:3817;width:336;height:964" id="docshape162" filled="true" fillcolor="#f15d6b" stroked="false">
              <v:fill type="solid"/>
            </v:rect>
            <v:rect style="position:absolute;left:11570;top:2853;width:336;height:964" id="docshape163" filled="true" fillcolor="#fbac42" stroked="false">
              <v:fill type="solid"/>
            </v:rect>
            <v:rect style="position:absolute;left:11570;top:1889;width:336;height:964" id="docshape164" filled="true" fillcolor="#b78fc1" stroked="false">
              <v:fill type="solid"/>
            </v:rect>
            <v:rect style="position:absolute;left:11570;top:926;width:336;height:964" id="docshape165" filled="true" fillcolor="#378372" stroked="false">
              <v:fill type="solid"/>
            </v:rect>
            <w10:wrap type="none"/>
          </v:group>
        </w:pict>
      </w:r>
      <w:r>
        <w:rPr>
          <w:color w:val="231F20"/>
        </w:rPr>
        <w:t>As at 31st March 2023 the Council’s workforce comprised 589 employees in post (544.11 full time</w:t>
      </w:r>
      <w:r>
        <w:rPr>
          <w:color w:val="231F20"/>
          <w:spacing w:val="-5"/>
        </w:rPr>
        <w:t> </w:t>
      </w:r>
      <w:r>
        <w:rPr>
          <w:color w:val="231F20"/>
        </w:rPr>
        <w:t>equivalent</w:t>
      </w:r>
      <w:r>
        <w:rPr>
          <w:color w:val="231F20"/>
          <w:spacing w:val="-5"/>
        </w:rPr>
        <w:t> </w:t>
      </w:r>
      <w:r>
        <w:rPr>
          <w:color w:val="231F20"/>
        </w:rPr>
        <w:t>posts)</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approved</w:t>
      </w:r>
      <w:r>
        <w:rPr>
          <w:color w:val="231F20"/>
          <w:spacing w:val="-5"/>
        </w:rPr>
        <w:t> </w:t>
      </w:r>
      <w:r>
        <w:rPr>
          <w:color w:val="231F20"/>
        </w:rPr>
        <w:t>staffing </w:t>
      </w:r>
      <w:r>
        <w:rPr>
          <w:color w:val="231F20"/>
          <w:spacing w:val="-2"/>
        </w:rPr>
        <w:t>establishment.</w:t>
      </w:r>
    </w:p>
    <w:p>
      <w:pPr>
        <w:spacing w:after="0" w:line="225" w:lineRule="auto"/>
        <w:sectPr>
          <w:type w:val="continuous"/>
          <w:pgSz w:w="11910" w:h="16840"/>
          <w:pgMar w:header="377" w:footer="367" w:top="260" w:bottom="0" w:left="0" w:right="0"/>
          <w:cols w:num="2" w:equalWidth="0">
            <w:col w:w="5747" w:space="40"/>
            <w:col w:w="6123"/>
          </w:cols>
        </w:sectPr>
      </w:pPr>
    </w:p>
    <w:p>
      <w:pPr>
        <w:pStyle w:val="BodyText"/>
        <w:spacing w:before="8"/>
        <w:rPr>
          <w:sz w:val="11"/>
        </w:rPr>
      </w:pPr>
    </w:p>
    <w:p>
      <w:pPr>
        <w:pStyle w:val="Heading3"/>
        <w:ind w:left="2895"/>
      </w:pPr>
      <w:r>
        <w:rPr/>
        <w:drawing>
          <wp:anchor distT="0" distB="0" distL="0" distR="0" allowOverlap="1" layoutInCell="1" locked="0" behindDoc="0" simplePos="0" relativeHeight="15749632">
            <wp:simplePos x="0" y="0"/>
            <wp:positionH relativeFrom="page">
              <wp:posOffset>0</wp:posOffset>
            </wp:positionH>
            <wp:positionV relativeFrom="paragraph">
              <wp:posOffset>116995</wp:posOffset>
            </wp:positionV>
            <wp:extent cx="1584007" cy="5460733"/>
            <wp:effectExtent l="0" t="0" r="0" b="0"/>
            <wp:wrapNone/>
            <wp:docPr id="25" name="image39.jpeg"/>
            <wp:cNvGraphicFramePr>
              <a:graphicFrameLocks noChangeAspect="1"/>
            </wp:cNvGraphicFramePr>
            <a:graphic>
              <a:graphicData uri="http://schemas.openxmlformats.org/drawingml/2006/picture">
                <pic:pic>
                  <pic:nvPicPr>
                    <pic:cNvPr id="26" name="image39.jpeg"/>
                    <pic:cNvPicPr/>
                  </pic:nvPicPr>
                  <pic:blipFill>
                    <a:blip r:embed="rId61" cstate="print"/>
                    <a:stretch>
                      <a:fillRect/>
                    </a:stretch>
                  </pic:blipFill>
                  <pic:spPr>
                    <a:xfrm>
                      <a:off x="0" y="0"/>
                      <a:ext cx="1584007" cy="5460733"/>
                    </a:xfrm>
                    <a:prstGeom prst="rect">
                      <a:avLst/>
                    </a:prstGeom>
                  </pic:spPr>
                </pic:pic>
              </a:graphicData>
            </a:graphic>
          </wp:anchor>
        </w:drawing>
      </w:r>
      <w:r>
        <w:rPr>
          <w:color w:val="3B5673"/>
        </w:rPr>
        <w:t>KEY</w:t>
      </w:r>
      <w:r>
        <w:rPr>
          <w:color w:val="3B5673"/>
          <w:spacing w:val="52"/>
        </w:rPr>
        <w:t> </w:t>
      </w:r>
      <w:r>
        <w:rPr>
          <w:color w:val="3B5673"/>
        </w:rPr>
        <w:t>OPERATIONAL</w:t>
      </w:r>
      <w:r>
        <w:rPr>
          <w:color w:val="3B5673"/>
          <w:spacing w:val="52"/>
        </w:rPr>
        <w:t> </w:t>
      </w:r>
      <w:r>
        <w:rPr>
          <w:color w:val="3B5673"/>
        </w:rPr>
        <w:t>PARTNERING</w:t>
      </w:r>
      <w:r>
        <w:rPr>
          <w:color w:val="3B5673"/>
          <w:spacing w:val="52"/>
        </w:rPr>
        <w:t> </w:t>
      </w:r>
      <w:r>
        <w:rPr>
          <w:color w:val="3B5673"/>
          <w:spacing w:val="-2"/>
        </w:rPr>
        <w:t>ARRANGEMENTS</w:t>
      </w:r>
    </w:p>
    <w:p>
      <w:pPr>
        <w:pStyle w:val="BodyText"/>
        <w:spacing w:line="225" w:lineRule="auto" w:before="6"/>
        <w:ind w:left="2891" w:right="576"/>
      </w:pPr>
      <w:r>
        <w:rPr>
          <w:color w:val="231F20"/>
        </w:rPr>
        <w:t>In</w:t>
      </w:r>
      <w:r>
        <w:rPr>
          <w:color w:val="231F20"/>
          <w:spacing w:val="-4"/>
        </w:rPr>
        <w:t> </w:t>
      </w:r>
      <w:r>
        <w:rPr>
          <w:color w:val="231F20"/>
        </w:rPr>
        <w:t>2022/23</w:t>
      </w:r>
      <w:r>
        <w:rPr>
          <w:color w:val="231F20"/>
          <w:spacing w:val="-4"/>
        </w:rPr>
        <w:t> </w:t>
      </w:r>
      <w:r>
        <w:rPr>
          <w:color w:val="231F20"/>
        </w:rPr>
        <w:t>Ashfield</w:t>
      </w:r>
      <w:r>
        <w:rPr>
          <w:color w:val="231F20"/>
          <w:spacing w:val="-3"/>
        </w:rPr>
        <w:t> </w:t>
      </w:r>
      <w:r>
        <w:rPr>
          <w:color w:val="231F20"/>
        </w:rPr>
        <w:t>District</w:t>
      </w:r>
      <w:r>
        <w:rPr>
          <w:color w:val="231F20"/>
          <w:spacing w:val="-4"/>
        </w:rPr>
        <w:t> </w:t>
      </w:r>
      <w:r>
        <w:rPr>
          <w:color w:val="231F20"/>
        </w:rPr>
        <w:t>Council</w:t>
      </w:r>
      <w:r>
        <w:rPr>
          <w:color w:val="231F20"/>
          <w:spacing w:val="-4"/>
        </w:rPr>
        <w:t> </w:t>
      </w:r>
      <w:r>
        <w:rPr>
          <w:color w:val="231F20"/>
        </w:rPr>
        <w:t>has</w:t>
      </w:r>
      <w:r>
        <w:rPr>
          <w:color w:val="231F20"/>
          <w:spacing w:val="-3"/>
        </w:rPr>
        <w:t> </w:t>
      </w:r>
      <w:r>
        <w:rPr>
          <w:color w:val="231F20"/>
        </w:rPr>
        <w:t>key</w:t>
      </w:r>
      <w:r>
        <w:rPr>
          <w:color w:val="231F20"/>
          <w:spacing w:val="-4"/>
        </w:rPr>
        <w:t> </w:t>
      </w:r>
      <w:r>
        <w:rPr>
          <w:color w:val="231F20"/>
        </w:rPr>
        <w:t>working</w:t>
      </w:r>
      <w:r>
        <w:rPr>
          <w:color w:val="231F20"/>
          <w:spacing w:val="-3"/>
        </w:rPr>
        <w:t> </w:t>
      </w:r>
      <w:r>
        <w:rPr>
          <w:color w:val="231F20"/>
        </w:rPr>
        <w:t>relationships</w:t>
      </w:r>
      <w:r>
        <w:rPr>
          <w:color w:val="231F20"/>
          <w:spacing w:val="-3"/>
        </w:rPr>
        <w:t> </w:t>
      </w:r>
      <w:r>
        <w:rPr>
          <w:color w:val="231F20"/>
        </w:rPr>
        <w:t>with</w:t>
      </w:r>
      <w:r>
        <w:rPr>
          <w:color w:val="231F20"/>
          <w:spacing w:val="-3"/>
        </w:rPr>
        <w:t> </w:t>
      </w:r>
      <w:r>
        <w:rPr>
          <w:color w:val="231F20"/>
        </w:rPr>
        <w:t>the following organisations:</w:t>
      </w:r>
    </w:p>
    <w:p>
      <w:pPr>
        <w:pStyle w:val="ListParagraph"/>
        <w:numPr>
          <w:ilvl w:val="0"/>
          <w:numId w:val="9"/>
        </w:numPr>
        <w:tabs>
          <w:tab w:pos="3062" w:val="left" w:leader="none"/>
        </w:tabs>
        <w:spacing w:line="225" w:lineRule="auto" w:before="0" w:after="0"/>
        <w:ind w:left="3061" w:right="615" w:hanging="171"/>
        <w:jc w:val="left"/>
        <w:rPr>
          <w:sz w:val="24"/>
        </w:rPr>
      </w:pPr>
      <w:r>
        <w:rPr>
          <w:color w:val="231F20"/>
          <w:sz w:val="24"/>
        </w:rPr>
        <w:t>Discover</w:t>
      </w:r>
      <w:r>
        <w:rPr>
          <w:color w:val="231F20"/>
          <w:spacing w:val="-5"/>
          <w:sz w:val="24"/>
        </w:rPr>
        <w:t> </w:t>
      </w:r>
      <w:r>
        <w:rPr>
          <w:color w:val="231F20"/>
          <w:sz w:val="24"/>
        </w:rPr>
        <w:t>Ashfield</w:t>
      </w:r>
      <w:r>
        <w:rPr>
          <w:color w:val="231F20"/>
          <w:spacing w:val="-4"/>
          <w:sz w:val="24"/>
        </w:rPr>
        <w:t> </w:t>
      </w:r>
      <w:r>
        <w:rPr>
          <w:color w:val="231F20"/>
          <w:sz w:val="24"/>
        </w:rPr>
        <w:t>Board</w:t>
      </w:r>
      <w:r>
        <w:rPr>
          <w:color w:val="231F20"/>
          <w:spacing w:val="-5"/>
          <w:sz w:val="24"/>
        </w:rPr>
        <w:t> </w:t>
      </w:r>
      <w:r>
        <w:rPr>
          <w:color w:val="231F20"/>
          <w:sz w:val="24"/>
        </w:rPr>
        <w:t>–</w:t>
      </w:r>
      <w:r>
        <w:rPr>
          <w:color w:val="231F20"/>
          <w:spacing w:val="-4"/>
          <w:sz w:val="24"/>
        </w:rPr>
        <w:t> </w:t>
      </w:r>
      <w:r>
        <w:rPr>
          <w:color w:val="231F20"/>
          <w:sz w:val="24"/>
        </w:rPr>
        <w:t>to</w:t>
      </w:r>
      <w:r>
        <w:rPr>
          <w:color w:val="231F20"/>
          <w:spacing w:val="-4"/>
          <w:sz w:val="24"/>
        </w:rPr>
        <w:t> </w:t>
      </w:r>
      <w:r>
        <w:rPr>
          <w:color w:val="231F20"/>
          <w:sz w:val="24"/>
        </w:rPr>
        <w:t>oversee</w:t>
      </w:r>
      <w:r>
        <w:rPr>
          <w:color w:val="231F20"/>
          <w:spacing w:val="-4"/>
          <w:sz w:val="24"/>
        </w:rPr>
        <w:t> </w:t>
      </w:r>
      <w:r>
        <w:rPr>
          <w:color w:val="231F20"/>
          <w:sz w:val="24"/>
        </w:rPr>
        <w:t>the</w:t>
      </w:r>
      <w:r>
        <w:rPr>
          <w:color w:val="231F20"/>
          <w:spacing w:val="-4"/>
          <w:sz w:val="24"/>
        </w:rPr>
        <w:t> </w:t>
      </w:r>
      <w:r>
        <w:rPr>
          <w:color w:val="231F20"/>
          <w:sz w:val="24"/>
        </w:rPr>
        <w:t>development</w:t>
      </w:r>
      <w:r>
        <w:rPr>
          <w:color w:val="231F20"/>
          <w:spacing w:val="-4"/>
          <w:sz w:val="24"/>
        </w:rPr>
        <w:t> </w:t>
      </w:r>
      <w:r>
        <w:rPr>
          <w:color w:val="231F20"/>
          <w:sz w:val="24"/>
        </w:rPr>
        <w:t>and</w:t>
      </w:r>
      <w:r>
        <w:rPr>
          <w:color w:val="231F20"/>
          <w:spacing w:val="-4"/>
          <w:sz w:val="24"/>
        </w:rPr>
        <w:t> </w:t>
      </w:r>
      <w:r>
        <w:rPr>
          <w:color w:val="231F20"/>
          <w:sz w:val="24"/>
        </w:rPr>
        <w:t>implementation</w:t>
      </w:r>
      <w:r>
        <w:rPr>
          <w:color w:val="231F20"/>
          <w:spacing w:val="-5"/>
          <w:sz w:val="24"/>
        </w:rPr>
        <w:t> </w:t>
      </w:r>
      <w:r>
        <w:rPr>
          <w:color w:val="231F20"/>
          <w:sz w:val="24"/>
        </w:rPr>
        <w:t>of Towns Fund and Future High Streets Fund projects.</w:t>
      </w:r>
    </w:p>
    <w:p>
      <w:pPr>
        <w:pStyle w:val="ListParagraph"/>
        <w:numPr>
          <w:ilvl w:val="0"/>
          <w:numId w:val="9"/>
        </w:numPr>
        <w:tabs>
          <w:tab w:pos="3062" w:val="left" w:leader="none"/>
        </w:tabs>
        <w:spacing w:line="225" w:lineRule="auto" w:before="57" w:after="0"/>
        <w:ind w:left="3061" w:right="1395" w:hanging="171"/>
        <w:jc w:val="left"/>
        <w:rPr>
          <w:sz w:val="24"/>
        </w:rPr>
      </w:pPr>
      <w:r>
        <w:rPr>
          <w:color w:val="231F20"/>
          <w:sz w:val="24"/>
        </w:rPr>
        <w:t>Mansfield</w:t>
      </w:r>
      <w:r>
        <w:rPr>
          <w:color w:val="231F20"/>
          <w:spacing w:val="-4"/>
          <w:sz w:val="24"/>
        </w:rPr>
        <w:t> </w:t>
      </w:r>
      <w:r>
        <w:rPr>
          <w:color w:val="231F20"/>
          <w:sz w:val="24"/>
        </w:rPr>
        <w:t>District</w:t>
      </w:r>
      <w:r>
        <w:rPr>
          <w:color w:val="231F20"/>
          <w:spacing w:val="-5"/>
          <w:sz w:val="24"/>
        </w:rPr>
        <w:t> </w:t>
      </w:r>
      <w:r>
        <w:rPr>
          <w:color w:val="231F20"/>
          <w:sz w:val="24"/>
        </w:rPr>
        <w:t>Council</w:t>
      </w:r>
      <w:r>
        <w:rPr>
          <w:color w:val="231F20"/>
          <w:spacing w:val="-5"/>
          <w:sz w:val="24"/>
        </w:rPr>
        <w:t> </w:t>
      </w:r>
      <w:r>
        <w:rPr>
          <w:color w:val="231F20"/>
          <w:sz w:val="24"/>
        </w:rPr>
        <w:t>and</w:t>
      </w:r>
      <w:r>
        <w:rPr>
          <w:color w:val="231F20"/>
          <w:spacing w:val="-4"/>
          <w:sz w:val="24"/>
        </w:rPr>
        <w:t> </w:t>
      </w:r>
      <w:r>
        <w:rPr>
          <w:color w:val="231F20"/>
          <w:sz w:val="24"/>
        </w:rPr>
        <w:t>Newark</w:t>
      </w:r>
      <w:r>
        <w:rPr>
          <w:color w:val="231F20"/>
          <w:spacing w:val="-4"/>
          <w:sz w:val="24"/>
        </w:rPr>
        <w:t> </w:t>
      </w:r>
      <w:r>
        <w:rPr>
          <w:color w:val="231F20"/>
          <w:sz w:val="24"/>
        </w:rPr>
        <w:t>&amp;</w:t>
      </w:r>
      <w:r>
        <w:rPr>
          <w:color w:val="231F20"/>
          <w:spacing w:val="-5"/>
          <w:sz w:val="24"/>
        </w:rPr>
        <w:t> </w:t>
      </w:r>
      <w:r>
        <w:rPr>
          <w:color w:val="231F20"/>
          <w:sz w:val="24"/>
        </w:rPr>
        <w:t>Sherwood</w:t>
      </w:r>
      <w:r>
        <w:rPr>
          <w:color w:val="231F20"/>
          <w:spacing w:val="-5"/>
          <w:sz w:val="24"/>
        </w:rPr>
        <w:t> </w:t>
      </w:r>
      <w:r>
        <w:rPr>
          <w:color w:val="231F20"/>
          <w:sz w:val="24"/>
        </w:rPr>
        <w:t>District</w:t>
      </w:r>
      <w:r>
        <w:rPr>
          <w:color w:val="231F20"/>
          <w:spacing w:val="-5"/>
          <w:sz w:val="24"/>
        </w:rPr>
        <w:t> </w:t>
      </w:r>
      <w:r>
        <w:rPr>
          <w:color w:val="231F20"/>
          <w:sz w:val="24"/>
        </w:rPr>
        <w:t>Council</w:t>
      </w:r>
      <w:r>
        <w:rPr>
          <w:color w:val="231F20"/>
          <w:spacing w:val="-5"/>
          <w:sz w:val="24"/>
        </w:rPr>
        <w:t> </w:t>
      </w:r>
      <w:r>
        <w:rPr>
          <w:color w:val="231F20"/>
          <w:sz w:val="24"/>
        </w:rPr>
        <w:t>for owning and operating the Mansfield Crematorium.</w:t>
      </w:r>
    </w:p>
    <w:p>
      <w:pPr>
        <w:pStyle w:val="ListParagraph"/>
        <w:numPr>
          <w:ilvl w:val="0"/>
          <w:numId w:val="9"/>
        </w:numPr>
        <w:tabs>
          <w:tab w:pos="3062" w:val="left" w:leader="none"/>
        </w:tabs>
        <w:spacing w:line="310" w:lineRule="exact" w:before="41" w:after="0"/>
        <w:ind w:left="3061" w:right="0" w:hanging="171"/>
        <w:jc w:val="left"/>
        <w:rPr>
          <w:sz w:val="24"/>
        </w:rPr>
      </w:pPr>
      <w:r>
        <w:rPr>
          <w:color w:val="231F20"/>
          <w:sz w:val="24"/>
        </w:rPr>
        <w:t>Mansfield</w:t>
      </w:r>
      <w:r>
        <w:rPr>
          <w:color w:val="231F20"/>
          <w:spacing w:val="-5"/>
          <w:sz w:val="24"/>
        </w:rPr>
        <w:t> </w:t>
      </w:r>
      <w:r>
        <w:rPr>
          <w:color w:val="231F20"/>
          <w:sz w:val="24"/>
        </w:rPr>
        <w:t>District</w:t>
      </w:r>
      <w:r>
        <w:rPr>
          <w:color w:val="231F20"/>
          <w:spacing w:val="-5"/>
          <w:sz w:val="24"/>
        </w:rPr>
        <w:t> </w:t>
      </w:r>
      <w:r>
        <w:rPr>
          <w:color w:val="231F20"/>
          <w:sz w:val="24"/>
        </w:rPr>
        <w:t>Council</w:t>
      </w:r>
      <w:r>
        <w:rPr>
          <w:color w:val="231F20"/>
          <w:spacing w:val="-6"/>
          <w:sz w:val="24"/>
        </w:rPr>
        <w:t> </w:t>
      </w:r>
      <w:r>
        <w:rPr>
          <w:color w:val="231F20"/>
          <w:sz w:val="24"/>
        </w:rPr>
        <w:t>for</w:t>
      </w:r>
      <w:r>
        <w:rPr>
          <w:color w:val="231F20"/>
          <w:spacing w:val="-4"/>
          <w:sz w:val="24"/>
        </w:rPr>
        <w:t> </w:t>
      </w:r>
      <w:r>
        <w:rPr>
          <w:color w:val="231F20"/>
          <w:sz w:val="24"/>
        </w:rPr>
        <w:t>delivering</w:t>
      </w:r>
      <w:r>
        <w:rPr>
          <w:color w:val="231F20"/>
          <w:spacing w:val="-5"/>
          <w:sz w:val="24"/>
        </w:rPr>
        <w:t> </w:t>
      </w:r>
      <w:r>
        <w:rPr>
          <w:color w:val="231F20"/>
          <w:sz w:val="24"/>
        </w:rPr>
        <w:t>shared</w:t>
      </w:r>
      <w:r>
        <w:rPr>
          <w:color w:val="231F20"/>
          <w:spacing w:val="-5"/>
          <w:sz w:val="24"/>
        </w:rPr>
        <w:t> </w:t>
      </w:r>
      <w:r>
        <w:rPr>
          <w:color w:val="231F20"/>
          <w:sz w:val="24"/>
        </w:rPr>
        <w:t>services</w:t>
      </w:r>
      <w:r>
        <w:rPr>
          <w:color w:val="231F20"/>
          <w:spacing w:val="-5"/>
          <w:sz w:val="24"/>
        </w:rPr>
        <w:t> </w:t>
      </w:r>
      <w:r>
        <w:rPr>
          <w:color w:val="231F20"/>
          <w:sz w:val="24"/>
        </w:rPr>
        <w:t>across</w:t>
      </w:r>
      <w:r>
        <w:rPr>
          <w:color w:val="231F20"/>
          <w:spacing w:val="-5"/>
          <w:sz w:val="24"/>
        </w:rPr>
        <w:t> </w:t>
      </w:r>
      <w:r>
        <w:rPr>
          <w:color w:val="231F20"/>
          <w:spacing w:val="-4"/>
          <w:sz w:val="24"/>
        </w:rPr>
        <w:t>both</w:t>
      </w:r>
    </w:p>
    <w:p>
      <w:pPr>
        <w:pStyle w:val="BodyText"/>
        <w:spacing w:line="310" w:lineRule="exact"/>
        <w:ind w:left="3061"/>
      </w:pPr>
      <w:r>
        <w:rPr>
          <w:color w:val="231F20"/>
        </w:rPr>
        <w:t>authorities</w:t>
      </w:r>
      <w:r>
        <w:rPr>
          <w:color w:val="231F20"/>
          <w:spacing w:val="-4"/>
        </w:rPr>
        <w:t> </w:t>
      </w:r>
      <w:r>
        <w:rPr>
          <w:color w:val="231F20"/>
        </w:rPr>
        <w:t>for</w:t>
      </w:r>
      <w:r>
        <w:rPr>
          <w:color w:val="231F20"/>
          <w:spacing w:val="-2"/>
        </w:rPr>
        <w:t> </w:t>
      </w:r>
      <w:r>
        <w:rPr>
          <w:color w:val="231F20"/>
        </w:rPr>
        <w:t>Human</w:t>
      </w:r>
      <w:r>
        <w:rPr>
          <w:color w:val="231F20"/>
          <w:spacing w:val="-1"/>
        </w:rPr>
        <w:t> </w:t>
      </w:r>
      <w:r>
        <w:rPr>
          <w:color w:val="231F20"/>
        </w:rPr>
        <w:t>Resources</w:t>
      </w:r>
      <w:r>
        <w:rPr>
          <w:color w:val="231F20"/>
          <w:spacing w:val="-2"/>
        </w:rPr>
        <w:t> </w:t>
      </w:r>
      <w:r>
        <w:rPr>
          <w:color w:val="231F20"/>
        </w:rPr>
        <w:t>&amp;</w:t>
      </w:r>
      <w:r>
        <w:rPr>
          <w:color w:val="231F20"/>
          <w:spacing w:val="-2"/>
        </w:rPr>
        <w:t> Payroll.</w:t>
      </w:r>
    </w:p>
    <w:p>
      <w:pPr>
        <w:pStyle w:val="ListParagraph"/>
        <w:numPr>
          <w:ilvl w:val="0"/>
          <w:numId w:val="9"/>
        </w:numPr>
        <w:tabs>
          <w:tab w:pos="3062" w:val="left" w:leader="none"/>
        </w:tabs>
        <w:spacing w:line="310" w:lineRule="exact" w:before="37" w:after="0"/>
        <w:ind w:left="3061" w:right="0" w:hanging="171"/>
        <w:jc w:val="left"/>
        <w:rPr>
          <w:sz w:val="24"/>
        </w:rPr>
      </w:pPr>
      <w:r>
        <w:rPr>
          <w:color w:val="231F20"/>
          <w:sz w:val="24"/>
        </w:rPr>
        <w:t>Ashfield</w:t>
      </w:r>
      <w:r>
        <w:rPr>
          <w:color w:val="231F20"/>
          <w:spacing w:val="-5"/>
          <w:sz w:val="24"/>
        </w:rPr>
        <w:t> </w:t>
      </w:r>
      <w:r>
        <w:rPr>
          <w:color w:val="231F20"/>
          <w:sz w:val="24"/>
        </w:rPr>
        <w:t>District</w:t>
      </w:r>
      <w:r>
        <w:rPr>
          <w:color w:val="231F20"/>
          <w:spacing w:val="-5"/>
          <w:sz w:val="24"/>
        </w:rPr>
        <w:t> </w:t>
      </w:r>
      <w:r>
        <w:rPr>
          <w:color w:val="231F20"/>
          <w:sz w:val="24"/>
        </w:rPr>
        <w:t>Council</w:t>
      </w:r>
      <w:r>
        <w:rPr>
          <w:color w:val="231F20"/>
          <w:spacing w:val="-5"/>
          <w:sz w:val="24"/>
        </w:rPr>
        <w:t> </w:t>
      </w:r>
      <w:r>
        <w:rPr>
          <w:color w:val="231F20"/>
          <w:sz w:val="24"/>
        </w:rPr>
        <w:t>is</w:t>
      </w:r>
      <w:r>
        <w:rPr>
          <w:color w:val="231F20"/>
          <w:spacing w:val="-5"/>
          <w:sz w:val="24"/>
        </w:rPr>
        <w:t> </w:t>
      </w:r>
      <w:r>
        <w:rPr>
          <w:color w:val="231F20"/>
          <w:sz w:val="24"/>
        </w:rPr>
        <w:t>the</w:t>
      </w:r>
      <w:r>
        <w:rPr>
          <w:color w:val="231F20"/>
          <w:spacing w:val="-4"/>
          <w:sz w:val="24"/>
        </w:rPr>
        <w:t> </w:t>
      </w:r>
      <w:r>
        <w:rPr>
          <w:color w:val="231F20"/>
          <w:sz w:val="24"/>
        </w:rPr>
        <w:t>Lead</w:t>
      </w:r>
      <w:r>
        <w:rPr>
          <w:color w:val="231F20"/>
          <w:spacing w:val="-4"/>
          <w:sz w:val="24"/>
        </w:rPr>
        <w:t> </w:t>
      </w:r>
      <w:r>
        <w:rPr>
          <w:color w:val="231F20"/>
          <w:sz w:val="24"/>
        </w:rPr>
        <w:t>Partner</w:t>
      </w:r>
      <w:r>
        <w:rPr>
          <w:color w:val="231F20"/>
          <w:spacing w:val="-4"/>
          <w:sz w:val="24"/>
        </w:rPr>
        <w:t> </w:t>
      </w:r>
      <w:r>
        <w:rPr>
          <w:color w:val="231F20"/>
          <w:sz w:val="24"/>
        </w:rPr>
        <w:t>for</w:t>
      </w:r>
      <w:r>
        <w:rPr>
          <w:color w:val="231F20"/>
          <w:spacing w:val="-5"/>
          <w:sz w:val="24"/>
        </w:rPr>
        <w:t> </w:t>
      </w:r>
      <w:r>
        <w:rPr>
          <w:color w:val="231F20"/>
          <w:sz w:val="24"/>
        </w:rPr>
        <w:t>the</w:t>
      </w:r>
      <w:r>
        <w:rPr>
          <w:color w:val="231F20"/>
          <w:spacing w:val="-4"/>
          <w:sz w:val="24"/>
        </w:rPr>
        <w:t> </w:t>
      </w:r>
      <w:r>
        <w:rPr>
          <w:color w:val="231F20"/>
          <w:sz w:val="24"/>
        </w:rPr>
        <w:t>Rough</w:t>
      </w:r>
      <w:r>
        <w:rPr>
          <w:color w:val="231F20"/>
          <w:spacing w:val="-4"/>
          <w:sz w:val="24"/>
        </w:rPr>
        <w:t> </w:t>
      </w:r>
      <w:r>
        <w:rPr>
          <w:color w:val="231F20"/>
          <w:sz w:val="24"/>
        </w:rPr>
        <w:t>Sleeper</w:t>
      </w:r>
      <w:r>
        <w:rPr>
          <w:color w:val="231F20"/>
          <w:spacing w:val="-5"/>
          <w:sz w:val="24"/>
        </w:rPr>
        <w:t> </w:t>
      </w:r>
      <w:r>
        <w:rPr>
          <w:color w:val="231F20"/>
          <w:spacing w:val="-2"/>
          <w:sz w:val="24"/>
        </w:rPr>
        <w:t>Initiative</w:t>
      </w:r>
    </w:p>
    <w:p>
      <w:pPr>
        <w:pStyle w:val="BodyText"/>
        <w:spacing w:line="310" w:lineRule="exact"/>
        <w:ind w:left="3061"/>
      </w:pPr>
      <w:r>
        <w:rPr>
          <w:color w:val="231F20"/>
          <w:spacing w:val="-2"/>
        </w:rPr>
        <w:t>funding/service.</w:t>
      </w:r>
    </w:p>
    <w:p>
      <w:pPr>
        <w:pStyle w:val="ListParagraph"/>
        <w:numPr>
          <w:ilvl w:val="0"/>
          <w:numId w:val="9"/>
        </w:numPr>
        <w:tabs>
          <w:tab w:pos="3062" w:val="left" w:leader="none"/>
        </w:tabs>
        <w:spacing w:line="240" w:lineRule="auto" w:before="38" w:after="0"/>
        <w:ind w:left="3061" w:right="0" w:hanging="171"/>
        <w:jc w:val="left"/>
        <w:rPr>
          <w:sz w:val="24"/>
        </w:rPr>
      </w:pPr>
      <w:r>
        <w:rPr>
          <w:color w:val="231F20"/>
          <w:sz w:val="24"/>
        </w:rPr>
        <w:t>Mansfield</w:t>
      </w:r>
      <w:r>
        <w:rPr>
          <w:color w:val="231F20"/>
          <w:spacing w:val="-4"/>
          <w:sz w:val="24"/>
        </w:rPr>
        <w:t> </w:t>
      </w:r>
      <w:r>
        <w:rPr>
          <w:color w:val="231F20"/>
          <w:sz w:val="24"/>
        </w:rPr>
        <w:t>District</w:t>
      </w:r>
      <w:r>
        <w:rPr>
          <w:color w:val="231F20"/>
          <w:spacing w:val="-5"/>
          <w:sz w:val="24"/>
        </w:rPr>
        <w:t> </w:t>
      </w:r>
      <w:r>
        <w:rPr>
          <w:color w:val="231F20"/>
          <w:sz w:val="24"/>
        </w:rPr>
        <w:t>Council</w:t>
      </w:r>
      <w:r>
        <w:rPr>
          <w:color w:val="231F20"/>
          <w:spacing w:val="-5"/>
          <w:sz w:val="24"/>
        </w:rPr>
        <w:t> </w:t>
      </w:r>
      <w:r>
        <w:rPr>
          <w:color w:val="231F20"/>
          <w:sz w:val="24"/>
        </w:rPr>
        <w:t>–</w:t>
      </w:r>
      <w:r>
        <w:rPr>
          <w:color w:val="231F20"/>
          <w:spacing w:val="-4"/>
          <w:sz w:val="24"/>
        </w:rPr>
        <w:t> </w:t>
      </w:r>
      <w:r>
        <w:rPr>
          <w:color w:val="231F20"/>
          <w:sz w:val="24"/>
        </w:rPr>
        <w:t>Homefinder</w:t>
      </w:r>
      <w:r>
        <w:rPr>
          <w:color w:val="231F20"/>
          <w:spacing w:val="-4"/>
          <w:sz w:val="24"/>
        </w:rPr>
        <w:t> </w:t>
      </w:r>
      <w:r>
        <w:rPr>
          <w:color w:val="231F20"/>
          <w:sz w:val="24"/>
        </w:rPr>
        <w:t>Lettings</w:t>
      </w:r>
      <w:r>
        <w:rPr>
          <w:color w:val="231F20"/>
          <w:spacing w:val="-4"/>
          <w:sz w:val="24"/>
        </w:rPr>
        <w:t> </w:t>
      </w:r>
      <w:r>
        <w:rPr>
          <w:color w:val="231F20"/>
          <w:spacing w:val="-2"/>
          <w:sz w:val="24"/>
        </w:rPr>
        <w:t>Scheme</w:t>
      </w:r>
    </w:p>
    <w:p>
      <w:pPr>
        <w:pStyle w:val="ListParagraph"/>
        <w:numPr>
          <w:ilvl w:val="0"/>
          <w:numId w:val="9"/>
        </w:numPr>
        <w:tabs>
          <w:tab w:pos="3062" w:val="left" w:leader="none"/>
        </w:tabs>
        <w:spacing w:line="310" w:lineRule="exact" w:before="37" w:after="0"/>
        <w:ind w:left="3061" w:right="0" w:hanging="171"/>
        <w:jc w:val="left"/>
        <w:rPr>
          <w:sz w:val="24"/>
        </w:rPr>
      </w:pPr>
      <w:r>
        <w:rPr>
          <w:color w:val="231F20"/>
          <w:sz w:val="24"/>
        </w:rPr>
        <w:t>Mansfield</w:t>
      </w:r>
      <w:r>
        <w:rPr>
          <w:color w:val="231F20"/>
          <w:spacing w:val="-5"/>
          <w:sz w:val="24"/>
        </w:rPr>
        <w:t> </w:t>
      </w:r>
      <w:r>
        <w:rPr>
          <w:color w:val="231F20"/>
          <w:sz w:val="24"/>
        </w:rPr>
        <w:t>District</w:t>
      </w:r>
      <w:r>
        <w:rPr>
          <w:color w:val="231F20"/>
          <w:spacing w:val="-6"/>
          <w:sz w:val="24"/>
        </w:rPr>
        <w:t> </w:t>
      </w:r>
      <w:r>
        <w:rPr>
          <w:color w:val="231F20"/>
          <w:sz w:val="24"/>
        </w:rPr>
        <w:t>Council</w:t>
      </w:r>
      <w:r>
        <w:rPr>
          <w:color w:val="231F20"/>
          <w:spacing w:val="-6"/>
          <w:sz w:val="24"/>
        </w:rPr>
        <w:t> </w:t>
      </w:r>
      <w:r>
        <w:rPr>
          <w:color w:val="231F20"/>
          <w:sz w:val="24"/>
        </w:rPr>
        <w:t>and</w:t>
      </w:r>
      <w:r>
        <w:rPr>
          <w:color w:val="231F20"/>
          <w:spacing w:val="-5"/>
          <w:sz w:val="24"/>
        </w:rPr>
        <w:t> </w:t>
      </w:r>
      <w:r>
        <w:rPr>
          <w:color w:val="231F20"/>
          <w:sz w:val="24"/>
        </w:rPr>
        <w:t>Newark</w:t>
      </w:r>
      <w:r>
        <w:rPr>
          <w:color w:val="231F20"/>
          <w:spacing w:val="-5"/>
          <w:sz w:val="24"/>
        </w:rPr>
        <w:t> </w:t>
      </w:r>
      <w:r>
        <w:rPr>
          <w:color w:val="231F20"/>
          <w:sz w:val="24"/>
        </w:rPr>
        <w:t>&amp;</w:t>
      </w:r>
      <w:r>
        <w:rPr>
          <w:color w:val="231F20"/>
          <w:spacing w:val="-6"/>
          <w:sz w:val="24"/>
        </w:rPr>
        <w:t> </w:t>
      </w:r>
      <w:r>
        <w:rPr>
          <w:color w:val="231F20"/>
          <w:sz w:val="24"/>
        </w:rPr>
        <w:t>Sherwood</w:t>
      </w:r>
      <w:r>
        <w:rPr>
          <w:color w:val="231F20"/>
          <w:spacing w:val="-5"/>
          <w:sz w:val="24"/>
        </w:rPr>
        <w:t> </w:t>
      </w:r>
      <w:r>
        <w:rPr>
          <w:color w:val="231F20"/>
          <w:sz w:val="24"/>
        </w:rPr>
        <w:t>District</w:t>
      </w:r>
      <w:r>
        <w:rPr>
          <w:color w:val="231F20"/>
          <w:spacing w:val="-6"/>
          <w:sz w:val="24"/>
        </w:rPr>
        <w:t> </w:t>
      </w:r>
      <w:r>
        <w:rPr>
          <w:color w:val="231F20"/>
          <w:sz w:val="24"/>
        </w:rPr>
        <w:t>Council</w:t>
      </w:r>
      <w:r>
        <w:rPr>
          <w:color w:val="231F20"/>
          <w:spacing w:val="-6"/>
          <w:sz w:val="24"/>
        </w:rPr>
        <w:t> </w:t>
      </w:r>
      <w:r>
        <w:rPr>
          <w:color w:val="231F20"/>
          <w:sz w:val="24"/>
        </w:rPr>
        <w:t>–</w:t>
      </w:r>
      <w:r>
        <w:rPr>
          <w:color w:val="231F20"/>
          <w:spacing w:val="-5"/>
          <w:sz w:val="24"/>
        </w:rPr>
        <w:t> </w:t>
      </w:r>
      <w:r>
        <w:rPr>
          <w:color w:val="231F20"/>
          <w:spacing w:val="-2"/>
          <w:sz w:val="24"/>
        </w:rPr>
        <w:t>Private</w:t>
      </w:r>
    </w:p>
    <w:p>
      <w:pPr>
        <w:pStyle w:val="BodyText"/>
        <w:spacing w:line="310" w:lineRule="exact"/>
        <w:ind w:left="3061"/>
      </w:pPr>
      <w:r>
        <w:rPr>
          <w:color w:val="231F20"/>
        </w:rPr>
        <w:t>Sector</w:t>
      </w:r>
      <w:r>
        <w:rPr>
          <w:color w:val="231F20"/>
          <w:spacing w:val="-4"/>
        </w:rPr>
        <w:t> </w:t>
      </w:r>
      <w:r>
        <w:rPr>
          <w:color w:val="231F20"/>
        </w:rPr>
        <w:t>Landlord</w:t>
      </w:r>
      <w:r>
        <w:rPr>
          <w:color w:val="231F20"/>
          <w:spacing w:val="-2"/>
        </w:rPr>
        <w:t> Forum</w:t>
      </w:r>
    </w:p>
    <w:p>
      <w:pPr>
        <w:pStyle w:val="ListParagraph"/>
        <w:numPr>
          <w:ilvl w:val="0"/>
          <w:numId w:val="9"/>
        </w:numPr>
        <w:tabs>
          <w:tab w:pos="3062" w:val="left" w:leader="none"/>
        </w:tabs>
        <w:spacing w:line="225" w:lineRule="auto" w:before="53" w:after="0"/>
        <w:ind w:left="3061" w:right="1156" w:hanging="171"/>
        <w:jc w:val="left"/>
        <w:rPr>
          <w:sz w:val="24"/>
        </w:rPr>
      </w:pPr>
      <w:r>
        <w:rPr>
          <w:color w:val="231F20"/>
          <w:sz w:val="24"/>
        </w:rPr>
        <w:t>Broxtowe</w:t>
      </w:r>
      <w:r>
        <w:rPr>
          <w:color w:val="231F20"/>
          <w:spacing w:val="-5"/>
          <w:sz w:val="24"/>
        </w:rPr>
        <w:t> </w:t>
      </w:r>
      <w:r>
        <w:rPr>
          <w:color w:val="231F20"/>
          <w:sz w:val="24"/>
        </w:rPr>
        <w:t>Borough</w:t>
      </w:r>
      <w:r>
        <w:rPr>
          <w:color w:val="231F20"/>
          <w:spacing w:val="-5"/>
          <w:sz w:val="24"/>
        </w:rPr>
        <w:t> </w:t>
      </w:r>
      <w:r>
        <w:rPr>
          <w:color w:val="231F20"/>
          <w:sz w:val="24"/>
        </w:rPr>
        <w:t>Council</w:t>
      </w:r>
      <w:r>
        <w:rPr>
          <w:color w:val="231F20"/>
          <w:spacing w:val="-5"/>
          <w:sz w:val="24"/>
        </w:rPr>
        <w:t> </w:t>
      </w:r>
      <w:r>
        <w:rPr>
          <w:color w:val="231F20"/>
          <w:sz w:val="24"/>
        </w:rPr>
        <w:t>-</w:t>
      </w:r>
      <w:r>
        <w:rPr>
          <w:color w:val="231F20"/>
          <w:spacing w:val="-4"/>
          <w:sz w:val="24"/>
        </w:rPr>
        <w:t> </w:t>
      </w:r>
      <w:r>
        <w:rPr>
          <w:color w:val="231F20"/>
          <w:sz w:val="24"/>
        </w:rPr>
        <w:t>Ashfield</w:t>
      </w:r>
      <w:r>
        <w:rPr>
          <w:color w:val="231F20"/>
          <w:spacing w:val="-4"/>
          <w:sz w:val="24"/>
        </w:rPr>
        <w:t> </w:t>
      </w:r>
      <w:r>
        <w:rPr>
          <w:color w:val="231F20"/>
          <w:sz w:val="24"/>
        </w:rPr>
        <w:t>provides</w:t>
      </w:r>
      <w:r>
        <w:rPr>
          <w:color w:val="231F20"/>
          <w:spacing w:val="-4"/>
          <w:sz w:val="24"/>
        </w:rPr>
        <w:t> </w:t>
      </w:r>
      <w:r>
        <w:rPr>
          <w:color w:val="231F20"/>
          <w:sz w:val="24"/>
        </w:rPr>
        <w:t>Business</w:t>
      </w:r>
      <w:r>
        <w:rPr>
          <w:color w:val="231F20"/>
          <w:spacing w:val="-5"/>
          <w:sz w:val="24"/>
        </w:rPr>
        <w:t> </w:t>
      </w:r>
      <w:r>
        <w:rPr>
          <w:color w:val="231F20"/>
          <w:sz w:val="24"/>
        </w:rPr>
        <w:t>Rates</w:t>
      </w:r>
      <w:r>
        <w:rPr>
          <w:color w:val="231F20"/>
          <w:spacing w:val="-5"/>
          <w:sz w:val="24"/>
        </w:rPr>
        <w:t> </w:t>
      </w:r>
      <w:r>
        <w:rPr>
          <w:color w:val="231F20"/>
          <w:sz w:val="24"/>
        </w:rPr>
        <w:t>processing support to Broxtowe.</w:t>
      </w:r>
    </w:p>
    <w:p>
      <w:pPr>
        <w:pStyle w:val="ListParagraph"/>
        <w:numPr>
          <w:ilvl w:val="0"/>
          <w:numId w:val="9"/>
        </w:numPr>
        <w:tabs>
          <w:tab w:pos="3062" w:val="left" w:leader="none"/>
        </w:tabs>
        <w:spacing w:line="310" w:lineRule="exact" w:before="41" w:after="0"/>
        <w:ind w:left="3061" w:right="0" w:hanging="171"/>
        <w:jc w:val="left"/>
        <w:rPr>
          <w:sz w:val="24"/>
        </w:rPr>
      </w:pPr>
      <w:r>
        <w:rPr>
          <w:color w:val="231F20"/>
          <w:sz w:val="24"/>
        </w:rPr>
        <w:t>J.</w:t>
      </w:r>
      <w:r>
        <w:rPr>
          <w:color w:val="231F20"/>
          <w:spacing w:val="-6"/>
          <w:sz w:val="24"/>
        </w:rPr>
        <w:t> </w:t>
      </w:r>
      <w:r>
        <w:rPr>
          <w:color w:val="231F20"/>
          <w:sz w:val="24"/>
        </w:rPr>
        <w:t>Tomlinson</w:t>
      </w:r>
      <w:r>
        <w:rPr>
          <w:color w:val="231F20"/>
          <w:spacing w:val="-4"/>
          <w:sz w:val="24"/>
        </w:rPr>
        <w:t> </w:t>
      </w:r>
      <w:r>
        <w:rPr>
          <w:color w:val="231F20"/>
          <w:sz w:val="24"/>
        </w:rPr>
        <w:t>Ltd,</w:t>
      </w:r>
      <w:r>
        <w:rPr>
          <w:color w:val="231F20"/>
          <w:spacing w:val="-4"/>
          <w:sz w:val="24"/>
        </w:rPr>
        <w:t> </w:t>
      </w:r>
      <w:r>
        <w:rPr>
          <w:color w:val="231F20"/>
          <w:sz w:val="24"/>
        </w:rPr>
        <w:t>our</w:t>
      </w:r>
      <w:r>
        <w:rPr>
          <w:color w:val="231F20"/>
          <w:spacing w:val="-4"/>
          <w:sz w:val="24"/>
        </w:rPr>
        <w:t> </w:t>
      </w:r>
      <w:r>
        <w:rPr>
          <w:color w:val="231F20"/>
          <w:sz w:val="24"/>
        </w:rPr>
        <w:t>delivery</w:t>
      </w:r>
      <w:r>
        <w:rPr>
          <w:color w:val="231F20"/>
          <w:spacing w:val="-4"/>
          <w:sz w:val="24"/>
        </w:rPr>
        <w:t> </w:t>
      </w:r>
      <w:r>
        <w:rPr>
          <w:color w:val="231F20"/>
          <w:sz w:val="24"/>
        </w:rPr>
        <w:t>partner</w:t>
      </w:r>
      <w:r>
        <w:rPr>
          <w:color w:val="231F20"/>
          <w:spacing w:val="-3"/>
          <w:sz w:val="24"/>
        </w:rPr>
        <w:t> </w:t>
      </w:r>
      <w:r>
        <w:rPr>
          <w:color w:val="231F20"/>
          <w:sz w:val="24"/>
        </w:rPr>
        <w:t>for</w:t>
      </w:r>
      <w:r>
        <w:rPr>
          <w:color w:val="231F20"/>
          <w:spacing w:val="-4"/>
          <w:sz w:val="24"/>
        </w:rPr>
        <w:t> </w:t>
      </w:r>
      <w:r>
        <w:rPr>
          <w:color w:val="231F20"/>
          <w:sz w:val="24"/>
        </w:rPr>
        <w:t>completing</w:t>
      </w:r>
      <w:r>
        <w:rPr>
          <w:color w:val="231F20"/>
          <w:spacing w:val="-4"/>
          <w:sz w:val="24"/>
        </w:rPr>
        <w:t> </w:t>
      </w:r>
      <w:r>
        <w:rPr>
          <w:color w:val="231F20"/>
          <w:sz w:val="24"/>
        </w:rPr>
        <w:t>capital</w:t>
      </w:r>
      <w:r>
        <w:rPr>
          <w:color w:val="231F20"/>
          <w:spacing w:val="-4"/>
          <w:sz w:val="24"/>
        </w:rPr>
        <w:t> </w:t>
      </w:r>
      <w:r>
        <w:rPr>
          <w:color w:val="231F20"/>
          <w:sz w:val="24"/>
        </w:rPr>
        <w:t>improvements</w:t>
      </w:r>
      <w:r>
        <w:rPr>
          <w:color w:val="231F20"/>
          <w:spacing w:val="-4"/>
          <w:sz w:val="24"/>
        </w:rPr>
        <w:t> </w:t>
      </w:r>
      <w:r>
        <w:rPr>
          <w:color w:val="231F20"/>
          <w:spacing w:val="-5"/>
          <w:sz w:val="24"/>
        </w:rPr>
        <w:t>to</w:t>
      </w:r>
    </w:p>
    <w:p>
      <w:pPr>
        <w:pStyle w:val="BodyText"/>
        <w:spacing w:line="310" w:lineRule="exact"/>
        <w:ind w:left="3061"/>
      </w:pPr>
      <w:r>
        <w:rPr>
          <w:color w:val="231F20"/>
        </w:rPr>
        <w:t>the</w:t>
      </w:r>
      <w:r>
        <w:rPr>
          <w:color w:val="231F20"/>
          <w:spacing w:val="-3"/>
        </w:rPr>
        <w:t> </w:t>
      </w:r>
      <w:r>
        <w:rPr>
          <w:color w:val="231F20"/>
        </w:rPr>
        <w:t>Council’s</w:t>
      </w:r>
      <w:r>
        <w:rPr>
          <w:color w:val="231F20"/>
          <w:spacing w:val="-4"/>
        </w:rPr>
        <w:t> </w:t>
      </w:r>
      <w:r>
        <w:rPr>
          <w:color w:val="231F20"/>
        </w:rPr>
        <w:t>housing</w:t>
      </w:r>
      <w:r>
        <w:rPr>
          <w:color w:val="231F20"/>
          <w:spacing w:val="-2"/>
        </w:rPr>
        <w:t> stock.</w:t>
      </w:r>
    </w:p>
    <w:p>
      <w:pPr>
        <w:pStyle w:val="ListParagraph"/>
        <w:numPr>
          <w:ilvl w:val="0"/>
          <w:numId w:val="9"/>
        </w:numPr>
        <w:tabs>
          <w:tab w:pos="3062" w:val="left" w:leader="none"/>
        </w:tabs>
        <w:spacing w:line="240" w:lineRule="auto" w:before="38" w:after="0"/>
        <w:ind w:left="3061" w:right="0" w:hanging="171"/>
        <w:jc w:val="left"/>
        <w:rPr>
          <w:sz w:val="24"/>
        </w:rPr>
      </w:pPr>
      <w:r>
        <w:rPr>
          <w:color w:val="231F20"/>
          <w:sz w:val="24"/>
        </w:rPr>
        <w:t>Nottingham</w:t>
      </w:r>
      <w:r>
        <w:rPr>
          <w:color w:val="231F20"/>
          <w:spacing w:val="-2"/>
          <w:sz w:val="24"/>
        </w:rPr>
        <w:t> </w:t>
      </w:r>
      <w:r>
        <w:rPr>
          <w:color w:val="231F20"/>
          <w:sz w:val="24"/>
        </w:rPr>
        <w:t>City</w:t>
      </w:r>
      <w:r>
        <w:rPr>
          <w:color w:val="231F20"/>
          <w:spacing w:val="-3"/>
          <w:sz w:val="24"/>
        </w:rPr>
        <w:t> </w:t>
      </w:r>
      <w:r>
        <w:rPr>
          <w:color w:val="231F20"/>
          <w:sz w:val="24"/>
        </w:rPr>
        <w:t>Homes</w:t>
      </w:r>
      <w:r>
        <w:rPr>
          <w:color w:val="231F20"/>
          <w:spacing w:val="-2"/>
          <w:sz w:val="24"/>
        </w:rPr>
        <w:t> </w:t>
      </w:r>
      <w:r>
        <w:rPr>
          <w:color w:val="231F20"/>
          <w:sz w:val="24"/>
        </w:rPr>
        <w:t>for</w:t>
      </w:r>
      <w:r>
        <w:rPr>
          <w:color w:val="231F20"/>
          <w:spacing w:val="-2"/>
          <w:sz w:val="24"/>
        </w:rPr>
        <w:t> </w:t>
      </w:r>
      <w:r>
        <w:rPr>
          <w:color w:val="231F20"/>
          <w:sz w:val="24"/>
        </w:rPr>
        <w:t>the</w:t>
      </w:r>
      <w:r>
        <w:rPr>
          <w:color w:val="231F20"/>
          <w:spacing w:val="-2"/>
          <w:sz w:val="24"/>
        </w:rPr>
        <w:t> </w:t>
      </w:r>
      <w:r>
        <w:rPr>
          <w:color w:val="231F20"/>
          <w:sz w:val="24"/>
        </w:rPr>
        <w:t>Lifeline</w:t>
      </w:r>
      <w:r>
        <w:rPr>
          <w:color w:val="231F20"/>
          <w:spacing w:val="-2"/>
          <w:sz w:val="24"/>
        </w:rPr>
        <w:t> Service.</w:t>
      </w:r>
    </w:p>
    <w:p>
      <w:pPr>
        <w:pStyle w:val="ListParagraph"/>
        <w:numPr>
          <w:ilvl w:val="0"/>
          <w:numId w:val="9"/>
        </w:numPr>
        <w:tabs>
          <w:tab w:pos="3062" w:val="left" w:leader="none"/>
        </w:tabs>
        <w:spacing w:line="240" w:lineRule="auto" w:before="37" w:after="0"/>
        <w:ind w:left="3061" w:right="0" w:hanging="171"/>
        <w:jc w:val="left"/>
        <w:rPr>
          <w:sz w:val="24"/>
        </w:rPr>
      </w:pPr>
      <w:r>
        <w:rPr>
          <w:color w:val="231F20"/>
          <w:sz w:val="24"/>
        </w:rPr>
        <w:t>Sport</w:t>
      </w:r>
      <w:r>
        <w:rPr>
          <w:color w:val="231F20"/>
          <w:spacing w:val="-3"/>
          <w:sz w:val="24"/>
        </w:rPr>
        <w:t> </w:t>
      </w:r>
      <w:r>
        <w:rPr>
          <w:color w:val="231F20"/>
          <w:sz w:val="24"/>
        </w:rPr>
        <w:t>&amp;</w:t>
      </w:r>
      <w:r>
        <w:rPr>
          <w:color w:val="231F20"/>
          <w:spacing w:val="-3"/>
          <w:sz w:val="24"/>
        </w:rPr>
        <w:t> </w:t>
      </w:r>
      <w:r>
        <w:rPr>
          <w:color w:val="231F20"/>
          <w:sz w:val="24"/>
        </w:rPr>
        <w:t>Leisure</w:t>
      </w:r>
      <w:r>
        <w:rPr>
          <w:color w:val="231F20"/>
          <w:spacing w:val="-1"/>
          <w:sz w:val="24"/>
        </w:rPr>
        <w:t> </w:t>
      </w:r>
      <w:r>
        <w:rPr>
          <w:color w:val="231F20"/>
          <w:sz w:val="24"/>
        </w:rPr>
        <w:t>Management</w:t>
      </w:r>
      <w:r>
        <w:rPr>
          <w:color w:val="231F20"/>
          <w:spacing w:val="-2"/>
          <w:sz w:val="24"/>
        </w:rPr>
        <w:t> </w:t>
      </w:r>
      <w:r>
        <w:rPr>
          <w:color w:val="231F20"/>
          <w:sz w:val="24"/>
        </w:rPr>
        <w:t>Ltd</w:t>
      </w:r>
      <w:r>
        <w:rPr>
          <w:color w:val="231F20"/>
          <w:spacing w:val="-1"/>
          <w:sz w:val="24"/>
        </w:rPr>
        <w:t> </w:t>
      </w:r>
      <w:r>
        <w:rPr>
          <w:color w:val="231F20"/>
          <w:sz w:val="24"/>
        </w:rPr>
        <w:t>for</w:t>
      </w:r>
      <w:r>
        <w:rPr>
          <w:color w:val="231F20"/>
          <w:spacing w:val="-2"/>
          <w:sz w:val="24"/>
        </w:rPr>
        <w:t> </w:t>
      </w:r>
      <w:r>
        <w:rPr>
          <w:color w:val="231F20"/>
          <w:sz w:val="24"/>
        </w:rPr>
        <w:t>operating</w:t>
      </w:r>
      <w:r>
        <w:rPr>
          <w:color w:val="231F20"/>
          <w:spacing w:val="-2"/>
          <w:sz w:val="24"/>
        </w:rPr>
        <w:t> </w:t>
      </w:r>
      <w:r>
        <w:rPr>
          <w:color w:val="231F20"/>
          <w:sz w:val="24"/>
        </w:rPr>
        <w:t>the</w:t>
      </w:r>
      <w:r>
        <w:rPr>
          <w:color w:val="231F20"/>
          <w:spacing w:val="-1"/>
          <w:sz w:val="24"/>
        </w:rPr>
        <w:t> </w:t>
      </w:r>
      <w:r>
        <w:rPr>
          <w:color w:val="231F20"/>
          <w:sz w:val="24"/>
        </w:rPr>
        <w:t>Council’s</w:t>
      </w:r>
      <w:r>
        <w:rPr>
          <w:color w:val="231F20"/>
          <w:spacing w:val="-3"/>
          <w:sz w:val="24"/>
        </w:rPr>
        <w:t> </w:t>
      </w:r>
      <w:r>
        <w:rPr>
          <w:color w:val="231F20"/>
          <w:sz w:val="24"/>
        </w:rPr>
        <w:t>Leisure</w:t>
      </w:r>
      <w:r>
        <w:rPr>
          <w:color w:val="231F20"/>
          <w:spacing w:val="-1"/>
          <w:sz w:val="24"/>
        </w:rPr>
        <w:t> </w:t>
      </w:r>
      <w:r>
        <w:rPr>
          <w:color w:val="231F20"/>
          <w:spacing w:val="-2"/>
          <w:sz w:val="24"/>
        </w:rPr>
        <w:t>Centres.</w:t>
      </w:r>
    </w:p>
    <w:p>
      <w:pPr>
        <w:pStyle w:val="ListParagraph"/>
        <w:numPr>
          <w:ilvl w:val="0"/>
          <w:numId w:val="9"/>
        </w:numPr>
        <w:tabs>
          <w:tab w:pos="3062" w:val="left" w:leader="none"/>
        </w:tabs>
        <w:spacing w:line="225" w:lineRule="auto" w:before="53" w:after="0"/>
        <w:ind w:left="3061" w:right="880" w:hanging="171"/>
        <w:jc w:val="left"/>
        <w:rPr>
          <w:sz w:val="24"/>
        </w:rPr>
      </w:pPr>
      <w:r>
        <w:rPr>
          <w:color w:val="231F20"/>
          <w:sz w:val="24"/>
        </w:rPr>
        <w:t>Nottingham</w:t>
      </w:r>
      <w:r>
        <w:rPr>
          <w:color w:val="231F20"/>
          <w:spacing w:val="-4"/>
          <w:sz w:val="24"/>
        </w:rPr>
        <w:t> </w:t>
      </w:r>
      <w:r>
        <w:rPr>
          <w:color w:val="231F20"/>
          <w:sz w:val="24"/>
        </w:rPr>
        <w:t>City</w:t>
      </w:r>
      <w:r>
        <w:rPr>
          <w:color w:val="231F20"/>
          <w:spacing w:val="-5"/>
          <w:sz w:val="24"/>
        </w:rPr>
        <w:t> </w:t>
      </w:r>
      <w:r>
        <w:rPr>
          <w:color w:val="231F20"/>
          <w:sz w:val="24"/>
        </w:rPr>
        <w:t>Council</w:t>
      </w:r>
      <w:r>
        <w:rPr>
          <w:color w:val="231F20"/>
          <w:spacing w:val="-5"/>
          <w:sz w:val="24"/>
        </w:rPr>
        <w:t> </w:t>
      </w:r>
      <w:r>
        <w:rPr>
          <w:color w:val="231F20"/>
          <w:sz w:val="24"/>
        </w:rPr>
        <w:t>for</w:t>
      </w:r>
      <w:r>
        <w:rPr>
          <w:color w:val="231F20"/>
          <w:spacing w:val="-4"/>
          <w:sz w:val="24"/>
        </w:rPr>
        <w:t> </w:t>
      </w:r>
      <w:r>
        <w:rPr>
          <w:color w:val="231F20"/>
          <w:sz w:val="24"/>
        </w:rPr>
        <w:t>provision</w:t>
      </w:r>
      <w:r>
        <w:rPr>
          <w:color w:val="231F20"/>
          <w:spacing w:val="-4"/>
          <w:sz w:val="24"/>
        </w:rPr>
        <w:t> </w:t>
      </w:r>
      <w:r>
        <w:rPr>
          <w:color w:val="231F20"/>
          <w:sz w:val="24"/>
        </w:rPr>
        <w:t>of</w:t>
      </w:r>
      <w:r>
        <w:rPr>
          <w:color w:val="231F20"/>
          <w:spacing w:val="-4"/>
          <w:sz w:val="24"/>
        </w:rPr>
        <w:t> </w:t>
      </w:r>
      <w:r>
        <w:rPr>
          <w:color w:val="231F20"/>
          <w:sz w:val="24"/>
        </w:rPr>
        <w:t>Procurement</w:t>
      </w:r>
      <w:r>
        <w:rPr>
          <w:color w:val="231F20"/>
          <w:spacing w:val="-5"/>
          <w:sz w:val="24"/>
        </w:rPr>
        <w:t> </w:t>
      </w:r>
      <w:r>
        <w:rPr>
          <w:color w:val="231F20"/>
          <w:sz w:val="24"/>
        </w:rPr>
        <w:t>services</w:t>
      </w:r>
      <w:r>
        <w:rPr>
          <w:color w:val="231F20"/>
          <w:spacing w:val="-5"/>
          <w:sz w:val="24"/>
        </w:rPr>
        <w:t> </w:t>
      </w:r>
      <w:r>
        <w:rPr>
          <w:color w:val="231F20"/>
          <w:sz w:val="24"/>
        </w:rPr>
        <w:t>(This</w:t>
      </w:r>
      <w:r>
        <w:rPr>
          <w:color w:val="231F20"/>
          <w:spacing w:val="-4"/>
          <w:sz w:val="24"/>
        </w:rPr>
        <w:t> </w:t>
      </w:r>
      <w:r>
        <w:rPr>
          <w:color w:val="231F20"/>
          <w:sz w:val="24"/>
        </w:rPr>
        <w:t>ceased at the end of March 2023, and Nottinghamshire County Council is now the Procurement Service provider.</w:t>
      </w:r>
    </w:p>
    <w:p>
      <w:pPr>
        <w:pStyle w:val="ListParagraph"/>
        <w:numPr>
          <w:ilvl w:val="0"/>
          <w:numId w:val="9"/>
        </w:numPr>
        <w:tabs>
          <w:tab w:pos="3062" w:val="left" w:leader="none"/>
        </w:tabs>
        <w:spacing w:line="225" w:lineRule="auto" w:before="57" w:after="0"/>
        <w:ind w:left="3061" w:right="891" w:hanging="171"/>
        <w:jc w:val="left"/>
        <w:rPr>
          <w:sz w:val="24"/>
        </w:rPr>
      </w:pPr>
      <w:r>
        <w:rPr>
          <w:color w:val="231F20"/>
          <w:sz w:val="24"/>
        </w:rPr>
        <w:t>Central</w:t>
      </w:r>
      <w:r>
        <w:rPr>
          <w:color w:val="231F20"/>
          <w:spacing w:val="-5"/>
          <w:sz w:val="24"/>
        </w:rPr>
        <w:t> </w:t>
      </w:r>
      <w:r>
        <w:rPr>
          <w:color w:val="231F20"/>
          <w:sz w:val="24"/>
        </w:rPr>
        <w:t>Midlands</w:t>
      </w:r>
      <w:r>
        <w:rPr>
          <w:color w:val="231F20"/>
          <w:spacing w:val="-4"/>
          <w:sz w:val="24"/>
        </w:rPr>
        <w:t> </w:t>
      </w:r>
      <w:r>
        <w:rPr>
          <w:color w:val="231F20"/>
          <w:sz w:val="24"/>
        </w:rPr>
        <w:t>Audit</w:t>
      </w:r>
      <w:r>
        <w:rPr>
          <w:color w:val="231F20"/>
          <w:spacing w:val="-4"/>
          <w:sz w:val="24"/>
        </w:rPr>
        <w:t> </w:t>
      </w:r>
      <w:r>
        <w:rPr>
          <w:color w:val="231F20"/>
          <w:sz w:val="24"/>
        </w:rPr>
        <w:t>Partnership</w:t>
      </w:r>
      <w:r>
        <w:rPr>
          <w:color w:val="231F20"/>
          <w:spacing w:val="-4"/>
          <w:sz w:val="24"/>
        </w:rPr>
        <w:t> </w:t>
      </w:r>
      <w:r>
        <w:rPr>
          <w:color w:val="231F20"/>
          <w:sz w:val="24"/>
        </w:rPr>
        <w:t>(CMAP)</w:t>
      </w:r>
      <w:r>
        <w:rPr>
          <w:color w:val="231F20"/>
          <w:spacing w:val="-4"/>
          <w:sz w:val="24"/>
        </w:rPr>
        <w:t> </w:t>
      </w:r>
      <w:r>
        <w:rPr>
          <w:color w:val="231F20"/>
          <w:sz w:val="24"/>
        </w:rPr>
        <w:t>for</w:t>
      </w:r>
      <w:r>
        <w:rPr>
          <w:color w:val="231F20"/>
          <w:spacing w:val="-4"/>
          <w:sz w:val="24"/>
        </w:rPr>
        <w:t> </w:t>
      </w:r>
      <w:r>
        <w:rPr>
          <w:color w:val="231F20"/>
          <w:sz w:val="24"/>
        </w:rPr>
        <w:t>the</w:t>
      </w:r>
      <w:r>
        <w:rPr>
          <w:color w:val="231F20"/>
          <w:spacing w:val="-4"/>
          <w:sz w:val="24"/>
        </w:rPr>
        <w:t> </w:t>
      </w:r>
      <w:r>
        <w:rPr>
          <w:color w:val="231F20"/>
          <w:sz w:val="24"/>
        </w:rPr>
        <w:t>provision</w:t>
      </w:r>
      <w:r>
        <w:rPr>
          <w:color w:val="231F20"/>
          <w:spacing w:val="-4"/>
          <w:sz w:val="24"/>
        </w:rPr>
        <w:t> </w:t>
      </w:r>
      <w:r>
        <w:rPr>
          <w:color w:val="231F20"/>
          <w:sz w:val="24"/>
        </w:rPr>
        <w:t>of</w:t>
      </w:r>
      <w:r>
        <w:rPr>
          <w:color w:val="231F20"/>
          <w:spacing w:val="-4"/>
          <w:sz w:val="24"/>
        </w:rPr>
        <w:t> </w:t>
      </w:r>
      <w:r>
        <w:rPr>
          <w:color w:val="231F20"/>
          <w:sz w:val="24"/>
        </w:rPr>
        <w:t>our</w:t>
      </w:r>
      <w:r>
        <w:rPr>
          <w:color w:val="231F20"/>
          <w:spacing w:val="-4"/>
          <w:sz w:val="24"/>
        </w:rPr>
        <w:t> </w:t>
      </w:r>
      <w:r>
        <w:rPr>
          <w:color w:val="231F20"/>
          <w:sz w:val="24"/>
        </w:rPr>
        <w:t>Internal Audit function.</w:t>
      </w:r>
    </w:p>
    <w:p>
      <w:pPr>
        <w:pStyle w:val="ListParagraph"/>
        <w:numPr>
          <w:ilvl w:val="0"/>
          <w:numId w:val="9"/>
        </w:numPr>
        <w:tabs>
          <w:tab w:pos="3062" w:val="left" w:leader="none"/>
        </w:tabs>
        <w:spacing w:line="240" w:lineRule="auto" w:before="41" w:after="0"/>
        <w:ind w:left="3061" w:right="0" w:hanging="171"/>
        <w:jc w:val="left"/>
        <w:rPr>
          <w:sz w:val="24"/>
        </w:rPr>
      </w:pPr>
      <w:r>
        <w:rPr>
          <w:color w:val="231F20"/>
          <w:sz w:val="24"/>
        </w:rPr>
        <w:t>Erewash</w:t>
      </w:r>
      <w:r>
        <w:rPr>
          <w:color w:val="231F20"/>
          <w:spacing w:val="-5"/>
          <w:sz w:val="24"/>
        </w:rPr>
        <w:t> </w:t>
      </w:r>
      <w:r>
        <w:rPr>
          <w:color w:val="231F20"/>
          <w:sz w:val="24"/>
        </w:rPr>
        <w:t>Borough</w:t>
      </w:r>
      <w:r>
        <w:rPr>
          <w:color w:val="231F20"/>
          <w:spacing w:val="-3"/>
          <w:sz w:val="24"/>
        </w:rPr>
        <w:t> </w:t>
      </w:r>
      <w:r>
        <w:rPr>
          <w:color w:val="231F20"/>
          <w:sz w:val="24"/>
        </w:rPr>
        <w:t>Council</w:t>
      </w:r>
      <w:r>
        <w:rPr>
          <w:color w:val="231F20"/>
          <w:spacing w:val="-4"/>
          <w:sz w:val="24"/>
        </w:rPr>
        <w:t> </w:t>
      </w:r>
      <w:r>
        <w:rPr>
          <w:color w:val="231F20"/>
          <w:sz w:val="24"/>
        </w:rPr>
        <w:t>for</w:t>
      </w:r>
      <w:r>
        <w:rPr>
          <w:color w:val="231F20"/>
          <w:spacing w:val="-2"/>
          <w:sz w:val="24"/>
        </w:rPr>
        <w:t> </w:t>
      </w:r>
      <w:r>
        <w:rPr>
          <w:color w:val="231F20"/>
          <w:sz w:val="24"/>
        </w:rPr>
        <w:t>the</w:t>
      </w:r>
      <w:r>
        <w:rPr>
          <w:color w:val="231F20"/>
          <w:spacing w:val="-3"/>
          <w:sz w:val="24"/>
        </w:rPr>
        <w:t> </w:t>
      </w:r>
      <w:r>
        <w:rPr>
          <w:color w:val="231F20"/>
          <w:sz w:val="24"/>
        </w:rPr>
        <w:t>provision</w:t>
      </w:r>
      <w:r>
        <w:rPr>
          <w:color w:val="231F20"/>
          <w:spacing w:val="-3"/>
          <w:sz w:val="24"/>
        </w:rPr>
        <w:t> </w:t>
      </w:r>
      <w:r>
        <w:rPr>
          <w:color w:val="231F20"/>
          <w:sz w:val="24"/>
        </w:rPr>
        <w:t>of</w:t>
      </w:r>
      <w:r>
        <w:rPr>
          <w:color w:val="231F20"/>
          <w:spacing w:val="-2"/>
          <w:sz w:val="24"/>
        </w:rPr>
        <w:t> </w:t>
      </w:r>
      <w:r>
        <w:rPr>
          <w:color w:val="231F20"/>
          <w:sz w:val="24"/>
        </w:rPr>
        <w:t>our</w:t>
      </w:r>
      <w:r>
        <w:rPr>
          <w:color w:val="231F20"/>
          <w:spacing w:val="-3"/>
          <w:sz w:val="24"/>
        </w:rPr>
        <w:t> </w:t>
      </w:r>
      <w:r>
        <w:rPr>
          <w:color w:val="231F20"/>
          <w:sz w:val="24"/>
        </w:rPr>
        <w:t>Building</w:t>
      </w:r>
      <w:r>
        <w:rPr>
          <w:color w:val="231F20"/>
          <w:spacing w:val="-3"/>
          <w:sz w:val="24"/>
        </w:rPr>
        <w:t> </w:t>
      </w:r>
      <w:r>
        <w:rPr>
          <w:color w:val="231F20"/>
          <w:sz w:val="24"/>
        </w:rPr>
        <w:t>Control</w:t>
      </w:r>
      <w:r>
        <w:rPr>
          <w:color w:val="231F20"/>
          <w:spacing w:val="-3"/>
          <w:sz w:val="24"/>
        </w:rPr>
        <w:t> </w:t>
      </w:r>
      <w:r>
        <w:rPr>
          <w:color w:val="231F20"/>
          <w:spacing w:val="-2"/>
          <w:sz w:val="24"/>
        </w:rPr>
        <w:t>function.</w:t>
      </w:r>
    </w:p>
    <w:p>
      <w:pPr>
        <w:spacing w:after="0" w:line="240" w:lineRule="auto"/>
        <w:jc w:val="left"/>
        <w:rPr>
          <w:sz w:val="24"/>
        </w:rPr>
        <w:sectPr>
          <w:type w:val="continuous"/>
          <w:pgSz w:w="11910" w:h="16840"/>
          <w:pgMar w:header="377" w:footer="367" w:top="260" w:bottom="0" w:left="0" w:right="0"/>
        </w:sectPr>
      </w:pPr>
    </w:p>
    <w:p>
      <w:pPr>
        <w:pStyle w:val="BodyText"/>
        <w:spacing w:before="8"/>
        <w:rPr>
          <w:sz w:val="18"/>
        </w:rPr>
      </w:pPr>
    </w:p>
    <w:p>
      <w:pPr>
        <w:pStyle w:val="Heading2"/>
        <w:numPr>
          <w:ilvl w:val="0"/>
          <w:numId w:val="3"/>
        </w:numPr>
        <w:tabs>
          <w:tab w:pos="1248" w:val="left" w:leader="none"/>
        </w:tabs>
        <w:spacing w:line="240" w:lineRule="auto" w:before="100" w:after="0"/>
        <w:ind w:left="1247" w:right="0" w:hanging="684"/>
        <w:jc w:val="left"/>
      </w:pPr>
      <w:r>
        <w:rPr/>
        <w:pict>
          <v:group style="position:absolute;margin-left:0pt;margin-top:35.000019pt;width:595.3pt;height:63.4pt;mso-position-horizontal-relative:page;mso-position-vertical-relative:paragraph;z-index:-16862208" id="docshapegroup166" coordorigin="0,700" coordsize="11906,1268">
            <v:rect style="position:absolute;left:0;top:833;width:11906;height:1134" id="docshape167" filled="true" fillcolor="#c9cbd4" stroked="false">
              <v:fill type="solid"/>
            </v:rect>
            <v:shape style="position:absolute;left:0;top:700;width:11906;height:1268" type="#_x0000_t202" id="docshape168" filled="false" stroked="false">
              <v:textbox inset="0,0,0,0">
                <w:txbxContent>
                  <w:p>
                    <w:pPr>
                      <w:spacing w:before="0"/>
                      <w:ind w:left="7655" w:right="0" w:firstLine="0"/>
                      <w:jc w:val="left"/>
                      <w:rPr>
                        <w:b/>
                        <w:sz w:val="60"/>
                      </w:rPr>
                    </w:pPr>
                    <w:r>
                      <w:rPr>
                        <w:b/>
                        <w:color w:val="3B5673"/>
                        <w:spacing w:val="-2"/>
                        <w:sz w:val="60"/>
                      </w:rPr>
                      <w:t>2022/23</w:t>
                    </w:r>
                  </w:p>
                </w:txbxContent>
              </v:textbox>
              <w10:wrap type="none"/>
            </v:shape>
            <w10:wrap type="none"/>
          </v:group>
        </w:pict>
      </w:r>
      <w:r>
        <w:rPr>
          <w:color w:val="3B5673"/>
          <w:spacing w:val="17"/>
        </w:rPr>
        <w:t>FINANCIAL</w:t>
      </w:r>
      <w:r>
        <w:rPr>
          <w:color w:val="3B5673"/>
          <w:spacing w:val="27"/>
        </w:rPr>
        <w:t> </w:t>
      </w:r>
      <w:r>
        <w:rPr>
          <w:color w:val="3B5673"/>
          <w:spacing w:val="18"/>
        </w:rPr>
        <w:t>PERFORMANCE</w:t>
      </w:r>
    </w:p>
    <w:p>
      <w:pPr>
        <w:pStyle w:val="BodyText"/>
        <w:rPr>
          <w:sz w:val="20"/>
        </w:rPr>
      </w:pPr>
    </w:p>
    <w:p>
      <w:pPr>
        <w:pStyle w:val="BodyText"/>
        <w:rPr>
          <w:sz w:val="20"/>
        </w:rPr>
      </w:pPr>
    </w:p>
    <w:p>
      <w:pPr>
        <w:pStyle w:val="BodyText"/>
        <w:rPr>
          <w:sz w:val="20"/>
        </w:rPr>
      </w:pPr>
    </w:p>
    <w:p>
      <w:pPr>
        <w:pStyle w:val="BodyText"/>
        <w:spacing w:before="12"/>
        <w:rPr>
          <w:sz w:val="28"/>
        </w:rPr>
      </w:pPr>
    </w:p>
    <w:p>
      <w:pPr>
        <w:pStyle w:val="Heading3"/>
      </w:pPr>
      <w:r>
        <w:rPr>
          <w:color w:val="3B5673"/>
        </w:rPr>
        <w:t>GENERAL</w:t>
      </w:r>
      <w:r>
        <w:rPr>
          <w:color w:val="3B5673"/>
          <w:spacing w:val="48"/>
        </w:rPr>
        <w:t> </w:t>
      </w:r>
      <w:r>
        <w:rPr>
          <w:color w:val="3B5673"/>
        </w:rPr>
        <w:t>FUND</w:t>
      </w:r>
      <w:r>
        <w:rPr>
          <w:color w:val="3B5673"/>
          <w:spacing w:val="48"/>
        </w:rPr>
        <w:t> </w:t>
      </w:r>
      <w:r>
        <w:rPr>
          <w:color w:val="3B5673"/>
        </w:rPr>
        <w:t>REVENUE</w:t>
      </w:r>
      <w:r>
        <w:rPr>
          <w:color w:val="3B5673"/>
          <w:spacing w:val="49"/>
        </w:rPr>
        <w:t> </w:t>
      </w:r>
      <w:r>
        <w:rPr>
          <w:color w:val="3B5673"/>
          <w:spacing w:val="-2"/>
        </w:rPr>
        <w:t>OUTTURN</w:t>
      </w:r>
    </w:p>
    <w:p>
      <w:pPr>
        <w:spacing w:line="225" w:lineRule="auto" w:before="6"/>
        <w:ind w:left="566" w:right="0" w:firstLine="0"/>
        <w:jc w:val="left"/>
        <w:rPr>
          <w:b/>
          <w:sz w:val="24"/>
        </w:rPr>
      </w:pPr>
      <w:r>
        <w:rPr/>
        <w:pict>
          <v:group style="position:absolute;margin-left:578.504028pt;margin-top:158.814545pt;width:16.8pt;height:192.8pt;mso-position-horizontal-relative:page;mso-position-vertical-relative:paragraph;z-index:15752704" id="docshapegroup169" coordorigin="11570,3176" coordsize="336,3856">
            <v:rect style="position:absolute;left:11570;top:6067;width:336;height:964" id="docshape170" filled="true" fillcolor="#f15d6b" stroked="false">
              <v:fill type="solid"/>
            </v:rect>
            <v:rect style="position:absolute;left:11570;top:5103;width:336;height:964" id="docshape171" filled="true" fillcolor="#fbac42" stroked="false">
              <v:fill type="solid"/>
            </v:rect>
            <v:rect style="position:absolute;left:11570;top:4140;width:336;height:964" id="docshape172" filled="true" fillcolor="#b78fc1" stroked="false">
              <v:fill type="solid"/>
            </v:rect>
            <v:rect style="position:absolute;left:11570;top:3176;width:336;height:964" id="docshape173" filled="true" fillcolor="#378372" stroked="false">
              <v:fill type="solid"/>
            </v:rect>
            <w10:wrap type="none"/>
          </v:group>
        </w:pict>
      </w:r>
      <w:r>
        <w:rPr>
          <w:b/>
          <w:color w:val="3B5673"/>
          <w:sz w:val="24"/>
        </w:rPr>
        <w:t>The</w:t>
      </w:r>
      <w:r>
        <w:rPr>
          <w:b/>
          <w:color w:val="3B5673"/>
          <w:spacing w:val="-3"/>
          <w:sz w:val="24"/>
        </w:rPr>
        <w:t> </w:t>
      </w:r>
      <w:r>
        <w:rPr>
          <w:b/>
          <w:color w:val="3B5673"/>
          <w:sz w:val="24"/>
        </w:rPr>
        <w:t>General</w:t>
      </w:r>
      <w:r>
        <w:rPr>
          <w:b/>
          <w:color w:val="3B5673"/>
          <w:spacing w:val="-3"/>
          <w:sz w:val="24"/>
        </w:rPr>
        <w:t> </w:t>
      </w:r>
      <w:r>
        <w:rPr>
          <w:b/>
          <w:color w:val="3B5673"/>
          <w:sz w:val="24"/>
        </w:rPr>
        <w:t>Fund</w:t>
      </w:r>
      <w:r>
        <w:rPr>
          <w:b/>
          <w:color w:val="3B5673"/>
          <w:spacing w:val="-3"/>
          <w:sz w:val="24"/>
        </w:rPr>
        <w:t> </w:t>
      </w:r>
      <w:r>
        <w:rPr>
          <w:b/>
          <w:color w:val="3B5673"/>
          <w:sz w:val="24"/>
        </w:rPr>
        <w:t>supports</w:t>
      </w:r>
      <w:r>
        <w:rPr>
          <w:b/>
          <w:color w:val="3B5673"/>
          <w:spacing w:val="-4"/>
          <w:sz w:val="24"/>
        </w:rPr>
        <w:t> </w:t>
      </w:r>
      <w:r>
        <w:rPr>
          <w:b/>
          <w:color w:val="3B5673"/>
          <w:sz w:val="24"/>
        </w:rPr>
        <w:t>the</w:t>
      </w:r>
      <w:r>
        <w:rPr>
          <w:b/>
          <w:color w:val="3B5673"/>
          <w:spacing w:val="-4"/>
          <w:sz w:val="24"/>
        </w:rPr>
        <w:t> </w:t>
      </w:r>
      <w:r>
        <w:rPr>
          <w:b/>
          <w:color w:val="3B5673"/>
          <w:sz w:val="24"/>
        </w:rPr>
        <w:t>day</w:t>
      </w:r>
      <w:r>
        <w:rPr>
          <w:b/>
          <w:color w:val="3B5673"/>
          <w:spacing w:val="-4"/>
          <w:sz w:val="24"/>
        </w:rPr>
        <w:t> </w:t>
      </w:r>
      <w:r>
        <w:rPr>
          <w:b/>
          <w:color w:val="3B5673"/>
          <w:sz w:val="24"/>
        </w:rPr>
        <w:t>to</w:t>
      </w:r>
      <w:r>
        <w:rPr>
          <w:b/>
          <w:color w:val="3B5673"/>
          <w:spacing w:val="-4"/>
          <w:sz w:val="24"/>
        </w:rPr>
        <w:t> </w:t>
      </w:r>
      <w:r>
        <w:rPr>
          <w:b/>
          <w:color w:val="3B5673"/>
          <w:sz w:val="24"/>
        </w:rPr>
        <w:t>day</w:t>
      </w:r>
      <w:r>
        <w:rPr>
          <w:b/>
          <w:color w:val="3B5673"/>
          <w:spacing w:val="-4"/>
          <w:sz w:val="24"/>
        </w:rPr>
        <w:t> </w:t>
      </w:r>
      <w:r>
        <w:rPr>
          <w:b/>
          <w:color w:val="3B5673"/>
          <w:sz w:val="24"/>
        </w:rPr>
        <w:t>running</w:t>
      </w:r>
      <w:r>
        <w:rPr>
          <w:b/>
          <w:color w:val="3B5673"/>
          <w:spacing w:val="-3"/>
          <w:sz w:val="24"/>
        </w:rPr>
        <w:t> </w:t>
      </w:r>
      <w:r>
        <w:rPr>
          <w:b/>
          <w:color w:val="3B5673"/>
          <w:sz w:val="24"/>
        </w:rPr>
        <w:t>of</w:t>
      </w:r>
      <w:r>
        <w:rPr>
          <w:b/>
          <w:color w:val="3B5673"/>
          <w:spacing w:val="-4"/>
          <w:sz w:val="24"/>
        </w:rPr>
        <w:t> </w:t>
      </w:r>
      <w:r>
        <w:rPr>
          <w:b/>
          <w:color w:val="3B5673"/>
          <w:sz w:val="24"/>
        </w:rPr>
        <w:t>the</w:t>
      </w:r>
      <w:r>
        <w:rPr>
          <w:b/>
          <w:color w:val="3B5673"/>
          <w:spacing w:val="-4"/>
          <w:sz w:val="24"/>
        </w:rPr>
        <w:t> </w:t>
      </w:r>
      <w:r>
        <w:rPr>
          <w:b/>
          <w:color w:val="3B5673"/>
          <w:sz w:val="24"/>
        </w:rPr>
        <w:t>Council’s</w:t>
      </w:r>
      <w:r>
        <w:rPr>
          <w:b/>
          <w:color w:val="3B5673"/>
          <w:spacing w:val="-3"/>
          <w:sz w:val="24"/>
        </w:rPr>
        <w:t> </w:t>
      </w:r>
      <w:r>
        <w:rPr>
          <w:b/>
          <w:color w:val="3B5673"/>
          <w:sz w:val="24"/>
        </w:rPr>
        <w:t>services,</w:t>
      </w:r>
      <w:r>
        <w:rPr>
          <w:b/>
          <w:color w:val="3B5673"/>
          <w:spacing w:val="-3"/>
          <w:sz w:val="24"/>
        </w:rPr>
        <w:t> </w:t>
      </w:r>
      <w:r>
        <w:rPr>
          <w:b/>
          <w:color w:val="3B5673"/>
          <w:sz w:val="24"/>
        </w:rPr>
        <w:t>excluding</w:t>
      </w:r>
      <w:r>
        <w:rPr>
          <w:b/>
          <w:color w:val="3B5673"/>
          <w:spacing w:val="-3"/>
          <w:sz w:val="24"/>
        </w:rPr>
        <w:t> </w:t>
      </w:r>
      <w:r>
        <w:rPr>
          <w:b/>
          <w:color w:val="3B5673"/>
          <w:sz w:val="24"/>
        </w:rPr>
        <w:t>Council Housing provision.</w:t>
      </w:r>
    </w:p>
    <w:p>
      <w:pPr>
        <w:pStyle w:val="BodyText"/>
        <w:spacing w:before="13"/>
        <w:rPr>
          <w:b/>
          <w:sz w:val="9"/>
        </w:rPr>
      </w:pPr>
    </w:p>
    <w:tbl>
      <w:tblPr>
        <w:tblW w:w="0" w:type="auto"/>
        <w:jc w:val="left"/>
        <w:tblInd w:w="574" w:type="dxa"/>
        <w:tblBorders>
          <w:top w:val="single" w:sz="4" w:space="0" w:color="3B5673"/>
          <w:left w:val="single" w:sz="4" w:space="0" w:color="3B5673"/>
          <w:bottom w:val="single" w:sz="4" w:space="0" w:color="3B5673"/>
          <w:right w:val="single" w:sz="4" w:space="0" w:color="3B5673"/>
          <w:insideH w:val="single" w:sz="4" w:space="0" w:color="3B5673"/>
          <w:insideV w:val="single" w:sz="4" w:space="0" w:color="3B5673"/>
        </w:tblBorders>
        <w:tblLayout w:type="fixed"/>
        <w:tblCellMar>
          <w:top w:w="0" w:type="dxa"/>
          <w:left w:w="0" w:type="dxa"/>
          <w:bottom w:w="0" w:type="dxa"/>
          <w:right w:w="0" w:type="dxa"/>
        </w:tblCellMar>
        <w:tblLook w:val="01E0"/>
      </w:tblPr>
      <w:tblGrid>
        <w:gridCol w:w="6236"/>
        <w:gridCol w:w="1701"/>
        <w:gridCol w:w="1418"/>
        <w:gridCol w:w="1418"/>
      </w:tblGrid>
      <w:tr>
        <w:trPr>
          <w:trHeight w:val="675" w:hRule="atLeast"/>
        </w:trPr>
        <w:tc>
          <w:tcPr>
            <w:tcW w:w="6236" w:type="dxa"/>
            <w:tcBorders>
              <w:top w:val="nil"/>
              <w:left w:val="nil"/>
            </w:tcBorders>
            <w:shd w:val="clear" w:color="auto" w:fill="5D6B86"/>
          </w:tcPr>
          <w:p>
            <w:pPr>
              <w:pStyle w:val="TableParagraph"/>
              <w:spacing w:line="240" w:lineRule="auto" w:before="168"/>
              <w:ind w:left="80"/>
              <w:rPr>
                <w:b/>
                <w:sz w:val="24"/>
              </w:rPr>
            </w:pPr>
            <w:r>
              <w:rPr>
                <w:b/>
                <w:color w:val="FFFFFF"/>
                <w:spacing w:val="-2"/>
                <w:sz w:val="24"/>
              </w:rPr>
              <w:t>Directorate</w:t>
            </w:r>
          </w:p>
        </w:tc>
        <w:tc>
          <w:tcPr>
            <w:tcW w:w="1701" w:type="dxa"/>
            <w:tcBorders>
              <w:top w:val="nil"/>
            </w:tcBorders>
            <w:shd w:val="clear" w:color="auto" w:fill="5D6B86"/>
          </w:tcPr>
          <w:p>
            <w:pPr>
              <w:pStyle w:val="TableParagraph"/>
              <w:spacing w:line="225" w:lineRule="auto" w:before="34"/>
              <w:ind w:left="108" w:right="64" w:firstLine="644"/>
              <w:rPr>
                <w:b/>
                <w:sz w:val="24"/>
              </w:rPr>
            </w:pPr>
            <w:r>
              <w:rPr>
                <w:b/>
                <w:color w:val="FFFFFF"/>
                <w:spacing w:val="-2"/>
                <w:sz w:val="24"/>
              </w:rPr>
              <w:t>Revised </w:t>
            </w:r>
            <w:r>
              <w:rPr>
                <w:b/>
                <w:color w:val="FFFFFF"/>
                <w:sz w:val="24"/>
              </w:rPr>
              <w:t>Budget</w:t>
            </w:r>
            <w:r>
              <w:rPr>
                <w:b/>
                <w:color w:val="FFFFFF"/>
                <w:spacing w:val="-6"/>
                <w:sz w:val="24"/>
              </w:rPr>
              <w:t> </w:t>
            </w:r>
            <w:r>
              <w:rPr>
                <w:b/>
                <w:color w:val="FFFFFF"/>
                <w:spacing w:val="-2"/>
                <w:sz w:val="24"/>
              </w:rPr>
              <w:t>£’000</w:t>
            </w:r>
          </w:p>
        </w:tc>
        <w:tc>
          <w:tcPr>
            <w:tcW w:w="1418" w:type="dxa"/>
            <w:tcBorders>
              <w:top w:val="nil"/>
            </w:tcBorders>
            <w:shd w:val="clear" w:color="auto" w:fill="5D6B86"/>
          </w:tcPr>
          <w:p>
            <w:pPr>
              <w:pStyle w:val="TableParagraph"/>
              <w:spacing w:line="310" w:lineRule="exact" w:before="18"/>
              <w:ind w:right="73"/>
              <w:jc w:val="right"/>
              <w:rPr>
                <w:b/>
                <w:sz w:val="24"/>
              </w:rPr>
            </w:pPr>
            <w:r>
              <w:rPr>
                <w:b/>
                <w:color w:val="FFFFFF"/>
                <w:spacing w:val="-2"/>
                <w:sz w:val="24"/>
              </w:rPr>
              <w:t>Outturn</w:t>
            </w:r>
          </w:p>
          <w:p>
            <w:pPr>
              <w:pStyle w:val="TableParagraph"/>
              <w:spacing w:line="310" w:lineRule="exact"/>
              <w:ind w:right="73"/>
              <w:jc w:val="right"/>
              <w:rPr>
                <w:b/>
                <w:sz w:val="24"/>
              </w:rPr>
            </w:pPr>
            <w:r>
              <w:rPr>
                <w:b/>
                <w:color w:val="FFFFFF"/>
                <w:spacing w:val="-2"/>
                <w:sz w:val="24"/>
              </w:rPr>
              <w:t>£’000</w:t>
            </w:r>
          </w:p>
        </w:tc>
        <w:tc>
          <w:tcPr>
            <w:tcW w:w="1418" w:type="dxa"/>
            <w:tcBorders>
              <w:top w:val="nil"/>
              <w:right w:val="nil"/>
            </w:tcBorders>
            <w:shd w:val="clear" w:color="auto" w:fill="5D6B86"/>
          </w:tcPr>
          <w:p>
            <w:pPr>
              <w:pStyle w:val="TableParagraph"/>
              <w:spacing w:line="310" w:lineRule="exact" w:before="18"/>
              <w:ind w:right="79"/>
              <w:jc w:val="right"/>
              <w:rPr>
                <w:b/>
                <w:sz w:val="24"/>
              </w:rPr>
            </w:pPr>
            <w:r>
              <w:rPr>
                <w:b/>
                <w:color w:val="FFFFFF"/>
                <w:spacing w:val="-2"/>
                <w:sz w:val="24"/>
              </w:rPr>
              <w:t>Variance</w:t>
            </w:r>
          </w:p>
          <w:p>
            <w:pPr>
              <w:pStyle w:val="TableParagraph"/>
              <w:spacing w:line="310" w:lineRule="exact"/>
              <w:ind w:right="79"/>
              <w:jc w:val="right"/>
              <w:rPr>
                <w:b/>
                <w:sz w:val="24"/>
              </w:rPr>
            </w:pPr>
            <w:r>
              <w:rPr>
                <w:b/>
                <w:color w:val="FFFFFF"/>
                <w:spacing w:val="-2"/>
                <w:sz w:val="24"/>
              </w:rPr>
              <w:t>£’000</w:t>
            </w:r>
          </w:p>
        </w:tc>
      </w:tr>
      <w:tr>
        <w:trPr>
          <w:trHeight w:val="324" w:hRule="atLeast"/>
        </w:trPr>
        <w:tc>
          <w:tcPr>
            <w:tcW w:w="6236" w:type="dxa"/>
            <w:tcBorders>
              <w:left w:val="nil"/>
            </w:tcBorders>
          </w:tcPr>
          <w:p>
            <w:pPr>
              <w:pStyle w:val="TableParagraph"/>
              <w:ind w:left="80"/>
              <w:rPr>
                <w:sz w:val="24"/>
              </w:rPr>
            </w:pPr>
            <w:r>
              <w:rPr>
                <w:color w:val="231F20"/>
                <w:sz w:val="24"/>
              </w:rPr>
              <w:t>Chief</w:t>
            </w:r>
            <w:r>
              <w:rPr>
                <w:color w:val="231F20"/>
                <w:spacing w:val="-5"/>
                <w:sz w:val="24"/>
              </w:rPr>
              <w:t> </w:t>
            </w:r>
            <w:r>
              <w:rPr>
                <w:color w:val="231F20"/>
                <w:spacing w:val="-2"/>
                <w:sz w:val="24"/>
              </w:rPr>
              <w:t>Executive</w:t>
            </w:r>
          </w:p>
        </w:tc>
        <w:tc>
          <w:tcPr>
            <w:tcW w:w="1701" w:type="dxa"/>
          </w:tcPr>
          <w:p>
            <w:pPr>
              <w:pStyle w:val="TableParagraph"/>
              <w:ind w:right="73"/>
              <w:jc w:val="right"/>
              <w:rPr>
                <w:sz w:val="24"/>
              </w:rPr>
            </w:pPr>
            <w:r>
              <w:rPr>
                <w:color w:val="231F20"/>
                <w:spacing w:val="-5"/>
                <w:sz w:val="24"/>
              </w:rPr>
              <w:t>670</w:t>
            </w:r>
          </w:p>
        </w:tc>
        <w:tc>
          <w:tcPr>
            <w:tcW w:w="1418" w:type="dxa"/>
          </w:tcPr>
          <w:p>
            <w:pPr>
              <w:pStyle w:val="TableParagraph"/>
              <w:ind w:right="73"/>
              <w:jc w:val="right"/>
              <w:rPr>
                <w:sz w:val="24"/>
              </w:rPr>
            </w:pPr>
            <w:r>
              <w:rPr>
                <w:color w:val="231F20"/>
                <w:spacing w:val="-5"/>
                <w:sz w:val="24"/>
              </w:rPr>
              <w:t>645</w:t>
            </w:r>
          </w:p>
        </w:tc>
        <w:tc>
          <w:tcPr>
            <w:tcW w:w="1418" w:type="dxa"/>
            <w:tcBorders>
              <w:right w:val="nil"/>
            </w:tcBorders>
          </w:tcPr>
          <w:p>
            <w:pPr>
              <w:pStyle w:val="TableParagraph"/>
              <w:ind w:right="79"/>
              <w:jc w:val="right"/>
              <w:rPr>
                <w:sz w:val="24"/>
              </w:rPr>
            </w:pPr>
            <w:r>
              <w:rPr>
                <w:color w:val="231F20"/>
                <w:spacing w:val="-4"/>
                <w:sz w:val="24"/>
              </w:rPr>
              <w:t>(25)</w:t>
            </w:r>
          </w:p>
        </w:tc>
      </w:tr>
      <w:tr>
        <w:trPr>
          <w:trHeight w:val="324" w:hRule="atLeast"/>
        </w:trPr>
        <w:tc>
          <w:tcPr>
            <w:tcW w:w="6236" w:type="dxa"/>
            <w:tcBorders>
              <w:left w:val="nil"/>
            </w:tcBorders>
            <w:shd w:val="clear" w:color="auto" w:fill="C9CBD4"/>
          </w:tcPr>
          <w:p>
            <w:pPr>
              <w:pStyle w:val="TableParagraph"/>
              <w:ind w:left="80"/>
              <w:rPr>
                <w:sz w:val="24"/>
              </w:rPr>
            </w:pPr>
            <w:r>
              <w:rPr>
                <w:color w:val="231F20"/>
                <w:sz w:val="24"/>
              </w:rPr>
              <w:t>Legal &amp;</w:t>
            </w:r>
            <w:r>
              <w:rPr>
                <w:color w:val="231F20"/>
                <w:spacing w:val="-1"/>
                <w:sz w:val="24"/>
              </w:rPr>
              <w:t> </w:t>
            </w:r>
            <w:r>
              <w:rPr>
                <w:color w:val="231F20"/>
                <w:spacing w:val="-2"/>
                <w:sz w:val="24"/>
              </w:rPr>
              <w:t>Governance</w:t>
            </w:r>
          </w:p>
        </w:tc>
        <w:tc>
          <w:tcPr>
            <w:tcW w:w="1701" w:type="dxa"/>
            <w:shd w:val="clear" w:color="auto" w:fill="C9CBD4"/>
          </w:tcPr>
          <w:p>
            <w:pPr>
              <w:pStyle w:val="TableParagraph"/>
              <w:ind w:right="73"/>
              <w:jc w:val="right"/>
              <w:rPr>
                <w:sz w:val="24"/>
              </w:rPr>
            </w:pPr>
            <w:r>
              <w:rPr>
                <w:color w:val="231F20"/>
                <w:spacing w:val="-2"/>
                <w:sz w:val="24"/>
              </w:rPr>
              <w:t>1,973</w:t>
            </w:r>
          </w:p>
        </w:tc>
        <w:tc>
          <w:tcPr>
            <w:tcW w:w="1418" w:type="dxa"/>
            <w:shd w:val="clear" w:color="auto" w:fill="C9CBD4"/>
          </w:tcPr>
          <w:p>
            <w:pPr>
              <w:pStyle w:val="TableParagraph"/>
              <w:ind w:right="73"/>
              <w:jc w:val="right"/>
              <w:rPr>
                <w:sz w:val="24"/>
              </w:rPr>
            </w:pPr>
            <w:r>
              <w:rPr>
                <w:color w:val="231F20"/>
                <w:spacing w:val="-2"/>
                <w:sz w:val="24"/>
              </w:rPr>
              <w:t>2,066</w:t>
            </w:r>
          </w:p>
        </w:tc>
        <w:tc>
          <w:tcPr>
            <w:tcW w:w="1418" w:type="dxa"/>
            <w:tcBorders>
              <w:right w:val="nil"/>
            </w:tcBorders>
            <w:shd w:val="clear" w:color="auto" w:fill="C9CBD4"/>
          </w:tcPr>
          <w:p>
            <w:pPr>
              <w:pStyle w:val="TableParagraph"/>
              <w:ind w:right="79"/>
              <w:jc w:val="right"/>
              <w:rPr>
                <w:sz w:val="24"/>
              </w:rPr>
            </w:pPr>
            <w:r>
              <w:rPr>
                <w:color w:val="231F20"/>
                <w:spacing w:val="-5"/>
                <w:sz w:val="24"/>
              </w:rPr>
              <w:t>93</w:t>
            </w:r>
          </w:p>
        </w:tc>
      </w:tr>
      <w:tr>
        <w:trPr>
          <w:trHeight w:val="324" w:hRule="atLeast"/>
        </w:trPr>
        <w:tc>
          <w:tcPr>
            <w:tcW w:w="6236" w:type="dxa"/>
            <w:tcBorders>
              <w:left w:val="nil"/>
            </w:tcBorders>
          </w:tcPr>
          <w:p>
            <w:pPr>
              <w:pStyle w:val="TableParagraph"/>
              <w:ind w:left="80"/>
              <w:rPr>
                <w:sz w:val="24"/>
              </w:rPr>
            </w:pPr>
            <w:r>
              <w:rPr>
                <w:color w:val="231F20"/>
                <w:sz w:val="24"/>
              </w:rPr>
              <w:t>Resources</w:t>
            </w:r>
            <w:r>
              <w:rPr>
                <w:color w:val="231F20"/>
                <w:spacing w:val="-6"/>
                <w:sz w:val="24"/>
              </w:rPr>
              <w:t> </w:t>
            </w:r>
            <w:r>
              <w:rPr>
                <w:color w:val="231F20"/>
                <w:sz w:val="24"/>
              </w:rPr>
              <w:t>&amp;</w:t>
            </w:r>
            <w:r>
              <w:rPr>
                <w:color w:val="231F20"/>
                <w:spacing w:val="-6"/>
                <w:sz w:val="24"/>
              </w:rPr>
              <w:t> </w:t>
            </w:r>
            <w:r>
              <w:rPr>
                <w:color w:val="231F20"/>
                <w:sz w:val="24"/>
              </w:rPr>
              <w:t>Business</w:t>
            </w:r>
            <w:r>
              <w:rPr>
                <w:color w:val="231F20"/>
                <w:spacing w:val="-5"/>
                <w:sz w:val="24"/>
              </w:rPr>
              <w:t> </w:t>
            </w:r>
            <w:r>
              <w:rPr>
                <w:color w:val="231F20"/>
                <w:spacing w:val="-2"/>
                <w:sz w:val="24"/>
              </w:rPr>
              <w:t>Transformation</w:t>
            </w:r>
          </w:p>
        </w:tc>
        <w:tc>
          <w:tcPr>
            <w:tcW w:w="1701" w:type="dxa"/>
          </w:tcPr>
          <w:p>
            <w:pPr>
              <w:pStyle w:val="TableParagraph"/>
              <w:ind w:right="72"/>
              <w:jc w:val="right"/>
              <w:rPr>
                <w:sz w:val="24"/>
              </w:rPr>
            </w:pPr>
            <w:r>
              <w:rPr>
                <w:color w:val="231F20"/>
                <w:spacing w:val="-2"/>
                <w:sz w:val="24"/>
              </w:rPr>
              <w:t>(392)</w:t>
            </w:r>
          </w:p>
        </w:tc>
        <w:tc>
          <w:tcPr>
            <w:tcW w:w="1418" w:type="dxa"/>
          </w:tcPr>
          <w:p>
            <w:pPr>
              <w:pStyle w:val="TableParagraph"/>
              <w:ind w:right="73"/>
              <w:jc w:val="right"/>
              <w:rPr>
                <w:sz w:val="24"/>
              </w:rPr>
            </w:pPr>
            <w:r>
              <w:rPr>
                <w:color w:val="231F20"/>
                <w:spacing w:val="-5"/>
                <w:sz w:val="24"/>
              </w:rPr>
              <w:t>291</w:t>
            </w:r>
          </w:p>
        </w:tc>
        <w:tc>
          <w:tcPr>
            <w:tcW w:w="1418" w:type="dxa"/>
            <w:tcBorders>
              <w:right w:val="nil"/>
            </w:tcBorders>
          </w:tcPr>
          <w:p>
            <w:pPr>
              <w:pStyle w:val="TableParagraph"/>
              <w:ind w:right="79"/>
              <w:jc w:val="right"/>
              <w:rPr>
                <w:sz w:val="24"/>
              </w:rPr>
            </w:pPr>
            <w:r>
              <w:rPr>
                <w:color w:val="231F20"/>
                <w:spacing w:val="-5"/>
                <w:sz w:val="24"/>
              </w:rPr>
              <w:t>683</w:t>
            </w:r>
          </w:p>
        </w:tc>
      </w:tr>
      <w:tr>
        <w:trPr>
          <w:trHeight w:val="324" w:hRule="atLeast"/>
        </w:trPr>
        <w:tc>
          <w:tcPr>
            <w:tcW w:w="6236" w:type="dxa"/>
            <w:tcBorders>
              <w:left w:val="nil"/>
            </w:tcBorders>
            <w:shd w:val="clear" w:color="auto" w:fill="C9CBD4"/>
          </w:tcPr>
          <w:p>
            <w:pPr>
              <w:pStyle w:val="TableParagraph"/>
              <w:ind w:left="80"/>
              <w:rPr>
                <w:sz w:val="24"/>
              </w:rPr>
            </w:pPr>
            <w:r>
              <w:rPr>
                <w:color w:val="231F20"/>
                <w:sz w:val="24"/>
              </w:rPr>
              <w:t>Place</w:t>
            </w:r>
            <w:r>
              <w:rPr>
                <w:color w:val="231F20"/>
                <w:spacing w:val="-3"/>
                <w:sz w:val="24"/>
              </w:rPr>
              <w:t> </w:t>
            </w:r>
            <w:r>
              <w:rPr>
                <w:color w:val="231F20"/>
                <w:sz w:val="24"/>
              </w:rPr>
              <w:t>&amp;</w:t>
            </w:r>
            <w:r>
              <w:rPr>
                <w:color w:val="231F20"/>
                <w:spacing w:val="-3"/>
                <w:sz w:val="24"/>
              </w:rPr>
              <w:t> </w:t>
            </w:r>
            <w:r>
              <w:rPr>
                <w:color w:val="231F20"/>
                <w:spacing w:val="-2"/>
                <w:sz w:val="24"/>
              </w:rPr>
              <w:t>Communities</w:t>
            </w:r>
          </w:p>
        </w:tc>
        <w:tc>
          <w:tcPr>
            <w:tcW w:w="1701" w:type="dxa"/>
            <w:shd w:val="clear" w:color="auto" w:fill="C9CBD4"/>
          </w:tcPr>
          <w:p>
            <w:pPr>
              <w:pStyle w:val="TableParagraph"/>
              <w:ind w:right="73"/>
              <w:jc w:val="right"/>
              <w:rPr>
                <w:sz w:val="24"/>
              </w:rPr>
            </w:pPr>
            <w:r>
              <w:rPr>
                <w:color w:val="231F20"/>
                <w:spacing w:val="-2"/>
                <w:sz w:val="24"/>
              </w:rPr>
              <w:t>9,791</w:t>
            </w:r>
          </w:p>
        </w:tc>
        <w:tc>
          <w:tcPr>
            <w:tcW w:w="1418" w:type="dxa"/>
            <w:shd w:val="clear" w:color="auto" w:fill="C9CBD4"/>
          </w:tcPr>
          <w:p>
            <w:pPr>
              <w:pStyle w:val="TableParagraph"/>
              <w:ind w:right="73"/>
              <w:jc w:val="right"/>
              <w:rPr>
                <w:sz w:val="24"/>
              </w:rPr>
            </w:pPr>
            <w:r>
              <w:rPr>
                <w:color w:val="231F20"/>
                <w:spacing w:val="-2"/>
                <w:sz w:val="24"/>
              </w:rPr>
              <w:t>8,394</w:t>
            </w:r>
          </w:p>
        </w:tc>
        <w:tc>
          <w:tcPr>
            <w:tcW w:w="1418" w:type="dxa"/>
            <w:tcBorders>
              <w:right w:val="nil"/>
            </w:tcBorders>
            <w:shd w:val="clear" w:color="auto" w:fill="C9CBD4"/>
          </w:tcPr>
          <w:p>
            <w:pPr>
              <w:pStyle w:val="TableParagraph"/>
              <w:ind w:right="78"/>
              <w:jc w:val="right"/>
              <w:rPr>
                <w:sz w:val="24"/>
              </w:rPr>
            </w:pPr>
            <w:r>
              <w:rPr>
                <w:color w:val="231F20"/>
                <w:spacing w:val="-2"/>
                <w:sz w:val="24"/>
              </w:rPr>
              <w:t>(1,397)</w:t>
            </w:r>
          </w:p>
        </w:tc>
      </w:tr>
      <w:tr>
        <w:trPr>
          <w:trHeight w:val="324" w:hRule="atLeast"/>
        </w:trPr>
        <w:tc>
          <w:tcPr>
            <w:tcW w:w="6236" w:type="dxa"/>
            <w:tcBorders>
              <w:left w:val="nil"/>
            </w:tcBorders>
          </w:tcPr>
          <w:p>
            <w:pPr>
              <w:pStyle w:val="TableParagraph"/>
              <w:ind w:left="80"/>
              <w:rPr>
                <w:sz w:val="24"/>
              </w:rPr>
            </w:pPr>
            <w:r>
              <w:rPr>
                <w:color w:val="231F20"/>
                <w:sz w:val="24"/>
              </w:rPr>
              <w:t>Housing &amp;</w:t>
            </w:r>
            <w:r>
              <w:rPr>
                <w:color w:val="231F20"/>
                <w:spacing w:val="-1"/>
                <w:sz w:val="24"/>
              </w:rPr>
              <w:t> </w:t>
            </w:r>
            <w:r>
              <w:rPr>
                <w:color w:val="231F20"/>
                <w:spacing w:val="-2"/>
                <w:sz w:val="24"/>
              </w:rPr>
              <w:t>Assets</w:t>
            </w:r>
          </w:p>
        </w:tc>
        <w:tc>
          <w:tcPr>
            <w:tcW w:w="1701" w:type="dxa"/>
          </w:tcPr>
          <w:p>
            <w:pPr>
              <w:pStyle w:val="TableParagraph"/>
              <w:ind w:right="73"/>
              <w:jc w:val="right"/>
              <w:rPr>
                <w:sz w:val="24"/>
              </w:rPr>
            </w:pPr>
            <w:r>
              <w:rPr>
                <w:color w:val="231F20"/>
                <w:spacing w:val="-2"/>
                <w:sz w:val="24"/>
              </w:rPr>
              <w:t>2,426</w:t>
            </w:r>
          </w:p>
        </w:tc>
        <w:tc>
          <w:tcPr>
            <w:tcW w:w="1418" w:type="dxa"/>
          </w:tcPr>
          <w:p>
            <w:pPr>
              <w:pStyle w:val="TableParagraph"/>
              <w:ind w:right="73"/>
              <w:jc w:val="right"/>
              <w:rPr>
                <w:sz w:val="24"/>
              </w:rPr>
            </w:pPr>
            <w:r>
              <w:rPr>
                <w:color w:val="231F20"/>
                <w:spacing w:val="-2"/>
                <w:sz w:val="24"/>
              </w:rPr>
              <w:t>2,226</w:t>
            </w:r>
          </w:p>
        </w:tc>
        <w:tc>
          <w:tcPr>
            <w:tcW w:w="1418" w:type="dxa"/>
            <w:tcBorders>
              <w:right w:val="nil"/>
            </w:tcBorders>
          </w:tcPr>
          <w:p>
            <w:pPr>
              <w:pStyle w:val="TableParagraph"/>
              <w:ind w:right="79"/>
              <w:jc w:val="right"/>
              <w:rPr>
                <w:sz w:val="24"/>
              </w:rPr>
            </w:pPr>
            <w:r>
              <w:rPr>
                <w:color w:val="231F20"/>
                <w:spacing w:val="-2"/>
                <w:sz w:val="24"/>
              </w:rPr>
              <w:t>(200)</w:t>
            </w:r>
          </w:p>
        </w:tc>
      </w:tr>
      <w:tr>
        <w:trPr>
          <w:trHeight w:val="329" w:hRule="atLeast"/>
        </w:trPr>
        <w:tc>
          <w:tcPr>
            <w:tcW w:w="6236" w:type="dxa"/>
            <w:tcBorders>
              <w:left w:val="nil"/>
              <w:bottom w:val="nil"/>
            </w:tcBorders>
            <w:shd w:val="clear" w:color="auto" w:fill="C9CBD4"/>
          </w:tcPr>
          <w:p>
            <w:pPr>
              <w:pStyle w:val="TableParagraph"/>
              <w:spacing w:line="310" w:lineRule="exact"/>
              <w:ind w:left="80"/>
              <w:rPr>
                <w:b/>
                <w:sz w:val="24"/>
              </w:rPr>
            </w:pPr>
            <w:r>
              <w:rPr>
                <w:b/>
                <w:color w:val="231F20"/>
                <w:sz w:val="24"/>
              </w:rPr>
              <w:t>Net</w:t>
            </w:r>
            <w:r>
              <w:rPr>
                <w:b/>
                <w:color w:val="231F20"/>
                <w:spacing w:val="-4"/>
                <w:sz w:val="24"/>
              </w:rPr>
              <w:t> </w:t>
            </w:r>
            <w:r>
              <w:rPr>
                <w:b/>
                <w:color w:val="231F20"/>
                <w:sz w:val="24"/>
              </w:rPr>
              <w:t>Cost</w:t>
            </w:r>
            <w:r>
              <w:rPr>
                <w:b/>
                <w:color w:val="231F20"/>
                <w:spacing w:val="-3"/>
                <w:sz w:val="24"/>
              </w:rPr>
              <w:t> </w:t>
            </w:r>
            <w:r>
              <w:rPr>
                <w:b/>
                <w:color w:val="231F20"/>
                <w:sz w:val="24"/>
              </w:rPr>
              <w:t>of</w:t>
            </w:r>
            <w:r>
              <w:rPr>
                <w:b/>
                <w:color w:val="231F20"/>
                <w:spacing w:val="-3"/>
                <w:sz w:val="24"/>
              </w:rPr>
              <w:t> </w:t>
            </w:r>
            <w:r>
              <w:rPr>
                <w:b/>
                <w:color w:val="231F20"/>
                <w:spacing w:val="-2"/>
                <w:sz w:val="24"/>
              </w:rPr>
              <w:t>Services</w:t>
            </w:r>
          </w:p>
        </w:tc>
        <w:tc>
          <w:tcPr>
            <w:tcW w:w="1701" w:type="dxa"/>
            <w:tcBorders>
              <w:bottom w:val="nil"/>
            </w:tcBorders>
            <w:shd w:val="clear" w:color="auto" w:fill="C9CBD4"/>
          </w:tcPr>
          <w:p>
            <w:pPr>
              <w:pStyle w:val="TableParagraph"/>
              <w:spacing w:line="310" w:lineRule="exact"/>
              <w:ind w:right="73"/>
              <w:jc w:val="right"/>
              <w:rPr>
                <w:b/>
                <w:sz w:val="24"/>
              </w:rPr>
            </w:pPr>
            <w:r>
              <w:rPr>
                <w:b/>
                <w:color w:val="231F20"/>
                <w:spacing w:val="-2"/>
                <w:sz w:val="24"/>
              </w:rPr>
              <w:t>14,468</w:t>
            </w:r>
          </w:p>
        </w:tc>
        <w:tc>
          <w:tcPr>
            <w:tcW w:w="1418" w:type="dxa"/>
            <w:tcBorders>
              <w:bottom w:val="nil"/>
            </w:tcBorders>
            <w:shd w:val="clear" w:color="auto" w:fill="C9CBD4"/>
          </w:tcPr>
          <w:p>
            <w:pPr>
              <w:pStyle w:val="TableParagraph"/>
              <w:spacing w:line="310" w:lineRule="exact"/>
              <w:ind w:right="74"/>
              <w:jc w:val="right"/>
              <w:rPr>
                <w:b/>
                <w:sz w:val="24"/>
              </w:rPr>
            </w:pPr>
            <w:r>
              <w:rPr>
                <w:b/>
                <w:color w:val="231F20"/>
                <w:spacing w:val="-2"/>
                <w:sz w:val="24"/>
              </w:rPr>
              <w:t>13,622</w:t>
            </w:r>
          </w:p>
        </w:tc>
        <w:tc>
          <w:tcPr>
            <w:tcW w:w="1418" w:type="dxa"/>
            <w:tcBorders>
              <w:bottom w:val="nil"/>
              <w:right w:val="nil"/>
            </w:tcBorders>
            <w:shd w:val="clear" w:color="auto" w:fill="C9CBD4"/>
          </w:tcPr>
          <w:p>
            <w:pPr>
              <w:pStyle w:val="TableParagraph"/>
              <w:spacing w:line="310" w:lineRule="exact"/>
              <w:ind w:right="79"/>
              <w:jc w:val="right"/>
              <w:rPr>
                <w:b/>
                <w:sz w:val="24"/>
              </w:rPr>
            </w:pPr>
            <w:r>
              <w:rPr>
                <w:b/>
                <w:color w:val="231F20"/>
                <w:spacing w:val="-2"/>
                <w:sz w:val="24"/>
              </w:rPr>
              <w:t>(846)</w:t>
            </w:r>
          </w:p>
        </w:tc>
      </w:tr>
    </w:tbl>
    <w:p>
      <w:pPr>
        <w:pStyle w:val="BodyText"/>
        <w:rPr>
          <w:b/>
          <w:sz w:val="22"/>
        </w:rPr>
      </w:pPr>
    </w:p>
    <w:tbl>
      <w:tblPr>
        <w:tblW w:w="0" w:type="auto"/>
        <w:jc w:val="left"/>
        <w:tblInd w:w="574" w:type="dxa"/>
        <w:tblBorders>
          <w:top w:val="single" w:sz="4" w:space="0" w:color="3B5673"/>
          <w:left w:val="single" w:sz="4" w:space="0" w:color="3B5673"/>
          <w:bottom w:val="single" w:sz="4" w:space="0" w:color="3B5673"/>
          <w:right w:val="single" w:sz="4" w:space="0" w:color="3B5673"/>
          <w:insideH w:val="single" w:sz="4" w:space="0" w:color="3B5673"/>
          <w:insideV w:val="single" w:sz="4" w:space="0" w:color="3B5673"/>
        </w:tblBorders>
        <w:tblLayout w:type="fixed"/>
        <w:tblCellMar>
          <w:top w:w="0" w:type="dxa"/>
          <w:left w:w="0" w:type="dxa"/>
          <w:bottom w:w="0" w:type="dxa"/>
          <w:right w:w="0" w:type="dxa"/>
        </w:tblCellMar>
        <w:tblLook w:val="01E0"/>
      </w:tblPr>
      <w:tblGrid>
        <w:gridCol w:w="9354"/>
        <w:gridCol w:w="1417"/>
      </w:tblGrid>
      <w:tr>
        <w:trPr>
          <w:trHeight w:val="448" w:hRule="atLeast"/>
        </w:trPr>
        <w:tc>
          <w:tcPr>
            <w:tcW w:w="9354" w:type="dxa"/>
            <w:tcBorders>
              <w:top w:val="nil"/>
              <w:left w:val="nil"/>
            </w:tcBorders>
            <w:shd w:val="clear" w:color="auto" w:fill="5D6B86"/>
          </w:tcPr>
          <w:p>
            <w:pPr>
              <w:pStyle w:val="TableParagraph"/>
              <w:spacing w:line="240" w:lineRule="auto" w:before="55"/>
              <w:ind w:left="80"/>
              <w:rPr>
                <w:b/>
                <w:sz w:val="24"/>
              </w:rPr>
            </w:pPr>
            <w:r>
              <w:rPr>
                <w:b/>
                <w:color w:val="FFFFFF"/>
                <w:sz w:val="24"/>
              </w:rPr>
              <w:t>Key</w:t>
            </w:r>
            <w:r>
              <w:rPr>
                <w:b/>
                <w:color w:val="FFFFFF"/>
                <w:spacing w:val="-14"/>
                <w:sz w:val="24"/>
              </w:rPr>
              <w:t> </w:t>
            </w:r>
            <w:r>
              <w:rPr>
                <w:b/>
                <w:color w:val="FFFFFF"/>
                <w:sz w:val="24"/>
              </w:rPr>
              <w:t>Variance</w:t>
            </w:r>
            <w:r>
              <w:rPr>
                <w:b/>
                <w:color w:val="FFFFFF"/>
                <w:spacing w:val="-14"/>
                <w:sz w:val="24"/>
              </w:rPr>
              <w:t> </w:t>
            </w:r>
            <w:r>
              <w:rPr>
                <w:b/>
                <w:color w:val="FFFFFF"/>
                <w:spacing w:val="-2"/>
                <w:sz w:val="24"/>
              </w:rPr>
              <w:t>Explanations:</w:t>
            </w:r>
          </w:p>
        </w:tc>
        <w:tc>
          <w:tcPr>
            <w:tcW w:w="1417" w:type="dxa"/>
            <w:tcBorders>
              <w:top w:val="nil"/>
              <w:right w:val="nil"/>
            </w:tcBorders>
            <w:shd w:val="clear" w:color="auto" w:fill="5D6B86"/>
          </w:tcPr>
          <w:p>
            <w:pPr>
              <w:pStyle w:val="TableParagraph"/>
              <w:spacing w:line="240" w:lineRule="auto"/>
              <w:rPr>
                <w:rFonts w:ascii="Times New Roman"/>
                <w:sz w:val="24"/>
              </w:rPr>
            </w:pPr>
          </w:p>
        </w:tc>
      </w:tr>
      <w:tr>
        <w:trPr>
          <w:trHeight w:val="324" w:hRule="atLeast"/>
        </w:trPr>
        <w:tc>
          <w:tcPr>
            <w:tcW w:w="9354" w:type="dxa"/>
            <w:tcBorders>
              <w:left w:val="nil"/>
            </w:tcBorders>
          </w:tcPr>
          <w:p>
            <w:pPr>
              <w:pStyle w:val="TableParagraph"/>
              <w:ind w:left="80"/>
              <w:rPr>
                <w:sz w:val="24"/>
              </w:rPr>
            </w:pPr>
            <w:r>
              <w:rPr>
                <w:color w:val="231F20"/>
                <w:sz w:val="24"/>
              </w:rPr>
              <w:t>Net</w:t>
            </w:r>
            <w:r>
              <w:rPr>
                <w:color w:val="231F20"/>
                <w:spacing w:val="-5"/>
                <w:sz w:val="24"/>
              </w:rPr>
              <w:t> </w:t>
            </w:r>
            <w:r>
              <w:rPr>
                <w:color w:val="231F20"/>
                <w:sz w:val="24"/>
              </w:rPr>
              <w:t>staff</w:t>
            </w:r>
            <w:r>
              <w:rPr>
                <w:color w:val="231F20"/>
                <w:spacing w:val="-5"/>
                <w:sz w:val="24"/>
              </w:rPr>
              <w:t> </w:t>
            </w:r>
            <w:r>
              <w:rPr>
                <w:color w:val="231F20"/>
                <w:sz w:val="24"/>
              </w:rPr>
              <w:t>cost</w:t>
            </w:r>
            <w:r>
              <w:rPr>
                <w:color w:val="231F20"/>
                <w:spacing w:val="-4"/>
                <w:sz w:val="24"/>
              </w:rPr>
              <w:t> </w:t>
            </w:r>
            <w:r>
              <w:rPr>
                <w:color w:val="231F20"/>
                <w:sz w:val="24"/>
              </w:rPr>
              <w:t>savings</w:t>
            </w:r>
            <w:r>
              <w:rPr>
                <w:color w:val="231F20"/>
                <w:spacing w:val="-5"/>
                <w:sz w:val="24"/>
              </w:rPr>
              <w:t> </w:t>
            </w:r>
            <w:r>
              <w:rPr>
                <w:color w:val="231F20"/>
                <w:spacing w:val="-2"/>
                <w:sz w:val="24"/>
              </w:rPr>
              <w:t>(vacancies)</w:t>
            </w:r>
          </w:p>
        </w:tc>
        <w:tc>
          <w:tcPr>
            <w:tcW w:w="1417" w:type="dxa"/>
            <w:tcBorders>
              <w:right w:val="nil"/>
            </w:tcBorders>
          </w:tcPr>
          <w:p>
            <w:pPr>
              <w:pStyle w:val="TableParagraph"/>
              <w:ind w:right="77"/>
              <w:jc w:val="right"/>
              <w:rPr>
                <w:sz w:val="24"/>
              </w:rPr>
            </w:pPr>
            <w:r>
              <w:rPr>
                <w:color w:val="231F20"/>
                <w:spacing w:val="-2"/>
                <w:sz w:val="24"/>
              </w:rPr>
              <w:t>(160)</w:t>
            </w:r>
          </w:p>
        </w:tc>
      </w:tr>
      <w:tr>
        <w:trPr>
          <w:trHeight w:val="324" w:hRule="atLeast"/>
        </w:trPr>
        <w:tc>
          <w:tcPr>
            <w:tcW w:w="9354" w:type="dxa"/>
            <w:tcBorders>
              <w:left w:val="nil"/>
            </w:tcBorders>
            <w:shd w:val="clear" w:color="auto" w:fill="C9CBD4"/>
          </w:tcPr>
          <w:p>
            <w:pPr>
              <w:pStyle w:val="TableParagraph"/>
              <w:ind w:left="80"/>
              <w:rPr>
                <w:sz w:val="24"/>
              </w:rPr>
            </w:pPr>
            <w:r>
              <w:rPr>
                <w:color w:val="231F20"/>
                <w:sz w:val="24"/>
              </w:rPr>
              <w:t>Net</w:t>
            </w:r>
            <w:r>
              <w:rPr>
                <w:color w:val="231F20"/>
                <w:spacing w:val="-3"/>
                <w:sz w:val="24"/>
              </w:rPr>
              <w:t> </w:t>
            </w:r>
            <w:r>
              <w:rPr>
                <w:color w:val="231F20"/>
                <w:sz w:val="24"/>
              </w:rPr>
              <w:t>additional</w:t>
            </w:r>
            <w:r>
              <w:rPr>
                <w:color w:val="231F20"/>
                <w:spacing w:val="-3"/>
                <w:sz w:val="24"/>
              </w:rPr>
              <w:t> </w:t>
            </w:r>
            <w:r>
              <w:rPr>
                <w:color w:val="231F20"/>
                <w:sz w:val="24"/>
              </w:rPr>
              <w:t>service</w:t>
            </w:r>
            <w:r>
              <w:rPr>
                <w:color w:val="231F20"/>
                <w:spacing w:val="-3"/>
                <w:sz w:val="24"/>
              </w:rPr>
              <w:t> </w:t>
            </w:r>
            <w:r>
              <w:rPr>
                <w:color w:val="231F20"/>
                <w:spacing w:val="-2"/>
                <w:sz w:val="24"/>
              </w:rPr>
              <w:t>income</w:t>
            </w:r>
          </w:p>
        </w:tc>
        <w:tc>
          <w:tcPr>
            <w:tcW w:w="1417" w:type="dxa"/>
            <w:tcBorders>
              <w:right w:val="nil"/>
            </w:tcBorders>
            <w:shd w:val="clear" w:color="auto" w:fill="C9CBD4"/>
          </w:tcPr>
          <w:p>
            <w:pPr>
              <w:pStyle w:val="TableParagraph"/>
              <w:ind w:right="77"/>
              <w:jc w:val="right"/>
              <w:rPr>
                <w:sz w:val="24"/>
              </w:rPr>
            </w:pPr>
            <w:r>
              <w:rPr>
                <w:color w:val="231F20"/>
                <w:spacing w:val="-2"/>
                <w:sz w:val="24"/>
              </w:rPr>
              <w:t>(327)</w:t>
            </w:r>
          </w:p>
        </w:tc>
      </w:tr>
      <w:tr>
        <w:trPr>
          <w:trHeight w:val="324" w:hRule="atLeast"/>
        </w:trPr>
        <w:tc>
          <w:tcPr>
            <w:tcW w:w="9354" w:type="dxa"/>
            <w:tcBorders>
              <w:left w:val="nil"/>
            </w:tcBorders>
          </w:tcPr>
          <w:p>
            <w:pPr>
              <w:pStyle w:val="TableParagraph"/>
              <w:ind w:left="80"/>
              <w:rPr>
                <w:sz w:val="24"/>
              </w:rPr>
            </w:pPr>
            <w:r>
              <w:rPr>
                <w:color w:val="231F20"/>
                <w:sz w:val="24"/>
              </w:rPr>
              <w:t>Additional</w:t>
            </w:r>
            <w:r>
              <w:rPr>
                <w:color w:val="231F20"/>
                <w:spacing w:val="-4"/>
                <w:sz w:val="24"/>
              </w:rPr>
              <w:t> </w:t>
            </w:r>
            <w:r>
              <w:rPr>
                <w:color w:val="231F20"/>
                <w:sz w:val="24"/>
              </w:rPr>
              <w:t>Grant</w:t>
            </w:r>
            <w:r>
              <w:rPr>
                <w:color w:val="231F20"/>
                <w:spacing w:val="-2"/>
                <w:sz w:val="24"/>
              </w:rPr>
              <w:t> income</w:t>
            </w:r>
          </w:p>
        </w:tc>
        <w:tc>
          <w:tcPr>
            <w:tcW w:w="1417" w:type="dxa"/>
            <w:tcBorders>
              <w:right w:val="nil"/>
            </w:tcBorders>
          </w:tcPr>
          <w:p>
            <w:pPr>
              <w:pStyle w:val="TableParagraph"/>
              <w:ind w:right="77"/>
              <w:jc w:val="right"/>
              <w:rPr>
                <w:sz w:val="24"/>
              </w:rPr>
            </w:pPr>
            <w:r>
              <w:rPr>
                <w:color w:val="231F20"/>
                <w:spacing w:val="-2"/>
                <w:sz w:val="24"/>
              </w:rPr>
              <w:t>(920)</w:t>
            </w:r>
          </w:p>
        </w:tc>
      </w:tr>
      <w:tr>
        <w:trPr>
          <w:trHeight w:val="324" w:hRule="atLeast"/>
        </w:trPr>
        <w:tc>
          <w:tcPr>
            <w:tcW w:w="9354" w:type="dxa"/>
            <w:tcBorders>
              <w:left w:val="nil"/>
            </w:tcBorders>
            <w:shd w:val="clear" w:color="auto" w:fill="C9CBD4"/>
          </w:tcPr>
          <w:p>
            <w:pPr>
              <w:pStyle w:val="TableParagraph"/>
              <w:ind w:left="80"/>
              <w:rPr>
                <w:sz w:val="24"/>
              </w:rPr>
            </w:pPr>
            <w:r>
              <w:rPr>
                <w:color w:val="231F20"/>
                <w:sz w:val="24"/>
              </w:rPr>
              <w:t>Additional</w:t>
            </w:r>
            <w:r>
              <w:rPr>
                <w:color w:val="231F20"/>
                <w:spacing w:val="-5"/>
                <w:sz w:val="24"/>
              </w:rPr>
              <w:t> </w:t>
            </w:r>
            <w:r>
              <w:rPr>
                <w:color w:val="231F20"/>
                <w:sz w:val="24"/>
              </w:rPr>
              <w:t>Housing</w:t>
            </w:r>
            <w:r>
              <w:rPr>
                <w:color w:val="231F20"/>
                <w:spacing w:val="-4"/>
                <w:sz w:val="24"/>
              </w:rPr>
              <w:t> </w:t>
            </w:r>
            <w:r>
              <w:rPr>
                <w:color w:val="231F20"/>
                <w:sz w:val="24"/>
              </w:rPr>
              <w:t>Benefit</w:t>
            </w:r>
            <w:r>
              <w:rPr>
                <w:color w:val="231F20"/>
                <w:spacing w:val="-5"/>
                <w:sz w:val="24"/>
              </w:rPr>
              <w:t> </w:t>
            </w:r>
            <w:r>
              <w:rPr>
                <w:color w:val="231F20"/>
                <w:sz w:val="24"/>
              </w:rPr>
              <w:t>&amp;</w:t>
            </w:r>
            <w:r>
              <w:rPr>
                <w:color w:val="231F20"/>
                <w:spacing w:val="-5"/>
                <w:sz w:val="24"/>
              </w:rPr>
              <w:t> </w:t>
            </w:r>
            <w:r>
              <w:rPr>
                <w:color w:val="231F20"/>
                <w:sz w:val="24"/>
              </w:rPr>
              <w:t>Discretionary</w:t>
            </w:r>
            <w:r>
              <w:rPr>
                <w:color w:val="231F20"/>
                <w:spacing w:val="-6"/>
                <w:sz w:val="24"/>
              </w:rPr>
              <w:t> </w:t>
            </w:r>
            <w:r>
              <w:rPr>
                <w:color w:val="231F20"/>
                <w:sz w:val="24"/>
              </w:rPr>
              <w:t>Housing</w:t>
            </w:r>
            <w:r>
              <w:rPr>
                <w:color w:val="231F20"/>
                <w:spacing w:val="-4"/>
                <w:sz w:val="24"/>
              </w:rPr>
              <w:t> </w:t>
            </w:r>
            <w:r>
              <w:rPr>
                <w:color w:val="231F20"/>
                <w:spacing w:val="-2"/>
                <w:sz w:val="24"/>
              </w:rPr>
              <w:t>Payments</w:t>
            </w:r>
          </w:p>
        </w:tc>
        <w:tc>
          <w:tcPr>
            <w:tcW w:w="1417" w:type="dxa"/>
            <w:tcBorders>
              <w:right w:val="nil"/>
            </w:tcBorders>
            <w:shd w:val="clear" w:color="auto" w:fill="C9CBD4"/>
          </w:tcPr>
          <w:p>
            <w:pPr>
              <w:pStyle w:val="TableParagraph"/>
              <w:ind w:right="77"/>
              <w:jc w:val="right"/>
              <w:rPr>
                <w:sz w:val="24"/>
              </w:rPr>
            </w:pPr>
            <w:r>
              <w:rPr>
                <w:color w:val="231F20"/>
                <w:spacing w:val="-5"/>
                <w:sz w:val="24"/>
              </w:rPr>
              <w:t>367</w:t>
            </w:r>
          </w:p>
        </w:tc>
      </w:tr>
      <w:tr>
        <w:trPr>
          <w:trHeight w:val="324" w:hRule="atLeast"/>
        </w:trPr>
        <w:tc>
          <w:tcPr>
            <w:tcW w:w="9354" w:type="dxa"/>
            <w:tcBorders>
              <w:left w:val="nil"/>
            </w:tcBorders>
          </w:tcPr>
          <w:p>
            <w:pPr>
              <w:pStyle w:val="TableParagraph"/>
              <w:ind w:left="80"/>
              <w:rPr>
                <w:sz w:val="24"/>
              </w:rPr>
            </w:pPr>
            <w:r>
              <w:rPr>
                <w:color w:val="231F20"/>
                <w:sz w:val="24"/>
              </w:rPr>
              <w:t>Planned</w:t>
            </w:r>
            <w:r>
              <w:rPr>
                <w:color w:val="231F20"/>
                <w:spacing w:val="-3"/>
                <w:sz w:val="24"/>
              </w:rPr>
              <w:t> </w:t>
            </w:r>
            <w:r>
              <w:rPr>
                <w:color w:val="231F20"/>
                <w:sz w:val="24"/>
              </w:rPr>
              <w:t>use</w:t>
            </w:r>
            <w:r>
              <w:rPr>
                <w:color w:val="231F20"/>
                <w:spacing w:val="-1"/>
                <w:sz w:val="24"/>
              </w:rPr>
              <w:t> </w:t>
            </w:r>
            <w:r>
              <w:rPr>
                <w:color w:val="231F20"/>
                <w:sz w:val="24"/>
              </w:rPr>
              <w:t>of</w:t>
            </w:r>
            <w:r>
              <w:rPr>
                <w:color w:val="231F20"/>
                <w:spacing w:val="-2"/>
                <w:sz w:val="24"/>
              </w:rPr>
              <w:t> </w:t>
            </w:r>
            <w:r>
              <w:rPr>
                <w:color w:val="231F20"/>
                <w:sz w:val="24"/>
              </w:rPr>
              <w:t>earmarked</w:t>
            </w:r>
            <w:r>
              <w:rPr>
                <w:color w:val="231F20"/>
                <w:spacing w:val="-1"/>
                <w:sz w:val="24"/>
              </w:rPr>
              <w:t> </w:t>
            </w:r>
            <w:r>
              <w:rPr>
                <w:color w:val="231F20"/>
                <w:spacing w:val="-2"/>
                <w:sz w:val="24"/>
              </w:rPr>
              <w:t>reserves</w:t>
            </w:r>
          </w:p>
        </w:tc>
        <w:tc>
          <w:tcPr>
            <w:tcW w:w="1417" w:type="dxa"/>
            <w:tcBorders>
              <w:right w:val="nil"/>
            </w:tcBorders>
          </w:tcPr>
          <w:p>
            <w:pPr>
              <w:pStyle w:val="TableParagraph"/>
              <w:ind w:right="77"/>
              <w:jc w:val="right"/>
              <w:rPr>
                <w:sz w:val="24"/>
              </w:rPr>
            </w:pPr>
            <w:r>
              <w:rPr>
                <w:color w:val="231F20"/>
                <w:spacing w:val="-5"/>
                <w:sz w:val="24"/>
              </w:rPr>
              <w:t>202</w:t>
            </w:r>
          </w:p>
        </w:tc>
      </w:tr>
      <w:tr>
        <w:trPr>
          <w:trHeight w:val="329" w:hRule="atLeast"/>
        </w:trPr>
        <w:tc>
          <w:tcPr>
            <w:tcW w:w="9354" w:type="dxa"/>
            <w:tcBorders>
              <w:left w:val="nil"/>
              <w:bottom w:val="nil"/>
            </w:tcBorders>
            <w:shd w:val="clear" w:color="auto" w:fill="C9CBD4"/>
          </w:tcPr>
          <w:p>
            <w:pPr>
              <w:pStyle w:val="TableParagraph"/>
              <w:spacing w:line="310" w:lineRule="exact"/>
              <w:ind w:left="80"/>
              <w:rPr>
                <w:sz w:val="24"/>
              </w:rPr>
            </w:pPr>
            <w:r>
              <w:rPr>
                <w:color w:val="231F20"/>
                <w:sz w:val="24"/>
              </w:rPr>
              <w:t>Other</w:t>
            </w:r>
            <w:r>
              <w:rPr>
                <w:color w:val="231F20"/>
                <w:spacing w:val="-3"/>
                <w:sz w:val="24"/>
              </w:rPr>
              <w:t> </w:t>
            </w:r>
            <w:r>
              <w:rPr>
                <w:color w:val="231F20"/>
                <w:sz w:val="24"/>
              </w:rPr>
              <w:t>items</w:t>
            </w:r>
            <w:r>
              <w:rPr>
                <w:color w:val="231F20"/>
                <w:spacing w:val="-2"/>
                <w:sz w:val="24"/>
              </w:rPr>
              <w:t> (net)</w:t>
            </w:r>
          </w:p>
        </w:tc>
        <w:tc>
          <w:tcPr>
            <w:tcW w:w="1417" w:type="dxa"/>
            <w:tcBorders>
              <w:bottom w:val="nil"/>
              <w:right w:val="nil"/>
            </w:tcBorders>
            <w:shd w:val="clear" w:color="auto" w:fill="C9CBD4"/>
          </w:tcPr>
          <w:p>
            <w:pPr>
              <w:pStyle w:val="TableParagraph"/>
              <w:spacing w:line="310" w:lineRule="exact"/>
              <w:ind w:right="77"/>
              <w:jc w:val="right"/>
              <w:rPr>
                <w:sz w:val="24"/>
              </w:rPr>
            </w:pPr>
            <w:r>
              <w:rPr>
                <w:color w:val="231F20"/>
                <w:spacing w:val="-5"/>
                <w:sz w:val="24"/>
              </w:rPr>
              <w:t>(8)</w:t>
            </w:r>
          </w:p>
        </w:tc>
      </w:tr>
      <w:tr>
        <w:trPr>
          <w:trHeight w:val="334" w:hRule="atLeast"/>
        </w:trPr>
        <w:tc>
          <w:tcPr>
            <w:tcW w:w="9354" w:type="dxa"/>
            <w:tcBorders>
              <w:top w:val="nil"/>
              <w:left w:val="nil"/>
              <w:bottom w:val="nil"/>
              <w:right w:val="single" w:sz="4" w:space="0" w:color="231F20"/>
            </w:tcBorders>
          </w:tcPr>
          <w:p>
            <w:pPr>
              <w:pStyle w:val="TableParagraph"/>
              <w:spacing w:line="240" w:lineRule="auto"/>
              <w:rPr>
                <w:rFonts w:ascii="Times New Roman"/>
                <w:sz w:val="24"/>
              </w:rPr>
            </w:pPr>
          </w:p>
        </w:tc>
        <w:tc>
          <w:tcPr>
            <w:tcW w:w="1417" w:type="dxa"/>
            <w:tcBorders>
              <w:top w:val="nil"/>
              <w:left w:val="single" w:sz="4" w:space="0" w:color="231F20"/>
              <w:bottom w:val="nil"/>
              <w:right w:val="nil"/>
            </w:tcBorders>
          </w:tcPr>
          <w:p>
            <w:pPr>
              <w:pStyle w:val="TableParagraph"/>
              <w:spacing w:line="315" w:lineRule="exact"/>
              <w:ind w:right="77"/>
              <w:jc w:val="right"/>
              <w:rPr>
                <w:b/>
                <w:sz w:val="24"/>
              </w:rPr>
            </w:pPr>
            <w:r>
              <w:rPr>
                <w:b/>
                <w:color w:val="231F20"/>
                <w:spacing w:val="-2"/>
                <w:sz w:val="24"/>
              </w:rPr>
              <w:t>(846)</w:t>
            </w:r>
          </w:p>
        </w:tc>
      </w:tr>
    </w:tbl>
    <w:p>
      <w:pPr>
        <w:pStyle w:val="BodyText"/>
        <w:spacing w:before="8"/>
        <w:rPr>
          <w:b/>
          <w:sz w:val="31"/>
        </w:rPr>
      </w:pPr>
    </w:p>
    <w:p>
      <w:pPr>
        <w:pStyle w:val="Heading3"/>
        <w:spacing w:line="240" w:lineRule="auto" w:before="0"/>
      </w:pPr>
      <w:r>
        <w:rPr>
          <w:color w:val="3B5673"/>
        </w:rPr>
        <w:t>GENERAL</w:t>
      </w:r>
      <w:r>
        <w:rPr>
          <w:color w:val="3B5673"/>
          <w:spacing w:val="48"/>
        </w:rPr>
        <w:t> </w:t>
      </w:r>
      <w:r>
        <w:rPr>
          <w:color w:val="3B5673"/>
        </w:rPr>
        <w:t>FUND</w:t>
      </w:r>
      <w:r>
        <w:rPr>
          <w:color w:val="3B5673"/>
          <w:spacing w:val="51"/>
        </w:rPr>
        <w:t> </w:t>
      </w:r>
      <w:r>
        <w:rPr>
          <w:color w:val="3B5673"/>
        </w:rPr>
        <w:t>RESERVES</w:t>
      </w:r>
      <w:r>
        <w:rPr>
          <w:color w:val="3B5673"/>
          <w:spacing w:val="43"/>
        </w:rPr>
        <w:t> </w:t>
      </w:r>
      <w:r>
        <w:rPr>
          <w:color w:val="3B5673"/>
          <w:spacing w:val="-4"/>
          <w:position w:val="2"/>
        </w:rPr>
        <w:t>(</w:t>
      </w:r>
      <w:r>
        <w:rPr>
          <w:color w:val="3B5673"/>
          <w:spacing w:val="-4"/>
        </w:rPr>
        <w:t>£M</w:t>
      </w:r>
      <w:r>
        <w:rPr>
          <w:color w:val="3B5673"/>
          <w:spacing w:val="-4"/>
          <w:position w:val="2"/>
        </w:rPr>
        <w:t>)</w:t>
      </w:r>
    </w:p>
    <w:p>
      <w:pPr>
        <w:spacing w:before="190"/>
        <w:ind w:left="708" w:right="0" w:firstLine="0"/>
        <w:jc w:val="left"/>
        <w:rPr>
          <w:rFonts w:ascii="Open Sans Light"/>
          <w:b w:val="0"/>
          <w:sz w:val="18"/>
        </w:rPr>
      </w:pPr>
      <w:r>
        <w:rPr/>
        <w:pict>
          <v:group style="position:absolute;margin-left:52.93pt;margin-top:13.297615pt;width:359.65pt;height:235.1pt;mso-position-horizontal-relative:page;mso-position-vertical-relative:paragraph;z-index:15752192" id="docshapegroup174" coordorigin="1059,266" coordsize="7193,4702">
            <v:shape style="position:absolute;left:1058;top:308;width:7193;height:3497" id="docshape175" coordorigin="1059,308" coordsize="7193,3497" path="m8251,3797l1059,3797,1059,3805,8251,3805,8251,3797xm8251,2634l1059,2634,1059,2642,8251,2642,8251,2634xm8251,1471l1059,1471,1059,1479,8251,1479,8251,1471xm8251,308l1059,308,1059,316,8251,316,8251,308xe" filled="true" fillcolor="#231f20" stroked="false">
              <v:path arrowok="t"/>
              <v:fill opacity="16194f" type="solid"/>
            </v:shape>
            <v:rect style="position:absolute;left:1058;top:4959;width:7193;height:8" id="docshape176" filled="true" fillcolor="#231f20" stroked="false">
              <v:fill opacity="39321f" type="solid"/>
            </v:rect>
            <v:shape style="position:absolute;left:1751;top:2913;width:1069;height:2055" id="docshape177" coordorigin="1752,2913" coordsize="1069,2055" path="m2735,2913l1837,2913,1821,2914,1766,2943,1752,2981,1752,4968,2821,4968,2821,2981,2783,2925,2735,2913xe" filled="true" fillcolor="#395873" stroked="false">
              <v:path arrowok="t"/>
              <v:fill type="solid"/>
            </v:shape>
            <v:shape style="position:absolute;left:2813;top:1534;width:1069;height:3434" id="docshape178" coordorigin="2813,1535" coordsize="1069,3434" path="m3797,1535l2899,1535,2882,1536,2828,1564,2813,1600,2813,4968,3882,4968,3882,1600,3844,1546,3797,1535xe" filled="true" fillcolor="#faa94e" stroked="false">
              <v:path arrowok="t"/>
              <v:fill type="solid"/>
            </v:shape>
            <v:shape style="position:absolute;left:4947;top:2867;width:1069;height:2101" id="docshape179" coordorigin="4948,2867" coordsize="1069,2101" path="m5931,2867l5033,2867,5016,2868,4962,2895,4948,2929,4948,4968,6017,4968,6017,2929,5979,2878,5931,2867xe" filled="true" fillcolor="#3a5974" stroked="false">
              <v:path arrowok="t"/>
              <v:fill type="solid"/>
            </v:shape>
            <v:shape style="position:absolute;left:6014;top:696;width:1069;height:4272" id="docshape180" coordorigin="6015,697" coordsize="1069,4272" path="m6998,697l6100,697,6083,698,6029,731,6015,773,6015,4968,7084,4968,7084,773,7046,710,6998,697xe" filled="true" fillcolor="#faa94d" stroked="false">
              <v:path arrowok="t"/>
              <v:fill type="solid"/>
            </v:shape>
            <v:shape style="position:absolute;left:1860;top:2488;width:852;height:852" id="docshape181" coordorigin="1861,2489" coordsize="852,852" path="m2286,2489l2210,2495,2138,2515,2071,2547,2012,2589,1961,2640,1919,2699,1887,2766,1868,2838,1861,2914,1868,2991,1887,3063,1919,3129,1961,3189,2012,3240,2071,3282,2138,3313,2210,3333,2286,3340,2363,3333,2435,3313,2501,3282,2561,3240,2612,3189,2654,3129,2685,3063,2705,2991,2712,2914,2705,2838,2685,2766,2654,2699,2612,2640,2561,2589,2501,2547,2435,2515,2363,2495,2286,2489xe" filled="true" fillcolor="#ffffff" stroked="false">
              <v:path arrowok="t"/>
              <v:fill type="solid"/>
            </v:shape>
            <v:shape style="position:absolute;left:1860;top:2488;width:852;height:852" id="docshape182" coordorigin="1861,2489" coordsize="852,852" path="m2712,2914l2705,2838,2685,2766,2654,2699,2612,2640,2561,2589,2501,2547,2435,2515,2363,2495,2286,2489,2210,2495,2138,2515,2071,2547,2012,2589,1961,2640,1919,2699,1887,2766,1868,2838,1861,2914,1868,2991,1887,3063,1919,3129,1961,3189,2012,3240,2071,3282,2138,3313,2210,3333,2286,3340,2363,3333,2435,3313,2501,3282,2561,3240,2612,3189,2654,3129,2685,3063,2705,2991,2712,2914xe" filled="false" stroked="true" strokeweight=".522pt" strokecolor="#3a5974">
              <v:path arrowok="t"/>
              <v:stroke dashstyle="solid"/>
            </v:shape>
            <v:shape style="position:absolute;left:2908;top:1109;width:852;height:852" id="docshape183" coordorigin="2909,1109" coordsize="852,852" path="m3334,1109l3258,1116,3186,1136,3119,1167,3060,1209,3009,1260,2967,1320,2935,1386,2915,1458,2909,1535,2915,1611,2935,1683,2967,1750,3009,1809,3060,1860,3119,1902,3186,1934,3258,1954,3334,1961,3411,1954,3483,1934,3549,1902,3609,1860,3660,1809,3702,1750,3733,1683,3753,1611,3760,1535,3753,1458,3733,1386,3702,1320,3660,1260,3609,1209,3549,1167,3483,1136,3411,1116,3334,1109xe" filled="true" fillcolor="#ffffff" stroked="false">
              <v:path arrowok="t"/>
              <v:fill type="solid"/>
            </v:shape>
            <v:shape style="position:absolute;left:2908;top:1109;width:852;height:852" id="docshape184" coordorigin="2909,1109" coordsize="852,852" path="m3760,1535l3753,1458,3733,1386,3702,1320,3660,1260,3609,1209,3549,1167,3483,1136,3411,1116,3334,1109,3258,1116,3186,1136,3119,1167,3060,1209,3009,1260,2967,1320,2935,1386,2915,1458,2909,1535,2915,1611,2935,1683,2967,1750,3009,1809,3060,1860,3119,1902,3186,1934,3258,1954,3334,1961,3411,1954,3483,1934,3549,1902,3609,1860,3660,1809,3702,1750,3733,1683,3753,1611,3760,1535xe" filled="false" stroked="true" strokeweight=".522pt" strokecolor="#faa94d">
              <v:path arrowok="t"/>
              <v:stroke dashstyle="solid"/>
            </v:shape>
            <v:shape style="position:absolute;left:6124;top:271;width:852;height:852" id="docshape185" coordorigin="6125,271" coordsize="852,852" path="m6550,271l6474,278,6402,298,6336,329,6276,371,6225,423,6183,482,6151,548,6132,620,6125,697,6132,773,6151,845,6183,912,6225,971,6276,1023,6336,1065,6402,1096,6474,1116,6550,1123,6627,1116,6699,1096,6765,1065,6825,1023,6876,971,6918,912,6950,845,6969,773,6976,697,6969,620,6950,548,6918,482,6876,423,6825,371,6765,329,6699,298,6627,278,6550,271xe" filled="true" fillcolor="#ffffff" stroked="false">
              <v:path arrowok="t"/>
              <v:fill type="solid"/>
            </v:shape>
            <v:shape style="position:absolute;left:6124;top:271;width:852;height:852" id="docshape186" coordorigin="6125,271" coordsize="852,852" path="m6976,697l6969,620,6950,548,6918,482,6876,423,6825,371,6765,329,6699,298,6627,278,6550,271,6474,278,6402,298,6336,329,6276,371,6225,423,6183,482,6151,548,6132,620,6125,697,6132,773,6151,845,6183,912,6225,971,6276,1023,6336,1065,6402,1096,6474,1116,6550,1123,6627,1116,6699,1096,6765,1065,6825,1023,6876,971,6918,912,6950,845,6969,773,6976,697xe" filled="false" stroked="true" strokeweight=".522pt" strokecolor="#faa94d">
              <v:path arrowok="t"/>
              <v:stroke dashstyle="solid"/>
            </v:shape>
            <v:shape style="position:absolute;left:5061;top:2446;width:852;height:852" id="docshape187" coordorigin="5061,2447" coordsize="852,852" path="m5487,2447l5410,2454,5338,2473,5272,2505,5213,2547,5161,2598,5119,2658,5088,2724,5068,2796,5061,2873,5068,2949,5088,3021,5119,3087,5161,3147,5213,3198,5272,3240,5338,3272,5410,3291,5487,3298,5564,3291,5636,3272,5702,3240,5761,3198,5813,3147,5855,3087,5886,3021,5906,2949,5913,2873,5906,2796,5886,2724,5855,2658,5813,2598,5761,2547,5702,2505,5636,2473,5564,2454,5487,2447xe" filled="true" fillcolor="#ffffff" stroked="false">
              <v:path arrowok="t"/>
              <v:fill type="solid"/>
            </v:shape>
            <v:shape style="position:absolute;left:5061;top:2446;width:852;height:852" id="docshape188" coordorigin="5061,2447" coordsize="852,852" path="m5913,2873l5906,2796,5886,2724,5855,2658,5813,2598,5761,2547,5702,2505,5636,2473,5564,2454,5487,2447,5410,2454,5338,2473,5272,2505,5213,2547,5161,2598,5119,2658,5088,2724,5068,2796,5061,2873,5068,2949,5088,3021,5119,3087,5161,3147,5213,3198,5272,3240,5338,3272,5410,3291,5487,3298,5564,3291,5636,3272,5702,3240,5761,3198,5813,3147,5855,3087,5886,3021,5906,2949,5913,2873xe" filled="false" stroked="true" strokeweight=".522pt" strokecolor="#395873">
              <v:path arrowok="t"/>
              <v:stroke dashstyle="solid"/>
            </v:shape>
            <v:shape style="position:absolute;left:6216;top:530;width:677;height:278" type="#_x0000_t202" id="docshape189" filled="false" stroked="false">
              <v:textbox inset="0,0,0,0">
                <w:txbxContent>
                  <w:p>
                    <w:pPr>
                      <w:spacing w:line="278" w:lineRule="exact" w:before="0"/>
                      <w:ind w:left="0" w:right="0" w:firstLine="0"/>
                      <w:jc w:val="left"/>
                      <w:rPr>
                        <w:b/>
                        <w:sz w:val="21"/>
                      </w:rPr>
                    </w:pPr>
                    <w:r>
                      <w:rPr>
                        <w:b/>
                        <w:color w:val="FAA94D"/>
                        <w:spacing w:val="-2"/>
                        <w:sz w:val="21"/>
                      </w:rPr>
                      <w:t>18.596</w:t>
                    </w:r>
                  </w:p>
                </w:txbxContent>
              </v:textbox>
              <w10:wrap type="none"/>
            </v:shape>
            <v:shape style="position:absolute;left:3000;top:1367;width:677;height:278" type="#_x0000_t202" id="docshape190" filled="false" stroked="false">
              <v:textbox inset="0,0,0,0">
                <w:txbxContent>
                  <w:p>
                    <w:pPr>
                      <w:spacing w:line="278" w:lineRule="exact" w:before="0"/>
                      <w:ind w:left="0" w:right="0" w:firstLine="0"/>
                      <w:jc w:val="left"/>
                      <w:rPr>
                        <w:b/>
                        <w:sz w:val="21"/>
                      </w:rPr>
                    </w:pPr>
                    <w:r>
                      <w:rPr>
                        <w:b/>
                        <w:color w:val="FAA94D"/>
                        <w:spacing w:val="-2"/>
                        <w:sz w:val="21"/>
                      </w:rPr>
                      <w:t>14.929</w:t>
                    </w:r>
                  </w:p>
                </w:txbxContent>
              </v:textbox>
              <w10:wrap type="none"/>
            </v:shape>
            <v:shape style="position:absolute;left:2018;top:2768;width:557;height:278" type="#_x0000_t202" id="docshape191" filled="false" stroked="false">
              <v:textbox inset="0,0,0,0">
                <w:txbxContent>
                  <w:p>
                    <w:pPr>
                      <w:spacing w:line="278" w:lineRule="exact" w:before="0"/>
                      <w:ind w:left="0" w:right="0" w:firstLine="0"/>
                      <w:jc w:val="left"/>
                      <w:rPr>
                        <w:b/>
                        <w:sz w:val="21"/>
                      </w:rPr>
                    </w:pPr>
                    <w:r>
                      <w:rPr>
                        <w:b/>
                        <w:color w:val="395873"/>
                        <w:spacing w:val="-2"/>
                        <w:sz w:val="21"/>
                      </w:rPr>
                      <w:t>9.003</w:t>
                    </w:r>
                  </w:p>
                </w:txbxContent>
              </v:textbox>
              <w10:wrap type="none"/>
            </v:shape>
            <v:shape style="position:absolute;left:5216;top:2705;width:557;height:278" type="#_x0000_t202" id="docshape192" filled="false" stroked="false">
              <v:textbox inset="0,0,0,0">
                <w:txbxContent>
                  <w:p>
                    <w:pPr>
                      <w:spacing w:line="278" w:lineRule="exact" w:before="0"/>
                      <w:ind w:left="0" w:right="0" w:firstLine="0"/>
                      <w:jc w:val="left"/>
                      <w:rPr>
                        <w:b/>
                        <w:sz w:val="21"/>
                      </w:rPr>
                    </w:pPr>
                    <w:r>
                      <w:rPr>
                        <w:b/>
                        <w:color w:val="395873"/>
                        <w:spacing w:val="-2"/>
                        <w:sz w:val="21"/>
                      </w:rPr>
                      <w:t>9.235</w:t>
                    </w:r>
                  </w:p>
                </w:txbxContent>
              </v:textbox>
              <w10:wrap type="none"/>
            </v:shape>
            <w10:wrap type="none"/>
          </v:group>
        </w:pict>
      </w:r>
      <w:r>
        <w:rPr>
          <w:rFonts w:ascii="Open Sans Light"/>
          <w:b w:val="0"/>
          <w:color w:val="231F20"/>
          <w:spacing w:val="-5"/>
          <w:sz w:val="18"/>
        </w:rPr>
        <w:t>20</w:t>
      </w:r>
    </w:p>
    <w:p>
      <w:pPr>
        <w:pStyle w:val="BodyText"/>
        <w:rPr>
          <w:rFonts w:ascii="Open Sans Light"/>
          <w:b w:val="0"/>
        </w:rPr>
      </w:pPr>
    </w:p>
    <w:p>
      <w:pPr>
        <w:pStyle w:val="BodyText"/>
        <w:rPr>
          <w:rFonts w:ascii="Open Sans Light"/>
          <w:b w:val="0"/>
        </w:rPr>
      </w:pPr>
    </w:p>
    <w:p>
      <w:pPr>
        <w:pStyle w:val="BodyText"/>
        <w:spacing w:before="6"/>
        <w:rPr>
          <w:rFonts w:ascii="Open Sans Light"/>
          <w:b w:val="0"/>
          <w:sz w:val="19"/>
        </w:rPr>
      </w:pPr>
    </w:p>
    <w:p>
      <w:pPr>
        <w:spacing w:before="0"/>
        <w:ind w:left="708" w:right="0" w:firstLine="0"/>
        <w:jc w:val="left"/>
        <w:rPr>
          <w:rFonts w:ascii="Open Sans Light"/>
          <w:b w:val="0"/>
          <w:sz w:val="18"/>
        </w:rPr>
      </w:pPr>
      <w:r>
        <w:rPr>
          <w:rFonts w:ascii="Open Sans Light"/>
          <w:b w:val="0"/>
          <w:color w:val="231F20"/>
          <w:spacing w:val="-5"/>
          <w:sz w:val="18"/>
        </w:rPr>
        <w:t>15</w:t>
      </w:r>
    </w:p>
    <w:p>
      <w:pPr>
        <w:pStyle w:val="BodyText"/>
        <w:rPr>
          <w:rFonts w:ascii="Open Sans Light"/>
          <w:b w:val="0"/>
          <w:sz w:val="20"/>
        </w:rPr>
      </w:pPr>
    </w:p>
    <w:p>
      <w:pPr>
        <w:pStyle w:val="BodyText"/>
        <w:rPr>
          <w:rFonts w:ascii="Open Sans Light"/>
          <w:b w:val="0"/>
          <w:sz w:val="20"/>
        </w:rPr>
      </w:pPr>
    </w:p>
    <w:p>
      <w:pPr>
        <w:pStyle w:val="BodyText"/>
        <w:spacing w:before="11"/>
        <w:rPr>
          <w:rFonts w:ascii="Open Sans Light"/>
          <w:b w:val="0"/>
          <w:sz w:val="19"/>
        </w:rPr>
      </w:pPr>
    </w:p>
    <w:p>
      <w:pPr>
        <w:spacing w:after="0"/>
        <w:rPr>
          <w:rFonts w:ascii="Open Sans Light"/>
          <w:sz w:val="19"/>
        </w:rPr>
        <w:sectPr>
          <w:pgSz w:w="11910" w:h="16840"/>
          <w:pgMar w:header="377" w:footer="367" w:top="560" w:bottom="560" w:left="0" w:right="0"/>
        </w:sectPr>
      </w:pPr>
    </w:p>
    <w:p>
      <w:pPr>
        <w:spacing w:before="104"/>
        <w:ind w:left="708" w:right="0" w:firstLine="0"/>
        <w:jc w:val="left"/>
        <w:rPr>
          <w:rFonts w:ascii="Open Sans Light"/>
          <w:b w:val="0"/>
          <w:sz w:val="18"/>
        </w:rPr>
      </w:pPr>
      <w:r>
        <w:rPr>
          <w:rFonts w:ascii="Open Sans Light"/>
          <w:b w:val="0"/>
          <w:color w:val="231F20"/>
          <w:spacing w:val="-5"/>
          <w:sz w:val="18"/>
        </w:rPr>
        <w:t>10</w:t>
      </w:r>
    </w:p>
    <w:p>
      <w:pPr>
        <w:pStyle w:val="BodyText"/>
        <w:rPr>
          <w:rFonts w:ascii="Open Sans Light"/>
          <w:b w:val="0"/>
        </w:rPr>
      </w:pPr>
    </w:p>
    <w:p>
      <w:pPr>
        <w:pStyle w:val="BodyText"/>
        <w:rPr>
          <w:rFonts w:ascii="Open Sans Light"/>
          <w:b w:val="0"/>
        </w:rPr>
      </w:pPr>
    </w:p>
    <w:p>
      <w:pPr>
        <w:pStyle w:val="BodyText"/>
        <w:spacing w:before="6"/>
        <w:rPr>
          <w:rFonts w:ascii="Open Sans Light"/>
          <w:b w:val="0"/>
          <w:sz w:val="19"/>
        </w:rPr>
      </w:pPr>
    </w:p>
    <w:p>
      <w:pPr>
        <w:spacing w:before="0"/>
        <w:ind w:left="813" w:right="0" w:firstLine="0"/>
        <w:jc w:val="left"/>
        <w:rPr>
          <w:rFonts w:ascii="Open Sans Light"/>
          <w:b w:val="0"/>
          <w:sz w:val="18"/>
        </w:rPr>
      </w:pPr>
      <w:r>
        <w:rPr>
          <w:rFonts w:ascii="Open Sans Light"/>
          <w:b w:val="0"/>
          <w:color w:val="231F20"/>
          <w:w w:val="102"/>
          <w:sz w:val="18"/>
        </w:rPr>
        <w:t>5</w:t>
      </w:r>
    </w:p>
    <w:p>
      <w:pPr>
        <w:pStyle w:val="BodyText"/>
        <w:rPr>
          <w:rFonts w:ascii="Open Sans Light"/>
          <w:b w:val="0"/>
        </w:rPr>
      </w:pPr>
    </w:p>
    <w:p>
      <w:pPr>
        <w:pStyle w:val="BodyText"/>
        <w:rPr>
          <w:rFonts w:ascii="Open Sans Light"/>
          <w:b w:val="0"/>
        </w:rPr>
      </w:pPr>
    </w:p>
    <w:p>
      <w:pPr>
        <w:pStyle w:val="BodyText"/>
        <w:spacing w:before="6"/>
        <w:rPr>
          <w:rFonts w:ascii="Open Sans Light"/>
          <w:b w:val="0"/>
          <w:sz w:val="19"/>
        </w:rPr>
      </w:pPr>
    </w:p>
    <w:p>
      <w:pPr>
        <w:spacing w:before="0"/>
        <w:ind w:left="813" w:right="0" w:firstLine="0"/>
        <w:jc w:val="left"/>
        <w:rPr>
          <w:rFonts w:ascii="Open Sans Light"/>
          <w:b w:val="0"/>
          <w:sz w:val="18"/>
        </w:rPr>
      </w:pPr>
      <w:r>
        <w:rPr>
          <w:rFonts w:ascii="Open Sans Light"/>
          <w:b w:val="0"/>
          <w:color w:val="231F20"/>
          <w:w w:val="102"/>
          <w:sz w:val="18"/>
        </w:rPr>
        <w:t>0</w:t>
      </w:r>
    </w:p>
    <w:p>
      <w:pPr>
        <w:tabs>
          <w:tab w:pos="5637" w:val="left" w:leader="none"/>
        </w:tabs>
        <w:spacing w:before="48"/>
        <w:ind w:left="2443" w:right="0" w:firstLine="0"/>
        <w:jc w:val="left"/>
        <w:rPr>
          <w:sz w:val="16"/>
        </w:rPr>
      </w:pPr>
      <w:r>
        <w:rPr>
          <w:color w:val="231F20"/>
          <w:spacing w:val="-2"/>
          <w:sz w:val="16"/>
        </w:rPr>
        <w:t>2021/2022</w:t>
      </w:r>
      <w:r>
        <w:rPr>
          <w:color w:val="231F20"/>
          <w:sz w:val="16"/>
        </w:rPr>
        <w:tab/>
      </w:r>
      <w:r>
        <w:rPr>
          <w:color w:val="231F20"/>
          <w:spacing w:val="-2"/>
          <w:sz w:val="16"/>
        </w:rPr>
        <w:t>2022/2023</w:t>
      </w:r>
    </w:p>
    <w:p>
      <w:pPr>
        <w:spacing w:line="225" w:lineRule="auto" w:before="219"/>
        <w:ind w:left="708" w:right="516" w:firstLine="0"/>
        <w:jc w:val="left"/>
        <w:rPr>
          <w:b/>
          <w:sz w:val="24"/>
        </w:rPr>
      </w:pPr>
      <w:r>
        <w:rPr/>
        <w:br w:type="column"/>
      </w:r>
      <w:r>
        <w:rPr>
          <w:b/>
          <w:color w:val="3B5673"/>
          <w:spacing w:val="-2"/>
          <w:sz w:val="24"/>
        </w:rPr>
        <w:t>GENERAL RESERVE</w:t>
      </w:r>
    </w:p>
    <w:p>
      <w:pPr>
        <w:spacing w:line="310" w:lineRule="exact" w:before="269"/>
        <w:ind w:left="708" w:right="0" w:firstLine="0"/>
        <w:jc w:val="left"/>
        <w:rPr>
          <w:b/>
          <w:sz w:val="24"/>
        </w:rPr>
      </w:pPr>
      <w:r>
        <w:rPr/>
        <w:pict>
          <v:rect style="position:absolute;margin-left:442.204987pt;margin-top:-26.540682pt;width:16.1900pt;height:16.189pt;mso-position-horizontal-relative:page;mso-position-vertical-relative:paragraph;z-index:15751168" id="docshape193" filled="true" fillcolor="#3a5674" stroked="false">
            <v:fill type="solid"/>
            <w10:wrap type="none"/>
          </v:rect>
        </w:pict>
      </w:r>
      <w:r>
        <w:rPr/>
        <w:pict>
          <v:rect style="position:absolute;margin-left:442.204987pt;margin-top:17.662317pt;width:16.1900pt;height:16.189pt;mso-position-horizontal-relative:page;mso-position-vertical-relative:paragraph;z-index:15751680" id="docshape194" filled="true" fillcolor="#f7ac44" stroked="false">
            <v:fill type="solid"/>
            <w10:wrap type="none"/>
          </v:rect>
        </w:pict>
      </w:r>
      <w:r>
        <w:rPr>
          <w:b/>
          <w:color w:val="3B5673"/>
          <w:spacing w:val="-2"/>
          <w:sz w:val="24"/>
        </w:rPr>
        <w:t>EARMARKED</w:t>
      </w:r>
    </w:p>
    <w:p>
      <w:pPr>
        <w:spacing w:line="310" w:lineRule="exact" w:before="0"/>
        <w:ind w:left="708" w:right="0" w:firstLine="0"/>
        <w:jc w:val="left"/>
        <w:rPr>
          <w:b/>
          <w:sz w:val="24"/>
        </w:rPr>
      </w:pPr>
      <w:r>
        <w:rPr>
          <w:b/>
          <w:color w:val="3B5673"/>
          <w:spacing w:val="-2"/>
          <w:sz w:val="24"/>
        </w:rPr>
        <w:t>RESERVES</w:t>
      </w:r>
    </w:p>
    <w:p>
      <w:pPr>
        <w:spacing w:after="0" w:line="310" w:lineRule="exact"/>
        <w:jc w:val="left"/>
        <w:rPr>
          <w:sz w:val="24"/>
        </w:rPr>
        <w:sectPr>
          <w:type w:val="continuous"/>
          <w:pgSz w:w="11910" w:h="16840"/>
          <w:pgMar w:header="377" w:footer="367" w:top="260" w:bottom="0" w:left="0" w:right="0"/>
          <w:cols w:num="2" w:equalWidth="0">
            <w:col w:w="6431" w:space="2248"/>
            <w:col w:w="3231"/>
          </w:cols>
        </w:sectPr>
      </w:pPr>
    </w:p>
    <w:p>
      <w:pPr>
        <w:pStyle w:val="BodyText"/>
        <w:spacing w:before="10"/>
        <w:rPr>
          <w:b/>
          <w:sz w:val="26"/>
        </w:rPr>
      </w:pPr>
    </w:p>
    <w:p>
      <w:pPr>
        <w:spacing w:line="330" w:lineRule="exact" w:before="97"/>
        <w:ind w:left="571" w:right="0" w:firstLine="0"/>
        <w:jc w:val="left"/>
        <w:rPr>
          <w:b/>
          <w:sz w:val="24"/>
        </w:rPr>
      </w:pPr>
      <w:r>
        <w:rPr>
          <w:b/>
          <w:color w:val="3B5673"/>
          <w:sz w:val="24"/>
        </w:rPr>
        <w:t>HOUSING</w:t>
      </w:r>
      <w:r>
        <w:rPr>
          <w:b/>
          <w:color w:val="3B5673"/>
          <w:spacing w:val="52"/>
          <w:sz w:val="24"/>
        </w:rPr>
        <w:t> </w:t>
      </w:r>
      <w:r>
        <w:rPr>
          <w:b/>
          <w:color w:val="3B5673"/>
          <w:sz w:val="24"/>
        </w:rPr>
        <w:t>REVENUE</w:t>
      </w:r>
      <w:r>
        <w:rPr>
          <w:b/>
          <w:color w:val="3B5673"/>
          <w:spacing w:val="52"/>
          <w:sz w:val="24"/>
        </w:rPr>
        <w:t> </w:t>
      </w:r>
      <w:r>
        <w:rPr>
          <w:b/>
          <w:color w:val="3B5673"/>
          <w:sz w:val="24"/>
        </w:rPr>
        <w:t>ACCOUNT</w:t>
      </w:r>
      <w:r>
        <w:rPr>
          <w:b/>
          <w:color w:val="3B5673"/>
          <w:spacing w:val="48"/>
          <w:sz w:val="24"/>
        </w:rPr>
        <w:t> </w:t>
      </w:r>
      <w:r>
        <w:rPr>
          <w:b/>
          <w:color w:val="3B5673"/>
          <w:spacing w:val="-4"/>
          <w:position w:val="2"/>
          <w:sz w:val="24"/>
        </w:rPr>
        <w:t>(</w:t>
      </w:r>
      <w:r>
        <w:rPr>
          <w:b/>
          <w:color w:val="3B5673"/>
          <w:spacing w:val="-4"/>
          <w:sz w:val="24"/>
        </w:rPr>
        <w:t>HRA</w:t>
      </w:r>
      <w:r>
        <w:rPr>
          <w:b/>
          <w:color w:val="3B5673"/>
          <w:spacing w:val="-4"/>
          <w:position w:val="2"/>
          <w:sz w:val="24"/>
        </w:rPr>
        <w:t>)</w:t>
      </w:r>
    </w:p>
    <w:p>
      <w:pPr>
        <w:spacing w:line="225" w:lineRule="auto" w:before="5"/>
        <w:ind w:left="566" w:right="1340" w:firstLine="0"/>
        <w:jc w:val="left"/>
        <w:rPr>
          <w:b/>
          <w:sz w:val="24"/>
        </w:rPr>
      </w:pPr>
      <w:r>
        <w:rPr>
          <w:b/>
          <w:color w:val="3B5673"/>
          <w:sz w:val="24"/>
        </w:rPr>
        <w:t>The HRA is a ring-fenced landlord’s account for the management and maintenance of the</w:t>
      </w:r>
      <w:r>
        <w:rPr>
          <w:b/>
          <w:color w:val="3B5673"/>
          <w:spacing w:val="-4"/>
          <w:sz w:val="24"/>
        </w:rPr>
        <w:t> </w:t>
      </w:r>
      <w:r>
        <w:rPr>
          <w:b/>
          <w:color w:val="3B5673"/>
          <w:sz w:val="24"/>
        </w:rPr>
        <w:t>Council’s</w:t>
      </w:r>
      <w:r>
        <w:rPr>
          <w:b/>
          <w:color w:val="3B5673"/>
          <w:spacing w:val="-3"/>
          <w:sz w:val="24"/>
        </w:rPr>
        <w:t> </w:t>
      </w:r>
      <w:r>
        <w:rPr>
          <w:b/>
          <w:color w:val="3B5673"/>
          <w:sz w:val="24"/>
        </w:rPr>
        <w:t>housing</w:t>
      </w:r>
      <w:r>
        <w:rPr>
          <w:b/>
          <w:color w:val="3B5673"/>
          <w:spacing w:val="-3"/>
          <w:sz w:val="24"/>
        </w:rPr>
        <w:t> </w:t>
      </w:r>
      <w:r>
        <w:rPr>
          <w:b/>
          <w:color w:val="3B5673"/>
          <w:sz w:val="24"/>
        </w:rPr>
        <w:t>stock.</w:t>
      </w:r>
      <w:r>
        <w:rPr>
          <w:b/>
          <w:color w:val="3B5673"/>
          <w:spacing w:val="-3"/>
          <w:sz w:val="24"/>
        </w:rPr>
        <w:t> </w:t>
      </w:r>
      <w:r>
        <w:rPr>
          <w:b/>
          <w:color w:val="3B5673"/>
          <w:sz w:val="24"/>
        </w:rPr>
        <w:t>This</w:t>
      </w:r>
      <w:r>
        <w:rPr>
          <w:b/>
          <w:color w:val="3B5673"/>
          <w:spacing w:val="-3"/>
          <w:sz w:val="24"/>
        </w:rPr>
        <w:t> </w:t>
      </w:r>
      <w:r>
        <w:rPr>
          <w:b/>
          <w:color w:val="3B5673"/>
          <w:sz w:val="24"/>
        </w:rPr>
        <w:t>account</w:t>
      </w:r>
      <w:r>
        <w:rPr>
          <w:b/>
          <w:color w:val="3B5673"/>
          <w:spacing w:val="-4"/>
          <w:sz w:val="24"/>
        </w:rPr>
        <w:t> </w:t>
      </w:r>
      <w:r>
        <w:rPr>
          <w:b/>
          <w:color w:val="3B5673"/>
          <w:sz w:val="24"/>
        </w:rPr>
        <w:t>funds</w:t>
      </w:r>
      <w:r>
        <w:rPr>
          <w:b/>
          <w:color w:val="3B5673"/>
          <w:spacing w:val="-4"/>
          <w:sz w:val="24"/>
        </w:rPr>
        <w:t> </w:t>
      </w:r>
      <w:r>
        <w:rPr>
          <w:b/>
          <w:color w:val="3B5673"/>
          <w:sz w:val="24"/>
        </w:rPr>
        <w:t>both</w:t>
      </w:r>
      <w:r>
        <w:rPr>
          <w:b/>
          <w:color w:val="3B5673"/>
          <w:spacing w:val="-4"/>
          <w:sz w:val="24"/>
        </w:rPr>
        <w:t> </w:t>
      </w:r>
      <w:r>
        <w:rPr>
          <w:b/>
          <w:color w:val="3B5673"/>
          <w:sz w:val="24"/>
        </w:rPr>
        <w:t>day</w:t>
      </w:r>
      <w:r>
        <w:rPr>
          <w:b/>
          <w:color w:val="3B5673"/>
          <w:spacing w:val="-4"/>
          <w:sz w:val="24"/>
        </w:rPr>
        <w:t> </w:t>
      </w:r>
      <w:r>
        <w:rPr>
          <w:b/>
          <w:color w:val="3B5673"/>
          <w:sz w:val="24"/>
        </w:rPr>
        <w:t>to</w:t>
      </w:r>
      <w:r>
        <w:rPr>
          <w:b/>
          <w:color w:val="3B5673"/>
          <w:spacing w:val="-4"/>
          <w:sz w:val="24"/>
        </w:rPr>
        <w:t> </w:t>
      </w:r>
      <w:r>
        <w:rPr>
          <w:b/>
          <w:color w:val="3B5673"/>
          <w:sz w:val="24"/>
        </w:rPr>
        <w:t>day</w:t>
      </w:r>
      <w:r>
        <w:rPr>
          <w:b/>
          <w:color w:val="3B5673"/>
          <w:spacing w:val="-4"/>
          <w:sz w:val="24"/>
        </w:rPr>
        <w:t> </w:t>
      </w:r>
      <w:r>
        <w:rPr>
          <w:b/>
          <w:color w:val="3B5673"/>
          <w:sz w:val="24"/>
        </w:rPr>
        <w:t>revenue</w:t>
      </w:r>
      <w:r>
        <w:rPr>
          <w:b/>
          <w:color w:val="3B5673"/>
          <w:spacing w:val="-3"/>
          <w:sz w:val="24"/>
        </w:rPr>
        <w:t> </w:t>
      </w:r>
      <w:r>
        <w:rPr>
          <w:b/>
          <w:color w:val="3B5673"/>
          <w:sz w:val="24"/>
        </w:rPr>
        <w:t>costs</w:t>
      </w:r>
      <w:r>
        <w:rPr>
          <w:b/>
          <w:color w:val="3B5673"/>
          <w:spacing w:val="-3"/>
          <w:sz w:val="24"/>
        </w:rPr>
        <w:t> </w:t>
      </w:r>
      <w:r>
        <w:rPr>
          <w:b/>
          <w:color w:val="3B5673"/>
          <w:sz w:val="24"/>
        </w:rPr>
        <w:t>as</w:t>
      </w:r>
      <w:r>
        <w:rPr>
          <w:b/>
          <w:color w:val="3B5673"/>
          <w:spacing w:val="-4"/>
          <w:sz w:val="24"/>
        </w:rPr>
        <w:t> </w:t>
      </w:r>
      <w:r>
        <w:rPr>
          <w:b/>
          <w:color w:val="3B5673"/>
          <w:sz w:val="24"/>
        </w:rPr>
        <w:t>well</w:t>
      </w:r>
      <w:r>
        <w:rPr>
          <w:b/>
          <w:color w:val="3B5673"/>
          <w:spacing w:val="-3"/>
          <w:sz w:val="24"/>
        </w:rPr>
        <w:t> </w:t>
      </w:r>
      <w:r>
        <w:rPr>
          <w:b/>
          <w:color w:val="3B5673"/>
          <w:sz w:val="24"/>
        </w:rPr>
        <w:t>as funding borrowing costs for capital work to maintain and improve council properties.</w:t>
      </w:r>
    </w:p>
    <w:p>
      <w:pPr>
        <w:spacing w:line="225" w:lineRule="auto" w:before="0"/>
        <w:ind w:left="566" w:right="576" w:firstLine="0"/>
        <w:jc w:val="left"/>
        <w:rPr>
          <w:b/>
          <w:sz w:val="24"/>
        </w:rPr>
      </w:pPr>
      <w:r>
        <w:rPr>
          <w:b/>
          <w:color w:val="3B5673"/>
          <w:sz w:val="24"/>
        </w:rPr>
        <w:t>Compared</w:t>
      </w:r>
      <w:r>
        <w:rPr>
          <w:b/>
          <w:color w:val="3B5673"/>
          <w:spacing w:val="-3"/>
          <w:sz w:val="24"/>
        </w:rPr>
        <w:t> </w:t>
      </w:r>
      <w:r>
        <w:rPr>
          <w:b/>
          <w:color w:val="3B5673"/>
          <w:sz w:val="24"/>
        </w:rPr>
        <w:t>to</w:t>
      </w:r>
      <w:r>
        <w:rPr>
          <w:b/>
          <w:color w:val="3B5673"/>
          <w:spacing w:val="-4"/>
          <w:sz w:val="24"/>
        </w:rPr>
        <w:t> </w:t>
      </w:r>
      <w:r>
        <w:rPr>
          <w:b/>
          <w:color w:val="3B5673"/>
          <w:sz w:val="24"/>
        </w:rPr>
        <w:t>the</w:t>
      </w:r>
      <w:r>
        <w:rPr>
          <w:b/>
          <w:color w:val="3B5673"/>
          <w:spacing w:val="-4"/>
          <w:sz w:val="24"/>
        </w:rPr>
        <w:t> </w:t>
      </w:r>
      <w:r>
        <w:rPr>
          <w:b/>
          <w:color w:val="3B5673"/>
          <w:sz w:val="24"/>
        </w:rPr>
        <w:t>2022/23</w:t>
      </w:r>
      <w:r>
        <w:rPr>
          <w:b/>
          <w:color w:val="3B5673"/>
          <w:spacing w:val="-4"/>
          <w:sz w:val="24"/>
        </w:rPr>
        <w:t> </w:t>
      </w:r>
      <w:r>
        <w:rPr>
          <w:b/>
          <w:color w:val="3B5673"/>
          <w:sz w:val="24"/>
        </w:rPr>
        <w:t>revised</w:t>
      </w:r>
      <w:r>
        <w:rPr>
          <w:b/>
          <w:color w:val="3B5673"/>
          <w:spacing w:val="-3"/>
          <w:sz w:val="24"/>
        </w:rPr>
        <w:t> </w:t>
      </w:r>
      <w:r>
        <w:rPr>
          <w:b/>
          <w:color w:val="3B5673"/>
          <w:sz w:val="24"/>
        </w:rPr>
        <w:t>budget</w:t>
      </w:r>
      <w:r>
        <w:rPr>
          <w:b/>
          <w:color w:val="3B5673"/>
          <w:spacing w:val="-4"/>
          <w:sz w:val="24"/>
        </w:rPr>
        <w:t> </w:t>
      </w:r>
      <w:r>
        <w:rPr>
          <w:b/>
          <w:color w:val="3B5673"/>
          <w:sz w:val="24"/>
        </w:rPr>
        <w:t>the</w:t>
      </w:r>
      <w:r>
        <w:rPr>
          <w:b/>
          <w:color w:val="3B5673"/>
          <w:spacing w:val="-4"/>
          <w:sz w:val="24"/>
        </w:rPr>
        <w:t> </w:t>
      </w:r>
      <w:r>
        <w:rPr>
          <w:b/>
          <w:color w:val="3B5673"/>
          <w:sz w:val="24"/>
        </w:rPr>
        <w:t>HRA</w:t>
      </w:r>
      <w:r>
        <w:rPr>
          <w:b/>
          <w:color w:val="3B5673"/>
          <w:spacing w:val="-4"/>
          <w:sz w:val="24"/>
        </w:rPr>
        <w:t> </w:t>
      </w:r>
      <w:r>
        <w:rPr>
          <w:b/>
          <w:color w:val="3B5673"/>
          <w:sz w:val="24"/>
        </w:rPr>
        <w:t>achieved</w:t>
      </w:r>
      <w:r>
        <w:rPr>
          <w:b/>
          <w:color w:val="3B5673"/>
          <w:spacing w:val="-3"/>
          <w:sz w:val="24"/>
        </w:rPr>
        <w:t> </w:t>
      </w:r>
      <w:r>
        <w:rPr>
          <w:b/>
          <w:color w:val="3B5673"/>
          <w:sz w:val="24"/>
        </w:rPr>
        <w:t>a</w:t>
      </w:r>
      <w:r>
        <w:rPr>
          <w:b/>
          <w:color w:val="3B5673"/>
          <w:spacing w:val="-4"/>
          <w:sz w:val="24"/>
        </w:rPr>
        <w:t> </w:t>
      </w:r>
      <w:r>
        <w:rPr>
          <w:b/>
          <w:color w:val="3B5673"/>
          <w:sz w:val="24"/>
        </w:rPr>
        <w:t>surplus</w:t>
      </w:r>
      <w:r>
        <w:rPr>
          <w:b/>
          <w:color w:val="3B5673"/>
          <w:spacing w:val="-3"/>
          <w:sz w:val="24"/>
        </w:rPr>
        <w:t> </w:t>
      </w:r>
      <w:r>
        <w:rPr>
          <w:b/>
          <w:color w:val="3B5673"/>
          <w:sz w:val="24"/>
        </w:rPr>
        <w:t>of</w:t>
      </w:r>
      <w:r>
        <w:rPr>
          <w:b/>
          <w:color w:val="3B5673"/>
          <w:spacing w:val="-4"/>
          <w:sz w:val="24"/>
        </w:rPr>
        <w:t> </w:t>
      </w:r>
      <w:r>
        <w:rPr>
          <w:b/>
          <w:color w:val="3B5673"/>
          <w:sz w:val="24"/>
        </w:rPr>
        <w:t>£3.051m,</w:t>
      </w:r>
      <w:r>
        <w:rPr>
          <w:b/>
          <w:color w:val="3B5673"/>
          <w:spacing w:val="-4"/>
          <w:sz w:val="24"/>
        </w:rPr>
        <w:t> </w:t>
      </w:r>
      <w:r>
        <w:rPr>
          <w:b/>
          <w:color w:val="3B5673"/>
          <w:sz w:val="24"/>
        </w:rPr>
        <w:t>these</w:t>
      </w:r>
      <w:r>
        <w:rPr>
          <w:b/>
          <w:color w:val="3B5673"/>
          <w:spacing w:val="-4"/>
          <w:sz w:val="24"/>
        </w:rPr>
        <w:t> </w:t>
      </w:r>
      <w:r>
        <w:rPr>
          <w:b/>
          <w:color w:val="3B5673"/>
          <w:sz w:val="24"/>
        </w:rPr>
        <w:t>are shown in the Table below:</w:t>
      </w:r>
    </w:p>
    <w:p>
      <w:pPr>
        <w:pStyle w:val="BodyText"/>
        <w:rPr>
          <w:b/>
          <w:sz w:val="20"/>
        </w:rPr>
      </w:pPr>
    </w:p>
    <w:p>
      <w:pPr>
        <w:pStyle w:val="BodyText"/>
        <w:rPr>
          <w:b/>
          <w:sz w:val="20"/>
        </w:rPr>
      </w:pPr>
    </w:p>
    <w:p>
      <w:pPr>
        <w:pStyle w:val="BodyText"/>
        <w:spacing w:before="4"/>
        <w:rPr>
          <w:b/>
        </w:rPr>
      </w:pPr>
    </w:p>
    <w:tbl>
      <w:tblPr>
        <w:tblW w:w="0" w:type="auto"/>
        <w:jc w:val="left"/>
        <w:tblInd w:w="574" w:type="dxa"/>
        <w:tblBorders>
          <w:top w:val="single" w:sz="4" w:space="0" w:color="3B5673"/>
          <w:left w:val="single" w:sz="4" w:space="0" w:color="3B5673"/>
          <w:bottom w:val="single" w:sz="4" w:space="0" w:color="3B5673"/>
          <w:right w:val="single" w:sz="4" w:space="0" w:color="3B5673"/>
          <w:insideH w:val="single" w:sz="4" w:space="0" w:color="3B5673"/>
          <w:insideV w:val="single" w:sz="4" w:space="0" w:color="3B5673"/>
        </w:tblBorders>
        <w:tblLayout w:type="fixed"/>
        <w:tblCellMar>
          <w:top w:w="0" w:type="dxa"/>
          <w:left w:w="0" w:type="dxa"/>
          <w:bottom w:w="0" w:type="dxa"/>
          <w:right w:w="0" w:type="dxa"/>
        </w:tblCellMar>
        <w:tblLook w:val="01E0"/>
      </w:tblPr>
      <w:tblGrid>
        <w:gridCol w:w="9354"/>
        <w:gridCol w:w="1417"/>
      </w:tblGrid>
      <w:tr>
        <w:trPr>
          <w:trHeight w:val="448" w:hRule="atLeast"/>
        </w:trPr>
        <w:tc>
          <w:tcPr>
            <w:tcW w:w="9354" w:type="dxa"/>
            <w:tcBorders>
              <w:top w:val="nil"/>
              <w:left w:val="nil"/>
            </w:tcBorders>
            <w:shd w:val="clear" w:color="auto" w:fill="5D6B86"/>
          </w:tcPr>
          <w:p>
            <w:pPr>
              <w:pStyle w:val="TableParagraph"/>
              <w:spacing w:line="240" w:lineRule="auto" w:before="55"/>
              <w:ind w:left="80"/>
              <w:rPr>
                <w:b/>
                <w:sz w:val="24"/>
              </w:rPr>
            </w:pPr>
            <w:r>
              <w:rPr>
                <w:b/>
                <w:color w:val="FFFFFF"/>
                <w:sz w:val="24"/>
              </w:rPr>
              <w:t>Key</w:t>
            </w:r>
            <w:r>
              <w:rPr>
                <w:b/>
                <w:color w:val="FFFFFF"/>
                <w:spacing w:val="-3"/>
                <w:sz w:val="24"/>
              </w:rPr>
              <w:t> </w:t>
            </w:r>
            <w:r>
              <w:rPr>
                <w:b/>
                <w:color w:val="FFFFFF"/>
                <w:sz w:val="24"/>
              </w:rPr>
              <w:t>reasons</w:t>
            </w:r>
            <w:r>
              <w:rPr>
                <w:b/>
                <w:color w:val="FFFFFF"/>
                <w:spacing w:val="-2"/>
                <w:sz w:val="24"/>
              </w:rPr>
              <w:t> </w:t>
            </w:r>
            <w:r>
              <w:rPr>
                <w:b/>
                <w:color w:val="FFFFFF"/>
                <w:sz w:val="24"/>
              </w:rPr>
              <w:t>for</w:t>
            </w:r>
            <w:r>
              <w:rPr>
                <w:b/>
                <w:color w:val="FFFFFF"/>
                <w:spacing w:val="-3"/>
                <w:sz w:val="24"/>
              </w:rPr>
              <w:t> </w:t>
            </w:r>
            <w:r>
              <w:rPr>
                <w:b/>
                <w:color w:val="FFFFFF"/>
                <w:sz w:val="24"/>
              </w:rPr>
              <w:t>HRA</w:t>
            </w:r>
            <w:r>
              <w:rPr>
                <w:b/>
                <w:color w:val="FFFFFF"/>
                <w:spacing w:val="-2"/>
                <w:sz w:val="24"/>
              </w:rPr>
              <w:t> variances:</w:t>
            </w:r>
          </w:p>
        </w:tc>
        <w:tc>
          <w:tcPr>
            <w:tcW w:w="1417" w:type="dxa"/>
            <w:tcBorders>
              <w:top w:val="nil"/>
              <w:right w:val="nil"/>
            </w:tcBorders>
            <w:shd w:val="clear" w:color="auto" w:fill="5D6B86"/>
          </w:tcPr>
          <w:p>
            <w:pPr>
              <w:pStyle w:val="TableParagraph"/>
              <w:spacing w:line="240" w:lineRule="auto" w:before="55"/>
              <w:ind w:right="77"/>
              <w:jc w:val="right"/>
              <w:rPr>
                <w:b/>
                <w:sz w:val="24"/>
              </w:rPr>
            </w:pPr>
            <w:r>
              <w:rPr>
                <w:b/>
                <w:color w:val="FFFFFF"/>
                <w:spacing w:val="-2"/>
                <w:sz w:val="24"/>
              </w:rPr>
              <w:t>£’000</w:t>
            </w:r>
          </w:p>
        </w:tc>
      </w:tr>
      <w:tr>
        <w:trPr>
          <w:trHeight w:val="624" w:hRule="atLeast"/>
        </w:trPr>
        <w:tc>
          <w:tcPr>
            <w:tcW w:w="9354" w:type="dxa"/>
            <w:tcBorders>
              <w:left w:val="nil"/>
            </w:tcBorders>
          </w:tcPr>
          <w:p>
            <w:pPr>
              <w:pStyle w:val="TableParagraph"/>
              <w:spacing w:line="300" w:lineRule="exact" w:before="4"/>
              <w:ind w:left="80"/>
              <w:rPr>
                <w:sz w:val="24"/>
              </w:rPr>
            </w:pPr>
            <w:r>
              <w:rPr>
                <w:color w:val="231F20"/>
                <w:sz w:val="24"/>
              </w:rPr>
              <w:t>Reduced</w:t>
            </w:r>
            <w:r>
              <w:rPr>
                <w:color w:val="231F20"/>
                <w:spacing w:val="-5"/>
                <w:sz w:val="24"/>
              </w:rPr>
              <w:t> </w:t>
            </w:r>
            <w:r>
              <w:rPr>
                <w:color w:val="231F20"/>
                <w:sz w:val="24"/>
              </w:rPr>
              <w:t>capital</w:t>
            </w:r>
            <w:r>
              <w:rPr>
                <w:color w:val="231F20"/>
                <w:spacing w:val="-5"/>
                <w:sz w:val="24"/>
              </w:rPr>
              <w:t> </w:t>
            </w:r>
            <w:r>
              <w:rPr>
                <w:color w:val="231F20"/>
                <w:sz w:val="24"/>
              </w:rPr>
              <w:t>expenditure</w:t>
            </w:r>
            <w:r>
              <w:rPr>
                <w:color w:val="231F20"/>
                <w:spacing w:val="-5"/>
                <w:sz w:val="24"/>
              </w:rPr>
              <w:t> </w:t>
            </w:r>
            <w:r>
              <w:rPr>
                <w:color w:val="231F20"/>
                <w:sz w:val="24"/>
              </w:rPr>
              <w:t>largely</w:t>
            </w:r>
            <w:r>
              <w:rPr>
                <w:color w:val="231F20"/>
                <w:spacing w:val="-5"/>
                <w:sz w:val="24"/>
              </w:rPr>
              <w:t> </w:t>
            </w:r>
            <w:r>
              <w:rPr>
                <w:color w:val="231F20"/>
                <w:sz w:val="24"/>
              </w:rPr>
              <w:t>due</w:t>
            </w:r>
            <w:r>
              <w:rPr>
                <w:color w:val="231F20"/>
                <w:spacing w:val="-5"/>
                <w:sz w:val="24"/>
              </w:rPr>
              <w:t> </w:t>
            </w:r>
            <w:r>
              <w:rPr>
                <w:color w:val="231F20"/>
                <w:sz w:val="24"/>
              </w:rPr>
              <w:t>to</w:t>
            </w:r>
            <w:r>
              <w:rPr>
                <w:color w:val="231F20"/>
                <w:spacing w:val="-5"/>
                <w:sz w:val="24"/>
              </w:rPr>
              <w:t> </w:t>
            </w:r>
            <w:r>
              <w:rPr>
                <w:color w:val="231F20"/>
                <w:sz w:val="24"/>
              </w:rPr>
              <w:t>the</w:t>
            </w:r>
            <w:r>
              <w:rPr>
                <w:color w:val="231F20"/>
                <w:spacing w:val="-5"/>
                <w:sz w:val="24"/>
              </w:rPr>
              <w:t> </w:t>
            </w:r>
            <w:r>
              <w:rPr>
                <w:color w:val="231F20"/>
                <w:sz w:val="24"/>
              </w:rPr>
              <w:t>delay</w:t>
            </w:r>
            <w:r>
              <w:rPr>
                <w:color w:val="231F20"/>
                <w:spacing w:val="-5"/>
                <w:sz w:val="24"/>
              </w:rPr>
              <w:t> </w:t>
            </w:r>
            <w:r>
              <w:rPr>
                <w:color w:val="231F20"/>
                <w:sz w:val="24"/>
              </w:rPr>
              <w:t>on</w:t>
            </w:r>
            <w:r>
              <w:rPr>
                <w:color w:val="231F20"/>
                <w:spacing w:val="-5"/>
                <w:sz w:val="24"/>
              </w:rPr>
              <w:t> </w:t>
            </w:r>
            <w:r>
              <w:rPr>
                <w:color w:val="231F20"/>
                <w:sz w:val="24"/>
              </w:rPr>
              <w:t>some</w:t>
            </w:r>
            <w:r>
              <w:rPr>
                <w:color w:val="231F20"/>
                <w:spacing w:val="-5"/>
                <w:sz w:val="24"/>
              </w:rPr>
              <w:t> </w:t>
            </w:r>
            <w:r>
              <w:rPr>
                <w:color w:val="231F20"/>
                <w:sz w:val="24"/>
              </w:rPr>
              <w:t>housing</w:t>
            </w:r>
            <w:r>
              <w:rPr>
                <w:color w:val="231F20"/>
                <w:spacing w:val="-5"/>
                <w:sz w:val="24"/>
              </w:rPr>
              <w:t> </w:t>
            </w:r>
            <w:r>
              <w:rPr>
                <w:color w:val="231F20"/>
                <w:sz w:val="24"/>
              </w:rPr>
              <w:t>capital</w:t>
            </w:r>
            <w:r>
              <w:rPr>
                <w:color w:val="231F20"/>
                <w:spacing w:val="-5"/>
                <w:sz w:val="24"/>
              </w:rPr>
              <w:t> </w:t>
            </w:r>
            <w:r>
              <w:rPr>
                <w:color w:val="231F20"/>
                <w:sz w:val="24"/>
              </w:rPr>
              <w:t>schemes and replacement vehicles</w:t>
            </w:r>
          </w:p>
        </w:tc>
        <w:tc>
          <w:tcPr>
            <w:tcW w:w="1417" w:type="dxa"/>
            <w:tcBorders>
              <w:right w:val="nil"/>
            </w:tcBorders>
          </w:tcPr>
          <w:p>
            <w:pPr>
              <w:pStyle w:val="TableParagraph"/>
              <w:spacing w:line="310" w:lineRule="exact"/>
              <w:ind w:right="76"/>
              <w:jc w:val="right"/>
              <w:rPr>
                <w:sz w:val="24"/>
              </w:rPr>
            </w:pPr>
            <w:r>
              <w:rPr>
                <w:color w:val="231F20"/>
                <w:spacing w:val="-2"/>
                <w:sz w:val="24"/>
              </w:rPr>
              <w:t>(2,641)</w:t>
            </w:r>
          </w:p>
        </w:tc>
      </w:tr>
      <w:tr>
        <w:trPr>
          <w:trHeight w:val="324" w:hRule="atLeast"/>
        </w:trPr>
        <w:tc>
          <w:tcPr>
            <w:tcW w:w="9354" w:type="dxa"/>
            <w:tcBorders>
              <w:left w:val="nil"/>
            </w:tcBorders>
            <w:shd w:val="clear" w:color="auto" w:fill="C9CBD4"/>
          </w:tcPr>
          <w:p>
            <w:pPr>
              <w:pStyle w:val="TableParagraph"/>
              <w:ind w:left="80"/>
              <w:rPr>
                <w:sz w:val="24"/>
              </w:rPr>
            </w:pPr>
            <w:r>
              <w:rPr>
                <w:color w:val="231F20"/>
                <w:sz w:val="24"/>
              </w:rPr>
              <w:t>Additional</w:t>
            </w:r>
            <w:r>
              <w:rPr>
                <w:color w:val="231F20"/>
                <w:spacing w:val="-3"/>
                <w:sz w:val="24"/>
              </w:rPr>
              <w:t> </w:t>
            </w:r>
            <w:r>
              <w:rPr>
                <w:color w:val="231F20"/>
                <w:sz w:val="24"/>
              </w:rPr>
              <w:t>rents</w:t>
            </w:r>
            <w:r>
              <w:rPr>
                <w:color w:val="231F20"/>
                <w:spacing w:val="-2"/>
                <w:sz w:val="24"/>
              </w:rPr>
              <w:t> </w:t>
            </w:r>
            <w:r>
              <w:rPr>
                <w:color w:val="231F20"/>
                <w:sz w:val="24"/>
              </w:rPr>
              <w:t>and</w:t>
            </w:r>
            <w:r>
              <w:rPr>
                <w:color w:val="231F20"/>
                <w:spacing w:val="-3"/>
                <w:sz w:val="24"/>
              </w:rPr>
              <w:t> </w:t>
            </w:r>
            <w:r>
              <w:rPr>
                <w:color w:val="231F20"/>
                <w:sz w:val="24"/>
              </w:rPr>
              <w:t>charges</w:t>
            </w:r>
            <w:r>
              <w:rPr>
                <w:color w:val="231F20"/>
                <w:spacing w:val="-2"/>
                <w:sz w:val="24"/>
              </w:rPr>
              <w:t> </w:t>
            </w:r>
            <w:r>
              <w:rPr>
                <w:color w:val="231F20"/>
                <w:sz w:val="24"/>
              </w:rPr>
              <w:t>income</w:t>
            </w:r>
            <w:r>
              <w:rPr>
                <w:color w:val="231F20"/>
                <w:spacing w:val="-3"/>
                <w:sz w:val="24"/>
              </w:rPr>
              <w:t> </w:t>
            </w:r>
            <w:r>
              <w:rPr>
                <w:color w:val="231F20"/>
                <w:sz w:val="24"/>
              </w:rPr>
              <w:t>and</w:t>
            </w:r>
            <w:r>
              <w:rPr>
                <w:color w:val="231F20"/>
                <w:spacing w:val="-3"/>
                <w:sz w:val="24"/>
              </w:rPr>
              <w:t> </w:t>
            </w:r>
            <w:r>
              <w:rPr>
                <w:color w:val="231F20"/>
                <w:sz w:val="24"/>
              </w:rPr>
              <w:t>interest</w:t>
            </w:r>
            <w:r>
              <w:rPr>
                <w:color w:val="231F20"/>
                <w:spacing w:val="-3"/>
                <w:sz w:val="24"/>
              </w:rPr>
              <w:t> </w:t>
            </w:r>
            <w:r>
              <w:rPr>
                <w:color w:val="231F20"/>
                <w:sz w:val="24"/>
              </w:rPr>
              <w:t>and</w:t>
            </w:r>
            <w:r>
              <w:rPr>
                <w:color w:val="231F20"/>
                <w:spacing w:val="-2"/>
                <w:sz w:val="24"/>
              </w:rPr>
              <w:t> </w:t>
            </w:r>
            <w:r>
              <w:rPr>
                <w:color w:val="231F20"/>
                <w:sz w:val="24"/>
              </w:rPr>
              <w:t>investment</w:t>
            </w:r>
            <w:r>
              <w:rPr>
                <w:color w:val="231F20"/>
                <w:spacing w:val="-3"/>
                <w:sz w:val="24"/>
              </w:rPr>
              <w:t> </w:t>
            </w:r>
            <w:r>
              <w:rPr>
                <w:color w:val="231F20"/>
                <w:spacing w:val="-2"/>
                <w:sz w:val="24"/>
              </w:rPr>
              <w:t>income</w:t>
            </w:r>
          </w:p>
        </w:tc>
        <w:tc>
          <w:tcPr>
            <w:tcW w:w="1417" w:type="dxa"/>
            <w:tcBorders>
              <w:right w:val="nil"/>
            </w:tcBorders>
            <w:shd w:val="clear" w:color="auto" w:fill="C9CBD4"/>
          </w:tcPr>
          <w:p>
            <w:pPr>
              <w:pStyle w:val="TableParagraph"/>
              <w:ind w:right="76"/>
              <w:jc w:val="right"/>
              <w:rPr>
                <w:sz w:val="24"/>
              </w:rPr>
            </w:pPr>
            <w:r>
              <w:rPr>
                <w:color w:val="231F20"/>
                <w:spacing w:val="-2"/>
                <w:sz w:val="24"/>
              </w:rPr>
              <w:t>(1,233)</w:t>
            </w:r>
          </w:p>
        </w:tc>
      </w:tr>
      <w:tr>
        <w:trPr>
          <w:trHeight w:val="324" w:hRule="atLeast"/>
        </w:trPr>
        <w:tc>
          <w:tcPr>
            <w:tcW w:w="9354" w:type="dxa"/>
            <w:tcBorders>
              <w:left w:val="nil"/>
            </w:tcBorders>
          </w:tcPr>
          <w:p>
            <w:pPr>
              <w:pStyle w:val="TableParagraph"/>
              <w:ind w:left="80"/>
              <w:rPr>
                <w:sz w:val="24"/>
              </w:rPr>
            </w:pPr>
            <w:r>
              <w:rPr>
                <w:color w:val="231F20"/>
                <w:sz w:val="24"/>
              </w:rPr>
              <w:t>Utility</w:t>
            </w:r>
            <w:r>
              <w:rPr>
                <w:color w:val="231F20"/>
                <w:spacing w:val="-3"/>
                <w:sz w:val="24"/>
              </w:rPr>
              <w:t> </w:t>
            </w:r>
            <w:r>
              <w:rPr>
                <w:color w:val="231F20"/>
                <w:sz w:val="24"/>
              </w:rPr>
              <w:t>Price</w:t>
            </w:r>
            <w:r>
              <w:rPr>
                <w:color w:val="231F20"/>
                <w:spacing w:val="-2"/>
                <w:sz w:val="24"/>
              </w:rPr>
              <w:t> increases</w:t>
            </w:r>
          </w:p>
        </w:tc>
        <w:tc>
          <w:tcPr>
            <w:tcW w:w="1417" w:type="dxa"/>
            <w:tcBorders>
              <w:right w:val="nil"/>
            </w:tcBorders>
          </w:tcPr>
          <w:p>
            <w:pPr>
              <w:pStyle w:val="TableParagraph"/>
              <w:ind w:right="77"/>
              <w:jc w:val="right"/>
              <w:rPr>
                <w:sz w:val="24"/>
              </w:rPr>
            </w:pPr>
            <w:r>
              <w:rPr>
                <w:color w:val="231F20"/>
                <w:spacing w:val="-5"/>
                <w:sz w:val="24"/>
              </w:rPr>
              <w:t>313</w:t>
            </w:r>
          </w:p>
        </w:tc>
      </w:tr>
      <w:tr>
        <w:trPr>
          <w:trHeight w:val="324" w:hRule="atLeast"/>
        </w:trPr>
        <w:tc>
          <w:tcPr>
            <w:tcW w:w="9354" w:type="dxa"/>
            <w:tcBorders>
              <w:left w:val="nil"/>
            </w:tcBorders>
            <w:shd w:val="clear" w:color="auto" w:fill="C9CBD4"/>
          </w:tcPr>
          <w:p>
            <w:pPr>
              <w:pStyle w:val="TableParagraph"/>
              <w:ind w:left="80"/>
              <w:rPr>
                <w:sz w:val="24"/>
              </w:rPr>
            </w:pPr>
            <w:r>
              <w:rPr>
                <w:color w:val="231F20"/>
                <w:sz w:val="24"/>
              </w:rPr>
              <w:t>Staffing</w:t>
            </w:r>
            <w:r>
              <w:rPr>
                <w:color w:val="231F20"/>
                <w:spacing w:val="-7"/>
                <w:sz w:val="24"/>
              </w:rPr>
              <w:t> </w:t>
            </w:r>
            <w:r>
              <w:rPr>
                <w:color w:val="231F20"/>
                <w:sz w:val="24"/>
              </w:rPr>
              <w:t>expenditure</w:t>
            </w:r>
            <w:r>
              <w:rPr>
                <w:color w:val="231F20"/>
                <w:spacing w:val="-4"/>
                <w:sz w:val="24"/>
              </w:rPr>
              <w:t> </w:t>
            </w:r>
            <w:r>
              <w:rPr>
                <w:color w:val="231F20"/>
                <w:sz w:val="24"/>
              </w:rPr>
              <w:t>-</w:t>
            </w:r>
            <w:r>
              <w:rPr>
                <w:color w:val="231F20"/>
                <w:spacing w:val="-4"/>
                <w:sz w:val="24"/>
              </w:rPr>
              <w:t> </w:t>
            </w:r>
            <w:r>
              <w:rPr>
                <w:color w:val="231F20"/>
                <w:sz w:val="24"/>
              </w:rPr>
              <w:t>Pay</w:t>
            </w:r>
            <w:r>
              <w:rPr>
                <w:color w:val="231F20"/>
                <w:spacing w:val="-4"/>
                <w:sz w:val="24"/>
              </w:rPr>
              <w:t> </w:t>
            </w:r>
            <w:r>
              <w:rPr>
                <w:color w:val="231F20"/>
                <w:sz w:val="24"/>
              </w:rPr>
              <w:t>Award</w:t>
            </w:r>
            <w:r>
              <w:rPr>
                <w:color w:val="231F20"/>
                <w:spacing w:val="-4"/>
                <w:sz w:val="24"/>
              </w:rPr>
              <w:t> </w:t>
            </w:r>
            <w:r>
              <w:rPr>
                <w:color w:val="231F20"/>
                <w:sz w:val="24"/>
              </w:rPr>
              <w:t>less</w:t>
            </w:r>
            <w:r>
              <w:rPr>
                <w:color w:val="231F20"/>
                <w:spacing w:val="-5"/>
                <w:sz w:val="24"/>
              </w:rPr>
              <w:t> </w:t>
            </w:r>
            <w:r>
              <w:rPr>
                <w:color w:val="231F20"/>
                <w:spacing w:val="-2"/>
                <w:sz w:val="24"/>
              </w:rPr>
              <w:t>vacancies</w:t>
            </w:r>
          </w:p>
        </w:tc>
        <w:tc>
          <w:tcPr>
            <w:tcW w:w="1417" w:type="dxa"/>
            <w:tcBorders>
              <w:right w:val="nil"/>
            </w:tcBorders>
            <w:shd w:val="clear" w:color="auto" w:fill="C9CBD4"/>
          </w:tcPr>
          <w:p>
            <w:pPr>
              <w:pStyle w:val="TableParagraph"/>
              <w:ind w:right="77"/>
              <w:jc w:val="right"/>
              <w:rPr>
                <w:sz w:val="24"/>
              </w:rPr>
            </w:pPr>
            <w:r>
              <w:rPr>
                <w:color w:val="231F20"/>
                <w:spacing w:val="-5"/>
                <w:sz w:val="24"/>
              </w:rPr>
              <w:t>200</w:t>
            </w:r>
          </w:p>
        </w:tc>
      </w:tr>
      <w:tr>
        <w:trPr>
          <w:trHeight w:val="324" w:hRule="atLeast"/>
        </w:trPr>
        <w:tc>
          <w:tcPr>
            <w:tcW w:w="9354" w:type="dxa"/>
            <w:tcBorders>
              <w:left w:val="nil"/>
            </w:tcBorders>
          </w:tcPr>
          <w:p>
            <w:pPr>
              <w:pStyle w:val="TableParagraph"/>
              <w:ind w:left="80"/>
              <w:rPr>
                <w:sz w:val="24"/>
              </w:rPr>
            </w:pPr>
            <w:r>
              <w:rPr>
                <w:color w:val="231F20"/>
                <w:sz w:val="24"/>
              </w:rPr>
              <w:t>Digital</w:t>
            </w:r>
            <w:r>
              <w:rPr>
                <w:color w:val="231F20"/>
                <w:spacing w:val="-7"/>
                <w:sz w:val="24"/>
              </w:rPr>
              <w:t> </w:t>
            </w:r>
            <w:r>
              <w:rPr>
                <w:color w:val="231F20"/>
                <w:spacing w:val="-2"/>
                <w:sz w:val="24"/>
              </w:rPr>
              <w:t>Transformation</w:t>
            </w:r>
          </w:p>
        </w:tc>
        <w:tc>
          <w:tcPr>
            <w:tcW w:w="1417" w:type="dxa"/>
            <w:tcBorders>
              <w:right w:val="nil"/>
            </w:tcBorders>
          </w:tcPr>
          <w:p>
            <w:pPr>
              <w:pStyle w:val="TableParagraph"/>
              <w:ind w:right="77"/>
              <w:jc w:val="right"/>
              <w:rPr>
                <w:sz w:val="24"/>
              </w:rPr>
            </w:pPr>
            <w:r>
              <w:rPr>
                <w:color w:val="231F20"/>
                <w:spacing w:val="-5"/>
                <w:sz w:val="24"/>
              </w:rPr>
              <w:t>192</w:t>
            </w:r>
          </w:p>
        </w:tc>
      </w:tr>
      <w:tr>
        <w:trPr>
          <w:trHeight w:val="324" w:hRule="atLeast"/>
        </w:trPr>
        <w:tc>
          <w:tcPr>
            <w:tcW w:w="9354" w:type="dxa"/>
            <w:tcBorders>
              <w:left w:val="nil"/>
            </w:tcBorders>
            <w:shd w:val="clear" w:color="auto" w:fill="C9CBD4"/>
          </w:tcPr>
          <w:p>
            <w:pPr>
              <w:pStyle w:val="TableParagraph"/>
              <w:ind w:left="80"/>
              <w:rPr>
                <w:sz w:val="24"/>
              </w:rPr>
            </w:pPr>
            <w:r>
              <w:rPr>
                <w:color w:val="231F20"/>
                <w:sz w:val="24"/>
              </w:rPr>
              <w:t>Housing</w:t>
            </w:r>
            <w:r>
              <w:rPr>
                <w:color w:val="231F20"/>
                <w:spacing w:val="-2"/>
                <w:sz w:val="24"/>
              </w:rPr>
              <w:t> </w:t>
            </w:r>
            <w:r>
              <w:rPr>
                <w:color w:val="231F20"/>
                <w:sz w:val="24"/>
              </w:rPr>
              <w:t>-</w:t>
            </w:r>
            <w:r>
              <w:rPr>
                <w:color w:val="231F20"/>
                <w:spacing w:val="-2"/>
                <w:sz w:val="24"/>
              </w:rPr>
              <w:t> </w:t>
            </w:r>
            <w:r>
              <w:rPr>
                <w:color w:val="231F20"/>
                <w:sz w:val="24"/>
              </w:rPr>
              <w:t>Maintenance</w:t>
            </w:r>
            <w:r>
              <w:rPr>
                <w:color w:val="231F20"/>
                <w:spacing w:val="-1"/>
                <w:sz w:val="24"/>
              </w:rPr>
              <w:t> </w:t>
            </w:r>
            <w:r>
              <w:rPr>
                <w:color w:val="231F20"/>
                <w:sz w:val="24"/>
              </w:rPr>
              <w:t>Repairs</w:t>
            </w:r>
            <w:r>
              <w:rPr>
                <w:color w:val="231F20"/>
                <w:spacing w:val="-2"/>
                <w:sz w:val="24"/>
              </w:rPr>
              <w:t> </w:t>
            </w:r>
            <w:r>
              <w:rPr>
                <w:color w:val="231F20"/>
                <w:sz w:val="24"/>
              </w:rPr>
              <w:t>and</w:t>
            </w:r>
            <w:r>
              <w:rPr>
                <w:color w:val="231F20"/>
                <w:spacing w:val="-1"/>
                <w:sz w:val="24"/>
              </w:rPr>
              <w:t> </w:t>
            </w:r>
            <w:r>
              <w:rPr>
                <w:color w:val="231F20"/>
                <w:spacing w:val="-2"/>
                <w:sz w:val="24"/>
              </w:rPr>
              <w:t>Materials</w:t>
            </w:r>
          </w:p>
        </w:tc>
        <w:tc>
          <w:tcPr>
            <w:tcW w:w="1417" w:type="dxa"/>
            <w:tcBorders>
              <w:right w:val="nil"/>
            </w:tcBorders>
            <w:shd w:val="clear" w:color="auto" w:fill="C9CBD4"/>
          </w:tcPr>
          <w:p>
            <w:pPr>
              <w:pStyle w:val="TableParagraph"/>
              <w:ind w:right="77"/>
              <w:jc w:val="right"/>
              <w:rPr>
                <w:sz w:val="24"/>
              </w:rPr>
            </w:pPr>
            <w:r>
              <w:rPr>
                <w:color w:val="231F20"/>
                <w:spacing w:val="-5"/>
                <w:sz w:val="24"/>
              </w:rPr>
              <w:t>140</w:t>
            </w:r>
          </w:p>
        </w:tc>
      </w:tr>
      <w:tr>
        <w:trPr>
          <w:trHeight w:val="324" w:hRule="atLeast"/>
        </w:trPr>
        <w:tc>
          <w:tcPr>
            <w:tcW w:w="9354" w:type="dxa"/>
            <w:tcBorders>
              <w:left w:val="nil"/>
            </w:tcBorders>
          </w:tcPr>
          <w:p>
            <w:pPr>
              <w:pStyle w:val="TableParagraph"/>
              <w:ind w:left="80"/>
              <w:rPr>
                <w:sz w:val="24"/>
              </w:rPr>
            </w:pPr>
            <w:r>
              <w:rPr>
                <w:color w:val="231F20"/>
                <w:sz w:val="24"/>
              </w:rPr>
              <w:t>Other</w:t>
            </w:r>
            <w:r>
              <w:rPr>
                <w:color w:val="231F20"/>
                <w:spacing w:val="-1"/>
                <w:sz w:val="24"/>
              </w:rPr>
              <w:t> </w:t>
            </w:r>
            <w:r>
              <w:rPr>
                <w:color w:val="231F20"/>
                <w:sz w:val="24"/>
              </w:rPr>
              <w:t>various</w:t>
            </w:r>
            <w:r>
              <w:rPr>
                <w:color w:val="231F20"/>
                <w:spacing w:val="-1"/>
                <w:sz w:val="24"/>
              </w:rPr>
              <w:t> </w:t>
            </w:r>
            <w:r>
              <w:rPr>
                <w:color w:val="231F20"/>
                <w:sz w:val="24"/>
              </w:rPr>
              <w:t>minor</w:t>
            </w:r>
            <w:r>
              <w:rPr>
                <w:color w:val="231F20"/>
                <w:spacing w:val="-2"/>
                <w:sz w:val="24"/>
              </w:rPr>
              <w:t> </w:t>
            </w:r>
            <w:r>
              <w:rPr>
                <w:color w:val="231F20"/>
                <w:sz w:val="24"/>
              </w:rPr>
              <w:t>variances</w:t>
            </w:r>
            <w:r>
              <w:rPr>
                <w:color w:val="231F20"/>
                <w:spacing w:val="-1"/>
                <w:sz w:val="24"/>
              </w:rPr>
              <w:t> </w:t>
            </w:r>
            <w:r>
              <w:rPr>
                <w:color w:val="231F20"/>
                <w:spacing w:val="-2"/>
                <w:sz w:val="24"/>
              </w:rPr>
              <w:t>(net)</w:t>
            </w:r>
          </w:p>
        </w:tc>
        <w:tc>
          <w:tcPr>
            <w:tcW w:w="1417" w:type="dxa"/>
            <w:tcBorders>
              <w:right w:val="nil"/>
            </w:tcBorders>
          </w:tcPr>
          <w:p>
            <w:pPr>
              <w:pStyle w:val="TableParagraph"/>
              <w:ind w:right="77"/>
              <w:jc w:val="right"/>
              <w:rPr>
                <w:sz w:val="24"/>
              </w:rPr>
            </w:pPr>
            <w:r>
              <w:rPr>
                <w:color w:val="231F20"/>
                <w:spacing w:val="-4"/>
                <w:sz w:val="24"/>
              </w:rPr>
              <w:t>(22)</w:t>
            </w:r>
          </w:p>
        </w:tc>
      </w:tr>
      <w:tr>
        <w:trPr>
          <w:trHeight w:val="329" w:hRule="atLeast"/>
        </w:trPr>
        <w:tc>
          <w:tcPr>
            <w:tcW w:w="9354" w:type="dxa"/>
            <w:tcBorders>
              <w:left w:val="nil"/>
              <w:bottom w:val="nil"/>
            </w:tcBorders>
          </w:tcPr>
          <w:p>
            <w:pPr>
              <w:pStyle w:val="TableParagraph"/>
              <w:spacing w:line="240" w:lineRule="auto"/>
              <w:rPr>
                <w:rFonts w:ascii="Times New Roman"/>
                <w:sz w:val="22"/>
              </w:rPr>
            </w:pPr>
          </w:p>
        </w:tc>
        <w:tc>
          <w:tcPr>
            <w:tcW w:w="1417" w:type="dxa"/>
            <w:tcBorders>
              <w:bottom w:val="nil"/>
              <w:right w:val="nil"/>
            </w:tcBorders>
          </w:tcPr>
          <w:p>
            <w:pPr>
              <w:pStyle w:val="TableParagraph"/>
              <w:spacing w:line="310" w:lineRule="exact"/>
              <w:ind w:right="77"/>
              <w:jc w:val="right"/>
              <w:rPr>
                <w:b/>
                <w:sz w:val="24"/>
              </w:rPr>
            </w:pPr>
            <w:r>
              <w:rPr>
                <w:b/>
                <w:color w:val="231F20"/>
                <w:spacing w:val="-2"/>
                <w:sz w:val="24"/>
              </w:rPr>
              <w:t>(3,051)</w:t>
            </w:r>
          </w:p>
        </w:tc>
      </w:tr>
    </w:tbl>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3"/>
        <w:rPr>
          <w:b/>
          <w:sz w:val="18"/>
        </w:rPr>
      </w:pPr>
    </w:p>
    <w:p>
      <w:pPr>
        <w:pStyle w:val="Heading3"/>
        <w:spacing w:line="240" w:lineRule="auto" w:before="96"/>
      </w:pPr>
      <w:r>
        <w:rPr/>
        <w:pict>
          <v:group style="position:absolute;margin-left:578.504028pt;margin-top:-98.53817pt;width:16.8pt;height:192.8pt;mso-position-horizontal-relative:page;mso-position-vertical-relative:paragraph;z-index:15755264" id="docshapegroup195" coordorigin="11570,-1971" coordsize="336,3856">
            <v:rect style="position:absolute;left:11570;top:920;width:336;height:964" id="docshape196" filled="true" fillcolor="#f15d6b" stroked="false">
              <v:fill type="solid"/>
            </v:rect>
            <v:rect style="position:absolute;left:11570;top:-44;width:336;height:964" id="docshape197" filled="true" fillcolor="#fbac42" stroked="false">
              <v:fill type="solid"/>
            </v:rect>
            <v:rect style="position:absolute;left:11570;top:-1007;width:336;height:964" id="docshape198" filled="true" fillcolor="#b78fc1" stroked="false">
              <v:fill type="solid"/>
            </v:rect>
            <v:rect style="position:absolute;left:11570;top:-1971;width:336;height:964" id="docshape199" filled="true" fillcolor="#378372" stroked="false">
              <v:fill type="solid"/>
            </v:rect>
            <w10:wrap type="none"/>
          </v:group>
        </w:pict>
      </w:r>
      <w:r>
        <w:rPr>
          <w:color w:val="3B5673"/>
        </w:rPr>
        <w:t>HRA</w:t>
      </w:r>
      <w:r>
        <w:rPr>
          <w:color w:val="3B5673"/>
          <w:spacing w:val="43"/>
        </w:rPr>
        <w:t> </w:t>
      </w:r>
      <w:r>
        <w:rPr>
          <w:color w:val="3B5673"/>
        </w:rPr>
        <w:t>RESERVES</w:t>
      </w:r>
      <w:r>
        <w:rPr>
          <w:color w:val="3B5673"/>
          <w:spacing w:val="37"/>
        </w:rPr>
        <w:t> </w:t>
      </w:r>
      <w:r>
        <w:rPr>
          <w:color w:val="3B5673"/>
          <w:spacing w:val="-4"/>
          <w:position w:val="2"/>
        </w:rPr>
        <w:t>(</w:t>
      </w:r>
      <w:r>
        <w:rPr>
          <w:color w:val="3B5673"/>
          <w:spacing w:val="-4"/>
        </w:rPr>
        <w:t>£M</w:t>
      </w:r>
      <w:r>
        <w:rPr>
          <w:color w:val="3B5673"/>
          <w:spacing w:val="-4"/>
          <w:position w:val="2"/>
        </w:rPr>
        <w:t>)</w:t>
      </w:r>
    </w:p>
    <w:p>
      <w:pPr>
        <w:spacing w:before="144"/>
        <w:ind w:left="718" w:right="0" w:firstLine="0"/>
        <w:jc w:val="left"/>
        <w:rPr>
          <w:rFonts w:ascii="Open Sans Light"/>
          <w:b w:val="0"/>
          <w:sz w:val="19"/>
        </w:rPr>
      </w:pPr>
      <w:r>
        <w:rPr/>
        <w:pict>
          <v:rect style="position:absolute;margin-left:54.738998pt;margin-top:13.366545pt;width:385.628pt;height:.42pt;mso-position-horizontal-relative:page;mso-position-vertical-relative:paragraph;z-index:15754240" id="docshape200" filled="true" fillcolor="#231f20" stroked="false">
            <v:fill opacity="16194f" type="solid"/>
            <w10:wrap type="none"/>
          </v:rect>
        </w:pict>
      </w:r>
      <w:r>
        <w:rPr/>
        <w:pict>
          <v:group style="position:absolute;margin-left:54.738998pt;margin-top:22.801044pt;width:385.65pt;height:240.7pt;mso-position-horizontal-relative:page;mso-position-vertical-relative:paragraph;z-index:15754752" id="docshapegroup201" coordorigin="1095,456" coordsize="7713,4814">
            <v:shape style="position:absolute;left:1094;top:1266;width:7713;height:3005" id="docshape202" coordorigin="1095,1266" coordsize="7713,3005" path="m8807,4262l1095,4262,1095,4271,8807,4271,8807,4262xm8807,3264l1095,3264,1095,3272,8807,3272,8807,3264xm8807,2265l1095,2265,1095,2273,8807,2273,8807,2265xm8807,1266l1095,1266,1095,1274,8807,1274,8807,1266xe" filled="true" fillcolor="#231f20" stroked="false">
              <v:path arrowok="t"/>
              <v:fill opacity="16194f" type="solid"/>
            </v:shape>
            <v:rect style="position:absolute;left:1094;top:5261;width:7713;height:9" id="docshape203" filled="true" fillcolor="#231f20" stroked="false">
              <v:fill opacity="39321f" type="solid"/>
            </v:rect>
            <v:shape style="position:absolute;left:5267;top:918;width:1151;height:4351" id="docshape204" coordorigin="5268,919" coordsize="1151,4351" path="m6326,919l5359,919,5324,924,5295,939,5275,962,5268,989,5268,5270,6418,5270,6418,989,6411,962,6391,939,6362,924,6326,919xe" filled="true" fillcolor="#395873" stroked="false">
              <v:path arrowok="t"/>
              <v:fill type="solid"/>
            </v:shape>
            <v:shape style="position:absolute;left:6417;top:5197;width:1151;height:72" id="docshape205" coordorigin="6418,5198" coordsize="1151,72" path="m7477,5198l6510,5198,6492,5199,6433,5219,6418,5246,6418,5270,7569,5270,7569,5246,7512,5202,7477,5198xe" filled="true" fillcolor="#faa94e" stroked="false">
              <v:path arrowok="t"/>
              <v:fill type="solid"/>
            </v:shape>
            <v:shape style="position:absolute;left:1821;top:961;width:1151;height:4308" id="docshape206" coordorigin="1822,962" coordsize="1151,4308" path="m2880,962l1914,962,1878,967,1849,982,1829,1003,1822,1030,1822,5270,2972,5270,2972,1030,2965,1003,2945,982,2916,967,2880,962xe" filled="true" fillcolor="#3a5974" stroked="false">
              <v:path arrowok="t"/>
              <v:fill type="solid"/>
            </v:shape>
            <v:shape style="position:absolute;left:2973;top:5169;width:1151;height:101" id="docshape207" coordorigin="2974,5169" coordsize="1151,101" path="m4033,5169l3066,5169,3048,5171,2989,5199,2974,5236,2974,5270,4125,5270,4125,5236,4084,5181,4033,5169xe" filled="true" fillcolor="#faa94e" stroked="false">
              <v:path arrowok="t"/>
              <v:fill type="solid"/>
            </v:shape>
            <v:shape style="position:absolute;left:5380;top:461;width:915;height:915" id="docshape208" coordorigin="5381,462" coordsize="915,915" path="m5838,462l5764,468,5694,485,5628,513,5568,550,5515,595,5469,649,5432,709,5404,774,5387,845,5381,919,5387,993,5404,1063,5432,1129,5469,1189,5515,1242,5568,1288,5628,1325,5694,1352,5764,1370,5838,1376,5912,1370,5982,1352,6048,1325,6108,1288,6161,1242,6207,1189,6244,1129,6272,1063,6289,993,6295,919,6289,845,6272,774,6244,709,6207,649,6161,595,6108,550,6048,513,5982,485,5912,468,5838,462xe" filled="true" fillcolor="#ffffff" stroked="false">
              <v:path arrowok="t"/>
              <v:fill type="solid"/>
            </v:shape>
            <v:shape style="position:absolute;left:5380;top:461;width:915;height:915" id="docshape209" coordorigin="5381,462" coordsize="915,915" path="m6295,919l6289,845,6272,774,6244,709,6207,649,6161,595,6108,550,6048,513,5982,485,5912,468,5838,462,5764,468,5694,485,5628,513,5568,550,5515,595,5469,649,5432,709,5404,774,5387,845,5381,919,5387,993,5404,1063,5432,1129,5469,1189,5515,1242,5568,1288,5628,1325,5694,1352,5764,1370,5838,1376,5912,1370,5982,1352,6048,1325,6108,1288,6161,1242,6207,1189,6244,1129,6272,1063,6289,993,6295,919xe" filled="false" stroked="true" strokeweight=".560pt" strokecolor="#395873">
              <v:path arrowok="t"/>
              <v:stroke dashstyle="solid"/>
            </v:shape>
            <v:shape style="position:absolute;left:1935;top:504;width:915;height:915" id="docshape210" coordorigin="1936,505" coordsize="915,915" path="m2393,505l2319,511,2248,528,2183,556,2123,593,2070,638,2024,692,1987,752,1959,817,1942,887,1936,962,1942,1036,1959,1106,1987,1172,2024,1232,2070,1285,2123,1330,2183,1368,2248,1395,2319,1413,2393,1419,2467,1413,2537,1395,2603,1368,2663,1330,2716,1285,2762,1232,2799,1172,2827,1106,2844,1036,2850,962,2844,887,2827,817,2799,752,2762,692,2716,638,2663,593,2603,556,2537,528,2467,511,2393,505xe" filled="true" fillcolor="#ffffff" stroked="false">
              <v:path arrowok="t"/>
              <v:fill type="solid"/>
            </v:shape>
            <v:shape style="position:absolute;left:1935;top:504;width:915;height:915" id="docshape211" coordorigin="1936,505" coordsize="915,915" path="m2850,962l2844,887,2827,817,2799,752,2762,692,2716,638,2663,593,2603,556,2537,528,2467,511,2393,505,2319,511,2248,528,2183,556,2123,593,2070,638,2024,692,1987,752,1959,817,1942,887,1936,962,1942,1036,1959,1106,1987,1172,2024,1232,2070,1285,2123,1330,2183,1368,2248,1395,2319,1413,2393,1419,2467,1413,2537,1395,2603,1368,2663,1330,2716,1285,2762,1232,2799,1172,2827,1106,2844,1036,2850,962xe" filled="false" stroked="true" strokeweight=".560pt" strokecolor="#395873">
              <v:path arrowok="t"/>
              <v:stroke dashstyle="solid"/>
            </v:shape>
            <v:shape style="position:absolute;left:6536;top:4135;width:915;height:915" id="docshape212" coordorigin="6536,4136" coordsize="915,915" path="m6993,4136l6919,4142,6849,4159,6783,4187,6723,4224,6670,4270,6624,4323,6587,4383,6559,4448,6542,4519,6536,4593,6542,4667,6559,4737,6587,4803,6624,4863,6670,4916,6723,4962,6783,4999,6849,5027,6919,5044,6993,5050,7067,5044,7138,5027,7203,4999,7263,4962,7316,4916,7362,4863,7399,4803,7427,4737,7444,4667,7450,4593,7444,4519,7427,4448,7399,4383,7362,4323,7316,4270,7263,4224,7203,4187,7138,4159,7067,4142,6993,4136xe" filled="true" fillcolor="#ffffff" stroked="false">
              <v:path arrowok="t"/>
              <v:fill type="solid"/>
            </v:shape>
            <v:shape style="position:absolute;left:6536;top:4135;width:915;height:915" id="docshape213" coordorigin="6536,4136" coordsize="915,915" path="m7450,4593l7444,4519,7427,4448,7399,4383,7362,4323,7316,4270,7263,4224,7203,4187,7138,4159,7067,4142,6993,4136,6919,4142,6849,4159,6783,4187,6723,4224,6670,4270,6624,4323,6587,4383,6559,4448,6542,4519,6536,4593,6542,4667,6559,4737,6587,4803,6624,4863,6670,4916,6723,4962,6783,4999,6849,5027,6919,5044,6993,5050,7067,5044,7138,5027,7203,4999,7263,4962,7316,4916,7362,4863,7399,4803,7427,4737,7444,4667,7450,4593xe" filled="false" stroked="true" strokeweight=".560pt" strokecolor="#faa94d">
              <v:path arrowok="t"/>
              <v:stroke dashstyle="solid"/>
            </v:shape>
            <v:shape style="position:absolute;left:3092;top:4135;width:915;height:915" id="docshape214" coordorigin="3092,4136" coordsize="915,915" path="m3549,4136l3475,4142,3405,4159,3339,4187,3279,4224,3226,4270,3180,4323,3143,4383,3115,4448,3098,4519,3092,4593,3098,4667,3115,4737,3143,4803,3180,4863,3226,4916,3279,4962,3339,4999,3405,5027,3475,5044,3549,5050,3623,5044,3694,5027,3759,4999,3819,4962,3872,4916,3918,4863,3955,4803,3983,4737,4000,4667,4006,4593,4000,4519,3983,4448,3955,4383,3918,4323,3872,4270,3819,4224,3759,4187,3694,4159,3623,4142,3549,4136xe" filled="true" fillcolor="#ffffff" stroked="false">
              <v:path arrowok="t"/>
              <v:fill type="solid"/>
            </v:shape>
            <v:shape style="position:absolute;left:3092;top:4135;width:915;height:915" id="docshape215" coordorigin="3092,4136" coordsize="915,915" path="m4006,4593l4000,4519,3983,4448,3955,4383,3918,4323,3872,4270,3819,4224,3759,4187,3694,4159,3623,4142,3549,4136,3475,4142,3405,4159,3339,4187,3279,4224,3226,4270,3180,4323,3143,4383,3115,4448,3098,4519,3092,4593,3098,4667,3115,4737,3143,4803,3180,4863,3226,4916,3279,4962,3339,4999,3405,5027,3475,5044,3549,5050,3623,5044,3694,5027,3759,4999,3819,4962,3872,4916,3918,4863,3955,4803,3983,4737,4000,4667,4006,4593xe" filled="false" stroked="true" strokeweight=".560pt" strokecolor="#faa94d">
              <v:path arrowok="t"/>
              <v:stroke dashstyle="solid"/>
            </v:shape>
            <v:shape style="position:absolute;left:2034;top:782;width:725;height:298" type="#_x0000_t202" id="docshape216" filled="false" stroked="false">
              <v:textbox inset="0,0,0,0">
                <w:txbxContent>
                  <w:p>
                    <w:pPr>
                      <w:spacing w:before="4"/>
                      <w:ind w:left="0" w:right="0" w:firstLine="0"/>
                      <w:jc w:val="left"/>
                      <w:rPr>
                        <w:b/>
                        <w:sz w:val="22"/>
                      </w:rPr>
                    </w:pPr>
                    <w:r>
                      <w:rPr>
                        <w:b/>
                        <w:color w:val="395873"/>
                        <w:spacing w:val="-2"/>
                        <w:sz w:val="22"/>
                      </w:rPr>
                      <w:t>42,969</w:t>
                    </w:r>
                  </w:p>
                </w:txbxContent>
              </v:textbox>
              <w10:wrap type="none"/>
            </v:shape>
            <v:shape style="position:absolute;left:5480;top:739;width:725;height:298" type="#_x0000_t202" id="docshape217" filled="false" stroked="false">
              <v:textbox inset="0,0,0,0">
                <w:txbxContent>
                  <w:p>
                    <w:pPr>
                      <w:spacing w:before="4"/>
                      <w:ind w:left="0" w:right="0" w:firstLine="0"/>
                      <w:jc w:val="left"/>
                      <w:rPr>
                        <w:b/>
                        <w:sz w:val="22"/>
                      </w:rPr>
                    </w:pPr>
                    <w:r>
                      <w:rPr>
                        <w:b/>
                        <w:color w:val="395873"/>
                        <w:spacing w:val="-2"/>
                        <w:sz w:val="22"/>
                      </w:rPr>
                      <w:t>43,344</w:t>
                    </w:r>
                  </w:p>
                </w:txbxContent>
              </v:textbox>
              <w10:wrap type="none"/>
            </v:shape>
            <v:shape style="position:absolute;left:3365;top:4436;width:407;height:298" type="#_x0000_t202" id="docshape218" filled="false" stroked="false">
              <v:textbox inset="0,0,0,0">
                <w:txbxContent>
                  <w:p>
                    <w:pPr>
                      <w:spacing w:before="4"/>
                      <w:ind w:left="0" w:right="0" w:firstLine="0"/>
                      <w:jc w:val="left"/>
                      <w:rPr>
                        <w:b/>
                        <w:sz w:val="22"/>
                      </w:rPr>
                    </w:pPr>
                    <w:r>
                      <w:rPr>
                        <w:b/>
                        <w:color w:val="FAA94D"/>
                        <w:spacing w:val="-5"/>
                        <w:sz w:val="22"/>
                      </w:rPr>
                      <w:t>821</w:t>
                    </w:r>
                  </w:p>
                </w:txbxContent>
              </v:textbox>
              <w10:wrap type="none"/>
            </v:shape>
            <v:shape style="position:absolute;left:6815;top:4436;width:407;height:298" type="#_x0000_t202" id="docshape219" filled="false" stroked="false">
              <v:textbox inset="0,0,0,0">
                <w:txbxContent>
                  <w:p>
                    <w:pPr>
                      <w:spacing w:before="4"/>
                      <w:ind w:left="0" w:right="0" w:firstLine="0"/>
                      <w:jc w:val="left"/>
                      <w:rPr>
                        <w:b/>
                        <w:sz w:val="22"/>
                      </w:rPr>
                    </w:pPr>
                    <w:r>
                      <w:rPr>
                        <w:b/>
                        <w:color w:val="FAA94D"/>
                        <w:spacing w:val="-5"/>
                        <w:sz w:val="22"/>
                      </w:rPr>
                      <w:t>578</w:t>
                    </w:r>
                  </w:p>
                </w:txbxContent>
              </v:textbox>
              <w10:wrap type="none"/>
            </v:shape>
            <w10:wrap type="none"/>
          </v:group>
        </w:pict>
      </w:r>
      <w:r>
        <w:rPr>
          <w:rFonts w:ascii="Open Sans Light"/>
          <w:b w:val="0"/>
          <w:color w:val="231F20"/>
          <w:spacing w:val="-5"/>
          <w:w w:val="105"/>
          <w:sz w:val="19"/>
        </w:rPr>
        <w:t>50</w:t>
      </w:r>
    </w:p>
    <w:p>
      <w:pPr>
        <w:pStyle w:val="BodyText"/>
        <w:rPr>
          <w:rFonts w:ascii="Open Sans Light"/>
          <w:b w:val="0"/>
          <w:sz w:val="26"/>
        </w:rPr>
      </w:pPr>
    </w:p>
    <w:p>
      <w:pPr>
        <w:pStyle w:val="BodyText"/>
        <w:spacing w:before="5"/>
        <w:rPr>
          <w:rFonts w:ascii="Open Sans Light"/>
          <w:b w:val="0"/>
          <w:sz w:val="28"/>
        </w:rPr>
      </w:pPr>
    </w:p>
    <w:p>
      <w:pPr>
        <w:spacing w:before="0"/>
        <w:ind w:left="718" w:right="0" w:firstLine="0"/>
        <w:jc w:val="left"/>
        <w:rPr>
          <w:rFonts w:ascii="Open Sans Light"/>
          <w:b w:val="0"/>
          <w:sz w:val="19"/>
        </w:rPr>
      </w:pPr>
      <w:r>
        <w:rPr>
          <w:rFonts w:ascii="Open Sans Light"/>
          <w:b w:val="0"/>
          <w:color w:val="231F20"/>
          <w:spacing w:val="-5"/>
          <w:w w:val="105"/>
          <w:sz w:val="19"/>
        </w:rPr>
        <w:t>40</w:t>
      </w:r>
    </w:p>
    <w:p>
      <w:pPr>
        <w:pStyle w:val="BodyText"/>
        <w:rPr>
          <w:rFonts w:ascii="Open Sans Light"/>
          <w:b w:val="0"/>
          <w:sz w:val="20"/>
        </w:rPr>
      </w:pPr>
    </w:p>
    <w:p>
      <w:pPr>
        <w:pStyle w:val="BodyText"/>
        <w:spacing w:before="6"/>
        <w:rPr>
          <w:rFonts w:ascii="Open Sans Light"/>
          <w:b w:val="0"/>
          <w:sz w:val="26"/>
        </w:rPr>
      </w:pPr>
    </w:p>
    <w:p>
      <w:pPr>
        <w:spacing w:after="0"/>
        <w:rPr>
          <w:rFonts w:ascii="Open Sans Light"/>
          <w:sz w:val="26"/>
        </w:rPr>
        <w:sectPr>
          <w:pgSz w:w="11910" w:h="16840"/>
          <w:pgMar w:header="377" w:footer="367" w:top="560" w:bottom="560" w:left="0" w:right="0"/>
        </w:sectPr>
      </w:pPr>
    </w:p>
    <w:p>
      <w:pPr>
        <w:spacing w:before="108"/>
        <w:ind w:left="718" w:right="0" w:firstLine="0"/>
        <w:jc w:val="left"/>
        <w:rPr>
          <w:rFonts w:ascii="Open Sans Light"/>
          <w:b w:val="0"/>
          <w:sz w:val="19"/>
        </w:rPr>
      </w:pPr>
      <w:r>
        <w:rPr>
          <w:rFonts w:ascii="Open Sans Light"/>
          <w:b w:val="0"/>
          <w:color w:val="231F20"/>
          <w:spacing w:val="-5"/>
          <w:w w:val="105"/>
          <w:sz w:val="19"/>
        </w:rPr>
        <w:t>30</w:t>
      </w:r>
    </w:p>
    <w:p>
      <w:pPr>
        <w:pStyle w:val="BodyText"/>
        <w:rPr>
          <w:rFonts w:ascii="Open Sans Light"/>
          <w:b w:val="0"/>
          <w:sz w:val="26"/>
        </w:rPr>
      </w:pPr>
    </w:p>
    <w:p>
      <w:pPr>
        <w:pStyle w:val="BodyText"/>
        <w:spacing w:before="5"/>
        <w:rPr>
          <w:rFonts w:ascii="Open Sans Light"/>
          <w:b w:val="0"/>
          <w:sz w:val="28"/>
        </w:rPr>
      </w:pPr>
    </w:p>
    <w:p>
      <w:pPr>
        <w:spacing w:before="0"/>
        <w:ind w:left="718" w:right="0" w:firstLine="0"/>
        <w:jc w:val="left"/>
        <w:rPr>
          <w:rFonts w:ascii="Open Sans Light"/>
          <w:b w:val="0"/>
          <w:sz w:val="19"/>
        </w:rPr>
      </w:pPr>
      <w:r>
        <w:rPr>
          <w:rFonts w:ascii="Open Sans Light"/>
          <w:b w:val="0"/>
          <w:color w:val="231F20"/>
          <w:spacing w:val="-5"/>
          <w:w w:val="105"/>
          <w:sz w:val="19"/>
        </w:rPr>
        <w:t>20</w:t>
      </w:r>
    </w:p>
    <w:p>
      <w:pPr>
        <w:pStyle w:val="BodyText"/>
        <w:rPr>
          <w:rFonts w:ascii="Open Sans Light"/>
          <w:b w:val="0"/>
          <w:sz w:val="26"/>
        </w:rPr>
      </w:pPr>
    </w:p>
    <w:p>
      <w:pPr>
        <w:pStyle w:val="BodyText"/>
        <w:spacing w:before="5"/>
        <w:rPr>
          <w:rFonts w:ascii="Open Sans Light"/>
          <w:b w:val="0"/>
          <w:sz w:val="28"/>
        </w:rPr>
      </w:pPr>
    </w:p>
    <w:p>
      <w:pPr>
        <w:spacing w:before="0"/>
        <w:ind w:left="718" w:right="0" w:firstLine="0"/>
        <w:jc w:val="left"/>
        <w:rPr>
          <w:rFonts w:ascii="Open Sans Light"/>
          <w:b w:val="0"/>
          <w:sz w:val="19"/>
        </w:rPr>
      </w:pPr>
      <w:r>
        <w:rPr>
          <w:rFonts w:ascii="Open Sans Light"/>
          <w:b w:val="0"/>
          <w:color w:val="231F20"/>
          <w:spacing w:val="-5"/>
          <w:w w:val="105"/>
          <w:sz w:val="19"/>
        </w:rPr>
        <w:t>10</w:t>
      </w:r>
    </w:p>
    <w:p>
      <w:pPr>
        <w:pStyle w:val="BodyText"/>
        <w:rPr>
          <w:rFonts w:ascii="Open Sans Light"/>
          <w:b w:val="0"/>
          <w:sz w:val="26"/>
        </w:rPr>
      </w:pPr>
    </w:p>
    <w:p>
      <w:pPr>
        <w:pStyle w:val="BodyText"/>
        <w:spacing w:before="5"/>
        <w:rPr>
          <w:rFonts w:ascii="Open Sans Light"/>
          <w:b w:val="0"/>
          <w:sz w:val="28"/>
        </w:rPr>
      </w:pPr>
    </w:p>
    <w:p>
      <w:pPr>
        <w:spacing w:before="1"/>
        <w:ind w:left="831" w:right="0" w:firstLine="0"/>
        <w:jc w:val="left"/>
        <w:rPr>
          <w:rFonts w:ascii="Open Sans Light"/>
          <w:b w:val="0"/>
          <w:sz w:val="19"/>
        </w:rPr>
      </w:pPr>
      <w:r>
        <w:rPr>
          <w:rFonts w:ascii="Open Sans Light"/>
          <w:b w:val="0"/>
          <w:color w:val="231F20"/>
          <w:w w:val="103"/>
          <w:sz w:val="19"/>
        </w:rPr>
        <w:t>0</w:t>
      </w:r>
    </w:p>
    <w:p>
      <w:pPr>
        <w:tabs>
          <w:tab w:pos="5580" w:val="left" w:leader="none"/>
        </w:tabs>
        <w:spacing w:before="141"/>
        <w:ind w:left="2600" w:right="0" w:firstLine="0"/>
        <w:jc w:val="left"/>
        <w:rPr>
          <w:sz w:val="16"/>
        </w:rPr>
      </w:pPr>
      <w:r>
        <w:rPr>
          <w:color w:val="231F20"/>
          <w:spacing w:val="-2"/>
          <w:sz w:val="16"/>
        </w:rPr>
        <w:t>2021/2022</w:t>
      </w:r>
      <w:r>
        <w:rPr>
          <w:color w:val="231F20"/>
          <w:sz w:val="16"/>
        </w:rPr>
        <w:tab/>
      </w:r>
      <w:r>
        <w:rPr>
          <w:color w:val="231F20"/>
          <w:spacing w:val="-2"/>
          <w:sz w:val="16"/>
        </w:rPr>
        <w:t>2022/2023</w:t>
      </w:r>
    </w:p>
    <w:p>
      <w:pPr>
        <w:spacing w:line="240" w:lineRule="auto" w:before="8"/>
        <w:rPr>
          <w:sz w:val="27"/>
        </w:rPr>
      </w:pPr>
      <w:r>
        <w:rPr/>
        <w:br w:type="column"/>
      </w:r>
      <w:r>
        <w:rPr>
          <w:sz w:val="27"/>
        </w:rPr>
      </w:r>
    </w:p>
    <w:p>
      <w:pPr>
        <w:spacing w:line="225" w:lineRule="auto" w:before="0"/>
        <w:ind w:left="718" w:right="286" w:firstLine="0"/>
        <w:jc w:val="left"/>
        <w:rPr>
          <w:b/>
          <w:sz w:val="24"/>
        </w:rPr>
      </w:pPr>
      <w:r>
        <w:rPr>
          <w:b/>
          <w:color w:val="3B5673"/>
          <w:spacing w:val="-2"/>
          <w:sz w:val="24"/>
        </w:rPr>
        <w:t>GENERAL RESERVE</w:t>
      </w:r>
    </w:p>
    <w:p>
      <w:pPr>
        <w:spacing w:line="310" w:lineRule="exact" w:before="268"/>
        <w:ind w:left="718" w:right="0" w:firstLine="0"/>
        <w:jc w:val="left"/>
        <w:rPr>
          <w:b/>
          <w:sz w:val="24"/>
        </w:rPr>
      </w:pPr>
      <w:r>
        <w:rPr/>
        <w:pict>
          <v:rect style="position:absolute;margin-left:453.779999pt;margin-top:-26.589182pt;width:16.1900pt;height:16.189pt;mso-position-horizontal-relative:page;mso-position-vertical-relative:paragraph;z-index:15753216" id="docshape220" filled="true" fillcolor="#3a5674" stroked="false">
            <v:fill type="solid"/>
            <w10:wrap type="none"/>
          </v:rect>
        </w:pict>
      </w:r>
      <w:r>
        <w:rPr/>
        <w:pict>
          <v:rect style="position:absolute;margin-left:453.779999pt;margin-top:17.612818pt;width:16.1900pt;height:16.189pt;mso-position-horizontal-relative:page;mso-position-vertical-relative:paragraph;z-index:15753728" id="docshape221" filled="true" fillcolor="#f7ac44" stroked="false">
            <v:fill type="solid"/>
            <w10:wrap type="none"/>
          </v:rect>
        </w:pict>
      </w:r>
      <w:r>
        <w:rPr>
          <w:b/>
          <w:color w:val="3B5673"/>
          <w:spacing w:val="-2"/>
          <w:sz w:val="24"/>
        </w:rPr>
        <w:t>EARMARKED</w:t>
      </w:r>
    </w:p>
    <w:p>
      <w:pPr>
        <w:spacing w:line="310" w:lineRule="exact" w:before="0"/>
        <w:ind w:left="718" w:right="0" w:firstLine="0"/>
        <w:jc w:val="left"/>
        <w:rPr>
          <w:b/>
          <w:sz w:val="24"/>
        </w:rPr>
      </w:pPr>
      <w:r>
        <w:rPr>
          <w:b/>
          <w:color w:val="3B5673"/>
          <w:spacing w:val="-2"/>
          <w:sz w:val="24"/>
        </w:rPr>
        <w:t>RESERVES</w:t>
      </w:r>
    </w:p>
    <w:p>
      <w:pPr>
        <w:spacing w:after="0" w:line="310" w:lineRule="exact"/>
        <w:jc w:val="left"/>
        <w:rPr>
          <w:sz w:val="24"/>
        </w:rPr>
        <w:sectPr>
          <w:type w:val="continuous"/>
          <w:pgSz w:w="11910" w:h="16840"/>
          <w:pgMar w:header="377" w:footer="367" w:top="260" w:bottom="0" w:left="0" w:right="0"/>
          <w:cols w:num="2" w:equalWidth="0">
            <w:col w:w="6373" w:space="2526"/>
            <w:col w:w="3011"/>
          </w:cols>
        </w:sectPr>
      </w:pPr>
    </w:p>
    <w:p>
      <w:pPr>
        <w:pStyle w:val="BodyText"/>
        <w:spacing w:before="2"/>
        <w:rPr>
          <w:b/>
          <w:sz w:val="21"/>
        </w:rPr>
      </w:pPr>
    </w:p>
    <w:p>
      <w:pPr>
        <w:pStyle w:val="BodyText"/>
        <w:spacing w:line="310" w:lineRule="exact" w:before="100"/>
        <w:ind w:left="566"/>
      </w:pPr>
      <w:r>
        <w:rPr>
          <w:color w:val="231F20"/>
        </w:rPr>
        <w:t>Further</w:t>
      </w:r>
      <w:r>
        <w:rPr>
          <w:color w:val="231F20"/>
          <w:spacing w:val="-4"/>
        </w:rPr>
        <w:t> </w:t>
      </w:r>
      <w:r>
        <w:rPr>
          <w:color w:val="231F20"/>
        </w:rPr>
        <w:t>information</w:t>
      </w:r>
      <w:r>
        <w:rPr>
          <w:color w:val="231F20"/>
          <w:spacing w:val="-3"/>
        </w:rPr>
        <w:t> </w:t>
      </w:r>
      <w:r>
        <w:rPr>
          <w:color w:val="231F20"/>
        </w:rPr>
        <w:t>relating</w:t>
      </w:r>
      <w:r>
        <w:rPr>
          <w:color w:val="231F20"/>
          <w:spacing w:val="-3"/>
        </w:rPr>
        <w:t> </w:t>
      </w:r>
      <w:r>
        <w:rPr>
          <w:color w:val="231F20"/>
        </w:rPr>
        <w:t>to</w:t>
      </w:r>
      <w:r>
        <w:rPr>
          <w:color w:val="231F20"/>
          <w:spacing w:val="-2"/>
        </w:rPr>
        <w:t> </w:t>
      </w:r>
      <w:r>
        <w:rPr>
          <w:color w:val="231F20"/>
        </w:rPr>
        <w:t>the</w:t>
      </w:r>
      <w:r>
        <w:rPr>
          <w:color w:val="231F20"/>
          <w:spacing w:val="-2"/>
        </w:rPr>
        <w:t> </w:t>
      </w:r>
      <w:r>
        <w:rPr>
          <w:color w:val="231F20"/>
        </w:rPr>
        <w:t>Housing</w:t>
      </w:r>
      <w:r>
        <w:rPr>
          <w:color w:val="231F20"/>
          <w:spacing w:val="-3"/>
        </w:rPr>
        <w:t> </w:t>
      </w:r>
      <w:r>
        <w:rPr>
          <w:color w:val="231F20"/>
        </w:rPr>
        <w:t>Revenue</w:t>
      </w:r>
      <w:r>
        <w:rPr>
          <w:color w:val="231F20"/>
          <w:spacing w:val="-2"/>
        </w:rPr>
        <w:t> </w:t>
      </w:r>
      <w:r>
        <w:rPr>
          <w:color w:val="231F20"/>
        </w:rPr>
        <w:t>Account</w:t>
      </w:r>
      <w:r>
        <w:rPr>
          <w:color w:val="231F20"/>
          <w:spacing w:val="-3"/>
        </w:rPr>
        <w:t> </w:t>
      </w:r>
      <w:r>
        <w:rPr>
          <w:color w:val="231F20"/>
        </w:rPr>
        <w:t>can</w:t>
      </w:r>
      <w:r>
        <w:rPr>
          <w:color w:val="231F20"/>
          <w:spacing w:val="-2"/>
        </w:rPr>
        <w:t> </w:t>
      </w:r>
      <w:r>
        <w:rPr>
          <w:color w:val="231F20"/>
        </w:rPr>
        <w:t>be</w:t>
      </w:r>
      <w:r>
        <w:rPr>
          <w:color w:val="231F20"/>
          <w:spacing w:val="-2"/>
        </w:rPr>
        <w:t> found</w:t>
      </w:r>
    </w:p>
    <w:p>
      <w:pPr>
        <w:pStyle w:val="BodyText"/>
        <w:spacing w:line="310" w:lineRule="exact"/>
        <w:ind w:left="566"/>
      </w:pPr>
      <w:r>
        <w:rPr>
          <w:color w:val="231F20"/>
        </w:rPr>
        <w:t>within</w:t>
      </w:r>
      <w:r>
        <w:rPr>
          <w:color w:val="231F20"/>
          <w:spacing w:val="-6"/>
        </w:rPr>
        <w:t> </w:t>
      </w:r>
      <w:r>
        <w:rPr>
          <w:color w:val="231F20"/>
        </w:rPr>
        <w:t>the</w:t>
      </w:r>
      <w:r>
        <w:rPr>
          <w:color w:val="231F20"/>
          <w:spacing w:val="-5"/>
        </w:rPr>
        <w:t> </w:t>
      </w:r>
      <w:r>
        <w:rPr>
          <w:color w:val="231F20"/>
        </w:rPr>
        <w:t>Supplementary</w:t>
      </w:r>
      <w:r>
        <w:rPr>
          <w:color w:val="231F20"/>
          <w:spacing w:val="-6"/>
        </w:rPr>
        <w:t> </w:t>
      </w:r>
      <w:r>
        <w:rPr>
          <w:color w:val="231F20"/>
        </w:rPr>
        <w:t>Financial</w:t>
      </w:r>
      <w:r>
        <w:rPr>
          <w:color w:val="231F20"/>
          <w:spacing w:val="-5"/>
        </w:rPr>
        <w:t> </w:t>
      </w:r>
      <w:r>
        <w:rPr>
          <w:color w:val="231F20"/>
          <w:spacing w:val="-2"/>
        </w:rPr>
        <w:t>Statements.</w:t>
      </w:r>
    </w:p>
    <w:p>
      <w:pPr>
        <w:spacing w:after="0" w:line="310" w:lineRule="exact"/>
        <w:sectPr>
          <w:type w:val="continuous"/>
          <w:pgSz w:w="11910" w:h="16840"/>
          <w:pgMar w:header="377" w:footer="367" w:top="260" w:bottom="0" w:left="0" w:right="0"/>
        </w:sectPr>
      </w:pPr>
    </w:p>
    <w:p>
      <w:pPr>
        <w:pStyle w:val="BodyText"/>
        <w:rPr>
          <w:sz w:val="28"/>
        </w:rPr>
      </w:pPr>
    </w:p>
    <w:p>
      <w:pPr>
        <w:spacing w:after="0"/>
        <w:rPr>
          <w:sz w:val="28"/>
        </w:rPr>
        <w:sectPr>
          <w:pgSz w:w="11910" w:h="16840"/>
          <w:pgMar w:header="377" w:footer="367" w:top="560" w:bottom="560" w:left="0" w:right="0"/>
        </w:sectPr>
      </w:pPr>
    </w:p>
    <w:p>
      <w:pPr>
        <w:pStyle w:val="Heading3"/>
        <w:spacing w:line="240" w:lineRule="auto"/>
      </w:pPr>
      <w:r>
        <w:rPr>
          <w:color w:val="3B5673"/>
        </w:rPr>
        <w:t>CAPITAL</w:t>
      </w:r>
      <w:r>
        <w:rPr>
          <w:color w:val="3B5673"/>
          <w:spacing w:val="52"/>
        </w:rPr>
        <w:t> </w:t>
      </w:r>
      <w:r>
        <w:rPr>
          <w:color w:val="3B5673"/>
        </w:rPr>
        <w:t>SPENDING</w:t>
      </w:r>
      <w:r>
        <w:rPr>
          <w:color w:val="3B5673"/>
          <w:spacing w:val="47"/>
        </w:rPr>
        <w:t> </w:t>
      </w:r>
      <w:r>
        <w:rPr>
          <w:color w:val="3B5673"/>
          <w:spacing w:val="-2"/>
        </w:rPr>
        <w:t>2022/23</w:t>
      </w:r>
    </w:p>
    <w:p>
      <w:pPr>
        <w:pStyle w:val="BodyText"/>
        <w:spacing w:before="3"/>
        <w:rPr>
          <w:b/>
          <w:sz w:val="22"/>
        </w:rPr>
      </w:pPr>
    </w:p>
    <w:p>
      <w:pPr>
        <w:spacing w:line="225" w:lineRule="auto" w:before="1"/>
        <w:ind w:left="566" w:right="0" w:firstLine="0"/>
        <w:jc w:val="left"/>
        <w:rPr>
          <w:b/>
          <w:sz w:val="24"/>
        </w:rPr>
      </w:pPr>
      <w:r>
        <w:rPr>
          <w:b/>
          <w:color w:val="3B5673"/>
          <w:sz w:val="24"/>
        </w:rPr>
        <w:t>Capital monies are spent on building or enhancing the Council’s</w:t>
      </w:r>
      <w:r>
        <w:rPr>
          <w:b/>
          <w:color w:val="3B5673"/>
          <w:spacing w:val="-17"/>
          <w:sz w:val="24"/>
        </w:rPr>
        <w:t> </w:t>
      </w:r>
      <w:r>
        <w:rPr>
          <w:b/>
          <w:color w:val="3B5673"/>
          <w:sz w:val="24"/>
        </w:rPr>
        <w:t>asset</w:t>
      </w:r>
      <w:r>
        <w:rPr>
          <w:b/>
          <w:color w:val="3B5673"/>
          <w:spacing w:val="-16"/>
          <w:sz w:val="24"/>
        </w:rPr>
        <w:t> </w:t>
      </w:r>
      <w:r>
        <w:rPr>
          <w:b/>
          <w:color w:val="3B5673"/>
          <w:sz w:val="24"/>
        </w:rPr>
        <w:t>base.</w:t>
      </w:r>
      <w:r>
        <w:rPr>
          <w:b/>
          <w:color w:val="3B5673"/>
          <w:spacing w:val="-17"/>
          <w:sz w:val="24"/>
        </w:rPr>
        <w:t> </w:t>
      </w:r>
      <w:r>
        <w:rPr>
          <w:b/>
          <w:color w:val="3B5673"/>
          <w:sz w:val="24"/>
        </w:rPr>
        <w:t>There</w:t>
      </w:r>
      <w:r>
        <w:rPr>
          <w:b/>
          <w:color w:val="3B5673"/>
          <w:spacing w:val="-16"/>
          <w:sz w:val="24"/>
        </w:rPr>
        <w:t> </w:t>
      </w:r>
      <w:r>
        <w:rPr>
          <w:b/>
          <w:color w:val="3B5673"/>
          <w:sz w:val="24"/>
        </w:rPr>
        <w:t>are rules and regulations regarding</w:t>
      </w:r>
      <w:r>
        <w:rPr>
          <w:b/>
          <w:color w:val="3B5673"/>
          <w:spacing w:val="-13"/>
          <w:sz w:val="24"/>
        </w:rPr>
        <w:t> </w:t>
      </w:r>
      <w:r>
        <w:rPr>
          <w:b/>
          <w:color w:val="3B5673"/>
          <w:sz w:val="24"/>
        </w:rPr>
        <w:t>what</w:t>
      </w:r>
      <w:r>
        <w:rPr>
          <w:b/>
          <w:color w:val="3B5673"/>
          <w:spacing w:val="-13"/>
          <w:sz w:val="24"/>
        </w:rPr>
        <w:t> </w:t>
      </w:r>
      <w:r>
        <w:rPr>
          <w:b/>
          <w:color w:val="3B5673"/>
          <w:sz w:val="24"/>
        </w:rPr>
        <w:t>can</w:t>
      </w:r>
      <w:r>
        <w:rPr>
          <w:b/>
          <w:color w:val="3B5673"/>
          <w:spacing w:val="-13"/>
          <w:sz w:val="24"/>
        </w:rPr>
        <w:t> </w:t>
      </w:r>
      <w:r>
        <w:rPr>
          <w:b/>
          <w:color w:val="3B5673"/>
          <w:sz w:val="24"/>
        </w:rPr>
        <w:t>be</w:t>
      </w:r>
      <w:r>
        <w:rPr>
          <w:b/>
          <w:color w:val="3B5673"/>
          <w:spacing w:val="-13"/>
          <w:sz w:val="24"/>
        </w:rPr>
        <w:t> </w:t>
      </w:r>
      <w:r>
        <w:rPr>
          <w:b/>
          <w:color w:val="3B5673"/>
          <w:sz w:val="24"/>
        </w:rPr>
        <w:t>classed </w:t>
      </w:r>
      <w:r>
        <w:rPr>
          <w:b/>
          <w:color w:val="3B5673"/>
          <w:spacing w:val="-2"/>
          <w:sz w:val="24"/>
        </w:rPr>
        <w:t>as</w:t>
      </w:r>
      <w:r>
        <w:rPr>
          <w:b/>
          <w:color w:val="3B5673"/>
          <w:spacing w:val="-13"/>
          <w:sz w:val="24"/>
        </w:rPr>
        <w:t> </w:t>
      </w:r>
      <w:r>
        <w:rPr>
          <w:b/>
          <w:color w:val="3B5673"/>
          <w:spacing w:val="-2"/>
          <w:sz w:val="24"/>
        </w:rPr>
        <w:t>capital</w:t>
      </w:r>
      <w:r>
        <w:rPr>
          <w:b/>
          <w:color w:val="3B5673"/>
          <w:spacing w:val="-13"/>
          <w:sz w:val="24"/>
        </w:rPr>
        <w:t> </w:t>
      </w:r>
      <w:r>
        <w:rPr>
          <w:b/>
          <w:color w:val="3B5673"/>
          <w:spacing w:val="-2"/>
          <w:sz w:val="24"/>
        </w:rPr>
        <w:t>expenditure</w:t>
      </w:r>
      <w:r>
        <w:rPr>
          <w:b/>
          <w:color w:val="3B5673"/>
          <w:spacing w:val="-13"/>
          <w:sz w:val="24"/>
        </w:rPr>
        <w:t> </w:t>
      </w:r>
      <w:r>
        <w:rPr>
          <w:b/>
          <w:color w:val="3B5673"/>
          <w:spacing w:val="-2"/>
          <w:sz w:val="24"/>
        </w:rPr>
        <w:t>and</w:t>
      </w:r>
      <w:r>
        <w:rPr>
          <w:b/>
          <w:color w:val="3B5673"/>
          <w:spacing w:val="-13"/>
          <w:sz w:val="24"/>
        </w:rPr>
        <w:t> </w:t>
      </w:r>
      <w:r>
        <w:rPr>
          <w:b/>
          <w:color w:val="3B5673"/>
          <w:spacing w:val="-2"/>
          <w:sz w:val="24"/>
        </w:rPr>
        <w:t>this </w:t>
      </w:r>
      <w:r>
        <w:rPr>
          <w:b/>
          <w:color w:val="3B5673"/>
          <w:sz w:val="24"/>
        </w:rPr>
        <w:t>expenditure</w:t>
      </w:r>
      <w:r>
        <w:rPr>
          <w:b/>
          <w:color w:val="3B5673"/>
          <w:spacing w:val="-11"/>
          <w:sz w:val="24"/>
        </w:rPr>
        <w:t> </w:t>
      </w:r>
      <w:r>
        <w:rPr>
          <w:b/>
          <w:color w:val="3B5673"/>
          <w:sz w:val="24"/>
        </w:rPr>
        <w:t>must</w:t>
      </w:r>
      <w:r>
        <w:rPr>
          <w:b/>
          <w:color w:val="3B5673"/>
          <w:spacing w:val="-11"/>
          <w:sz w:val="24"/>
        </w:rPr>
        <w:t> </w:t>
      </w:r>
      <w:r>
        <w:rPr>
          <w:b/>
          <w:color w:val="3B5673"/>
          <w:sz w:val="24"/>
        </w:rPr>
        <w:t>be</w:t>
      </w:r>
      <w:r>
        <w:rPr>
          <w:b/>
          <w:color w:val="3B5673"/>
          <w:spacing w:val="-11"/>
          <w:sz w:val="24"/>
        </w:rPr>
        <w:t> </w:t>
      </w:r>
      <w:r>
        <w:rPr>
          <w:b/>
          <w:color w:val="3B5673"/>
          <w:sz w:val="24"/>
        </w:rPr>
        <w:t>financed </w:t>
      </w:r>
      <w:r>
        <w:rPr>
          <w:b/>
          <w:color w:val="3B5673"/>
          <w:spacing w:val="-2"/>
          <w:sz w:val="24"/>
        </w:rPr>
        <w:t>separately</w:t>
      </w:r>
      <w:r>
        <w:rPr>
          <w:b/>
          <w:color w:val="3B5673"/>
          <w:spacing w:val="-13"/>
          <w:sz w:val="24"/>
        </w:rPr>
        <w:t> </w:t>
      </w:r>
      <w:r>
        <w:rPr>
          <w:b/>
          <w:color w:val="3B5673"/>
          <w:spacing w:val="-2"/>
          <w:sz w:val="24"/>
        </w:rPr>
        <w:t>from</w:t>
      </w:r>
      <w:r>
        <w:rPr>
          <w:b/>
          <w:color w:val="3B5673"/>
          <w:spacing w:val="-13"/>
          <w:sz w:val="24"/>
        </w:rPr>
        <w:t> </w:t>
      </w:r>
      <w:r>
        <w:rPr>
          <w:b/>
          <w:color w:val="3B5673"/>
          <w:spacing w:val="-2"/>
          <w:sz w:val="24"/>
        </w:rPr>
        <w:t>the</w:t>
      </w:r>
      <w:r>
        <w:rPr>
          <w:b/>
          <w:color w:val="3B5673"/>
          <w:spacing w:val="-13"/>
          <w:sz w:val="24"/>
        </w:rPr>
        <w:t> </w:t>
      </w:r>
      <w:r>
        <w:rPr>
          <w:b/>
          <w:color w:val="3B5673"/>
          <w:spacing w:val="-2"/>
          <w:sz w:val="24"/>
        </w:rPr>
        <w:t>day</w:t>
      </w:r>
      <w:r>
        <w:rPr>
          <w:b/>
          <w:color w:val="3B5673"/>
          <w:spacing w:val="-13"/>
          <w:sz w:val="24"/>
        </w:rPr>
        <w:t> </w:t>
      </w:r>
      <w:r>
        <w:rPr>
          <w:b/>
          <w:color w:val="3B5673"/>
          <w:spacing w:val="-2"/>
          <w:sz w:val="24"/>
        </w:rPr>
        <w:t>to</w:t>
      </w:r>
      <w:r>
        <w:rPr>
          <w:b/>
          <w:color w:val="3B5673"/>
          <w:spacing w:val="-13"/>
          <w:sz w:val="24"/>
        </w:rPr>
        <w:t> </w:t>
      </w:r>
      <w:r>
        <w:rPr>
          <w:b/>
          <w:color w:val="3B5673"/>
          <w:spacing w:val="-2"/>
          <w:sz w:val="24"/>
        </w:rPr>
        <w:t>day </w:t>
      </w:r>
      <w:r>
        <w:rPr>
          <w:b/>
          <w:color w:val="3B5673"/>
          <w:sz w:val="24"/>
        </w:rPr>
        <w:t>running costs of the Council.</w:t>
      </w:r>
    </w:p>
    <w:p>
      <w:pPr>
        <w:spacing w:line="225" w:lineRule="auto" w:before="0"/>
        <w:ind w:left="566" w:right="0" w:firstLine="0"/>
        <w:jc w:val="left"/>
        <w:rPr>
          <w:b/>
          <w:sz w:val="24"/>
        </w:rPr>
      </w:pPr>
      <w:r>
        <w:rPr>
          <w:b/>
          <w:color w:val="3B5673"/>
          <w:sz w:val="24"/>
        </w:rPr>
        <w:t>During 2022/23 the Council </w:t>
      </w:r>
      <w:r>
        <w:rPr>
          <w:b/>
          <w:color w:val="3B5673"/>
          <w:spacing w:val="-2"/>
          <w:sz w:val="24"/>
        </w:rPr>
        <w:t>spent</w:t>
      </w:r>
      <w:r>
        <w:rPr>
          <w:b/>
          <w:color w:val="3B5673"/>
          <w:spacing w:val="-15"/>
          <w:sz w:val="24"/>
        </w:rPr>
        <w:t> </w:t>
      </w:r>
      <w:r>
        <w:rPr>
          <w:b/>
          <w:color w:val="3B5673"/>
          <w:spacing w:val="-2"/>
          <w:sz w:val="24"/>
        </w:rPr>
        <w:t>£32.7m</w:t>
      </w:r>
      <w:r>
        <w:rPr>
          <w:b/>
          <w:color w:val="3B5673"/>
          <w:spacing w:val="-15"/>
          <w:sz w:val="24"/>
        </w:rPr>
        <w:t> </w:t>
      </w:r>
      <w:r>
        <w:rPr>
          <w:b/>
          <w:color w:val="3B5673"/>
          <w:spacing w:val="-2"/>
          <w:sz w:val="24"/>
        </w:rPr>
        <w:t>on</w:t>
      </w:r>
      <w:r>
        <w:rPr>
          <w:b/>
          <w:color w:val="3B5673"/>
          <w:spacing w:val="-14"/>
          <w:sz w:val="24"/>
        </w:rPr>
        <w:t> </w:t>
      </w:r>
      <w:r>
        <w:rPr>
          <w:b/>
          <w:color w:val="3B5673"/>
          <w:spacing w:val="-2"/>
          <w:sz w:val="24"/>
        </w:rPr>
        <w:t>capital</w:t>
      </w:r>
      <w:r>
        <w:rPr>
          <w:b/>
          <w:color w:val="3B5673"/>
          <w:spacing w:val="-15"/>
          <w:sz w:val="24"/>
        </w:rPr>
        <w:t> </w:t>
      </w:r>
      <w:r>
        <w:rPr>
          <w:b/>
          <w:color w:val="3B5673"/>
          <w:spacing w:val="-2"/>
          <w:sz w:val="24"/>
        </w:rPr>
        <w:t>works. </w:t>
      </w:r>
      <w:r>
        <w:rPr>
          <w:b/>
          <w:color w:val="3B5673"/>
          <w:sz w:val="24"/>
        </w:rPr>
        <w:t>Key projects were:</w:t>
      </w:r>
    </w:p>
    <w:p>
      <w:pPr>
        <w:spacing w:line="310" w:lineRule="exact" w:before="283"/>
        <w:ind w:left="566" w:right="0" w:firstLine="0"/>
        <w:jc w:val="left"/>
        <w:rPr>
          <w:b/>
          <w:sz w:val="24"/>
        </w:rPr>
      </w:pPr>
      <w:r>
        <w:rPr>
          <w:b/>
          <w:color w:val="3B5673"/>
          <w:spacing w:val="-2"/>
          <w:sz w:val="24"/>
        </w:rPr>
        <w:t>Leisure</w:t>
      </w:r>
      <w:r>
        <w:rPr>
          <w:b/>
          <w:color w:val="3B5673"/>
          <w:spacing w:val="-10"/>
          <w:sz w:val="24"/>
        </w:rPr>
        <w:t> </w:t>
      </w:r>
      <w:r>
        <w:rPr>
          <w:b/>
          <w:color w:val="3B5673"/>
          <w:spacing w:val="-2"/>
          <w:sz w:val="24"/>
        </w:rPr>
        <w:t>Transformation</w:t>
      </w:r>
    </w:p>
    <w:p>
      <w:pPr>
        <w:spacing w:line="300" w:lineRule="exact" w:before="0"/>
        <w:ind w:left="566" w:right="0" w:firstLine="0"/>
        <w:jc w:val="left"/>
        <w:rPr>
          <w:b/>
          <w:sz w:val="24"/>
        </w:rPr>
      </w:pPr>
      <w:r>
        <w:rPr>
          <w:b/>
          <w:color w:val="3B5673"/>
          <w:spacing w:val="-2"/>
          <w:sz w:val="24"/>
        </w:rPr>
        <w:t>Programme</w:t>
      </w:r>
    </w:p>
    <w:p>
      <w:pPr>
        <w:pStyle w:val="BodyText"/>
        <w:spacing w:line="225" w:lineRule="auto" w:before="6"/>
        <w:ind w:left="566"/>
      </w:pPr>
      <w:r>
        <w:rPr>
          <w:color w:val="231F20"/>
        </w:rPr>
        <w:t>Almost £4.7m was spent on the </w:t>
      </w:r>
      <w:r>
        <w:rPr>
          <w:color w:val="231F20"/>
          <w:spacing w:val="-2"/>
        </w:rPr>
        <w:t>new</w:t>
      </w:r>
      <w:r>
        <w:rPr>
          <w:color w:val="231F20"/>
          <w:spacing w:val="-12"/>
        </w:rPr>
        <w:t> </w:t>
      </w:r>
      <w:r>
        <w:rPr>
          <w:color w:val="231F20"/>
          <w:spacing w:val="-2"/>
        </w:rPr>
        <w:t>Leisure</w:t>
      </w:r>
      <w:r>
        <w:rPr>
          <w:color w:val="231F20"/>
          <w:spacing w:val="-12"/>
        </w:rPr>
        <w:t> </w:t>
      </w:r>
      <w:r>
        <w:rPr>
          <w:color w:val="231F20"/>
          <w:spacing w:val="-2"/>
        </w:rPr>
        <w:t>Centre</w:t>
      </w:r>
      <w:r>
        <w:rPr>
          <w:color w:val="231F20"/>
          <w:spacing w:val="-12"/>
        </w:rPr>
        <w:t> </w:t>
      </w:r>
      <w:r>
        <w:rPr>
          <w:color w:val="231F20"/>
          <w:spacing w:val="-2"/>
        </w:rPr>
        <w:t>at</w:t>
      </w:r>
      <w:r>
        <w:rPr>
          <w:color w:val="231F20"/>
          <w:spacing w:val="-12"/>
        </w:rPr>
        <w:t> </w:t>
      </w:r>
      <w:r>
        <w:rPr>
          <w:color w:val="231F20"/>
          <w:spacing w:val="-2"/>
        </w:rPr>
        <w:t>Kirkby,</w:t>
      </w:r>
      <w:r>
        <w:rPr>
          <w:color w:val="231F20"/>
          <w:spacing w:val="-12"/>
        </w:rPr>
        <w:t> </w:t>
      </w:r>
      <w:r>
        <w:rPr>
          <w:color w:val="231F20"/>
          <w:spacing w:val="-2"/>
        </w:rPr>
        <w:t>this </w:t>
      </w:r>
      <w:r>
        <w:rPr>
          <w:color w:val="231F20"/>
        </w:rPr>
        <w:t>includes</w:t>
      </w:r>
      <w:r>
        <w:rPr>
          <w:color w:val="231F20"/>
          <w:spacing w:val="-17"/>
        </w:rPr>
        <w:t> </w:t>
      </w:r>
      <w:r>
        <w:rPr>
          <w:color w:val="231F20"/>
        </w:rPr>
        <w:t>demolition</w:t>
      </w:r>
      <w:r>
        <w:rPr>
          <w:color w:val="231F20"/>
          <w:spacing w:val="-16"/>
        </w:rPr>
        <w:t> </w:t>
      </w:r>
      <w:r>
        <w:rPr>
          <w:color w:val="231F20"/>
        </w:rPr>
        <w:t>works</w:t>
      </w:r>
      <w:r>
        <w:rPr>
          <w:color w:val="231F20"/>
          <w:spacing w:val="-17"/>
        </w:rPr>
        <w:t> </w:t>
      </w:r>
      <w:r>
        <w:rPr>
          <w:color w:val="231F20"/>
        </w:rPr>
        <w:t>to</w:t>
      </w:r>
      <w:r>
        <w:rPr>
          <w:color w:val="231F20"/>
          <w:spacing w:val="-16"/>
        </w:rPr>
        <w:t> </w:t>
      </w:r>
      <w:r>
        <w:rPr>
          <w:color w:val="231F20"/>
        </w:rPr>
        <w:t>the Festival Hall site and a new car park. Significant transformation works to both Hucknall and Lammas Leisure Centres also cost £3.9m.</w:t>
      </w:r>
    </w:p>
    <w:p>
      <w:pPr>
        <w:pStyle w:val="Heading4"/>
        <w:spacing w:before="284"/>
        <w:jc w:val="both"/>
      </w:pPr>
      <w:r>
        <w:rPr>
          <w:color w:val="3B5673"/>
        </w:rPr>
        <w:t>Parks</w:t>
      </w:r>
      <w:r>
        <w:rPr>
          <w:color w:val="3B5673"/>
          <w:spacing w:val="-18"/>
        </w:rPr>
        <w:t> </w:t>
      </w:r>
      <w:r>
        <w:rPr>
          <w:color w:val="3B5673"/>
        </w:rPr>
        <w:t>and</w:t>
      </w:r>
      <w:r>
        <w:rPr>
          <w:color w:val="3B5673"/>
          <w:spacing w:val="-16"/>
        </w:rPr>
        <w:t> </w:t>
      </w:r>
      <w:r>
        <w:rPr>
          <w:color w:val="3B5673"/>
        </w:rPr>
        <w:t>Open</w:t>
      </w:r>
      <w:r>
        <w:rPr>
          <w:color w:val="3B5673"/>
          <w:spacing w:val="-16"/>
        </w:rPr>
        <w:t> </w:t>
      </w:r>
      <w:r>
        <w:rPr>
          <w:color w:val="3B5673"/>
          <w:spacing w:val="-2"/>
        </w:rPr>
        <w:t>Spaces</w:t>
      </w:r>
    </w:p>
    <w:p>
      <w:pPr>
        <w:pStyle w:val="BodyText"/>
        <w:spacing w:line="225" w:lineRule="auto" w:before="6"/>
        <w:ind w:left="566" w:right="165"/>
        <w:jc w:val="both"/>
      </w:pPr>
      <w:r>
        <w:rPr>
          <w:color w:val="231F20"/>
        </w:rPr>
        <w:t>Over</w:t>
      </w:r>
      <w:r>
        <w:rPr>
          <w:color w:val="231F20"/>
          <w:spacing w:val="-14"/>
        </w:rPr>
        <w:t> </w:t>
      </w:r>
      <w:r>
        <w:rPr>
          <w:color w:val="231F20"/>
        </w:rPr>
        <w:t>£100k</w:t>
      </w:r>
      <w:r>
        <w:rPr>
          <w:color w:val="231F20"/>
          <w:spacing w:val="-14"/>
        </w:rPr>
        <w:t> </w:t>
      </w:r>
      <w:r>
        <w:rPr>
          <w:color w:val="231F20"/>
        </w:rPr>
        <w:t>capital</w:t>
      </w:r>
      <w:r>
        <w:rPr>
          <w:color w:val="231F20"/>
          <w:spacing w:val="-14"/>
        </w:rPr>
        <w:t> </w:t>
      </w:r>
      <w:r>
        <w:rPr>
          <w:color w:val="231F20"/>
        </w:rPr>
        <w:t>funding</w:t>
      </w:r>
      <w:r>
        <w:rPr>
          <w:color w:val="231F20"/>
          <w:spacing w:val="-14"/>
        </w:rPr>
        <w:t> </w:t>
      </w:r>
      <w:r>
        <w:rPr>
          <w:color w:val="231F20"/>
        </w:rPr>
        <w:t>has been</w:t>
      </w:r>
      <w:r>
        <w:rPr>
          <w:color w:val="231F20"/>
          <w:spacing w:val="-7"/>
        </w:rPr>
        <w:t> </w:t>
      </w:r>
      <w:r>
        <w:rPr>
          <w:color w:val="231F20"/>
        </w:rPr>
        <w:t>spent</w:t>
      </w:r>
      <w:r>
        <w:rPr>
          <w:color w:val="231F20"/>
          <w:spacing w:val="-7"/>
        </w:rPr>
        <w:t> </w:t>
      </w:r>
      <w:r>
        <w:rPr>
          <w:color w:val="231F20"/>
        </w:rPr>
        <w:t>on</w:t>
      </w:r>
      <w:r>
        <w:rPr>
          <w:color w:val="231F20"/>
          <w:spacing w:val="-7"/>
        </w:rPr>
        <w:t> </w:t>
      </w:r>
      <w:r>
        <w:rPr>
          <w:color w:val="231F20"/>
        </w:rPr>
        <w:t>Parks</w:t>
      </w:r>
      <w:r>
        <w:rPr>
          <w:color w:val="231F20"/>
          <w:spacing w:val="-7"/>
        </w:rPr>
        <w:t> </w:t>
      </w:r>
      <w:r>
        <w:rPr>
          <w:color w:val="231F20"/>
        </w:rPr>
        <w:t>and</w:t>
      </w:r>
      <w:r>
        <w:rPr>
          <w:color w:val="231F20"/>
          <w:spacing w:val="-7"/>
        </w:rPr>
        <w:t> </w:t>
      </w:r>
      <w:r>
        <w:rPr>
          <w:color w:val="231F20"/>
        </w:rPr>
        <w:t>Open </w:t>
      </w:r>
      <w:r>
        <w:rPr>
          <w:color w:val="231F20"/>
          <w:spacing w:val="-2"/>
        </w:rPr>
        <w:t>Spaces</w:t>
      </w:r>
      <w:r>
        <w:rPr>
          <w:color w:val="231F20"/>
          <w:spacing w:val="-15"/>
        </w:rPr>
        <w:t> </w:t>
      </w:r>
      <w:r>
        <w:rPr>
          <w:color w:val="231F20"/>
          <w:spacing w:val="-2"/>
        </w:rPr>
        <w:t>infrastructure</w:t>
      </w:r>
      <w:r>
        <w:rPr>
          <w:color w:val="231F20"/>
          <w:spacing w:val="-14"/>
        </w:rPr>
        <w:t> </w:t>
      </w:r>
      <w:r>
        <w:rPr>
          <w:color w:val="231F20"/>
          <w:spacing w:val="-2"/>
        </w:rPr>
        <w:t>across</w:t>
      </w:r>
      <w:r>
        <w:rPr>
          <w:color w:val="231F20"/>
          <w:spacing w:val="-15"/>
        </w:rPr>
        <w:t> </w:t>
      </w:r>
      <w:r>
        <w:rPr>
          <w:color w:val="231F20"/>
          <w:spacing w:val="-2"/>
        </w:rPr>
        <w:t>the </w:t>
      </w:r>
      <w:r>
        <w:rPr>
          <w:color w:val="231F20"/>
        </w:rPr>
        <w:t>whole District during 2022/23.</w:t>
      </w:r>
    </w:p>
    <w:p>
      <w:pPr>
        <w:pStyle w:val="Heading4"/>
        <w:spacing w:before="284"/>
      </w:pPr>
      <w:r>
        <w:rPr>
          <w:color w:val="3B5673"/>
          <w:spacing w:val="-2"/>
        </w:rPr>
        <w:t>Disabled</w:t>
      </w:r>
      <w:r>
        <w:rPr>
          <w:color w:val="3B5673"/>
          <w:spacing w:val="-15"/>
        </w:rPr>
        <w:t> </w:t>
      </w:r>
      <w:r>
        <w:rPr>
          <w:color w:val="3B5673"/>
          <w:spacing w:val="-2"/>
        </w:rPr>
        <w:t>Facilities</w:t>
      </w:r>
      <w:r>
        <w:rPr>
          <w:color w:val="3B5673"/>
          <w:spacing w:val="-14"/>
        </w:rPr>
        <w:t> </w:t>
      </w:r>
      <w:r>
        <w:rPr>
          <w:color w:val="3B5673"/>
          <w:spacing w:val="-2"/>
        </w:rPr>
        <w:t>Grants</w:t>
      </w:r>
    </w:p>
    <w:p>
      <w:pPr>
        <w:pStyle w:val="BodyText"/>
        <w:spacing w:line="225" w:lineRule="auto" w:before="6"/>
        <w:ind w:left="566" w:right="9"/>
      </w:pPr>
      <w:r>
        <w:rPr>
          <w:color w:val="231F20"/>
        </w:rPr>
        <w:t>The</w:t>
      </w:r>
      <w:r>
        <w:rPr>
          <w:color w:val="231F20"/>
          <w:spacing w:val="-17"/>
        </w:rPr>
        <w:t> </w:t>
      </w:r>
      <w:r>
        <w:rPr>
          <w:color w:val="231F20"/>
        </w:rPr>
        <w:t>Council</w:t>
      </w:r>
      <w:r>
        <w:rPr>
          <w:color w:val="231F20"/>
          <w:spacing w:val="-16"/>
        </w:rPr>
        <w:t> </w:t>
      </w:r>
      <w:r>
        <w:rPr>
          <w:color w:val="231F20"/>
        </w:rPr>
        <w:t>spent</w:t>
      </w:r>
      <w:r>
        <w:rPr>
          <w:color w:val="231F20"/>
          <w:spacing w:val="-17"/>
        </w:rPr>
        <w:t> </w:t>
      </w:r>
      <w:r>
        <w:rPr>
          <w:color w:val="231F20"/>
        </w:rPr>
        <w:t>£951k</w:t>
      </w:r>
      <w:r>
        <w:rPr>
          <w:color w:val="231F20"/>
          <w:spacing w:val="-16"/>
        </w:rPr>
        <w:t> </w:t>
      </w:r>
      <w:r>
        <w:rPr>
          <w:color w:val="231F20"/>
        </w:rPr>
        <w:t>to</w:t>
      </w:r>
      <w:r>
        <w:rPr>
          <w:color w:val="231F20"/>
          <w:spacing w:val="-17"/>
        </w:rPr>
        <w:t> </w:t>
      </w:r>
      <w:r>
        <w:rPr>
          <w:color w:val="231F20"/>
        </w:rPr>
        <w:t>meet the statutory duty to provide Mandatory Disabled Facilities Grants to qualifying applicants under the Housing Grants Construction and Regeneration Act 1996. These grants provide the funds for adaptations to modify environments to restore or enable independent living, privacy, confidence and dignity for</w:t>
      </w:r>
      <w:r>
        <w:rPr>
          <w:color w:val="231F20"/>
          <w:spacing w:val="-1"/>
        </w:rPr>
        <w:t> </w:t>
      </w:r>
      <w:r>
        <w:rPr>
          <w:color w:val="231F20"/>
        </w:rPr>
        <w:t>individuals</w:t>
      </w:r>
      <w:r>
        <w:rPr>
          <w:color w:val="231F20"/>
          <w:spacing w:val="-1"/>
        </w:rPr>
        <w:t> </w:t>
      </w:r>
      <w:r>
        <w:rPr>
          <w:color w:val="231F20"/>
        </w:rPr>
        <w:t>and</w:t>
      </w:r>
      <w:r>
        <w:rPr>
          <w:color w:val="231F20"/>
          <w:spacing w:val="-1"/>
        </w:rPr>
        <w:t> </w:t>
      </w:r>
      <w:r>
        <w:rPr>
          <w:color w:val="231F20"/>
        </w:rPr>
        <w:t>their</w:t>
      </w:r>
      <w:r>
        <w:rPr>
          <w:color w:val="231F20"/>
          <w:spacing w:val="-1"/>
        </w:rPr>
        <w:t> </w:t>
      </w:r>
      <w:r>
        <w:rPr>
          <w:color w:val="231F20"/>
        </w:rPr>
        <w:t>families in non-Council dwellings.</w:t>
      </w:r>
    </w:p>
    <w:p>
      <w:pPr>
        <w:pStyle w:val="Heading4"/>
        <w:spacing w:line="225" w:lineRule="auto" w:before="115"/>
        <w:ind w:left="193" w:right="8"/>
      </w:pPr>
      <w:r>
        <w:rPr>
          <w:b w:val="0"/>
        </w:rPr>
        <w:br w:type="column"/>
      </w:r>
      <w:r>
        <w:rPr>
          <w:color w:val="3B5673"/>
          <w:spacing w:val="-2"/>
        </w:rPr>
        <w:t>Future</w:t>
      </w:r>
      <w:r>
        <w:rPr>
          <w:color w:val="3B5673"/>
          <w:spacing w:val="-15"/>
        </w:rPr>
        <w:t> </w:t>
      </w:r>
      <w:r>
        <w:rPr>
          <w:color w:val="3B5673"/>
          <w:spacing w:val="-2"/>
        </w:rPr>
        <w:t>High</w:t>
      </w:r>
      <w:r>
        <w:rPr>
          <w:color w:val="3B5673"/>
          <w:spacing w:val="-15"/>
        </w:rPr>
        <w:t> </w:t>
      </w:r>
      <w:r>
        <w:rPr>
          <w:color w:val="3B5673"/>
          <w:spacing w:val="-2"/>
        </w:rPr>
        <w:t>Streets</w:t>
      </w:r>
      <w:r>
        <w:rPr>
          <w:color w:val="3B5673"/>
          <w:spacing w:val="-14"/>
        </w:rPr>
        <w:t> </w:t>
      </w:r>
      <w:r>
        <w:rPr>
          <w:color w:val="3B5673"/>
          <w:spacing w:val="-2"/>
        </w:rPr>
        <w:t>and</w:t>
      </w:r>
      <w:r>
        <w:rPr>
          <w:color w:val="3B5673"/>
          <w:spacing w:val="-15"/>
        </w:rPr>
        <w:t> </w:t>
      </w:r>
      <w:r>
        <w:rPr>
          <w:color w:val="3B5673"/>
          <w:spacing w:val="-2"/>
        </w:rPr>
        <w:t>Towns </w:t>
      </w:r>
      <w:r>
        <w:rPr>
          <w:color w:val="3B5673"/>
        </w:rPr>
        <w:t>Fund Projects</w:t>
      </w:r>
    </w:p>
    <w:p>
      <w:pPr>
        <w:pStyle w:val="BodyText"/>
        <w:spacing w:line="225" w:lineRule="auto"/>
        <w:ind w:left="193" w:right="8"/>
      </w:pPr>
      <w:r>
        <w:rPr>
          <w:color w:val="231F20"/>
          <w:spacing w:val="-2"/>
        </w:rPr>
        <w:t>£3.4m</w:t>
      </w:r>
      <w:r>
        <w:rPr>
          <w:color w:val="231F20"/>
          <w:spacing w:val="-15"/>
        </w:rPr>
        <w:t> </w:t>
      </w:r>
      <w:r>
        <w:rPr>
          <w:color w:val="231F20"/>
          <w:spacing w:val="-2"/>
        </w:rPr>
        <w:t>was</w:t>
      </w:r>
      <w:r>
        <w:rPr>
          <w:color w:val="231F20"/>
          <w:spacing w:val="-14"/>
        </w:rPr>
        <w:t> </w:t>
      </w:r>
      <w:r>
        <w:rPr>
          <w:color w:val="231F20"/>
          <w:spacing w:val="-2"/>
        </w:rPr>
        <w:t>spent</w:t>
      </w:r>
      <w:r>
        <w:rPr>
          <w:color w:val="231F20"/>
          <w:spacing w:val="-15"/>
        </w:rPr>
        <w:t> </w:t>
      </w:r>
      <w:r>
        <w:rPr>
          <w:color w:val="231F20"/>
          <w:spacing w:val="-2"/>
        </w:rPr>
        <w:t>on</w:t>
      </w:r>
      <w:r>
        <w:rPr>
          <w:color w:val="231F20"/>
          <w:spacing w:val="-14"/>
        </w:rPr>
        <w:t> </w:t>
      </w:r>
      <w:r>
        <w:rPr>
          <w:color w:val="231F20"/>
          <w:spacing w:val="-2"/>
        </w:rPr>
        <w:t>progressing </w:t>
      </w:r>
      <w:r>
        <w:rPr>
          <w:color w:val="231F20"/>
        </w:rPr>
        <w:t>the above projects. The significant areas of spend</w:t>
      </w:r>
    </w:p>
    <w:p>
      <w:pPr>
        <w:pStyle w:val="BodyText"/>
        <w:spacing w:line="225" w:lineRule="auto"/>
        <w:ind w:left="193"/>
      </w:pPr>
      <w:r>
        <w:rPr>
          <w:color w:val="231F20"/>
        </w:rPr>
        <w:t>have been the refurbishment and alterations to the vacant units at Low Street, Kings Mill </w:t>
      </w:r>
      <w:r>
        <w:rPr>
          <w:color w:val="231F20"/>
          <w:spacing w:val="-2"/>
        </w:rPr>
        <w:t>Reservoir</w:t>
      </w:r>
      <w:r>
        <w:rPr>
          <w:color w:val="231F20"/>
          <w:spacing w:val="-15"/>
        </w:rPr>
        <w:t> </w:t>
      </w:r>
      <w:r>
        <w:rPr>
          <w:color w:val="231F20"/>
          <w:spacing w:val="-2"/>
        </w:rPr>
        <w:t>development</w:t>
      </w:r>
      <w:r>
        <w:rPr>
          <w:color w:val="231F20"/>
          <w:spacing w:val="-14"/>
        </w:rPr>
        <w:t> </w:t>
      </w:r>
      <w:r>
        <w:rPr>
          <w:color w:val="231F20"/>
          <w:spacing w:val="-2"/>
        </w:rPr>
        <w:t>and</w:t>
      </w:r>
      <w:r>
        <w:rPr>
          <w:color w:val="231F20"/>
          <w:spacing w:val="-15"/>
        </w:rPr>
        <w:t> </w:t>
      </w:r>
      <w:r>
        <w:rPr>
          <w:color w:val="231F20"/>
          <w:spacing w:val="-2"/>
        </w:rPr>
        <w:t>the </w:t>
      </w:r>
      <w:r>
        <w:rPr>
          <w:color w:val="231F20"/>
        </w:rPr>
        <w:t>Science Discovery Centre and </w:t>
      </w:r>
      <w:r>
        <w:rPr>
          <w:color w:val="231F20"/>
          <w:spacing w:val="-2"/>
        </w:rPr>
        <w:t>Planetarium.</w:t>
      </w:r>
    </w:p>
    <w:p>
      <w:pPr>
        <w:pStyle w:val="Heading4"/>
        <w:spacing w:before="284"/>
        <w:ind w:left="193"/>
      </w:pPr>
      <w:r>
        <w:rPr>
          <w:color w:val="3B5673"/>
          <w:spacing w:val="-2"/>
        </w:rPr>
        <w:t>Housing</w:t>
      </w:r>
      <w:r>
        <w:rPr>
          <w:color w:val="3B5673"/>
          <w:spacing w:val="-9"/>
        </w:rPr>
        <w:t> </w:t>
      </w:r>
      <w:r>
        <w:rPr>
          <w:color w:val="3B5673"/>
          <w:spacing w:val="-2"/>
        </w:rPr>
        <w:t>Projects</w:t>
      </w:r>
    </w:p>
    <w:p>
      <w:pPr>
        <w:pStyle w:val="BodyText"/>
        <w:spacing w:line="225" w:lineRule="auto" w:before="6"/>
        <w:ind w:left="193" w:right="55"/>
      </w:pPr>
      <w:r>
        <w:rPr>
          <w:color w:val="231F20"/>
        </w:rPr>
        <w:t>£17.3m was spent in 2022/23</w:t>
      </w:r>
      <w:r>
        <w:rPr>
          <w:color w:val="231F20"/>
        </w:rPr>
        <w:t> on</w:t>
      </w:r>
      <w:r>
        <w:rPr>
          <w:color w:val="231F20"/>
          <w:spacing w:val="-6"/>
        </w:rPr>
        <w:t> </w:t>
      </w:r>
      <w:r>
        <w:rPr>
          <w:color w:val="231F20"/>
        </w:rPr>
        <w:t>building</w:t>
      </w:r>
      <w:r>
        <w:rPr>
          <w:color w:val="231F20"/>
          <w:spacing w:val="-6"/>
        </w:rPr>
        <w:t> </w:t>
      </w:r>
      <w:r>
        <w:rPr>
          <w:color w:val="231F20"/>
        </w:rPr>
        <w:t>new</w:t>
      </w:r>
      <w:r>
        <w:rPr>
          <w:color w:val="231F20"/>
          <w:spacing w:val="-6"/>
        </w:rPr>
        <w:t> </w:t>
      </w:r>
      <w:r>
        <w:rPr>
          <w:color w:val="231F20"/>
        </w:rPr>
        <w:t>and</w:t>
      </w:r>
      <w:r>
        <w:rPr>
          <w:color w:val="231F20"/>
          <w:spacing w:val="-6"/>
        </w:rPr>
        <w:t> </w:t>
      </w:r>
      <w:r>
        <w:rPr>
          <w:color w:val="231F20"/>
        </w:rPr>
        <w:t>improving existing Council dwellings </w:t>
      </w:r>
      <w:r>
        <w:rPr>
          <w:color w:val="231F20"/>
          <w:spacing w:val="-2"/>
        </w:rPr>
        <w:t>throughout</w:t>
      </w:r>
      <w:r>
        <w:rPr>
          <w:color w:val="231F20"/>
          <w:spacing w:val="-15"/>
        </w:rPr>
        <w:t> </w:t>
      </w:r>
      <w:r>
        <w:rPr>
          <w:color w:val="231F20"/>
          <w:spacing w:val="-2"/>
        </w:rPr>
        <w:t>the</w:t>
      </w:r>
      <w:r>
        <w:rPr>
          <w:color w:val="231F20"/>
          <w:spacing w:val="-14"/>
        </w:rPr>
        <w:t> </w:t>
      </w:r>
      <w:r>
        <w:rPr>
          <w:color w:val="231F20"/>
          <w:spacing w:val="-2"/>
        </w:rPr>
        <w:t>District</w:t>
      </w:r>
      <w:r>
        <w:rPr>
          <w:color w:val="231F20"/>
          <w:spacing w:val="-15"/>
        </w:rPr>
        <w:t> </w:t>
      </w:r>
      <w:r>
        <w:rPr>
          <w:color w:val="231F20"/>
          <w:spacing w:val="-2"/>
        </w:rPr>
        <w:t>ensuring</w:t>
      </w:r>
    </w:p>
    <w:p>
      <w:pPr>
        <w:pStyle w:val="BodyText"/>
        <w:spacing w:line="225" w:lineRule="auto"/>
        <w:ind w:left="193"/>
      </w:pPr>
      <w:r>
        <w:rPr>
          <w:color w:val="231F20"/>
          <w:spacing w:val="-2"/>
        </w:rPr>
        <w:t>that</w:t>
      </w:r>
      <w:r>
        <w:rPr>
          <w:color w:val="231F20"/>
          <w:spacing w:val="-15"/>
        </w:rPr>
        <w:t> </w:t>
      </w:r>
      <w:r>
        <w:rPr>
          <w:color w:val="231F20"/>
          <w:spacing w:val="-2"/>
        </w:rPr>
        <w:t>the</w:t>
      </w:r>
      <w:r>
        <w:rPr>
          <w:color w:val="231F20"/>
          <w:spacing w:val="-14"/>
        </w:rPr>
        <w:t> </w:t>
      </w:r>
      <w:r>
        <w:rPr>
          <w:color w:val="231F20"/>
          <w:spacing w:val="-2"/>
        </w:rPr>
        <w:t>Decent</w:t>
      </w:r>
      <w:r>
        <w:rPr>
          <w:color w:val="231F20"/>
          <w:spacing w:val="-15"/>
        </w:rPr>
        <w:t> </w:t>
      </w:r>
      <w:r>
        <w:rPr>
          <w:color w:val="231F20"/>
          <w:spacing w:val="-2"/>
        </w:rPr>
        <w:t>Homes</w:t>
      </w:r>
      <w:r>
        <w:rPr>
          <w:color w:val="231F20"/>
          <w:spacing w:val="-14"/>
        </w:rPr>
        <w:t> </w:t>
      </w:r>
      <w:r>
        <w:rPr>
          <w:color w:val="231F20"/>
          <w:spacing w:val="-2"/>
        </w:rPr>
        <w:t>Standard </w:t>
      </w:r>
      <w:r>
        <w:rPr>
          <w:color w:val="231F20"/>
        </w:rPr>
        <w:t>is maintained. Other projects included the acquisition of houses to add to the Council’s stock to help meet the social housing demands of our residents and undertaking disabled adaptations to Council properties and undertaking ‘Green Homes work’ to make </w:t>
      </w:r>
      <w:r>
        <w:rPr>
          <w:color w:val="231F20"/>
          <w:spacing w:val="-2"/>
        </w:rPr>
        <w:t>properties</w:t>
      </w:r>
      <w:r>
        <w:rPr>
          <w:color w:val="231F20"/>
          <w:spacing w:val="-15"/>
        </w:rPr>
        <w:t> </w:t>
      </w:r>
      <w:r>
        <w:rPr>
          <w:color w:val="231F20"/>
          <w:spacing w:val="-2"/>
        </w:rPr>
        <w:t>more</w:t>
      </w:r>
      <w:r>
        <w:rPr>
          <w:color w:val="231F20"/>
          <w:spacing w:val="-14"/>
        </w:rPr>
        <w:t> </w:t>
      </w:r>
      <w:r>
        <w:rPr>
          <w:color w:val="231F20"/>
          <w:spacing w:val="-2"/>
        </w:rPr>
        <w:t>energy</w:t>
      </w:r>
      <w:r>
        <w:rPr>
          <w:color w:val="231F20"/>
          <w:spacing w:val="-15"/>
        </w:rPr>
        <w:t> </w:t>
      </w:r>
      <w:r>
        <w:rPr>
          <w:color w:val="231F20"/>
          <w:spacing w:val="-2"/>
        </w:rPr>
        <w:t>efficient.</w:t>
      </w:r>
    </w:p>
    <w:p>
      <w:pPr>
        <w:pStyle w:val="Heading3"/>
        <w:spacing w:line="240" w:lineRule="auto" w:before="284"/>
        <w:ind w:left="197"/>
      </w:pPr>
      <w:r>
        <w:rPr>
          <w:color w:val="3B5673"/>
        </w:rPr>
        <w:t>BALANCE</w:t>
      </w:r>
      <w:r>
        <w:rPr>
          <w:color w:val="3B5673"/>
          <w:spacing w:val="37"/>
        </w:rPr>
        <w:t> </w:t>
      </w:r>
      <w:r>
        <w:rPr>
          <w:color w:val="3B5673"/>
          <w:spacing w:val="-4"/>
        </w:rPr>
        <w:t>SHEET</w:t>
      </w:r>
    </w:p>
    <w:p>
      <w:pPr>
        <w:pStyle w:val="BodyText"/>
        <w:spacing w:before="3"/>
        <w:rPr>
          <w:b/>
          <w:sz w:val="22"/>
        </w:rPr>
      </w:pPr>
    </w:p>
    <w:p>
      <w:pPr>
        <w:pStyle w:val="Heading4"/>
        <w:spacing w:line="225" w:lineRule="auto"/>
        <w:ind w:left="193" w:right="8"/>
      </w:pPr>
      <w:r>
        <w:rPr>
          <w:color w:val="3B5673"/>
          <w:spacing w:val="-2"/>
        </w:rPr>
        <w:t>Property,</w:t>
      </w:r>
      <w:r>
        <w:rPr>
          <w:color w:val="3B5673"/>
          <w:spacing w:val="-15"/>
        </w:rPr>
        <w:t> </w:t>
      </w:r>
      <w:r>
        <w:rPr>
          <w:color w:val="3B5673"/>
          <w:spacing w:val="-2"/>
        </w:rPr>
        <w:t>Plant</w:t>
      </w:r>
      <w:r>
        <w:rPr>
          <w:color w:val="3B5673"/>
          <w:spacing w:val="-15"/>
        </w:rPr>
        <w:t> </w:t>
      </w:r>
      <w:r>
        <w:rPr>
          <w:color w:val="3B5673"/>
          <w:spacing w:val="-2"/>
        </w:rPr>
        <w:t>&amp;</w:t>
      </w:r>
      <w:r>
        <w:rPr>
          <w:color w:val="3B5673"/>
          <w:spacing w:val="-14"/>
        </w:rPr>
        <w:t> </w:t>
      </w:r>
      <w:r>
        <w:rPr>
          <w:color w:val="3B5673"/>
          <w:spacing w:val="-2"/>
        </w:rPr>
        <w:t>Equipment (PPE)</w:t>
      </w:r>
    </w:p>
    <w:p>
      <w:pPr>
        <w:pStyle w:val="BodyText"/>
        <w:spacing w:line="294" w:lineRule="exact"/>
        <w:ind w:left="193"/>
      </w:pPr>
      <w:r>
        <w:rPr>
          <w:color w:val="231F20"/>
        </w:rPr>
        <w:t>The</w:t>
      </w:r>
      <w:r>
        <w:rPr>
          <w:color w:val="231F20"/>
          <w:spacing w:val="-16"/>
        </w:rPr>
        <w:t> </w:t>
      </w:r>
      <w:r>
        <w:rPr>
          <w:color w:val="231F20"/>
        </w:rPr>
        <w:t>value</w:t>
      </w:r>
      <w:r>
        <w:rPr>
          <w:color w:val="231F20"/>
          <w:spacing w:val="-15"/>
        </w:rPr>
        <w:t> </w:t>
      </w:r>
      <w:r>
        <w:rPr>
          <w:color w:val="231F20"/>
        </w:rPr>
        <w:t>of</w:t>
      </w:r>
      <w:r>
        <w:rPr>
          <w:color w:val="231F20"/>
          <w:spacing w:val="-15"/>
        </w:rPr>
        <w:t> </w:t>
      </w:r>
      <w:r>
        <w:rPr>
          <w:color w:val="231F20"/>
        </w:rPr>
        <w:t>PPE</w:t>
      </w:r>
      <w:r>
        <w:rPr>
          <w:color w:val="231F20"/>
          <w:spacing w:val="-15"/>
        </w:rPr>
        <w:t> </w:t>
      </w:r>
      <w:r>
        <w:rPr>
          <w:color w:val="231F20"/>
        </w:rPr>
        <w:t>increased</w:t>
      </w:r>
      <w:r>
        <w:rPr>
          <w:color w:val="231F20"/>
          <w:spacing w:val="-15"/>
        </w:rPr>
        <w:t> </w:t>
      </w:r>
      <w:r>
        <w:rPr>
          <w:color w:val="231F20"/>
          <w:spacing w:val="-5"/>
        </w:rPr>
        <w:t>by</w:t>
      </w:r>
    </w:p>
    <w:p>
      <w:pPr>
        <w:pStyle w:val="BodyText"/>
        <w:spacing w:line="225" w:lineRule="auto" w:before="6"/>
        <w:ind w:left="193" w:right="141"/>
      </w:pPr>
      <w:r>
        <w:rPr>
          <w:color w:val="231F20"/>
        </w:rPr>
        <w:t>£35.877m to £368.746m as at </w:t>
      </w:r>
      <w:r>
        <w:rPr>
          <w:color w:val="231F20"/>
          <w:spacing w:val="-2"/>
        </w:rPr>
        <w:t>31st</w:t>
      </w:r>
      <w:r>
        <w:rPr>
          <w:color w:val="231F20"/>
          <w:spacing w:val="-15"/>
        </w:rPr>
        <w:t> </w:t>
      </w:r>
      <w:r>
        <w:rPr>
          <w:color w:val="231F20"/>
          <w:spacing w:val="-2"/>
        </w:rPr>
        <w:t>March</w:t>
      </w:r>
      <w:r>
        <w:rPr>
          <w:color w:val="231F20"/>
          <w:spacing w:val="-14"/>
        </w:rPr>
        <w:t> </w:t>
      </w:r>
      <w:r>
        <w:rPr>
          <w:color w:val="231F20"/>
          <w:spacing w:val="-2"/>
        </w:rPr>
        <w:t>2023.</w:t>
      </w:r>
      <w:r>
        <w:rPr>
          <w:color w:val="231F20"/>
          <w:spacing w:val="-15"/>
        </w:rPr>
        <w:t> </w:t>
      </w:r>
      <w:r>
        <w:rPr>
          <w:color w:val="231F20"/>
          <w:spacing w:val="-2"/>
        </w:rPr>
        <w:t>This</w:t>
      </w:r>
      <w:r>
        <w:rPr>
          <w:color w:val="231F20"/>
          <w:spacing w:val="-14"/>
        </w:rPr>
        <w:t> </w:t>
      </w:r>
      <w:r>
        <w:rPr>
          <w:color w:val="231F20"/>
          <w:spacing w:val="-2"/>
        </w:rPr>
        <w:t>increase </w:t>
      </w:r>
      <w:r>
        <w:rPr>
          <w:color w:val="231F20"/>
        </w:rPr>
        <w:t>is largely due to increases in</w:t>
      </w:r>
    </w:p>
    <w:p>
      <w:pPr>
        <w:pStyle w:val="BodyText"/>
        <w:spacing w:line="225" w:lineRule="auto"/>
        <w:ind w:left="193"/>
      </w:pPr>
      <w:r>
        <w:rPr>
          <w:color w:val="231F20"/>
          <w:spacing w:val="-2"/>
        </w:rPr>
        <w:t>revaluations</w:t>
      </w:r>
      <w:r>
        <w:rPr>
          <w:color w:val="231F20"/>
          <w:spacing w:val="-15"/>
        </w:rPr>
        <w:t> </w:t>
      </w:r>
      <w:r>
        <w:rPr>
          <w:color w:val="231F20"/>
          <w:spacing w:val="-2"/>
        </w:rPr>
        <w:t>of</w:t>
      </w:r>
      <w:r>
        <w:rPr>
          <w:color w:val="231F20"/>
          <w:spacing w:val="-14"/>
        </w:rPr>
        <w:t> </w:t>
      </w:r>
      <w:r>
        <w:rPr>
          <w:color w:val="231F20"/>
          <w:spacing w:val="-2"/>
        </w:rPr>
        <w:t>Council</w:t>
      </w:r>
      <w:r>
        <w:rPr>
          <w:color w:val="231F20"/>
          <w:spacing w:val="-15"/>
        </w:rPr>
        <w:t> </w:t>
      </w:r>
      <w:r>
        <w:rPr>
          <w:color w:val="231F20"/>
          <w:spacing w:val="-2"/>
        </w:rPr>
        <w:t>dwellings </w:t>
      </w:r>
      <w:r>
        <w:rPr>
          <w:color w:val="231F20"/>
        </w:rPr>
        <w:t>(£16.9m), new dwellings added to the Council’s stock (£13.3m), revaluation due to expenditure on Council Leisure Centres (£8.6m) and the disposal of Council dwellings (-£2.6m).</w:t>
      </w:r>
    </w:p>
    <w:p>
      <w:pPr>
        <w:pStyle w:val="BodyText"/>
        <w:spacing w:line="225" w:lineRule="auto" w:before="115"/>
        <w:ind w:left="229" w:right="550"/>
      </w:pPr>
      <w:r>
        <w:rPr/>
        <w:br w:type="column"/>
      </w:r>
      <w:r>
        <w:rPr>
          <w:color w:val="231F20"/>
        </w:rPr>
        <w:t>Council dwellings are valued </w:t>
      </w:r>
      <w:r>
        <w:rPr>
          <w:color w:val="231F20"/>
          <w:spacing w:val="-2"/>
        </w:rPr>
        <w:t>utilising</w:t>
      </w:r>
      <w:r>
        <w:rPr>
          <w:color w:val="231F20"/>
          <w:spacing w:val="-15"/>
        </w:rPr>
        <w:t> </w:t>
      </w:r>
      <w:r>
        <w:rPr>
          <w:color w:val="231F20"/>
          <w:spacing w:val="-2"/>
        </w:rPr>
        <w:t>the</w:t>
      </w:r>
      <w:r>
        <w:rPr>
          <w:color w:val="231F20"/>
          <w:spacing w:val="-14"/>
        </w:rPr>
        <w:t> </w:t>
      </w:r>
      <w:r>
        <w:rPr>
          <w:color w:val="231F20"/>
          <w:spacing w:val="-2"/>
        </w:rPr>
        <w:t>East</w:t>
      </w:r>
      <w:r>
        <w:rPr>
          <w:color w:val="231F20"/>
          <w:spacing w:val="-14"/>
        </w:rPr>
        <w:t> </w:t>
      </w:r>
      <w:r>
        <w:rPr>
          <w:color w:val="231F20"/>
          <w:spacing w:val="-2"/>
        </w:rPr>
        <w:t>Midland</w:t>
      </w:r>
      <w:r>
        <w:rPr>
          <w:color w:val="231F20"/>
          <w:spacing w:val="-15"/>
        </w:rPr>
        <w:t> </w:t>
      </w:r>
      <w:r>
        <w:rPr>
          <w:color w:val="231F20"/>
          <w:spacing w:val="-2"/>
        </w:rPr>
        <w:t>Council </w:t>
      </w:r>
      <w:r>
        <w:rPr>
          <w:color w:val="231F20"/>
        </w:rPr>
        <w:t>dwellings</w:t>
      </w:r>
      <w:r>
        <w:rPr>
          <w:color w:val="231F20"/>
          <w:spacing w:val="-13"/>
        </w:rPr>
        <w:t> </w:t>
      </w:r>
      <w:r>
        <w:rPr>
          <w:color w:val="231F20"/>
        </w:rPr>
        <w:t>are</w:t>
      </w:r>
      <w:r>
        <w:rPr>
          <w:color w:val="231F20"/>
          <w:spacing w:val="-13"/>
        </w:rPr>
        <w:t> </w:t>
      </w:r>
      <w:r>
        <w:rPr>
          <w:color w:val="231F20"/>
        </w:rPr>
        <w:t>valued</w:t>
      </w:r>
      <w:r>
        <w:rPr>
          <w:color w:val="231F20"/>
          <w:spacing w:val="-13"/>
        </w:rPr>
        <w:t> </w:t>
      </w:r>
      <w:r>
        <w:rPr>
          <w:color w:val="231F20"/>
        </w:rPr>
        <w:t>utilising</w:t>
      </w:r>
      <w:r>
        <w:rPr>
          <w:color w:val="231F20"/>
          <w:spacing w:val="-13"/>
        </w:rPr>
        <w:t> </w:t>
      </w:r>
      <w:r>
        <w:rPr>
          <w:color w:val="231F20"/>
        </w:rPr>
        <w:t>the East</w:t>
      </w:r>
      <w:r>
        <w:rPr>
          <w:color w:val="231F20"/>
          <w:spacing w:val="-8"/>
        </w:rPr>
        <w:t> </w:t>
      </w:r>
      <w:r>
        <w:rPr>
          <w:color w:val="231F20"/>
        </w:rPr>
        <w:t>Midland</w:t>
      </w:r>
      <w:r>
        <w:rPr>
          <w:color w:val="231F20"/>
          <w:spacing w:val="-8"/>
        </w:rPr>
        <w:t> </w:t>
      </w:r>
      <w:r>
        <w:rPr>
          <w:color w:val="231F20"/>
        </w:rPr>
        <w:t>Adjustment</w:t>
      </w:r>
      <w:r>
        <w:rPr>
          <w:color w:val="231F20"/>
          <w:spacing w:val="-8"/>
        </w:rPr>
        <w:t> </w:t>
      </w:r>
      <w:r>
        <w:rPr>
          <w:color w:val="231F20"/>
        </w:rPr>
        <w:t>Factor, as required by Government.</w:t>
      </w:r>
    </w:p>
    <w:p>
      <w:pPr>
        <w:pStyle w:val="BodyText"/>
        <w:spacing w:line="225" w:lineRule="auto"/>
        <w:ind w:left="229" w:right="759"/>
      </w:pPr>
      <w:r>
        <w:rPr>
          <w:color w:val="231F20"/>
          <w:spacing w:val="-2"/>
        </w:rPr>
        <w:t>This</w:t>
      </w:r>
      <w:r>
        <w:rPr>
          <w:color w:val="231F20"/>
          <w:spacing w:val="-15"/>
        </w:rPr>
        <w:t> </w:t>
      </w:r>
      <w:r>
        <w:rPr>
          <w:color w:val="231F20"/>
          <w:spacing w:val="-2"/>
        </w:rPr>
        <w:t>Adjustment</w:t>
      </w:r>
      <w:r>
        <w:rPr>
          <w:color w:val="231F20"/>
          <w:spacing w:val="-14"/>
        </w:rPr>
        <w:t> </w:t>
      </w:r>
      <w:r>
        <w:rPr>
          <w:color w:val="231F20"/>
          <w:spacing w:val="-2"/>
        </w:rPr>
        <w:t>Factor</w:t>
      </w:r>
      <w:r>
        <w:rPr>
          <w:color w:val="231F20"/>
          <w:spacing w:val="-15"/>
        </w:rPr>
        <w:t> </w:t>
      </w:r>
      <w:r>
        <w:rPr>
          <w:color w:val="231F20"/>
          <w:spacing w:val="-2"/>
        </w:rPr>
        <w:t>reduces </w:t>
      </w:r>
      <w:r>
        <w:rPr>
          <w:color w:val="231F20"/>
        </w:rPr>
        <w:t>the value of social housing from</w:t>
      </w:r>
      <w:r>
        <w:rPr>
          <w:color w:val="231F20"/>
          <w:spacing w:val="-14"/>
        </w:rPr>
        <w:t> </w:t>
      </w:r>
      <w:r>
        <w:rPr>
          <w:color w:val="231F20"/>
        </w:rPr>
        <w:t>the</w:t>
      </w:r>
      <w:r>
        <w:rPr>
          <w:color w:val="231F20"/>
          <w:spacing w:val="-14"/>
        </w:rPr>
        <w:t> </w:t>
      </w:r>
      <w:r>
        <w:rPr>
          <w:color w:val="231F20"/>
        </w:rPr>
        <w:t>market</w:t>
      </w:r>
      <w:r>
        <w:rPr>
          <w:color w:val="231F20"/>
          <w:spacing w:val="-14"/>
        </w:rPr>
        <w:t> </w:t>
      </w:r>
      <w:r>
        <w:rPr>
          <w:color w:val="231F20"/>
        </w:rPr>
        <w:t>level</w:t>
      </w:r>
      <w:r>
        <w:rPr>
          <w:color w:val="231F20"/>
          <w:spacing w:val="-14"/>
        </w:rPr>
        <w:t> </w:t>
      </w:r>
      <w:r>
        <w:rPr>
          <w:color w:val="231F20"/>
        </w:rPr>
        <w:t>to</w:t>
      </w:r>
      <w:r>
        <w:rPr>
          <w:color w:val="231F20"/>
          <w:spacing w:val="-14"/>
        </w:rPr>
        <w:t> </w:t>
      </w:r>
      <w:r>
        <w:rPr>
          <w:color w:val="231F20"/>
        </w:rPr>
        <w:t>a</w:t>
      </w:r>
      <w:r>
        <w:rPr>
          <w:color w:val="231F20"/>
          <w:spacing w:val="-14"/>
        </w:rPr>
        <w:t> </w:t>
      </w:r>
      <w:r>
        <w:rPr>
          <w:color w:val="231F20"/>
        </w:rPr>
        <w:t>level</w:t>
      </w:r>
    </w:p>
    <w:p>
      <w:pPr>
        <w:pStyle w:val="BodyText"/>
        <w:spacing w:line="225" w:lineRule="auto"/>
        <w:ind w:left="229" w:right="610"/>
      </w:pPr>
      <w:r>
        <w:rPr>
          <w:color w:val="231F20"/>
          <w:spacing w:val="-2"/>
        </w:rPr>
        <w:t>which</w:t>
      </w:r>
      <w:r>
        <w:rPr>
          <w:color w:val="231F20"/>
          <w:spacing w:val="-15"/>
        </w:rPr>
        <w:t> </w:t>
      </w:r>
      <w:r>
        <w:rPr>
          <w:color w:val="231F20"/>
          <w:spacing w:val="-2"/>
        </w:rPr>
        <w:t>reflects</w:t>
      </w:r>
      <w:r>
        <w:rPr>
          <w:color w:val="231F20"/>
          <w:spacing w:val="-14"/>
        </w:rPr>
        <w:t> </w:t>
      </w:r>
      <w:r>
        <w:rPr>
          <w:color w:val="231F20"/>
          <w:spacing w:val="-2"/>
        </w:rPr>
        <w:t>the</w:t>
      </w:r>
      <w:r>
        <w:rPr>
          <w:color w:val="231F20"/>
          <w:spacing w:val="-15"/>
        </w:rPr>
        <w:t> </w:t>
      </w:r>
      <w:r>
        <w:rPr>
          <w:color w:val="231F20"/>
          <w:spacing w:val="-2"/>
        </w:rPr>
        <w:t>Government’s </w:t>
      </w:r>
      <w:r>
        <w:rPr>
          <w:color w:val="231F20"/>
        </w:rPr>
        <w:t>assessment</w:t>
      </w:r>
      <w:r>
        <w:rPr>
          <w:color w:val="231F20"/>
          <w:spacing w:val="-5"/>
        </w:rPr>
        <w:t> </w:t>
      </w:r>
      <w:r>
        <w:rPr>
          <w:color w:val="231F20"/>
        </w:rPr>
        <w:t>of</w:t>
      </w:r>
      <w:r>
        <w:rPr>
          <w:color w:val="231F20"/>
          <w:spacing w:val="-5"/>
        </w:rPr>
        <w:t> </w:t>
      </w:r>
      <w:r>
        <w:rPr>
          <w:color w:val="231F20"/>
        </w:rPr>
        <w:t>valuation,</w:t>
      </w:r>
      <w:r>
        <w:rPr>
          <w:color w:val="231F20"/>
          <w:spacing w:val="-5"/>
        </w:rPr>
        <w:t> </w:t>
      </w:r>
      <w:r>
        <w:rPr>
          <w:color w:val="231F20"/>
        </w:rPr>
        <w:t>taking account of ‘right to buy’ and other factors.</w:t>
      </w:r>
    </w:p>
    <w:p>
      <w:pPr>
        <w:pStyle w:val="BodyText"/>
        <w:spacing w:before="7"/>
        <w:rPr>
          <w:sz w:val="22"/>
        </w:rPr>
      </w:pPr>
    </w:p>
    <w:p>
      <w:pPr>
        <w:pStyle w:val="Heading4"/>
        <w:spacing w:line="225" w:lineRule="auto"/>
        <w:ind w:left="229" w:right="643"/>
      </w:pPr>
      <w:r>
        <w:rPr>
          <w:color w:val="3B5673"/>
          <w:spacing w:val="-2"/>
        </w:rPr>
        <w:t>Investment</w:t>
      </w:r>
      <w:r>
        <w:rPr>
          <w:color w:val="3B5673"/>
          <w:spacing w:val="-15"/>
        </w:rPr>
        <w:t> </w:t>
      </w:r>
      <w:r>
        <w:rPr>
          <w:color w:val="3B5673"/>
          <w:spacing w:val="-2"/>
        </w:rPr>
        <w:t>Properties</w:t>
      </w:r>
      <w:r>
        <w:rPr>
          <w:color w:val="3B5673"/>
          <w:spacing w:val="-15"/>
        </w:rPr>
        <w:t> </w:t>
      </w:r>
      <w:r>
        <w:rPr>
          <w:color w:val="3B5673"/>
          <w:spacing w:val="-2"/>
        </w:rPr>
        <w:t>&amp; </w:t>
      </w:r>
      <w:r>
        <w:rPr>
          <w:color w:val="3B5673"/>
        </w:rPr>
        <w:t>Assets Held for Sale</w:t>
      </w:r>
    </w:p>
    <w:p>
      <w:pPr>
        <w:pStyle w:val="BodyText"/>
        <w:spacing w:line="225" w:lineRule="auto"/>
        <w:ind w:left="229" w:right="759"/>
      </w:pPr>
      <w:r>
        <w:rPr>
          <w:color w:val="231F20"/>
        </w:rPr>
        <w:t>The</w:t>
      </w:r>
      <w:r>
        <w:rPr>
          <w:color w:val="231F20"/>
          <w:spacing w:val="-17"/>
        </w:rPr>
        <w:t> </w:t>
      </w:r>
      <w:r>
        <w:rPr>
          <w:color w:val="231F20"/>
        </w:rPr>
        <w:t>overall</w:t>
      </w:r>
      <w:r>
        <w:rPr>
          <w:color w:val="231F20"/>
          <w:spacing w:val="-16"/>
        </w:rPr>
        <w:t> </w:t>
      </w:r>
      <w:r>
        <w:rPr>
          <w:color w:val="231F20"/>
        </w:rPr>
        <w:t>value</w:t>
      </w:r>
      <w:r>
        <w:rPr>
          <w:color w:val="231F20"/>
          <w:spacing w:val="-17"/>
        </w:rPr>
        <w:t> </w:t>
      </w:r>
      <w:r>
        <w:rPr>
          <w:color w:val="231F20"/>
        </w:rPr>
        <w:t>of</w:t>
      </w:r>
      <w:r>
        <w:rPr>
          <w:color w:val="231F20"/>
          <w:spacing w:val="-16"/>
        </w:rPr>
        <w:t> </w:t>
      </w:r>
      <w:r>
        <w:rPr>
          <w:color w:val="231F20"/>
        </w:rPr>
        <w:t>Investment </w:t>
      </w:r>
      <w:r>
        <w:rPr>
          <w:color w:val="231F20"/>
          <w:spacing w:val="-2"/>
        </w:rPr>
        <w:t>Properties</w:t>
      </w:r>
      <w:r>
        <w:rPr>
          <w:color w:val="231F20"/>
          <w:spacing w:val="-9"/>
        </w:rPr>
        <w:t> </w:t>
      </w:r>
      <w:r>
        <w:rPr>
          <w:color w:val="231F20"/>
          <w:spacing w:val="-2"/>
        </w:rPr>
        <w:t>decreased</w:t>
      </w:r>
      <w:r>
        <w:rPr>
          <w:color w:val="231F20"/>
          <w:spacing w:val="-8"/>
        </w:rPr>
        <w:t> </w:t>
      </w:r>
      <w:r>
        <w:rPr>
          <w:color w:val="231F20"/>
          <w:spacing w:val="-2"/>
        </w:rPr>
        <w:t>in</w:t>
      </w:r>
      <w:r>
        <w:rPr>
          <w:color w:val="231F20"/>
          <w:spacing w:val="-8"/>
        </w:rPr>
        <w:t> </w:t>
      </w:r>
      <w:r>
        <w:rPr>
          <w:color w:val="231F20"/>
          <w:spacing w:val="-2"/>
        </w:rPr>
        <w:t>year</w:t>
      </w:r>
      <w:r>
        <w:rPr>
          <w:color w:val="231F20"/>
          <w:spacing w:val="-8"/>
        </w:rPr>
        <w:t> </w:t>
      </w:r>
      <w:r>
        <w:rPr>
          <w:color w:val="231F20"/>
          <w:spacing w:val="-5"/>
        </w:rPr>
        <w:t>by</w:t>
      </w:r>
    </w:p>
    <w:p>
      <w:pPr>
        <w:pStyle w:val="BodyText"/>
        <w:spacing w:line="225" w:lineRule="auto"/>
        <w:ind w:left="229" w:right="550"/>
      </w:pPr>
      <w:r>
        <w:rPr/>
        <w:pict>
          <v:group style="position:absolute;margin-left:578.504028pt;margin-top:16.309837pt;width:16.8pt;height:192.8pt;mso-position-horizontal-relative:page;mso-position-vertical-relative:paragraph;z-index:15755776" id="docshapegroup222" coordorigin="11570,326" coordsize="336,3856">
            <v:rect style="position:absolute;left:11570;top:3217;width:336;height:964" id="docshape223" filled="true" fillcolor="#f15d6b" stroked="false">
              <v:fill type="solid"/>
            </v:rect>
            <v:rect style="position:absolute;left:11570;top:2253;width:336;height:964" id="docshape224" filled="true" fillcolor="#fbac42" stroked="false">
              <v:fill type="solid"/>
            </v:rect>
            <v:rect style="position:absolute;left:11570;top:1289;width:336;height:964" id="docshape225" filled="true" fillcolor="#b78fc1" stroked="false">
              <v:fill type="solid"/>
            </v:rect>
            <v:rect style="position:absolute;left:11570;top:326;width:336;height:964" id="docshape226" filled="true" fillcolor="#378372" stroked="false">
              <v:fill type="solid"/>
            </v:rect>
            <w10:wrap type="none"/>
          </v:group>
        </w:pict>
      </w:r>
      <w:r>
        <w:rPr>
          <w:color w:val="231F20"/>
        </w:rPr>
        <w:t>£5.222m.</w:t>
      </w:r>
      <w:r>
        <w:rPr>
          <w:color w:val="231F20"/>
          <w:spacing w:val="-1"/>
        </w:rPr>
        <w:t> </w:t>
      </w:r>
      <w:r>
        <w:rPr>
          <w:color w:val="231F20"/>
        </w:rPr>
        <w:t>This</w:t>
      </w:r>
      <w:r>
        <w:rPr>
          <w:color w:val="231F20"/>
          <w:spacing w:val="-1"/>
        </w:rPr>
        <w:t> </w:t>
      </w:r>
      <w:r>
        <w:rPr>
          <w:color w:val="231F20"/>
        </w:rPr>
        <w:t>decrease</w:t>
      </w:r>
      <w:r>
        <w:rPr>
          <w:color w:val="231F20"/>
          <w:spacing w:val="-1"/>
        </w:rPr>
        <w:t> </w:t>
      </w:r>
      <w:r>
        <w:rPr>
          <w:color w:val="231F20"/>
        </w:rPr>
        <w:t>was</w:t>
      </w:r>
      <w:r>
        <w:rPr>
          <w:color w:val="231F20"/>
          <w:spacing w:val="-1"/>
        </w:rPr>
        <w:t> </w:t>
      </w:r>
      <w:r>
        <w:rPr>
          <w:color w:val="231F20"/>
        </w:rPr>
        <w:t>due to valuation reductions across </w:t>
      </w:r>
      <w:r>
        <w:rPr>
          <w:color w:val="231F20"/>
          <w:spacing w:val="-2"/>
        </w:rPr>
        <w:t>the</w:t>
      </w:r>
      <w:r>
        <w:rPr>
          <w:color w:val="231F20"/>
          <w:spacing w:val="-12"/>
        </w:rPr>
        <w:t> </w:t>
      </w:r>
      <w:r>
        <w:rPr>
          <w:color w:val="231F20"/>
          <w:spacing w:val="-2"/>
        </w:rPr>
        <w:t>portfolio.</w:t>
      </w:r>
      <w:r>
        <w:rPr>
          <w:color w:val="231F20"/>
          <w:spacing w:val="-12"/>
        </w:rPr>
        <w:t> </w:t>
      </w:r>
      <w:r>
        <w:rPr>
          <w:color w:val="231F20"/>
          <w:spacing w:val="-2"/>
        </w:rPr>
        <w:t>The</w:t>
      </w:r>
      <w:r>
        <w:rPr>
          <w:color w:val="231F20"/>
          <w:spacing w:val="-12"/>
        </w:rPr>
        <w:t> </w:t>
      </w:r>
      <w:r>
        <w:rPr>
          <w:color w:val="231F20"/>
          <w:spacing w:val="-2"/>
        </w:rPr>
        <w:t>Assets</w:t>
      </w:r>
      <w:r>
        <w:rPr>
          <w:color w:val="231F20"/>
          <w:spacing w:val="-12"/>
        </w:rPr>
        <w:t> </w:t>
      </w:r>
      <w:r>
        <w:rPr>
          <w:color w:val="231F20"/>
          <w:spacing w:val="-2"/>
        </w:rPr>
        <w:t>Held</w:t>
      </w:r>
      <w:r>
        <w:rPr>
          <w:color w:val="231F20"/>
          <w:spacing w:val="-12"/>
        </w:rPr>
        <w:t> </w:t>
      </w:r>
      <w:r>
        <w:rPr>
          <w:color w:val="231F20"/>
          <w:spacing w:val="-2"/>
        </w:rPr>
        <w:t>for </w:t>
      </w:r>
      <w:r>
        <w:rPr>
          <w:color w:val="231F20"/>
        </w:rPr>
        <w:t>Sale</w:t>
      </w:r>
      <w:r>
        <w:rPr>
          <w:color w:val="231F20"/>
          <w:spacing w:val="-11"/>
        </w:rPr>
        <w:t> </w:t>
      </w:r>
      <w:r>
        <w:rPr>
          <w:color w:val="231F20"/>
        </w:rPr>
        <w:t>value</w:t>
      </w:r>
      <w:r>
        <w:rPr>
          <w:color w:val="231F20"/>
          <w:spacing w:val="-11"/>
        </w:rPr>
        <w:t> </w:t>
      </w:r>
      <w:r>
        <w:rPr>
          <w:color w:val="231F20"/>
        </w:rPr>
        <w:t>increased</w:t>
      </w:r>
      <w:r>
        <w:rPr>
          <w:color w:val="231F20"/>
          <w:spacing w:val="-11"/>
        </w:rPr>
        <w:t> </w:t>
      </w:r>
      <w:r>
        <w:rPr>
          <w:color w:val="231F20"/>
        </w:rPr>
        <w:t>by</w:t>
      </w:r>
      <w:r>
        <w:rPr>
          <w:color w:val="231F20"/>
          <w:spacing w:val="-11"/>
        </w:rPr>
        <w:t> </w:t>
      </w:r>
      <w:r>
        <w:rPr>
          <w:color w:val="231F20"/>
        </w:rPr>
        <w:t>£1.379m in the year; this was largely due to</w:t>
      </w:r>
      <w:r>
        <w:rPr>
          <w:color w:val="231F20"/>
          <w:spacing w:val="-3"/>
        </w:rPr>
        <w:t> </w:t>
      </w:r>
      <w:r>
        <w:rPr>
          <w:color w:val="231F20"/>
        </w:rPr>
        <w:t>the</w:t>
      </w:r>
      <w:r>
        <w:rPr>
          <w:color w:val="231F20"/>
          <w:spacing w:val="-3"/>
        </w:rPr>
        <w:t> </w:t>
      </w:r>
      <w:r>
        <w:rPr>
          <w:color w:val="231F20"/>
        </w:rPr>
        <w:t>transfer</w:t>
      </w:r>
      <w:r>
        <w:rPr>
          <w:color w:val="231F20"/>
          <w:spacing w:val="-3"/>
        </w:rPr>
        <w:t> </w:t>
      </w:r>
      <w:r>
        <w:rPr>
          <w:color w:val="231F20"/>
        </w:rPr>
        <w:t>in</w:t>
      </w:r>
      <w:r>
        <w:rPr>
          <w:color w:val="231F20"/>
          <w:spacing w:val="-3"/>
        </w:rPr>
        <w:t> </w:t>
      </w:r>
      <w:r>
        <w:rPr>
          <w:color w:val="231F20"/>
        </w:rPr>
        <w:t>of</w:t>
      </w:r>
      <w:r>
        <w:rPr>
          <w:color w:val="231F20"/>
          <w:spacing w:val="-3"/>
        </w:rPr>
        <w:t> </w:t>
      </w:r>
      <w:r>
        <w:rPr>
          <w:color w:val="231F20"/>
        </w:rPr>
        <w:t>surplus</w:t>
      </w:r>
      <w:r>
        <w:rPr>
          <w:color w:val="231F20"/>
          <w:spacing w:val="-3"/>
        </w:rPr>
        <w:t> </w:t>
      </w:r>
      <w:r>
        <w:rPr>
          <w:color w:val="231F20"/>
        </w:rPr>
        <w:t>land at Clegg Hill Drive.</w:t>
      </w:r>
    </w:p>
    <w:p>
      <w:pPr>
        <w:pStyle w:val="Heading4"/>
        <w:spacing w:before="284"/>
        <w:ind w:left="229"/>
      </w:pPr>
      <w:r>
        <w:rPr>
          <w:color w:val="3B5673"/>
          <w:spacing w:val="-4"/>
        </w:rPr>
        <w:t>Long</w:t>
      </w:r>
      <w:r>
        <w:rPr>
          <w:color w:val="3B5673"/>
          <w:spacing w:val="-10"/>
        </w:rPr>
        <w:t> </w:t>
      </w:r>
      <w:r>
        <w:rPr>
          <w:color w:val="3B5673"/>
          <w:spacing w:val="-4"/>
        </w:rPr>
        <w:t>Term</w:t>
      </w:r>
      <w:r>
        <w:rPr>
          <w:color w:val="3B5673"/>
          <w:spacing w:val="-8"/>
        </w:rPr>
        <w:t> </w:t>
      </w:r>
      <w:r>
        <w:rPr>
          <w:color w:val="3B5673"/>
          <w:spacing w:val="-4"/>
        </w:rPr>
        <w:t>Provisions</w:t>
      </w:r>
    </w:p>
    <w:p>
      <w:pPr>
        <w:pStyle w:val="BodyText"/>
        <w:spacing w:line="225" w:lineRule="auto" w:before="6"/>
        <w:ind w:left="229" w:right="643"/>
      </w:pPr>
      <w:r>
        <w:rPr>
          <w:color w:val="231F20"/>
        </w:rPr>
        <w:t>The value of Long Term Provisions increased by £201k to</w:t>
      </w:r>
      <w:r>
        <w:rPr>
          <w:color w:val="231F20"/>
          <w:spacing w:val="-17"/>
        </w:rPr>
        <w:t> </w:t>
      </w:r>
      <w:r>
        <w:rPr>
          <w:color w:val="231F20"/>
        </w:rPr>
        <w:t>£2.840m</w:t>
      </w:r>
      <w:r>
        <w:rPr>
          <w:color w:val="231F20"/>
          <w:spacing w:val="-16"/>
        </w:rPr>
        <w:t> </w:t>
      </w:r>
      <w:r>
        <w:rPr>
          <w:color w:val="231F20"/>
        </w:rPr>
        <w:t>at</w:t>
      </w:r>
      <w:r>
        <w:rPr>
          <w:color w:val="231F20"/>
          <w:spacing w:val="-17"/>
        </w:rPr>
        <w:t> </w:t>
      </w:r>
      <w:r>
        <w:rPr>
          <w:color w:val="231F20"/>
        </w:rPr>
        <w:t>the</w:t>
      </w:r>
      <w:r>
        <w:rPr>
          <w:color w:val="231F20"/>
          <w:spacing w:val="-16"/>
        </w:rPr>
        <w:t> </w:t>
      </w:r>
      <w:r>
        <w:rPr>
          <w:color w:val="231F20"/>
        </w:rPr>
        <w:t>end</w:t>
      </w:r>
      <w:r>
        <w:rPr>
          <w:color w:val="231F20"/>
          <w:spacing w:val="-17"/>
        </w:rPr>
        <w:t> </w:t>
      </w:r>
      <w:r>
        <w:rPr>
          <w:color w:val="231F20"/>
        </w:rPr>
        <w:t>of</w:t>
      </w:r>
      <w:r>
        <w:rPr>
          <w:color w:val="231F20"/>
          <w:spacing w:val="-16"/>
        </w:rPr>
        <w:t> </w:t>
      </w:r>
      <w:r>
        <w:rPr>
          <w:color w:val="231F20"/>
        </w:rPr>
        <w:t>March </w:t>
      </w:r>
      <w:r>
        <w:rPr>
          <w:color w:val="231F20"/>
          <w:spacing w:val="-2"/>
        </w:rPr>
        <w:t>2023.</w:t>
      </w:r>
      <w:r>
        <w:rPr>
          <w:color w:val="231F20"/>
          <w:spacing w:val="-14"/>
        </w:rPr>
        <w:t> </w:t>
      </w:r>
      <w:r>
        <w:rPr>
          <w:color w:val="231F20"/>
          <w:spacing w:val="-2"/>
        </w:rPr>
        <w:t>The</w:t>
      </w:r>
      <w:r>
        <w:rPr>
          <w:color w:val="231F20"/>
          <w:spacing w:val="-14"/>
        </w:rPr>
        <w:t> </w:t>
      </w:r>
      <w:r>
        <w:rPr>
          <w:color w:val="231F20"/>
          <w:spacing w:val="-2"/>
        </w:rPr>
        <w:t>main</w:t>
      </w:r>
      <w:r>
        <w:rPr>
          <w:color w:val="231F20"/>
          <w:spacing w:val="-14"/>
        </w:rPr>
        <w:t> </w:t>
      </w:r>
      <w:r>
        <w:rPr>
          <w:color w:val="231F20"/>
          <w:spacing w:val="-2"/>
        </w:rPr>
        <w:t>provision</w:t>
      </w:r>
      <w:r>
        <w:rPr>
          <w:color w:val="231F20"/>
          <w:spacing w:val="-14"/>
        </w:rPr>
        <w:t> </w:t>
      </w:r>
      <w:r>
        <w:rPr>
          <w:color w:val="231F20"/>
          <w:spacing w:val="-2"/>
        </w:rPr>
        <w:t>within </w:t>
      </w:r>
      <w:r>
        <w:rPr>
          <w:color w:val="231F20"/>
        </w:rPr>
        <w:t>this £2.840m is in respect of Business Rates appeals.</w:t>
      </w:r>
    </w:p>
    <w:p>
      <w:pPr>
        <w:pStyle w:val="Heading4"/>
        <w:spacing w:before="284"/>
        <w:ind w:left="229"/>
      </w:pPr>
      <w:r>
        <w:rPr>
          <w:color w:val="3B5673"/>
          <w:spacing w:val="-4"/>
        </w:rPr>
        <w:t>Pension</w:t>
      </w:r>
      <w:r>
        <w:rPr>
          <w:color w:val="3B5673"/>
          <w:spacing w:val="-2"/>
        </w:rPr>
        <w:t> Liability</w:t>
      </w:r>
    </w:p>
    <w:p>
      <w:pPr>
        <w:pStyle w:val="BodyText"/>
        <w:spacing w:line="225" w:lineRule="auto" w:before="6"/>
        <w:ind w:left="229" w:right="610"/>
      </w:pPr>
      <w:r>
        <w:rPr>
          <w:color w:val="231F20"/>
        </w:rPr>
        <w:t>The Council is a member of the </w:t>
      </w:r>
      <w:r>
        <w:rPr>
          <w:color w:val="231F20"/>
          <w:spacing w:val="-2"/>
        </w:rPr>
        <w:t>Nottinghamshire</w:t>
      </w:r>
      <w:r>
        <w:rPr>
          <w:color w:val="231F20"/>
          <w:spacing w:val="-15"/>
        </w:rPr>
        <w:t> </w:t>
      </w:r>
      <w:r>
        <w:rPr>
          <w:color w:val="231F20"/>
          <w:spacing w:val="-2"/>
        </w:rPr>
        <w:t>County</w:t>
      </w:r>
      <w:r>
        <w:rPr>
          <w:color w:val="231F20"/>
          <w:spacing w:val="-14"/>
        </w:rPr>
        <w:t> </w:t>
      </w:r>
      <w:r>
        <w:rPr>
          <w:color w:val="231F20"/>
          <w:spacing w:val="-2"/>
        </w:rPr>
        <w:t>Council </w:t>
      </w:r>
      <w:r>
        <w:rPr>
          <w:color w:val="231F20"/>
        </w:rPr>
        <w:t>Pension Fund. The Pension Liability</w:t>
      </w:r>
      <w:r>
        <w:rPr>
          <w:color w:val="231F20"/>
          <w:spacing w:val="-5"/>
        </w:rPr>
        <w:t> </w:t>
      </w:r>
      <w:r>
        <w:rPr>
          <w:color w:val="231F20"/>
        </w:rPr>
        <w:t>decreased</w:t>
      </w:r>
      <w:r>
        <w:rPr>
          <w:color w:val="231F20"/>
          <w:spacing w:val="-5"/>
        </w:rPr>
        <w:t> </w:t>
      </w:r>
      <w:r>
        <w:rPr>
          <w:color w:val="231F20"/>
        </w:rPr>
        <w:t>by</w:t>
      </w:r>
      <w:r>
        <w:rPr>
          <w:color w:val="231F20"/>
          <w:spacing w:val="-5"/>
        </w:rPr>
        <w:t> </w:t>
      </w:r>
      <w:r>
        <w:rPr>
          <w:color w:val="231F20"/>
        </w:rPr>
        <w:t>£82.957m to £26.811m at 31st March</w:t>
      </w:r>
    </w:p>
    <w:p>
      <w:pPr>
        <w:pStyle w:val="BodyText"/>
        <w:spacing w:line="225" w:lineRule="auto"/>
        <w:ind w:left="229" w:right="550"/>
      </w:pPr>
      <w:r>
        <w:rPr>
          <w:color w:val="231F20"/>
        </w:rPr>
        <w:t>2023 largely due to changes to the financial and demographic assumptions, in line with </w:t>
      </w:r>
      <w:r>
        <w:rPr>
          <w:color w:val="231F20"/>
          <w:spacing w:val="-2"/>
        </w:rPr>
        <w:t>economic</w:t>
      </w:r>
      <w:r>
        <w:rPr>
          <w:color w:val="231F20"/>
          <w:spacing w:val="-15"/>
        </w:rPr>
        <w:t> </w:t>
      </w:r>
      <w:r>
        <w:rPr>
          <w:color w:val="231F20"/>
          <w:spacing w:val="-2"/>
        </w:rPr>
        <w:t>information</w:t>
      </w:r>
      <w:r>
        <w:rPr>
          <w:color w:val="231F20"/>
          <w:spacing w:val="-14"/>
        </w:rPr>
        <w:t> </w:t>
      </w:r>
      <w:r>
        <w:rPr>
          <w:color w:val="231F20"/>
          <w:spacing w:val="-2"/>
        </w:rPr>
        <w:t>as</w:t>
      </w:r>
      <w:r>
        <w:rPr>
          <w:color w:val="231F20"/>
          <w:spacing w:val="-15"/>
        </w:rPr>
        <w:t> </w:t>
      </w:r>
      <w:r>
        <w:rPr>
          <w:color w:val="231F20"/>
          <w:spacing w:val="-2"/>
        </w:rPr>
        <w:t>advised </w:t>
      </w:r>
      <w:r>
        <w:rPr>
          <w:color w:val="231F20"/>
        </w:rPr>
        <w:t>by Barnett Waddingham, the Council’s Pensions Actuary, which</w:t>
      </w:r>
      <w:r>
        <w:rPr>
          <w:color w:val="231F20"/>
          <w:spacing w:val="-9"/>
        </w:rPr>
        <w:t> </w:t>
      </w:r>
      <w:r>
        <w:rPr>
          <w:color w:val="231F20"/>
        </w:rPr>
        <w:t>have</w:t>
      </w:r>
      <w:r>
        <w:rPr>
          <w:color w:val="231F20"/>
          <w:spacing w:val="-9"/>
        </w:rPr>
        <w:t> </w:t>
      </w:r>
      <w:r>
        <w:rPr>
          <w:color w:val="231F20"/>
        </w:rPr>
        <w:t>reduced</w:t>
      </w:r>
      <w:r>
        <w:rPr>
          <w:color w:val="231F20"/>
          <w:spacing w:val="-9"/>
        </w:rPr>
        <w:t> </w:t>
      </w:r>
      <w:r>
        <w:rPr>
          <w:color w:val="231F20"/>
        </w:rPr>
        <w:t>the</w:t>
      </w:r>
      <w:r>
        <w:rPr>
          <w:color w:val="231F20"/>
          <w:spacing w:val="-9"/>
        </w:rPr>
        <w:t> </w:t>
      </w:r>
      <w:r>
        <w:rPr>
          <w:color w:val="231F20"/>
        </w:rPr>
        <w:t>pension </w:t>
      </w:r>
      <w:r>
        <w:rPr>
          <w:color w:val="231F20"/>
          <w:spacing w:val="-2"/>
        </w:rPr>
        <w:t>liability.</w:t>
      </w:r>
    </w:p>
    <w:p>
      <w:pPr>
        <w:spacing w:after="0" w:line="225" w:lineRule="auto"/>
        <w:sectPr>
          <w:type w:val="continuous"/>
          <w:pgSz w:w="11910" w:h="16840"/>
          <w:pgMar w:header="377" w:footer="367" w:top="260" w:bottom="0" w:left="0" w:right="0"/>
          <w:cols w:num="3" w:equalWidth="0">
            <w:col w:w="4000" w:space="40"/>
            <w:col w:w="3591" w:space="39"/>
            <w:col w:w="4240"/>
          </w:cols>
        </w:sectPr>
      </w:pPr>
    </w:p>
    <w:p>
      <w:pPr>
        <w:pStyle w:val="BodyText"/>
        <w:spacing w:before="8"/>
        <w:rPr>
          <w:sz w:val="18"/>
        </w:rPr>
      </w:pPr>
    </w:p>
    <w:p>
      <w:pPr>
        <w:pStyle w:val="Heading2"/>
        <w:numPr>
          <w:ilvl w:val="0"/>
          <w:numId w:val="3"/>
        </w:numPr>
        <w:tabs>
          <w:tab w:pos="1593" w:val="left" w:leader="none"/>
        </w:tabs>
        <w:spacing w:line="240" w:lineRule="auto" w:before="100" w:after="0"/>
        <w:ind w:left="1593" w:right="0" w:hanging="1029"/>
        <w:jc w:val="left"/>
      </w:pPr>
      <w:r>
        <w:rPr/>
        <w:pict>
          <v:rect style="position:absolute;margin-left:0pt;margin-top:41.681263pt;width:595.275pt;height:56.693pt;mso-position-horizontal-relative:page;mso-position-vertical-relative:paragraph;z-index:-16856576" id="docshape227" filled="true" fillcolor="#c9cbd4" stroked="false">
            <v:fill type="solid"/>
            <w10:wrap type="none"/>
          </v:rect>
        </w:pict>
      </w:r>
      <w:r>
        <w:rPr>
          <w:color w:val="3B5673"/>
          <w:spacing w:val="16"/>
        </w:rPr>
        <w:t>OUTLOOK</w:t>
      </w:r>
    </w:p>
    <w:p>
      <w:pPr>
        <w:pStyle w:val="BodyText"/>
        <w:rPr>
          <w:sz w:val="20"/>
        </w:rPr>
      </w:pPr>
    </w:p>
    <w:p>
      <w:pPr>
        <w:pStyle w:val="BodyText"/>
        <w:rPr>
          <w:sz w:val="20"/>
        </w:rPr>
      </w:pPr>
    </w:p>
    <w:p>
      <w:pPr>
        <w:pStyle w:val="BodyText"/>
        <w:rPr>
          <w:sz w:val="20"/>
        </w:rPr>
      </w:pPr>
    </w:p>
    <w:p>
      <w:pPr>
        <w:pStyle w:val="BodyText"/>
        <w:spacing w:before="11"/>
        <w:rPr>
          <w:sz w:val="27"/>
        </w:rPr>
      </w:pPr>
    </w:p>
    <w:p>
      <w:pPr>
        <w:spacing w:after="0"/>
        <w:rPr>
          <w:sz w:val="27"/>
        </w:rPr>
        <w:sectPr>
          <w:pgSz w:w="11910" w:h="16840"/>
          <w:pgMar w:header="377" w:footer="367" w:top="560" w:bottom="560" w:left="0" w:right="0"/>
        </w:sectPr>
      </w:pPr>
    </w:p>
    <w:p>
      <w:pPr>
        <w:pStyle w:val="Heading3"/>
      </w:pPr>
      <w:r>
        <w:rPr>
          <w:color w:val="3B5673"/>
        </w:rPr>
        <w:t>BUDGETS</w:t>
      </w:r>
      <w:r>
        <w:rPr>
          <w:color w:val="3B5673"/>
          <w:spacing w:val="41"/>
        </w:rPr>
        <w:t> </w:t>
      </w:r>
      <w:r>
        <w:rPr>
          <w:color w:val="3B5673"/>
        </w:rPr>
        <w:t>AND</w:t>
      </w:r>
      <w:r>
        <w:rPr>
          <w:color w:val="3B5673"/>
          <w:spacing w:val="41"/>
        </w:rPr>
        <w:t> </w:t>
      </w:r>
      <w:r>
        <w:rPr>
          <w:color w:val="3B5673"/>
          <w:spacing w:val="-2"/>
        </w:rPr>
        <w:t>FUNDING</w:t>
      </w:r>
    </w:p>
    <w:p>
      <w:pPr>
        <w:pStyle w:val="BodyText"/>
        <w:spacing w:line="225" w:lineRule="auto" w:before="6"/>
        <w:ind w:left="566" w:right="226"/>
      </w:pPr>
      <w:r>
        <w:rPr>
          <w:color w:val="231F20"/>
        </w:rPr>
        <w:t>There</w:t>
      </w:r>
      <w:r>
        <w:rPr>
          <w:color w:val="231F20"/>
          <w:spacing w:val="-6"/>
        </w:rPr>
        <w:t> </w:t>
      </w:r>
      <w:r>
        <w:rPr>
          <w:color w:val="231F20"/>
        </w:rPr>
        <w:t>is</w:t>
      </w:r>
      <w:r>
        <w:rPr>
          <w:color w:val="231F20"/>
          <w:spacing w:val="-7"/>
        </w:rPr>
        <w:t> </w:t>
      </w:r>
      <w:r>
        <w:rPr>
          <w:color w:val="231F20"/>
        </w:rPr>
        <w:t>significant</w:t>
      </w:r>
      <w:r>
        <w:rPr>
          <w:color w:val="231F20"/>
          <w:spacing w:val="-7"/>
        </w:rPr>
        <w:t> </w:t>
      </w:r>
      <w:r>
        <w:rPr>
          <w:color w:val="231F20"/>
        </w:rPr>
        <w:t>uncertainty</w:t>
      </w:r>
      <w:r>
        <w:rPr>
          <w:color w:val="231F20"/>
          <w:spacing w:val="-6"/>
        </w:rPr>
        <w:t> </w:t>
      </w:r>
      <w:r>
        <w:rPr>
          <w:color w:val="231F20"/>
        </w:rPr>
        <w:t>about</w:t>
      </w:r>
      <w:r>
        <w:rPr>
          <w:color w:val="231F20"/>
          <w:spacing w:val="-6"/>
        </w:rPr>
        <w:t> </w:t>
      </w:r>
      <w:r>
        <w:rPr>
          <w:color w:val="231F20"/>
        </w:rPr>
        <w:t>the</w:t>
      </w:r>
      <w:r>
        <w:rPr>
          <w:color w:val="231F20"/>
          <w:spacing w:val="-6"/>
        </w:rPr>
        <w:t> </w:t>
      </w:r>
      <w:r>
        <w:rPr>
          <w:color w:val="231F20"/>
        </w:rPr>
        <w:t>level of funding the Council will receive beyond 2023/24. In the 2023/24 Local Government Finance Settlement it was stated that Local</w:t>
      </w:r>
    </w:p>
    <w:p>
      <w:pPr>
        <w:pStyle w:val="BodyText"/>
        <w:spacing w:line="294" w:lineRule="exact"/>
        <w:ind w:left="566"/>
      </w:pPr>
      <w:r>
        <w:rPr>
          <w:color w:val="231F20"/>
        </w:rPr>
        <w:t>Government</w:t>
      </w:r>
      <w:r>
        <w:rPr>
          <w:color w:val="231F20"/>
          <w:spacing w:val="-7"/>
        </w:rPr>
        <w:t> </w:t>
      </w:r>
      <w:r>
        <w:rPr>
          <w:color w:val="231F20"/>
        </w:rPr>
        <w:t>Funding</w:t>
      </w:r>
      <w:r>
        <w:rPr>
          <w:color w:val="231F20"/>
          <w:spacing w:val="-5"/>
        </w:rPr>
        <w:t> </w:t>
      </w:r>
      <w:r>
        <w:rPr>
          <w:color w:val="231F20"/>
        </w:rPr>
        <w:t>Reform</w:t>
      </w:r>
      <w:r>
        <w:rPr>
          <w:color w:val="231F20"/>
          <w:spacing w:val="-5"/>
        </w:rPr>
        <w:t> </w:t>
      </w:r>
      <w:r>
        <w:rPr>
          <w:color w:val="231F20"/>
        </w:rPr>
        <w:t>would</w:t>
      </w:r>
      <w:r>
        <w:rPr>
          <w:color w:val="231F20"/>
          <w:spacing w:val="-5"/>
        </w:rPr>
        <w:t> </w:t>
      </w:r>
      <w:r>
        <w:rPr>
          <w:color w:val="231F20"/>
        </w:rPr>
        <w:t>not</w:t>
      </w:r>
      <w:r>
        <w:rPr>
          <w:color w:val="231F20"/>
          <w:spacing w:val="-5"/>
        </w:rPr>
        <w:t> </w:t>
      </w:r>
      <w:r>
        <w:rPr>
          <w:color w:val="231F20"/>
        </w:rPr>
        <w:t>now</w:t>
      </w:r>
      <w:r>
        <w:rPr>
          <w:color w:val="231F20"/>
          <w:spacing w:val="-4"/>
        </w:rPr>
        <w:t> take</w:t>
      </w:r>
    </w:p>
    <w:p>
      <w:pPr>
        <w:pStyle w:val="BodyText"/>
        <w:spacing w:line="310" w:lineRule="exact"/>
        <w:ind w:left="566"/>
      </w:pPr>
      <w:r>
        <w:rPr>
          <w:color w:val="231F20"/>
        </w:rPr>
        <w:t>place</w:t>
      </w:r>
      <w:r>
        <w:rPr>
          <w:color w:val="231F20"/>
          <w:spacing w:val="-2"/>
        </w:rPr>
        <w:t> </w:t>
      </w:r>
      <w:r>
        <w:rPr>
          <w:color w:val="231F20"/>
        </w:rPr>
        <w:t>until</w:t>
      </w:r>
      <w:r>
        <w:rPr>
          <w:color w:val="231F20"/>
          <w:spacing w:val="-1"/>
        </w:rPr>
        <w:t> </w:t>
      </w:r>
      <w:r>
        <w:rPr>
          <w:color w:val="231F20"/>
        </w:rPr>
        <w:t>2025/26</w:t>
      </w:r>
      <w:r>
        <w:rPr>
          <w:color w:val="231F20"/>
          <w:spacing w:val="-2"/>
        </w:rPr>
        <w:t> </w:t>
      </w:r>
      <w:r>
        <w:rPr>
          <w:color w:val="231F20"/>
        </w:rPr>
        <w:t>at</w:t>
      </w:r>
      <w:r>
        <w:rPr>
          <w:color w:val="231F20"/>
          <w:spacing w:val="-1"/>
        </w:rPr>
        <w:t> </w:t>
      </w:r>
      <w:r>
        <w:rPr>
          <w:color w:val="231F20"/>
        </w:rPr>
        <w:t>the</w:t>
      </w:r>
      <w:r>
        <w:rPr>
          <w:color w:val="231F20"/>
          <w:spacing w:val="-1"/>
        </w:rPr>
        <w:t> </w:t>
      </w:r>
      <w:r>
        <w:rPr>
          <w:color w:val="231F20"/>
          <w:spacing w:val="-2"/>
        </w:rPr>
        <w:t>earliest.</w:t>
      </w:r>
    </w:p>
    <w:p>
      <w:pPr>
        <w:pStyle w:val="BodyText"/>
        <w:spacing w:before="4"/>
        <w:rPr>
          <w:sz w:val="22"/>
        </w:rPr>
      </w:pPr>
    </w:p>
    <w:p>
      <w:pPr>
        <w:pStyle w:val="BodyText"/>
        <w:spacing w:line="225" w:lineRule="auto"/>
        <w:ind w:left="566" w:right="235"/>
        <w:jc w:val="both"/>
      </w:pPr>
      <w:r>
        <w:rPr>
          <w:color w:val="231F20"/>
        </w:rPr>
        <w:t>This</w:t>
      </w:r>
      <w:r>
        <w:rPr>
          <w:color w:val="231F20"/>
          <w:spacing w:val="-2"/>
        </w:rPr>
        <w:t> </w:t>
      </w:r>
      <w:r>
        <w:rPr>
          <w:color w:val="231F20"/>
        </w:rPr>
        <w:t>gives</w:t>
      </w:r>
      <w:r>
        <w:rPr>
          <w:color w:val="231F20"/>
          <w:spacing w:val="-2"/>
        </w:rPr>
        <w:t> </w:t>
      </w:r>
      <w:r>
        <w:rPr>
          <w:color w:val="231F20"/>
        </w:rPr>
        <w:t>significant</w:t>
      </w:r>
      <w:r>
        <w:rPr>
          <w:color w:val="231F20"/>
          <w:spacing w:val="-3"/>
        </w:rPr>
        <w:t> </w:t>
      </w:r>
      <w:r>
        <w:rPr>
          <w:color w:val="231F20"/>
        </w:rPr>
        <w:t>uncertainty</w:t>
      </w:r>
      <w:r>
        <w:rPr>
          <w:color w:val="231F20"/>
          <w:spacing w:val="-2"/>
        </w:rPr>
        <w:t> </w:t>
      </w:r>
      <w:r>
        <w:rPr>
          <w:color w:val="231F20"/>
        </w:rPr>
        <w:t>to</w:t>
      </w:r>
      <w:r>
        <w:rPr>
          <w:color w:val="231F20"/>
          <w:spacing w:val="-2"/>
        </w:rPr>
        <w:t> </w:t>
      </w:r>
      <w:r>
        <w:rPr>
          <w:color w:val="231F20"/>
        </w:rPr>
        <w:t>Council’s</w:t>
      </w:r>
      <w:r>
        <w:rPr>
          <w:color w:val="231F20"/>
          <w:spacing w:val="-3"/>
        </w:rPr>
        <w:t> </w:t>
      </w:r>
      <w:r>
        <w:rPr>
          <w:color w:val="231F20"/>
        </w:rPr>
        <w:t>in respect</w:t>
      </w:r>
      <w:r>
        <w:rPr>
          <w:color w:val="231F20"/>
          <w:spacing w:val="-5"/>
        </w:rPr>
        <w:t> </w:t>
      </w:r>
      <w:r>
        <w:rPr>
          <w:color w:val="231F20"/>
        </w:rPr>
        <w:t>of</w:t>
      </w:r>
      <w:r>
        <w:rPr>
          <w:color w:val="231F20"/>
          <w:spacing w:val="-5"/>
        </w:rPr>
        <w:t> </w:t>
      </w:r>
      <w:r>
        <w:rPr>
          <w:color w:val="231F20"/>
        </w:rPr>
        <w:t>their</w:t>
      </w:r>
      <w:r>
        <w:rPr>
          <w:color w:val="231F20"/>
          <w:spacing w:val="-5"/>
        </w:rPr>
        <w:t> </w:t>
      </w:r>
      <w:r>
        <w:rPr>
          <w:color w:val="231F20"/>
        </w:rPr>
        <w:t>ability</w:t>
      </w:r>
      <w:r>
        <w:rPr>
          <w:color w:val="231F20"/>
          <w:spacing w:val="-5"/>
        </w:rPr>
        <w:t> </w:t>
      </w:r>
      <w:r>
        <w:rPr>
          <w:color w:val="231F20"/>
        </w:rPr>
        <w:t>to</w:t>
      </w:r>
      <w:r>
        <w:rPr>
          <w:color w:val="231F20"/>
          <w:spacing w:val="-5"/>
        </w:rPr>
        <w:t> </w:t>
      </w:r>
      <w:r>
        <w:rPr>
          <w:color w:val="231F20"/>
        </w:rPr>
        <w:t>plan</w:t>
      </w:r>
      <w:r>
        <w:rPr>
          <w:color w:val="231F20"/>
          <w:spacing w:val="-5"/>
        </w:rPr>
        <w:t> </w:t>
      </w:r>
      <w:r>
        <w:rPr>
          <w:color w:val="231F20"/>
        </w:rPr>
        <w:t>financially</w:t>
      </w:r>
      <w:r>
        <w:rPr>
          <w:color w:val="231F20"/>
          <w:spacing w:val="-5"/>
        </w:rPr>
        <w:t> </w:t>
      </w:r>
      <w:r>
        <w:rPr>
          <w:color w:val="231F20"/>
        </w:rPr>
        <w:t>for</w:t>
      </w:r>
      <w:r>
        <w:rPr>
          <w:color w:val="231F20"/>
          <w:spacing w:val="-5"/>
        </w:rPr>
        <w:t> </w:t>
      </w:r>
      <w:r>
        <w:rPr>
          <w:color w:val="231F20"/>
        </w:rPr>
        <w:t>the medium term.</w:t>
      </w:r>
    </w:p>
    <w:p>
      <w:pPr>
        <w:pStyle w:val="BodyText"/>
        <w:spacing w:before="7"/>
        <w:rPr>
          <w:sz w:val="22"/>
        </w:rPr>
      </w:pPr>
    </w:p>
    <w:p>
      <w:pPr>
        <w:pStyle w:val="BodyText"/>
        <w:spacing w:line="225" w:lineRule="auto"/>
        <w:ind w:left="566" w:right="67"/>
      </w:pPr>
      <w:r>
        <w:rPr>
          <w:color w:val="231F20"/>
        </w:rPr>
        <w:t>It</w:t>
      </w:r>
      <w:r>
        <w:rPr>
          <w:color w:val="231F20"/>
          <w:spacing w:val="-5"/>
        </w:rPr>
        <w:t> </w:t>
      </w:r>
      <w:r>
        <w:rPr>
          <w:color w:val="231F20"/>
        </w:rPr>
        <w:t>is</w:t>
      </w:r>
      <w:r>
        <w:rPr>
          <w:color w:val="231F20"/>
          <w:spacing w:val="-5"/>
        </w:rPr>
        <w:t> </w:t>
      </w:r>
      <w:r>
        <w:rPr>
          <w:color w:val="231F20"/>
        </w:rPr>
        <w:t>anticipated</w:t>
      </w:r>
      <w:r>
        <w:rPr>
          <w:color w:val="231F20"/>
          <w:spacing w:val="-4"/>
        </w:rPr>
        <w:t> </w:t>
      </w:r>
      <w:r>
        <w:rPr>
          <w:color w:val="231F20"/>
        </w:rPr>
        <w:t>that</w:t>
      </w:r>
      <w:r>
        <w:rPr>
          <w:color w:val="231F20"/>
          <w:spacing w:val="-4"/>
        </w:rPr>
        <w:t> </w:t>
      </w:r>
      <w:r>
        <w:rPr>
          <w:color w:val="231F20"/>
        </w:rPr>
        <w:t>a</w:t>
      </w:r>
      <w:r>
        <w:rPr>
          <w:color w:val="231F20"/>
          <w:spacing w:val="-4"/>
        </w:rPr>
        <w:t> </w:t>
      </w:r>
      <w:r>
        <w:rPr>
          <w:color w:val="231F20"/>
        </w:rPr>
        <w:t>key</w:t>
      </w:r>
      <w:r>
        <w:rPr>
          <w:color w:val="231F20"/>
          <w:spacing w:val="-5"/>
        </w:rPr>
        <w:t> </w:t>
      </w:r>
      <w:r>
        <w:rPr>
          <w:color w:val="231F20"/>
        </w:rPr>
        <w:t>outcome</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above will be a redistribution of resources to address the national social care pressure in both Adults’ and Children’s services and as District Councils do not provide these services, District Councils’ resources are expected to reduce.</w:t>
      </w:r>
    </w:p>
    <w:p>
      <w:pPr>
        <w:pStyle w:val="BodyText"/>
        <w:spacing w:before="7"/>
        <w:rPr>
          <w:sz w:val="22"/>
        </w:rPr>
      </w:pPr>
    </w:p>
    <w:p>
      <w:pPr>
        <w:pStyle w:val="BodyText"/>
        <w:spacing w:line="225" w:lineRule="auto"/>
        <w:ind w:left="566" w:right="154"/>
      </w:pPr>
      <w:r>
        <w:rPr>
          <w:color w:val="231F20"/>
        </w:rPr>
        <w:t>Ashfield District Council, like most Councils, receives support from Local Government Futures</w:t>
      </w:r>
      <w:r>
        <w:rPr>
          <w:color w:val="231F20"/>
          <w:spacing w:val="-7"/>
        </w:rPr>
        <w:t> </w:t>
      </w:r>
      <w:r>
        <w:rPr>
          <w:color w:val="231F20"/>
        </w:rPr>
        <w:t>(LG</w:t>
      </w:r>
      <w:r>
        <w:rPr>
          <w:color w:val="231F20"/>
          <w:spacing w:val="-7"/>
        </w:rPr>
        <w:t> </w:t>
      </w:r>
      <w:r>
        <w:rPr>
          <w:color w:val="231F20"/>
        </w:rPr>
        <w:t>Futures)</w:t>
      </w:r>
      <w:r>
        <w:rPr>
          <w:color w:val="231F20"/>
          <w:spacing w:val="-7"/>
        </w:rPr>
        <w:t> </w:t>
      </w:r>
      <w:r>
        <w:rPr>
          <w:color w:val="231F20"/>
        </w:rPr>
        <w:t>and</w:t>
      </w:r>
      <w:r>
        <w:rPr>
          <w:color w:val="231F20"/>
          <w:spacing w:val="-7"/>
        </w:rPr>
        <w:t> </w:t>
      </w:r>
      <w:r>
        <w:rPr>
          <w:color w:val="231F20"/>
        </w:rPr>
        <w:t>has</w:t>
      </w:r>
      <w:r>
        <w:rPr>
          <w:color w:val="231F20"/>
          <w:spacing w:val="-7"/>
        </w:rPr>
        <w:t> </w:t>
      </w:r>
      <w:r>
        <w:rPr>
          <w:color w:val="231F20"/>
        </w:rPr>
        <w:t>used</w:t>
      </w:r>
      <w:r>
        <w:rPr>
          <w:color w:val="231F20"/>
          <w:spacing w:val="-7"/>
        </w:rPr>
        <w:t> </w:t>
      </w:r>
      <w:r>
        <w:rPr>
          <w:color w:val="231F20"/>
        </w:rPr>
        <w:t>their</w:t>
      </w:r>
      <w:r>
        <w:rPr>
          <w:color w:val="231F20"/>
          <w:spacing w:val="-7"/>
        </w:rPr>
        <w:t> </w:t>
      </w:r>
      <w:r>
        <w:rPr>
          <w:color w:val="231F20"/>
        </w:rPr>
        <w:t>resource forecasting model and the Council’s own forecast expenditure requirements to estimate the anticipated funding gap for the next four financial years. Notwithstanding the uncertainty</w:t>
      </w:r>
    </w:p>
    <w:p>
      <w:pPr>
        <w:pStyle w:val="BodyText"/>
        <w:spacing w:line="225" w:lineRule="auto"/>
        <w:ind w:left="566" w:right="4"/>
      </w:pPr>
      <w:r>
        <w:rPr>
          <w:color w:val="231F20"/>
        </w:rPr>
        <w:t>brought</w:t>
      </w:r>
      <w:r>
        <w:rPr>
          <w:color w:val="231F20"/>
          <w:spacing w:val="-5"/>
        </w:rPr>
        <w:t> </w:t>
      </w:r>
      <w:r>
        <w:rPr>
          <w:color w:val="231F20"/>
        </w:rPr>
        <w:t>about</w:t>
      </w:r>
      <w:r>
        <w:rPr>
          <w:color w:val="231F20"/>
          <w:spacing w:val="-5"/>
        </w:rPr>
        <w:t> </w:t>
      </w:r>
      <w:r>
        <w:rPr>
          <w:color w:val="231F20"/>
        </w:rPr>
        <w:t>by</w:t>
      </w:r>
      <w:r>
        <w:rPr>
          <w:color w:val="231F20"/>
          <w:spacing w:val="-5"/>
        </w:rPr>
        <w:t> </w:t>
      </w:r>
      <w:r>
        <w:rPr>
          <w:color w:val="231F20"/>
        </w:rPr>
        <w:t>the</w:t>
      </w:r>
      <w:r>
        <w:rPr>
          <w:color w:val="231F20"/>
          <w:spacing w:val="-5"/>
        </w:rPr>
        <w:t> </w:t>
      </w:r>
      <w:r>
        <w:rPr>
          <w:color w:val="231F20"/>
        </w:rPr>
        <w:t>delay</w:t>
      </w:r>
      <w:r>
        <w:rPr>
          <w:color w:val="231F20"/>
          <w:spacing w:val="-5"/>
        </w:rPr>
        <w:t> </w:t>
      </w:r>
      <w:r>
        <w:rPr>
          <w:color w:val="231F20"/>
        </w:rPr>
        <w:t>of</w:t>
      </w:r>
      <w:r>
        <w:rPr>
          <w:color w:val="231F20"/>
          <w:spacing w:val="-5"/>
        </w:rPr>
        <w:t> </w:t>
      </w:r>
      <w:r>
        <w:rPr>
          <w:color w:val="231F20"/>
        </w:rPr>
        <w:t>Local</w:t>
      </w:r>
      <w:r>
        <w:rPr>
          <w:color w:val="231F20"/>
          <w:spacing w:val="-5"/>
        </w:rPr>
        <w:t> </w:t>
      </w:r>
      <w:r>
        <w:rPr>
          <w:color w:val="231F20"/>
        </w:rPr>
        <w:t>Government Funding Reform, the estimated cumulative funding gap from 2024/25 to 2026/27 as shown in the March 2023 MTFS updated position</w:t>
      </w:r>
    </w:p>
    <w:p>
      <w:pPr>
        <w:pStyle w:val="BodyText"/>
        <w:spacing w:line="294" w:lineRule="exact"/>
        <w:ind w:left="566"/>
      </w:pPr>
      <w:r>
        <w:rPr>
          <w:color w:val="231F20"/>
        </w:rPr>
        <w:t>was</w:t>
      </w:r>
      <w:r>
        <w:rPr>
          <w:color w:val="231F20"/>
          <w:spacing w:val="-5"/>
        </w:rPr>
        <w:t> </w:t>
      </w:r>
      <w:r>
        <w:rPr>
          <w:color w:val="231F20"/>
        </w:rPr>
        <w:t>£5.226m</w:t>
      </w:r>
      <w:r>
        <w:rPr>
          <w:color w:val="231F20"/>
          <w:spacing w:val="-2"/>
        </w:rPr>
        <w:t> </w:t>
      </w:r>
      <w:r>
        <w:rPr>
          <w:color w:val="231F20"/>
        </w:rPr>
        <w:t>with</w:t>
      </w:r>
      <w:r>
        <w:rPr>
          <w:color w:val="231F20"/>
          <w:spacing w:val="-2"/>
        </w:rPr>
        <w:t> </w:t>
      </w:r>
      <w:r>
        <w:rPr>
          <w:color w:val="231F20"/>
        </w:rPr>
        <w:t>the</w:t>
      </w:r>
      <w:r>
        <w:rPr>
          <w:color w:val="231F20"/>
          <w:spacing w:val="-3"/>
        </w:rPr>
        <w:t> </w:t>
      </w:r>
      <w:r>
        <w:rPr>
          <w:color w:val="231F20"/>
        </w:rPr>
        <w:t>largest</w:t>
      </w:r>
      <w:r>
        <w:rPr>
          <w:color w:val="231F20"/>
          <w:spacing w:val="-2"/>
        </w:rPr>
        <w:t> </w:t>
      </w:r>
      <w:r>
        <w:rPr>
          <w:color w:val="231F20"/>
        </w:rPr>
        <w:t>proportion</w:t>
      </w:r>
      <w:r>
        <w:rPr>
          <w:color w:val="231F20"/>
          <w:spacing w:val="-2"/>
        </w:rPr>
        <w:t> </w:t>
      </w:r>
      <w:r>
        <w:rPr>
          <w:color w:val="231F20"/>
          <w:spacing w:val="-5"/>
        </w:rPr>
        <w:t>of</w:t>
      </w:r>
    </w:p>
    <w:p>
      <w:pPr>
        <w:pStyle w:val="BodyText"/>
        <w:spacing w:line="225" w:lineRule="auto" w:before="6"/>
        <w:ind w:left="566"/>
      </w:pPr>
      <w:r>
        <w:rPr>
          <w:color w:val="231F20"/>
        </w:rPr>
        <w:t>this funding gap (£4.151m) expected to be in 2025/26,</w:t>
      </w:r>
      <w:r>
        <w:rPr>
          <w:color w:val="231F20"/>
          <w:spacing w:val="-5"/>
        </w:rPr>
        <w:t> </w:t>
      </w:r>
      <w:r>
        <w:rPr>
          <w:color w:val="231F20"/>
        </w:rPr>
        <w:t>assuming</w:t>
      </w:r>
      <w:r>
        <w:rPr>
          <w:color w:val="231F20"/>
          <w:spacing w:val="-4"/>
        </w:rPr>
        <w:t> </w:t>
      </w:r>
      <w:r>
        <w:rPr>
          <w:color w:val="231F20"/>
        </w:rPr>
        <w:t>this</w:t>
      </w:r>
      <w:r>
        <w:rPr>
          <w:color w:val="231F20"/>
          <w:spacing w:val="-4"/>
        </w:rPr>
        <w:t> </w:t>
      </w:r>
      <w:r>
        <w:rPr>
          <w:color w:val="231F20"/>
        </w:rPr>
        <w:t>is</w:t>
      </w:r>
      <w:r>
        <w:rPr>
          <w:color w:val="231F20"/>
          <w:spacing w:val="-5"/>
        </w:rPr>
        <w:t> </w:t>
      </w:r>
      <w:r>
        <w:rPr>
          <w:color w:val="231F20"/>
        </w:rPr>
        <w:t>the</w:t>
      </w:r>
      <w:r>
        <w:rPr>
          <w:color w:val="231F20"/>
          <w:spacing w:val="-4"/>
        </w:rPr>
        <w:t> </w:t>
      </w:r>
      <w:r>
        <w:rPr>
          <w:color w:val="231F20"/>
        </w:rPr>
        <w:t>year</w:t>
      </w:r>
      <w:r>
        <w:rPr>
          <w:color w:val="231F20"/>
          <w:spacing w:val="-4"/>
        </w:rPr>
        <w:t> </w:t>
      </w:r>
      <w:r>
        <w:rPr>
          <w:color w:val="231F20"/>
        </w:rPr>
        <w:t>in</w:t>
      </w:r>
      <w:r>
        <w:rPr>
          <w:color w:val="231F20"/>
          <w:spacing w:val="-5"/>
        </w:rPr>
        <w:t> </w:t>
      </w:r>
      <w:r>
        <w:rPr>
          <w:color w:val="231F20"/>
        </w:rPr>
        <w:t>which</w:t>
      </w:r>
      <w:r>
        <w:rPr>
          <w:color w:val="231F20"/>
          <w:spacing w:val="-4"/>
        </w:rPr>
        <w:t> </w:t>
      </w:r>
      <w:r>
        <w:rPr>
          <w:color w:val="231F20"/>
        </w:rPr>
        <w:t>Local Government Funding Reform is implemented.</w:t>
      </w:r>
    </w:p>
    <w:p>
      <w:pPr>
        <w:pStyle w:val="BodyText"/>
        <w:spacing w:before="7"/>
        <w:rPr>
          <w:sz w:val="22"/>
        </w:rPr>
      </w:pPr>
    </w:p>
    <w:p>
      <w:pPr>
        <w:pStyle w:val="BodyText"/>
        <w:spacing w:line="225" w:lineRule="auto"/>
        <w:ind w:left="566" w:right="67"/>
      </w:pPr>
      <w:r>
        <w:rPr>
          <w:color w:val="231F20"/>
        </w:rPr>
        <w:t>As set out in the Council’s 2023/24 Budget Setting Report, robust plans are in place to identify options and implement actions to address</w:t>
      </w:r>
      <w:r>
        <w:rPr>
          <w:color w:val="231F20"/>
          <w:spacing w:val="-7"/>
        </w:rPr>
        <w:t> </w:t>
      </w:r>
      <w:r>
        <w:rPr>
          <w:color w:val="231F20"/>
        </w:rPr>
        <w:t>the</w:t>
      </w:r>
      <w:r>
        <w:rPr>
          <w:color w:val="231F20"/>
          <w:spacing w:val="-7"/>
        </w:rPr>
        <w:t> </w:t>
      </w:r>
      <w:r>
        <w:rPr>
          <w:color w:val="231F20"/>
        </w:rPr>
        <w:t>future</w:t>
      </w:r>
      <w:r>
        <w:rPr>
          <w:color w:val="231F20"/>
          <w:spacing w:val="-7"/>
        </w:rPr>
        <w:t> </w:t>
      </w:r>
      <w:r>
        <w:rPr>
          <w:color w:val="231F20"/>
        </w:rPr>
        <w:t>estimated</w:t>
      </w:r>
      <w:r>
        <w:rPr>
          <w:color w:val="231F20"/>
          <w:spacing w:val="-7"/>
        </w:rPr>
        <w:t> </w:t>
      </w:r>
      <w:r>
        <w:rPr>
          <w:color w:val="231F20"/>
        </w:rPr>
        <w:t>financial</w:t>
      </w:r>
      <w:r>
        <w:rPr>
          <w:color w:val="231F20"/>
          <w:spacing w:val="-7"/>
        </w:rPr>
        <w:t> </w:t>
      </w:r>
      <w:r>
        <w:rPr>
          <w:color w:val="231F20"/>
        </w:rPr>
        <w:t>challenge.</w:t>
      </w:r>
    </w:p>
    <w:p>
      <w:pPr>
        <w:pStyle w:val="BodyText"/>
        <w:spacing w:line="225" w:lineRule="auto" w:before="116"/>
        <w:ind w:left="243" w:right="737"/>
      </w:pPr>
      <w:r>
        <w:rPr/>
        <w:br w:type="column"/>
      </w:r>
      <w:r>
        <w:rPr>
          <w:color w:val="231F20"/>
        </w:rPr>
        <w:t>This includes a line by line review of all of the Council’s</w:t>
      </w:r>
      <w:r>
        <w:rPr>
          <w:color w:val="231F20"/>
          <w:spacing w:val="-15"/>
        </w:rPr>
        <w:t> </w:t>
      </w:r>
      <w:r>
        <w:rPr>
          <w:color w:val="231F20"/>
        </w:rPr>
        <w:t>budgets</w:t>
      </w:r>
      <w:r>
        <w:rPr>
          <w:color w:val="231F20"/>
          <w:spacing w:val="-15"/>
        </w:rPr>
        <w:t> </w:t>
      </w:r>
      <w:r>
        <w:rPr>
          <w:color w:val="231F20"/>
        </w:rPr>
        <w:t>and</w:t>
      </w:r>
      <w:r>
        <w:rPr>
          <w:color w:val="231F20"/>
          <w:spacing w:val="-15"/>
        </w:rPr>
        <w:t> </w:t>
      </w:r>
      <w:r>
        <w:rPr>
          <w:color w:val="231F20"/>
        </w:rPr>
        <w:t>Medium-Term</w:t>
      </w:r>
      <w:r>
        <w:rPr>
          <w:color w:val="231F20"/>
          <w:spacing w:val="-15"/>
        </w:rPr>
        <w:t> </w:t>
      </w:r>
      <w:r>
        <w:rPr>
          <w:color w:val="231F20"/>
        </w:rPr>
        <w:t>Financial Strategy (MTFS) assumptions; a review of</w:t>
      </w:r>
    </w:p>
    <w:p>
      <w:pPr>
        <w:pStyle w:val="BodyText"/>
        <w:spacing w:line="225" w:lineRule="auto"/>
        <w:ind w:left="243" w:right="1228"/>
      </w:pPr>
      <w:r>
        <w:rPr>
          <w:color w:val="231F20"/>
        </w:rPr>
        <w:t>fees and charges and income generating opportunities; a review of procurement</w:t>
      </w:r>
      <w:r>
        <w:rPr>
          <w:color w:val="231F20"/>
          <w:spacing w:val="40"/>
        </w:rPr>
        <w:t> </w:t>
      </w:r>
      <w:r>
        <w:rPr>
          <w:color w:val="231F20"/>
        </w:rPr>
        <w:t>and contracting arrangements; a review of services</w:t>
      </w:r>
      <w:r>
        <w:rPr>
          <w:color w:val="231F20"/>
          <w:spacing w:val="-8"/>
        </w:rPr>
        <w:t> </w:t>
      </w:r>
      <w:r>
        <w:rPr>
          <w:color w:val="231F20"/>
        </w:rPr>
        <w:t>and</w:t>
      </w:r>
      <w:r>
        <w:rPr>
          <w:color w:val="231F20"/>
          <w:spacing w:val="-7"/>
        </w:rPr>
        <w:t> </w:t>
      </w:r>
      <w:r>
        <w:rPr>
          <w:color w:val="231F20"/>
        </w:rPr>
        <w:t>future</w:t>
      </w:r>
      <w:r>
        <w:rPr>
          <w:color w:val="231F20"/>
          <w:spacing w:val="-7"/>
        </w:rPr>
        <w:t> </w:t>
      </w:r>
      <w:r>
        <w:rPr>
          <w:color w:val="231F20"/>
        </w:rPr>
        <w:t>service</w:t>
      </w:r>
      <w:r>
        <w:rPr>
          <w:color w:val="231F20"/>
          <w:spacing w:val="-8"/>
        </w:rPr>
        <w:t> </w:t>
      </w:r>
      <w:r>
        <w:rPr>
          <w:color w:val="231F20"/>
        </w:rPr>
        <w:t>delivery</w:t>
      </w:r>
      <w:r>
        <w:rPr>
          <w:color w:val="231F20"/>
          <w:spacing w:val="-7"/>
        </w:rPr>
        <w:t> </w:t>
      </w:r>
      <w:r>
        <w:rPr>
          <w:color w:val="231F20"/>
        </w:rPr>
        <w:t>options;</w:t>
      </w:r>
    </w:p>
    <w:p>
      <w:pPr>
        <w:pStyle w:val="BodyText"/>
        <w:spacing w:line="225" w:lineRule="auto"/>
        <w:ind w:left="243" w:right="546"/>
      </w:pPr>
      <w:r>
        <w:rPr/>
        <w:pict>
          <v:group style="position:absolute;margin-left:578.504028pt;margin-top:69.223167pt;width:16.8pt;height:192.8pt;mso-position-horizontal-relative:page;mso-position-vertical-relative:paragraph;z-index:15756800" id="docshapegroup228" coordorigin="11570,1384" coordsize="336,3856">
            <v:rect style="position:absolute;left:11570;top:4275;width:336;height:964" id="docshape229" filled="true" fillcolor="#f15d6b" stroked="false">
              <v:fill type="solid"/>
            </v:rect>
            <v:rect style="position:absolute;left:11570;top:3312;width:336;height:964" id="docshape230" filled="true" fillcolor="#fbac42" stroked="false">
              <v:fill type="solid"/>
            </v:rect>
            <v:rect style="position:absolute;left:11570;top:2348;width:336;height:964" id="docshape231" filled="true" fillcolor="#b78fc1" stroked="false">
              <v:fill type="solid"/>
            </v:rect>
            <v:rect style="position:absolute;left:11570;top:1384;width:336;height:964" id="docshape232" filled="true" fillcolor="#378372" stroked="false">
              <v:fill type="solid"/>
            </v:rect>
            <w10:wrap type="none"/>
          </v:group>
        </w:pict>
      </w:r>
      <w:r>
        <w:rPr>
          <w:color w:val="231F20"/>
        </w:rPr>
        <w:t>consideration of asset rationalisation potential and delivery of financial efficiencies from the investment</w:t>
      </w:r>
      <w:r>
        <w:rPr>
          <w:color w:val="231F20"/>
          <w:spacing w:val="-2"/>
        </w:rPr>
        <w:t> </w:t>
      </w:r>
      <w:r>
        <w:rPr>
          <w:color w:val="231F20"/>
        </w:rPr>
        <w:t>in</w:t>
      </w:r>
      <w:r>
        <w:rPr>
          <w:color w:val="231F20"/>
          <w:spacing w:val="-2"/>
        </w:rPr>
        <w:t> </w:t>
      </w:r>
      <w:r>
        <w:rPr>
          <w:color w:val="231F20"/>
        </w:rPr>
        <w:t>technology</w:t>
      </w:r>
      <w:r>
        <w:rPr>
          <w:color w:val="231F20"/>
          <w:spacing w:val="-1"/>
        </w:rPr>
        <w:t> </w:t>
      </w:r>
      <w:r>
        <w:rPr>
          <w:color w:val="231F20"/>
        </w:rPr>
        <w:t>via</w:t>
      </w:r>
      <w:r>
        <w:rPr>
          <w:color w:val="231F20"/>
          <w:spacing w:val="-1"/>
        </w:rPr>
        <w:t> </w:t>
      </w:r>
      <w:r>
        <w:rPr>
          <w:color w:val="231F20"/>
        </w:rPr>
        <w:t>the</w:t>
      </w:r>
      <w:r>
        <w:rPr>
          <w:color w:val="231F20"/>
          <w:spacing w:val="-1"/>
        </w:rPr>
        <w:t> </w:t>
      </w:r>
      <w:r>
        <w:rPr>
          <w:color w:val="231F20"/>
        </w:rPr>
        <w:t>Council’s</w:t>
      </w:r>
      <w:r>
        <w:rPr>
          <w:color w:val="231F20"/>
          <w:spacing w:val="-2"/>
        </w:rPr>
        <w:t> </w:t>
      </w:r>
      <w:r>
        <w:rPr>
          <w:color w:val="231F20"/>
        </w:rPr>
        <w:t>Digital Transformation</w:t>
      </w:r>
      <w:r>
        <w:rPr>
          <w:color w:val="231F20"/>
          <w:spacing w:val="-17"/>
        </w:rPr>
        <w:t> </w:t>
      </w:r>
      <w:r>
        <w:rPr>
          <w:color w:val="231F20"/>
        </w:rPr>
        <w:t>Strategy.</w:t>
      </w:r>
      <w:r>
        <w:rPr>
          <w:color w:val="231F20"/>
          <w:spacing w:val="-16"/>
        </w:rPr>
        <w:t> </w:t>
      </w:r>
      <w:r>
        <w:rPr>
          <w:color w:val="231F20"/>
        </w:rPr>
        <w:t>The</w:t>
      </w:r>
      <w:r>
        <w:rPr>
          <w:color w:val="231F20"/>
          <w:spacing w:val="-17"/>
        </w:rPr>
        <w:t> </w:t>
      </w:r>
      <w:r>
        <w:rPr>
          <w:color w:val="231F20"/>
        </w:rPr>
        <w:t>Strategic</w:t>
      </w:r>
      <w:r>
        <w:rPr>
          <w:color w:val="231F20"/>
          <w:spacing w:val="-16"/>
        </w:rPr>
        <w:t> </w:t>
      </w:r>
      <w:r>
        <w:rPr>
          <w:color w:val="231F20"/>
        </w:rPr>
        <w:t>Leadership Team and the Council’s Cabinet meet frequently to progress this work.</w:t>
      </w:r>
    </w:p>
    <w:p>
      <w:pPr>
        <w:pStyle w:val="BodyText"/>
        <w:spacing w:before="6"/>
        <w:rPr>
          <w:sz w:val="22"/>
        </w:rPr>
      </w:pPr>
    </w:p>
    <w:p>
      <w:pPr>
        <w:pStyle w:val="BodyText"/>
        <w:spacing w:line="225" w:lineRule="auto" w:before="1"/>
        <w:ind w:left="243" w:right="737"/>
      </w:pPr>
      <w:r>
        <w:rPr>
          <w:color w:val="231F20"/>
        </w:rPr>
        <w:t>The</w:t>
      </w:r>
      <w:r>
        <w:rPr>
          <w:color w:val="231F20"/>
          <w:spacing w:val="-4"/>
        </w:rPr>
        <w:t> </w:t>
      </w:r>
      <w:r>
        <w:rPr>
          <w:color w:val="231F20"/>
        </w:rPr>
        <w:t>Council</w:t>
      </w:r>
      <w:r>
        <w:rPr>
          <w:color w:val="231F20"/>
          <w:spacing w:val="-5"/>
        </w:rPr>
        <w:t> </w:t>
      </w:r>
      <w:r>
        <w:rPr>
          <w:color w:val="231F20"/>
        </w:rPr>
        <w:t>has</w:t>
      </w:r>
      <w:r>
        <w:rPr>
          <w:color w:val="231F20"/>
          <w:spacing w:val="-4"/>
        </w:rPr>
        <w:t> </w:t>
      </w:r>
      <w:r>
        <w:rPr>
          <w:color w:val="231F20"/>
        </w:rPr>
        <w:t>a</w:t>
      </w:r>
      <w:r>
        <w:rPr>
          <w:color w:val="231F20"/>
          <w:spacing w:val="-4"/>
        </w:rPr>
        <w:t> </w:t>
      </w:r>
      <w:r>
        <w:rPr>
          <w:color w:val="231F20"/>
        </w:rPr>
        <w:t>strong</w:t>
      </w:r>
      <w:r>
        <w:rPr>
          <w:color w:val="231F20"/>
          <w:spacing w:val="-5"/>
        </w:rPr>
        <w:t> </w:t>
      </w:r>
      <w:r>
        <w:rPr>
          <w:color w:val="231F20"/>
        </w:rPr>
        <w:t>track</w:t>
      </w:r>
      <w:r>
        <w:rPr>
          <w:color w:val="231F20"/>
          <w:spacing w:val="-4"/>
        </w:rPr>
        <w:t> </w:t>
      </w:r>
      <w:r>
        <w:rPr>
          <w:color w:val="231F20"/>
        </w:rPr>
        <w:t>record</w:t>
      </w:r>
      <w:r>
        <w:rPr>
          <w:color w:val="231F20"/>
          <w:spacing w:val="-4"/>
        </w:rPr>
        <w:t> </w:t>
      </w:r>
      <w:r>
        <w:rPr>
          <w:color w:val="231F20"/>
        </w:rPr>
        <w:t>of</w:t>
      </w:r>
      <w:r>
        <w:rPr>
          <w:color w:val="231F20"/>
          <w:spacing w:val="-4"/>
        </w:rPr>
        <w:t> </w:t>
      </w:r>
      <w:r>
        <w:rPr>
          <w:color w:val="231F20"/>
        </w:rPr>
        <w:t>setting a balanced and deliverable budget and this robust approach will continue with the future</w:t>
      </w:r>
    </w:p>
    <w:p>
      <w:pPr>
        <w:pStyle w:val="BodyText"/>
        <w:spacing w:line="294" w:lineRule="exact"/>
        <w:ind w:left="243"/>
      </w:pPr>
      <w:r>
        <w:rPr>
          <w:color w:val="231F20"/>
        </w:rPr>
        <w:t>development of the MTFS to ensure the </w:t>
      </w:r>
      <w:r>
        <w:rPr>
          <w:color w:val="231F20"/>
          <w:spacing w:val="-2"/>
        </w:rPr>
        <w:t>Council’s</w:t>
      </w:r>
    </w:p>
    <w:p>
      <w:pPr>
        <w:pStyle w:val="BodyText"/>
        <w:spacing w:line="310" w:lineRule="exact"/>
        <w:ind w:left="243"/>
      </w:pPr>
      <w:r>
        <w:rPr>
          <w:color w:val="231F20"/>
        </w:rPr>
        <w:t>ongoing</w:t>
      </w:r>
      <w:r>
        <w:rPr>
          <w:color w:val="231F20"/>
          <w:spacing w:val="-5"/>
        </w:rPr>
        <w:t> </w:t>
      </w:r>
      <w:r>
        <w:rPr>
          <w:color w:val="231F20"/>
        </w:rPr>
        <w:t>financial</w:t>
      </w:r>
      <w:r>
        <w:rPr>
          <w:color w:val="231F20"/>
          <w:spacing w:val="-4"/>
        </w:rPr>
        <w:t> </w:t>
      </w:r>
      <w:r>
        <w:rPr>
          <w:color w:val="231F20"/>
          <w:spacing w:val="-2"/>
        </w:rPr>
        <w:t>sustainability.</w:t>
      </w:r>
    </w:p>
    <w:p>
      <w:pPr>
        <w:pStyle w:val="BodyText"/>
        <w:spacing w:before="3"/>
        <w:rPr>
          <w:sz w:val="22"/>
        </w:rPr>
      </w:pPr>
    </w:p>
    <w:p>
      <w:pPr>
        <w:pStyle w:val="BodyText"/>
        <w:spacing w:line="225" w:lineRule="auto"/>
        <w:ind w:left="243" w:right="594"/>
      </w:pPr>
      <w:r>
        <w:rPr>
          <w:color w:val="231F20"/>
        </w:rPr>
        <w:t>The Medium-Term Financial Strategy will be updated</w:t>
      </w:r>
      <w:r>
        <w:rPr>
          <w:color w:val="231F20"/>
          <w:spacing w:val="-4"/>
        </w:rPr>
        <w:t> </w:t>
      </w:r>
      <w:r>
        <w:rPr>
          <w:color w:val="231F20"/>
        </w:rPr>
        <w:t>and</w:t>
      </w:r>
      <w:r>
        <w:rPr>
          <w:color w:val="231F20"/>
          <w:spacing w:val="-4"/>
        </w:rPr>
        <w:t> </w:t>
      </w:r>
      <w:r>
        <w:rPr>
          <w:color w:val="231F20"/>
        </w:rPr>
        <w:t>presented</w:t>
      </w:r>
      <w:r>
        <w:rPr>
          <w:color w:val="231F20"/>
          <w:spacing w:val="-4"/>
        </w:rPr>
        <w:t> </w:t>
      </w:r>
      <w:r>
        <w:rPr>
          <w:color w:val="231F20"/>
        </w:rPr>
        <w:t>to</w:t>
      </w:r>
      <w:r>
        <w:rPr>
          <w:color w:val="231F20"/>
          <w:spacing w:val="-4"/>
        </w:rPr>
        <w:t> </w:t>
      </w:r>
      <w:r>
        <w:rPr>
          <w:color w:val="231F20"/>
        </w:rPr>
        <w:t>Cabinet</w:t>
      </w:r>
      <w:r>
        <w:rPr>
          <w:color w:val="231F20"/>
          <w:spacing w:val="-5"/>
        </w:rPr>
        <w:t> </w:t>
      </w:r>
      <w:r>
        <w:rPr>
          <w:color w:val="231F20"/>
        </w:rPr>
        <w:t>as</w:t>
      </w:r>
      <w:r>
        <w:rPr>
          <w:color w:val="231F20"/>
          <w:spacing w:val="-4"/>
        </w:rPr>
        <w:t> </w:t>
      </w:r>
      <w:r>
        <w:rPr>
          <w:color w:val="231F20"/>
        </w:rPr>
        <w:t>part</w:t>
      </w:r>
      <w:r>
        <w:rPr>
          <w:color w:val="231F20"/>
          <w:spacing w:val="-4"/>
        </w:rPr>
        <w:t> </w:t>
      </w:r>
      <w:r>
        <w:rPr>
          <w:color w:val="231F20"/>
        </w:rPr>
        <w:t>of</w:t>
      </w:r>
      <w:r>
        <w:rPr>
          <w:color w:val="231F20"/>
          <w:spacing w:val="-4"/>
        </w:rPr>
        <w:t> </w:t>
      </w:r>
      <w:r>
        <w:rPr>
          <w:color w:val="231F20"/>
        </w:rPr>
        <w:t>the annual budget setting process for 2024/25 and will reflect the 2022/23 Outturn, progress on identifying savings to help close the estimated funding gaps for future years and the level of core Central Government funding being made available to support the Council to deliver its </w:t>
      </w:r>
      <w:r>
        <w:rPr>
          <w:color w:val="231F20"/>
          <w:spacing w:val="-2"/>
        </w:rPr>
        <w:t>services.</w:t>
      </w:r>
    </w:p>
    <w:p>
      <w:pPr>
        <w:spacing w:after="0" w:line="225" w:lineRule="auto"/>
        <w:sectPr>
          <w:type w:val="continuous"/>
          <w:pgSz w:w="11910" w:h="16840"/>
          <w:pgMar w:header="377" w:footer="367" w:top="260" w:bottom="0" w:left="0" w:right="0"/>
          <w:cols w:num="2" w:equalWidth="0">
            <w:col w:w="5811" w:space="40"/>
            <w:col w:w="6059"/>
          </w:cols>
        </w:sectPr>
      </w:pPr>
    </w:p>
    <w:p>
      <w:pPr>
        <w:pStyle w:val="BodyText"/>
        <w:rPr>
          <w:sz w:val="28"/>
        </w:rPr>
      </w:pPr>
    </w:p>
    <w:p>
      <w:pPr>
        <w:spacing w:after="0"/>
        <w:rPr>
          <w:sz w:val="28"/>
        </w:rPr>
        <w:sectPr>
          <w:pgSz w:w="11910" w:h="16840"/>
          <w:pgMar w:header="377" w:footer="367" w:top="560" w:bottom="560" w:left="0" w:right="0"/>
        </w:sectPr>
      </w:pPr>
    </w:p>
    <w:p>
      <w:pPr>
        <w:pStyle w:val="Heading3"/>
      </w:pPr>
      <w:r>
        <w:rPr>
          <w:color w:val="3B5673"/>
        </w:rPr>
        <w:t>CAPITAL</w:t>
      </w:r>
      <w:r>
        <w:rPr>
          <w:color w:val="3B5673"/>
          <w:spacing w:val="39"/>
        </w:rPr>
        <w:t> </w:t>
      </w:r>
      <w:r>
        <w:rPr>
          <w:color w:val="3B5673"/>
          <w:spacing w:val="-2"/>
        </w:rPr>
        <w:t>INVESTMENT</w:t>
      </w:r>
    </w:p>
    <w:p>
      <w:pPr>
        <w:pStyle w:val="BodyText"/>
        <w:spacing w:line="225" w:lineRule="auto" w:before="6"/>
        <w:ind w:left="566"/>
      </w:pPr>
      <w:r>
        <w:rPr>
          <w:color w:val="231F20"/>
        </w:rPr>
        <w:t>In</w:t>
      </w:r>
      <w:r>
        <w:rPr>
          <w:color w:val="231F20"/>
          <w:spacing w:val="-6"/>
        </w:rPr>
        <w:t> </w:t>
      </w:r>
      <w:r>
        <w:rPr>
          <w:color w:val="231F20"/>
        </w:rPr>
        <w:t>2023/24</w:t>
      </w:r>
      <w:r>
        <w:rPr>
          <w:color w:val="231F20"/>
          <w:spacing w:val="-6"/>
        </w:rPr>
        <w:t> </w:t>
      </w:r>
      <w:r>
        <w:rPr>
          <w:color w:val="231F20"/>
        </w:rPr>
        <w:t>the</w:t>
      </w:r>
      <w:r>
        <w:rPr>
          <w:color w:val="231F20"/>
          <w:spacing w:val="-5"/>
        </w:rPr>
        <w:t> </w:t>
      </w:r>
      <w:r>
        <w:rPr>
          <w:color w:val="231F20"/>
        </w:rPr>
        <w:t>Council</w:t>
      </w:r>
      <w:r>
        <w:rPr>
          <w:color w:val="231F20"/>
          <w:spacing w:val="-6"/>
        </w:rPr>
        <w:t> </w:t>
      </w:r>
      <w:r>
        <w:rPr>
          <w:color w:val="231F20"/>
        </w:rPr>
        <w:t>will</w:t>
      </w:r>
      <w:r>
        <w:rPr>
          <w:color w:val="231F20"/>
          <w:spacing w:val="-5"/>
        </w:rPr>
        <w:t> </w:t>
      </w:r>
      <w:r>
        <w:rPr>
          <w:color w:val="231F20"/>
        </w:rPr>
        <w:t>conclude</w:t>
      </w:r>
      <w:r>
        <w:rPr>
          <w:color w:val="231F20"/>
          <w:spacing w:val="-5"/>
        </w:rPr>
        <w:t> </w:t>
      </w:r>
      <w:r>
        <w:rPr>
          <w:color w:val="231F20"/>
        </w:rPr>
        <w:t>its</w:t>
      </w:r>
      <w:r>
        <w:rPr>
          <w:color w:val="231F20"/>
          <w:spacing w:val="-6"/>
        </w:rPr>
        <w:t> </w:t>
      </w:r>
      <w:r>
        <w:rPr>
          <w:color w:val="231F20"/>
        </w:rPr>
        <w:t>extensive Leisure Transformation Programme with the opening of the new second swimming pool at Hucknall Leisure Centre this summer.</w:t>
      </w:r>
    </w:p>
    <w:p>
      <w:pPr>
        <w:pStyle w:val="BodyText"/>
        <w:spacing w:before="7"/>
        <w:rPr>
          <w:sz w:val="22"/>
        </w:rPr>
      </w:pPr>
    </w:p>
    <w:p>
      <w:pPr>
        <w:pStyle w:val="BodyText"/>
        <w:spacing w:line="225" w:lineRule="auto"/>
        <w:ind w:left="566" w:right="8"/>
      </w:pPr>
      <w:r>
        <w:rPr>
          <w:color w:val="231F20"/>
        </w:rPr>
        <w:t>The Council will continue to implement the remaining 3 (of 4) Future High Streets funded projects and the 17 Government approved</w:t>
      </w:r>
      <w:r>
        <w:rPr>
          <w:color w:val="231F20"/>
          <w:spacing w:val="40"/>
        </w:rPr>
        <w:t> </w:t>
      </w:r>
      <w:r>
        <w:rPr>
          <w:color w:val="231F20"/>
        </w:rPr>
        <w:t>Towns</w:t>
      </w:r>
      <w:r>
        <w:rPr>
          <w:color w:val="231F20"/>
          <w:spacing w:val="-8"/>
        </w:rPr>
        <w:t> </w:t>
      </w:r>
      <w:r>
        <w:rPr>
          <w:color w:val="231F20"/>
        </w:rPr>
        <w:t>Fund</w:t>
      </w:r>
      <w:r>
        <w:rPr>
          <w:color w:val="231F20"/>
          <w:spacing w:val="-9"/>
        </w:rPr>
        <w:t> </w:t>
      </w:r>
      <w:r>
        <w:rPr>
          <w:color w:val="231F20"/>
        </w:rPr>
        <w:t>projects.</w:t>
      </w:r>
      <w:r>
        <w:rPr>
          <w:color w:val="231F20"/>
          <w:spacing w:val="-8"/>
        </w:rPr>
        <w:t> </w:t>
      </w:r>
      <w:r>
        <w:rPr>
          <w:color w:val="231F20"/>
        </w:rPr>
        <w:t>It</w:t>
      </w:r>
      <w:r>
        <w:rPr>
          <w:color w:val="231F20"/>
          <w:spacing w:val="-9"/>
        </w:rPr>
        <w:t> </w:t>
      </w:r>
      <w:r>
        <w:rPr>
          <w:color w:val="231F20"/>
        </w:rPr>
        <w:t>is</w:t>
      </w:r>
      <w:r>
        <w:rPr>
          <w:color w:val="231F20"/>
          <w:spacing w:val="-9"/>
        </w:rPr>
        <w:t> </w:t>
      </w:r>
      <w:r>
        <w:rPr>
          <w:color w:val="231F20"/>
        </w:rPr>
        <w:t>anticipated</w:t>
      </w:r>
      <w:r>
        <w:rPr>
          <w:color w:val="231F20"/>
          <w:spacing w:val="-8"/>
        </w:rPr>
        <w:t> </w:t>
      </w:r>
      <w:r>
        <w:rPr>
          <w:color w:val="231F20"/>
        </w:rPr>
        <w:t>that</w:t>
      </w:r>
      <w:r>
        <w:rPr>
          <w:color w:val="231F20"/>
          <w:spacing w:val="-8"/>
        </w:rPr>
        <w:t> </w:t>
      </w:r>
      <w:r>
        <w:rPr>
          <w:color w:val="231F20"/>
        </w:rPr>
        <w:t>at</w:t>
      </w:r>
      <w:r>
        <w:rPr>
          <w:color w:val="231F20"/>
          <w:spacing w:val="-8"/>
        </w:rPr>
        <w:t> </w:t>
      </w:r>
      <w:r>
        <w:rPr>
          <w:color w:val="231F20"/>
        </w:rPr>
        <w:t>least 6 of these projects will be fully implemented</w:t>
      </w:r>
    </w:p>
    <w:p>
      <w:pPr>
        <w:pStyle w:val="BodyText"/>
        <w:spacing w:line="294" w:lineRule="exact"/>
        <w:ind w:left="566"/>
      </w:pPr>
      <w:r>
        <w:rPr>
          <w:color w:val="231F20"/>
        </w:rPr>
        <w:t>in</w:t>
      </w:r>
      <w:r>
        <w:rPr>
          <w:color w:val="231F20"/>
          <w:spacing w:val="-7"/>
        </w:rPr>
        <w:t> </w:t>
      </w:r>
      <w:r>
        <w:rPr>
          <w:color w:val="231F20"/>
        </w:rPr>
        <w:t>2023/24</w:t>
      </w:r>
      <w:r>
        <w:rPr>
          <w:color w:val="231F20"/>
          <w:spacing w:val="-6"/>
        </w:rPr>
        <w:t> </w:t>
      </w:r>
      <w:r>
        <w:rPr>
          <w:color w:val="231F20"/>
        </w:rPr>
        <w:t>with</w:t>
      </w:r>
      <w:r>
        <w:rPr>
          <w:color w:val="231F20"/>
          <w:spacing w:val="-5"/>
        </w:rPr>
        <w:t> </w:t>
      </w:r>
      <w:r>
        <w:rPr>
          <w:color w:val="231F20"/>
        </w:rPr>
        <w:t>significant</w:t>
      </w:r>
      <w:r>
        <w:rPr>
          <w:color w:val="231F20"/>
          <w:spacing w:val="-6"/>
        </w:rPr>
        <w:t> </w:t>
      </w:r>
      <w:r>
        <w:rPr>
          <w:color w:val="231F20"/>
        </w:rPr>
        <w:t>progress</w:t>
      </w:r>
      <w:r>
        <w:rPr>
          <w:color w:val="231F20"/>
          <w:spacing w:val="-5"/>
        </w:rPr>
        <w:t> </w:t>
      </w:r>
      <w:r>
        <w:rPr>
          <w:color w:val="231F20"/>
        </w:rPr>
        <w:t>made</w:t>
      </w:r>
      <w:r>
        <w:rPr>
          <w:color w:val="231F20"/>
          <w:spacing w:val="-6"/>
        </w:rPr>
        <w:t> </w:t>
      </w:r>
      <w:r>
        <w:rPr>
          <w:color w:val="231F20"/>
          <w:spacing w:val="-5"/>
        </w:rPr>
        <w:t>on</w:t>
      </w:r>
    </w:p>
    <w:p>
      <w:pPr>
        <w:pStyle w:val="BodyText"/>
        <w:spacing w:line="310" w:lineRule="exact"/>
        <w:ind w:left="566"/>
      </w:pPr>
      <w:r>
        <w:rPr>
          <w:color w:val="231F20"/>
        </w:rPr>
        <w:t>implementing</w:t>
      </w:r>
      <w:r>
        <w:rPr>
          <w:color w:val="231F20"/>
          <w:spacing w:val="-5"/>
        </w:rPr>
        <w:t> </w:t>
      </w:r>
      <w:r>
        <w:rPr>
          <w:color w:val="231F20"/>
        </w:rPr>
        <w:t>the</w:t>
      </w:r>
      <w:r>
        <w:rPr>
          <w:color w:val="231F20"/>
          <w:spacing w:val="-4"/>
        </w:rPr>
        <w:t> </w:t>
      </w:r>
      <w:r>
        <w:rPr>
          <w:color w:val="231F20"/>
        </w:rPr>
        <w:t>remaining</w:t>
      </w:r>
      <w:r>
        <w:rPr>
          <w:color w:val="231F20"/>
          <w:spacing w:val="-3"/>
        </w:rPr>
        <w:t> </w:t>
      </w:r>
      <w:r>
        <w:rPr>
          <w:color w:val="231F20"/>
          <w:spacing w:val="-2"/>
        </w:rPr>
        <w:t>projects.</w:t>
      </w:r>
    </w:p>
    <w:p>
      <w:pPr>
        <w:pStyle w:val="BodyText"/>
        <w:spacing w:before="4"/>
        <w:rPr>
          <w:sz w:val="22"/>
        </w:rPr>
      </w:pPr>
    </w:p>
    <w:p>
      <w:pPr>
        <w:pStyle w:val="BodyText"/>
        <w:spacing w:line="225" w:lineRule="auto"/>
        <w:ind w:left="566" w:right="73"/>
      </w:pPr>
      <w:r>
        <w:rPr>
          <w:color w:val="231F20"/>
        </w:rPr>
        <w:t>All of the above significant investment will deliver</w:t>
      </w:r>
      <w:r>
        <w:rPr>
          <w:color w:val="231F20"/>
          <w:spacing w:val="-7"/>
        </w:rPr>
        <w:t> </w:t>
      </w:r>
      <w:r>
        <w:rPr>
          <w:color w:val="231F20"/>
        </w:rPr>
        <w:t>jobs</w:t>
      </w:r>
      <w:r>
        <w:rPr>
          <w:color w:val="231F20"/>
          <w:spacing w:val="-8"/>
        </w:rPr>
        <w:t> </w:t>
      </w:r>
      <w:r>
        <w:rPr>
          <w:color w:val="231F20"/>
        </w:rPr>
        <w:t>and</w:t>
      </w:r>
      <w:r>
        <w:rPr>
          <w:color w:val="231F20"/>
          <w:spacing w:val="-7"/>
        </w:rPr>
        <w:t> </w:t>
      </w:r>
      <w:r>
        <w:rPr>
          <w:color w:val="231F20"/>
        </w:rPr>
        <w:t>further</w:t>
      </w:r>
      <w:r>
        <w:rPr>
          <w:color w:val="231F20"/>
          <w:spacing w:val="-7"/>
        </w:rPr>
        <w:t> </w:t>
      </w:r>
      <w:r>
        <w:rPr>
          <w:color w:val="231F20"/>
        </w:rPr>
        <w:t>education</w:t>
      </w:r>
      <w:r>
        <w:rPr>
          <w:color w:val="231F20"/>
          <w:spacing w:val="-7"/>
        </w:rPr>
        <w:t> </w:t>
      </w:r>
      <w:r>
        <w:rPr>
          <w:color w:val="231F20"/>
        </w:rPr>
        <w:t>opportunities, long-term economic and productivity growth, new homes, improved transport infrastructure, reduced carbon and new cultural and visitor facilities to the District.</w:t>
      </w:r>
    </w:p>
    <w:p>
      <w:pPr>
        <w:pStyle w:val="Heading3"/>
        <w:ind w:left="289"/>
      </w:pPr>
      <w:r>
        <w:rPr>
          <w:b w:val="0"/>
        </w:rPr>
        <w:br w:type="column"/>
      </w:r>
      <w:r>
        <w:rPr>
          <w:color w:val="3B5673"/>
        </w:rPr>
        <w:t>FUNDING</w:t>
      </w:r>
      <w:r>
        <w:rPr>
          <w:color w:val="3B5673"/>
          <w:spacing w:val="56"/>
        </w:rPr>
        <w:t> </w:t>
      </w:r>
      <w:r>
        <w:rPr>
          <w:color w:val="3B5673"/>
          <w:spacing w:val="-4"/>
        </w:rPr>
        <w:t>BIDS</w:t>
      </w:r>
    </w:p>
    <w:p>
      <w:pPr>
        <w:pStyle w:val="BodyText"/>
        <w:spacing w:line="225" w:lineRule="auto" w:before="6"/>
        <w:ind w:left="285" w:right="581"/>
      </w:pPr>
      <w:r>
        <w:rPr>
          <w:color w:val="231F20"/>
        </w:rPr>
        <w:t>In 2022/23 the Council was successful in its bid</w:t>
      </w:r>
      <w:r>
        <w:rPr>
          <w:color w:val="231F20"/>
          <w:spacing w:val="40"/>
        </w:rPr>
        <w:t> </w:t>
      </w:r>
      <w:r>
        <w:rPr>
          <w:color w:val="231F20"/>
        </w:rPr>
        <w:t>to</w:t>
      </w:r>
      <w:r>
        <w:rPr>
          <w:color w:val="231F20"/>
          <w:spacing w:val="-6"/>
        </w:rPr>
        <w:t> </w:t>
      </w:r>
      <w:r>
        <w:rPr>
          <w:color w:val="231F20"/>
        </w:rPr>
        <w:t>the</w:t>
      </w:r>
      <w:r>
        <w:rPr>
          <w:color w:val="231F20"/>
          <w:spacing w:val="-6"/>
        </w:rPr>
        <w:t> </w:t>
      </w:r>
      <w:r>
        <w:rPr>
          <w:color w:val="231F20"/>
        </w:rPr>
        <w:t>Government’s</w:t>
      </w:r>
      <w:r>
        <w:rPr>
          <w:color w:val="231F20"/>
          <w:spacing w:val="-6"/>
        </w:rPr>
        <w:t> </w:t>
      </w:r>
      <w:r>
        <w:rPr>
          <w:color w:val="231F20"/>
        </w:rPr>
        <w:t>Levelling</w:t>
      </w:r>
      <w:r>
        <w:rPr>
          <w:color w:val="231F20"/>
          <w:spacing w:val="-6"/>
        </w:rPr>
        <w:t> </w:t>
      </w:r>
      <w:r>
        <w:rPr>
          <w:color w:val="231F20"/>
        </w:rPr>
        <w:t>Up</w:t>
      </w:r>
      <w:r>
        <w:rPr>
          <w:color w:val="231F20"/>
          <w:spacing w:val="-6"/>
        </w:rPr>
        <w:t> </w:t>
      </w:r>
      <w:r>
        <w:rPr>
          <w:color w:val="231F20"/>
        </w:rPr>
        <w:t>Fund</w:t>
      </w:r>
      <w:r>
        <w:rPr>
          <w:color w:val="231F20"/>
          <w:spacing w:val="-7"/>
        </w:rPr>
        <w:t> </w:t>
      </w:r>
      <w:r>
        <w:rPr>
          <w:color w:val="231F20"/>
        </w:rPr>
        <w:t>(Round</w:t>
      </w:r>
      <w:r>
        <w:rPr>
          <w:color w:val="231F20"/>
          <w:spacing w:val="-6"/>
        </w:rPr>
        <w:t> </w:t>
      </w:r>
      <w:r>
        <w:rPr>
          <w:color w:val="231F20"/>
        </w:rPr>
        <w:t>2) for</w:t>
      </w:r>
      <w:r>
        <w:rPr>
          <w:color w:val="231F20"/>
          <w:spacing w:val="-3"/>
        </w:rPr>
        <w:t> </w:t>
      </w:r>
      <w:r>
        <w:rPr>
          <w:color w:val="231F20"/>
        </w:rPr>
        <w:t>the</w:t>
      </w:r>
      <w:r>
        <w:rPr>
          <w:color w:val="231F20"/>
          <w:spacing w:val="-3"/>
        </w:rPr>
        <w:t> </w:t>
      </w:r>
      <w:r>
        <w:rPr>
          <w:color w:val="231F20"/>
        </w:rPr>
        <w:t>Science</w:t>
      </w:r>
      <w:r>
        <w:rPr>
          <w:color w:val="231F20"/>
          <w:spacing w:val="-4"/>
        </w:rPr>
        <w:t> </w:t>
      </w:r>
      <w:r>
        <w:rPr>
          <w:color w:val="231F20"/>
        </w:rPr>
        <w:t>Discovery</w:t>
      </w:r>
      <w:r>
        <w:rPr>
          <w:color w:val="231F20"/>
          <w:spacing w:val="-4"/>
        </w:rPr>
        <w:t> </w:t>
      </w:r>
      <w:r>
        <w:rPr>
          <w:color w:val="231F20"/>
        </w:rPr>
        <w:t>Centre</w:t>
      </w:r>
      <w:r>
        <w:rPr>
          <w:color w:val="231F20"/>
          <w:spacing w:val="-4"/>
        </w:rPr>
        <w:t> </w:t>
      </w:r>
      <w:r>
        <w:rPr>
          <w:color w:val="231F20"/>
        </w:rPr>
        <w:t>and</w:t>
      </w:r>
      <w:r>
        <w:rPr>
          <w:color w:val="231F20"/>
          <w:spacing w:val="-3"/>
        </w:rPr>
        <w:t> </w:t>
      </w:r>
      <w:r>
        <w:rPr>
          <w:color w:val="231F20"/>
        </w:rPr>
        <w:t>Planetarium in</w:t>
      </w:r>
      <w:r>
        <w:rPr>
          <w:color w:val="231F20"/>
          <w:spacing w:val="-3"/>
        </w:rPr>
        <w:t> </w:t>
      </w:r>
      <w:r>
        <w:rPr>
          <w:color w:val="231F20"/>
        </w:rPr>
        <w:t>Sutton</w:t>
      </w:r>
      <w:r>
        <w:rPr>
          <w:color w:val="231F20"/>
          <w:spacing w:val="-3"/>
        </w:rPr>
        <w:t> </w:t>
      </w:r>
      <w:r>
        <w:rPr>
          <w:color w:val="231F20"/>
        </w:rPr>
        <w:t>in</w:t>
      </w:r>
      <w:r>
        <w:rPr>
          <w:color w:val="231F20"/>
          <w:spacing w:val="-3"/>
        </w:rPr>
        <w:t> </w:t>
      </w:r>
      <w:r>
        <w:rPr>
          <w:color w:val="231F20"/>
        </w:rPr>
        <w:t>Ashfield.</w:t>
      </w:r>
      <w:r>
        <w:rPr>
          <w:color w:val="231F20"/>
          <w:spacing w:val="-2"/>
        </w:rPr>
        <w:t> </w:t>
      </w:r>
      <w:r>
        <w:rPr>
          <w:color w:val="231F20"/>
        </w:rPr>
        <w:t>However,</w:t>
      </w:r>
      <w:r>
        <w:rPr>
          <w:color w:val="231F20"/>
          <w:spacing w:val="-2"/>
        </w:rPr>
        <w:t> </w:t>
      </w:r>
      <w:r>
        <w:rPr>
          <w:color w:val="231F20"/>
        </w:rPr>
        <w:t>its</w:t>
      </w:r>
      <w:r>
        <w:rPr>
          <w:color w:val="231F20"/>
          <w:spacing w:val="-3"/>
        </w:rPr>
        <w:t> </w:t>
      </w:r>
      <w:r>
        <w:rPr>
          <w:color w:val="231F20"/>
        </w:rPr>
        <w:t>bid</w:t>
      </w:r>
      <w:r>
        <w:rPr>
          <w:color w:val="231F20"/>
          <w:spacing w:val="-2"/>
        </w:rPr>
        <w:t> </w:t>
      </w:r>
      <w:r>
        <w:rPr>
          <w:color w:val="231F20"/>
        </w:rPr>
        <w:t>for</w:t>
      </w:r>
      <w:r>
        <w:rPr>
          <w:color w:val="231F20"/>
          <w:spacing w:val="-2"/>
        </w:rPr>
        <w:t> </w:t>
      </w:r>
      <w:r>
        <w:rPr>
          <w:color w:val="231F20"/>
        </w:rPr>
        <w:t>funding for Hucknall was unsuccessful.</w:t>
      </w:r>
    </w:p>
    <w:p>
      <w:pPr>
        <w:pStyle w:val="BodyText"/>
        <w:spacing w:before="7"/>
        <w:rPr>
          <w:sz w:val="22"/>
        </w:rPr>
      </w:pPr>
    </w:p>
    <w:p>
      <w:pPr>
        <w:pStyle w:val="BodyText"/>
        <w:spacing w:line="225" w:lineRule="auto"/>
        <w:ind w:left="285" w:right="177"/>
      </w:pPr>
      <w:r>
        <w:rPr>
          <w:color w:val="231F20"/>
        </w:rPr>
        <w:t>It is the intention that the Council will submit a further</w:t>
      </w:r>
      <w:r>
        <w:rPr>
          <w:color w:val="231F20"/>
          <w:spacing w:val="-4"/>
        </w:rPr>
        <w:t> </w:t>
      </w:r>
      <w:r>
        <w:rPr>
          <w:color w:val="231F20"/>
        </w:rPr>
        <w:t>bid</w:t>
      </w:r>
      <w:r>
        <w:rPr>
          <w:color w:val="231F20"/>
          <w:spacing w:val="-4"/>
        </w:rPr>
        <w:t> </w:t>
      </w:r>
      <w:r>
        <w:rPr>
          <w:color w:val="231F20"/>
        </w:rPr>
        <w:t>for</w:t>
      </w:r>
      <w:r>
        <w:rPr>
          <w:color w:val="231F20"/>
          <w:spacing w:val="-4"/>
        </w:rPr>
        <w:t> </w:t>
      </w:r>
      <w:r>
        <w:rPr>
          <w:color w:val="231F20"/>
        </w:rPr>
        <w:t>Hucknall</w:t>
      </w:r>
      <w:r>
        <w:rPr>
          <w:color w:val="231F20"/>
          <w:spacing w:val="-4"/>
        </w:rPr>
        <w:t> </w:t>
      </w:r>
      <w:r>
        <w:rPr>
          <w:color w:val="231F20"/>
        </w:rPr>
        <w:t>to</w:t>
      </w:r>
      <w:r>
        <w:rPr>
          <w:color w:val="231F20"/>
          <w:spacing w:val="-4"/>
        </w:rPr>
        <w:t> </w:t>
      </w:r>
      <w:r>
        <w:rPr>
          <w:color w:val="231F20"/>
        </w:rPr>
        <w:t>the</w:t>
      </w:r>
      <w:r>
        <w:rPr>
          <w:color w:val="231F20"/>
          <w:spacing w:val="-4"/>
        </w:rPr>
        <w:t> </w:t>
      </w:r>
      <w:r>
        <w:rPr>
          <w:color w:val="231F20"/>
        </w:rPr>
        <w:t>Levelling</w:t>
      </w:r>
      <w:r>
        <w:rPr>
          <w:color w:val="231F20"/>
          <w:spacing w:val="-4"/>
        </w:rPr>
        <w:t> </w:t>
      </w:r>
      <w:r>
        <w:rPr>
          <w:color w:val="231F20"/>
        </w:rPr>
        <w:t>Up</w:t>
      </w:r>
      <w:r>
        <w:rPr>
          <w:color w:val="231F20"/>
          <w:spacing w:val="-4"/>
        </w:rPr>
        <w:t> </w:t>
      </w:r>
      <w:r>
        <w:rPr>
          <w:color w:val="231F20"/>
        </w:rPr>
        <w:t>Fund (Round 3) during 2023/24.</w:t>
      </w:r>
    </w:p>
    <w:p>
      <w:pPr>
        <w:pStyle w:val="BodyText"/>
        <w:spacing w:before="7"/>
        <w:rPr>
          <w:sz w:val="22"/>
        </w:rPr>
      </w:pPr>
    </w:p>
    <w:p>
      <w:pPr>
        <w:pStyle w:val="BodyText"/>
        <w:spacing w:line="225" w:lineRule="auto"/>
        <w:ind w:left="285" w:right="553"/>
      </w:pPr>
      <w:r>
        <w:rPr>
          <w:color w:val="231F20"/>
        </w:rPr>
        <w:t>As new external funding streams are announced in respect of moving to carbon net zero by 2050, the</w:t>
      </w:r>
      <w:r>
        <w:rPr>
          <w:color w:val="231F20"/>
          <w:spacing w:val="-4"/>
        </w:rPr>
        <w:t> </w:t>
      </w:r>
      <w:r>
        <w:rPr>
          <w:color w:val="231F20"/>
        </w:rPr>
        <w:t>Council</w:t>
      </w:r>
      <w:r>
        <w:rPr>
          <w:color w:val="231F20"/>
          <w:spacing w:val="-5"/>
        </w:rPr>
        <w:t> </w:t>
      </w:r>
      <w:r>
        <w:rPr>
          <w:color w:val="231F20"/>
        </w:rPr>
        <w:t>will</w:t>
      </w:r>
      <w:r>
        <w:rPr>
          <w:color w:val="231F20"/>
          <w:spacing w:val="-4"/>
        </w:rPr>
        <w:t> </w:t>
      </w:r>
      <w:r>
        <w:rPr>
          <w:color w:val="231F20"/>
        </w:rPr>
        <w:t>continue</w:t>
      </w:r>
      <w:r>
        <w:rPr>
          <w:color w:val="231F20"/>
          <w:spacing w:val="-4"/>
        </w:rPr>
        <w:t> </w:t>
      </w:r>
      <w:r>
        <w:rPr>
          <w:color w:val="231F20"/>
        </w:rPr>
        <w:t>to</w:t>
      </w:r>
      <w:r>
        <w:rPr>
          <w:color w:val="231F20"/>
          <w:spacing w:val="-4"/>
        </w:rPr>
        <w:t> </w:t>
      </w:r>
      <w:r>
        <w:rPr>
          <w:color w:val="231F20"/>
        </w:rPr>
        <w:t>apply</w:t>
      </w:r>
      <w:r>
        <w:rPr>
          <w:color w:val="231F20"/>
          <w:spacing w:val="-4"/>
        </w:rPr>
        <w:t> </w:t>
      </w:r>
      <w:r>
        <w:rPr>
          <w:color w:val="231F20"/>
        </w:rPr>
        <w:t>for</w:t>
      </w:r>
      <w:r>
        <w:rPr>
          <w:color w:val="231F20"/>
          <w:spacing w:val="-4"/>
        </w:rPr>
        <w:t> </w:t>
      </w:r>
      <w:r>
        <w:rPr>
          <w:color w:val="231F20"/>
        </w:rPr>
        <w:t>this</w:t>
      </w:r>
      <w:r>
        <w:rPr>
          <w:color w:val="231F20"/>
          <w:spacing w:val="-4"/>
        </w:rPr>
        <w:t> </w:t>
      </w:r>
      <w:r>
        <w:rPr>
          <w:color w:val="231F20"/>
        </w:rPr>
        <w:t>funding as it has with decarbonisation and Green Homes </w:t>
      </w:r>
      <w:r>
        <w:rPr>
          <w:color w:val="231F20"/>
          <w:spacing w:val="-2"/>
        </w:rPr>
        <w:t>funding.</w:t>
      </w:r>
    </w:p>
    <w:p>
      <w:pPr>
        <w:pStyle w:val="BodyText"/>
        <w:spacing w:before="7"/>
        <w:rPr>
          <w:sz w:val="22"/>
        </w:rPr>
      </w:pPr>
    </w:p>
    <w:p>
      <w:pPr>
        <w:pStyle w:val="BodyText"/>
        <w:spacing w:line="225" w:lineRule="auto"/>
        <w:ind w:left="285" w:right="581"/>
      </w:pPr>
      <w:r>
        <w:rPr/>
        <w:pict>
          <v:group style="position:absolute;margin-left:578.504028pt;margin-top:16.309776pt;width:16.8pt;height:192.8pt;mso-position-horizontal-relative:page;mso-position-vertical-relative:paragraph;z-index:15757312" id="docshapegroup233" coordorigin="11570,326" coordsize="336,3856">
            <v:rect style="position:absolute;left:11570;top:3217;width:336;height:964" id="docshape234" filled="true" fillcolor="#f15d6b" stroked="false">
              <v:fill type="solid"/>
            </v:rect>
            <v:rect style="position:absolute;left:11570;top:2253;width:336;height:964" id="docshape235" filled="true" fillcolor="#fbac42" stroked="false">
              <v:fill type="solid"/>
            </v:rect>
            <v:rect style="position:absolute;left:11570;top:1289;width:336;height:964" id="docshape236" filled="true" fillcolor="#b78fc1" stroked="false">
              <v:fill type="solid"/>
            </v:rect>
            <v:rect style="position:absolute;left:11570;top:326;width:336;height:964" id="docshape237" filled="true" fillcolor="#378372" stroked="false">
              <v:fill type="solid"/>
            </v:rect>
            <w10:wrap type="none"/>
          </v:group>
        </w:pict>
      </w:r>
      <w:r>
        <w:rPr>
          <w:color w:val="231F20"/>
        </w:rPr>
        <w:t>Where</w:t>
      </w:r>
      <w:r>
        <w:rPr>
          <w:color w:val="231F20"/>
          <w:spacing w:val="-6"/>
        </w:rPr>
        <w:t> </w:t>
      </w:r>
      <w:r>
        <w:rPr>
          <w:color w:val="231F20"/>
        </w:rPr>
        <w:t>the</w:t>
      </w:r>
      <w:r>
        <w:rPr>
          <w:color w:val="231F20"/>
          <w:spacing w:val="-5"/>
        </w:rPr>
        <w:t> </w:t>
      </w:r>
      <w:r>
        <w:rPr>
          <w:color w:val="231F20"/>
        </w:rPr>
        <w:t>Council</w:t>
      </w:r>
      <w:r>
        <w:rPr>
          <w:color w:val="231F20"/>
          <w:spacing w:val="-6"/>
        </w:rPr>
        <w:t> </w:t>
      </w:r>
      <w:r>
        <w:rPr>
          <w:color w:val="231F20"/>
        </w:rPr>
        <w:t>enters</w:t>
      </w:r>
      <w:r>
        <w:rPr>
          <w:color w:val="231F20"/>
          <w:spacing w:val="-5"/>
        </w:rPr>
        <w:t> </w:t>
      </w:r>
      <w:r>
        <w:rPr>
          <w:color w:val="231F20"/>
        </w:rPr>
        <w:t>into</w:t>
      </w:r>
      <w:r>
        <w:rPr>
          <w:color w:val="231F20"/>
          <w:spacing w:val="-6"/>
        </w:rPr>
        <w:t> </w:t>
      </w:r>
      <w:r>
        <w:rPr>
          <w:color w:val="231F20"/>
        </w:rPr>
        <w:t>arrangements</w:t>
      </w:r>
      <w:r>
        <w:rPr>
          <w:color w:val="231F20"/>
          <w:spacing w:val="-5"/>
        </w:rPr>
        <w:t> </w:t>
      </w:r>
      <w:r>
        <w:rPr>
          <w:color w:val="231F20"/>
        </w:rPr>
        <w:t>for new housing developments it will also submit funding applications to Homes England.</w:t>
      </w:r>
    </w:p>
    <w:p>
      <w:pPr>
        <w:spacing w:after="0" w:line="225" w:lineRule="auto"/>
        <w:sectPr>
          <w:type w:val="continuous"/>
          <w:pgSz w:w="11910" w:h="16840"/>
          <w:pgMar w:header="377" w:footer="367" w:top="260" w:bottom="0" w:left="0" w:right="0"/>
          <w:cols w:num="2" w:equalWidth="0">
            <w:col w:w="5769" w:space="40"/>
            <w:col w:w="6101"/>
          </w:cols>
        </w:sectPr>
      </w:pPr>
    </w:p>
    <w:p>
      <w:pPr>
        <w:pStyle w:val="BodyText"/>
        <w:rPr>
          <w:sz w:val="20"/>
        </w:rPr>
      </w:pPr>
    </w:p>
    <w:p>
      <w:pPr>
        <w:pStyle w:val="BodyText"/>
        <w:rPr>
          <w:sz w:val="20"/>
        </w:rPr>
      </w:pPr>
    </w:p>
    <w:p>
      <w:pPr>
        <w:pStyle w:val="BodyText"/>
        <w:spacing w:before="9"/>
        <w:rPr>
          <w:sz w:val="12"/>
        </w:rPr>
      </w:pPr>
    </w:p>
    <w:p>
      <w:pPr>
        <w:pStyle w:val="BodyText"/>
        <w:rPr>
          <w:sz w:val="20"/>
        </w:rPr>
      </w:pPr>
      <w:r>
        <w:rPr>
          <w:sz w:val="20"/>
        </w:rPr>
        <w:drawing>
          <wp:inline distT="0" distB="0" distL="0" distR="0">
            <wp:extent cx="7164166" cy="5014912"/>
            <wp:effectExtent l="0" t="0" r="0" b="0"/>
            <wp:docPr id="27" name="image40.jpeg"/>
            <wp:cNvGraphicFramePr>
              <a:graphicFrameLocks noChangeAspect="1"/>
            </wp:cNvGraphicFramePr>
            <a:graphic>
              <a:graphicData uri="http://schemas.openxmlformats.org/drawingml/2006/picture">
                <pic:pic>
                  <pic:nvPicPr>
                    <pic:cNvPr id="28" name="image40.jpeg"/>
                    <pic:cNvPicPr/>
                  </pic:nvPicPr>
                  <pic:blipFill>
                    <a:blip r:embed="rId62" cstate="print"/>
                    <a:stretch>
                      <a:fillRect/>
                    </a:stretch>
                  </pic:blipFill>
                  <pic:spPr>
                    <a:xfrm>
                      <a:off x="0" y="0"/>
                      <a:ext cx="7164166" cy="5014912"/>
                    </a:xfrm>
                    <a:prstGeom prst="rect">
                      <a:avLst/>
                    </a:prstGeom>
                  </pic:spPr>
                </pic:pic>
              </a:graphicData>
            </a:graphic>
          </wp:inline>
        </w:drawing>
      </w:r>
      <w:r>
        <w:rPr>
          <w:sz w:val="20"/>
        </w:rPr>
      </w:r>
    </w:p>
    <w:p>
      <w:pPr>
        <w:spacing w:after="0"/>
        <w:rPr>
          <w:sz w:val="20"/>
        </w:rPr>
        <w:sectPr>
          <w:type w:val="continuous"/>
          <w:pgSz w:w="11910" w:h="16840"/>
          <w:pgMar w:header="377" w:footer="367" w:top="260" w:bottom="0" w:left="0" w:right="0"/>
        </w:sectPr>
      </w:pPr>
    </w:p>
    <w:p>
      <w:pPr>
        <w:pStyle w:val="BodyText"/>
        <w:spacing w:before="8"/>
        <w:rPr>
          <w:sz w:val="18"/>
        </w:rPr>
      </w:pPr>
    </w:p>
    <w:p>
      <w:pPr>
        <w:pStyle w:val="Heading2"/>
        <w:numPr>
          <w:ilvl w:val="0"/>
          <w:numId w:val="3"/>
        </w:numPr>
        <w:tabs>
          <w:tab w:pos="1593" w:val="left" w:leader="none"/>
        </w:tabs>
        <w:spacing w:line="240" w:lineRule="auto" w:before="100" w:after="0"/>
        <w:ind w:left="1593" w:right="0" w:hanging="1029"/>
        <w:jc w:val="left"/>
      </w:pPr>
      <w:r>
        <w:rPr/>
        <w:pict>
          <v:group style="position:absolute;margin-left:0pt;margin-top:35.000019pt;width:595.3pt;height:63.4pt;mso-position-horizontal-relative:page;mso-position-vertical-relative:paragraph;z-index:-16855040" id="docshapegroup238" coordorigin="0,700" coordsize="11906,1268">
            <v:rect style="position:absolute;left:0;top:833;width:11906;height:1134" id="docshape239" filled="true" fillcolor="#c9cbd4" stroked="false">
              <v:fill type="solid"/>
            </v:rect>
            <v:shape style="position:absolute;left:0;top:700;width:11906;height:1268" type="#_x0000_t202" id="docshape240" filled="false" stroked="false">
              <v:textbox inset="0,0,0,0">
                <w:txbxContent>
                  <w:p>
                    <w:pPr>
                      <w:spacing w:before="0"/>
                      <w:ind w:left="2491" w:right="1898" w:firstLine="0"/>
                      <w:jc w:val="center"/>
                      <w:rPr>
                        <w:b/>
                        <w:sz w:val="60"/>
                      </w:rPr>
                    </w:pPr>
                    <w:r>
                      <w:rPr>
                        <w:b/>
                        <w:color w:val="3B5673"/>
                        <w:spacing w:val="17"/>
                        <w:sz w:val="60"/>
                      </w:rPr>
                      <w:t>FINANCIAL</w:t>
                    </w:r>
                    <w:r>
                      <w:rPr>
                        <w:b/>
                        <w:color w:val="3B5673"/>
                        <w:spacing w:val="28"/>
                        <w:sz w:val="60"/>
                      </w:rPr>
                      <w:t> </w:t>
                    </w:r>
                    <w:r>
                      <w:rPr>
                        <w:b/>
                        <w:color w:val="3B5673"/>
                        <w:spacing w:val="8"/>
                        <w:sz w:val="60"/>
                      </w:rPr>
                      <w:t>STATEMENTS</w:t>
                    </w:r>
                  </w:p>
                </w:txbxContent>
              </v:textbox>
              <w10:wrap type="none"/>
            </v:shape>
            <w10:wrap type="none"/>
          </v:group>
        </w:pict>
      </w:r>
      <w:r>
        <w:rPr>
          <w:color w:val="3B5673"/>
          <w:spacing w:val="16"/>
        </w:rPr>
        <w:t>EXPLANATION</w:t>
      </w:r>
      <w:r>
        <w:rPr>
          <w:color w:val="3B5673"/>
          <w:spacing w:val="24"/>
        </w:rPr>
        <w:t> </w:t>
      </w:r>
      <w:r>
        <w:rPr>
          <w:color w:val="3B5673"/>
          <w:spacing w:val="10"/>
        </w:rPr>
        <w:t>OF</w:t>
      </w:r>
      <w:r>
        <w:rPr>
          <w:color w:val="3B5673"/>
          <w:spacing w:val="25"/>
        </w:rPr>
        <w:t> </w:t>
      </w:r>
      <w:r>
        <w:rPr>
          <w:color w:val="3B5673"/>
          <w:spacing w:val="16"/>
        </w:rPr>
        <w:t>THE</w:t>
      </w:r>
    </w:p>
    <w:p>
      <w:pPr>
        <w:pStyle w:val="BodyText"/>
        <w:rPr>
          <w:sz w:val="20"/>
        </w:rPr>
      </w:pPr>
    </w:p>
    <w:p>
      <w:pPr>
        <w:pStyle w:val="BodyText"/>
        <w:rPr>
          <w:sz w:val="20"/>
        </w:rPr>
      </w:pPr>
    </w:p>
    <w:p>
      <w:pPr>
        <w:pStyle w:val="BodyText"/>
        <w:rPr>
          <w:sz w:val="20"/>
        </w:rPr>
      </w:pPr>
    </w:p>
    <w:p>
      <w:pPr>
        <w:pStyle w:val="BodyText"/>
        <w:spacing w:before="10"/>
        <w:rPr>
          <w:sz w:val="26"/>
        </w:rPr>
      </w:pPr>
    </w:p>
    <w:p>
      <w:pPr>
        <w:spacing w:line="225" w:lineRule="auto" w:before="116"/>
        <w:ind w:left="566" w:right="576" w:firstLine="0"/>
        <w:jc w:val="left"/>
        <w:rPr>
          <w:b/>
          <w:sz w:val="24"/>
        </w:rPr>
      </w:pPr>
      <w:r>
        <w:rPr>
          <w:b/>
          <w:color w:val="3B5673"/>
          <w:sz w:val="24"/>
        </w:rPr>
        <w:t>The Statement of Accounts is for the financial year 31st March 2023 and as required by the Code,</w:t>
      </w:r>
      <w:r>
        <w:rPr>
          <w:b/>
          <w:color w:val="3B5673"/>
          <w:spacing w:val="-3"/>
          <w:sz w:val="24"/>
        </w:rPr>
        <w:t> </w:t>
      </w:r>
      <w:r>
        <w:rPr>
          <w:b/>
          <w:color w:val="3B5673"/>
          <w:sz w:val="24"/>
        </w:rPr>
        <w:t>comprises</w:t>
      </w:r>
      <w:r>
        <w:rPr>
          <w:b/>
          <w:color w:val="3B5673"/>
          <w:spacing w:val="-4"/>
          <w:sz w:val="24"/>
        </w:rPr>
        <w:t> </w:t>
      </w:r>
      <w:r>
        <w:rPr>
          <w:b/>
          <w:color w:val="3B5673"/>
          <w:sz w:val="24"/>
        </w:rPr>
        <w:t>of</w:t>
      </w:r>
      <w:r>
        <w:rPr>
          <w:b/>
          <w:color w:val="3B5673"/>
          <w:spacing w:val="-4"/>
          <w:sz w:val="24"/>
        </w:rPr>
        <w:t> </w:t>
      </w:r>
      <w:r>
        <w:rPr>
          <w:b/>
          <w:color w:val="3B5673"/>
          <w:sz w:val="24"/>
        </w:rPr>
        <w:t>Core</w:t>
      </w:r>
      <w:r>
        <w:rPr>
          <w:b/>
          <w:color w:val="3B5673"/>
          <w:spacing w:val="-3"/>
          <w:sz w:val="24"/>
        </w:rPr>
        <w:t> </w:t>
      </w:r>
      <w:r>
        <w:rPr>
          <w:b/>
          <w:color w:val="3B5673"/>
          <w:sz w:val="24"/>
        </w:rPr>
        <w:t>and</w:t>
      </w:r>
      <w:r>
        <w:rPr>
          <w:b/>
          <w:color w:val="3B5673"/>
          <w:spacing w:val="-4"/>
          <w:sz w:val="24"/>
        </w:rPr>
        <w:t> </w:t>
      </w:r>
      <w:r>
        <w:rPr>
          <w:b/>
          <w:color w:val="3B5673"/>
          <w:sz w:val="24"/>
        </w:rPr>
        <w:t>Supplementary</w:t>
      </w:r>
      <w:r>
        <w:rPr>
          <w:b/>
          <w:color w:val="3B5673"/>
          <w:spacing w:val="-4"/>
          <w:sz w:val="24"/>
        </w:rPr>
        <w:t> </w:t>
      </w:r>
      <w:r>
        <w:rPr>
          <w:b/>
          <w:color w:val="3B5673"/>
          <w:sz w:val="24"/>
        </w:rPr>
        <w:t>Statements,</w:t>
      </w:r>
      <w:r>
        <w:rPr>
          <w:b/>
          <w:color w:val="3B5673"/>
          <w:spacing w:val="-3"/>
          <w:sz w:val="24"/>
        </w:rPr>
        <w:t> </w:t>
      </w:r>
      <w:r>
        <w:rPr>
          <w:b/>
          <w:color w:val="3B5673"/>
          <w:sz w:val="24"/>
        </w:rPr>
        <w:t>together</w:t>
      </w:r>
      <w:r>
        <w:rPr>
          <w:b/>
          <w:color w:val="3B5673"/>
          <w:spacing w:val="-4"/>
          <w:sz w:val="24"/>
        </w:rPr>
        <w:t> </w:t>
      </w:r>
      <w:r>
        <w:rPr>
          <w:b/>
          <w:color w:val="3B5673"/>
          <w:sz w:val="24"/>
        </w:rPr>
        <w:t>with</w:t>
      </w:r>
      <w:r>
        <w:rPr>
          <w:b/>
          <w:color w:val="3B5673"/>
          <w:spacing w:val="-4"/>
          <w:sz w:val="24"/>
        </w:rPr>
        <w:t> </w:t>
      </w:r>
      <w:r>
        <w:rPr>
          <w:b/>
          <w:color w:val="3B5673"/>
          <w:sz w:val="24"/>
        </w:rPr>
        <w:t>Disclosure</w:t>
      </w:r>
      <w:r>
        <w:rPr>
          <w:b/>
          <w:color w:val="3B5673"/>
          <w:spacing w:val="-3"/>
          <w:sz w:val="24"/>
        </w:rPr>
        <w:t> </w:t>
      </w:r>
      <w:r>
        <w:rPr>
          <w:b/>
          <w:color w:val="3B5673"/>
          <w:sz w:val="24"/>
        </w:rPr>
        <w:t>Notes.</w:t>
      </w:r>
      <w:r>
        <w:rPr>
          <w:b/>
          <w:color w:val="3B5673"/>
          <w:spacing w:val="-3"/>
          <w:sz w:val="24"/>
        </w:rPr>
        <w:t> </w:t>
      </w:r>
      <w:r>
        <w:rPr>
          <w:b/>
          <w:color w:val="3B5673"/>
          <w:sz w:val="24"/>
        </w:rPr>
        <w:t>The style and format of the Accounts complies with the local authority accounting standards.</w:t>
      </w:r>
    </w:p>
    <w:p>
      <w:pPr>
        <w:spacing w:after="0" w:line="225" w:lineRule="auto"/>
        <w:jc w:val="left"/>
        <w:rPr>
          <w:sz w:val="24"/>
        </w:rPr>
        <w:sectPr>
          <w:pgSz w:w="11910" w:h="16840"/>
          <w:pgMar w:header="377" w:footer="367" w:top="560" w:bottom="560" w:left="0" w:right="0"/>
        </w:sectPr>
      </w:pPr>
    </w:p>
    <w:p>
      <w:pPr>
        <w:pStyle w:val="Heading3"/>
        <w:spacing w:before="143"/>
      </w:pPr>
      <w:r>
        <w:rPr>
          <w:color w:val="3B5673"/>
        </w:rPr>
        <w:t>THE</w:t>
      </w:r>
      <w:r>
        <w:rPr>
          <w:color w:val="3B5673"/>
          <w:spacing w:val="41"/>
        </w:rPr>
        <w:t> </w:t>
      </w:r>
      <w:r>
        <w:rPr>
          <w:color w:val="3B5673"/>
        </w:rPr>
        <w:t>CORE</w:t>
      </w:r>
      <w:r>
        <w:rPr>
          <w:color w:val="3B5673"/>
          <w:spacing w:val="42"/>
        </w:rPr>
        <w:t> </w:t>
      </w:r>
      <w:r>
        <w:rPr>
          <w:color w:val="3B5673"/>
        </w:rPr>
        <w:t>FINANCIAL</w:t>
      </w:r>
      <w:r>
        <w:rPr>
          <w:color w:val="3B5673"/>
          <w:spacing w:val="42"/>
        </w:rPr>
        <w:t> </w:t>
      </w:r>
      <w:r>
        <w:rPr>
          <w:color w:val="3B5673"/>
          <w:spacing w:val="-2"/>
        </w:rPr>
        <w:t>STATEMENTS</w:t>
      </w:r>
    </w:p>
    <w:p>
      <w:pPr>
        <w:pStyle w:val="Heading4"/>
        <w:spacing w:line="225" w:lineRule="auto" w:before="6"/>
      </w:pPr>
      <w:r>
        <w:rPr>
          <w:color w:val="3B5673"/>
        </w:rPr>
        <w:t>Comprehensive</w:t>
      </w:r>
      <w:r>
        <w:rPr>
          <w:color w:val="3B5673"/>
          <w:spacing w:val="-14"/>
        </w:rPr>
        <w:t> </w:t>
      </w:r>
      <w:r>
        <w:rPr>
          <w:color w:val="3B5673"/>
        </w:rPr>
        <w:t>Income</w:t>
      </w:r>
      <w:r>
        <w:rPr>
          <w:color w:val="3B5673"/>
          <w:spacing w:val="-14"/>
        </w:rPr>
        <w:t> </w:t>
      </w:r>
      <w:r>
        <w:rPr>
          <w:color w:val="3B5673"/>
        </w:rPr>
        <w:t>and</w:t>
      </w:r>
      <w:r>
        <w:rPr>
          <w:color w:val="3B5673"/>
          <w:spacing w:val="-14"/>
        </w:rPr>
        <w:t> </w:t>
      </w:r>
      <w:r>
        <w:rPr>
          <w:color w:val="3B5673"/>
        </w:rPr>
        <w:t>Expenditure Statement (CIES)</w:t>
      </w:r>
    </w:p>
    <w:p>
      <w:pPr>
        <w:pStyle w:val="BodyText"/>
        <w:spacing w:line="225" w:lineRule="auto"/>
        <w:ind w:left="566" w:right="36"/>
      </w:pPr>
      <w:r>
        <w:rPr>
          <w:color w:val="231F20"/>
        </w:rPr>
        <w:t>This Statement records all of the Council’s income</w:t>
      </w:r>
      <w:r>
        <w:rPr>
          <w:color w:val="231F20"/>
          <w:spacing w:val="-6"/>
        </w:rPr>
        <w:t> </w:t>
      </w:r>
      <w:r>
        <w:rPr>
          <w:color w:val="231F20"/>
        </w:rPr>
        <w:t>and</w:t>
      </w:r>
      <w:r>
        <w:rPr>
          <w:color w:val="231F20"/>
          <w:spacing w:val="-5"/>
        </w:rPr>
        <w:t> </w:t>
      </w:r>
      <w:r>
        <w:rPr>
          <w:color w:val="231F20"/>
        </w:rPr>
        <w:t>expenditure</w:t>
      </w:r>
      <w:r>
        <w:rPr>
          <w:color w:val="231F20"/>
          <w:spacing w:val="-5"/>
        </w:rPr>
        <w:t> </w:t>
      </w:r>
      <w:r>
        <w:rPr>
          <w:color w:val="231F20"/>
        </w:rPr>
        <w:t>for</w:t>
      </w:r>
      <w:r>
        <w:rPr>
          <w:color w:val="231F20"/>
          <w:spacing w:val="-5"/>
        </w:rPr>
        <w:t> </w:t>
      </w:r>
      <w:r>
        <w:rPr>
          <w:color w:val="231F20"/>
        </w:rPr>
        <w:t>the</w:t>
      </w:r>
      <w:r>
        <w:rPr>
          <w:color w:val="231F20"/>
          <w:spacing w:val="-5"/>
        </w:rPr>
        <w:t> </w:t>
      </w:r>
      <w:r>
        <w:rPr>
          <w:color w:val="231F20"/>
        </w:rPr>
        <w:t>year.</w:t>
      </w:r>
      <w:r>
        <w:rPr>
          <w:color w:val="231F20"/>
          <w:spacing w:val="-5"/>
        </w:rPr>
        <w:t> </w:t>
      </w:r>
      <w:r>
        <w:rPr>
          <w:color w:val="231F20"/>
        </w:rPr>
        <w:t>It</w:t>
      </w:r>
      <w:r>
        <w:rPr>
          <w:color w:val="231F20"/>
          <w:spacing w:val="-6"/>
        </w:rPr>
        <w:t> </w:t>
      </w:r>
      <w:r>
        <w:rPr>
          <w:color w:val="231F20"/>
        </w:rPr>
        <w:t>includes both the amounts spent on local taxpayer services and also local rent payer services. The top half of the statement provides analysis</w:t>
      </w:r>
    </w:p>
    <w:p>
      <w:pPr>
        <w:pStyle w:val="BodyText"/>
        <w:spacing w:line="225" w:lineRule="auto"/>
        <w:ind w:left="566"/>
      </w:pPr>
      <w:r>
        <w:rPr>
          <w:color w:val="231F20"/>
        </w:rPr>
        <w:t>of spend by Directorate on services that the Council</w:t>
      </w:r>
      <w:r>
        <w:rPr>
          <w:color w:val="231F20"/>
          <w:spacing w:val="-6"/>
        </w:rPr>
        <w:t> </w:t>
      </w:r>
      <w:r>
        <w:rPr>
          <w:color w:val="231F20"/>
        </w:rPr>
        <w:t>is</w:t>
      </w:r>
      <w:r>
        <w:rPr>
          <w:color w:val="231F20"/>
          <w:spacing w:val="-6"/>
        </w:rPr>
        <w:t> </w:t>
      </w:r>
      <w:r>
        <w:rPr>
          <w:color w:val="231F20"/>
        </w:rPr>
        <w:t>required</w:t>
      </w:r>
      <w:r>
        <w:rPr>
          <w:color w:val="231F20"/>
          <w:spacing w:val="-5"/>
        </w:rPr>
        <w:t> </w:t>
      </w:r>
      <w:r>
        <w:rPr>
          <w:color w:val="231F20"/>
        </w:rPr>
        <w:t>to</w:t>
      </w:r>
      <w:r>
        <w:rPr>
          <w:color w:val="231F20"/>
          <w:spacing w:val="-5"/>
        </w:rPr>
        <w:t> </w:t>
      </w:r>
      <w:r>
        <w:rPr>
          <w:color w:val="231F20"/>
        </w:rPr>
        <w:t>undertake</w:t>
      </w:r>
      <w:r>
        <w:rPr>
          <w:color w:val="231F20"/>
          <w:spacing w:val="-5"/>
        </w:rPr>
        <w:t> </w:t>
      </w:r>
      <w:r>
        <w:rPr>
          <w:color w:val="231F20"/>
        </w:rPr>
        <w:t>by</w:t>
      </w:r>
      <w:r>
        <w:rPr>
          <w:color w:val="231F20"/>
          <w:spacing w:val="-5"/>
        </w:rPr>
        <w:t> </w:t>
      </w:r>
      <w:r>
        <w:rPr>
          <w:color w:val="231F20"/>
        </w:rPr>
        <w:t>law</w:t>
      </w:r>
      <w:r>
        <w:rPr>
          <w:color w:val="231F20"/>
          <w:spacing w:val="-6"/>
        </w:rPr>
        <w:t> </w:t>
      </w:r>
      <w:r>
        <w:rPr>
          <w:color w:val="231F20"/>
        </w:rPr>
        <w:t>(statutory duties such as street cleansing, planning and registration) and discretionary services focussed on local priorities and need. The bottom half of the statement deals with corporate transactions and funding.</w:t>
      </w:r>
    </w:p>
    <w:p>
      <w:pPr>
        <w:pStyle w:val="BodyText"/>
        <w:spacing w:before="6"/>
        <w:rPr>
          <w:sz w:val="22"/>
        </w:rPr>
      </w:pPr>
    </w:p>
    <w:p>
      <w:pPr>
        <w:pStyle w:val="BodyText"/>
        <w:spacing w:line="225" w:lineRule="auto"/>
        <w:ind w:left="566" w:right="163"/>
      </w:pPr>
      <w:r>
        <w:rPr>
          <w:b/>
          <w:color w:val="3B5673"/>
        </w:rPr>
        <w:t>Movement in Reserves Statement (MiRS)</w:t>
      </w:r>
      <w:r>
        <w:rPr>
          <w:b/>
          <w:color w:val="3B5673"/>
          <w:spacing w:val="40"/>
        </w:rPr>
        <w:t> </w:t>
      </w:r>
      <w:r>
        <w:rPr>
          <w:color w:val="231F20"/>
        </w:rPr>
        <w:t>This statement summarises the movement in year on the Council’s different reserves. These reserves</w:t>
      </w:r>
      <w:r>
        <w:rPr>
          <w:color w:val="231F20"/>
          <w:spacing w:val="-6"/>
        </w:rPr>
        <w:t> </w:t>
      </w:r>
      <w:r>
        <w:rPr>
          <w:color w:val="231F20"/>
        </w:rPr>
        <w:t>are</w:t>
      </w:r>
      <w:r>
        <w:rPr>
          <w:color w:val="231F20"/>
          <w:spacing w:val="-6"/>
        </w:rPr>
        <w:t> </w:t>
      </w:r>
      <w:r>
        <w:rPr>
          <w:color w:val="231F20"/>
        </w:rPr>
        <w:t>analysed</w:t>
      </w:r>
      <w:r>
        <w:rPr>
          <w:color w:val="231F20"/>
          <w:spacing w:val="-6"/>
        </w:rPr>
        <w:t> </w:t>
      </w:r>
      <w:r>
        <w:rPr>
          <w:color w:val="231F20"/>
        </w:rPr>
        <w:t>into</w:t>
      </w:r>
      <w:r>
        <w:rPr>
          <w:color w:val="231F20"/>
          <w:spacing w:val="-7"/>
        </w:rPr>
        <w:t> </w:t>
      </w:r>
      <w:r>
        <w:rPr>
          <w:color w:val="231F20"/>
        </w:rPr>
        <w:t>‘useable</w:t>
      </w:r>
      <w:r>
        <w:rPr>
          <w:color w:val="231F20"/>
          <w:spacing w:val="-6"/>
        </w:rPr>
        <w:t> </w:t>
      </w:r>
      <w:r>
        <w:rPr>
          <w:color w:val="231F20"/>
        </w:rPr>
        <w:t>reserves’</w:t>
      </w:r>
      <w:r>
        <w:rPr>
          <w:color w:val="231F20"/>
          <w:spacing w:val="-6"/>
        </w:rPr>
        <w:t> </w:t>
      </w:r>
      <w:r>
        <w:rPr>
          <w:color w:val="231F20"/>
        </w:rPr>
        <w:t>(i.e. those that can be used to fund expenditure or reduce local taxation) and ‘unusable reserves’ which must be set aside for specific purposes (as they relate to gains and losses on statutory adjustment accounts).</w:t>
      </w:r>
    </w:p>
    <w:p>
      <w:pPr>
        <w:pStyle w:val="Heading4"/>
        <w:spacing w:before="284"/>
      </w:pPr>
      <w:r>
        <w:rPr>
          <w:color w:val="3B5673"/>
        </w:rPr>
        <w:t>Balance</w:t>
      </w:r>
      <w:r>
        <w:rPr>
          <w:color w:val="3B5673"/>
          <w:spacing w:val="-7"/>
        </w:rPr>
        <w:t> </w:t>
      </w:r>
      <w:r>
        <w:rPr>
          <w:color w:val="3B5673"/>
          <w:spacing w:val="-2"/>
        </w:rPr>
        <w:t>Sheet</w:t>
      </w:r>
    </w:p>
    <w:p>
      <w:pPr>
        <w:pStyle w:val="BodyText"/>
        <w:spacing w:line="225" w:lineRule="auto" w:before="6"/>
        <w:ind w:left="566"/>
      </w:pPr>
      <w:r>
        <w:rPr>
          <w:color w:val="231F20"/>
        </w:rPr>
        <w:t>The</w:t>
      </w:r>
      <w:r>
        <w:rPr>
          <w:color w:val="231F20"/>
          <w:spacing w:val="-5"/>
        </w:rPr>
        <w:t> </w:t>
      </w:r>
      <w:r>
        <w:rPr>
          <w:color w:val="231F20"/>
        </w:rPr>
        <w:t>Balance</w:t>
      </w:r>
      <w:r>
        <w:rPr>
          <w:color w:val="231F20"/>
          <w:spacing w:val="-6"/>
        </w:rPr>
        <w:t> </w:t>
      </w:r>
      <w:r>
        <w:rPr>
          <w:color w:val="231F20"/>
        </w:rPr>
        <w:t>Sheet</w:t>
      </w:r>
      <w:r>
        <w:rPr>
          <w:color w:val="231F20"/>
          <w:spacing w:val="-6"/>
        </w:rPr>
        <w:t> </w:t>
      </w:r>
      <w:r>
        <w:rPr>
          <w:color w:val="231F20"/>
        </w:rPr>
        <w:t>is</w:t>
      </w:r>
      <w:r>
        <w:rPr>
          <w:color w:val="231F20"/>
          <w:spacing w:val="-6"/>
        </w:rPr>
        <w:t> </w:t>
      </w:r>
      <w:r>
        <w:rPr>
          <w:color w:val="231F20"/>
        </w:rPr>
        <w:t>a</w:t>
      </w:r>
      <w:r>
        <w:rPr>
          <w:color w:val="231F20"/>
          <w:spacing w:val="-5"/>
        </w:rPr>
        <w:t> </w:t>
      </w:r>
      <w:r>
        <w:rPr>
          <w:color w:val="231F20"/>
        </w:rPr>
        <w:t>‘snapshot’</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Council’s financial position at the end of March 2023.</w:t>
      </w:r>
    </w:p>
    <w:p>
      <w:pPr>
        <w:pStyle w:val="BodyText"/>
        <w:spacing w:line="294" w:lineRule="exact"/>
        <w:ind w:left="566"/>
      </w:pPr>
      <w:r>
        <w:rPr>
          <w:color w:val="231F20"/>
        </w:rPr>
        <w:t>It</w:t>
      </w:r>
      <w:r>
        <w:rPr>
          <w:color w:val="231F20"/>
          <w:spacing w:val="-5"/>
        </w:rPr>
        <w:t> </w:t>
      </w:r>
      <w:r>
        <w:rPr>
          <w:color w:val="231F20"/>
        </w:rPr>
        <w:t>shows</w:t>
      </w:r>
      <w:r>
        <w:rPr>
          <w:color w:val="231F20"/>
          <w:spacing w:val="-5"/>
        </w:rPr>
        <w:t> </w:t>
      </w:r>
      <w:r>
        <w:rPr>
          <w:color w:val="231F20"/>
        </w:rPr>
        <w:t>the</w:t>
      </w:r>
      <w:r>
        <w:rPr>
          <w:color w:val="231F20"/>
          <w:spacing w:val="-4"/>
        </w:rPr>
        <w:t> </w:t>
      </w:r>
      <w:r>
        <w:rPr>
          <w:color w:val="231F20"/>
        </w:rPr>
        <w:t>Council’s</w:t>
      </w:r>
      <w:r>
        <w:rPr>
          <w:color w:val="231F20"/>
          <w:spacing w:val="-5"/>
        </w:rPr>
        <w:t> </w:t>
      </w:r>
      <w:r>
        <w:rPr>
          <w:color w:val="231F20"/>
        </w:rPr>
        <w:t>assets,</w:t>
      </w:r>
      <w:r>
        <w:rPr>
          <w:color w:val="231F20"/>
          <w:spacing w:val="-5"/>
        </w:rPr>
        <w:t> </w:t>
      </w:r>
      <w:r>
        <w:rPr>
          <w:color w:val="231F20"/>
        </w:rPr>
        <w:t>liabilities,</w:t>
      </w:r>
      <w:r>
        <w:rPr>
          <w:color w:val="231F20"/>
          <w:spacing w:val="-4"/>
        </w:rPr>
        <w:t> cash</w:t>
      </w:r>
    </w:p>
    <w:p>
      <w:pPr>
        <w:pStyle w:val="BodyText"/>
        <w:spacing w:line="310" w:lineRule="exact"/>
        <w:ind w:left="566"/>
      </w:pPr>
      <w:r>
        <w:rPr>
          <w:color w:val="231F20"/>
        </w:rPr>
        <w:t>balances</w:t>
      </w:r>
      <w:r>
        <w:rPr>
          <w:color w:val="231F20"/>
          <w:spacing w:val="-3"/>
        </w:rPr>
        <w:t> </w:t>
      </w:r>
      <w:r>
        <w:rPr>
          <w:color w:val="231F20"/>
        </w:rPr>
        <w:t>and reserves</w:t>
      </w:r>
      <w:r>
        <w:rPr>
          <w:color w:val="231F20"/>
          <w:spacing w:val="-1"/>
        </w:rPr>
        <w:t> </w:t>
      </w:r>
      <w:r>
        <w:rPr>
          <w:color w:val="231F20"/>
        </w:rPr>
        <w:t>at 31st</w:t>
      </w:r>
      <w:r>
        <w:rPr>
          <w:color w:val="231F20"/>
          <w:spacing w:val="-2"/>
        </w:rPr>
        <w:t> </w:t>
      </w:r>
      <w:r>
        <w:rPr>
          <w:color w:val="231F20"/>
        </w:rPr>
        <w:t>March </w:t>
      </w:r>
      <w:r>
        <w:rPr>
          <w:color w:val="231F20"/>
          <w:spacing w:val="-2"/>
        </w:rPr>
        <w:t>2023.</w:t>
      </w:r>
    </w:p>
    <w:p>
      <w:pPr>
        <w:pStyle w:val="Heading4"/>
        <w:spacing w:before="143"/>
        <w:ind w:left="263"/>
      </w:pPr>
      <w:r>
        <w:rPr>
          <w:b w:val="0"/>
        </w:rPr>
        <w:br w:type="column"/>
      </w:r>
      <w:r>
        <w:rPr>
          <w:color w:val="3B5673"/>
        </w:rPr>
        <w:t>Cash</w:t>
      </w:r>
      <w:r>
        <w:rPr>
          <w:color w:val="3B5673"/>
          <w:spacing w:val="-2"/>
        </w:rPr>
        <w:t> </w:t>
      </w:r>
      <w:r>
        <w:rPr>
          <w:color w:val="3B5673"/>
        </w:rPr>
        <w:t>Flow</w:t>
      </w:r>
      <w:r>
        <w:rPr>
          <w:color w:val="3B5673"/>
          <w:spacing w:val="-1"/>
        </w:rPr>
        <w:t> </w:t>
      </w:r>
      <w:r>
        <w:rPr>
          <w:color w:val="3B5673"/>
          <w:spacing w:val="-2"/>
        </w:rPr>
        <w:t>Statement</w:t>
      </w:r>
    </w:p>
    <w:p>
      <w:pPr>
        <w:pStyle w:val="BodyText"/>
        <w:spacing w:line="225" w:lineRule="auto" w:before="6"/>
        <w:ind w:left="263" w:right="131"/>
      </w:pPr>
      <w:r>
        <w:rPr>
          <w:color w:val="231F20"/>
        </w:rPr>
        <w:t>The Cash Flow Statement shows the reasons for changes</w:t>
      </w:r>
      <w:r>
        <w:rPr>
          <w:color w:val="231F20"/>
          <w:spacing w:val="-5"/>
        </w:rPr>
        <w:t> </w:t>
      </w:r>
      <w:r>
        <w:rPr>
          <w:color w:val="231F20"/>
        </w:rPr>
        <w:t>in</w:t>
      </w:r>
      <w:r>
        <w:rPr>
          <w:color w:val="231F20"/>
          <w:spacing w:val="-6"/>
        </w:rPr>
        <w:t> </w:t>
      </w:r>
      <w:r>
        <w:rPr>
          <w:color w:val="231F20"/>
        </w:rPr>
        <w:t>the</w:t>
      </w:r>
      <w:r>
        <w:rPr>
          <w:color w:val="231F20"/>
          <w:spacing w:val="-5"/>
        </w:rPr>
        <w:t> </w:t>
      </w:r>
      <w:r>
        <w:rPr>
          <w:color w:val="231F20"/>
        </w:rPr>
        <w:t>Council’s</w:t>
      </w:r>
      <w:r>
        <w:rPr>
          <w:color w:val="231F20"/>
          <w:spacing w:val="-6"/>
        </w:rPr>
        <w:t> </w:t>
      </w:r>
      <w:r>
        <w:rPr>
          <w:color w:val="231F20"/>
        </w:rPr>
        <w:t>cash</w:t>
      </w:r>
      <w:r>
        <w:rPr>
          <w:color w:val="231F20"/>
          <w:spacing w:val="-5"/>
        </w:rPr>
        <w:t> </w:t>
      </w:r>
      <w:r>
        <w:rPr>
          <w:color w:val="231F20"/>
        </w:rPr>
        <w:t>balances</w:t>
      </w:r>
      <w:r>
        <w:rPr>
          <w:color w:val="231F20"/>
          <w:spacing w:val="-5"/>
        </w:rPr>
        <w:t> </w:t>
      </w:r>
      <w:r>
        <w:rPr>
          <w:color w:val="231F20"/>
        </w:rPr>
        <w:t>during</w:t>
      </w:r>
      <w:r>
        <w:rPr>
          <w:color w:val="231F20"/>
          <w:spacing w:val="-5"/>
        </w:rPr>
        <w:t> </w:t>
      </w:r>
      <w:r>
        <w:rPr>
          <w:color w:val="231F20"/>
        </w:rPr>
        <w:t>the year,</w:t>
      </w:r>
      <w:r>
        <w:rPr>
          <w:color w:val="231F20"/>
          <w:spacing w:val="-1"/>
        </w:rPr>
        <w:t> </w:t>
      </w:r>
      <w:r>
        <w:rPr>
          <w:color w:val="231F20"/>
        </w:rPr>
        <w:t>and</w:t>
      </w:r>
      <w:r>
        <w:rPr>
          <w:color w:val="231F20"/>
          <w:spacing w:val="-1"/>
        </w:rPr>
        <w:t> </w:t>
      </w:r>
      <w:r>
        <w:rPr>
          <w:color w:val="231F20"/>
        </w:rPr>
        <w:t>whether</w:t>
      </w:r>
      <w:r>
        <w:rPr>
          <w:color w:val="231F20"/>
          <w:spacing w:val="-1"/>
        </w:rPr>
        <w:t> </w:t>
      </w:r>
      <w:r>
        <w:rPr>
          <w:color w:val="231F20"/>
        </w:rPr>
        <w:t>the</w:t>
      </w:r>
      <w:r>
        <w:rPr>
          <w:color w:val="231F20"/>
          <w:spacing w:val="-1"/>
        </w:rPr>
        <w:t> </w:t>
      </w:r>
      <w:r>
        <w:rPr>
          <w:color w:val="231F20"/>
        </w:rPr>
        <w:t>change</w:t>
      </w:r>
      <w:r>
        <w:rPr>
          <w:color w:val="231F20"/>
          <w:spacing w:val="-1"/>
        </w:rPr>
        <w:t> </w:t>
      </w:r>
      <w:r>
        <w:rPr>
          <w:color w:val="231F20"/>
        </w:rPr>
        <w:t>is</w:t>
      </w:r>
      <w:r>
        <w:rPr>
          <w:color w:val="231F20"/>
          <w:spacing w:val="-2"/>
        </w:rPr>
        <w:t> </w:t>
      </w:r>
      <w:r>
        <w:rPr>
          <w:color w:val="231F20"/>
        </w:rPr>
        <w:t>due</w:t>
      </w:r>
      <w:r>
        <w:rPr>
          <w:color w:val="231F20"/>
          <w:spacing w:val="-1"/>
        </w:rPr>
        <w:t> </w:t>
      </w:r>
      <w:r>
        <w:rPr>
          <w:color w:val="231F20"/>
        </w:rPr>
        <w:t>to</w:t>
      </w:r>
      <w:r>
        <w:rPr>
          <w:color w:val="231F20"/>
          <w:spacing w:val="-1"/>
        </w:rPr>
        <w:t> </w:t>
      </w:r>
      <w:r>
        <w:rPr>
          <w:color w:val="231F20"/>
        </w:rPr>
        <w:t>operating activities (day to day costs), new investments,</w:t>
      </w:r>
    </w:p>
    <w:p>
      <w:pPr>
        <w:pStyle w:val="BodyText"/>
        <w:spacing w:line="225" w:lineRule="auto"/>
        <w:ind w:left="263" w:right="131"/>
      </w:pPr>
      <w:r>
        <w:rPr>
          <w:color w:val="231F20"/>
        </w:rPr>
        <w:t>or</w:t>
      </w:r>
      <w:r>
        <w:rPr>
          <w:color w:val="231F20"/>
          <w:spacing w:val="-5"/>
        </w:rPr>
        <w:t> </w:t>
      </w:r>
      <w:r>
        <w:rPr>
          <w:color w:val="231F20"/>
        </w:rPr>
        <w:t>financing</w:t>
      </w:r>
      <w:r>
        <w:rPr>
          <w:color w:val="231F20"/>
          <w:spacing w:val="-5"/>
        </w:rPr>
        <w:t> </w:t>
      </w:r>
      <w:r>
        <w:rPr>
          <w:color w:val="231F20"/>
        </w:rPr>
        <w:t>activities</w:t>
      </w:r>
      <w:r>
        <w:rPr>
          <w:color w:val="231F20"/>
          <w:spacing w:val="-5"/>
        </w:rPr>
        <w:t> </w:t>
      </w:r>
      <w:r>
        <w:rPr>
          <w:color w:val="231F20"/>
        </w:rPr>
        <w:t>(such</w:t>
      </w:r>
      <w:r>
        <w:rPr>
          <w:color w:val="231F20"/>
          <w:spacing w:val="-5"/>
        </w:rPr>
        <w:t> </w:t>
      </w:r>
      <w:r>
        <w:rPr>
          <w:color w:val="231F20"/>
        </w:rPr>
        <w:t>as</w:t>
      </w:r>
      <w:r>
        <w:rPr>
          <w:color w:val="231F20"/>
          <w:spacing w:val="-5"/>
        </w:rPr>
        <w:t> </w:t>
      </w:r>
      <w:r>
        <w:rPr>
          <w:color w:val="231F20"/>
        </w:rPr>
        <w:t>repayment</w:t>
      </w:r>
      <w:r>
        <w:rPr>
          <w:color w:val="231F20"/>
          <w:spacing w:val="-5"/>
        </w:rPr>
        <w:t> </w:t>
      </w:r>
      <w:r>
        <w:rPr>
          <w:color w:val="231F20"/>
        </w:rPr>
        <w:t>of borrowing and other long term liabilities).</w:t>
      </w:r>
    </w:p>
    <w:p>
      <w:pPr>
        <w:pStyle w:val="Heading3"/>
        <w:spacing w:before="284"/>
        <w:ind w:left="267"/>
      </w:pPr>
      <w:r>
        <w:rPr/>
        <w:pict>
          <v:group style="position:absolute;margin-left:578.504028pt;margin-top:16.999224pt;width:16.8pt;height:192.8pt;mso-position-horizontal-relative:page;mso-position-vertical-relative:paragraph;z-index:15758336" id="docshapegroup241" coordorigin="11570,340" coordsize="336,3856">
            <v:rect style="position:absolute;left:11570;top:3231;width:336;height:964" id="docshape242" filled="true" fillcolor="#f15d6b" stroked="false">
              <v:fill type="solid"/>
            </v:rect>
            <v:rect style="position:absolute;left:11570;top:2267;width:336;height:964" id="docshape243" filled="true" fillcolor="#fbac42" stroked="false">
              <v:fill type="solid"/>
            </v:rect>
            <v:rect style="position:absolute;left:11570;top:1303;width:336;height:964" id="docshape244" filled="true" fillcolor="#b78fc1" stroked="false">
              <v:fill type="solid"/>
            </v:rect>
            <v:rect style="position:absolute;left:11570;top:339;width:336;height:964" id="docshape245" filled="true" fillcolor="#378372" stroked="false">
              <v:fill type="solid"/>
            </v:rect>
            <w10:wrap type="none"/>
          </v:group>
        </w:pict>
      </w:r>
      <w:r>
        <w:rPr>
          <w:color w:val="3B5673"/>
        </w:rPr>
        <w:t>THE</w:t>
      </w:r>
      <w:r>
        <w:rPr>
          <w:color w:val="3B5673"/>
          <w:spacing w:val="54"/>
        </w:rPr>
        <w:t> </w:t>
      </w:r>
      <w:r>
        <w:rPr>
          <w:color w:val="3B5673"/>
        </w:rPr>
        <w:t>SUPPLEMENTARY</w:t>
      </w:r>
      <w:r>
        <w:rPr>
          <w:color w:val="3B5673"/>
          <w:spacing w:val="55"/>
        </w:rPr>
        <w:t> </w:t>
      </w:r>
      <w:r>
        <w:rPr>
          <w:color w:val="3B5673"/>
          <w:spacing w:val="-2"/>
        </w:rPr>
        <w:t>FINANCIAL</w:t>
      </w:r>
    </w:p>
    <w:p>
      <w:pPr>
        <w:spacing w:line="300" w:lineRule="exact" w:before="0"/>
        <w:ind w:left="267" w:right="0" w:firstLine="0"/>
        <w:jc w:val="left"/>
        <w:rPr>
          <w:b/>
          <w:sz w:val="24"/>
        </w:rPr>
      </w:pPr>
      <w:r>
        <w:rPr>
          <w:b/>
          <w:color w:val="3B5673"/>
          <w:spacing w:val="-2"/>
          <w:sz w:val="24"/>
        </w:rPr>
        <w:t>STATEMENTS</w:t>
      </w:r>
    </w:p>
    <w:p>
      <w:pPr>
        <w:pStyle w:val="Heading4"/>
        <w:spacing w:line="300" w:lineRule="exact"/>
        <w:ind w:left="263"/>
      </w:pPr>
      <w:r>
        <w:rPr>
          <w:color w:val="3B5673"/>
        </w:rPr>
        <w:t>Housing</w:t>
      </w:r>
      <w:r>
        <w:rPr>
          <w:color w:val="3B5673"/>
          <w:spacing w:val="-8"/>
        </w:rPr>
        <w:t> </w:t>
      </w:r>
      <w:r>
        <w:rPr>
          <w:color w:val="3B5673"/>
        </w:rPr>
        <w:t>Revenue</w:t>
      </w:r>
      <w:r>
        <w:rPr>
          <w:color w:val="3B5673"/>
          <w:spacing w:val="-8"/>
        </w:rPr>
        <w:t> </w:t>
      </w:r>
      <w:r>
        <w:rPr>
          <w:color w:val="3B5673"/>
        </w:rPr>
        <w:t>Account</w:t>
      </w:r>
      <w:r>
        <w:rPr>
          <w:color w:val="3B5673"/>
          <w:spacing w:val="-7"/>
        </w:rPr>
        <w:t> </w:t>
      </w:r>
      <w:r>
        <w:rPr>
          <w:color w:val="3B5673"/>
          <w:spacing w:val="-2"/>
        </w:rPr>
        <w:t>(HRA)</w:t>
      </w:r>
    </w:p>
    <w:p>
      <w:pPr>
        <w:pStyle w:val="BodyText"/>
        <w:spacing w:line="225" w:lineRule="auto" w:before="6"/>
        <w:ind w:left="263" w:right="840"/>
      </w:pPr>
      <w:r>
        <w:rPr>
          <w:color w:val="231F20"/>
        </w:rPr>
        <w:t>This</w:t>
      </w:r>
      <w:r>
        <w:rPr>
          <w:color w:val="231F20"/>
          <w:spacing w:val="-9"/>
        </w:rPr>
        <w:t> </w:t>
      </w:r>
      <w:r>
        <w:rPr>
          <w:color w:val="231F20"/>
        </w:rPr>
        <w:t>Account</w:t>
      </w:r>
      <w:r>
        <w:rPr>
          <w:color w:val="231F20"/>
          <w:spacing w:val="-9"/>
        </w:rPr>
        <w:t> </w:t>
      </w:r>
      <w:r>
        <w:rPr>
          <w:color w:val="231F20"/>
        </w:rPr>
        <w:t>separately</w:t>
      </w:r>
      <w:r>
        <w:rPr>
          <w:color w:val="231F20"/>
          <w:spacing w:val="-10"/>
        </w:rPr>
        <w:t> </w:t>
      </w:r>
      <w:r>
        <w:rPr>
          <w:color w:val="231F20"/>
        </w:rPr>
        <w:t>identifies</w:t>
      </w:r>
      <w:r>
        <w:rPr>
          <w:color w:val="231F20"/>
          <w:spacing w:val="-10"/>
        </w:rPr>
        <w:t> </w:t>
      </w:r>
      <w:r>
        <w:rPr>
          <w:color w:val="231F20"/>
        </w:rPr>
        <w:t>expenditure incurred in the provision, management and maintenance of the Council’s housing stock and demonstrates how this has been funded</w:t>
      </w:r>
    </w:p>
    <w:p>
      <w:pPr>
        <w:pStyle w:val="BodyText"/>
        <w:spacing w:line="225" w:lineRule="auto"/>
        <w:ind w:left="263" w:right="574"/>
      </w:pPr>
      <w:r>
        <w:rPr>
          <w:color w:val="231F20"/>
        </w:rPr>
        <w:t>from rents, service charges and other income. In accordance with the Local Government and Housing</w:t>
      </w:r>
      <w:r>
        <w:rPr>
          <w:color w:val="231F20"/>
          <w:spacing w:val="-5"/>
        </w:rPr>
        <w:t> </w:t>
      </w:r>
      <w:r>
        <w:rPr>
          <w:color w:val="231F20"/>
        </w:rPr>
        <w:t>Act</w:t>
      </w:r>
      <w:r>
        <w:rPr>
          <w:color w:val="231F20"/>
          <w:spacing w:val="-5"/>
        </w:rPr>
        <w:t> </w:t>
      </w:r>
      <w:r>
        <w:rPr>
          <w:color w:val="231F20"/>
        </w:rPr>
        <w:t>1989</w:t>
      </w:r>
      <w:r>
        <w:rPr>
          <w:color w:val="231F20"/>
          <w:spacing w:val="-5"/>
        </w:rPr>
        <w:t> </w:t>
      </w:r>
      <w:r>
        <w:rPr>
          <w:color w:val="231F20"/>
        </w:rPr>
        <w:t>this</w:t>
      </w:r>
      <w:r>
        <w:rPr>
          <w:color w:val="231F20"/>
          <w:spacing w:val="-5"/>
        </w:rPr>
        <w:t> </w:t>
      </w:r>
      <w:r>
        <w:rPr>
          <w:color w:val="231F20"/>
        </w:rPr>
        <w:t>is</w:t>
      </w:r>
      <w:r>
        <w:rPr>
          <w:color w:val="231F20"/>
          <w:spacing w:val="-5"/>
        </w:rPr>
        <w:t> </w:t>
      </w:r>
      <w:r>
        <w:rPr>
          <w:color w:val="231F20"/>
        </w:rPr>
        <w:t>maintained</w:t>
      </w:r>
      <w:r>
        <w:rPr>
          <w:color w:val="231F20"/>
          <w:spacing w:val="-5"/>
        </w:rPr>
        <w:t> </w:t>
      </w:r>
      <w:r>
        <w:rPr>
          <w:color w:val="231F20"/>
        </w:rPr>
        <w:t>as</w:t>
      </w:r>
      <w:r>
        <w:rPr>
          <w:color w:val="231F20"/>
          <w:spacing w:val="-5"/>
        </w:rPr>
        <w:t> </w:t>
      </w:r>
      <w:r>
        <w:rPr>
          <w:color w:val="231F20"/>
        </w:rPr>
        <w:t>a</w:t>
      </w:r>
      <w:r>
        <w:rPr>
          <w:color w:val="231F20"/>
          <w:spacing w:val="-5"/>
        </w:rPr>
        <w:t> </w:t>
      </w:r>
      <w:r>
        <w:rPr>
          <w:color w:val="231F20"/>
        </w:rPr>
        <w:t>separate account and must operate with a positive</w:t>
      </w:r>
      <w:r>
        <w:rPr>
          <w:color w:val="231F20"/>
          <w:spacing w:val="40"/>
        </w:rPr>
        <w:t> </w:t>
      </w:r>
      <w:r>
        <w:rPr>
          <w:color w:val="231F20"/>
        </w:rPr>
        <w:t>working balance.</w:t>
      </w:r>
    </w:p>
    <w:p>
      <w:pPr>
        <w:pStyle w:val="Heading4"/>
        <w:spacing w:before="283"/>
        <w:ind w:left="263"/>
      </w:pPr>
      <w:r>
        <w:rPr>
          <w:color w:val="3B5673"/>
        </w:rPr>
        <w:t>The</w:t>
      </w:r>
      <w:r>
        <w:rPr>
          <w:color w:val="3B5673"/>
          <w:spacing w:val="-5"/>
        </w:rPr>
        <w:t> </w:t>
      </w:r>
      <w:r>
        <w:rPr>
          <w:color w:val="3B5673"/>
        </w:rPr>
        <w:t>Collection</w:t>
      </w:r>
      <w:r>
        <w:rPr>
          <w:color w:val="3B5673"/>
          <w:spacing w:val="-4"/>
        </w:rPr>
        <w:t> Fund</w:t>
      </w:r>
    </w:p>
    <w:p>
      <w:pPr>
        <w:pStyle w:val="BodyText"/>
        <w:spacing w:line="225" w:lineRule="auto" w:before="6"/>
        <w:ind w:left="263" w:right="600"/>
      </w:pPr>
      <w:r>
        <w:rPr>
          <w:color w:val="231F20"/>
        </w:rPr>
        <w:t>The Collection Fund details all monies due from Council Tax and Non Domestic Rate payers and redistribution of some of these payments to other organisations on whose behalf the Council collects</w:t>
      </w:r>
      <w:r>
        <w:rPr>
          <w:color w:val="231F20"/>
          <w:spacing w:val="-6"/>
        </w:rPr>
        <w:t> </w:t>
      </w:r>
      <w:r>
        <w:rPr>
          <w:color w:val="231F20"/>
        </w:rPr>
        <w:t>these</w:t>
      </w:r>
      <w:r>
        <w:rPr>
          <w:color w:val="231F20"/>
          <w:spacing w:val="-6"/>
        </w:rPr>
        <w:t> </w:t>
      </w:r>
      <w:r>
        <w:rPr>
          <w:color w:val="231F20"/>
        </w:rPr>
        <w:t>taxes</w:t>
      </w:r>
      <w:r>
        <w:rPr>
          <w:color w:val="231F20"/>
          <w:spacing w:val="-6"/>
        </w:rPr>
        <w:t> </w:t>
      </w:r>
      <w:r>
        <w:rPr>
          <w:color w:val="231F20"/>
        </w:rPr>
        <w:t>including</w:t>
      </w:r>
      <w:r>
        <w:rPr>
          <w:color w:val="231F20"/>
          <w:spacing w:val="-7"/>
        </w:rPr>
        <w:t> </w:t>
      </w:r>
      <w:r>
        <w:rPr>
          <w:color w:val="231F20"/>
        </w:rPr>
        <w:t>the</w:t>
      </w:r>
      <w:r>
        <w:rPr>
          <w:color w:val="231F20"/>
          <w:spacing w:val="-6"/>
        </w:rPr>
        <w:t> </w:t>
      </w:r>
      <w:r>
        <w:rPr>
          <w:color w:val="231F20"/>
        </w:rPr>
        <w:t>County</w:t>
      </w:r>
      <w:r>
        <w:rPr>
          <w:color w:val="231F20"/>
          <w:spacing w:val="-7"/>
        </w:rPr>
        <w:t> </w:t>
      </w:r>
      <w:r>
        <w:rPr>
          <w:color w:val="231F20"/>
        </w:rPr>
        <w:t>Council, Nottinghamshire</w:t>
      </w:r>
      <w:r>
        <w:rPr>
          <w:color w:val="231F20"/>
          <w:spacing w:val="-8"/>
        </w:rPr>
        <w:t> </w:t>
      </w:r>
      <w:r>
        <w:rPr>
          <w:color w:val="231F20"/>
        </w:rPr>
        <w:t>Police</w:t>
      </w:r>
      <w:r>
        <w:rPr>
          <w:color w:val="231F20"/>
          <w:spacing w:val="-8"/>
        </w:rPr>
        <w:t> </w:t>
      </w:r>
      <w:r>
        <w:rPr>
          <w:color w:val="231F20"/>
        </w:rPr>
        <w:t>and</w:t>
      </w:r>
      <w:r>
        <w:rPr>
          <w:color w:val="231F20"/>
          <w:spacing w:val="-9"/>
        </w:rPr>
        <w:t> </w:t>
      </w:r>
      <w:r>
        <w:rPr>
          <w:color w:val="231F20"/>
        </w:rPr>
        <w:t>Crime</w:t>
      </w:r>
      <w:r>
        <w:rPr>
          <w:color w:val="231F20"/>
          <w:spacing w:val="-9"/>
        </w:rPr>
        <w:t> </w:t>
      </w:r>
      <w:r>
        <w:rPr>
          <w:color w:val="231F20"/>
        </w:rPr>
        <w:t>Commissioner and the Fire &amp; Rescue Authority.</w:t>
      </w:r>
    </w:p>
    <w:p>
      <w:pPr>
        <w:pStyle w:val="Heading3"/>
        <w:spacing w:line="330" w:lineRule="exact" w:before="264"/>
        <w:ind w:left="267"/>
      </w:pPr>
      <w:r>
        <w:rPr>
          <w:color w:val="3B5673"/>
        </w:rPr>
        <w:t>ANNUAL</w:t>
      </w:r>
      <w:r>
        <w:rPr>
          <w:color w:val="3B5673"/>
          <w:spacing w:val="54"/>
        </w:rPr>
        <w:t> </w:t>
      </w:r>
      <w:r>
        <w:rPr>
          <w:color w:val="3B5673"/>
        </w:rPr>
        <w:t>GOVERNANCE</w:t>
      </w:r>
      <w:r>
        <w:rPr>
          <w:color w:val="3B5673"/>
          <w:spacing w:val="55"/>
        </w:rPr>
        <w:t> </w:t>
      </w:r>
      <w:r>
        <w:rPr>
          <w:color w:val="3B5673"/>
        </w:rPr>
        <w:t>STATEMENT</w:t>
      </w:r>
      <w:r>
        <w:rPr>
          <w:color w:val="3B5673"/>
          <w:spacing w:val="48"/>
        </w:rPr>
        <w:t> </w:t>
      </w:r>
      <w:r>
        <w:rPr>
          <w:color w:val="3B5673"/>
          <w:spacing w:val="-4"/>
          <w:position w:val="2"/>
        </w:rPr>
        <w:t>(</w:t>
      </w:r>
      <w:r>
        <w:rPr>
          <w:color w:val="3B5673"/>
          <w:spacing w:val="-4"/>
        </w:rPr>
        <w:t>AGS</w:t>
      </w:r>
      <w:r>
        <w:rPr>
          <w:color w:val="3B5673"/>
          <w:spacing w:val="-4"/>
          <w:position w:val="2"/>
        </w:rPr>
        <w:t>)</w:t>
      </w:r>
    </w:p>
    <w:p>
      <w:pPr>
        <w:pStyle w:val="BodyText"/>
        <w:spacing w:line="300" w:lineRule="exact"/>
        <w:ind w:left="263"/>
      </w:pPr>
      <w:r>
        <w:rPr>
          <w:color w:val="231F20"/>
        </w:rPr>
        <w:t>This</w:t>
      </w:r>
      <w:r>
        <w:rPr>
          <w:color w:val="231F20"/>
          <w:spacing w:val="-4"/>
        </w:rPr>
        <w:t> </w:t>
      </w:r>
      <w:r>
        <w:rPr>
          <w:color w:val="231F20"/>
        </w:rPr>
        <w:t>Statement</w:t>
      </w:r>
      <w:r>
        <w:rPr>
          <w:color w:val="231F20"/>
          <w:spacing w:val="-3"/>
        </w:rPr>
        <w:t> </w:t>
      </w:r>
      <w:r>
        <w:rPr>
          <w:color w:val="231F20"/>
        </w:rPr>
        <w:t>sets</w:t>
      </w:r>
      <w:r>
        <w:rPr>
          <w:color w:val="231F20"/>
          <w:spacing w:val="-4"/>
        </w:rPr>
        <w:t> </w:t>
      </w:r>
      <w:r>
        <w:rPr>
          <w:color w:val="231F20"/>
        </w:rPr>
        <w:t>out</w:t>
      </w:r>
      <w:r>
        <w:rPr>
          <w:color w:val="231F20"/>
          <w:spacing w:val="-3"/>
        </w:rPr>
        <w:t> </w:t>
      </w:r>
      <w:r>
        <w:rPr>
          <w:color w:val="231F20"/>
        </w:rPr>
        <w:t>the</w:t>
      </w:r>
      <w:r>
        <w:rPr>
          <w:color w:val="231F20"/>
          <w:spacing w:val="-3"/>
        </w:rPr>
        <w:t> </w:t>
      </w:r>
      <w:r>
        <w:rPr>
          <w:color w:val="231F20"/>
        </w:rPr>
        <w:t>Council’s</w:t>
      </w:r>
      <w:r>
        <w:rPr>
          <w:color w:val="231F20"/>
          <w:spacing w:val="-4"/>
        </w:rPr>
        <w:t> </w:t>
      </w:r>
      <w:r>
        <w:rPr>
          <w:color w:val="231F20"/>
          <w:spacing w:val="-2"/>
        </w:rPr>
        <w:t>governance</w:t>
      </w:r>
    </w:p>
    <w:p>
      <w:pPr>
        <w:pStyle w:val="BodyText"/>
        <w:spacing w:line="310" w:lineRule="exact"/>
        <w:ind w:left="263"/>
      </w:pPr>
      <w:r>
        <w:rPr>
          <w:color w:val="231F20"/>
        </w:rPr>
        <w:t>structures</w:t>
      </w:r>
      <w:r>
        <w:rPr>
          <w:color w:val="231F20"/>
          <w:spacing w:val="-5"/>
        </w:rPr>
        <w:t> </w:t>
      </w:r>
      <w:r>
        <w:rPr>
          <w:color w:val="231F20"/>
        </w:rPr>
        <w:t>and</w:t>
      </w:r>
      <w:r>
        <w:rPr>
          <w:color w:val="231F20"/>
          <w:spacing w:val="-5"/>
        </w:rPr>
        <w:t> </w:t>
      </w:r>
      <w:r>
        <w:rPr>
          <w:color w:val="231F20"/>
        </w:rPr>
        <w:t>its</w:t>
      </w:r>
      <w:r>
        <w:rPr>
          <w:color w:val="231F20"/>
          <w:spacing w:val="-5"/>
        </w:rPr>
        <w:t> </w:t>
      </w:r>
      <w:r>
        <w:rPr>
          <w:color w:val="231F20"/>
        </w:rPr>
        <w:t>key</w:t>
      </w:r>
      <w:r>
        <w:rPr>
          <w:color w:val="231F20"/>
          <w:spacing w:val="-5"/>
        </w:rPr>
        <w:t> </w:t>
      </w:r>
      <w:r>
        <w:rPr>
          <w:color w:val="231F20"/>
        </w:rPr>
        <w:t>internal</w:t>
      </w:r>
      <w:r>
        <w:rPr>
          <w:color w:val="231F20"/>
          <w:spacing w:val="-4"/>
        </w:rPr>
        <w:t> </w:t>
      </w:r>
      <w:r>
        <w:rPr>
          <w:color w:val="231F20"/>
          <w:spacing w:val="-2"/>
        </w:rPr>
        <w:t>controls.</w:t>
      </w:r>
    </w:p>
    <w:p>
      <w:pPr>
        <w:spacing w:after="0" w:line="310" w:lineRule="exact"/>
        <w:sectPr>
          <w:type w:val="continuous"/>
          <w:pgSz w:w="11910" w:h="16840"/>
          <w:pgMar w:header="377" w:footer="367" w:top="260" w:bottom="0" w:left="0" w:right="0"/>
          <w:cols w:num="2" w:equalWidth="0">
            <w:col w:w="5792" w:space="40"/>
            <w:col w:w="6078"/>
          </w:cols>
        </w:sectPr>
      </w:pPr>
    </w:p>
    <w:p>
      <w:pPr>
        <w:pStyle w:val="BodyText"/>
        <w:rPr>
          <w:sz w:val="28"/>
        </w:rPr>
      </w:pPr>
    </w:p>
    <w:p>
      <w:pPr>
        <w:spacing w:after="0"/>
        <w:rPr>
          <w:sz w:val="28"/>
        </w:rPr>
        <w:sectPr>
          <w:pgSz w:w="11910" w:h="16840"/>
          <w:pgMar w:header="377" w:footer="367" w:top="560" w:bottom="560" w:left="0" w:right="0"/>
        </w:sectPr>
      </w:pPr>
    </w:p>
    <w:p>
      <w:pPr>
        <w:pStyle w:val="Heading3"/>
      </w:pPr>
      <w:r>
        <w:rPr>
          <w:color w:val="3B5673"/>
        </w:rPr>
        <w:t>OTHER</w:t>
      </w:r>
      <w:r>
        <w:rPr>
          <w:color w:val="3B5673"/>
          <w:spacing w:val="31"/>
        </w:rPr>
        <w:t> </w:t>
      </w:r>
      <w:r>
        <w:rPr>
          <w:color w:val="3B5673"/>
        </w:rPr>
        <w:t>KEY</w:t>
      </w:r>
      <w:r>
        <w:rPr>
          <w:color w:val="3B5673"/>
          <w:spacing w:val="32"/>
        </w:rPr>
        <w:t> </w:t>
      </w:r>
      <w:r>
        <w:rPr>
          <w:color w:val="3B5673"/>
        </w:rPr>
        <w:t>SECTIONS</w:t>
      </w:r>
      <w:r>
        <w:rPr>
          <w:color w:val="3B5673"/>
          <w:spacing w:val="31"/>
        </w:rPr>
        <w:t> </w:t>
      </w:r>
      <w:r>
        <w:rPr>
          <w:color w:val="3B5673"/>
        </w:rPr>
        <w:t>IN</w:t>
      </w:r>
      <w:r>
        <w:rPr>
          <w:color w:val="3B5673"/>
          <w:spacing w:val="32"/>
        </w:rPr>
        <w:t> </w:t>
      </w:r>
      <w:r>
        <w:rPr>
          <w:color w:val="3B5673"/>
        </w:rPr>
        <w:t>THE</w:t>
      </w:r>
      <w:r>
        <w:rPr>
          <w:color w:val="3B5673"/>
          <w:spacing w:val="32"/>
        </w:rPr>
        <w:t> </w:t>
      </w:r>
      <w:r>
        <w:rPr>
          <w:color w:val="3B5673"/>
          <w:spacing w:val="-2"/>
        </w:rPr>
        <w:t>STATEMENT</w:t>
      </w:r>
    </w:p>
    <w:p>
      <w:pPr>
        <w:spacing w:line="310" w:lineRule="exact" w:before="0"/>
        <w:ind w:left="571" w:right="0" w:firstLine="0"/>
        <w:jc w:val="left"/>
        <w:rPr>
          <w:b/>
          <w:sz w:val="24"/>
        </w:rPr>
      </w:pPr>
      <w:r>
        <w:rPr>
          <w:b/>
          <w:color w:val="3B5673"/>
          <w:sz w:val="24"/>
        </w:rPr>
        <w:t>OF</w:t>
      </w:r>
      <w:r>
        <w:rPr>
          <w:b/>
          <w:color w:val="3B5673"/>
          <w:spacing w:val="14"/>
          <w:sz w:val="24"/>
        </w:rPr>
        <w:t> </w:t>
      </w:r>
      <w:r>
        <w:rPr>
          <w:b/>
          <w:color w:val="3B5673"/>
          <w:spacing w:val="-2"/>
          <w:sz w:val="24"/>
        </w:rPr>
        <w:t>ACCOUNTS</w:t>
      </w:r>
    </w:p>
    <w:p>
      <w:pPr>
        <w:pStyle w:val="Heading4"/>
        <w:spacing w:before="281"/>
      </w:pPr>
      <w:r>
        <w:rPr>
          <w:color w:val="3B5673"/>
        </w:rPr>
        <w:t>Statement</w:t>
      </w:r>
      <w:r>
        <w:rPr>
          <w:color w:val="3B5673"/>
          <w:spacing w:val="-9"/>
        </w:rPr>
        <w:t> </w:t>
      </w:r>
      <w:r>
        <w:rPr>
          <w:color w:val="3B5673"/>
        </w:rPr>
        <w:t>of</w:t>
      </w:r>
      <w:r>
        <w:rPr>
          <w:color w:val="3B5673"/>
          <w:spacing w:val="-7"/>
        </w:rPr>
        <w:t> </w:t>
      </w:r>
      <w:r>
        <w:rPr>
          <w:color w:val="3B5673"/>
          <w:spacing w:val="-2"/>
        </w:rPr>
        <w:t>Responsibilities</w:t>
      </w:r>
    </w:p>
    <w:p>
      <w:pPr>
        <w:pStyle w:val="BodyText"/>
        <w:spacing w:line="225" w:lineRule="auto" w:before="6"/>
        <w:ind w:left="566"/>
      </w:pPr>
      <w:r>
        <w:rPr>
          <w:color w:val="231F20"/>
        </w:rPr>
        <w:t>This Statement sets out the respective responsibilities</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Council</w:t>
      </w:r>
      <w:r>
        <w:rPr>
          <w:color w:val="231F20"/>
          <w:spacing w:val="-7"/>
        </w:rPr>
        <w:t> </w:t>
      </w:r>
      <w:r>
        <w:rPr>
          <w:color w:val="231F20"/>
        </w:rPr>
        <w:t>and</w:t>
      </w:r>
      <w:r>
        <w:rPr>
          <w:color w:val="231F20"/>
          <w:spacing w:val="-6"/>
        </w:rPr>
        <w:t> </w:t>
      </w:r>
      <w:r>
        <w:rPr>
          <w:color w:val="231F20"/>
        </w:rPr>
        <w:t>the</w:t>
      </w:r>
      <w:r>
        <w:rPr>
          <w:color w:val="231F20"/>
          <w:spacing w:val="-6"/>
        </w:rPr>
        <w:t> </w:t>
      </w:r>
      <w:r>
        <w:rPr>
          <w:color w:val="231F20"/>
        </w:rPr>
        <w:t>Chief Finance Officer.</w:t>
      </w:r>
    </w:p>
    <w:p>
      <w:pPr>
        <w:pStyle w:val="Heading4"/>
        <w:spacing w:before="284"/>
      </w:pPr>
      <w:r>
        <w:rPr>
          <w:color w:val="3B5673"/>
        </w:rPr>
        <w:t>Accounting</w:t>
      </w:r>
      <w:r>
        <w:rPr>
          <w:color w:val="3B5673"/>
          <w:spacing w:val="-10"/>
        </w:rPr>
        <w:t> </w:t>
      </w:r>
      <w:r>
        <w:rPr>
          <w:color w:val="3B5673"/>
          <w:spacing w:val="-2"/>
        </w:rPr>
        <w:t>Policies</w:t>
      </w:r>
    </w:p>
    <w:p>
      <w:pPr>
        <w:pStyle w:val="BodyText"/>
        <w:spacing w:line="225" w:lineRule="auto" w:before="6"/>
        <w:ind w:left="566"/>
      </w:pPr>
      <w:r>
        <w:rPr>
          <w:color w:val="231F20"/>
        </w:rPr>
        <w:t>These Policies explain the treatment and basis</w:t>
      </w:r>
      <w:r>
        <w:rPr>
          <w:color w:val="231F20"/>
          <w:spacing w:val="40"/>
        </w:rPr>
        <w:t> </w:t>
      </w:r>
      <w:r>
        <w:rPr>
          <w:color w:val="231F20"/>
        </w:rPr>
        <w:t>of</w:t>
      </w:r>
      <w:r>
        <w:rPr>
          <w:color w:val="231F20"/>
          <w:spacing w:val="-5"/>
        </w:rPr>
        <w:t> </w:t>
      </w:r>
      <w:r>
        <w:rPr>
          <w:color w:val="231F20"/>
        </w:rPr>
        <w:t>the</w:t>
      </w:r>
      <w:r>
        <w:rPr>
          <w:color w:val="231F20"/>
          <w:spacing w:val="-5"/>
        </w:rPr>
        <w:t> </w:t>
      </w:r>
      <w:r>
        <w:rPr>
          <w:color w:val="231F20"/>
        </w:rPr>
        <w:t>figures</w:t>
      </w:r>
      <w:r>
        <w:rPr>
          <w:color w:val="231F20"/>
          <w:spacing w:val="-5"/>
        </w:rPr>
        <w:t> </w:t>
      </w:r>
      <w:r>
        <w:rPr>
          <w:color w:val="231F20"/>
        </w:rPr>
        <w:t>in</w:t>
      </w:r>
      <w:r>
        <w:rPr>
          <w:color w:val="231F20"/>
          <w:spacing w:val="-6"/>
        </w:rPr>
        <w:t> </w:t>
      </w:r>
      <w:r>
        <w:rPr>
          <w:color w:val="231F20"/>
        </w:rPr>
        <w:t>the</w:t>
      </w:r>
      <w:r>
        <w:rPr>
          <w:color w:val="231F20"/>
          <w:spacing w:val="-5"/>
        </w:rPr>
        <w:t> </w:t>
      </w:r>
      <w:r>
        <w:rPr>
          <w:color w:val="231F20"/>
        </w:rPr>
        <w:t>accounts</w:t>
      </w:r>
      <w:r>
        <w:rPr>
          <w:color w:val="231F20"/>
          <w:spacing w:val="-5"/>
        </w:rPr>
        <w:t> </w:t>
      </w:r>
      <w:r>
        <w:rPr>
          <w:color w:val="231F20"/>
        </w:rPr>
        <w:t>in</w:t>
      </w:r>
      <w:r>
        <w:rPr>
          <w:color w:val="231F20"/>
          <w:spacing w:val="-6"/>
        </w:rPr>
        <w:t> </w:t>
      </w:r>
      <w:r>
        <w:rPr>
          <w:color w:val="231F20"/>
        </w:rPr>
        <w:t>accordance</w:t>
      </w:r>
      <w:r>
        <w:rPr>
          <w:color w:val="231F20"/>
          <w:spacing w:val="-5"/>
        </w:rPr>
        <w:t> </w:t>
      </w:r>
      <w:r>
        <w:rPr>
          <w:color w:val="231F20"/>
        </w:rPr>
        <w:t>with proper accounting practices.</w:t>
      </w:r>
    </w:p>
    <w:p>
      <w:pPr>
        <w:pStyle w:val="Heading4"/>
        <w:spacing w:before="284"/>
      </w:pPr>
      <w:r>
        <w:rPr>
          <w:color w:val="3B5673"/>
        </w:rPr>
        <w:t>Notes</w:t>
      </w:r>
      <w:r>
        <w:rPr>
          <w:color w:val="3B5673"/>
          <w:spacing w:val="-1"/>
        </w:rPr>
        <w:t> </w:t>
      </w:r>
      <w:r>
        <w:rPr>
          <w:color w:val="3B5673"/>
        </w:rPr>
        <w:t>to</w:t>
      </w:r>
      <w:r>
        <w:rPr>
          <w:color w:val="3B5673"/>
          <w:spacing w:val="-2"/>
        </w:rPr>
        <w:t> </w:t>
      </w:r>
      <w:r>
        <w:rPr>
          <w:color w:val="3B5673"/>
        </w:rPr>
        <w:t>the</w:t>
      </w:r>
      <w:r>
        <w:rPr>
          <w:color w:val="3B5673"/>
          <w:spacing w:val="-2"/>
        </w:rPr>
        <w:t> </w:t>
      </w:r>
      <w:r>
        <w:rPr>
          <w:color w:val="3B5673"/>
        </w:rPr>
        <w:t>Financial</w:t>
      </w:r>
      <w:r>
        <w:rPr>
          <w:color w:val="3B5673"/>
          <w:spacing w:val="-1"/>
        </w:rPr>
        <w:t> </w:t>
      </w:r>
      <w:r>
        <w:rPr>
          <w:color w:val="3B5673"/>
          <w:spacing w:val="-2"/>
        </w:rPr>
        <w:t>Statements</w:t>
      </w:r>
    </w:p>
    <w:p>
      <w:pPr>
        <w:pStyle w:val="BodyText"/>
        <w:spacing w:line="225" w:lineRule="auto" w:before="6"/>
        <w:ind w:left="566"/>
      </w:pPr>
      <w:r>
        <w:rPr>
          <w:color w:val="231F20"/>
        </w:rPr>
        <w:t>These provide additional information on important</w:t>
      </w:r>
      <w:r>
        <w:rPr>
          <w:color w:val="231F20"/>
          <w:spacing w:val="-7"/>
        </w:rPr>
        <w:t> </w:t>
      </w:r>
      <w:r>
        <w:rPr>
          <w:color w:val="231F20"/>
        </w:rPr>
        <w:t>points</w:t>
      </w:r>
      <w:r>
        <w:rPr>
          <w:color w:val="231F20"/>
          <w:spacing w:val="-6"/>
        </w:rPr>
        <w:t> </w:t>
      </w:r>
      <w:r>
        <w:rPr>
          <w:color w:val="231F20"/>
        </w:rPr>
        <w:t>included</w:t>
      </w:r>
      <w:r>
        <w:rPr>
          <w:color w:val="231F20"/>
          <w:spacing w:val="-7"/>
        </w:rPr>
        <w:t> </w:t>
      </w:r>
      <w:r>
        <w:rPr>
          <w:color w:val="231F20"/>
        </w:rPr>
        <w:t>in</w:t>
      </w:r>
      <w:r>
        <w:rPr>
          <w:color w:val="231F20"/>
          <w:spacing w:val="-7"/>
        </w:rPr>
        <w:t> </w:t>
      </w:r>
      <w:r>
        <w:rPr>
          <w:color w:val="231F20"/>
        </w:rPr>
        <w:t>the</w:t>
      </w:r>
      <w:r>
        <w:rPr>
          <w:color w:val="231F20"/>
          <w:spacing w:val="-6"/>
        </w:rPr>
        <w:t> </w:t>
      </w:r>
      <w:r>
        <w:rPr>
          <w:color w:val="231F20"/>
        </w:rPr>
        <w:t>Core</w:t>
      </w:r>
      <w:r>
        <w:rPr>
          <w:color w:val="231F20"/>
          <w:spacing w:val="-7"/>
        </w:rPr>
        <w:t> </w:t>
      </w:r>
      <w:r>
        <w:rPr>
          <w:color w:val="231F20"/>
        </w:rPr>
        <w:t>Financial </w:t>
      </w:r>
      <w:r>
        <w:rPr>
          <w:color w:val="231F20"/>
          <w:spacing w:val="-2"/>
        </w:rPr>
        <w:t>Statements.</w:t>
      </w:r>
    </w:p>
    <w:p>
      <w:pPr>
        <w:pStyle w:val="BodyText"/>
        <w:spacing w:before="7"/>
        <w:rPr>
          <w:sz w:val="22"/>
        </w:rPr>
      </w:pPr>
    </w:p>
    <w:p>
      <w:pPr>
        <w:spacing w:line="225" w:lineRule="auto" w:before="0"/>
        <w:ind w:left="566" w:right="223" w:firstLine="0"/>
        <w:jc w:val="left"/>
        <w:rPr>
          <w:sz w:val="24"/>
        </w:rPr>
      </w:pPr>
      <w:r>
        <w:rPr>
          <w:b/>
          <w:color w:val="3B5673"/>
          <w:sz w:val="24"/>
        </w:rPr>
        <w:t>Expenditure and Funding Analysis (EFA</w:t>
      </w:r>
      <w:r>
        <w:rPr>
          <w:color w:val="231F20"/>
          <w:sz w:val="24"/>
        </w:rPr>
        <w:t>) This</w:t>
      </w:r>
      <w:r>
        <w:rPr>
          <w:color w:val="231F20"/>
          <w:spacing w:val="-9"/>
          <w:sz w:val="24"/>
        </w:rPr>
        <w:t> </w:t>
      </w:r>
      <w:r>
        <w:rPr>
          <w:color w:val="231F20"/>
          <w:sz w:val="24"/>
        </w:rPr>
        <w:t>Statement</w:t>
      </w:r>
      <w:r>
        <w:rPr>
          <w:color w:val="231F20"/>
          <w:spacing w:val="-9"/>
          <w:sz w:val="24"/>
        </w:rPr>
        <w:t> </w:t>
      </w:r>
      <w:r>
        <w:rPr>
          <w:color w:val="231F20"/>
          <w:sz w:val="24"/>
        </w:rPr>
        <w:t>shows</w:t>
      </w:r>
      <w:r>
        <w:rPr>
          <w:color w:val="231F20"/>
          <w:spacing w:val="-10"/>
          <w:sz w:val="24"/>
        </w:rPr>
        <w:t> </w:t>
      </w:r>
      <w:r>
        <w:rPr>
          <w:color w:val="231F20"/>
          <w:sz w:val="24"/>
        </w:rPr>
        <w:t>how</w:t>
      </w:r>
      <w:r>
        <w:rPr>
          <w:color w:val="231F20"/>
          <w:spacing w:val="-9"/>
          <w:sz w:val="24"/>
        </w:rPr>
        <w:t> </w:t>
      </w:r>
      <w:r>
        <w:rPr>
          <w:color w:val="231F20"/>
          <w:sz w:val="24"/>
        </w:rPr>
        <w:t>annual</w:t>
      </w:r>
      <w:r>
        <w:rPr>
          <w:color w:val="231F20"/>
          <w:spacing w:val="-9"/>
          <w:sz w:val="24"/>
        </w:rPr>
        <w:t> </w:t>
      </w:r>
      <w:r>
        <w:rPr>
          <w:color w:val="231F20"/>
          <w:sz w:val="24"/>
        </w:rPr>
        <w:t>expenditure is used and funded from Council resources</w:t>
      </w:r>
    </w:p>
    <w:p>
      <w:pPr>
        <w:pStyle w:val="BodyText"/>
        <w:spacing w:line="225" w:lineRule="auto"/>
        <w:ind w:left="566"/>
      </w:pPr>
      <w:r>
        <w:rPr>
          <w:color w:val="231F20"/>
        </w:rPr>
        <w:t>in comparison with how those resources are consumed or earned by the Council. It also shows how this expenditure is allocated for decision</w:t>
      </w:r>
      <w:r>
        <w:rPr>
          <w:color w:val="231F20"/>
          <w:spacing w:val="-8"/>
        </w:rPr>
        <w:t> </w:t>
      </w:r>
      <w:r>
        <w:rPr>
          <w:color w:val="231F20"/>
        </w:rPr>
        <w:t>making</w:t>
      </w:r>
      <w:r>
        <w:rPr>
          <w:color w:val="231F20"/>
          <w:spacing w:val="-9"/>
        </w:rPr>
        <w:t> </w:t>
      </w:r>
      <w:r>
        <w:rPr>
          <w:color w:val="231F20"/>
        </w:rPr>
        <w:t>purposes</w:t>
      </w:r>
      <w:r>
        <w:rPr>
          <w:color w:val="231F20"/>
          <w:spacing w:val="-8"/>
        </w:rPr>
        <w:t> </w:t>
      </w:r>
      <w:r>
        <w:rPr>
          <w:color w:val="231F20"/>
        </w:rPr>
        <w:t>across</w:t>
      </w:r>
      <w:r>
        <w:rPr>
          <w:color w:val="231F20"/>
          <w:spacing w:val="-8"/>
        </w:rPr>
        <w:t> </w:t>
      </w:r>
      <w:r>
        <w:rPr>
          <w:color w:val="231F20"/>
        </w:rPr>
        <w:t>the</w:t>
      </w:r>
      <w:r>
        <w:rPr>
          <w:color w:val="231F20"/>
          <w:spacing w:val="-8"/>
        </w:rPr>
        <w:t> </w:t>
      </w:r>
      <w:r>
        <w:rPr>
          <w:color w:val="231F20"/>
        </w:rPr>
        <w:t>Council’s </w:t>
      </w:r>
      <w:r>
        <w:rPr>
          <w:color w:val="231F20"/>
          <w:spacing w:val="-2"/>
        </w:rPr>
        <w:t>Directorates.</w:t>
      </w:r>
    </w:p>
    <w:p>
      <w:pPr>
        <w:pStyle w:val="Heading4"/>
        <w:spacing w:before="284"/>
      </w:pPr>
      <w:r>
        <w:rPr>
          <w:color w:val="3B5673"/>
        </w:rPr>
        <w:t>Glossary</w:t>
      </w:r>
      <w:r>
        <w:rPr>
          <w:color w:val="3B5673"/>
          <w:spacing w:val="-6"/>
        </w:rPr>
        <w:t> </w:t>
      </w:r>
      <w:r>
        <w:rPr>
          <w:color w:val="3B5673"/>
        </w:rPr>
        <w:t>of</w:t>
      </w:r>
      <w:r>
        <w:rPr>
          <w:color w:val="3B5673"/>
          <w:spacing w:val="-6"/>
        </w:rPr>
        <w:t> </w:t>
      </w:r>
      <w:r>
        <w:rPr>
          <w:color w:val="3B5673"/>
        </w:rPr>
        <w:t>Terms</w:t>
      </w:r>
      <w:r>
        <w:rPr>
          <w:color w:val="3B5673"/>
          <w:spacing w:val="-5"/>
        </w:rPr>
        <w:t> </w:t>
      </w:r>
      <w:r>
        <w:rPr>
          <w:color w:val="3B5673"/>
        </w:rPr>
        <w:t>and</w:t>
      </w:r>
      <w:r>
        <w:rPr>
          <w:color w:val="3B5673"/>
          <w:spacing w:val="-5"/>
        </w:rPr>
        <w:t> </w:t>
      </w:r>
      <w:r>
        <w:rPr>
          <w:color w:val="3B5673"/>
          <w:spacing w:val="-2"/>
        </w:rPr>
        <w:t>Abbreviations</w:t>
      </w:r>
    </w:p>
    <w:p>
      <w:pPr>
        <w:pStyle w:val="BodyText"/>
        <w:spacing w:line="225" w:lineRule="auto" w:before="6"/>
        <w:ind w:left="566"/>
      </w:pPr>
      <w:r>
        <w:rPr/>
        <w:pict>
          <v:group style="position:absolute;margin-left:0pt;margin-top:68.460869pt;width:595.3pt;height:246.65pt;mso-position-horizontal-relative:page;mso-position-vertical-relative:paragraph;z-index:15758848" id="docshapegroup246" coordorigin="0,1369" coordsize="11906,4933">
            <v:shape style="position:absolute;left:0;top:1369;width:11906;height:4933" type="#_x0000_t75" id="docshape247" stroked="false">
              <v:imagedata r:id="rId63" o:title=""/>
            </v:shape>
            <v:shape style="position:absolute;left:141;top:6006;width:1325;height:205" type="#_x0000_t202" id="docshape248" filled="false" stroked="false">
              <v:textbox inset="0,0,0,0">
                <w:txbxContent>
                  <w:p>
                    <w:pPr>
                      <w:spacing w:line="204" w:lineRule="exact" w:before="0"/>
                      <w:ind w:left="0" w:right="0" w:firstLine="0"/>
                      <w:jc w:val="left"/>
                      <w:rPr>
                        <w:rFonts w:ascii="Poppins"/>
                        <w:sz w:val="20"/>
                      </w:rPr>
                    </w:pPr>
                    <w:r>
                      <w:rPr>
                        <w:rFonts w:ascii="Poppins"/>
                        <w:color w:val="FFFFFF"/>
                        <w:sz w:val="20"/>
                      </w:rPr>
                      <w:t>Peter </w:t>
                    </w:r>
                    <w:r>
                      <w:rPr>
                        <w:rFonts w:ascii="Poppins"/>
                        <w:color w:val="FFFFFF"/>
                        <w:spacing w:val="-2"/>
                        <w:sz w:val="20"/>
                      </w:rPr>
                      <w:t>Ludlam</w:t>
                    </w:r>
                  </w:p>
                </w:txbxContent>
              </v:textbox>
              <w10:wrap type="none"/>
            </v:shape>
            <w10:wrap type="none"/>
          </v:group>
        </w:pict>
      </w:r>
      <w:r>
        <w:rPr>
          <w:color w:val="231F20"/>
        </w:rPr>
        <w:t>Key</w:t>
      </w:r>
      <w:r>
        <w:rPr>
          <w:color w:val="231F20"/>
          <w:spacing w:val="-8"/>
        </w:rPr>
        <w:t> </w:t>
      </w:r>
      <w:r>
        <w:rPr>
          <w:color w:val="231F20"/>
        </w:rPr>
        <w:t>terms</w:t>
      </w:r>
      <w:r>
        <w:rPr>
          <w:color w:val="231F20"/>
          <w:spacing w:val="-8"/>
        </w:rPr>
        <w:t> </w:t>
      </w:r>
      <w:r>
        <w:rPr>
          <w:color w:val="231F20"/>
        </w:rPr>
        <w:t>used</w:t>
      </w:r>
      <w:r>
        <w:rPr>
          <w:color w:val="231F20"/>
          <w:spacing w:val="-8"/>
        </w:rPr>
        <w:t> </w:t>
      </w:r>
      <w:r>
        <w:rPr>
          <w:color w:val="231F20"/>
        </w:rPr>
        <w:t>throughout</w:t>
      </w:r>
      <w:r>
        <w:rPr>
          <w:color w:val="231F20"/>
          <w:spacing w:val="-8"/>
        </w:rPr>
        <w:t> </w:t>
      </w:r>
      <w:r>
        <w:rPr>
          <w:color w:val="231F20"/>
        </w:rPr>
        <w:t>this</w:t>
      </w:r>
      <w:r>
        <w:rPr>
          <w:color w:val="231F20"/>
          <w:spacing w:val="-8"/>
        </w:rPr>
        <w:t> </w:t>
      </w:r>
      <w:r>
        <w:rPr>
          <w:color w:val="231F20"/>
        </w:rPr>
        <w:t>Statement</w:t>
      </w:r>
      <w:r>
        <w:rPr>
          <w:color w:val="231F20"/>
          <w:spacing w:val="-8"/>
        </w:rPr>
        <w:t> </w:t>
      </w:r>
      <w:r>
        <w:rPr>
          <w:color w:val="231F20"/>
        </w:rPr>
        <w:t>of Accounts are more fully explained.</w:t>
      </w:r>
    </w:p>
    <w:p>
      <w:pPr>
        <w:pStyle w:val="Heading4"/>
        <w:spacing w:before="100"/>
        <w:ind w:left="356"/>
      </w:pPr>
      <w:r>
        <w:rPr>
          <w:b w:val="0"/>
        </w:rPr>
        <w:br w:type="column"/>
      </w:r>
      <w:r>
        <w:rPr>
          <w:color w:val="3B5673"/>
        </w:rPr>
        <w:t>Further</w:t>
      </w:r>
      <w:r>
        <w:rPr>
          <w:color w:val="3B5673"/>
          <w:spacing w:val="2"/>
        </w:rPr>
        <w:t> </w:t>
      </w:r>
      <w:r>
        <w:rPr>
          <w:color w:val="3B5673"/>
          <w:spacing w:val="-2"/>
        </w:rPr>
        <w:t>Information</w:t>
      </w:r>
    </w:p>
    <w:p>
      <w:pPr>
        <w:pStyle w:val="BodyText"/>
        <w:spacing w:line="225" w:lineRule="auto" w:before="6"/>
        <w:ind w:left="356"/>
      </w:pPr>
      <w:r>
        <w:rPr>
          <w:color w:val="231F20"/>
        </w:rPr>
        <w:t>If</w:t>
      </w:r>
      <w:r>
        <w:rPr>
          <w:color w:val="231F20"/>
          <w:spacing w:val="-6"/>
        </w:rPr>
        <w:t> </w:t>
      </w:r>
      <w:r>
        <w:rPr>
          <w:color w:val="231F20"/>
        </w:rPr>
        <w:t>you</w:t>
      </w:r>
      <w:r>
        <w:rPr>
          <w:color w:val="231F20"/>
          <w:spacing w:val="-5"/>
        </w:rPr>
        <w:t> </w:t>
      </w:r>
      <w:r>
        <w:rPr>
          <w:color w:val="231F20"/>
        </w:rPr>
        <w:t>require</w:t>
      </w:r>
      <w:r>
        <w:rPr>
          <w:color w:val="231F20"/>
          <w:spacing w:val="-5"/>
        </w:rPr>
        <w:t> </w:t>
      </w:r>
      <w:r>
        <w:rPr>
          <w:color w:val="231F20"/>
        </w:rPr>
        <w:t>further</w:t>
      </w:r>
      <w:r>
        <w:rPr>
          <w:color w:val="231F20"/>
          <w:spacing w:val="-5"/>
        </w:rPr>
        <w:t> </w:t>
      </w:r>
      <w:r>
        <w:rPr>
          <w:color w:val="231F20"/>
        </w:rPr>
        <w:t>information</w:t>
      </w:r>
      <w:r>
        <w:rPr>
          <w:color w:val="231F20"/>
          <w:spacing w:val="-6"/>
        </w:rPr>
        <w:t> </w:t>
      </w:r>
      <w:r>
        <w:rPr>
          <w:color w:val="231F20"/>
        </w:rPr>
        <w:t>concerning</w:t>
      </w:r>
      <w:r>
        <w:rPr>
          <w:color w:val="231F20"/>
          <w:spacing w:val="-5"/>
        </w:rPr>
        <w:t> </w:t>
      </w:r>
      <w:r>
        <w:rPr>
          <w:color w:val="231F20"/>
        </w:rPr>
        <w:t>the Council’s 2022/23 Accounts please contact:</w:t>
      </w:r>
    </w:p>
    <w:p>
      <w:pPr>
        <w:pStyle w:val="BodyText"/>
        <w:spacing w:line="310" w:lineRule="exact" w:before="284"/>
        <w:ind w:left="356"/>
      </w:pPr>
      <w:r>
        <w:rPr>
          <w:color w:val="231F20"/>
        </w:rPr>
        <w:t>The</w:t>
      </w:r>
      <w:r>
        <w:rPr>
          <w:color w:val="231F20"/>
          <w:spacing w:val="-6"/>
        </w:rPr>
        <w:t> </w:t>
      </w:r>
      <w:r>
        <w:rPr>
          <w:color w:val="231F20"/>
        </w:rPr>
        <w:t>Corporate</w:t>
      </w:r>
      <w:r>
        <w:rPr>
          <w:color w:val="231F20"/>
          <w:spacing w:val="-6"/>
        </w:rPr>
        <w:t> </w:t>
      </w:r>
      <w:r>
        <w:rPr>
          <w:color w:val="231F20"/>
        </w:rPr>
        <w:t>Resources</w:t>
      </w:r>
      <w:r>
        <w:rPr>
          <w:color w:val="231F20"/>
          <w:spacing w:val="-5"/>
        </w:rPr>
        <w:t> </w:t>
      </w:r>
      <w:r>
        <w:rPr>
          <w:color w:val="231F20"/>
          <w:spacing w:val="-2"/>
        </w:rPr>
        <w:t>Director</w:t>
      </w:r>
    </w:p>
    <w:p>
      <w:pPr>
        <w:pStyle w:val="BodyText"/>
        <w:spacing w:line="300" w:lineRule="exact"/>
        <w:ind w:left="356"/>
      </w:pPr>
      <w:r>
        <w:rPr>
          <w:color w:val="231F20"/>
        </w:rPr>
        <w:t>Ashfield</w:t>
      </w:r>
      <w:r>
        <w:rPr>
          <w:color w:val="231F20"/>
          <w:spacing w:val="-8"/>
        </w:rPr>
        <w:t> </w:t>
      </w:r>
      <w:r>
        <w:rPr>
          <w:color w:val="231F20"/>
        </w:rPr>
        <w:t>District</w:t>
      </w:r>
      <w:r>
        <w:rPr>
          <w:color w:val="231F20"/>
          <w:spacing w:val="-9"/>
        </w:rPr>
        <w:t> </w:t>
      </w:r>
      <w:r>
        <w:rPr>
          <w:color w:val="231F20"/>
          <w:spacing w:val="-2"/>
        </w:rPr>
        <w:t>Council</w:t>
      </w:r>
    </w:p>
    <w:p>
      <w:pPr>
        <w:pStyle w:val="BodyText"/>
        <w:spacing w:line="225" w:lineRule="auto" w:before="6"/>
        <w:ind w:left="356" w:right="3865"/>
      </w:pPr>
      <w:r>
        <w:rPr>
          <w:color w:val="231F20"/>
        </w:rPr>
        <w:t>Urban Road, Kirkby</w:t>
      </w:r>
      <w:r>
        <w:rPr>
          <w:color w:val="231F20"/>
          <w:spacing w:val="-17"/>
        </w:rPr>
        <w:t> </w:t>
      </w:r>
      <w:r>
        <w:rPr>
          <w:color w:val="231F20"/>
        </w:rPr>
        <w:t>in</w:t>
      </w:r>
      <w:r>
        <w:rPr>
          <w:color w:val="231F20"/>
          <w:spacing w:val="-16"/>
        </w:rPr>
        <w:t> </w:t>
      </w:r>
      <w:r>
        <w:rPr>
          <w:color w:val="231F20"/>
        </w:rPr>
        <w:t>Ashfield, </w:t>
      </w:r>
      <w:r>
        <w:rPr>
          <w:color w:val="231F20"/>
          <w:spacing w:val="-2"/>
        </w:rPr>
        <w:t>Nottinghamshire </w:t>
      </w:r>
      <w:r>
        <w:rPr>
          <w:color w:val="231F20"/>
        </w:rPr>
        <w:t>NG17 8DA</w:t>
      </w:r>
    </w:p>
    <w:p>
      <w:pPr>
        <w:spacing w:line="310" w:lineRule="exact" w:before="284"/>
        <w:ind w:left="356" w:right="0" w:firstLine="0"/>
        <w:jc w:val="left"/>
        <w:rPr>
          <w:b/>
          <w:sz w:val="24"/>
        </w:rPr>
      </w:pPr>
      <w:r>
        <w:rPr>
          <w:color w:val="231F20"/>
          <w:sz w:val="24"/>
        </w:rPr>
        <w:t>Telephone:</w:t>
      </w:r>
      <w:r>
        <w:rPr>
          <w:color w:val="231F20"/>
          <w:spacing w:val="-15"/>
          <w:sz w:val="24"/>
        </w:rPr>
        <w:t> </w:t>
      </w:r>
      <w:r>
        <w:rPr>
          <w:b/>
          <w:color w:val="231F20"/>
          <w:sz w:val="24"/>
        </w:rPr>
        <w:t>01623</w:t>
      </w:r>
      <w:r>
        <w:rPr>
          <w:b/>
          <w:color w:val="231F20"/>
          <w:spacing w:val="-15"/>
          <w:sz w:val="24"/>
        </w:rPr>
        <w:t> </w:t>
      </w:r>
      <w:r>
        <w:rPr>
          <w:b/>
          <w:color w:val="231F20"/>
          <w:spacing w:val="-2"/>
          <w:sz w:val="24"/>
        </w:rPr>
        <w:t>457362</w:t>
      </w:r>
    </w:p>
    <w:p>
      <w:pPr>
        <w:spacing w:line="310" w:lineRule="exact" w:before="0"/>
        <w:ind w:left="356" w:right="0" w:firstLine="0"/>
        <w:jc w:val="left"/>
        <w:rPr>
          <w:b/>
          <w:sz w:val="24"/>
        </w:rPr>
      </w:pPr>
      <w:r>
        <w:rPr/>
        <w:pict>
          <v:group style="position:absolute;margin-left:578.504028pt;margin-top:91.606323pt;width:16.8pt;height:192.8pt;mso-position-horizontal-relative:page;mso-position-vertical-relative:paragraph;z-index:15759360" id="docshapegroup249" coordorigin="11570,1832" coordsize="336,3856">
            <v:rect style="position:absolute;left:11570;top:4723;width:336;height:964" id="docshape250" filled="true" fillcolor="#f15d6b" stroked="false">
              <v:fill type="solid"/>
            </v:rect>
            <v:rect style="position:absolute;left:11570;top:3759;width:336;height:964" id="docshape251" filled="true" fillcolor="#fbac42" stroked="false">
              <v:fill type="solid"/>
            </v:rect>
            <v:rect style="position:absolute;left:11570;top:2795;width:336;height:964" id="docshape252" filled="true" fillcolor="#b78fc1" stroked="false">
              <v:fill type="solid"/>
            </v:rect>
            <v:rect style="position:absolute;left:11570;top:1832;width:336;height:964" id="docshape253" filled="true" fillcolor="#378372" stroked="false">
              <v:fill type="solid"/>
            </v:rect>
            <w10:wrap type="none"/>
          </v:group>
        </w:pict>
      </w:r>
      <w:r>
        <w:rPr>
          <w:color w:val="231F20"/>
          <w:sz w:val="24"/>
        </w:rPr>
        <w:t>or</w:t>
      </w:r>
      <w:r>
        <w:rPr>
          <w:color w:val="231F20"/>
          <w:spacing w:val="65"/>
          <w:sz w:val="24"/>
        </w:rPr>
        <w:t> </w:t>
      </w:r>
      <w:r>
        <w:rPr>
          <w:color w:val="231F20"/>
          <w:sz w:val="24"/>
        </w:rPr>
        <w:t>Email:</w:t>
      </w:r>
      <w:r>
        <w:rPr>
          <w:color w:val="231F20"/>
          <w:spacing w:val="-1"/>
          <w:sz w:val="24"/>
        </w:rPr>
        <w:t> </w:t>
      </w:r>
      <w:hyperlink r:id="rId64">
        <w:r>
          <w:rPr>
            <w:b/>
            <w:color w:val="231F20"/>
            <w:spacing w:val="-2"/>
            <w:sz w:val="24"/>
          </w:rPr>
          <w:t>pete.hudson@ashfield.gov.uk</w:t>
        </w:r>
      </w:hyperlink>
    </w:p>
    <w:p>
      <w:pPr>
        <w:spacing w:after="0" w:line="310" w:lineRule="exact"/>
        <w:jc w:val="left"/>
        <w:rPr>
          <w:sz w:val="24"/>
        </w:rPr>
        <w:sectPr>
          <w:type w:val="continuous"/>
          <w:pgSz w:w="11910" w:h="16840"/>
          <w:pgMar w:header="377" w:footer="367" w:top="260" w:bottom="0" w:left="0" w:right="0"/>
          <w:cols w:num="2" w:equalWidth="0">
            <w:col w:w="5698" w:space="40"/>
            <w:col w:w="6172"/>
          </w:cols>
        </w:sectPr>
      </w:pPr>
    </w:p>
    <w:p>
      <w:pPr>
        <w:spacing w:after="0" w:line="310" w:lineRule="exact"/>
        <w:jc w:val="left"/>
        <w:rPr>
          <w:sz w:val="24"/>
        </w:rPr>
        <w:sectPr>
          <w:type w:val="continuous"/>
          <w:pgSz w:w="11910" w:h="16840"/>
          <w:pgMar w:header="377" w:footer="367" w:top="260" w:bottom="0" w:left="0" w:right="0"/>
        </w:sectPr>
      </w:pPr>
    </w:p>
    <w:p>
      <w:pPr>
        <w:pStyle w:val="BodyText"/>
        <w:spacing w:before="6"/>
        <w:rPr>
          <w:b/>
          <w:sz w:val="16"/>
        </w:rPr>
      </w:pPr>
    </w:p>
    <w:p>
      <w:pPr>
        <w:pStyle w:val="Heading2"/>
        <w:ind w:left="574"/>
      </w:pPr>
      <w:r>
        <w:rPr/>
        <w:pict>
          <v:group style="position:absolute;margin-left:0pt;margin-top:35.000015pt;width:595.3pt;height:69.95pt;mso-position-horizontal-relative:page;mso-position-vertical-relative:paragraph;z-index:-16852992" id="docshapegroup254" coordorigin="0,700" coordsize="11906,1399">
            <v:rect style="position:absolute;left:0;top:861;width:11906;height:1134" id="docshape255" filled="true" fillcolor="#c9cbd4" stroked="false">
              <v:fill type="solid"/>
            </v:rect>
            <v:shape style="position:absolute;left:0;top:700;width:11906;height:1399" type="#_x0000_t202" id="docshape256" filled="false" stroked="false">
              <v:textbox inset="0,0,0,0">
                <w:txbxContent>
                  <w:p>
                    <w:pPr>
                      <w:spacing w:line="699" w:lineRule="exact" w:before="0"/>
                      <w:ind w:left="0" w:right="554" w:firstLine="0"/>
                      <w:jc w:val="right"/>
                      <w:rPr>
                        <w:b/>
                        <w:sz w:val="60"/>
                      </w:rPr>
                    </w:pPr>
                    <w:r>
                      <w:rPr>
                        <w:b/>
                        <w:color w:val="3B5673"/>
                        <w:spacing w:val="13"/>
                        <w:sz w:val="60"/>
                      </w:rPr>
                      <w:t>FOR</w:t>
                    </w:r>
                    <w:r>
                      <w:rPr>
                        <w:b/>
                        <w:color w:val="3B5673"/>
                        <w:spacing w:val="21"/>
                        <w:sz w:val="60"/>
                      </w:rPr>
                      <w:t> </w:t>
                    </w:r>
                    <w:r>
                      <w:rPr>
                        <w:b/>
                        <w:color w:val="3B5673"/>
                        <w:spacing w:val="14"/>
                        <w:sz w:val="60"/>
                      </w:rPr>
                      <w:t>THE</w:t>
                    </w:r>
                    <w:r>
                      <w:rPr>
                        <w:b/>
                        <w:color w:val="3B5673"/>
                        <w:spacing w:val="22"/>
                        <w:sz w:val="60"/>
                      </w:rPr>
                      <w:t> </w:t>
                    </w:r>
                    <w:r>
                      <w:rPr>
                        <w:b/>
                        <w:color w:val="3B5673"/>
                        <w:spacing w:val="9"/>
                        <w:sz w:val="60"/>
                      </w:rPr>
                      <w:t>STATEMENT</w:t>
                    </w:r>
                  </w:p>
                  <w:p>
                    <w:pPr>
                      <w:spacing w:line="699" w:lineRule="exact" w:before="0"/>
                      <w:ind w:left="0" w:right="577" w:firstLine="0"/>
                      <w:jc w:val="right"/>
                      <w:rPr>
                        <w:b/>
                        <w:sz w:val="60"/>
                      </w:rPr>
                    </w:pPr>
                    <w:r>
                      <w:rPr>
                        <w:b/>
                        <w:color w:val="3B5673"/>
                        <w:spacing w:val="10"/>
                        <w:sz w:val="60"/>
                      </w:rPr>
                      <w:t>OF</w:t>
                    </w:r>
                    <w:r>
                      <w:rPr>
                        <w:b/>
                        <w:color w:val="3B5673"/>
                        <w:spacing w:val="18"/>
                        <w:sz w:val="60"/>
                      </w:rPr>
                      <w:t> </w:t>
                    </w:r>
                    <w:r>
                      <w:rPr>
                        <w:b/>
                        <w:color w:val="3B5673"/>
                        <w:spacing w:val="11"/>
                        <w:sz w:val="60"/>
                      </w:rPr>
                      <w:t>ACCOUNTS</w:t>
                    </w:r>
                  </w:p>
                </w:txbxContent>
              </v:textbox>
              <w10:wrap type="none"/>
            </v:shape>
            <w10:wrap type="none"/>
          </v:group>
        </w:pict>
      </w:r>
      <w:r>
        <w:rPr>
          <w:color w:val="3B5673"/>
          <w:spacing w:val="14"/>
        </w:rPr>
        <w:t>THE</w:t>
      </w:r>
      <w:r>
        <w:rPr>
          <w:color w:val="3B5673"/>
          <w:spacing w:val="8"/>
        </w:rPr>
        <w:t> </w:t>
      </w:r>
      <w:r>
        <w:rPr>
          <w:color w:val="3B5673"/>
          <w:spacing w:val="9"/>
        </w:rPr>
        <w:t>STATEMENT </w:t>
      </w:r>
      <w:r>
        <w:rPr>
          <w:color w:val="3B5673"/>
          <w:spacing w:val="10"/>
        </w:rPr>
        <w:t>OF</w:t>
      </w:r>
      <w:r>
        <w:rPr>
          <w:color w:val="3B5673"/>
          <w:spacing w:val="9"/>
        </w:rPr>
        <w:t> </w:t>
      </w:r>
      <w:r>
        <w:rPr>
          <w:color w:val="3B5673"/>
          <w:spacing w:val="18"/>
        </w:rPr>
        <w:t>RESPONSIBILITIES</w:t>
      </w:r>
    </w:p>
    <w:p>
      <w:pPr>
        <w:pStyle w:val="BodyText"/>
        <w:rPr>
          <w:sz w:val="20"/>
        </w:rPr>
      </w:pPr>
    </w:p>
    <w:p>
      <w:pPr>
        <w:pStyle w:val="BodyText"/>
        <w:rPr>
          <w:sz w:val="20"/>
        </w:rPr>
      </w:pPr>
    </w:p>
    <w:p>
      <w:pPr>
        <w:pStyle w:val="BodyText"/>
        <w:rPr>
          <w:sz w:val="20"/>
        </w:rPr>
      </w:pPr>
    </w:p>
    <w:p>
      <w:pPr>
        <w:pStyle w:val="BodyText"/>
        <w:spacing w:before="7"/>
        <w:rPr>
          <w:sz w:val="22"/>
        </w:rPr>
      </w:pPr>
    </w:p>
    <w:p>
      <w:pPr>
        <w:pStyle w:val="Heading3"/>
        <w:spacing w:line="240" w:lineRule="auto"/>
      </w:pPr>
      <w:r>
        <w:rPr>
          <w:color w:val="3B5673"/>
        </w:rPr>
        <w:t>RESPONSIBILITIES</w:t>
      </w:r>
      <w:r>
        <w:rPr>
          <w:color w:val="3B5673"/>
          <w:spacing w:val="56"/>
        </w:rPr>
        <w:t> </w:t>
      </w:r>
      <w:r>
        <w:rPr>
          <w:color w:val="3B5673"/>
        </w:rPr>
        <w:t>OF</w:t>
      </w:r>
      <w:r>
        <w:rPr>
          <w:color w:val="3B5673"/>
          <w:spacing w:val="56"/>
        </w:rPr>
        <w:t> </w:t>
      </w:r>
      <w:r>
        <w:rPr>
          <w:color w:val="3B5673"/>
        </w:rPr>
        <w:t>THE</w:t>
      </w:r>
      <w:r>
        <w:rPr>
          <w:color w:val="3B5673"/>
          <w:spacing w:val="56"/>
        </w:rPr>
        <w:t> </w:t>
      </w:r>
      <w:r>
        <w:rPr>
          <w:color w:val="3B5673"/>
          <w:spacing w:val="-2"/>
        </w:rPr>
        <w:t>COUNCIL</w:t>
      </w:r>
    </w:p>
    <w:p>
      <w:pPr>
        <w:pStyle w:val="Heading4"/>
        <w:spacing w:before="281"/>
      </w:pPr>
      <w:r>
        <w:rPr>
          <w:color w:val="3B5673"/>
        </w:rPr>
        <w:t>The</w:t>
      </w:r>
      <w:r>
        <w:rPr>
          <w:color w:val="3B5673"/>
          <w:spacing w:val="-3"/>
        </w:rPr>
        <w:t> </w:t>
      </w:r>
      <w:r>
        <w:rPr>
          <w:color w:val="3B5673"/>
        </w:rPr>
        <w:t>Council</w:t>
      </w:r>
      <w:r>
        <w:rPr>
          <w:color w:val="3B5673"/>
          <w:spacing w:val="-2"/>
        </w:rPr>
        <w:t> </w:t>
      </w:r>
      <w:r>
        <w:rPr>
          <w:color w:val="3B5673"/>
        </w:rPr>
        <w:t>is</w:t>
      </w:r>
      <w:r>
        <w:rPr>
          <w:color w:val="3B5673"/>
          <w:spacing w:val="-3"/>
        </w:rPr>
        <w:t> </w:t>
      </w:r>
      <w:r>
        <w:rPr>
          <w:color w:val="3B5673"/>
        </w:rPr>
        <w:t>required</w:t>
      </w:r>
      <w:r>
        <w:rPr>
          <w:color w:val="3B5673"/>
          <w:spacing w:val="-2"/>
        </w:rPr>
        <w:t> </w:t>
      </w:r>
      <w:r>
        <w:rPr>
          <w:color w:val="3B5673"/>
          <w:spacing w:val="-5"/>
        </w:rPr>
        <w:t>to:</w:t>
      </w:r>
    </w:p>
    <w:p>
      <w:pPr>
        <w:pStyle w:val="ListParagraph"/>
        <w:numPr>
          <w:ilvl w:val="0"/>
          <w:numId w:val="10"/>
        </w:numPr>
        <w:tabs>
          <w:tab w:pos="737" w:val="left" w:leader="none"/>
        </w:tabs>
        <w:spacing w:line="225" w:lineRule="auto" w:before="6" w:after="0"/>
        <w:ind w:left="737" w:right="2915" w:hanging="171"/>
        <w:jc w:val="left"/>
        <w:rPr>
          <w:sz w:val="24"/>
        </w:rPr>
      </w:pPr>
      <w:r>
        <w:rPr>
          <w:color w:val="231F20"/>
          <w:sz w:val="24"/>
        </w:rPr>
        <w:t>Make</w:t>
      </w:r>
      <w:r>
        <w:rPr>
          <w:color w:val="231F20"/>
          <w:spacing w:val="-3"/>
          <w:sz w:val="24"/>
        </w:rPr>
        <w:t> </w:t>
      </w:r>
      <w:r>
        <w:rPr>
          <w:color w:val="231F20"/>
          <w:sz w:val="24"/>
        </w:rPr>
        <w:t>arrangements</w:t>
      </w:r>
      <w:r>
        <w:rPr>
          <w:color w:val="231F20"/>
          <w:spacing w:val="-3"/>
          <w:sz w:val="24"/>
        </w:rPr>
        <w:t> </w:t>
      </w:r>
      <w:r>
        <w:rPr>
          <w:color w:val="231F20"/>
          <w:sz w:val="24"/>
        </w:rPr>
        <w:t>for</w:t>
      </w:r>
      <w:r>
        <w:rPr>
          <w:color w:val="231F20"/>
          <w:spacing w:val="-3"/>
          <w:sz w:val="24"/>
        </w:rPr>
        <w:t> </w:t>
      </w:r>
      <w:r>
        <w:rPr>
          <w:color w:val="231F20"/>
          <w:sz w:val="24"/>
        </w:rPr>
        <w:t>the</w:t>
      </w:r>
      <w:r>
        <w:rPr>
          <w:color w:val="231F20"/>
          <w:spacing w:val="-3"/>
          <w:sz w:val="24"/>
        </w:rPr>
        <w:t> </w:t>
      </w:r>
      <w:r>
        <w:rPr>
          <w:color w:val="231F20"/>
          <w:sz w:val="24"/>
        </w:rPr>
        <w:t>proper</w:t>
      </w:r>
      <w:r>
        <w:rPr>
          <w:color w:val="231F20"/>
          <w:spacing w:val="-3"/>
          <w:sz w:val="24"/>
        </w:rPr>
        <w:t> </w:t>
      </w:r>
      <w:r>
        <w:rPr>
          <w:color w:val="231F20"/>
          <w:sz w:val="24"/>
        </w:rPr>
        <w:t>administration</w:t>
      </w:r>
      <w:r>
        <w:rPr>
          <w:color w:val="231F20"/>
          <w:spacing w:val="-3"/>
          <w:sz w:val="24"/>
        </w:rPr>
        <w:t> </w:t>
      </w:r>
      <w:r>
        <w:rPr>
          <w:color w:val="231F20"/>
          <w:sz w:val="24"/>
        </w:rPr>
        <w:t>of</w:t>
      </w:r>
      <w:r>
        <w:rPr>
          <w:color w:val="231F20"/>
          <w:spacing w:val="-3"/>
          <w:sz w:val="24"/>
        </w:rPr>
        <w:t> </w:t>
      </w:r>
      <w:r>
        <w:rPr>
          <w:color w:val="231F20"/>
          <w:sz w:val="24"/>
        </w:rPr>
        <w:t>its</w:t>
      </w:r>
      <w:r>
        <w:rPr>
          <w:color w:val="231F20"/>
          <w:spacing w:val="-4"/>
          <w:sz w:val="24"/>
        </w:rPr>
        <w:t> </w:t>
      </w:r>
      <w:r>
        <w:rPr>
          <w:color w:val="231F20"/>
          <w:sz w:val="24"/>
        </w:rPr>
        <w:t>financial</w:t>
      </w:r>
      <w:r>
        <w:rPr>
          <w:color w:val="231F20"/>
          <w:spacing w:val="-3"/>
          <w:sz w:val="24"/>
        </w:rPr>
        <w:t> </w:t>
      </w:r>
      <w:r>
        <w:rPr>
          <w:color w:val="231F20"/>
          <w:sz w:val="24"/>
        </w:rPr>
        <w:t>affairs</w:t>
      </w:r>
      <w:r>
        <w:rPr>
          <w:color w:val="231F20"/>
          <w:spacing w:val="-3"/>
          <w:sz w:val="24"/>
        </w:rPr>
        <w:t> </w:t>
      </w:r>
      <w:r>
        <w:rPr>
          <w:color w:val="231F20"/>
          <w:sz w:val="24"/>
        </w:rPr>
        <w:t>and</w:t>
      </w:r>
      <w:r>
        <w:rPr>
          <w:color w:val="231F20"/>
          <w:spacing w:val="-3"/>
          <w:sz w:val="24"/>
        </w:rPr>
        <w:t> </w:t>
      </w:r>
      <w:r>
        <w:rPr>
          <w:color w:val="231F20"/>
          <w:sz w:val="24"/>
        </w:rPr>
        <w:t>to ensure that one of its officers has the responsibility for the administration of those affairs. In this Council, that officer is the Corporate Resources Director;</w:t>
      </w:r>
    </w:p>
    <w:p>
      <w:pPr>
        <w:pStyle w:val="ListParagraph"/>
        <w:numPr>
          <w:ilvl w:val="0"/>
          <w:numId w:val="10"/>
        </w:numPr>
        <w:tabs>
          <w:tab w:pos="737" w:val="left" w:leader="none"/>
        </w:tabs>
        <w:spacing w:line="225" w:lineRule="auto" w:before="57" w:after="0"/>
        <w:ind w:left="737" w:right="2985" w:hanging="171"/>
        <w:jc w:val="left"/>
        <w:rPr>
          <w:sz w:val="24"/>
        </w:rPr>
      </w:pPr>
      <w:r>
        <w:rPr>
          <w:color w:val="231F20"/>
          <w:sz w:val="24"/>
        </w:rPr>
        <w:t>Manage</w:t>
      </w:r>
      <w:r>
        <w:rPr>
          <w:color w:val="231F20"/>
          <w:spacing w:val="-3"/>
          <w:sz w:val="24"/>
        </w:rPr>
        <w:t> </w:t>
      </w:r>
      <w:r>
        <w:rPr>
          <w:color w:val="231F20"/>
          <w:sz w:val="24"/>
        </w:rPr>
        <w:t>its</w:t>
      </w:r>
      <w:r>
        <w:rPr>
          <w:color w:val="231F20"/>
          <w:spacing w:val="-4"/>
          <w:sz w:val="24"/>
        </w:rPr>
        <w:t> </w:t>
      </w:r>
      <w:r>
        <w:rPr>
          <w:color w:val="231F20"/>
          <w:sz w:val="24"/>
        </w:rPr>
        <w:t>affairs</w:t>
      </w:r>
      <w:r>
        <w:rPr>
          <w:color w:val="231F20"/>
          <w:spacing w:val="-3"/>
          <w:sz w:val="24"/>
        </w:rPr>
        <w:t> </w:t>
      </w:r>
      <w:r>
        <w:rPr>
          <w:color w:val="231F20"/>
          <w:sz w:val="24"/>
        </w:rPr>
        <w:t>to</w:t>
      </w:r>
      <w:r>
        <w:rPr>
          <w:color w:val="231F20"/>
          <w:spacing w:val="-3"/>
          <w:sz w:val="24"/>
        </w:rPr>
        <w:t> </w:t>
      </w:r>
      <w:r>
        <w:rPr>
          <w:color w:val="231F20"/>
          <w:sz w:val="24"/>
        </w:rPr>
        <w:t>secure</w:t>
      </w:r>
      <w:r>
        <w:rPr>
          <w:color w:val="231F20"/>
          <w:spacing w:val="-4"/>
          <w:sz w:val="24"/>
        </w:rPr>
        <w:t> </w:t>
      </w:r>
      <w:r>
        <w:rPr>
          <w:color w:val="231F20"/>
          <w:sz w:val="24"/>
        </w:rPr>
        <w:t>economic,</w:t>
      </w:r>
      <w:r>
        <w:rPr>
          <w:color w:val="231F20"/>
          <w:spacing w:val="-3"/>
          <w:sz w:val="24"/>
        </w:rPr>
        <w:t> </w:t>
      </w:r>
      <w:r>
        <w:rPr>
          <w:color w:val="231F20"/>
          <w:sz w:val="24"/>
        </w:rPr>
        <w:t>efficient</w:t>
      </w:r>
      <w:r>
        <w:rPr>
          <w:color w:val="231F20"/>
          <w:spacing w:val="-3"/>
          <w:sz w:val="24"/>
        </w:rPr>
        <w:t> </w:t>
      </w:r>
      <w:r>
        <w:rPr>
          <w:color w:val="231F20"/>
          <w:sz w:val="24"/>
        </w:rPr>
        <w:t>and</w:t>
      </w:r>
      <w:r>
        <w:rPr>
          <w:color w:val="231F20"/>
          <w:spacing w:val="-3"/>
          <w:sz w:val="24"/>
        </w:rPr>
        <w:t> </w:t>
      </w:r>
      <w:r>
        <w:rPr>
          <w:color w:val="231F20"/>
          <w:sz w:val="24"/>
        </w:rPr>
        <w:t>effective</w:t>
      </w:r>
      <w:r>
        <w:rPr>
          <w:color w:val="231F20"/>
          <w:spacing w:val="-3"/>
          <w:sz w:val="24"/>
        </w:rPr>
        <w:t> </w:t>
      </w:r>
      <w:r>
        <w:rPr>
          <w:color w:val="231F20"/>
          <w:sz w:val="24"/>
        </w:rPr>
        <w:t>use</w:t>
      </w:r>
      <w:r>
        <w:rPr>
          <w:color w:val="231F20"/>
          <w:spacing w:val="-3"/>
          <w:sz w:val="24"/>
        </w:rPr>
        <w:t> </w:t>
      </w:r>
      <w:r>
        <w:rPr>
          <w:color w:val="231F20"/>
          <w:sz w:val="24"/>
        </w:rPr>
        <w:t>of</w:t>
      </w:r>
      <w:r>
        <w:rPr>
          <w:color w:val="231F20"/>
          <w:spacing w:val="-3"/>
          <w:sz w:val="24"/>
        </w:rPr>
        <w:t> </w:t>
      </w:r>
      <w:r>
        <w:rPr>
          <w:color w:val="231F20"/>
          <w:sz w:val="24"/>
        </w:rPr>
        <w:t>resources and safeguard its assets;</w:t>
      </w:r>
    </w:p>
    <w:p>
      <w:pPr>
        <w:pStyle w:val="ListParagraph"/>
        <w:numPr>
          <w:ilvl w:val="0"/>
          <w:numId w:val="10"/>
        </w:numPr>
        <w:tabs>
          <w:tab w:pos="737" w:val="left" w:leader="none"/>
        </w:tabs>
        <w:spacing w:line="240" w:lineRule="auto" w:before="41" w:after="0"/>
        <w:ind w:left="737" w:right="0" w:hanging="171"/>
        <w:jc w:val="left"/>
        <w:rPr>
          <w:sz w:val="24"/>
        </w:rPr>
      </w:pPr>
      <w:r>
        <w:rPr>
          <w:color w:val="231F20"/>
          <w:sz w:val="24"/>
        </w:rPr>
        <w:t>Approve</w:t>
      </w:r>
      <w:r>
        <w:rPr>
          <w:color w:val="231F20"/>
          <w:spacing w:val="-4"/>
          <w:sz w:val="24"/>
        </w:rPr>
        <w:t> </w:t>
      </w:r>
      <w:r>
        <w:rPr>
          <w:color w:val="231F20"/>
          <w:sz w:val="24"/>
        </w:rPr>
        <w:t>the</w:t>
      </w:r>
      <w:r>
        <w:rPr>
          <w:color w:val="231F20"/>
          <w:spacing w:val="-2"/>
          <w:sz w:val="24"/>
        </w:rPr>
        <w:t> </w:t>
      </w:r>
      <w:r>
        <w:rPr>
          <w:color w:val="231F20"/>
          <w:sz w:val="24"/>
        </w:rPr>
        <w:t>Statement</w:t>
      </w:r>
      <w:r>
        <w:rPr>
          <w:color w:val="231F20"/>
          <w:spacing w:val="-2"/>
          <w:sz w:val="24"/>
        </w:rPr>
        <w:t> </w:t>
      </w:r>
      <w:r>
        <w:rPr>
          <w:color w:val="231F20"/>
          <w:sz w:val="24"/>
        </w:rPr>
        <w:t>of</w:t>
      </w:r>
      <w:r>
        <w:rPr>
          <w:color w:val="231F20"/>
          <w:spacing w:val="-2"/>
          <w:sz w:val="24"/>
        </w:rPr>
        <w:t> Accounts.</w:t>
      </w:r>
    </w:p>
    <w:p>
      <w:pPr>
        <w:pStyle w:val="BodyText"/>
        <w:spacing w:line="310" w:lineRule="exact" w:before="58"/>
        <w:ind w:left="582"/>
      </w:pPr>
      <w:r>
        <w:rPr>
          <w:color w:val="231F20"/>
        </w:rPr>
        <w:t>I</w:t>
      </w:r>
      <w:r>
        <w:rPr>
          <w:color w:val="231F20"/>
          <w:spacing w:val="-4"/>
        </w:rPr>
        <w:t> </w:t>
      </w:r>
      <w:r>
        <w:rPr>
          <w:color w:val="231F20"/>
        </w:rPr>
        <w:t>confirm</w:t>
      </w:r>
      <w:r>
        <w:rPr>
          <w:color w:val="231F20"/>
          <w:spacing w:val="-3"/>
        </w:rPr>
        <w:t> </w:t>
      </w:r>
      <w:r>
        <w:rPr>
          <w:color w:val="231F20"/>
        </w:rPr>
        <w:t>that</w:t>
      </w:r>
      <w:r>
        <w:rPr>
          <w:color w:val="231F20"/>
          <w:spacing w:val="-3"/>
        </w:rPr>
        <w:t> </w:t>
      </w:r>
      <w:r>
        <w:rPr>
          <w:color w:val="231F20"/>
        </w:rPr>
        <w:t>the</w:t>
      </w:r>
      <w:r>
        <w:rPr>
          <w:color w:val="231F20"/>
          <w:spacing w:val="-3"/>
        </w:rPr>
        <w:t> </w:t>
      </w:r>
      <w:r>
        <w:rPr>
          <w:color w:val="231F20"/>
        </w:rPr>
        <w:t>Financial</w:t>
      </w:r>
      <w:r>
        <w:rPr>
          <w:color w:val="231F20"/>
          <w:spacing w:val="-3"/>
        </w:rPr>
        <w:t> </w:t>
      </w:r>
      <w:r>
        <w:rPr>
          <w:color w:val="231F20"/>
        </w:rPr>
        <w:t>Statements</w:t>
      </w:r>
      <w:r>
        <w:rPr>
          <w:color w:val="231F20"/>
          <w:spacing w:val="-3"/>
        </w:rPr>
        <w:t> </w:t>
      </w:r>
      <w:r>
        <w:rPr>
          <w:color w:val="231F20"/>
        </w:rPr>
        <w:t>were</w:t>
      </w:r>
      <w:r>
        <w:rPr>
          <w:color w:val="231F20"/>
          <w:spacing w:val="-3"/>
        </w:rPr>
        <w:t> </w:t>
      </w:r>
      <w:r>
        <w:rPr>
          <w:color w:val="231F20"/>
        </w:rPr>
        <w:t>approved</w:t>
      </w:r>
      <w:r>
        <w:rPr>
          <w:color w:val="231F20"/>
          <w:spacing w:val="-3"/>
        </w:rPr>
        <w:t> </w:t>
      </w:r>
      <w:r>
        <w:rPr>
          <w:color w:val="231F20"/>
        </w:rPr>
        <w:t>by</w:t>
      </w:r>
      <w:r>
        <w:rPr>
          <w:color w:val="231F20"/>
          <w:spacing w:val="-3"/>
        </w:rPr>
        <w:t> </w:t>
      </w:r>
      <w:r>
        <w:rPr>
          <w:color w:val="231F20"/>
          <w:spacing w:val="-5"/>
        </w:rPr>
        <w:t>the</w:t>
      </w:r>
    </w:p>
    <w:p>
      <w:pPr>
        <w:pStyle w:val="BodyText"/>
        <w:spacing w:line="310" w:lineRule="exact"/>
        <w:ind w:left="582"/>
      </w:pPr>
      <w:r>
        <w:rPr/>
        <w:pict>
          <v:group style="position:absolute;margin-left:578.504028pt;margin-top:19.913328pt;width:16.8pt;height:192.8pt;mso-position-horizontal-relative:page;mso-position-vertical-relative:paragraph;z-index:15760384" id="docshapegroup257" coordorigin="11570,398" coordsize="336,3856">
            <v:rect style="position:absolute;left:11570;top:3289;width:336;height:964" id="docshape258" filled="true" fillcolor="#f15d6b" stroked="false">
              <v:fill type="solid"/>
            </v:rect>
            <v:rect style="position:absolute;left:11570;top:2325;width:336;height:964" id="docshape259" filled="true" fillcolor="#fbac42" stroked="false">
              <v:fill type="solid"/>
            </v:rect>
            <v:rect style="position:absolute;left:11570;top:1362;width:336;height:964" id="docshape260" filled="true" fillcolor="#b78fc1" stroked="false">
              <v:fill type="solid"/>
            </v:rect>
            <v:rect style="position:absolute;left:11570;top:398;width:336;height:964" id="docshape261" filled="true" fillcolor="#378372" stroked="false">
              <v:fill type="solid"/>
            </v:rect>
            <w10:wrap type="none"/>
          </v:group>
        </w:pict>
      </w:r>
      <w:r>
        <w:rPr>
          <w:color w:val="231F20"/>
        </w:rPr>
        <w:t>Audit</w:t>
      </w:r>
      <w:r>
        <w:rPr>
          <w:color w:val="231F20"/>
          <w:spacing w:val="-4"/>
        </w:rPr>
        <w:t> </w:t>
      </w:r>
      <w:r>
        <w:rPr>
          <w:color w:val="231F20"/>
        </w:rPr>
        <w:t>Committee</w:t>
      </w:r>
      <w:r>
        <w:rPr>
          <w:color w:val="231F20"/>
          <w:spacing w:val="-3"/>
        </w:rPr>
        <w:t> </w:t>
      </w:r>
      <w:r>
        <w:rPr>
          <w:color w:val="231F20"/>
        </w:rPr>
        <w:t>meeting</w:t>
      </w:r>
      <w:r>
        <w:rPr>
          <w:color w:val="231F20"/>
          <w:spacing w:val="-4"/>
        </w:rPr>
        <w:t> </w:t>
      </w:r>
      <w:r>
        <w:rPr>
          <w:color w:val="231F20"/>
        </w:rPr>
        <w:t>held</w:t>
      </w:r>
      <w:r>
        <w:rPr>
          <w:color w:val="231F20"/>
          <w:spacing w:val="-3"/>
        </w:rPr>
        <w:t> </w:t>
      </w:r>
      <w:r>
        <w:rPr>
          <w:color w:val="231F20"/>
        </w:rPr>
        <w:t>on</w:t>
      </w:r>
      <w:r>
        <w:rPr>
          <w:color w:val="231F20"/>
          <w:spacing w:val="-3"/>
        </w:rPr>
        <w:t> </w:t>
      </w:r>
      <w:r>
        <w:rPr>
          <w:color w:val="231F20"/>
        </w:rPr>
        <w:t>XXth</w:t>
      </w:r>
      <w:r>
        <w:rPr>
          <w:color w:val="231F20"/>
          <w:spacing w:val="-3"/>
        </w:rPr>
        <w:t> </w:t>
      </w:r>
      <w:r>
        <w:rPr>
          <w:color w:val="231F20"/>
        </w:rPr>
        <w:t>November</w:t>
      </w:r>
      <w:r>
        <w:rPr>
          <w:color w:val="231F20"/>
          <w:spacing w:val="-3"/>
        </w:rPr>
        <w:t> </w:t>
      </w:r>
      <w:r>
        <w:rPr>
          <w:color w:val="231F20"/>
          <w:spacing w:val="-2"/>
        </w:rPr>
        <w:t>2023.</w:t>
      </w:r>
    </w:p>
    <w:p>
      <w:pPr>
        <w:pStyle w:val="BodyText"/>
        <w:spacing w:before="281"/>
        <w:ind w:left="582"/>
      </w:pPr>
      <w:r>
        <w:rPr>
          <w:color w:val="231F20"/>
        </w:rPr>
        <w:t>Signed</w:t>
      </w:r>
      <w:r>
        <w:rPr>
          <w:color w:val="231F20"/>
          <w:spacing w:val="-5"/>
        </w:rPr>
        <w:t> </w:t>
      </w:r>
      <w:r>
        <w:rPr>
          <w:color w:val="231F20"/>
        </w:rPr>
        <w:t>on</w:t>
      </w:r>
      <w:r>
        <w:rPr>
          <w:color w:val="231F20"/>
          <w:spacing w:val="-3"/>
        </w:rPr>
        <w:t> </w:t>
      </w:r>
      <w:r>
        <w:rPr>
          <w:color w:val="231F20"/>
        </w:rPr>
        <w:t>behalf</w:t>
      </w:r>
      <w:r>
        <w:rPr>
          <w:color w:val="231F20"/>
          <w:spacing w:val="-4"/>
        </w:rPr>
        <w:t> </w:t>
      </w:r>
      <w:r>
        <w:rPr>
          <w:color w:val="231F20"/>
        </w:rPr>
        <w:t>of</w:t>
      </w:r>
      <w:r>
        <w:rPr>
          <w:color w:val="231F20"/>
          <w:spacing w:val="-3"/>
        </w:rPr>
        <w:t> </w:t>
      </w:r>
      <w:r>
        <w:rPr>
          <w:color w:val="231F20"/>
        </w:rPr>
        <w:t>Ashfield</w:t>
      </w:r>
      <w:r>
        <w:rPr>
          <w:color w:val="231F20"/>
          <w:spacing w:val="-4"/>
        </w:rPr>
        <w:t> </w:t>
      </w:r>
      <w:r>
        <w:rPr>
          <w:color w:val="231F20"/>
        </w:rPr>
        <w:t>District</w:t>
      </w:r>
      <w:r>
        <w:rPr>
          <w:color w:val="231F20"/>
          <w:spacing w:val="-4"/>
        </w:rPr>
        <w:t> </w:t>
      </w:r>
      <w:r>
        <w:rPr>
          <w:color w:val="231F20"/>
          <w:spacing w:val="-2"/>
        </w:rPr>
        <w:t>Council:</w:t>
      </w:r>
    </w:p>
    <w:p>
      <w:pPr>
        <w:pStyle w:val="BodyText"/>
        <w:rPr>
          <w:sz w:val="32"/>
        </w:rPr>
      </w:pPr>
    </w:p>
    <w:p>
      <w:pPr>
        <w:pStyle w:val="BodyText"/>
        <w:spacing w:before="3"/>
        <w:rPr>
          <w:sz w:val="34"/>
        </w:rPr>
      </w:pPr>
    </w:p>
    <w:p>
      <w:pPr>
        <w:spacing w:line="310" w:lineRule="exact" w:before="0"/>
        <w:ind w:left="582" w:right="0" w:firstLine="0"/>
        <w:jc w:val="left"/>
        <w:rPr>
          <w:b/>
          <w:sz w:val="24"/>
        </w:rPr>
      </w:pPr>
      <w:r>
        <w:rPr>
          <w:b/>
          <w:color w:val="231F20"/>
          <w:spacing w:val="-2"/>
          <w:sz w:val="24"/>
        </w:rPr>
        <w:t>Councillor</w:t>
      </w:r>
    </w:p>
    <w:p>
      <w:pPr>
        <w:spacing w:line="310" w:lineRule="exact" w:before="0"/>
        <w:ind w:left="582" w:right="0" w:firstLine="0"/>
        <w:jc w:val="left"/>
        <w:rPr>
          <w:b/>
          <w:sz w:val="24"/>
        </w:rPr>
      </w:pPr>
      <w:r>
        <w:rPr>
          <w:b/>
          <w:color w:val="231F20"/>
          <w:sz w:val="24"/>
        </w:rPr>
        <w:t>Chairman</w:t>
      </w:r>
      <w:r>
        <w:rPr>
          <w:b/>
          <w:color w:val="231F20"/>
          <w:spacing w:val="-3"/>
          <w:sz w:val="24"/>
        </w:rPr>
        <w:t> </w:t>
      </w:r>
      <w:r>
        <w:rPr>
          <w:b/>
          <w:color w:val="231F20"/>
          <w:sz w:val="24"/>
        </w:rPr>
        <w:t>of</w:t>
      </w:r>
      <w:r>
        <w:rPr>
          <w:b/>
          <w:color w:val="231F20"/>
          <w:spacing w:val="-4"/>
          <w:sz w:val="24"/>
        </w:rPr>
        <w:t> </w:t>
      </w:r>
      <w:r>
        <w:rPr>
          <w:b/>
          <w:color w:val="231F20"/>
          <w:sz w:val="24"/>
        </w:rPr>
        <w:t>the</w:t>
      </w:r>
      <w:r>
        <w:rPr>
          <w:b/>
          <w:color w:val="231F20"/>
          <w:spacing w:val="-3"/>
          <w:sz w:val="24"/>
        </w:rPr>
        <w:t> </w:t>
      </w:r>
      <w:r>
        <w:rPr>
          <w:b/>
          <w:color w:val="231F20"/>
          <w:sz w:val="24"/>
        </w:rPr>
        <w:t>Audit</w:t>
      </w:r>
      <w:r>
        <w:rPr>
          <w:b/>
          <w:color w:val="231F20"/>
          <w:spacing w:val="-3"/>
          <w:sz w:val="24"/>
        </w:rPr>
        <w:t> </w:t>
      </w:r>
      <w:r>
        <w:rPr>
          <w:b/>
          <w:color w:val="231F20"/>
          <w:spacing w:val="-2"/>
          <w:sz w:val="24"/>
        </w:rPr>
        <w:t>Committee</w:t>
      </w:r>
    </w:p>
    <w:p>
      <w:pPr>
        <w:pStyle w:val="Heading3"/>
        <w:spacing w:line="240" w:lineRule="auto" w:before="184"/>
        <w:ind w:left="586"/>
      </w:pPr>
      <w:r>
        <w:rPr>
          <w:color w:val="3B5673"/>
        </w:rPr>
        <w:t>RESPONSIBILITIES</w:t>
      </w:r>
      <w:r>
        <w:rPr>
          <w:color w:val="3B5673"/>
          <w:spacing w:val="58"/>
        </w:rPr>
        <w:t> </w:t>
      </w:r>
      <w:r>
        <w:rPr>
          <w:color w:val="3B5673"/>
        </w:rPr>
        <w:t>OF</w:t>
      </w:r>
      <w:r>
        <w:rPr>
          <w:color w:val="3B5673"/>
          <w:spacing w:val="58"/>
        </w:rPr>
        <w:t> </w:t>
      </w:r>
      <w:r>
        <w:rPr>
          <w:color w:val="3B5673"/>
        </w:rPr>
        <w:t>THE</w:t>
      </w:r>
      <w:r>
        <w:rPr>
          <w:color w:val="3B5673"/>
          <w:spacing w:val="58"/>
        </w:rPr>
        <w:t> </w:t>
      </w:r>
      <w:r>
        <w:rPr>
          <w:color w:val="3B5673"/>
        </w:rPr>
        <w:t>CORPORATE</w:t>
      </w:r>
      <w:r>
        <w:rPr>
          <w:color w:val="3B5673"/>
          <w:spacing w:val="58"/>
        </w:rPr>
        <w:t> </w:t>
      </w:r>
      <w:r>
        <w:rPr>
          <w:color w:val="3B5673"/>
        </w:rPr>
        <w:t>RESOURCES</w:t>
      </w:r>
      <w:r>
        <w:rPr>
          <w:color w:val="3B5673"/>
          <w:spacing w:val="58"/>
        </w:rPr>
        <w:t> </w:t>
      </w:r>
      <w:r>
        <w:rPr>
          <w:color w:val="3B5673"/>
          <w:spacing w:val="-2"/>
        </w:rPr>
        <w:t>DIRECTOR</w:t>
      </w:r>
    </w:p>
    <w:p>
      <w:pPr>
        <w:pStyle w:val="BodyText"/>
        <w:spacing w:before="3"/>
        <w:rPr>
          <w:b/>
          <w:sz w:val="22"/>
        </w:rPr>
      </w:pPr>
    </w:p>
    <w:p>
      <w:pPr>
        <w:pStyle w:val="BodyText"/>
        <w:spacing w:line="225" w:lineRule="auto" w:before="1"/>
        <w:ind w:left="582" w:right="1114"/>
      </w:pPr>
      <w:r>
        <w:rPr>
          <w:color w:val="231F20"/>
        </w:rPr>
        <w:t>The Corporate Resources Director is responsible for the preparation of the Council’s statement</w:t>
      </w:r>
      <w:r>
        <w:rPr>
          <w:color w:val="231F20"/>
          <w:spacing w:val="40"/>
        </w:rPr>
        <w:t> </w:t>
      </w:r>
      <w:r>
        <w:rPr>
          <w:color w:val="231F20"/>
        </w:rPr>
        <w:t>of</w:t>
      </w:r>
      <w:r>
        <w:rPr>
          <w:color w:val="231F20"/>
          <w:spacing w:val="-3"/>
        </w:rPr>
        <w:t> </w:t>
      </w:r>
      <w:r>
        <w:rPr>
          <w:color w:val="231F20"/>
        </w:rPr>
        <w:t>accounts</w:t>
      </w:r>
      <w:r>
        <w:rPr>
          <w:color w:val="231F20"/>
          <w:spacing w:val="-3"/>
        </w:rPr>
        <w:t> </w:t>
      </w:r>
      <w:r>
        <w:rPr>
          <w:color w:val="231F20"/>
        </w:rPr>
        <w:t>in</w:t>
      </w:r>
      <w:r>
        <w:rPr>
          <w:color w:val="231F20"/>
          <w:spacing w:val="-4"/>
        </w:rPr>
        <w:t> </w:t>
      </w:r>
      <w:r>
        <w:rPr>
          <w:color w:val="231F20"/>
        </w:rPr>
        <w:t>accordance</w:t>
      </w:r>
      <w:r>
        <w:rPr>
          <w:color w:val="231F20"/>
          <w:spacing w:val="-3"/>
        </w:rPr>
        <w:t> </w:t>
      </w:r>
      <w:r>
        <w:rPr>
          <w:color w:val="231F20"/>
        </w:rPr>
        <w:t>with</w:t>
      </w:r>
      <w:r>
        <w:rPr>
          <w:color w:val="231F20"/>
          <w:spacing w:val="-3"/>
        </w:rPr>
        <w:t> </w:t>
      </w:r>
      <w:r>
        <w:rPr>
          <w:color w:val="231F20"/>
        </w:rPr>
        <w:t>proper</w:t>
      </w:r>
      <w:r>
        <w:rPr>
          <w:color w:val="231F20"/>
          <w:spacing w:val="-3"/>
        </w:rPr>
        <w:t> </w:t>
      </w:r>
      <w:r>
        <w:rPr>
          <w:color w:val="231F20"/>
        </w:rPr>
        <w:t>practices</w:t>
      </w:r>
      <w:r>
        <w:rPr>
          <w:color w:val="231F20"/>
          <w:spacing w:val="-3"/>
        </w:rPr>
        <w:t> </w:t>
      </w:r>
      <w:r>
        <w:rPr>
          <w:color w:val="231F20"/>
        </w:rPr>
        <w:t>as</w:t>
      </w:r>
      <w:r>
        <w:rPr>
          <w:color w:val="231F20"/>
          <w:spacing w:val="-3"/>
        </w:rPr>
        <w:t> </w:t>
      </w:r>
      <w:r>
        <w:rPr>
          <w:color w:val="231F20"/>
        </w:rPr>
        <w:t>set</w:t>
      </w:r>
      <w:r>
        <w:rPr>
          <w:color w:val="231F20"/>
          <w:spacing w:val="-4"/>
        </w:rPr>
        <w:t> </w:t>
      </w:r>
      <w:r>
        <w:rPr>
          <w:color w:val="231F20"/>
        </w:rPr>
        <w:t>out</w:t>
      </w:r>
      <w:r>
        <w:rPr>
          <w:color w:val="231F20"/>
          <w:spacing w:val="-3"/>
        </w:rPr>
        <w:t> </w:t>
      </w:r>
      <w:r>
        <w:rPr>
          <w:color w:val="231F20"/>
        </w:rPr>
        <w:t>in</w:t>
      </w:r>
      <w:r>
        <w:rPr>
          <w:color w:val="231F20"/>
          <w:spacing w:val="-4"/>
        </w:rPr>
        <w:t> </w:t>
      </w:r>
      <w:r>
        <w:rPr>
          <w:color w:val="231F20"/>
        </w:rPr>
        <w:t>the</w:t>
      </w:r>
      <w:r>
        <w:rPr>
          <w:color w:val="231F20"/>
          <w:spacing w:val="-3"/>
        </w:rPr>
        <w:t> </w:t>
      </w:r>
      <w:r>
        <w:rPr>
          <w:color w:val="231F20"/>
        </w:rPr>
        <w:t>CIPFA/LASAAC</w:t>
      </w:r>
      <w:r>
        <w:rPr>
          <w:color w:val="231F20"/>
          <w:spacing w:val="-4"/>
        </w:rPr>
        <w:t> </w:t>
      </w:r>
      <w:r>
        <w:rPr>
          <w:color w:val="231F20"/>
        </w:rPr>
        <w:t>Code</w:t>
      </w:r>
      <w:r>
        <w:rPr>
          <w:color w:val="231F20"/>
          <w:spacing w:val="-4"/>
        </w:rPr>
        <w:t> </w:t>
      </w:r>
      <w:r>
        <w:rPr>
          <w:color w:val="231F20"/>
        </w:rPr>
        <w:t>of</w:t>
      </w:r>
      <w:r>
        <w:rPr>
          <w:color w:val="231F20"/>
          <w:spacing w:val="-3"/>
        </w:rPr>
        <w:t> </w:t>
      </w:r>
      <w:r>
        <w:rPr>
          <w:color w:val="231F20"/>
        </w:rPr>
        <w:t>Practice on Local Authority Accounting in the United Kingdom 2022/23 (“the Code of Practice”).</w:t>
      </w:r>
    </w:p>
    <w:p>
      <w:pPr>
        <w:pStyle w:val="Heading4"/>
        <w:spacing w:before="284"/>
        <w:ind w:left="582"/>
      </w:pPr>
      <w:r>
        <w:rPr>
          <w:color w:val="3B5673"/>
        </w:rPr>
        <w:t>In</w:t>
      </w:r>
      <w:r>
        <w:rPr>
          <w:color w:val="3B5673"/>
          <w:spacing w:val="-5"/>
        </w:rPr>
        <w:t> </w:t>
      </w:r>
      <w:r>
        <w:rPr>
          <w:color w:val="3B5673"/>
        </w:rPr>
        <w:t>preparing</w:t>
      </w:r>
      <w:r>
        <w:rPr>
          <w:color w:val="3B5673"/>
          <w:spacing w:val="-6"/>
        </w:rPr>
        <w:t> </w:t>
      </w:r>
      <w:r>
        <w:rPr>
          <w:color w:val="3B5673"/>
        </w:rPr>
        <w:t>this</w:t>
      </w:r>
      <w:r>
        <w:rPr>
          <w:color w:val="3B5673"/>
          <w:spacing w:val="-6"/>
        </w:rPr>
        <w:t> </w:t>
      </w:r>
      <w:r>
        <w:rPr>
          <w:color w:val="3B5673"/>
        </w:rPr>
        <w:t>Statement</w:t>
      </w:r>
      <w:r>
        <w:rPr>
          <w:color w:val="3B5673"/>
          <w:spacing w:val="-5"/>
        </w:rPr>
        <w:t> </w:t>
      </w:r>
      <w:r>
        <w:rPr>
          <w:color w:val="3B5673"/>
        </w:rPr>
        <w:t>of</w:t>
      </w:r>
      <w:r>
        <w:rPr>
          <w:color w:val="3B5673"/>
          <w:spacing w:val="-5"/>
        </w:rPr>
        <w:t> </w:t>
      </w:r>
      <w:r>
        <w:rPr>
          <w:color w:val="3B5673"/>
        </w:rPr>
        <w:t>Accounts,</w:t>
      </w:r>
      <w:r>
        <w:rPr>
          <w:color w:val="3B5673"/>
          <w:spacing w:val="-6"/>
        </w:rPr>
        <w:t> </w:t>
      </w:r>
      <w:r>
        <w:rPr>
          <w:color w:val="3B5673"/>
        </w:rPr>
        <w:t>the</w:t>
      </w:r>
      <w:r>
        <w:rPr>
          <w:color w:val="3B5673"/>
          <w:spacing w:val="-6"/>
        </w:rPr>
        <w:t> </w:t>
      </w:r>
      <w:r>
        <w:rPr>
          <w:color w:val="3B5673"/>
        </w:rPr>
        <w:t>Corporate</w:t>
      </w:r>
      <w:r>
        <w:rPr>
          <w:color w:val="3B5673"/>
          <w:spacing w:val="-5"/>
        </w:rPr>
        <w:t> </w:t>
      </w:r>
      <w:r>
        <w:rPr>
          <w:color w:val="3B5673"/>
        </w:rPr>
        <w:t>Resources</w:t>
      </w:r>
      <w:r>
        <w:rPr>
          <w:color w:val="3B5673"/>
          <w:spacing w:val="-5"/>
        </w:rPr>
        <w:t> </w:t>
      </w:r>
      <w:r>
        <w:rPr>
          <w:color w:val="3B5673"/>
        </w:rPr>
        <w:t>Director</w:t>
      </w:r>
      <w:r>
        <w:rPr>
          <w:color w:val="3B5673"/>
          <w:spacing w:val="-5"/>
        </w:rPr>
        <w:t> </w:t>
      </w:r>
      <w:r>
        <w:rPr>
          <w:color w:val="3B5673"/>
          <w:spacing w:val="-4"/>
        </w:rPr>
        <w:t>has:</w:t>
      </w:r>
    </w:p>
    <w:p>
      <w:pPr>
        <w:pStyle w:val="ListParagraph"/>
        <w:numPr>
          <w:ilvl w:val="0"/>
          <w:numId w:val="10"/>
        </w:numPr>
        <w:tabs>
          <w:tab w:pos="753" w:val="left" w:leader="none"/>
        </w:tabs>
        <w:spacing w:line="310" w:lineRule="exact" w:before="0" w:after="0"/>
        <w:ind w:left="752" w:right="0" w:hanging="171"/>
        <w:jc w:val="left"/>
        <w:rPr>
          <w:sz w:val="24"/>
        </w:rPr>
      </w:pPr>
      <w:r>
        <w:rPr>
          <w:color w:val="231F20"/>
          <w:sz w:val="24"/>
        </w:rPr>
        <w:t>Selected</w:t>
      </w:r>
      <w:r>
        <w:rPr>
          <w:color w:val="231F20"/>
          <w:spacing w:val="-3"/>
          <w:sz w:val="24"/>
        </w:rPr>
        <w:t> </w:t>
      </w:r>
      <w:r>
        <w:rPr>
          <w:color w:val="231F20"/>
          <w:sz w:val="24"/>
        </w:rPr>
        <w:t>suitable</w:t>
      </w:r>
      <w:r>
        <w:rPr>
          <w:color w:val="231F20"/>
          <w:spacing w:val="-3"/>
          <w:sz w:val="24"/>
        </w:rPr>
        <w:t> </w:t>
      </w:r>
      <w:r>
        <w:rPr>
          <w:color w:val="231F20"/>
          <w:sz w:val="24"/>
        </w:rPr>
        <w:t>accounting</w:t>
      </w:r>
      <w:r>
        <w:rPr>
          <w:color w:val="231F20"/>
          <w:spacing w:val="-2"/>
          <w:sz w:val="24"/>
        </w:rPr>
        <w:t> </w:t>
      </w:r>
      <w:r>
        <w:rPr>
          <w:color w:val="231F20"/>
          <w:sz w:val="24"/>
        </w:rPr>
        <w:t>policies</w:t>
      </w:r>
      <w:r>
        <w:rPr>
          <w:color w:val="231F20"/>
          <w:spacing w:val="-1"/>
          <w:sz w:val="24"/>
        </w:rPr>
        <w:t> </w:t>
      </w:r>
      <w:r>
        <w:rPr>
          <w:color w:val="231F20"/>
          <w:sz w:val="24"/>
        </w:rPr>
        <w:t>and</w:t>
      </w:r>
      <w:r>
        <w:rPr>
          <w:color w:val="231F20"/>
          <w:spacing w:val="-2"/>
          <w:sz w:val="24"/>
        </w:rPr>
        <w:t> </w:t>
      </w:r>
      <w:r>
        <w:rPr>
          <w:color w:val="231F20"/>
          <w:sz w:val="24"/>
        </w:rPr>
        <w:t>then</w:t>
      </w:r>
      <w:r>
        <w:rPr>
          <w:color w:val="231F20"/>
          <w:spacing w:val="-2"/>
          <w:sz w:val="24"/>
        </w:rPr>
        <w:t> </w:t>
      </w:r>
      <w:r>
        <w:rPr>
          <w:color w:val="231F20"/>
          <w:sz w:val="24"/>
        </w:rPr>
        <w:t>applied</w:t>
      </w:r>
      <w:r>
        <w:rPr>
          <w:color w:val="231F20"/>
          <w:spacing w:val="-2"/>
          <w:sz w:val="24"/>
        </w:rPr>
        <w:t> </w:t>
      </w:r>
      <w:r>
        <w:rPr>
          <w:color w:val="231F20"/>
          <w:sz w:val="24"/>
        </w:rPr>
        <w:t>them</w:t>
      </w:r>
      <w:r>
        <w:rPr>
          <w:color w:val="231F20"/>
          <w:spacing w:val="-1"/>
          <w:sz w:val="24"/>
        </w:rPr>
        <w:t> </w:t>
      </w:r>
      <w:r>
        <w:rPr>
          <w:color w:val="231F20"/>
          <w:spacing w:val="-2"/>
          <w:sz w:val="24"/>
        </w:rPr>
        <w:t>consistently;</w:t>
      </w:r>
    </w:p>
    <w:p>
      <w:pPr>
        <w:pStyle w:val="ListParagraph"/>
        <w:numPr>
          <w:ilvl w:val="0"/>
          <w:numId w:val="10"/>
        </w:numPr>
        <w:tabs>
          <w:tab w:pos="753" w:val="left" w:leader="none"/>
        </w:tabs>
        <w:spacing w:line="240" w:lineRule="auto" w:before="37" w:after="0"/>
        <w:ind w:left="752" w:right="0" w:hanging="171"/>
        <w:jc w:val="left"/>
        <w:rPr>
          <w:sz w:val="24"/>
        </w:rPr>
      </w:pPr>
      <w:r>
        <w:rPr>
          <w:color w:val="231F20"/>
          <w:sz w:val="24"/>
        </w:rPr>
        <w:t>Made</w:t>
      </w:r>
      <w:r>
        <w:rPr>
          <w:color w:val="231F20"/>
          <w:spacing w:val="-2"/>
          <w:sz w:val="24"/>
        </w:rPr>
        <w:t> </w:t>
      </w:r>
      <w:r>
        <w:rPr>
          <w:color w:val="231F20"/>
          <w:sz w:val="24"/>
        </w:rPr>
        <w:t>judgements</w:t>
      </w:r>
      <w:r>
        <w:rPr>
          <w:color w:val="231F20"/>
          <w:spacing w:val="-2"/>
          <w:sz w:val="24"/>
        </w:rPr>
        <w:t> </w:t>
      </w:r>
      <w:r>
        <w:rPr>
          <w:color w:val="231F20"/>
          <w:sz w:val="24"/>
        </w:rPr>
        <w:t>and</w:t>
      </w:r>
      <w:r>
        <w:rPr>
          <w:color w:val="231F20"/>
          <w:spacing w:val="-1"/>
          <w:sz w:val="24"/>
        </w:rPr>
        <w:t> </w:t>
      </w:r>
      <w:r>
        <w:rPr>
          <w:color w:val="231F20"/>
          <w:sz w:val="24"/>
        </w:rPr>
        <w:t>estimates</w:t>
      </w:r>
      <w:r>
        <w:rPr>
          <w:color w:val="231F20"/>
          <w:spacing w:val="-1"/>
          <w:sz w:val="24"/>
        </w:rPr>
        <w:t> </w:t>
      </w:r>
      <w:r>
        <w:rPr>
          <w:color w:val="231F20"/>
          <w:sz w:val="24"/>
        </w:rPr>
        <w:t>that</w:t>
      </w:r>
      <w:r>
        <w:rPr>
          <w:color w:val="231F20"/>
          <w:spacing w:val="-1"/>
          <w:sz w:val="24"/>
        </w:rPr>
        <w:t> </w:t>
      </w:r>
      <w:r>
        <w:rPr>
          <w:color w:val="231F20"/>
          <w:sz w:val="24"/>
        </w:rPr>
        <w:t>were</w:t>
      </w:r>
      <w:r>
        <w:rPr>
          <w:color w:val="231F20"/>
          <w:spacing w:val="-1"/>
          <w:sz w:val="24"/>
        </w:rPr>
        <w:t> </w:t>
      </w:r>
      <w:r>
        <w:rPr>
          <w:color w:val="231F20"/>
          <w:sz w:val="24"/>
        </w:rPr>
        <w:t>reasonable</w:t>
      </w:r>
      <w:r>
        <w:rPr>
          <w:color w:val="231F20"/>
          <w:spacing w:val="-1"/>
          <w:sz w:val="24"/>
        </w:rPr>
        <w:t> </w:t>
      </w:r>
      <w:r>
        <w:rPr>
          <w:color w:val="231F20"/>
          <w:sz w:val="24"/>
        </w:rPr>
        <w:t>and</w:t>
      </w:r>
      <w:r>
        <w:rPr>
          <w:color w:val="231F20"/>
          <w:spacing w:val="-1"/>
          <w:sz w:val="24"/>
        </w:rPr>
        <w:t> </w:t>
      </w:r>
      <w:r>
        <w:rPr>
          <w:color w:val="231F20"/>
          <w:spacing w:val="-2"/>
          <w:sz w:val="24"/>
        </w:rPr>
        <w:t>prudent;</w:t>
      </w:r>
    </w:p>
    <w:p>
      <w:pPr>
        <w:pStyle w:val="ListParagraph"/>
        <w:numPr>
          <w:ilvl w:val="0"/>
          <w:numId w:val="10"/>
        </w:numPr>
        <w:tabs>
          <w:tab w:pos="753" w:val="left" w:leader="none"/>
        </w:tabs>
        <w:spacing w:line="240" w:lineRule="auto" w:before="38" w:after="0"/>
        <w:ind w:left="752" w:right="0" w:hanging="171"/>
        <w:jc w:val="left"/>
        <w:rPr>
          <w:sz w:val="24"/>
        </w:rPr>
      </w:pPr>
      <w:r>
        <w:rPr>
          <w:color w:val="231F20"/>
          <w:sz w:val="24"/>
        </w:rPr>
        <w:t>Complied</w:t>
      </w:r>
      <w:r>
        <w:rPr>
          <w:color w:val="231F20"/>
          <w:spacing w:val="-3"/>
          <w:sz w:val="24"/>
        </w:rPr>
        <w:t> </w:t>
      </w:r>
      <w:r>
        <w:rPr>
          <w:color w:val="231F20"/>
          <w:sz w:val="24"/>
        </w:rPr>
        <w:t>with</w:t>
      </w:r>
      <w:r>
        <w:rPr>
          <w:color w:val="231F20"/>
          <w:spacing w:val="-2"/>
          <w:sz w:val="24"/>
        </w:rPr>
        <w:t> </w:t>
      </w:r>
      <w:r>
        <w:rPr>
          <w:color w:val="231F20"/>
          <w:sz w:val="24"/>
        </w:rPr>
        <w:t>the</w:t>
      </w:r>
      <w:r>
        <w:rPr>
          <w:color w:val="231F20"/>
          <w:spacing w:val="-2"/>
          <w:sz w:val="24"/>
        </w:rPr>
        <w:t> </w:t>
      </w:r>
      <w:r>
        <w:rPr>
          <w:color w:val="231F20"/>
          <w:sz w:val="24"/>
        </w:rPr>
        <w:t>Code</w:t>
      </w:r>
      <w:r>
        <w:rPr>
          <w:color w:val="231F20"/>
          <w:spacing w:val="-3"/>
          <w:sz w:val="24"/>
        </w:rPr>
        <w:t> </w:t>
      </w:r>
      <w:r>
        <w:rPr>
          <w:color w:val="231F20"/>
          <w:sz w:val="24"/>
        </w:rPr>
        <w:t>of</w:t>
      </w:r>
      <w:r>
        <w:rPr>
          <w:color w:val="231F20"/>
          <w:spacing w:val="-2"/>
          <w:sz w:val="24"/>
        </w:rPr>
        <w:t> Practice.</w:t>
      </w:r>
    </w:p>
    <w:p>
      <w:pPr>
        <w:pStyle w:val="BodyText"/>
        <w:spacing w:before="5"/>
        <w:rPr>
          <w:sz w:val="25"/>
        </w:rPr>
      </w:pPr>
    </w:p>
    <w:p>
      <w:pPr>
        <w:pStyle w:val="Heading4"/>
        <w:ind w:left="582"/>
      </w:pPr>
      <w:r>
        <w:rPr>
          <w:color w:val="3B5673"/>
        </w:rPr>
        <w:t>The</w:t>
      </w:r>
      <w:r>
        <w:rPr>
          <w:color w:val="3B5673"/>
          <w:spacing w:val="-3"/>
        </w:rPr>
        <w:t> </w:t>
      </w:r>
      <w:r>
        <w:rPr>
          <w:color w:val="3B5673"/>
        </w:rPr>
        <w:t>Corporate</w:t>
      </w:r>
      <w:r>
        <w:rPr>
          <w:color w:val="3B5673"/>
          <w:spacing w:val="-4"/>
        </w:rPr>
        <w:t> </w:t>
      </w:r>
      <w:r>
        <w:rPr>
          <w:color w:val="3B5673"/>
        </w:rPr>
        <w:t>Resources</w:t>
      </w:r>
      <w:r>
        <w:rPr>
          <w:color w:val="3B5673"/>
          <w:spacing w:val="-3"/>
        </w:rPr>
        <w:t> </w:t>
      </w:r>
      <w:r>
        <w:rPr>
          <w:color w:val="3B5673"/>
        </w:rPr>
        <w:t>Director</w:t>
      </w:r>
      <w:r>
        <w:rPr>
          <w:color w:val="3B5673"/>
          <w:spacing w:val="-3"/>
        </w:rPr>
        <w:t> </w:t>
      </w:r>
      <w:r>
        <w:rPr>
          <w:color w:val="3B5673"/>
        </w:rPr>
        <w:t>has</w:t>
      </w:r>
      <w:r>
        <w:rPr>
          <w:color w:val="3B5673"/>
          <w:spacing w:val="-3"/>
        </w:rPr>
        <w:t> </w:t>
      </w:r>
      <w:r>
        <w:rPr>
          <w:color w:val="3B5673"/>
          <w:spacing w:val="-4"/>
        </w:rPr>
        <w:t>also</w:t>
      </w:r>
    </w:p>
    <w:p>
      <w:pPr>
        <w:pStyle w:val="ListParagraph"/>
        <w:numPr>
          <w:ilvl w:val="0"/>
          <w:numId w:val="10"/>
        </w:numPr>
        <w:tabs>
          <w:tab w:pos="753" w:val="left" w:leader="none"/>
        </w:tabs>
        <w:spacing w:line="310" w:lineRule="exact" w:before="0" w:after="0"/>
        <w:ind w:left="752" w:right="0" w:hanging="171"/>
        <w:jc w:val="left"/>
        <w:rPr>
          <w:sz w:val="24"/>
        </w:rPr>
      </w:pPr>
      <w:r>
        <w:rPr>
          <w:color w:val="231F20"/>
          <w:sz w:val="24"/>
        </w:rPr>
        <w:t>Kept</w:t>
      </w:r>
      <w:r>
        <w:rPr>
          <w:color w:val="231F20"/>
          <w:spacing w:val="-1"/>
          <w:sz w:val="24"/>
        </w:rPr>
        <w:t> </w:t>
      </w:r>
      <w:r>
        <w:rPr>
          <w:color w:val="231F20"/>
          <w:sz w:val="24"/>
        </w:rPr>
        <w:t>proper,</w:t>
      </w:r>
      <w:r>
        <w:rPr>
          <w:color w:val="231F20"/>
          <w:spacing w:val="-1"/>
          <w:sz w:val="24"/>
        </w:rPr>
        <w:t> </w:t>
      </w:r>
      <w:r>
        <w:rPr>
          <w:color w:val="231F20"/>
          <w:sz w:val="24"/>
        </w:rPr>
        <w:t>up to</w:t>
      </w:r>
      <w:r>
        <w:rPr>
          <w:color w:val="231F20"/>
          <w:spacing w:val="-1"/>
          <w:sz w:val="24"/>
        </w:rPr>
        <w:t> </w:t>
      </w:r>
      <w:r>
        <w:rPr>
          <w:color w:val="231F20"/>
          <w:sz w:val="24"/>
        </w:rPr>
        <w:t>date</w:t>
      </w:r>
      <w:r>
        <w:rPr>
          <w:color w:val="231F20"/>
          <w:spacing w:val="-1"/>
          <w:sz w:val="24"/>
        </w:rPr>
        <w:t> </w:t>
      </w:r>
      <w:r>
        <w:rPr>
          <w:color w:val="231F20"/>
          <w:sz w:val="24"/>
        </w:rPr>
        <w:t>accounting </w:t>
      </w:r>
      <w:r>
        <w:rPr>
          <w:color w:val="231F20"/>
          <w:spacing w:val="-2"/>
          <w:sz w:val="24"/>
        </w:rPr>
        <w:t>records;</w:t>
      </w:r>
    </w:p>
    <w:p>
      <w:pPr>
        <w:pStyle w:val="ListParagraph"/>
        <w:numPr>
          <w:ilvl w:val="0"/>
          <w:numId w:val="10"/>
        </w:numPr>
        <w:tabs>
          <w:tab w:pos="753" w:val="left" w:leader="none"/>
        </w:tabs>
        <w:spacing w:line="240" w:lineRule="auto" w:before="37" w:after="0"/>
        <w:ind w:left="752" w:right="0" w:hanging="171"/>
        <w:jc w:val="left"/>
        <w:rPr>
          <w:sz w:val="24"/>
        </w:rPr>
      </w:pPr>
      <w:r>
        <w:rPr>
          <w:color w:val="231F20"/>
          <w:sz w:val="24"/>
        </w:rPr>
        <w:t>Taken</w:t>
      </w:r>
      <w:r>
        <w:rPr>
          <w:color w:val="231F20"/>
          <w:spacing w:val="-3"/>
          <w:sz w:val="24"/>
        </w:rPr>
        <w:t> </w:t>
      </w:r>
      <w:r>
        <w:rPr>
          <w:color w:val="231F20"/>
          <w:sz w:val="24"/>
        </w:rPr>
        <w:t>reasonable</w:t>
      </w:r>
      <w:r>
        <w:rPr>
          <w:color w:val="231F20"/>
          <w:spacing w:val="-3"/>
          <w:sz w:val="24"/>
        </w:rPr>
        <w:t> </w:t>
      </w:r>
      <w:r>
        <w:rPr>
          <w:color w:val="231F20"/>
          <w:sz w:val="24"/>
        </w:rPr>
        <w:t>steps</w:t>
      </w:r>
      <w:r>
        <w:rPr>
          <w:color w:val="231F20"/>
          <w:spacing w:val="-3"/>
          <w:sz w:val="24"/>
        </w:rPr>
        <w:t> </w:t>
      </w:r>
      <w:r>
        <w:rPr>
          <w:color w:val="231F20"/>
          <w:sz w:val="24"/>
        </w:rPr>
        <w:t>for</w:t>
      </w:r>
      <w:r>
        <w:rPr>
          <w:color w:val="231F20"/>
          <w:spacing w:val="-3"/>
          <w:sz w:val="24"/>
        </w:rPr>
        <w:t> </w:t>
      </w:r>
      <w:r>
        <w:rPr>
          <w:color w:val="231F20"/>
          <w:sz w:val="24"/>
        </w:rPr>
        <w:t>the</w:t>
      </w:r>
      <w:r>
        <w:rPr>
          <w:color w:val="231F20"/>
          <w:spacing w:val="-2"/>
          <w:sz w:val="24"/>
        </w:rPr>
        <w:t> </w:t>
      </w:r>
      <w:r>
        <w:rPr>
          <w:color w:val="231F20"/>
          <w:sz w:val="24"/>
        </w:rPr>
        <w:t>prevention</w:t>
      </w:r>
      <w:r>
        <w:rPr>
          <w:color w:val="231F20"/>
          <w:spacing w:val="-3"/>
          <w:sz w:val="24"/>
        </w:rPr>
        <w:t> </w:t>
      </w:r>
      <w:r>
        <w:rPr>
          <w:color w:val="231F20"/>
          <w:sz w:val="24"/>
        </w:rPr>
        <w:t>and</w:t>
      </w:r>
      <w:r>
        <w:rPr>
          <w:color w:val="231F20"/>
          <w:spacing w:val="-3"/>
          <w:sz w:val="24"/>
        </w:rPr>
        <w:t> </w:t>
      </w:r>
      <w:r>
        <w:rPr>
          <w:color w:val="231F20"/>
          <w:sz w:val="24"/>
        </w:rPr>
        <w:t>detection</w:t>
      </w:r>
      <w:r>
        <w:rPr>
          <w:color w:val="231F20"/>
          <w:spacing w:val="-2"/>
          <w:sz w:val="24"/>
        </w:rPr>
        <w:t> </w:t>
      </w:r>
      <w:r>
        <w:rPr>
          <w:color w:val="231F20"/>
          <w:sz w:val="24"/>
        </w:rPr>
        <w:t>of</w:t>
      </w:r>
      <w:r>
        <w:rPr>
          <w:color w:val="231F20"/>
          <w:spacing w:val="-3"/>
          <w:sz w:val="24"/>
        </w:rPr>
        <w:t> </w:t>
      </w:r>
      <w:r>
        <w:rPr>
          <w:color w:val="231F20"/>
          <w:sz w:val="24"/>
        </w:rPr>
        <w:t>fraud</w:t>
      </w:r>
      <w:r>
        <w:rPr>
          <w:color w:val="231F20"/>
          <w:spacing w:val="-2"/>
          <w:sz w:val="24"/>
        </w:rPr>
        <w:t> </w:t>
      </w:r>
      <w:r>
        <w:rPr>
          <w:color w:val="231F20"/>
          <w:sz w:val="24"/>
        </w:rPr>
        <w:t>and</w:t>
      </w:r>
      <w:r>
        <w:rPr>
          <w:color w:val="231F20"/>
          <w:spacing w:val="-3"/>
          <w:sz w:val="24"/>
        </w:rPr>
        <w:t> </w:t>
      </w:r>
      <w:r>
        <w:rPr>
          <w:color w:val="231F20"/>
          <w:sz w:val="24"/>
        </w:rPr>
        <w:t>other</w:t>
      </w:r>
      <w:r>
        <w:rPr>
          <w:color w:val="231F20"/>
          <w:spacing w:val="-2"/>
          <w:sz w:val="24"/>
        </w:rPr>
        <w:t> irregularities.</w:t>
      </w:r>
    </w:p>
    <w:p>
      <w:pPr>
        <w:pStyle w:val="BodyText"/>
        <w:spacing w:line="225" w:lineRule="auto" w:before="53"/>
        <w:ind w:left="582" w:right="1413"/>
        <w:jc w:val="both"/>
      </w:pPr>
      <w:r>
        <w:rPr>
          <w:color w:val="231F20"/>
        </w:rPr>
        <w:t>I</w:t>
      </w:r>
      <w:r>
        <w:rPr>
          <w:color w:val="231F20"/>
          <w:spacing w:val="-4"/>
        </w:rPr>
        <w:t> </w:t>
      </w:r>
      <w:r>
        <w:rPr>
          <w:color w:val="231F20"/>
        </w:rPr>
        <w:t>confirm</w:t>
      </w:r>
      <w:r>
        <w:rPr>
          <w:color w:val="231F20"/>
          <w:spacing w:val="-3"/>
        </w:rPr>
        <w:t> </w:t>
      </w:r>
      <w:r>
        <w:rPr>
          <w:color w:val="231F20"/>
        </w:rPr>
        <w:t>that</w:t>
      </w:r>
      <w:r>
        <w:rPr>
          <w:color w:val="231F20"/>
          <w:spacing w:val="-3"/>
        </w:rPr>
        <w:t> </w:t>
      </w:r>
      <w:r>
        <w:rPr>
          <w:color w:val="231F20"/>
        </w:rPr>
        <w:t>the</w:t>
      </w:r>
      <w:r>
        <w:rPr>
          <w:color w:val="231F20"/>
          <w:spacing w:val="-3"/>
        </w:rPr>
        <w:t> </w:t>
      </w:r>
      <w:r>
        <w:rPr>
          <w:color w:val="231F20"/>
        </w:rPr>
        <w:t>Statement</w:t>
      </w:r>
      <w:r>
        <w:rPr>
          <w:color w:val="231F20"/>
          <w:spacing w:val="-3"/>
        </w:rPr>
        <w:t> </w:t>
      </w:r>
      <w:r>
        <w:rPr>
          <w:color w:val="231F20"/>
        </w:rPr>
        <w:t>of</w:t>
      </w:r>
      <w:r>
        <w:rPr>
          <w:color w:val="231F20"/>
          <w:spacing w:val="-3"/>
        </w:rPr>
        <w:t> </w:t>
      </w:r>
      <w:r>
        <w:rPr>
          <w:color w:val="231F20"/>
        </w:rPr>
        <w:t>Accounts</w:t>
      </w:r>
      <w:r>
        <w:rPr>
          <w:color w:val="231F20"/>
          <w:spacing w:val="-3"/>
        </w:rPr>
        <w:t> </w:t>
      </w:r>
      <w:r>
        <w:rPr>
          <w:color w:val="231F20"/>
        </w:rPr>
        <w:t>presents</w:t>
      </w:r>
      <w:r>
        <w:rPr>
          <w:color w:val="231F20"/>
          <w:spacing w:val="-3"/>
        </w:rPr>
        <w:t> </w:t>
      </w:r>
      <w:r>
        <w:rPr>
          <w:color w:val="231F20"/>
        </w:rPr>
        <w:t>a</w:t>
      </w:r>
      <w:r>
        <w:rPr>
          <w:color w:val="231F20"/>
          <w:spacing w:val="-3"/>
        </w:rPr>
        <w:t> </w:t>
      </w:r>
      <w:r>
        <w:rPr>
          <w:color w:val="231F20"/>
        </w:rPr>
        <w:t>true</w:t>
      </w:r>
      <w:r>
        <w:rPr>
          <w:color w:val="231F20"/>
          <w:spacing w:val="-3"/>
        </w:rPr>
        <w:t> </w:t>
      </w:r>
      <w:r>
        <w:rPr>
          <w:color w:val="231F20"/>
        </w:rPr>
        <w:t>and</w:t>
      </w:r>
      <w:r>
        <w:rPr>
          <w:color w:val="231F20"/>
          <w:spacing w:val="-3"/>
        </w:rPr>
        <w:t> </w:t>
      </w:r>
      <w:r>
        <w:rPr>
          <w:color w:val="231F20"/>
        </w:rPr>
        <w:t>fair</w:t>
      </w:r>
      <w:r>
        <w:rPr>
          <w:color w:val="231F20"/>
          <w:spacing w:val="-3"/>
        </w:rPr>
        <w:t> </w:t>
      </w:r>
      <w:r>
        <w:rPr>
          <w:color w:val="231F20"/>
        </w:rPr>
        <w:t>view</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financial</w:t>
      </w:r>
      <w:r>
        <w:rPr>
          <w:color w:val="231F20"/>
          <w:spacing w:val="-3"/>
        </w:rPr>
        <w:t> </w:t>
      </w:r>
      <w:r>
        <w:rPr>
          <w:color w:val="231F20"/>
        </w:rPr>
        <w:t>position of the Council</w:t>
      </w:r>
      <w:r>
        <w:rPr>
          <w:color w:val="231F20"/>
          <w:spacing w:val="-1"/>
        </w:rPr>
        <w:t> </w:t>
      </w:r>
      <w:r>
        <w:rPr>
          <w:color w:val="231F20"/>
        </w:rPr>
        <w:t>at the accounting date and its</w:t>
      </w:r>
      <w:r>
        <w:rPr>
          <w:color w:val="231F20"/>
          <w:spacing w:val="-1"/>
        </w:rPr>
        <w:t> </w:t>
      </w:r>
      <w:r>
        <w:rPr>
          <w:color w:val="231F20"/>
        </w:rPr>
        <w:t>income</w:t>
      </w:r>
      <w:r>
        <w:rPr>
          <w:color w:val="231F20"/>
          <w:spacing w:val="-1"/>
        </w:rPr>
        <w:t> </w:t>
      </w:r>
      <w:r>
        <w:rPr>
          <w:color w:val="231F20"/>
        </w:rPr>
        <w:t>and expenditure for the year ended 31st March 2023.</w:t>
      </w:r>
    </w:p>
    <w:p>
      <w:pPr>
        <w:pStyle w:val="BodyText"/>
        <w:rPr>
          <w:sz w:val="32"/>
        </w:rPr>
      </w:pPr>
    </w:p>
    <w:p>
      <w:pPr>
        <w:pStyle w:val="BodyText"/>
        <w:spacing w:before="7"/>
        <w:rPr>
          <w:sz w:val="34"/>
        </w:rPr>
      </w:pPr>
    </w:p>
    <w:p>
      <w:pPr>
        <w:spacing w:line="310" w:lineRule="exact" w:before="0"/>
        <w:ind w:left="582" w:right="0" w:firstLine="0"/>
        <w:jc w:val="left"/>
        <w:rPr>
          <w:b/>
          <w:sz w:val="24"/>
        </w:rPr>
      </w:pPr>
      <w:r>
        <w:rPr>
          <w:b/>
          <w:color w:val="231F20"/>
          <w:sz w:val="24"/>
        </w:rPr>
        <w:t>P.</w:t>
      </w:r>
      <w:r>
        <w:rPr>
          <w:b/>
          <w:color w:val="231F20"/>
          <w:spacing w:val="-14"/>
          <w:sz w:val="24"/>
        </w:rPr>
        <w:t> </w:t>
      </w:r>
      <w:r>
        <w:rPr>
          <w:b/>
          <w:color w:val="231F20"/>
          <w:sz w:val="24"/>
        </w:rPr>
        <w:t>Hudson,</w:t>
      </w:r>
      <w:r>
        <w:rPr>
          <w:b/>
          <w:color w:val="231F20"/>
          <w:spacing w:val="-14"/>
          <w:sz w:val="24"/>
        </w:rPr>
        <w:t> </w:t>
      </w:r>
      <w:r>
        <w:rPr>
          <w:b/>
          <w:color w:val="231F20"/>
          <w:sz w:val="24"/>
        </w:rPr>
        <w:t>ACMA,</w:t>
      </w:r>
      <w:r>
        <w:rPr>
          <w:b/>
          <w:color w:val="231F20"/>
          <w:spacing w:val="-13"/>
          <w:sz w:val="24"/>
        </w:rPr>
        <w:t> </w:t>
      </w:r>
      <w:r>
        <w:rPr>
          <w:b/>
          <w:color w:val="231F20"/>
          <w:spacing w:val="-4"/>
          <w:sz w:val="24"/>
        </w:rPr>
        <w:t>CGMA</w:t>
      </w:r>
    </w:p>
    <w:p>
      <w:pPr>
        <w:spacing w:line="225" w:lineRule="auto" w:before="6"/>
        <w:ind w:left="582" w:right="5041" w:firstLine="0"/>
        <w:jc w:val="left"/>
        <w:rPr>
          <w:b/>
          <w:sz w:val="24"/>
        </w:rPr>
      </w:pPr>
      <w:r>
        <w:rPr>
          <w:b/>
          <w:color w:val="231F20"/>
          <w:sz w:val="24"/>
        </w:rPr>
        <w:t>Corporate</w:t>
      </w:r>
      <w:r>
        <w:rPr>
          <w:b/>
          <w:color w:val="231F20"/>
          <w:spacing w:val="-9"/>
          <w:sz w:val="24"/>
        </w:rPr>
        <w:t> </w:t>
      </w:r>
      <w:r>
        <w:rPr>
          <w:b/>
          <w:color w:val="231F20"/>
          <w:sz w:val="24"/>
        </w:rPr>
        <w:t>Resources</w:t>
      </w:r>
      <w:r>
        <w:rPr>
          <w:b/>
          <w:color w:val="231F20"/>
          <w:spacing w:val="-9"/>
          <w:sz w:val="24"/>
        </w:rPr>
        <w:t> </w:t>
      </w:r>
      <w:r>
        <w:rPr>
          <w:b/>
          <w:color w:val="231F20"/>
          <w:sz w:val="24"/>
        </w:rPr>
        <w:t>Director</w:t>
      </w:r>
      <w:r>
        <w:rPr>
          <w:b/>
          <w:color w:val="231F20"/>
          <w:spacing w:val="-10"/>
          <w:sz w:val="24"/>
        </w:rPr>
        <w:t> </w:t>
      </w:r>
      <w:r>
        <w:rPr>
          <w:b/>
          <w:color w:val="231F20"/>
          <w:sz w:val="24"/>
        </w:rPr>
        <w:t>&amp;</w:t>
      </w:r>
      <w:r>
        <w:rPr>
          <w:b/>
          <w:color w:val="231F20"/>
          <w:spacing w:val="-9"/>
          <w:sz w:val="24"/>
        </w:rPr>
        <w:t> </w:t>
      </w:r>
      <w:r>
        <w:rPr>
          <w:b/>
          <w:color w:val="231F20"/>
          <w:sz w:val="24"/>
        </w:rPr>
        <w:t>Section</w:t>
      </w:r>
      <w:r>
        <w:rPr>
          <w:b/>
          <w:color w:val="231F20"/>
          <w:spacing w:val="-9"/>
          <w:sz w:val="24"/>
        </w:rPr>
        <w:t> </w:t>
      </w:r>
      <w:r>
        <w:rPr>
          <w:b/>
          <w:color w:val="231F20"/>
          <w:sz w:val="24"/>
        </w:rPr>
        <w:t>151</w:t>
      </w:r>
      <w:r>
        <w:rPr>
          <w:b/>
          <w:color w:val="231F20"/>
          <w:spacing w:val="-10"/>
          <w:sz w:val="24"/>
        </w:rPr>
        <w:t> </w:t>
      </w:r>
      <w:r>
        <w:rPr>
          <w:b/>
          <w:color w:val="231F20"/>
          <w:sz w:val="24"/>
        </w:rPr>
        <w:t>Officer XXth November 2023</w:t>
      </w:r>
    </w:p>
    <w:p>
      <w:pPr>
        <w:spacing w:after="0" w:line="225" w:lineRule="auto"/>
        <w:jc w:val="left"/>
        <w:rPr>
          <w:sz w:val="24"/>
        </w:rPr>
        <w:sectPr>
          <w:pgSz w:w="11910" w:h="16840"/>
          <w:pgMar w:header="377" w:footer="367" w:top="560" w:bottom="560" w:left="0" w:right="0"/>
        </w:sectPr>
      </w:pPr>
    </w:p>
    <w:p>
      <w:pPr>
        <w:pStyle w:val="BodyText"/>
        <w:spacing w:before="8"/>
        <w:rPr>
          <w:b/>
          <w:sz w:val="18"/>
        </w:rPr>
      </w:pPr>
    </w:p>
    <w:p>
      <w:pPr>
        <w:pStyle w:val="Heading2"/>
        <w:ind w:left="574"/>
      </w:pPr>
      <w:r>
        <w:rPr/>
        <w:pict>
          <v:group style="position:absolute;margin-left:0pt;margin-top:35.000019pt;width:595.3pt;height:63.4pt;mso-position-horizontal-relative:page;mso-position-vertical-relative:paragraph;z-index:-16851968" id="docshapegroup262" coordorigin="0,700" coordsize="11906,1268">
            <v:rect style="position:absolute;left:0;top:833;width:11906;height:1134" id="docshape263" filled="true" fillcolor="#c9cbd4" stroked="false">
              <v:fill type="solid"/>
            </v:rect>
            <v:shape style="position:absolute;left:0;top:700;width:11906;height:1268" type="#_x0000_t202" id="docshape264" filled="false" stroked="false">
              <v:textbox inset="0,0,0,0">
                <w:txbxContent>
                  <w:p>
                    <w:pPr>
                      <w:spacing w:before="0"/>
                      <w:ind w:left="2017" w:right="1898" w:firstLine="0"/>
                      <w:jc w:val="center"/>
                      <w:rPr>
                        <w:b/>
                        <w:sz w:val="60"/>
                      </w:rPr>
                    </w:pPr>
                    <w:r>
                      <w:rPr>
                        <w:b/>
                        <w:color w:val="3B5673"/>
                        <w:spacing w:val="13"/>
                        <w:sz w:val="60"/>
                      </w:rPr>
                      <w:t>AND</w:t>
                    </w:r>
                    <w:r>
                      <w:rPr>
                        <w:b/>
                        <w:color w:val="3B5673"/>
                        <w:spacing w:val="22"/>
                        <w:sz w:val="60"/>
                      </w:rPr>
                      <w:t> </w:t>
                    </w:r>
                    <w:r>
                      <w:rPr>
                        <w:b/>
                        <w:color w:val="3B5673"/>
                        <w:spacing w:val="18"/>
                        <w:sz w:val="60"/>
                      </w:rPr>
                      <w:t>OPINION</w:t>
                    </w:r>
                  </w:p>
                </w:txbxContent>
              </v:textbox>
              <w10:wrap type="none"/>
            </v:shape>
            <w10:wrap type="none"/>
          </v:group>
        </w:pict>
      </w:r>
      <w:r>
        <w:rPr>
          <w:color w:val="3B5673"/>
          <w:spacing w:val="14"/>
        </w:rPr>
        <w:t>AUDIT</w:t>
      </w:r>
      <w:r>
        <w:rPr>
          <w:color w:val="3B5673"/>
          <w:spacing w:val="23"/>
        </w:rPr>
        <w:t> </w:t>
      </w:r>
      <w:r>
        <w:rPr>
          <w:color w:val="3B5673"/>
          <w:spacing w:val="12"/>
        </w:rPr>
        <w:t>CERTIFICATE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25"/>
        </w:rPr>
      </w:pPr>
    </w:p>
    <w:p>
      <w:pPr>
        <w:spacing w:line="613" w:lineRule="exact" w:before="100"/>
        <w:ind w:left="2772" w:right="0" w:firstLine="0"/>
        <w:jc w:val="left"/>
        <w:rPr>
          <w:b/>
          <w:sz w:val="50"/>
        </w:rPr>
      </w:pPr>
      <w:r>
        <w:rPr/>
        <w:pict>
          <v:group style="position:absolute;margin-left:578.504028pt;margin-top:-31.500948pt;width:16.8pt;height:192.8pt;mso-position-horizontal-relative:page;mso-position-vertical-relative:paragraph;z-index:15761408" id="docshapegroup265" coordorigin="11570,-630" coordsize="336,3856">
            <v:rect style="position:absolute;left:11570;top:2261;width:336;height:964" id="docshape266" filled="true" fillcolor="#f15d6b" stroked="false">
              <v:fill type="solid"/>
            </v:rect>
            <v:rect style="position:absolute;left:11570;top:1297;width:336;height:964" id="docshape267" filled="true" fillcolor="#fbac42" stroked="false">
              <v:fill type="solid"/>
            </v:rect>
            <v:rect style="position:absolute;left:11570;top:333;width:336;height:964" id="docshape268" filled="true" fillcolor="#b78fc1" stroked="false">
              <v:fill type="solid"/>
            </v:rect>
            <v:rect style="position:absolute;left:11570;top:-631;width:336;height:964" id="docshape269" filled="true" fillcolor="#378372" stroked="false">
              <v:fill type="solid"/>
            </v:rect>
            <w10:wrap type="none"/>
          </v:group>
        </w:pict>
      </w:r>
      <w:r>
        <w:rPr>
          <w:b/>
          <w:color w:val="3B5673"/>
          <w:spacing w:val="13"/>
          <w:sz w:val="50"/>
        </w:rPr>
        <w:t>THESE</w:t>
      </w:r>
      <w:r>
        <w:rPr>
          <w:b/>
          <w:color w:val="3B5673"/>
          <w:spacing w:val="20"/>
          <w:sz w:val="50"/>
        </w:rPr>
        <w:t> </w:t>
      </w:r>
      <w:r>
        <w:rPr>
          <w:b/>
          <w:color w:val="3B5673"/>
          <w:sz w:val="50"/>
        </w:rPr>
        <w:t>5</w:t>
      </w:r>
      <w:r>
        <w:rPr>
          <w:b/>
          <w:color w:val="3B5673"/>
          <w:spacing w:val="20"/>
          <w:sz w:val="50"/>
        </w:rPr>
        <w:t> </w:t>
      </w:r>
      <w:r>
        <w:rPr>
          <w:b/>
          <w:color w:val="3B5673"/>
          <w:sz w:val="50"/>
        </w:rPr>
        <w:t>PAGES</w:t>
      </w:r>
      <w:r>
        <w:rPr>
          <w:b/>
          <w:color w:val="3B5673"/>
          <w:spacing w:val="30"/>
          <w:sz w:val="50"/>
        </w:rPr>
        <w:t> </w:t>
      </w:r>
      <w:r>
        <w:rPr>
          <w:b/>
          <w:color w:val="3B5673"/>
          <w:spacing w:val="12"/>
          <w:sz w:val="50"/>
        </w:rPr>
        <w:t>ARE</w:t>
      </w:r>
    </w:p>
    <w:p>
      <w:pPr>
        <w:spacing w:line="560" w:lineRule="exact" w:before="0"/>
        <w:ind w:left="2772" w:right="0" w:firstLine="0"/>
        <w:jc w:val="left"/>
        <w:rPr>
          <w:b/>
          <w:sz w:val="50"/>
        </w:rPr>
      </w:pPr>
      <w:r>
        <w:rPr>
          <w:b/>
          <w:color w:val="3B5673"/>
          <w:spacing w:val="14"/>
          <w:sz w:val="50"/>
        </w:rPr>
        <w:t>LEFT</w:t>
      </w:r>
      <w:r>
        <w:rPr>
          <w:b/>
          <w:color w:val="3B5673"/>
          <w:spacing w:val="19"/>
          <w:sz w:val="50"/>
        </w:rPr>
        <w:t> </w:t>
      </w:r>
      <w:r>
        <w:rPr>
          <w:b/>
          <w:color w:val="3B5673"/>
          <w:spacing w:val="15"/>
          <w:sz w:val="50"/>
        </w:rPr>
        <w:t>BLANK</w:t>
      </w:r>
      <w:r>
        <w:rPr>
          <w:b/>
          <w:color w:val="3B5673"/>
          <w:spacing w:val="20"/>
          <w:sz w:val="50"/>
        </w:rPr>
        <w:t> </w:t>
      </w:r>
      <w:r>
        <w:rPr>
          <w:b/>
          <w:color w:val="3B5673"/>
          <w:spacing w:val="12"/>
          <w:sz w:val="50"/>
        </w:rPr>
        <w:t>FOR</w:t>
      </w:r>
    </w:p>
    <w:p>
      <w:pPr>
        <w:spacing w:line="560" w:lineRule="exact" w:before="0"/>
        <w:ind w:left="2772" w:right="0" w:firstLine="0"/>
        <w:jc w:val="left"/>
        <w:rPr>
          <w:b/>
          <w:sz w:val="50"/>
        </w:rPr>
      </w:pPr>
      <w:r>
        <w:rPr>
          <w:b/>
          <w:color w:val="3B5673"/>
          <w:spacing w:val="11"/>
          <w:sz w:val="50"/>
        </w:rPr>
        <w:t>THE</w:t>
      </w:r>
      <w:r>
        <w:rPr>
          <w:b/>
          <w:color w:val="3B5673"/>
          <w:spacing w:val="18"/>
          <w:sz w:val="50"/>
        </w:rPr>
        <w:t> </w:t>
      </w:r>
      <w:r>
        <w:rPr>
          <w:b/>
          <w:color w:val="3B5673"/>
          <w:spacing w:val="15"/>
          <w:sz w:val="50"/>
        </w:rPr>
        <w:t>INDEPENDENT</w:t>
      </w:r>
    </w:p>
    <w:p>
      <w:pPr>
        <w:spacing w:line="613" w:lineRule="exact" w:before="0"/>
        <w:ind w:left="2772" w:right="0" w:firstLine="0"/>
        <w:jc w:val="left"/>
        <w:rPr>
          <w:b/>
          <w:sz w:val="50"/>
        </w:rPr>
      </w:pPr>
      <w:r>
        <w:rPr>
          <w:b/>
          <w:color w:val="3B5673"/>
          <w:spacing w:val="10"/>
          <w:sz w:val="50"/>
        </w:rPr>
        <w:t>AUDITOR’S</w:t>
      </w:r>
      <w:r>
        <w:rPr>
          <w:b/>
          <w:color w:val="3B5673"/>
          <w:spacing w:val="18"/>
          <w:sz w:val="50"/>
        </w:rPr>
        <w:t> </w:t>
      </w:r>
      <w:r>
        <w:rPr>
          <w:b/>
          <w:color w:val="3B5673"/>
          <w:spacing w:val="-2"/>
          <w:sz w:val="50"/>
        </w:rPr>
        <w:t>REPORT.</w:t>
      </w:r>
    </w:p>
    <w:p>
      <w:pPr>
        <w:spacing w:after="0" w:line="613" w:lineRule="exact"/>
        <w:jc w:val="left"/>
        <w:rPr>
          <w:sz w:val="50"/>
        </w:rPr>
        <w:sectPr>
          <w:pgSz w:w="11910" w:h="16840"/>
          <w:pgMar w:header="377" w:footer="367" w:top="560" w:bottom="56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line="613" w:lineRule="exact" w:before="260"/>
        <w:ind w:left="2772" w:right="0" w:firstLine="0"/>
        <w:jc w:val="left"/>
        <w:rPr>
          <w:b/>
          <w:sz w:val="50"/>
        </w:rPr>
      </w:pPr>
      <w:r>
        <w:rPr/>
        <w:pict>
          <v:group style="position:absolute;margin-left:578.504028pt;margin-top:-23.500948pt;width:16.8pt;height:192.8pt;mso-position-horizontal-relative:page;mso-position-vertical-relative:paragraph;z-index:15761920" id="docshapegroup270" coordorigin="11570,-470" coordsize="336,3856">
            <v:rect style="position:absolute;left:11570;top:2421;width:336;height:964" id="docshape271" filled="true" fillcolor="#f15d6b" stroked="false">
              <v:fill type="solid"/>
            </v:rect>
            <v:rect style="position:absolute;left:11570;top:1457;width:336;height:964" id="docshape272" filled="true" fillcolor="#fbac42" stroked="false">
              <v:fill type="solid"/>
            </v:rect>
            <v:rect style="position:absolute;left:11570;top:493;width:336;height:964" id="docshape273" filled="true" fillcolor="#b78fc1" stroked="false">
              <v:fill type="solid"/>
            </v:rect>
            <v:rect style="position:absolute;left:11570;top:-471;width:336;height:964" id="docshape274" filled="true" fillcolor="#378372" stroked="false">
              <v:fill type="solid"/>
            </v:rect>
            <w10:wrap type="none"/>
          </v:group>
        </w:pict>
      </w:r>
      <w:r>
        <w:rPr>
          <w:b/>
          <w:color w:val="3B5673"/>
          <w:spacing w:val="13"/>
          <w:sz w:val="50"/>
        </w:rPr>
        <w:t>THESE</w:t>
      </w:r>
      <w:r>
        <w:rPr>
          <w:b/>
          <w:color w:val="3B5673"/>
          <w:spacing w:val="20"/>
          <w:sz w:val="50"/>
        </w:rPr>
        <w:t> </w:t>
      </w:r>
      <w:r>
        <w:rPr>
          <w:b/>
          <w:color w:val="3B5673"/>
          <w:sz w:val="50"/>
        </w:rPr>
        <w:t>5</w:t>
      </w:r>
      <w:r>
        <w:rPr>
          <w:b/>
          <w:color w:val="3B5673"/>
          <w:spacing w:val="20"/>
          <w:sz w:val="50"/>
        </w:rPr>
        <w:t> </w:t>
      </w:r>
      <w:r>
        <w:rPr>
          <w:b/>
          <w:color w:val="3B5673"/>
          <w:sz w:val="50"/>
        </w:rPr>
        <w:t>PAGES</w:t>
      </w:r>
      <w:r>
        <w:rPr>
          <w:b/>
          <w:color w:val="3B5673"/>
          <w:spacing w:val="30"/>
          <w:sz w:val="50"/>
        </w:rPr>
        <w:t> </w:t>
      </w:r>
      <w:r>
        <w:rPr>
          <w:b/>
          <w:color w:val="3B5673"/>
          <w:spacing w:val="12"/>
          <w:sz w:val="50"/>
        </w:rPr>
        <w:t>ARE</w:t>
      </w:r>
    </w:p>
    <w:p>
      <w:pPr>
        <w:spacing w:line="560" w:lineRule="exact" w:before="0"/>
        <w:ind w:left="2772" w:right="0" w:firstLine="0"/>
        <w:jc w:val="left"/>
        <w:rPr>
          <w:b/>
          <w:sz w:val="50"/>
        </w:rPr>
      </w:pPr>
      <w:r>
        <w:rPr>
          <w:b/>
          <w:color w:val="3B5673"/>
          <w:spacing w:val="14"/>
          <w:sz w:val="50"/>
        </w:rPr>
        <w:t>LEFT</w:t>
      </w:r>
      <w:r>
        <w:rPr>
          <w:b/>
          <w:color w:val="3B5673"/>
          <w:spacing w:val="19"/>
          <w:sz w:val="50"/>
        </w:rPr>
        <w:t> </w:t>
      </w:r>
      <w:r>
        <w:rPr>
          <w:b/>
          <w:color w:val="3B5673"/>
          <w:spacing w:val="15"/>
          <w:sz w:val="50"/>
        </w:rPr>
        <w:t>BLANK</w:t>
      </w:r>
      <w:r>
        <w:rPr>
          <w:b/>
          <w:color w:val="3B5673"/>
          <w:spacing w:val="20"/>
          <w:sz w:val="50"/>
        </w:rPr>
        <w:t> </w:t>
      </w:r>
      <w:r>
        <w:rPr>
          <w:b/>
          <w:color w:val="3B5673"/>
          <w:spacing w:val="12"/>
          <w:sz w:val="50"/>
        </w:rPr>
        <w:t>FOR</w:t>
      </w:r>
    </w:p>
    <w:p>
      <w:pPr>
        <w:spacing w:line="560" w:lineRule="exact" w:before="0"/>
        <w:ind w:left="2772" w:right="0" w:firstLine="0"/>
        <w:jc w:val="left"/>
        <w:rPr>
          <w:b/>
          <w:sz w:val="50"/>
        </w:rPr>
      </w:pPr>
      <w:r>
        <w:rPr>
          <w:b/>
          <w:color w:val="3B5673"/>
          <w:spacing w:val="11"/>
          <w:sz w:val="50"/>
        </w:rPr>
        <w:t>THE</w:t>
      </w:r>
      <w:r>
        <w:rPr>
          <w:b/>
          <w:color w:val="3B5673"/>
          <w:spacing w:val="18"/>
          <w:sz w:val="50"/>
        </w:rPr>
        <w:t> </w:t>
      </w:r>
      <w:r>
        <w:rPr>
          <w:b/>
          <w:color w:val="3B5673"/>
          <w:spacing w:val="15"/>
          <w:sz w:val="50"/>
        </w:rPr>
        <w:t>INDEPENDENT</w:t>
      </w:r>
    </w:p>
    <w:p>
      <w:pPr>
        <w:spacing w:line="613" w:lineRule="exact" w:before="0"/>
        <w:ind w:left="2772" w:right="0" w:firstLine="0"/>
        <w:jc w:val="left"/>
        <w:rPr>
          <w:b/>
          <w:sz w:val="50"/>
        </w:rPr>
      </w:pPr>
      <w:r>
        <w:rPr>
          <w:b/>
          <w:color w:val="3B5673"/>
          <w:spacing w:val="10"/>
          <w:sz w:val="50"/>
        </w:rPr>
        <w:t>AUDITOR’S</w:t>
      </w:r>
      <w:r>
        <w:rPr>
          <w:b/>
          <w:color w:val="3B5673"/>
          <w:spacing w:val="18"/>
          <w:sz w:val="50"/>
        </w:rPr>
        <w:t> </w:t>
      </w:r>
      <w:r>
        <w:rPr>
          <w:b/>
          <w:color w:val="3B5673"/>
          <w:spacing w:val="-2"/>
          <w:sz w:val="50"/>
        </w:rPr>
        <w:t>REPORT.</w:t>
      </w:r>
    </w:p>
    <w:p>
      <w:pPr>
        <w:spacing w:after="0" w:line="613" w:lineRule="exact"/>
        <w:jc w:val="left"/>
        <w:rPr>
          <w:sz w:val="50"/>
        </w:rPr>
        <w:sectPr>
          <w:pgSz w:w="11910" w:h="16840"/>
          <w:pgMar w:header="377" w:footer="367" w:top="560" w:bottom="56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line="613" w:lineRule="exact" w:before="260"/>
        <w:ind w:left="2772" w:right="0" w:firstLine="0"/>
        <w:jc w:val="left"/>
        <w:rPr>
          <w:b/>
          <w:sz w:val="50"/>
        </w:rPr>
      </w:pPr>
      <w:r>
        <w:rPr/>
        <w:pict>
          <v:group style="position:absolute;margin-left:578.504028pt;margin-top:-23.500948pt;width:16.8pt;height:192.8pt;mso-position-horizontal-relative:page;mso-position-vertical-relative:paragraph;z-index:15762432" id="docshapegroup275" coordorigin="11570,-470" coordsize="336,3856">
            <v:rect style="position:absolute;left:11570;top:2421;width:336;height:964" id="docshape276" filled="true" fillcolor="#f15d6b" stroked="false">
              <v:fill type="solid"/>
            </v:rect>
            <v:rect style="position:absolute;left:11570;top:1457;width:336;height:964" id="docshape277" filled="true" fillcolor="#fbac42" stroked="false">
              <v:fill type="solid"/>
            </v:rect>
            <v:rect style="position:absolute;left:11570;top:493;width:336;height:964" id="docshape278" filled="true" fillcolor="#b78fc1" stroked="false">
              <v:fill type="solid"/>
            </v:rect>
            <v:rect style="position:absolute;left:11570;top:-471;width:336;height:964" id="docshape279" filled="true" fillcolor="#378372" stroked="false">
              <v:fill type="solid"/>
            </v:rect>
            <w10:wrap type="none"/>
          </v:group>
        </w:pict>
      </w:r>
      <w:r>
        <w:rPr>
          <w:b/>
          <w:color w:val="3B5673"/>
          <w:spacing w:val="13"/>
          <w:sz w:val="50"/>
        </w:rPr>
        <w:t>THESE</w:t>
      </w:r>
      <w:r>
        <w:rPr>
          <w:b/>
          <w:color w:val="3B5673"/>
          <w:spacing w:val="20"/>
          <w:sz w:val="50"/>
        </w:rPr>
        <w:t> </w:t>
      </w:r>
      <w:r>
        <w:rPr>
          <w:b/>
          <w:color w:val="3B5673"/>
          <w:sz w:val="50"/>
        </w:rPr>
        <w:t>5</w:t>
      </w:r>
      <w:r>
        <w:rPr>
          <w:b/>
          <w:color w:val="3B5673"/>
          <w:spacing w:val="20"/>
          <w:sz w:val="50"/>
        </w:rPr>
        <w:t> </w:t>
      </w:r>
      <w:r>
        <w:rPr>
          <w:b/>
          <w:color w:val="3B5673"/>
          <w:sz w:val="50"/>
        </w:rPr>
        <w:t>PAGES</w:t>
      </w:r>
      <w:r>
        <w:rPr>
          <w:b/>
          <w:color w:val="3B5673"/>
          <w:spacing w:val="30"/>
          <w:sz w:val="50"/>
        </w:rPr>
        <w:t> </w:t>
      </w:r>
      <w:r>
        <w:rPr>
          <w:b/>
          <w:color w:val="3B5673"/>
          <w:spacing w:val="12"/>
          <w:sz w:val="50"/>
        </w:rPr>
        <w:t>ARE</w:t>
      </w:r>
    </w:p>
    <w:p>
      <w:pPr>
        <w:spacing w:line="560" w:lineRule="exact" w:before="0"/>
        <w:ind w:left="2772" w:right="0" w:firstLine="0"/>
        <w:jc w:val="left"/>
        <w:rPr>
          <w:b/>
          <w:sz w:val="50"/>
        </w:rPr>
      </w:pPr>
      <w:r>
        <w:rPr>
          <w:b/>
          <w:color w:val="3B5673"/>
          <w:spacing w:val="14"/>
          <w:sz w:val="50"/>
        </w:rPr>
        <w:t>LEFT</w:t>
      </w:r>
      <w:r>
        <w:rPr>
          <w:b/>
          <w:color w:val="3B5673"/>
          <w:spacing w:val="19"/>
          <w:sz w:val="50"/>
        </w:rPr>
        <w:t> </w:t>
      </w:r>
      <w:r>
        <w:rPr>
          <w:b/>
          <w:color w:val="3B5673"/>
          <w:spacing w:val="15"/>
          <w:sz w:val="50"/>
        </w:rPr>
        <w:t>BLANK</w:t>
      </w:r>
      <w:r>
        <w:rPr>
          <w:b/>
          <w:color w:val="3B5673"/>
          <w:spacing w:val="20"/>
          <w:sz w:val="50"/>
        </w:rPr>
        <w:t> </w:t>
      </w:r>
      <w:r>
        <w:rPr>
          <w:b/>
          <w:color w:val="3B5673"/>
          <w:spacing w:val="12"/>
          <w:sz w:val="50"/>
        </w:rPr>
        <w:t>FOR</w:t>
      </w:r>
    </w:p>
    <w:p>
      <w:pPr>
        <w:spacing w:line="560" w:lineRule="exact" w:before="0"/>
        <w:ind w:left="2772" w:right="0" w:firstLine="0"/>
        <w:jc w:val="left"/>
        <w:rPr>
          <w:b/>
          <w:sz w:val="50"/>
        </w:rPr>
      </w:pPr>
      <w:r>
        <w:rPr>
          <w:b/>
          <w:color w:val="3B5673"/>
          <w:spacing w:val="11"/>
          <w:sz w:val="50"/>
        </w:rPr>
        <w:t>THE</w:t>
      </w:r>
      <w:r>
        <w:rPr>
          <w:b/>
          <w:color w:val="3B5673"/>
          <w:spacing w:val="18"/>
          <w:sz w:val="50"/>
        </w:rPr>
        <w:t> </w:t>
      </w:r>
      <w:r>
        <w:rPr>
          <w:b/>
          <w:color w:val="3B5673"/>
          <w:spacing w:val="15"/>
          <w:sz w:val="50"/>
        </w:rPr>
        <w:t>INDEPENDENT</w:t>
      </w:r>
    </w:p>
    <w:p>
      <w:pPr>
        <w:spacing w:line="613" w:lineRule="exact" w:before="0"/>
        <w:ind w:left="2772" w:right="0" w:firstLine="0"/>
        <w:jc w:val="left"/>
        <w:rPr>
          <w:b/>
          <w:sz w:val="50"/>
        </w:rPr>
      </w:pPr>
      <w:r>
        <w:rPr>
          <w:b/>
          <w:color w:val="3B5673"/>
          <w:spacing w:val="10"/>
          <w:sz w:val="50"/>
        </w:rPr>
        <w:t>AUDITOR’S</w:t>
      </w:r>
      <w:r>
        <w:rPr>
          <w:b/>
          <w:color w:val="3B5673"/>
          <w:spacing w:val="18"/>
          <w:sz w:val="50"/>
        </w:rPr>
        <w:t> </w:t>
      </w:r>
      <w:r>
        <w:rPr>
          <w:b/>
          <w:color w:val="3B5673"/>
          <w:spacing w:val="-2"/>
          <w:sz w:val="50"/>
        </w:rPr>
        <w:t>REPORT.</w:t>
      </w:r>
    </w:p>
    <w:p>
      <w:pPr>
        <w:spacing w:after="0" w:line="613" w:lineRule="exact"/>
        <w:jc w:val="left"/>
        <w:rPr>
          <w:sz w:val="50"/>
        </w:rPr>
        <w:sectPr>
          <w:pgSz w:w="11910" w:h="16840"/>
          <w:pgMar w:header="377" w:footer="367" w:top="560" w:bottom="56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line="613" w:lineRule="exact" w:before="260"/>
        <w:ind w:left="2772" w:right="0" w:firstLine="0"/>
        <w:jc w:val="left"/>
        <w:rPr>
          <w:b/>
          <w:sz w:val="50"/>
        </w:rPr>
      </w:pPr>
      <w:r>
        <w:rPr/>
        <w:pict>
          <v:group style="position:absolute;margin-left:578.504028pt;margin-top:-23.500948pt;width:16.8pt;height:192.8pt;mso-position-horizontal-relative:page;mso-position-vertical-relative:paragraph;z-index:15762944" id="docshapegroup280" coordorigin="11570,-470" coordsize="336,3856">
            <v:rect style="position:absolute;left:11570;top:2421;width:336;height:964" id="docshape281" filled="true" fillcolor="#f15d6b" stroked="false">
              <v:fill type="solid"/>
            </v:rect>
            <v:rect style="position:absolute;left:11570;top:1457;width:336;height:964" id="docshape282" filled="true" fillcolor="#fbac42" stroked="false">
              <v:fill type="solid"/>
            </v:rect>
            <v:rect style="position:absolute;left:11570;top:493;width:336;height:964" id="docshape283" filled="true" fillcolor="#b78fc1" stroked="false">
              <v:fill type="solid"/>
            </v:rect>
            <v:rect style="position:absolute;left:11570;top:-471;width:336;height:964" id="docshape284" filled="true" fillcolor="#378372" stroked="false">
              <v:fill type="solid"/>
            </v:rect>
            <w10:wrap type="none"/>
          </v:group>
        </w:pict>
      </w:r>
      <w:r>
        <w:rPr>
          <w:b/>
          <w:color w:val="3B5673"/>
          <w:spacing w:val="13"/>
          <w:sz w:val="50"/>
        </w:rPr>
        <w:t>THESE</w:t>
      </w:r>
      <w:r>
        <w:rPr>
          <w:b/>
          <w:color w:val="3B5673"/>
          <w:spacing w:val="20"/>
          <w:sz w:val="50"/>
        </w:rPr>
        <w:t> </w:t>
      </w:r>
      <w:r>
        <w:rPr>
          <w:b/>
          <w:color w:val="3B5673"/>
          <w:sz w:val="50"/>
        </w:rPr>
        <w:t>5</w:t>
      </w:r>
      <w:r>
        <w:rPr>
          <w:b/>
          <w:color w:val="3B5673"/>
          <w:spacing w:val="20"/>
          <w:sz w:val="50"/>
        </w:rPr>
        <w:t> </w:t>
      </w:r>
      <w:r>
        <w:rPr>
          <w:b/>
          <w:color w:val="3B5673"/>
          <w:sz w:val="50"/>
        </w:rPr>
        <w:t>PAGES</w:t>
      </w:r>
      <w:r>
        <w:rPr>
          <w:b/>
          <w:color w:val="3B5673"/>
          <w:spacing w:val="30"/>
          <w:sz w:val="50"/>
        </w:rPr>
        <w:t> </w:t>
      </w:r>
      <w:r>
        <w:rPr>
          <w:b/>
          <w:color w:val="3B5673"/>
          <w:spacing w:val="12"/>
          <w:sz w:val="50"/>
        </w:rPr>
        <w:t>ARE</w:t>
      </w:r>
    </w:p>
    <w:p>
      <w:pPr>
        <w:spacing w:line="560" w:lineRule="exact" w:before="0"/>
        <w:ind w:left="2772" w:right="0" w:firstLine="0"/>
        <w:jc w:val="left"/>
        <w:rPr>
          <w:b/>
          <w:sz w:val="50"/>
        </w:rPr>
      </w:pPr>
      <w:r>
        <w:rPr>
          <w:b/>
          <w:color w:val="3B5673"/>
          <w:spacing w:val="14"/>
          <w:sz w:val="50"/>
        </w:rPr>
        <w:t>LEFT</w:t>
      </w:r>
      <w:r>
        <w:rPr>
          <w:b/>
          <w:color w:val="3B5673"/>
          <w:spacing w:val="19"/>
          <w:sz w:val="50"/>
        </w:rPr>
        <w:t> </w:t>
      </w:r>
      <w:r>
        <w:rPr>
          <w:b/>
          <w:color w:val="3B5673"/>
          <w:spacing w:val="15"/>
          <w:sz w:val="50"/>
        </w:rPr>
        <w:t>BLANK</w:t>
      </w:r>
      <w:r>
        <w:rPr>
          <w:b/>
          <w:color w:val="3B5673"/>
          <w:spacing w:val="20"/>
          <w:sz w:val="50"/>
        </w:rPr>
        <w:t> </w:t>
      </w:r>
      <w:r>
        <w:rPr>
          <w:b/>
          <w:color w:val="3B5673"/>
          <w:spacing w:val="12"/>
          <w:sz w:val="50"/>
        </w:rPr>
        <w:t>FOR</w:t>
      </w:r>
    </w:p>
    <w:p>
      <w:pPr>
        <w:spacing w:line="560" w:lineRule="exact" w:before="0"/>
        <w:ind w:left="2772" w:right="0" w:firstLine="0"/>
        <w:jc w:val="left"/>
        <w:rPr>
          <w:b/>
          <w:sz w:val="50"/>
        </w:rPr>
      </w:pPr>
      <w:r>
        <w:rPr>
          <w:b/>
          <w:color w:val="3B5673"/>
          <w:spacing w:val="11"/>
          <w:sz w:val="50"/>
        </w:rPr>
        <w:t>THE</w:t>
      </w:r>
      <w:r>
        <w:rPr>
          <w:b/>
          <w:color w:val="3B5673"/>
          <w:spacing w:val="18"/>
          <w:sz w:val="50"/>
        </w:rPr>
        <w:t> </w:t>
      </w:r>
      <w:r>
        <w:rPr>
          <w:b/>
          <w:color w:val="3B5673"/>
          <w:spacing w:val="15"/>
          <w:sz w:val="50"/>
        </w:rPr>
        <w:t>INDEPENDENT</w:t>
      </w:r>
    </w:p>
    <w:p>
      <w:pPr>
        <w:spacing w:line="613" w:lineRule="exact" w:before="0"/>
        <w:ind w:left="2772" w:right="0" w:firstLine="0"/>
        <w:jc w:val="left"/>
        <w:rPr>
          <w:b/>
          <w:sz w:val="50"/>
        </w:rPr>
      </w:pPr>
      <w:r>
        <w:rPr>
          <w:b/>
          <w:color w:val="3B5673"/>
          <w:spacing w:val="10"/>
          <w:sz w:val="50"/>
        </w:rPr>
        <w:t>AUDITOR’S</w:t>
      </w:r>
      <w:r>
        <w:rPr>
          <w:b/>
          <w:color w:val="3B5673"/>
          <w:spacing w:val="18"/>
          <w:sz w:val="50"/>
        </w:rPr>
        <w:t> </w:t>
      </w:r>
      <w:r>
        <w:rPr>
          <w:b/>
          <w:color w:val="3B5673"/>
          <w:spacing w:val="-2"/>
          <w:sz w:val="50"/>
        </w:rPr>
        <w:t>REPORT.</w:t>
      </w:r>
    </w:p>
    <w:p>
      <w:pPr>
        <w:spacing w:after="0" w:line="613" w:lineRule="exact"/>
        <w:jc w:val="left"/>
        <w:rPr>
          <w:sz w:val="50"/>
        </w:rPr>
        <w:sectPr>
          <w:pgSz w:w="11910" w:h="16840"/>
          <w:pgMar w:header="377" w:footer="367" w:top="560" w:bottom="56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line="613" w:lineRule="exact" w:before="260"/>
        <w:ind w:left="2772" w:right="0" w:firstLine="0"/>
        <w:jc w:val="left"/>
        <w:rPr>
          <w:b/>
          <w:sz w:val="50"/>
        </w:rPr>
      </w:pPr>
      <w:r>
        <w:rPr/>
        <w:pict>
          <v:group style="position:absolute;margin-left:578.504028pt;margin-top:-23.500948pt;width:16.8pt;height:192.8pt;mso-position-horizontal-relative:page;mso-position-vertical-relative:paragraph;z-index:15763456" id="docshapegroup285" coordorigin="11570,-470" coordsize="336,3856">
            <v:rect style="position:absolute;left:11570;top:2421;width:336;height:964" id="docshape286" filled="true" fillcolor="#f15d6b" stroked="false">
              <v:fill type="solid"/>
            </v:rect>
            <v:rect style="position:absolute;left:11570;top:1457;width:336;height:964" id="docshape287" filled="true" fillcolor="#fbac42" stroked="false">
              <v:fill type="solid"/>
            </v:rect>
            <v:rect style="position:absolute;left:11570;top:493;width:336;height:964" id="docshape288" filled="true" fillcolor="#b78fc1" stroked="false">
              <v:fill type="solid"/>
            </v:rect>
            <v:rect style="position:absolute;left:11570;top:-471;width:336;height:964" id="docshape289" filled="true" fillcolor="#378372" stroked="false">
              <v:fill type="solid"/>
            </v:rect>
            <w10:wrap type="none"/>
          </v:group>
        </w:pict>
      </w:r>
      <w:r>
        <w:rPr>
          <w:b/>
          <w:color w:val="3B5673"/>
          <w:spacing w:val="13"/>
          <w:sz w:val="50"/>
        </w:rPr>
        <w:t>THESE</w:t>
      </w:r>
      <w:r>
        <w:rPr>
          <w:b/>
          <w:color w:val="3B5673"/>
          <w:spacing w:val="20"/>
          <w:sz w:val="50"/>
        </w:rPr>
        <w:t> </w:t>
      </w:r>
      <w:r>
        <w:rPr>
          <w:b/>
          <w:color w:val="3B5673"/>
          <w:sz w:val="50"/>
        </w:rPr>
        <w:t>5</w:t>
      </w:r>
      <w:r>
        <w:rPr>
          <w:b/>
          <w:color w:val="3B5673"/>
          <w:spacing w:val="20"/>
          <w:sz w:val="50"/>
        </w:rPr>
        <w:t> </w:t>
      </w:r>
      <w:r>
        <w:rPr>
          <w:b/>
          <w:color w:val="3B5673"/>
          <w:sz w:val="50"/>
        </w:rPr>
        <w:t>PAGES</w:t>
      </w:r>
      <w:r>
        <w:rPr>
          <w:b/>
          <w:color w:val="3B5673"/>
          <w:spacing w:val="30"/>
          <w:sz w:val="50"/>
        </w:rPr>
        <w:t> </w:t>
      </w:r>
      <w:r>
        <w:rPr>
          <w:b/>
          <w:color w:val="3B5673"/>
          <w:spacing w:val="12"/>
          <w:sz w:val="50"/>
        </w:rPr>
        <w:t>ARE</w:t>
      </w:r>
    </w:p>
    <w:p>
      <w:pPr>
        <w:spacing w:line="560" w:lineRule="exact" w:before="0"/>
        <w:ind w:left="2772" w:right="0" w:firstLine="0"/>
        <w:jc w:val="left"/>
        <w:rPr>
          <w:b/>
          <w:sz w:val="50"/>
        </w:rPr>
      </w:pPr>
      <w:r>
        <w:rPr>
          <w:b/>
          <w:color w:val="3B5673"/>
          <w:spacing w:val="14"/>
          <w:sz w:val="50"/>
        </w:rPr>
        <w:t>LEFT</w:t>
      </w:r>
      <w:r>
        <w:rPr>
          <w:b/>
          <w:color w:val="3B5673"/>
          <w:spacing w:val="19"/>
          <w:sz w:val="50"/>
        </w:rPr>
        <w:t> </w:t>
      </w:r>
      <w:r>
        <w:rPr>
          <w:b/>
          <w:color w:val="3B5673"/>
          <w:spacing w:val="15"/>
          <w:sz w:val="50"/>
        </w:rPr>
        <w:t>BLANK</w:t>
      </w:r>
      <w:r>
        <w:rPr>
          <w:b/>
          <w:color w:val="3B5673"/>
          <w:spacing w:val="20"/>
          <w:sz w:val="50"/>
        </w:rPr>
        <w:t> </w:t>
      </w:r>
      <w:r>
        <w:rPr>
          <w:b/>
          <w:color w:val="3B5673"/>
          <w:spacing w:val="12"/>
          <w:sz w:val="50"/>
        </w:rPr>
        <w:t>FOR</w:t>
      </w:r>
    </w:p>
    <w:p>
      <w:pPr>
        <w:spacing w:line="560" w:lineRule="exact" w:before="0"/>
        <w:ind w:left="2772" w:right="0" w:firstLine="0"/>
        <w:jc w:val="left"/>
        <w:rPr>
          <w:b/>
          <w:sz w:val="50"/>
        </w:rPr>
      </w:pPr>
      <w:r>
        <w:rPr>
          <w:b/>
          <w:color w:val="3B5673"/>
          <w:spacing w:val="11"/>
          <w:sz w:val="50"/>
        </w:rPr>
        <w:t>THE</w:t>
      </w:r>
      <w:r>
        <w:rPr>
          <w:b/>
          <w:color w:val="3B5673"/>
          <w:spacing w:val="18"/>
          <w:sz w:val="50"/>
        </w:rPr>
        <w:t> </w:t>
      </w:r>
      <w:r>
        <w:rPr>
          <w:b/>
          <w:color w:val="3B5673"/>
          <w:spacing w:val="15"/>
          <w:sz w:val="50"/>
        </w:rPr>
        <w:t>INDEPENDENT</w:t>
      </w:r>
    </w:p>
    <w:p>
      <w:pPr>
        <w:spacing w:line="613" w:lineRule="exact" w:before="0"/>
        <w:ind w:left="2772" w:right="0" w:firstLine="0"/>
        <w:jc w:val="left"/>
        <w:rPr>
          <w:b/>
          <w:sz w:val="50"/>
        </w:rPr>
      </w:pPr>
      <w:r>
        <w:rPr>
          <w:b/>
          <w:color w:val="3B5673"/>
          <w:spacing w:val="10"/>
          <w:sz w:val="50"/>
        </w:rPr>
        <w:t>AUDITOR’S</w:t>
      </w:r>
      <w:r>
        <w:rPr>
          <w:b/>
          <w:color w:val="3B5673"/>
          <w:spacing w:val="18"/>
          <w:sz w:val="50"/>
        </w:rPr>
        <w:t> </w:t>
      </w:r>
      <w:r>
        <w:rPr>
          <w:b/>
          <w:color w:val="3B5673"/>
          <w:spacing w:val="-2"/>
          <w:sz w:val="50"/>
        </w:rPr>
        <w:t>REPORT.</w:t>
      </w:r>
    </w:p>
    <w:p>
      <w:pPr>
        <w:spacing w:after="0" w:line="613" w:lineRule="exact"/>
        <w:jc w:val="left"/>
        <w:rPr>
          <w:sz w:val="50"/>
        </w:rPr>
        <w:sectPr>
          <w:pgSz w:w="11910" w:h="16840"/>
          <w:pgMar w:header="377" w:footer="367" w:top="560" w:bottom="560" w:left="0" w:right="0"/>
        </w:sectPr>
      </w:pPr>
    </w:p>
    <w:p>
      <w:pPr>
        <w:pStyle w:val="BodyText"/>
        <w:spacing w:before="8"/>
        <w:rPr>
          <w:b/>
          <w:sz w:val="18"/>
        </w:rPr>
      </w:pPr>
    </w:p>
    <w:p>
      <w:pPr>
        <w:pStyle w:val="Heading2"/>
        <w:ind w:left="574"/>
      </w:pPr>
      <w:r>
        <w:rPr/>
        <w:pict>
          <v:group style="position:absolute;margin-left:0pt;margin-top:35.000019pt;width:595.3pt;height:63.4pt;mso-position-horizontal-relative:page;mso-position-vertical-relative:paragraph;z-index:-16848896" id="docshapegroup290" coordorigin="0,700" coordsize="11906,1268">
            <v:rect style="position:absolute;left:0;top:833;width:11906;height:1134" id="docshape291" filled="true" fillcolor="#c9cbd4" stroked="false">
              <v:fill type="solid"/>
            </v:rect>
            <v:shape style="position:absolute;left:0;top:700;width:11906;height:1268" type="#_x0000_t202" id="docshape292" filled="false" stroked="false">
              <v:textbox inset="0,0,0,0">
                <w:txbxContent>
                  <w:p>
                    <w:pPr>
                      <w:spacing w:before="0"/>
                      <w:ind w:left="2515" w:right="1468" w:firstLine="0"/>
                      <w:jc w:val="center"/>
                      <w:rPr>
                        <w:b/>
                        <w:sz w:val="60"/>
                      </w:rPr>
                    </w:pPr>
                    <w:r>
                      <w:rPr>
                        <w:b/>
                        <w:color w:val="3B5673"/>
                        <w:spacing w:val="14"/>
                        <w:sz w:val="60"/>
                      </w:rPr>
                      <w:t>ACCOUNTING</w:t>
                    </w:r>
                    <w:r>
                      <w:rPr>
                        <w:b/>
                        <w:color w:val="3B5673"/>
                        <w:spacing w:val="27"/>
                        <w:sz w:val="60"/>
                      </w:rPr>
                      <w:t> </w:t>
                    </w:r>
                    <w:r>
                      <w:rPr>
                        <w:b/>
                        <w:color w:val="3B5673"/>
                        <w:spacing w:val="15"/>
                        <w:sz w:val="60"/>
                      </w:rPr>
                      <w:t>POLICIES</w:t>
                    </w:r>
                  </w:p>
                </w:txbxContent>
              </v:textbox>
              <w10:wrap type="none"/>
            </v:shape>
            <w10:wrap type="none"/>
          </v:group>
        </w:pict>
      </w:r>
      <w:r>
        <w:rPr>
          <w:color w:val="3B5673"/>
          <w:spacing w:val="9"/>
        </w:rPr>
        <w:t>STATEMENT</w:t>
      </w:r>
      <w:r>
        <w:rPr>
          <w:color w:val="3B5673"/>
          <w:spacing w:val="22"/>
        </w:rPr>
        <w:t> </w:t>
      </w:r>
      <w:r>
        <w:rPr>
          <w:color w:val="3B5673"/>
          <w:spacing w:val="16"/>
        </w:rPr>
        <w:t>OF</w:t>
      </w:r>
    </w:p>
    <w:p>
      <w:pPr>
        <w:pStyle w:val="BodyText"/>
        <w:rPr>
          <w:sz w:val="20"/>
        </w:rPr>
      </w:pPr>
    </w:p>
    <w:p>
      <w:pPr>
        <w:pStyle w:val="BodyText"/>
        <w:rPr>
          <w:sz w:val="20"/>
        </w:rPr>
      </w:pPr>
    </w:p>
    <w:p>
      <w:pPr>
        <w:pStyle w:val="BodyText"/>
        <w:rPr>
          <w:sz w:val="20"/>
        </w:rPr>
      </w:pPr>
    </w:p>
    <w:p>
      <w:pPr>
        <w:pStyle w:val="BodyText"/>
        <w:spacing w:before="12"/>
        <w:rPr>
          <w:sz w:val="28"/>
        </w:rPr>
      </w:pPr>
    </w:p>
    <w:p>
      <w:pPr>
        <w:spacing w:after="0"/>
        <w:rPr>
          <w:sz w:val="28"/>
        </w:rPr>
        <w:sectPr>
          <w:pgSz w:w="11910" w:h="16840"/>
          <w:pgMar w:header="377" w:footer="367" w:top="560" w:bottom="560" w:left="0" w:right="0"/>
        </w:sectPr>
      </w:pPr>
    </w:p>
    <w:p>
      <w:pPr>
        <w:pStyle w:val="Heading3"/>
        <w:numPr>
          <w:ilvl w:val="0"/>
          <w:numId w:val="11"/>
        </w:numPr>
        <w:tabs>
          <w:tab w:pos="838" w:val="left" w:leader="none"/>
        </w:tabs>
        <w:spacing w:line="310" w:lineRule="exact" w:before="100" w:after="0"/>
        <w:ind w:left="837" w:right="0" w:hanging="274"/>
        <w:jc w:val="left"/>
      </w:pPr>
      <w:r>
        <w:rPr>
          <w:color w:val="3B5673"/>
        </w:rPr>
        <w:t>GENERAL</w:t>
      </w:r>
      <w:r>
        <w:rPr>
          <w:color w:val="3B5673"/>
          <w:spacing w:val="56"/>
        </w:rPr>
        <w:t> </w:t>
      </w:r>
      <w:r>
        <w:rPr>
          <w:color w:val="3B5673"/>
          <w:spacing w:val="-2"/>
        </w:rPr>
        <w:t>PRINCIPLES</w:t>
      </w:r>
    </w:p>
    <w:p>
      <w:pPr>
        <w:pStyle w:val="BodyText"/>
        <w:spacing w:line="225" w:lineRule="auto" w:before="6"/>
        <w:ind w:left="564" w:right="133"/>
      </w:pPr>
      <w:r>
        <w:rPr>
          <w:color w:val="231F20"/>
        </w:rPr>
        <w:t>The Statement of Accounts summarises the Council’s transactions for the financial year 2022/23 and its position at the year-end 31st March 2023. The Council is required to prepare an annual Statement of Accounts by the Accounts and Audit Regulations 2015. These Regulations</w:t>
      </w:r>
      <w:r>
        <w:rPr>
          <w:color w:val="231F20"/>
          <w:spacing w:val="-7"/>
        </w:rPr>
        <w:t> </w:t>
      </w:r>
      <w:r>
        <w:rPr>
          <w:color w:val="231F20"/>
        </w:rPr>
        <w:t>require</w:t>
      </w:r>
      <w:r>
        <w:rPr>
          <w:color w:val="231F20"/>
          <w:spacing w:val="-7"/>
        </w:rPr>
        <w:t> </w:t>
      </w:r>
      <w:r>
        <w:rPr>
          <w:color w:val="231F20"/>
        </w:rPr>
        <w:t>the</w:t>
      </w:r>
      <w:r>
        <w:rPr>
          <w:color w:val="231F20"/>
          <w:spacing w:val="-7"/>
        </w:rPr>
        <w:t> </w:t>
      </w:r>
      <w:r>
        <w:rPr>
          <w:color w:val="231F20"/>
        </w:rPr>
        <w:t>accounts</w:t>
      </w:r>
      <w:r>
        <w:rPr>
          <w:color w:val="231F20"/>
          <w:spacing w:val="-7"/>
        </w:rPr>
        <w:t> </w:t>
      </w:r>
      <w:r>
        <w:rPr>
          <w:color w:val="231F20"/>
        </w:rPr>
        <w:t>to</w:t>
      </w:r>
      <w:r>
        <w:rPr>
          <w:color w:val="231F20"/>
          <w:spacing w:val="-7"/>
        </w:rPr>
        <w:t> </w:t>
      </w:r>
      <w:r>
        <w:rPr>
          <w:color w:val="231F20"/>
        </w:rPr>
        <w:t>be</w:t>
      </w:r>
      <w:r>
        <w:rPr>
          <w:color w:val="231F20"/>
          <w:spacing w:val="-7"/>
        </w:rPr>
        <w:t> </w:t>
      </w:r>
      <w:r>
        <w:rPr>
          <w:color w:val="231F20"/>
        </w:rPr>
        <w:t>prepared in accordance with proper accounting practices. These practices under Section 21 of the 2003</w:t>
      </w:r>
      <w:r>
        <w:rPr>
          <w:color w:val="231F20"/>
          <w:spacing w:val="40"/>
        </w:rPr>
        <w:t> </w:t>
      </w:r>
      <w:r>
        <w:rPr>
          <w:color w:val="231F20"/>
        </w:rPr>
        <w:t>Act primarily comprise of the Code of Practice on Local Authority Accounting in the United Kingdom 2022/23 and International Financial Reporting Standards (IFRS).</w:t>
      </w:r>
    </w:p>
    <w:p>
      <w:pPr>
        <w:pStyle w:val="BodyText"/>
        <w:spacing w:before="7"/>
        <w:rPr>
          <w:sz w:val="22"/>
        </w:rPr>
      </w:pPr>
    </w:p>
    <w:p>
      <w:pPr>
        <w:pStyle w:val="BodyText"/>
        <w:spacing w:line="225" w:lineRule="auto"/>
        <w:ind w:left="564" w:right="226"/>
      </w:pPr>
      <w:r>
        <w:rPr>
          <w:color w:val="231F20"/>
        </w:rPr>
        <w:t>The accounting convention adopted in the Statement</w:t>
      </w:r>
      <w:r>
        <w:rPr>
          <w:color w:val="231F20"/>
          <w:spacing w:val="-5"/>
        </w:rPr>
        <w:t> </w:t>
      </w:r>
      <w:r>
        <w:rPr>
          <w:color w:val="231F20"/>
        </w:rPr>
        <w:t>of</w:t>
      </w:r>
      <w:r>
        <w:rPr>
          <w:color w:val="231F20"/>
          <w:spacing w:val="-5"/>
        </w:rPr>
        <w:t> </w:t>
      </w:r>
      <w:r>
        <w:rPr>
          <w:color w:val="231F20"/>
        </w:rPr>
        <w:t>Accounts</w:t>
      </w:r>
      <w:r>
        <w:rPr>
          <w:color w:val="231F20"/>
          <w:spacing w:val="-5"/>
        </w:rPr>
        <w:t> </w:t>
      </w:r>
      <w:r>
        <w:rPr>
          <w:color w:val="231F20"/>
        </w:rPr>
        <w:t>is</w:t>
      </w:r>
      <w:r>
        <w:rPr>
          <w:color w:val="231F20"/>
          <w:spacing w:val="-6"/>
        </w:rPr>
        <w:t> </w:t>
      </w:r>
      <w:r>
        <w:rPr>
          <w:color w:val="231F20"/>
        </w:rPr>
        <w:t>principally</w:t>
      </w:r>
      <w:r>
        <w:rPr>
          <w:color w:val="231F20"/>
          <w:spacing w:val="-5"/>
        </w:rPr>
        <w:t> </w:t>
      </w:r>
      <w:r>
        <w:rPr>
          <w:color w:val="231F20"/>
        </w:rPr>
        <w:t>historical cost, modified by the revaluation of certain categories</w:t>
      </w:r>
      <w:r>
        <w:rPr>
          <w:color w:val="231F20"/>
          <w:spacing w:val="-7"/>
        </w:rPr>
        <w:t> </w:t>
      </w:r>
      <w:r>
        <w:rPr>
          <w:color w:val="231F20"/>
        </w:rPr>
        <w:t>of</w:t>
      </w:r>
      <w:r>
        <w:rPr>
          <w:color w:val="231F20"/>
          <w:spacing w:val="-7"/>
        </w:rPr>
        <w:t> </w:t>
      </w:r>
      <w:r>
        <w:rPr>
          <w:color w:val="231F20"/>
        </w:rPr>
        <w:t>non-current</w:t>
      </w:r>
      <w:r>
        <w:rPr>
          <w:color w:val="231F20"/>
          <w:spacing w:val="-7"/>
        </w:rPr>
        <w:t> </w:t>
      </w:r>
      <w:r>
        <w:rPr>
          <w:color w:val="231F20"/>
        </w:rPr>
        <w:t>assets</w:t>
      </w:r>
      <w:r>
        <w:rPr>
          <w:color w:val="231F20"/>
          <w:spacing w:val="-7"/>
        </w:rPr>
        <w:t> </w:t>
      </w:r>
      <w:r>
        <w:rPr>
          <w:color w:val="231F20"/>
        </w:rPr>
        <w:t>and</w:t>
      </w:r>
      <w:r>
        <w:rPr>
          <w:color w:val="231F20"/>
          <w:spacing w:val="-7"/>
        </w:rPr>
        <w:t> </w:t>
      </w:r>
      <w:r>
        <w:rPr>
          <w:color w:val="231F20"/>
        </w:rPr>
        <w:t>financial </w:t>
      </w:r>
      <w:r>
        <w:rPr>
          <w:color w:val="231F20"/>
          <w:spacing w:val="-2"/>
        </w:rPr>
        <w:t>instruments.</w:t>
      </w:r>
    </w:p>
    <w:p>
      <w:pPr>
        <w:pStyle w:val="BodyText"/>
        <w:spacing w:before="7"/>
        <w:rPr>
          <w:sz w:val="22"/>
        </w:rPr>
      </w:pPr>
    </w:p>
    <w:p>
      <w:pPr>
        <w:pStyle w:val="Heading3"/>
        <w:numPr>
          <w:ilvl w:val="0"/>
          <w:numId w:val="11"/>
        </w:numPr>
        <w:tabs>
          <w:tab w:pos="838" w:val="left" w:leader="none"/>
        </w:tabs>
        <w:spacing w:line="225" w:lineRule="auto" w:before="0" w:after="0"/>
        <w:ind w:left="568" w:right="1610" w:hanging="5"/>
        <w:jc w:val="left"/>
      </w:pPr>
      <w:r>
        <w:rPr>
          <w:color w:val="3B5673"/>
        </w:rPr>
        <w:t>ACCRUALS OF INCOME AND </w:t>
      </w:r>
      <w:r>
        <w:rPr>
          <w:color w:val="3B5673"/>
          <w:spacing w:val="-2"/>
        </w:rPr>
        <w:t>EXPENDITURE</w:t>
      </w:r>
    </w:p>
    <w:p>
      <w:pPr>
        <w:pStyle w:val="BodyText"/>
        <w:spacing w:line="225" w:lineRule="auto"/>
        <w:ind w:left="564"/>
      </w:pPr>
      <w:r>
        <w:rPr>
          <w:color w:val="231F20"/>
        </w:rPr>
        <w:t>Activity is accounted for in the year that it takes place,</w:t>
      </w:r>
      <w:r>
        <w:rPr>
          <w:color w:val="231F20"/>
          <w:spacing w:val="-6"/>
        </w:rPr>
        <w:t> </w:t>
      </w:r>
      <w:r>
        <w:rPr>
          <w:color w:val="231F20"/>
        </w:rPr>
        <w:t>not</w:t>
      </w:r>
      <w:r>
        <w:rPr>
          <w:color w:val="231F20"/>
          <w:spacing w:val="-6"/>
        </w:rPr>
        <w:t> </w:t>
      </w:r>
      <w:r>
        <w:rPr>
          <w:color w:val="231F20"/>
        </w:rPr>
        <w:t>simply</w:t>
      </w:r>
      <w:r>
        <w:rPr>
          <w:color w:val="231F20"/>
          <w:spacing w:val="-7"/>
        </w:rPr>
        <w:t> </w:t>
      </w:r>
      <w:r>
        <w:rPr>
          <w:color w:val="231F20"/>
        </w:rPr>
        <w:t>when</w:t>
      </w:r>
      <w:r>
        <w:rPr>
          <w:color w:val="231F20"/>
          <w:spacing w:val="-6"/>
        </w:rPr>
        <w:t> </w:t>
      </w:r>
      <w:r>
        <w:rPr>
          <w:color w:val="231F20"/>
        </w:rPr>
        <w:t>cash</w:t>
      </w:r>
      <w:r>
        <w:rPr>
          <w:color w:val="231F20"/>
          <w:spacing w:val="-6"/>
        </w:rPr>
        <w:t> </w:t>
      </w:r>
      <w:r>
        <w:rPr>
          <w:color w:val="231F20"/>
        </w:rPr>
        <w:t>payments</w:t>
      </w:r>
      <w:r>
        <w:rPr>
          <w:color w:val="231F20"/>
          <w:spacing w:val="-6"/>
        </w:rPr>
        <w:t> </w:t>
      </w:r>
      <w:r>
        <w:rPr>
          <w:color w:val="231F20"/>
        </w:rPr>
        <w:t>are</w:t>
      </w:r>
      <w:r>
        <w:rPr>
          <w:color w:val="231F20"/>
          <w:spacing w:val="-6"/>
        </w:rPr>
        <w:t> </w:t>
      </w:r>
      <w:r>
        <w:rPr>
          <w:color w:val="231F20"/>
        </w:rPr>
        <w:t>made or received. In particular:</w:t>
      </w:r>
    </w:p>
    <w:p>
      <w:pPr>
        <w:pStyle w:val="BodyText"/>
        <w:spacing w:before="7"/>
        <w:rPr>
          <w:sz w:val="22"/>
        </w:rPr>
      </w:pPr>
    </w:p>
    <w:p>
      <w:pPr>
        <w:pStyle w:val="ListParagraph"/>
        <w:numPr>
          <w:ilvl w:val="1"/>
          <w:numId w:val="11"/>
        </w:numPr>
        <w:tabs>
          <w:tab w:pos="735" w:val="left" w:leader="none"/>
        </w:tabs>
        <w:spacing w:line="225" w:lineRule="auto" w:before="0" w:after="0"/>
        <w:ind w:left="734" w:right="4" w:hanging="171"/>
        <w:jc w:val="left"/>
        <w:rPr>
          <w:sz w:val="24"/>
        </w:rPr>
      </w:pPr>
      <w:r>
        <w:rPr>
          <w:color w:val="231F20"/>
          <w:sz w:val="24"/>
        </w:rPr>
        <w:t>Revenue from contracts with service recipients, whether for services or the provision of goods, is</w:t>
      </w:r>
      <w:r>
        <w:rPr>
          <w:color w:val="231F20"/>
          <w:spacing w:val="-6"/>
          <w:sz w:val="24"/>
        </w:rPr>
        <w:t> </w:t>
      </w:r>
      <w:r>
        <w:rPr>
          <w:color w:val="231F20"/>
          <w:sz w:val="24"/>
        </w:rPr>
        <w:t>recognised</w:t>
      </w:r>
      <w:r>
        <w:rPr>
          <w:color w:val="231F20"/>
          <w:spacing w:val="-5"/>
          <w:sz w:val="24"/>
        </w:rPr>
        <w:t> </w:t>
      </w:r>
      <w:r>
        <w:rPr>
          <w:color w:val="231F20"/>
          <w:sz w:val="24"/>
        </w:rPr>
        <w:t>when</w:t>
      </w:r>
      <w:r>
        <w:rPr>
          <w:color w:val="231F20"/>
          <w:spacing w:val="-5"/>
          <w:sz w:val="24"/>
        </w:rPr>
        <w:t> </w:t>
      </w:r>
      <w:r>
        <w:rPr>
          <w:color w:val="231F20"/>
          <w:sz w:val="24"/>
        </w:rPr>
        <w:t>(or</w:t>
      </w:r>
      <w:r>
        <w:rPr>
          <w:color w:val="231F20"/>
          <w:spacing w:val="-5"/>
          <w:sz w:val="24"/>
        </w:rPr>
        <w:t> </w:t>
      </w:r>
      <w:r>
        <w:rPr>
          <w:color w:val="231F20"/>
          <w:sz w:val="24"/>
        </w:rPr>
        <w:t>as)</w:t>
      </w:r>
      <w:r>
        <w:rPr>
          <w:color w:val="231F20"/>
          <w:spacing w:val="-5"/>
          <w:sz w:val="24"/>
        </w:rPr>
        <w:t> </w:t>
      </w:r>
      <w:r>
        <w:rPr>
          <w:color w:val="231F20"/>
          <w:sz w:val="24"/>
        </w:rPr>
        <w:t>the</w:t>
      </w:r>
      <w:r>
        <w:rPr>
          <w:color w:val="231F20"/>
          <w:spacing w:val="-5"/>
          <w:sz w:val="24"/>
        </w:rPr>
        <w:t> </w:t>
      </w:r>
      <w:r>
        <w:rPr>
          <w:color w:val="231F20"/>
          <w:sz w:val="24"/>
        </w:rPr>
        <w:t>goods</w:t>
      </w:r>
      <w:r>
        <w:rPr>
          <w:color w:val="231F20"/>
          <w:spacing w:val="-5"/>
          <w:sz w:val="24"/>
        </w:rPr>
        <w:t> </w:t>
      </w:r>
      <w:r>
        <w:rPr>
          <w:color w:val="231F20"/>
          <w:sz w:val="24"/>
        </w:rPr>
        <w:t>or</w:t>
      </w:r>
      <w:r>
        <w:rPr>
          <w:color w:val="231F20"/>
          <w:spacing w:val="-5"/>
          <w:sz w:val="24"/>
        </w:rPr>
        <w:t> </w:t>
      </w:r>
      <w:r>
        <w:rPr>
          <w:color w:val="231F20"/>
          <w:sz w:val="24"/>
        </w:rPr>
        <w:t>services are transferred to the service recipient in accordance</w:t>
      </w:r>
      <w:r>
        <w:rPr>
          <w:color w:val="231F20"/>
          <w:spacing w:val="-3"/>
          <w:sz w:val="24"/>
        </w:rPr>
        <w:t> </w:t>
      </w:r>
      <w:r>
        <w:rPr>
          <w:color w:val="231F20"/>
          <w:sz w:val="24"/>
        </w:rPr>
        <w:t>with</w:t>
      </w:r>
      <w:r>
        <w:rPr>
          <w:color w:val="231F20"/>
          <w:spacing w:val="-3"/>
          <w:sz w:val="24"/>
        </w:rPr>
        <w:t> </w:t>
      </w:r>
      <w:r>
        <w:rPr>
          <w:color w:val="231F20"/>
          <w:sz w:val="24"/>
        </w:rPr>
        <w:t>the</w:t>
      </w:r>
      <w:r>
        <w:rPr>
          <w:color w:val="231F20"/>
          <w:spacing w:val="-3"/>
          <w:sz w:val="24"/>
        </w:rPr>
        <w:t> </w:t>
      </w:r>
      <w:r>
        <w:rPr>
          <w:color w:val="231F20"/>
          <w:sz w:val="24"/>
        </w:rPr>
        <w:t>performance</w:t>
      </w:r>
      <w:r>
        <w:rPr>
          <w:color w:val="231F20"/>
          <w:spacing w:val="-3"/>
          <w:sz w:val="24"/>
        </w:rPr>
        <w:t> </w:t>
      </w:r>
      <w:r>
        <w:rPr>
          <w:color w:val="231F20"/>
          <w:sz w:val="24"/>
        </w:rPr>
        <w:t>obligations</w:t>
      </w:r>
      <w:r>
        <w:rPr>
          <w:color w:val="231F20"/>
          <w:spacing w:val="-3"/>
          <w:sz w:val="24"/>
        </w:rPr>
        <w:t> </w:t>
      </w:r>
      <w:r>
        <w:rPr>
          <w:color w:val="231F20"/>
          <w:sz w:val="24"/>
        </w:rPr>
        <w:t>in the contract.</w:t>
      </w:r>
    </w:p>
    <w:p>
      <w:pPr>
        <w:pStyle w:val="ListParagraph"/>
        <w:numPr>
          <w:ilvl w:val="1"/>
          <w:numId w:val="11"/>
        </w:numPr>
        <w:tabs>
          <w:tab w:pos="735" w:val="left" w:leader="none"/>
        </w:tabs>
        <w:spacing w:line="225" w:lineRule="auto" w:before="56" w:after="0"/>
        <w:ind w:left="734" w:right="0" w:hanging="171"/>
        <w:jc w:val="left"/>
        <w:rPr>
          <w:sz w:val="24"/>
        </w:rPr>
      </w:pPr>
      <w:r>
        <w:rPr>
          <w:color w:val="231F20"/>
          <w:sz w:val="24"/>
        </w:rPr>
        <w:t>Supplies</w:t>
      </w:r>
      <w:r>
        <w:rPr>
          <w:color w:val="231F20"/>
          <w:spacing w:val="-8"/>
          <w:sz w:val="24"/>
        </w:rPr>
        <w:t> </w:t>
      </w:r>
      <w:r>
        <w:rPr>
          <w:color w:val="231F20"/>
          <w:sz w:val="24"/>
        </w:rPr>
        <w:t>are</w:t>
      </w:r>
      <w:r>
        <w:rPr>
          <w:color w:val="231F20"/>
          <w:spacing w:val="-8"/>
          <w:sz w:val="24"/>
        </w:rPr>
        <w:t> </w:t>
      </w:r>
      <w:r>
        <w:rPr>
          <w:color w:val="231F20"/>
          <w:sz w:val="24"/>
        </w:rPr>
        <w:t>recorded</w:t>
      </w:r>
      <w:r>
        <w:rPr>
          <w:color w:val="231F20"/>
          <w:spacing w:val="-8"/>
          <w:sz w:val="24"/>
        </w:rPr>
        <w:t> </w:t>
      </w:r>
      <w:r>
        <w:rPr>
          <w:color w:val="231F20"/>
          <w:sz w:val="24"/>
        </w:rPr>
        <w:t>as</w:t>
      </w:r>
      <w:r>
        <w:rPr>
          <w:color w:val="231F20"/>
          <w:spacing w:val="-8"/>
          <w:sz w:val="24"/>
        </w:rPr>
        <w:t> </w:t>
      </w:r>
      <w:r>
        <w:rPr>
          <w:color w:val="231F20"/>
          <w:sz w:val="24"/>
        </w:rPr>
        <w:t>expenditure</w:t>
      </w:r>
      <w:r>
        <w:rPr>
          <w:color w:val="231F20"/>
          <w:spacing w:val="-8"/>
          <w:sz w:val="24"/>
        </w:rPr>
        <w:t> </w:t>
      </w:r>
      <w:r>
        <w:rPr>
          <w:color w:val="231F20"/>
          <w:sz w:val="24"/>
        </w:rPr>
        <w:t>when</w:t>
      </w:r>
      <w:r>
        <w:rPr>
          <w:color w:val="231F20"/>
          <w:spacing w:val="-8"/>
          <w:sz w:val="24"/>
        </w:rPr>
        <w:t> </w:t>
      </w:r>
      <w:r>
        <w:rPr>
          <w:color w:val="231F20"/>
          <w:sz w:val="24"/>
        </w:rPr>
        <w:t>they are consumed; where there is a gap between the date supplies are received and their consumption, they are carried as inventories on the Balance Sheet;</w:t>
      </w:r>
    </w:p>
    <w:p>
      <w:pPr>
        <w:pStyle w:val="ListParagraph"/>
        <w:numPr>
          <w:ilvl w:val="0"/>
          <w:numId w:val="12"/>
        </w:numPr>
        <w:tabs>
          <w:tab w:pos="413" w:val="left" w:leader="none"/>
        </w:tabs>
        <w:spacing w:line="225" w:lineRule="auto" w:before="116" w:after="0"/>
        <w:ind w:left="412" w:right="670" w:hanging="171"/>
        <w:jc w:val="left"/>
        <w:rPr>
          <w:sz w:val="24"/>
        </w:rPr>
      </w:pPr>
      <w:r>
        <w:rPr/>
        <w:br w:type="column"/>
      </w:r>
      <w:r>
        <w:rPr>
          <w:color w:val="231F20"/>
          <w:sz w:val="24"/>
        </w:rPr>
        <w:t>Expenses in relation to services received (including</w:t>
      </w:r>
      <w:r>
        <w:rPr>
          <w:color w:val="231F20"/>
          <w:spacing w:val="-2"/>
          <w:sz w:val="24"/>
        </w:rPr>
        <w:t> </w:t>
      </w:r>
      <w:r>
        <w:rPr>
          <w:color w:val="231F20"/>
          <w:sz w:val="24"/>
        </w:rPr>
        <w:t>services</w:t>
      </w:r>
      <w:r>
        <w:rPr>
          <w:color w:val="231F20"/>
          <w:spacing w:val="-3"/>
          <w:sz w:val="24"/>
        </w:rPr>
        <w:t> </w:t>
      </w:r>
      <w:r>
        <w:rPr>
          <w:color w:val="231F20"/>
          <w:sz w:val="24"/>
        </w:rPr>
        <w:t>provided</w:t>
      </w:r>
      <w:r>
        <w:rPr>
          <w:color w:val="231F20"/>
          <w:spacing w:val="-2"/>
          <w:sz w:val="24"/>
        </w:rPr>
        <w:t> </w:t>
      </w:r>
      <w:r>
        <w:rPr>
          <w:color w:val="231F20"/>
          <w:sz w:val="24"/>
        </w:rPr>
        <w:t>by</w:t>
      </w:r>
      <w:r>
        <w:rPr>
          <w:color w:val="231F20"/>
          <w:spacing w:val="-2"/>
          <w:sz w:val="24"/>
        </w:rPr>
        <w:t> </w:t>
      </w:r>
      <w:r>
        <w:rPr>
          <w:color w:val="231F20"/>
          <w:sz w:val="24"/>
        </w:rPr>
        <w:t>employees)</w:t>
      </w:r>
      <w:r>
        <w:rPr>
          <w:color w:val="231F20"/>
          <w:spacing w:val="-2"/>
          <w:sz w:val="24"/>
        </w:rPr>
        <w:t> </w:t>
      </w:r>
      <w:r>
        <w:rPr>
          <w:color w:val="231F20"/>
          <w:sz w:val="24"/>
        </w:rPr>
        <w:t>are recorded as expenditure when the services are received</w:t>
      </w:r>
      <w:r>
        <w:rPr>
          <w:color w:val="231F20"/>
          <w:spacing w:val="-5"/>
          <w:sz w:val="24"/>
        </w:rPr>
        <w:t> </w:t>
      </w:r>
      <w:r>
        <w:rPr>
          <w:color w:val="231F20"/>
          <w:sz w:val="24"/>
        </w:rPr>
        <w:t>rather</w:t>
      </w:r>
      <w:r>
        <w:rPr>
          <w:color w:val="231F20"/>
          <w:spacing w:val="-5"/>
          <w:sz w:val="24"/>
        </w:rPr>
        <w:t> </w:t>
      </w:r>
      <w:r>
        <w:rPr>
          <w:color w:val="231F20"/>
          <w:sz w:val="24"/>
        </w:rPr>
        <w:t>than</w:t>
      </w:r>
      <w:r>
        <w:rPr>
          <w:color w:val="231F20"/>
          <w:spacing w:val="-5"/>
          <w:sz w:val="24"/>
        </w:rPr>
        <w:t> </w:t>
      </w:r>
      <w:r>
        <w:rPr>
          <w:color w:val="231F20"/>
          <w:sz w:val="24"/>
        </w:rPr>
        <w:t>when</w:t>
      </w:r>
      <w:r>
        <w:rPr>
          <w:color w:val="231F20"/>
          <w:spacing w:val="-5"/>
          <w:sz w:val="24"/>
        </w:rPr>
        <w:t> </w:t>
      </w:r>
      <w:r>
        <w:rPr>
          <w:color w:val="231F20"/>
          <w:sz w:val="24"/>
        </w:rPr>
        <w:t>payments</w:t>
      </w:r>
      <w:r>
        <w:rPr>
          <w:color w:val="231F20"/>
          <w:spacing w:val="-5"/>
          <w:sz w:val="24"/>
        </w:rPr>
        <w:t> </w:t>
      </w:r>
      <w:r>
        <w:rPr>
          <w:color w:val="231F20"/>
          <w:sz w:val="24"/>
        </w:rPr>
        <w:t>are</w:t>
      </w:r>
      <w:r>
        <w:rPr>
          <w:color w:val="231F20"/>
          <w:spacing w:val="-5"/>
          <w:sz w:val="24"/>
        </w:rPr>
        <w:t> </w:t>
      </w:r>
      <w:r>
        <w:rPr>
          <w:color w:val="231F20"/>
          <w:sz w:val="24"/>
        </w:rPr>
        <w:t>made;</w:t>
      </w:r>
    </w:p>
    <w:p>
      <w:pPr>
        <w:pStyle w:val="ListParagraph"/>
        <w:numPr>
          <w:ilvl w:val="0"/>
          <w:numId w:val="12"/>
        </w:numPr>
        <w:tabs>
          <w:tab w:pos="413" w:val="left" w:leader="none"/>
        </w:tabs>
        <w:spacing w:line="310" w:lineRule="exact" w:before="41" w:after="0"/>
        <w:ind w:left="412" w:right="0" w:hanging="171"/>
        <w:jc w:val="left"/>
        <w:rPr>
          <w:sz w:val="24"/>
        </w:rPr>
      </w:pPr>
      <w:r>
        <w:rPr>
          <w:color w:val="231F20"/>
          <w:sz w:val="24"/>
        </w:rPr>
        <w:t>Interest</w:t>
      </w:r>
      <w:r>
        <w:rPr>
          <w:color w:val="231F20"/>
          <w:spacing w:val="-5"/>
          <w:sz w:val="24"/>
        </w:rPr>
        <w:t> </w:t>
      </w:r>
      <w:r>
        <w:rPr>
          <w:color w:val="231F20"/>
          <w:sz w:val="24"/>
        </w:rPr>
        <w:t>receivable</w:t>
      </w:r>
      <w:r>
        <w:rPr>
          <w:color w:val="231F20"/>
          <w:spacing w:val="-3"/>
          <w:sz w:val="24"/>
        </w:rPr>
        <w:t> </w:t>
      </w:r>
      <w:r>
        <w:rPr>
          <w:color w:val="231F20"/>
          <w:sz w:val="24"/>
        </w:rPr>
        <w:t>on</w:t>
      </w:r>
      <w:r>
        <w:rPr>
          <w:color w:val="231F20"/>
          <w:spacing w:val="-4"/>
          <w:sz w:val="24"/>
        </w:rPr>
        <w:t> </w:t>
      </w:r>
      <w:r>
        <w:rPr>
          <w:color w:val="231F20"/>
          <w:sz w:val="24"/>
        </w:rPr>
        <w:t>investments</w:t>
      </w:r>
      <w:r>
        <w:rPr>
          <w:color w:val="231F20"/>
          <w:spacing w:val="-4"/>
          <w:sz w:val="24"/>
        </w:rPr>
        <w:t> </w:t>
      </w:r>
      <w:r>
        <w:rPr>
          <w:color w:val="231F20"/>
          <w:sz w:val="24"/>
        </w:rPr>
        <w:t>and</w:t>
      </w:r>
      <w:r>
        <w:rPr>
          <w:color w:val="231F20"/>
          <w:spacing w:val="-3"/>
          <w:sz w:val="24"/>
        </w:rPr>
        <w:t> </w:t>
      </w:r>
      <w:r>
        <w:rPr>
          <w:color w:val="231F20"/>
          <w:spacing w:val="-2"/>
          <w:sz w:val="24"/>
        </w:rPr>
        <w:t>payable</w:t>
      </w:r>
    </w:p>
    <w:p>
      <w:pPr>
        <w:pStyle w:val="BodyText"/>
        <w:spacing w:line="225" w:lineRule="auto" w:before="6"/>
        <w:ind w:left="412" w:right="746"/>
      </w:pPr>
      <w:r>
        <w:rPr>
          <w:color w:val="231F20"/>
        </w:rPr>
        <w:t>on borrowings is accounted for respectively</w:t>
      </w:r>
      <w:r>
        <w:rPr>
          <w:color w:val="231F20"/>
          <w:spacing w:val="80"/>
        </w:rPr>
        <w:t> </w:t>
      </w:r>
      <w:r>
        <w:rPr>
          <w:color w:val="231F20"/>
        </w:rPr>
        <w:t>as</w:t>
      </w:r>
      <w:r>
        <w:rPr>
          <w:color w:val="231F20"/>
          <w:spacing w:val="-4"/>
        </w:rPr>
        <w:t> </w:t>
      </w:r>
      <w:r>
        <w:rPr>
          <w:color w:val="231F20"/>
        </w:rPr>
        <w:t>income</w:t>
      </w:r>
      <w:r>
        <w:rPr>
          <w:color w:val="231F20"/>
          <w:spacing w:val="-5"/>
        </w:rPr>
        <w:t> </w:t>
      </w:r>
      <w:r>
        <w:rPr>
          <w:color w:val="231F20"/>
        </w:rPr>
        <w:t>and</w:t>
      </w:r>
      <w:r>
        <w:rPr>
          <w:color w:val="231F20"/>
          <w:spacing w:val="-4"/>
        </w:rPr>
        <w:t> </w:t>
      </w:r>
      <w:r>
        <w:rPr>
          <w:color w:val="231F20"/>
        </w:rPr>
        <w:t>expenditure</w:t>
      </w:r>
      <w:r>
        <w:rPr>
          <w:color w:val="231F20"/>
          <w:spacing w:val="-4"/>
        </w:rPr>
        <w:t> </w:t>
      </w:r>
      <w:r>
        <w:rPr>
          <w:color w:val="231F20"/>
        </w:rPr>
        <w:t>on</w:t>
      </w:r>
      <w:r>
        <w:rPr>
          <w:color w:val="231F20"/>
          <w:spacing w:val="-4"/>
        </w:rPr>
        <w:t> </w:t>
      </w:r>
      <w:r>
        <w:rPr>
          <w:color w:val="231F20"/>
        </w:rPr>
        <w:t>the</w:t>
      </w:r>
      <w:r>
        <w:rPr>
          <w:color w:val="231F20"/>
          <w:spacing w:val="-4"/>
        </w:rPr>
        <w:t> </w:t>
      </w:r>
      <w:r>
        <w:rPr>
          <w:color w:val="231F20"/>
        </w:rPr>
        <w:t>basis</w:t>
      </w:r>
      <w:r>
        <w:rPr>
          <w:color w:val="231F20"/>
          <w:spacing w:val="-4"/>
        </w:rPr>
        <w:t> </w:t>
      </w:r>
      <w:r>
        <w:rPr>
          <w:color w:val="231F20"/>
        </w:rPr>
        <w:t>of</w:t>
      </w:r>
      <w:r>
        <w:rPr>
          <w:color w:val="231F20"/>
          <w:spacing w:val="-4"/>
        </w:rPr>
        <w:t> </w:t>
      </w:r>
      <w:r>
        <w:rPr>
          <w:color w:val="231F20"/>
        </w:rPr>
        <w:t>the effective interest</w:t>
      </w:r>
      <w:r>
        <w:rPr>
          <w:color w:val="231F20"/>
          <w:spacing w:val="-1"/>
        </w:rPr>
        <w:t> </w:t>
      </w:r>
      <w:r>
        <w:rPr>
          <w:color w:val="231F20"/>
        </w:rPr>
        <w:t>rate for the relevant financial instrument rather than the cash flows fixed or determined by the contract.</w:t>
      </w:r>
    </w:p>
    <w:p>
      <w:pPr>
        <w:pStyle w:val="ListParagraph"/>
        <w:numPr>
          <w:ilvl w:val="0"/>
          <w:numId w:val="12"/>
        </w:numPr>
        <w:tabs>
          <w:tab w:pos="413" w:val="left" w:leader="none"/>
        </w:tabs>
        <w:spacing w:line="225" w:lineRule="auto" w:before="56" w:after="0"/>
        <w:ind w:left="412" w:right="900" w:hanging="171"/>
        <w:jc w:val="both"/>
        <w:rPr>
          <w:sz w:val="24"/>
        </w:rPr>
      </w:pPr>
      <w:r>
        <w:rPr/>
        <w:pict>
          <v:group style="position:absolute;margin-left:578.504028pt;margin-top:20.645237pt;width:16.8pt;height:192.8pt;mso-position-horizontal-relative:page;mso-position-vertical-relative:paragraph;z-index:15764480" id="docshapegroup293" coordorigin="11570,413" coordsize="336,3856">
            <v:rect style="position:absolute;left:11570;top:3304;width:336;height:964" id="docshape294" filled="true" fillcolor="#f15d6b" stroked="false">
              <v:fill type="solid"/>
            </v:rect>
            <v:rect style="position:absolute;left:11570;top:2340;width:336;height:964" id="docshape295" filled="true" fillcolor="#fbac42" stroked="false">
              <v:fill type="solid"/>
            </v:rect>
            <v:rect style="position:absolute;left:11570;top:1376;width:336;height:964" id="docshape296" filled="true" fillcolor="#b78fc1" stroked="false">
              <v:fill type="solid"/>
            </v:rect>
            <v:rect style="position:absolute;left:11570;top:412;width:336;height:964" id="docshape297" filled="true" fillcolor="#378372" stroked="false">
              <v:fill type="solid"/>
            </v:rect>
            <w10:wrap type="none"/>
          </v:group>
        </w:pict>
      </w:r>
      <w:r>
        <w:rPr>
          <w:color w:val="231F20"/>
          <w:sz w:val="24"/>
        </w:rPr>
        <w:t>Where revenue and expenditure have been recognised but cash has not been received or paid, a debtor or creditor for the relevant amount is recorded in the Balance Sheet.</w:t>
      </w:r>
    </w:p>
    <w:p>
      <w:pPr>
        <w:pStyle w:val="BodyText"/>
        <w:spacing w:line="225" w:lineRule="auto"/>
        <w:ind w:left="412" w:right="746"/>
      </w:pPr>
      <w:r>
        <w:rPr>
          <w:color w:val="231F20"/>
        </w:rPr>
        <w:t>Where debts may not be settled, the balance of</w:t>
      </w:r>
      <w:r>
        <w:rPr>
          <w:color w:val="231F20"/>
          <w:spacing w:val="-4"/>
        </w:rPr>
        <w:t> </w:t>
      </w:r>
      <w:r>
        <w:rPr>
          <w:color w:val="231F20"/>
        </w:rPr>
        <w:t>debtors</w:t>
      </w:r>
      <w:r>
        <w:rPr>
          <w:color w:val="231F20"/>
          <w:spacing w:val="-4"/>
        </w:rPr>
        <w:t> </w:t>
      </w:r>
      <w:r>
        <w:rPr>
          <w:color w:val="231F20"/>
        </w:rPr>
        <w:t>is</w:t>
      </w:r>
      <w:r>
        <w:rPr>
          <w:color w:val="231F20"/>
          <w:spacing w:val="-5"/>
        </w:rPr>
        <w:t> </w:t>
      </w:r>
      <w:r>
        <w:rPr>
          <w:color w:val="231F20"/>
        </w:rPr>
        <w:t>written</w:t>
      </w:r>
      <w:r>
        <w:rPr>
          <w:color w:val="231F20"/>
          <w:spacing w:val="-4"/>
        </w:rPr>
        <w:t> </w:t>
      </w:r>
      <w:r>
        <w:rPr>
          <w:color w:val="231F20"/>
        </w:rPr>
        <w:t>down</w:t>
      </w:r>
      <w:r>
        <w:rPr>
          <w:color w:val="231F20"/>
          <w:spacing w:val="-4"/>
        </w:rPr>
        <w:t> </w:t>
      </w:r>
      <w:r>
        <w:rPr>
          <w:color w:val="231F20"/>
        </w:rPr>
        <w:t>and</w:t>
      </w:r>
      <w:r>
        <w:rPr>
          <w:color w:val="231F20"/>
          <w:spacing w:val="-4"/>
        </w:rPr>
        <w:t> </w:t>
      </w:r>
      <w:r>
        <w:rPr>
          <w:color w:val="231F20"/>
        </w:rPr>
        <w:t>a</w:t>
      </w:r>
      <w:r>
        <w:rPr>
          <w:color w:val="231F20"/>
          <w:spacing w:val="-4"/>
        </w:rPr>
        <w:t> </w:t>
      </w:r>
      <w:r>
        <w:rPr>
          <w:color w:val="231F20"/>
        </w:rPr>
        <w:t>charge</w:t>
      </w:r>
      <w:r>
        <w:rPr>
          <w:color w:val="231F20"/>
          <w:spacing w:val="-4"/>
        </w:rPr>
        <w:t> </w:t>
      </w:r>
      <w:r>
        <w:rPr>
          <w:color w:val="231F20"/>
        </w:rPr>
        <w:t>made to revenue for the income that might not be </w:t>
      </w:r>
      <w:r>
        <w:rPr>
          <w:color w:val="231F20"/>
          <w:spacing w:val="-2"/>
        </w:rPr>
        <w:t>collected.</w:t>
      </w:r>
    </w:p>
    <w:p>
      <w:pPr>
        <w:pStyle w:val="BodyText"/>
        <w:spacing w:before="8"/>
        <w:rPr>
          <w:sz w:val="25"/>
        </w:rPr>
      </w:pPr>
    </w:p>
    <w:p>
      <w:pPr>
        <w:pStyle w:val="Heading3"/>
        <w:numPr>
          <w:ilvl w:val="0"/>
          <w:numId w:val="11"/>
        </w:numPr>
        <w:tabs>
          <w:tab w:pos="516" w:val="left" w:leader="none"/>
        </w:tabs>
        <w:spacing w:line="310" w:lineRule="exact" w:before="0" w:after="0"/>
        <w:ind w:left="515" w:right="0" w:hanging="274"/>
        <w:jc w:val="left"/>
      </w:pPr>
      <w:r>
        <w:rPr>
          <w:color w:val="3B5673"/>
        </w:rPr>
        <w:t>CASH</w:t>
      </w:r>
      <w:r>
        <w:rPr>
          <w:color w:val="3B5673"/>
          <w:spacing w:val="29"/>
        </w:rPr>
        <w:t> </w:t>
      </w:r>
      <w:r>
        <w:rPr>
          <w:color w:val="3B5673"/>
        </w:rPr>
        <w:t>AND</w:t>
      </w:r>
      <w:r>
        <w:rPr>
          <w:color w:val="3B5673"/>
          <w:spacing w:val="29"/>
        </w:rPr>
        <w:t> </w:t>
      </w:r>
      <w:r>
        <w:rPr>
          <w:color w:val="3B5673"/>
        </w:rPr>
        <w:t>CASH</w:t>
      </w:r>
      <w:r>
        <w:rPr>
          <w:color w:val="3B5673"/>
          <w:spacing w:val="30"/>
        </w:rPr>
        <w:t> </w:t>
      </w:r>
      <w:r>
        <w:rPr>
          <w:color w:val="3B5673"/>
          <w:spacing w:val="-2"/>
        </w:rPr>
        <w:t>EQUIVALENTS</w:t>
      </w:r>
    </w:p>
    <w:p>
      <w:pPr>
        <w:pStyle w:val="BodyText"/>
        <w:spacing w:line="225" w:lineRule="auto" w:before="6"/>
        <w:ind w:left="242" w:right="546"/>
      </w:pPr>
      <w:r>
        <w:rPr>
          <w:color w:val="231F20"/>
        </w:rPr>
        <w:t>Cash</w:t>
      </w:r>
      <w:r>
        <w:rPr>
          <w:color w:val="231F20"/>
          <w:spacing w:val="-5"/>
        </w:rPr>
        <w:t> </w:t>
      </w:r>
      <w:r>
        <w:rPr>
          <w:color w:val="231F20"/>
        </w:rPr>
        <w:t>is</w:t>
      </w:r>
      <w:r>
        <w:rPr>
          <w:color w:val="231F20"/>
          <w:spacing w:val="-5"/>
        </w:rPr>
        <w:t> </w:t>
      </w:r>
      <w:r>
        <w:rPr>
          <w:color w:val="231F20"/>
        </w:rPr>
        <w:t>represented</w:t>
      </w:r>
      <w:r>
        <w:rPr>
          <w:color w:val="231F20"/>
          <w:spacing w:val="-4"/>
        </w:rPr>
        <w:t> </w:t>
      </w:r>
      <w:r>
        <w:rPr>
          <w:color w:val="231F20"/>
        </w:rPr>
        <w:t>by</w:t>
      </w:r>
      <w:r>
        <w:rPr>
          <w:color w:val="231F20"/>
          <w:spacing w:val="-4"/>
        </w:rPr>
        <w:t> </w:t>
      </w:r>
      <w:r>
        <w:rPr>
          <w:color w:val="231F20"/>
        </w:rPr>
        <w:t>cash</w:t>
      </w:r>
      <w:r>
        <w:rPr>
          <w:color w:val="231F20"/>
          <w:spacing w:val="-4"/>
        </w:rPr>
        <w:t> </w:t>
      </w:r>
      <w:r>
        <w:rPr>
          <w:color w:val="231F20"/>
        </w:rPr>
        <w:t>in</w:t>
      </w:r>
      <w:r>
        <w:rPr>
          <w:color w:val="231F20"/>
          <w:spacing w:val="-5"/>
        </w:rPr>
        <w:t> </w:t>
      </w:r>
      <w:r>
        <w:rPr>
          <w:color w:val="231F20"/>
        </w:rPr>
        <w:t>hand</w:t>
      </w:r>
      <w:r>
        <w:rPr>
          <w:color w:val="231F20"/>
          <w:spacing w:val="-4"/>
        </w:rPr>
        <w:t> </w:t>
      </w:r>
      <w:r>
        <w:rPr>
          <w:color w:val="231F20"/>
        </w:rPr>
        <w:t>and</w:t>
      </w:r>
      <w:r>
        <w:rPr>
          <w:color w:val="231F20"/>
          <w:spacing w:val="-4"/>
        </w:rPr>
        <w:t> </w:t>
      </w:r>
      <w:r>
        <w:rPr>
          <w:color w:val="231F20"/>
        </w:rPr>
        <w:t>deposits with financial institutions repayable without penalty on notice of not more than one working </w:t>
      </w:r>
      <w:r>
        <w:rPr>
          <w:color w:val="231F20"/>
          <w:spacing w:val="-4"/>
        </w:rPr>
        <w:t>day.</w:t>
      </w:r>
    </w:p>
    <w:p>
      <w:pPr>
        <w:pStyle w:val="BodyText"/>
        <w:spacing w:before="7"/>
        <w:rPr>
          <w:sz w:val="22"/>
        </w:rPr>
      </w:pPr>
    </w:p>
    <w:p>
      <w:pPr>
        <w:pStyle w:val="BodyText"/>
        <w:spacing w:line="225" w:lineRule="auto"/>
        <w:ind w:left="242" w:right="758"/>
      </w:pPr>
      <w:r>
        <w:rPr>
          <w:color w:val="231F20"/>
        </w:rPr>
        <w:t>Cash Equivalents are highly liquid investments that mature in 3 months or less from the date</w:t>
      </w:r>
      <w:r>
        <w:rPr>
          <w:color w:val="231F20"/>
          <w:spacing w:val="40"/>
        </w:rPr>
        <w:t> </w:t>
      </w:r>
      <w:r>
        <w:rPr>
          <w:color w:val="231F20"/>
        </w:rPr>
        <w:t>of</w:t>
      </w:r>
      <w:r>
        <w:rPr>
          <w:color w:val="231F20"/>
          <w:spacing w:val="-5"/>
        </w:rPr>
        <w:t> </w:t>
      </w:r>
      <w:r>
        <w:rPr>
          <w:color w:val="231F20"/>
        </w:rPr>
        <w:t>acquisition</w:t>
      </w:r>
      <w:r>
        <w:rPr>
          <w:color w:val="231F20"/>
          <w:spacing w:val="-5"/>
        </w:rPr>
        <w:t> </w:t>
      </w:r>
      <w:r>
        <w:rPr>
          <w:color w:val="231F20"/>
        </w:rPr>
        <w:t>and</w:t>
      </w:r>
      <w:r>
        <w:rPr>
          <w:color w:val="231F20"/>
          <w:spacing w:val="-5"/>
        </w:rPr>
        <w:t> </w:t>
      </w:r>
      <w:r>
        <w:rPr>
          <w:color w:val="231F20"/>
        </w:rPr>
        <w:t>that</w:t>
      </w:r>
      <w:r>
        <w:rPr>
          <w:color w:val="231F20"/>
          <w:spacing w:val="-5"/>
        </w:rPr>
        <w:t> </w:t>
      </w:r>
      <w:r>
        <w:rPr>
          <w:color w:val="231F20"/>
        </w:rPr>
        <w:t>are</w:t>
      </w:r>
      <w:r>
        <w:rPr>
          <w:color w:val="231F20"/>
          <w:spacing w:val="-5"/>
        </w:rPr>
        <w:t> </w:t>
      </w:r>
      <w:r>
        <w:rPr>
          <w:color w:val="231F20"/>
        </w:rPr>
        <w:t>readily</w:t>
      </w:r>
      <w:r>
        <w:rPr>
          <w:color w:val="231F20"/>
          <w:spacing w:val="-5"/>
        </w:rPr>
        <w:t> </w:t>
      </w:r>
      <w:r>
        <w:rPr>
          <w:color w:val="231F20"/>
        </w:rPr>
        <w:t>convertible</w:t>
      </w:r>
      <w:r>
        <w:rPr>
          <w:color w:val="231F20"/>
          <w:spacing w:val="-5"/>
        </w:rPr>
        <w:t> </w:t>
      </w:r>
      <w:r>
        <w:rPr>
          <w:color w:val="231F20"/>
        </w:rPr>
        <w:t>to known</w:t>
      </w:r>
      <w:r>
        <w:rPr>
          <w:color w:val="231F20"/>
          <w:spacing w:val="-6"/>
        </w:rPr>
        <w:t> </w:t>
      </w:r>
      <w:r>
        <w:rPr>
          <w:color w:val="231F20"/>
        </w:rPr>
        <w:t>amounts</w:t>
      </w:r>
      <w:r>
        <w:rPr>
          <w:color w:val="231F20"/>
          <w:spacing w:val="-5"/>
        </w:rPr>
        <w:t> </w:t>
      </w:r>
      <w:r>
        <w:rPr>
          <w:color w:val="231F20"/>
        </w:rPr>
        <w:t>of</w:t>
      </w:r>
      <w:r>
        <w:rPr>
          <w:color w:val="231F20"/>
          <w:spacing w:val="-5"/>
        </w:rPr>
        <w:t> </w:t>
      </w:r>
      <w:r>
        <w:rPr>
          <w:color w:val="231F20"/>
        </w:rPr>
        <w:t>cash</w:t>
      </w:r>
      <w:r>
        <w:rPr>
          <w:color w:val="231F20"/>
          <w:spacing w:val="-5"/>
        </w:rPr>
        <w:t> </w:t>
      </w:r>
      <w:r>
        <w:rPr>
          <w:color w:val="231F20"/>
        </w:rPr>
        <w:t>with</w:t>
      </w:r>
      <w:r>
        <w:rPr>
          <w:color w:val="231F20"/>
          <w:spacing w:val="-5"/>
        </w:rPr>
        <w:t> </w:t>
      </w:r>
      <w:r>
        <w:rPr>
          <w:color w:val="231F20"/>
        </w:rPr>
        <w:t>insignificant</w:t>
      </w:r>
      <w:r>
        <w:rPr>
          <w:color w:val="231F20"/>
          <w:spacing w:val="-6"/>
        </w:rPr>
        <w:t> </w:t>
      </w:r>
      <w:r>
        <w:rPr>
          <w:color w:val="231F20"/>
        </w:rPr>
        <w:t>risk</w:t>
      </w:r>
      <w:r>
        <w:rPr>
          <w:color w:val="231F20"/>
          <w:spacing w:val="-5"/>
        </w:rPr>
        <w:t> </w:t>
      </w:r>
      <w:r>
        <w:rPr>
          <w:color w:val="231F20"/>
        </w:rPr>
        <w:t>of change in value.</w:t>
      </w:r>
    </w:p>
    <w:p>
      <w:pPr>
        <w:pStyle w:val="BodyText"/>
        <w:spacing w:before="7"/>
        <w:rPr>
          <w:sz w:val="22"/>
        </w:rPr>
      </w:pPr>
    </w:p>
    <w:p>
      <w:pPr>
        <w:pStyle w:val="BodyText"/>
        <w:spacing w:line="225" w:lineRule="auto"/>
        <w:ind w:left="242" w:right="471"/>
      </w:pPr>
      <w:r>
        <w:rPr>
          <w:color w:val="231F20"/>
        </w:rPr>
        <w:t>In the cash flow statement, cash and cash equivalents</w:t>
      </w:r>
      <w:r>
        <w:rPr>
          <w:color w:val="231F20"/>
          <w:spacing w:val="-5"/>
        </w:rPr>
        <w:t> </w:t>
      </w:r>
      <w:r>
        <w:rPr>
          <w:color w:val="231F20"/>
        </w:rPr>
        <w:t>are</w:t>
      </w:r>
      <w:r>
        <w:rPr>
          <w:color w:val="231F20"/>
          <w:spacing w:val="-5"/>
        </w:rPr>
        <w:t> </w:t>
      </w:r>
      <w:r>
        <w:rPr>
          <w:color w:val="231F20"/>
        </w:rPr>
        <w:t>shown</w:t>
      </w:r>
      <w:r>
        <w:rPr>
          <w:color w:val="231F20"/>
          <w:spacing w:val="-6"/>
        </w:rPr>
        <w:t> </w:t>
      </w:r>
      <w:r>
        <w:rPr>
          <w:color w:val="231F20"/>
        </w:rPr>
        <w:t>net</w:t>
      </w:r>
      <w:r>
        <w:rPr>
          <w:color w:val="231F20"/>
          <w:spacing w:val="-5"/>
        </w:rPr>
        <w:t> </w:t>
      </w:r>
      <w:r>
        <w:rPr>
          <w:color w:val="231F20"/>
        </w:rPr>
        <w:t>of</w:t>
      </w:r>
      <w:r>
        <w:rPr>
          <w:color w:val="231F20"/>
          <w:spacing w:val="-5"/>
        </w:rPr>
        <w:t> </w:t>
      </w:r>
      <w:r>
        <w:rPr>
          <w:color w:val="231F20"/>
        </w:rPr>
        <w:t>any</w:t>
      </w:r>
      <w:r>
        <w:rPr>
          <w:color w:val="231F20"/>
          <w:spacing w:val="-5"/>
        </w:rPr>
        <w:t> </w:t>
      </w:r>
      <w:r>
        <w:rPr>
          <w:color w:val="231F20"/>
        </w:rPr>
        <w:t>bank</w:t>
      </w:r>
      <w:r>
        <w:rPr>
          <w:color w:val="231F20"/>
          <w:spacing w:val="-5"/>
        </w:rPr>
        <w:t> </w:t>
      </w:r>
      <w:r>
        <w:rPr>
          <w:color w:val="231F20"/>
        </w:rPr>
        <w:t>overdrafts that are repayable on demand and form an integral part of the Council’s cash management.</w:t>
      </w:r>
    </w:p>
    <w:p>
      <w:pPr>
        <w:spacing w:after="0" w:line="225" w:lineRule="auto"/>
        <w:sectPr>
          <w:type w:val="continuous"/>
          <w:pgSz w:w="11910" w:h="16840"/>
          <w:pgMar w:header="377" w:footer="367" w:top="260" w:bottom="0" w:left="0" w:right="0"/>
          <w:cols w:num="2" w:equalWidth="0">
            <w:col w:w="5811" w:space="40"/>
            <w:col w:w="6059"/>
          </w:cols>
        </w:sectPr>
      </w:pPr>
    </w:p>
    <w:p>
      <w:pPr>
        <w:pStyle w:val="BodyText"/>
        <w:rPr>
          <w:sz w:val="27"/>
        </w:rPr>
      </w:pPr>
    </w:p>
    <w:p>
      <w:pPr>
        <w:spacing w:after="0"/>
        <w:rPr>
          <w:sz w:val="27"/>
        </w:rPr>
        <w:sectPr>
          <w:pgSz w:w="11910" w:h="16840"/>
          <w:pgMar w:header="377" w:footer="367" w:top="560" w:bottom="560" w:left="0" w:right="0"/>
        </w:sectPr>
      </w:pPr>
    </w:p>
    <w:p>
      <w:pPr>
        <w:pStyle w:val="Heading3"/>
        <w:numPr>
          <w:ilvl w:val="0"/>
          <w:numId w:val="11"/>
        </w:numPr>
        <w:tabs>
          <w:tab w:pos="841" w:val="left" w:leader="none"/>
        </w:tabs>
        <w:spacing w:line="310" w:lineRule="exact" w:before="113" w:after="0"/>
        <w:ind w:left="840" w:right="0" w:hanging="275"/>
        <w:jc w:val="both"/>
      </w:pPr>
      <w:r>
        <w:rPr>
          <w:color w:val="3B5673"/>
        </w:rPr>
        <w:t>EXCEPTIONAL</w:t>
      </w:r>
      <w:r>
        <w:rPr>
          <w:color w:val="3B5673"/>
          <w:spacing w:val="55"/>
          <w:w w:val="150"/>
        </w:rPr>
        <w:t> </w:t>
      </w:r>
      <w:r>
        <w:rPr>
          <w:color w:val="3B5673"/>
          <w:spacing w:val="-2"/>
        </w:rPr>
        <w:t>ITEMS</w:t>
      </w:r>
    </w:p>
    <w:p>
      <w:pPr>
        <w:pStyle w:val="BodyText"/>
        <w:spacing w:line="225" w:lineRule="auto" w:before="6"/>
        <w:ind w:left="566" w:right="738"/>
      </w:pPr>
      <w:r>
        <w:rPr>
          <w:color w:val="231F20"/>
        </w:rPr>
        <w:t>When items of income and expenditure are material, their nature and amount is disclosed</w:t>
      </w:r>
      <w:r>
        <w:rPr>
          <w:color w:val="231F20"/>
          <w:spacing w:val="-7"/>
        </w:rPr>
        <w:t> </w:t>
      </w:r>
      <w:r>
        <w:rPr>
          <w:color w:val="231F20"/>
        </w:rPr>
        <w:t>separately,</w:t>
      </w:r>
      <w:r>
        <w:rPr>
          <w:color w:val="231F20"/>
          <w:spacing w:val="-8"/>
        </w:rPr>
        <w:t> </w:t>
      </w:r>
      <w:r>
        <w:rPr>
          <w:color w:val="231F20"/>
        </w:rPr>
        <w:t>either</w:t>
      </w:r>
      <w:r>
        <w:rPr>
          <w:color w:val="231F20"/>
          <w:spacing w:val="-7"/>
        </w:rPr>
        <w:t> </w:t>
      </w:r>
      <w:r>
        <w:rPr>
          <w:color w:val="231F20"/>
        </w:rPr>
        <w:t>on</w:t>
      </w:r>
      <w:r>
        <w:rPr>
          <w:color w:val="231F20"/>
          <w:spacing w:val="-7"/>
        </w:rPr>
        <w:t> </w:t>
      </w:r>
      <w:r>
        <w:rPr>
          <w:color w:val="231F20"/>
        </w:rPr>
        <w:t>the</w:t>
      </w:r>
      <w:r>
        <w:rPr>
          <w:color w:val="231F20"/>
          <w:spacing w:val="-7"/>
        </w:rPr>
        <w:t> </w:t>
      </w:r>
      <w:r>
        <w:rPr>
          <w:color w:val="231F20"/>
        </w:rPr>
        <w:t>face</w:t>
      </w:r>
      <w:r>
        <w:rPr>
          <w:color w:val="231F20"/>
          <w:spacing w:val="-7"/>
        </w:rPr>
        <w:t> </w:t>
      </w:r>
      <w:r>
        <w:rPr>
          <w:color w:val="231F20"/>
        </w:rPr>
        <w:t>of</w:t>
      </w:r>
    </w:p>
    <w:p>
      <w:pPr>
        <w:pStyle w:val="BodyText"/>
        <w:spacing w:line="225" w:lineRule="auto"/>
        <w:ind w:left="566" w:right="430"/>
      </w:pPr>
      <w:r>
        <w:rPr>
          <w:color w:val="231F20"/>
        </w:rPr>
        <w:t>the Comprehensive Income and Expenditure Statement or in the notes to the accounts, depending on how significant the items are to</w:t>
      </w:r>
      <w:r>
        <w:rPr>
          <w:color w:val="231F20"/>
          <w:spacing w:val="-6"/>
        </w:rPr>
        <w:t> </w:t>
      </w:r>
      <w:r>
        <w:rPr>
          <w:color w:val="231F20"/>
        </w:rPr>
        <w:t>an</w:t>
      </w:r>
      <w:r>
        <w:rPr>
          <w:color w:val="231F20"/>
          <w:spacing w:val="-6"/>
        </w:rPr>
        <w:t> </w:t>
      </w:r>
      <w:r>
        <w:rPr>
          <w:color w:val="231F20"/>
        </w:rPr>
        <w:t>understanding</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Council’s</w:t>
      </w:r>
      <w:r>
        <w:rPr>
          <w:color w:val="231F20"/>
          <w:spacing w:val="-7"/>
        </w:rPr>
        <w:t> </w:t>
      </w:r>
      <w:r>
        <w:rPr>
          <w:color w:val="231F20"/>
        </w:rPr>
        <w:t>financial </w:t>
      </w:r>
      <w:r>
        <w:rPr>
          <w:color w:val="231F20"/>
          <w:spacing w:val="-2"/>
        </w:rPr>
        <w:t>performance.</w:t>
      </w:r>
    </w:p>
    <w:p>
      <w:pPr>
        <w:pStyle w:val="BodyText"/>
        <w:spacing w:before="7"/>
        <w:rPr>
          <w:sz w:val="22"/>
        </w:rPr>
      </w:pPr>
    </w:p>
    <w:p>
      <w:pPr>
        <w:pStyle w:val="Heading3"/>
        <w:numPr>
          <w:ilvl w:val="0"/>
          <w:numId w:val="11"/>
        </w:numPr>
        <w:tabs>
          <w:tab w:pos="841" w:val="left" w:leader="none"/>
        </w:tabs>
        <w:spacing w:line="225" w:lineRule="auto" w:before="0" w:after="0"/>
        <w:ind w:left="571" w:right="12" w:hanging="5"/>
        <w:jc w:val="both"/>
      </w:pPr>
      <w:r>
        <w:rPr>
          <w:color w:val="3B5673"/>
        </w:rPr>
        <w:t>PRIOR PERIOD ADJUSTMENTS, CHANGES IN ACCOUNTING POLICIES AND ESTIMATES AND ERRORS</w:t>
      </w:r>
    </w:p>
    <w:p>
      <w:pPr>
        <w:pStyle w:val="BodyText"/>
        <w:spacing w:line="225" w:lineRule="auto"/>
        <w:ind w:left="566" w:right="5"/>
      </w:pPr>
      <w:r>
        <w:rPr>
          <w:color w:val="231F20"/>
        </w:rPr>
        <w:t>Prior period adjustments may arise as a result of a change in accounting policies or to correct a material error. Changes in accounting estimates are</w:t>
      </w:r>
      <w:r>
        <w:rPr>
          <w:color w:val="231F20"/>
          <w:spacing w:val="-6"/>
        </w:rPr>
        <w:t> </w:t>
      </w:r>
      <w:r>
        <w:rPr>
          <w:color w:val="231F20"/>
        </w:rPr>
        <w:t>accounted</w:t>
      </w:r>
      <w:r>
        <w:rPr>
          <w:color w:val="231F20"/>
          <w:spacing w:val="-6"/>
        </w:rPr>
        <w:t> </w:t>
      </w:r>
      <w:r>
        <w:rPr>
          <w:color w:val="231F20"/>
        </w:rPr>
        <w:t>for</w:t>
      </w:r>
      <w:r>
        <w:rPr>
          <w:color w:val="231F20"/>
          <w:spacing w:val="-6"/>
        </w:rPr>
        <w:t> </w:t>
      </w:r>
      <w:r>
        <w:rPr>
          <w:color w:val="231F20"/>
        </w:rPr>
        <w:t>prospectively,</w:t>
      </w:r>
      <w:r>
        <w:rPr>
          <w:color w:val="231F20"/>
          <w:spacing w:val="-6"/>
        </w:rPr>
        <w:t> </w:t>
      </w:r>
      <w:r>
        <w:rPr>
          <w:color w:val="231F20"/>
        </w:rPr>
        <w:t>i.e.</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current and future years affected by the change and do not give rise to a prior period adjustment.</w:t>
      </w:r>
    </w:p>
    <w:p>
      <w:pPr>
        <w:pStyle w:val="BodyText"/>
        <w:spacing w:line="310" w:lineRule="exact" w:before="284"/>
        <w:ind w:left="566"/>
      </w:pPr>
      <w:r>
        <w:rPr>
          <w:color w:val="231F20"/>
        </w:rPr>
        <w:t>Changes</w:t>
      </w:r>
      <w:r>
        <w:rPr>
          <w:color w:val="231F20"/>
          <w:spacing w:val="-3"/>
        </w:rPr>
        <w:t> </w:t>
      </w:r>
      <w:r>
        <w:rPr>
          <w:color w:val="231F20"/>
        </w:rPr>
        <w:t>in</w:t>
      </w:r>
      <w:r>
        <w:rPr>
          <w:color w:val="231F20"/>
          <w:spacing w:val="-2"/>
        </w:rPr>
        <w:t> </w:t>
      </w:r>
      <w:r>
        <w:rPr>
          <w:color w:val="231F20"/>
        </w:rPr>
        <w:t>accounting</w:t>
      </w:r>
      <w:r>
        <w:rPr>
          <w:color w:val="231F20"/>
          <w:spacing w:val="-2"/>
        </w:rPr>
        <w:t> </w:t>
      </w:r>
      <w:r>
        <w:rPr>
          <w:color w:val="231F20"/>
        </w:rPr>
        <w:t>policies</w:t>
      </w:r>
      <w:r>
        <w:rPr>
          <w:color w:val="231F20"/>
          <w:spacing w:val="-1"/>
        </w:rPr>
        <w:t> </w:t>
      </w:r>
      <w:r>
        <w:rPr>
          <w:color w:val="231F20"/>
        </w:rPr>
        <w:t>are</w:t>
      </w:r>
      <w:r>
        <w:rPr>
          <w:color w:val="231F20"/>
          <w:spacing w:val="-1"/>
        </w:rPr>
        <w:t> </w:t>
      </w:r>
      <w:r>
        <w:rPr>
          <w:color w:val="231F20"/>
          <w:spacing w:val="-4"/>
        </w:rPr>
        <w:t>only</w:t>
      </w:r>
    </w:p>
    <w:p>
      <w:pPr>
        <w:pStyle w:val="BodyText"/>
        <w:spacing w:line="225" w:lineRule="auto" w:before="6"/>
        <w:ind w:left="566" w:right="141"/>
      </w:pPr>
      <w:r>
        <w:rPr>
          <w:color w:val="231F20"/>
        </w:rPr>
        <w:t>made when required by proper accounting practices or the change provides more reliable or relevant information about the effect of transactions, other events and conditions on</w:t>
      </w:r>
      <w:r>
        <w:rPr>
          <w:color w:val="231F20"/>
          <w:spacing w:val="40"/>
        </w:rPr>
        <w:t> </w:t>
      </w:r>
      <w:r>
        <w:rPr>
          <w:color w:val="231F20"/>
        </w:rPr>
        <w:t>the Council’s financial position or financial performance. Where a change is made, it is applied</w:t>
      </w:r>
      <w:r>
        <w:rPr>
          <w:color w:val="231F20"/>
          <w:spacing w:val="-9"/>
        </w:rPr>
        <w:t> </w:t>
      </w:r>
      <w:r>
        <w:rPr>
          <w:color w:val="231F20"/>
        </w:rPr>
        <w:t>retrospectively</w:t>
      </w:r>
      <w:r>
        <w:rPr>
          <w:color w:val="231F20"/>
          <w:spacing w:val="-9"/>
        </w:rPr>
        <w:t> </w:t>
      </w:r>
      <w:r>
        <w:rPr>
          <w:color w:val="231F20"/>
        </w:rPr>
        <w:t>(unless</w:t>
      </w:r>
      <w:r>
        <w:rPr>
          <w:color w:val="231F20"/>
          <w:spacing w:val="-9"/>
        </w:rPr>
        <w:t> </w:t>
      </w:r>
      <w:r>
        <w:rPr>
          <w:color w:val="231F20"/>
        </w:rPr>
        <w:t>stated</w:t>
      </w:r>
      <w:r>
        <w:rPr>
          <w:color w:val="231F20"/>
          <w:spacing w:val="-9"/>
        </w:rPr>
        <w:t> </w:t>
      </w:r>
      <w:r>
        <w:rPr>
          <w:color w:val="231F20"/>
        </w:rPr>
        <w:t>otherwise) by adjusting opening balances and </w:t>
      </w:r>
      <w:r>
        <w:rPr>
          <w:color w:val="231F20"/>
          <w:spacing w:val="-2"/>
        </w:rPr>
        <w:t>comparative</w:t>
      </w:r>
    </w:p>
    <w:p>
      <w:pPr>
        <w:pStyle w:val="BodyText"/>
        <w:spacing w:line="225" w:lineRule="auto"/>
        <w:ind w:left="566"/>
      </w:pPr>
      <w:r>
        <w:rPr>
          <w:color w:val="231F20"/>
        </w:rPr>
        <w:t>amounts</w:t>
      </w:r>
      <w:r>
        <w:rPr>
          <w:color w:val="231F20"/>
          <w:spacing w:val="-4"/>
        </w:rPr>
        <w:t> </w:t>
      </w:r>
      <w:r>
        <w:rPr>
          <w:color w:val="231F20"/>
        </w:rPr>
        <w:t>for</w:t>
      </w:r>
      <w:r>
        <w:rPr>
          <w:color w:val="231F20"/>
          <w:spacing w:val="-4"/>
        </w:rPr>
        <w:t> </w:t>
      </w:r>
      <w:r>
        <w:rPr>
          <w:color w:val="231F20"/>
        </w:rPr>
        <w:t>the</w:t>
      </w:r>
      <w:r>
        <w:rPr>
          <w:color w:val="231F20"/>
          <w:spacing w:val="-4"/>
        </w:rPr>
        <w:t> </w:t>
      </w:r>
      <w:r>
        <w:rPr>
          <w:color w:val="231F20"/>
        </w:rPr>
        <w:t>prior</w:t>
      </w:r>
      <w:r>
        <w:rPr>
          <w:color w:val="231F20"/>
          <w:spacing w:val="-4"/>
        </w:rPr>
        <w:t> </w:t>
      </w:r>
      <w:r>
        <w:rPr>
          <w:color w:val="231F20"/>
        </w:rPr>
        <w:t>period</w:t>
      </w:r>
      <w:r>
        <w:rPr>
          <w:color w:val="231F20"/>
          <w:spacing w:val="-4"/>
        </w:rPr>
        <w:t> </w:t>
      </w:r>
      <w:r>
        <w:rPr>
          <w:color w:val="231F20"/>
        </w:rPr>
        <w:t>as</w:t>
      </w:r>
      <w:r>
        <w:rPr>
          <w:color w:val="231F20"/>
          <w:spacing w:val="-4"/>
        </w:rPr>
        <w:t> </w:t>
      </w:r>
      <w:r>
        <w:rPr>
          <w:color w:val="231F20"/>
        </w:rPr>
        <w:t>if</w:t>
      </w:r>
      <w:r>
        <w:rPr>
          <w:color w:val="231F20"/>
          <w:spacing w:val="-5"/>
        </w:rPr>
        <w:t> </w:t>
      </w:r>
      <w:r>
        <w:rPr>
          <w:color w:val="231F20"/>
        </w:rPr>
        <w:t>the</w:t>
      </w:r>
      <w:r>
        <w:rPr>
          <w:color w:val="231F20"/>
          <w:spacing w:val="-4"/>
        </w:rPr>
        <w:t> </w:t>
      </w:r>
      <w:r>
        <w:rPr>
          <w:color w:val="231F20"/>
        </w:rPr>
        <w:t>new</w:t>
      </w:r>
      <w:r>
        <w:rPr>
          <w:color w:val="231F20"/>
          <w:spacing w:val="-4"/>
        </w:rPr>
        <w:t> </w:t>
      </w:r>
      <w:r>
        <w:rPr>
          <w:color w:val="231F20"/>
        </w:rPr>
        <w:t>policy had always been applied.</w:t>
      </w:r>
    </w:p>
    <w:p>
      <w:pPr>
        <w:pStyle w:val="BodyText"/>
        <w:spacing w:before="6"/>
        <w:rPr>
          <w:sz w:val="22"/>
        </w:rPr>
      </w:pPr>
    </w:p>
    <w:p>
      <w:pPr>
        <w:pStyle w:val="BodyText"/>
        <w:spacing w:line="225" w:lineRule="auto" w:before="1"/>
        <w:ind w:left="566"/>
      </w:pPr>
      <w:r>
        <w:rPr>
          <w:color w:val="231F20"/>
        </w:rPr>
        <w:t>Material</w:t>
      </w:r>
      <w:r>
        <w:rPr>
          <w:color w:val="231F20"/>
          <w:spacing w:val="-6"/>
        </w:rPr>
        <w:t> </w:t>
      </w:r>
      <w:r>
        <w:rPr>
          <w:color w:val="231F20"/>
        </w:rPr>
        <w:t>errors</w:t>
      </w:r>
      <w:r>
        <w:rPr>
          <w:color w:val="231F20"/>
          <w:spacing w:val="-6"/>
        </w:rPr>
        <w:t> </w:t>
      </w:r>
      <w:r>
        <w:rPr>
          <w:color w:val="231F20"/>
        </w:rPr>
        <w:t>discovered</w:t>
      </w:r>
      <w:r>
        <w:rPr>
          <w:color w:val="231F20"/>
          <w:spacing w:val="-6"/>
        </w:rPr>
        <w:t> </w:t>
      </w:r>
      <w:r>
        <w:rPr>
          <w:color w:val="231F20"/>
        </w:rPr>
        <w:t>in</w:t>
      </w:r>
      <w:r>
        <w:rPr>
          <w:color w:val="231F20"/>
          <w:spacing w:val="-7"/>
        </w:rPr>
        <w:t> </w:t>
      </w:r>
      <w:r>
        <w:rPr>
          <w:color w:val="231F20"/>
        </w:rPr>
        <w:t>prior</w:t>
      </w:r>
      <w:r>
        <w:rPr>
          <w:color w:val="231F20"/>
          <w:spacing w:val="-6"/>
        </w:rPr>
        <w:t> </w:t>
      </w:r>
      <w:r>
        <w:rPr>
          <w:color w:val="231F20"/>
        </w:rPr>
        <w:t>period</w:t>
      </w:r>
      <w:r>
        <w:rPr>
          <w:color w:val="231F20"/>
          <w:spacing w:val="-6"/>
        </w:rPr>
        <w:t> </w:t>
      </w:r>
      <w:r>
        <w:rPr>
          <w:color w:val="231F20"/>
        </w:rPr>
        <w:t>figures are corrected retrospectively by amending opening balances and comparative amounts for the prior period.</w:t>
      </w:r>
    </w:p>
    <w:p>
      <w:pPr>
        <w:pStyle w:val="Heading3"/>
        <w:numPr>
          <w:ilvl w:val="0"/>
          <w:numId w:val="11"/>
        </w:numPr>
        <w:tabs>
          <w:tab w:pos="534" w:val="left" w:leader="none"/>
        </w:tabs>
        <w:spacing w:line="225" w:lineRule="auto" w:before="119" w:after="0"/>
        <w:ind w:left="263" w:right="1499" w:hanging="5"/>
        <w:jc w:val="left"/>
      </w:pPr>
      <w:r>
        <w:rPr>
          <w:b w:val="0"/>
        </w:rPr>
        <w:br w:type="column"/>
      </w:r>
      <w:r>
        <w:rPr>
          <w:color w:val="3B5673"/>
        </w:rPr>
        <w:t>CHARGES TO REVENUE FOR NON</w:t>
      </w:r>
      <w:r>
        <w:rPr>
          <w:color w:val="3B5673"/>
          <w:position w:val="1"/>
        </w:rPr>
        <w:t>- </w:t>
      </w:r>
      <w:r>
        <w:rPr>
          <w:color w:val="3B5673"/>
        </w:rPr>
        <w:t>CURRENT ASSETS</w:t>
      </w:r>
    </w:p>
    <w:p>
      <w:pPr>
        <w:pStyle w:val="BodyText"/>
        <w:spacing w:line="225" w:lineRule="auto"/>
        <w:ind w:left="259" w:right="548"/>
      </w:pPr>
      <w:r>
        <w:rPr>
          <w:color w:val="231F20"/>
        </w:rPr>
        <w:t>Service revenue accounts, support services and trading</w:t>
      </w:r>
      <w:r>
        <w:rPr>
          <w:color w:val="231F20"/>
          <w:spacing w:val="-5"/>
        </w:rPr>
        <w:t> </w:t>
      </w:r>
      <w:r>
        <w:rPr>
          <w:color w:val="231F20"/>
        </w:rPr>
        <w:t>accounts</w:t>
      </w:r>
      <w:r>
        <w:rPr>
          <w:color w:val="231F20"/>
          <w:spacing w:val="-5"/>
        </w:rPr>
        <w:t> </w:t>
      </w:r>
      <w:r>
        <w:rPr>
          <w:color w:val="231F20"/>
        </w:rPr>
        <w:t>are</w:t>
      </w:r>
      <w:r>
        <w:rPr>
          <w:color w:val="231F20"/>
          <w:spacing w:val="-5"/>
        </w:rPr>
        <w:t> </w:t>
      </w:r>
      <w:r>
        <w:rPr>
          <w:color w:val="231F20"/>
        </w:rPr>
        <w:t>charged</w:t>
      </w:r>
      <w:r>
        <w:rPr>
          <w:color w:val="231F20"/>
          <w:spacing w:val="-5"/>
        </w:rPr>
        <w:t> </w:t>
      </w:r>
      <w:r>
        <w:rPr>
          <w:color w:val="231F20"/>
        </w:rPr>
        <w:t>with</w:t>
      </w:r>
      <w:r>
        <w:rPr>
          <w:color w:val="231F20"/>
          <w:spacing w:val="-5"/>
        </w:rPr>
        <w:t> </w:t>
      </w:r>
      <w:r>
        <w:rPr>
          <w:color w:val="231F20"/>
        </w:rPr>
        <w:t>the</w:t>
      </w:r>
      <w:r>
        <w:rPr>
          <w:color w:val="231F20"/>
          <w:spacing w:val="-5"/>
        </w:rPr>
        <w:t> </w:t>
      </w:r>
      <w:r>
        <w:rPr>
          <w:color w:val="231F20"/>
        </w:rPr>
        <w:t>following amounts</w:t>
      </w:r>
      <w:r>
        <w:rPr>
          <w:color w:val="231F20"/>
          <w:spacing w:val="-4"/>
        </w:rPr>
        <w:t> </w:t>
      </w:r>
      <w:r>
        <w:rPr>
          <w:color w:val="231F20"/>
        </w:rPr>
        <w:t>to</w:t>
      </w:r>
      <w:r>
        <w:rPr>
          <w:color w:val="231F20"/>
          <w:spacing w:val="-4"/>
        </w:rPr>
        <w:t> </w:t>
      </w:r>
      <w:r>
        <w:rPr>
          <w:color w:val="231F20"/>
        </w:rPr>
        <w:t>record</w:t>
      </w:r>
      <w:r>
        <w:rPr>
          <w:color w:val="231F20"/>
          <w:spacing w:val="-4"/>
        </w:rPr>
        <w:t> </w:t>
      </w:r>
      <w:r>
        <w:rPr>
          <w:color w:val="231F20"/>
        </w:rPr>
        <w:t>the</w:t>
      </w:r>
      <w:r>
        <w:rPr>
          <w:color w:val="231F20"/>
          <w:spacing w:val="-4"/>
        </w:rPr>
        <w:t> </w:t>
      </w:r>
      <w:r>
        <w:rPr>
          <w:color w:val="231F20"/>
        </w:rPr>
        <w:t>real</w:t>
      </w:r>
      <w:r>
        <w:rPr>
          <w:color w:val="231F20"/>
          <w:spacing w:val="-4"/>
        </w:rPr>
        <w:t> </w:t>
      </w:r>
      <w:r>
        <w:rPr>
          <w:color w:val="231F20"/>
        </w:rPr>
        <w:t>cost</w:t>
      </w:r>
      <w:r>
        <w:rPr>
          <w:color w:val="231F20"/>
          <w:spacing w:val="-4"/>
        </w:rPr>
        <w:t> </w:t>
      </w:r>
      <w:r>
        <w:rPr>
          <w:color w:val="231F20"/>
        </w:rPr>
        <w:t>of</w:t>
      </w:r>
      <w:r>
        <w:rPr>
          <w:color w:val="231F20"/>
          <w:spacing w:val="-4"/>
        </w:rPr>
        <w:t> </w:t>
      </w:r>
      <w:r>
        <w:rPr>
          <w:color w:val="231F20"/>
        </w:rPr>
        <w:t>holding</w:t>
      </w:r>
      <w:r>
        <w:rPr>
          <w:color w:val="231F20"/>
          <w:spacing w:val="-4"/>
        </w:rPr>
        <w:t> </w:t>
      </w:r>
      <w:r>
        <w:rPr>
          <w:color w:val="231F20"/>
        </w:rPr>
        <w:t>non- current assets during the year:</w:t>
      </w:r>
    </w:p>
    <w:p>
      <w:pPr>
        <w:pStyle w:val="BodyText"/>
        <w:spacing w:before="7"/>
        <w:rPr>
          <w:sz w:val="22"/>
        </w:rPr>
      </w:pPr>
    </w:p>
    <w:p>
      <w:pPr>
        <w:pStyle w:val="ListParagraph"/>
        <w:numPr>
          <w:ilvl w:val="1"/>
          <w:numId w:val="11"/>
        </w:numPr>
        <w:tabs>
          <w:tab w:pos="430" w:val="left" w:leader="none"/>
        </w:tabs>
        <w:spacing w:line="225" w:lineRule="auto" w:before="0" w:after="0"/>
        <w:ind w:left="429" w:right="699" w:hanging="171"/>
        <w:jc w:val="left"/>
        <w:rPr>
          <w:sz w:val="24"/>
        </w:rPr>
      </w:pPr>
      <w:r>
        <w:rPr>
          <w:color w:val="231F20"/>
          <w:sz w:val="24"/>
        </w:rPr>
        <w:t>Depreciation</w:t>
      </w:r>
      <w:r>
        <w:rPr>
          <w:color w:val="231F20"/>
          <w:spacing w:val="-6"/>
          <w:sz w:val="24"/>
        </w:rPr>
        <w:t> </w:t>
      </w:r>
      <w:r>
        <w:rPr>
          <w:color w:val="231F20"/>
          <w:sz w:val="24"/>
        </w:rPr>
        <w:t>attributable</w:t>
      </w:r>
      <w:r>
        <w:rPr>
          <w:color w:val="231F20"/>
          <w:spacing w:val="-5"/>
          <w:sz w:val="24"/>
        </w:rPr>
        <w:t> </w:t>
      </w:r>
      <w:r>
        <w:rPr>
          <w:color w:val="231F20"/>
          <w:sz w:val="24"/>
        </w:rPr>
        <w:t>to</w:t>
      </w:r>
      <w:r>
        <w:rPr>
          <w:color w:val="231F20"/>
          <w:spacing w:val="-5"/>
          <w:sz w:val="24"/>
        </w:rPr>
        <w:t> </w:t>
      </w:r>
      <w:r>
        <w:rPr>
          <w:color w:val="231F20"/>
          <w:sz w:val="24"/>
        </w:rPr>
        <w:t>the</w:t>
      </w:r>
      <w:r>
        <w:rPr>
          <w:color w:val="231F20"/>
          <w:spacing w:val="-5"/>
          <w:sz w:val="24"/>
        </w:rPr>
        <w:t> </w:t>
      </w:r>
      <w:r>
        <w:rPr>
          <w:color w:val="231F20"/>
          <w:sz w:val="24"/>
        </w:rPr>
        <w:t>assets</w:t>
      </w:r>
      <w:r>
        <w:rPr>
          <w:color w:val="231F20"/>
          <w:spacing w:val="-5"/>
          <w:sz w:val="24"/>
        </w:rPr>
        <w:t> </w:t>
      </w:r>
      <w:r>
        <w:rPr>
          <w:color w:val="231F20"/>
          <w:sz w:val="24"/>
        </w:rPr>
        <w:t>used</w:t>
      </w:r>
      <w:r>
        <w:rPr>
          <w:color w:val="231F20"/>
          <w:spacing w:val="-5"/>
          <w:sz w:val="24"/>
        </w:rPr>
        <w:t> </w:t>
      </w:r>
      <w:r>
        <w:rPr>
          <w:color w:val="231F20"/>
          <w:sz w:val="24"/>
        </w:rPr>
        <w:t>by the relevant service.</w:t>
      </w:r>
    </w:p>
    <w:p>
      <w:pPr>
        <w:pStyle w:val="ListParagraph"/>
        <w:numPr>
          <w:ilvl w:val="1"/>
          <w:numId w:val="11"/>
        </w:numPr>
        <w:tabs>
          <w:tab w:pos="430" w:val="left" w:leader="none"/>
        </w:tabs>
        <w:spacing w:line="225" w:lineRule="auto" w:before="56" w:after="0"/>
        <w:ind w:left="429" w:right="716" w:hanging="171"/>
        <w:jc w:val="left"/>
        <w:rPr>
          <w:sz w:val="24"/>
        </w:rPr>
      </w:pPr>
      <w:r>
        <w:rPr>
          <w:color w:val="231F20"/>
          <w:sz w:val="24"/>
        </w:rPr>
        <w:t>Revaluation and impairment losses on assets used by the service where there are no accumulated</w:t>
      </w:r>
      <w:r>
        <w:rPr>
          <w:color w:val="231F20"/>
          <w:spacing w:val="-9"/>
          <w:sz w:val="24"/>
        </w:rPr>
        <w:t> </w:t>
      </w:r>
      <w:r>
        <w:rPr>
          <w:color w:val="231F20"/>
          <w:sz w:val="24"/>
        </w:rPr>
        <w:t>gains</w:t>
      </w:r>
      <w:r>
        <w:rPr>
          <w:color w:val="231F20"/>
          <w:spacing w:val="-9"/>
          <w:sz w:val="24"/>
        </w:rPr>
        <w:t> </w:t>
      </w:r>
      <w:r>
        <w:rPr>
          <w:color w:val="231F20"/>
          <w:sz w:val="24"/>
        </w:rPr>
        <w:t>in</w:t>
      </w:r>
      <w:r>
        <w:rPr>
          <w:color w:val="231F20"/>
          <w:spacing w:val="-10"/>
          <w:sz w:val="24"/>
        </w:rPr>
        <w:t> </w:t>
      </w:r>
      <w:r>
        <w:rPr>
          <w:color w:val="231F20"/>
          <w:sz w:val="24"/>
        </w:rPr>
        <w:t>the</w:t>
      </w:r>
      <w:r>
        <w:rPr>
          <w:color w:val="231F20"/>
          <w:spacing w:val="-9"/>
          <w:sz w:val="24"/>
        </w:rPr>
        <w:t> </w:t>
      </w:r>
      <w:r>
        <w:rPr>
          <w:color w:val="231F20"/>
          <w:sz w:val="24"/>
        </w:rPr>
        <w:t>Revaluation</w:t>
      </w:r>
      <w:r>
        <w:rPr>
          <w:color w:val="231F20"/>
          <w:spacing w:val="-9"/>
          <w:sz w:val="24"/>
        </w:rPr>
        <w:t> </w:t>
      </w:r>
      <w:r>
        <w:rPr>
          <w:color w:val="231F20"/>
          <w:sz w:val="24"/>
        </w:rPr>
        <w:t>Reserves against which the losses can be written off.</w:t>
      </w:r>
    </w:p>
    <w:p>
      <w:pPr>
        <w:pStyle w:val="ListParagraph"/>
        <w:numPr>
          <w:ilvl w:val="1"/>
          <w:numId w:val="11"/>
        </w:numPr>
        <w:tabs>
          <w:tab w:pos="430" w:val="left" w:leader="none"/>
        </w:tabs>
        <w:spacing w:line="225" w:lineRule="auto" w:before="57" w:after="0"/>
        <w:ind w:left="429" w:right="583" w:hanging="171"/>
        <w:jc w:val="left"/>
        <w:rPr>
          <w:sz w:val="24"/>
        </w:rPr>
      </w:pPr>
      <w:r>
        <w:rPr>
          <w:color w:val="231F20"/>
          <w:sz w:val="24"/>
        </w:rPr>
        <w:t>Amortisation</w:t>
      </w:r>
      <w:r>
        <w:rPr>
          <w:color w:val="231F20"/>
          <w:spacing w:val="-7"/>
          <w:sz w:val="24"/>
        </w:rPr>
        <w:t> </w:t>
      </w:r>
      <w:r>
        <w:rPr>
          <w:color w:val="231F20"/>
          <w:sz w:val="24"/>
        </w:rPr>
        <w:t>of</w:t>
      </w:r>
      <w:r>
        <w:rPr>
          <w:color w:val="231F20"/>
          <w:spacing w:val="-7"/>
          <w:sz w:val="24"/>
        </w:rPr>
        <w:t> </w:t>
      </w:r>
      <w:r>
        <w:rPr>
          <w:color w:val="231F20"/>
          <w:sz w:val="24"/>
        </w:rPr>
        <w:t>intangible</w:t>
      </w:r>
      <w:r>
        <w:rPr>
          <w:color w:val="231F20"/>
          <w:spacing w:val="-8"/>
          <w:sz w:val="24"/>
        </w:rPr>
        <w:t> </w:t>
      </w:r>
      <w:r>
        <w:rPr>
          <w:color w:val="231F20"/>
          <w:sz w:val="24"/>
        </w:rPr>
        <w:t>assets</w:t>
      </w:r>
      <w:r>
        <w:rPr>
          <w:color w:val="231F20"/>
          <w:spacing w:val="-7"/>
          <w:sz w:val="24"/>
        </w:rPr>
        <w:t> </w:t>
      </w:r>
      <w:r>
        <w:rPr>
          <w:color w:val="231F20"/>
          <w:sz w:val="24"/>
        </w:rPr>
        <w:t>attributable</w:t>
      </w:r>
      <w:r>
        <w:rPr>
          <w:color w:val="231F20"/>
          <w:spacing w:val="-7"/>
          <w:sz w:val="24"/>
        </w:rPr>
        <w:t> </w:t>
      </w:r>
      <w:r>
        <w:rPr>
          <w:color w:val="231F20"/>
          <w:sz w:val="24"/>
        </w:rPr>
        <w:t>to the service.</w:t>
      </w:r>
    </w:p>
    <w:p>
      <w:pPr>
        <w:pStyle w:val="BodyText"/>
        <w:spacing w:before="10"/>
        <w:rPr>
          <w:sz w:val="26"/>
        </w:rPr>
      </w:pPr>
    </w:p>
    <w:p>
      <w:pPr>
        <w:pStyle w:val="BodyText"/>
        <w:spacing w:line="225" w:lineRule="auto" w:before="1"/>
        <w:ind w:left="259" w:right="582"/>
      </w:pPr>
      <w:r>
        <w:rPr/>
        <w:pict>
          <v:group style="position:absolute;margin-left:578.504028pt;margin-top:22.855991pt;width:16.8pt;height:192.8pt;mso-position-horizontal-relative:page;mso-position-vertical-relative:paragraph;z-index:15764992" id="docshapegroup298" coordorigin="11570,457" coordsize="336,3856">
            <v:rect style="position:absolute;left:11570;top:3348;width:336;height:964" id="docshape299" filled="true" fillcolor="#f15d6b" stroked="false">
              <v:fill type="solid"/>
            </v:rect>
            <v:rect style="position:absolute;left:11570;top:2384;width:336;height:964" id="docshape300" filled="true" fillcolor="#fbac42" stroked="false">
              <v:fill type="solid"/>
            </v:rect>
            <v:rect style="position:absolute;left:11570;top:1420;width:336;height:964" id="docshape301" filled="true" fillcolor="#b78fc1" stroked="false">
              <v:fill type="solid"/>
            </v:rect>
            <v:rect style="position:absolute;left:11570;top:457;width:336;height:964" id="docshape302" filled="true" fillcolor="#378372" stroked="false">
              <v:fill type="solid"/>
            </v:rect>
            <w10:wrap type="none"/>
          </v:group>
        </w:pict>
      </w:r>
      <w:r>
        <w:rPr>
          <w:color w:val="231F20"/>
        </w:rPr>
        <w:t>The</w:t>
      </w:r>
      <w:r>
        <w:rPr>
          <w:color w:val="231F20"/>
          <w:spacing w:val="-7"/>
        </w:rPr>
        <w:t> </w:t>
      </w:r>
      <w:r>
        <w:rPr>
          <w:color w:val="231F20"/>
        </w:rPr>
        <w:t>Council</w:t>
      </w:r>
      <w:r>
        <w:rPr>
          <w:color w:val="231F20"/>
          <w:spacing w:val="-8"/>
        </w:rPr>
        <w:t> </w:t>
      </w:r>
      <w:r>
        <w:rPr>
          <w:color w:val="231F20"/>
        </w:rPr>
        <w:t>is</w:t>
      </w:r>
      <w:r>
        <w:rPr>
          <w:color w:val="231F20"/>
          <w:spacing w:val="-8"/>
        </w:rPr>
        <w:t> </w:t>
      </w:r>
      <w:r>
        <w:rPr>
          <w:color w:val="231F20"/>
        </w:rPr>
        <w:t>not</w:t>
      </w:r>
      <w:r>
        <w:rPr>
          <w:color w:val="231F20"/>
          <w:spacing w:val="-7"/>
        </w:rPr>
        <w:t> </w:t>
      </w:r>
      <w:r>
        <w:rPr>
          <w:color w:val="231F20"/>
        </w:rPr>
        <w:t>required</w:t>
      </w:r>
      <w:r>
        <w:rPr>
          <w:color w:val="231F20"/>
          <w:spacing w:val="-7"/>
        </w:rPr>
        <w:t> </w:t>
      </w:r>
      <w:r>
        <w:rPr>
          <w:color w:val="231F20"/>
        </w:rPr>
        <w:t>to</w:t>
      </w:r>
      <w:r>
        <w:rPr>
          <w:color w:val="231F20"/>
          <w:spacing w:val="-7"/>
        </w:rPr>
        <w:t> </w:t>
      </w:r>
      <w:r>
        <w:rPr>
          <w:color w:val="231F20"/>
        </w:rPr>
        <w:t>raise</w:t>
      </w:r>
      <w:r>
        <w:rPr>
          <w:color w:val="231F20"/>
          <w:spacing w:val="-7"/>
        </w:rPr>
        <w:t> </w:t>
      </w:r>
      <w:r>
        <w:rPr>
          <w:color w:val="231F20"/>
        </w:rPr>
        <w:t>Council</w:t>
      </w:r>
      <w:r>
        <w:rPr>
          <w:color w:val="231F20"/>
          <w:spacing w:val="-8"/>
        </w:rPr>
        <w:t> </w:t>
      </w:r>
      <w:r>
        <w:rPr>
          <w:color w:val="231F20"/>
        </w:rPr>
        <w:t>Tax</w:t>
      </w:r>
      <w:r>
        <w:rPr>
          <w:color w:val="231F20"/>
          <w:spacing w:val="-7"/>
        </w:rPr>
        <w:t> </w:t>
      </w:r>
      <w:r>
        <w:rPr>
          <w:color w:val="231F20"/>
        </w:rPr>
        <w:t>to cover depreciation, revaluation and impairment losses or amortisations.</w:t>
      </w:r>
      <w:r>
        <w:rPr>
          <w:color w:val="231F20"/>
          <w:spacing w:val="80"/>
        </w:rPr>
        <w:t> </w:t>
      </w:r>
      <w:r>
        <w:rPr>
          <w:color w:val="231F20"/>
        </w:rPr>
        <w:t>However, it is required</w:t>
      </w:r>
      <w:r>
        <w:rPr>
          <w:color w:val="231F20"/>
          <w:spacing w:val="40"/>
        </w:rPr>
        <w:t> </w:t>
      </w:r>
      <w:r>
        <w:rPr>
          <w:color w:val="231F20"/>
        </w:rPr>
        <w:t>to make an annual provision from revenue to contribute towards the reduction in its overall borrowing requirement equal to an amount calculated on a prudent basis determined by the Council in accordance with statutory guidance.</w:t>
      </w:r>
    </w:p>
    <w:p>
      <w:pPr>
        <w:pStyle w:val="BodyText"/>
        <w:spacing w:line="225" w:lineRule="auto"/>
        <w:ind w:left="259" w:right="960"/>
      </w:pPr>
      <w:r>
        <w:rPr>
          <w:color w:val="231F20"/>
        </w:rPr>
        <w:t>Depreciation, revaluation, impairment losses and amortisation are therefore replaced by the</w:t>
      </w:r>
      <w:r>
        <w:rPr>
          <w:color w:val="231F20"/>
          <w:spacing w:val="-6"/>
        </w:rPr>
        <w:t> </w:t>
      </w:r>
      <w:r>
        <w:rPr>
          <w:color w:val="231F20"/>
        </w:rPr>
        <w:t>contribution</w:t>
      </w:r>
      <w:r>
        <w:rPr>
          <w:color w:val="231F20"/>
          <w:spacing w:val="-6"/>
        </w:rPr>
        <w:t> </w:t>
      </w:r>
      <w:r>
        <w:rPr>
          <w:color w:val="231F20"/>
        </w:rPr>
        <w:t>in</w:t>
      </w:r>
      <w:r>
        <w:rPr>
          <w:color w:val="231F20"/>
          <w:spacing w:val="-7"/>
        </w:rPr>
        <w:t> </w:t>
      </w:r>
      <w:r>
        <w:rPr>
          <w:color w:val="231F20"/>
        </w:rPr>
        <w:t>the</w:t>
      </w:r>
      <w:r>
        <w:rPr>
          <w:color w:val="231F20"/>
          <w:spacing w:val="-6"/>
        </w:rPr>
        <w:t> </w:t>
      </w:r>
      <w:r>
        <w:rPr>
          <w:color w:val="231F20"/>
        </w:rPr>
        <w:t>General</w:t>
      </w:r>
      <w:r>
        <w:rPr>
          <w:color w:val="231F20"/>
          <w:spacing w:val="-6"/>
        </w:rPr>
        <w:t> </w:t>
      </w:r>
      <w:r>
        <w:rPr>
          <w:color w:val="231F20"/>
        </w:rPr>
        <w:t>Fund</w:t>
      </w:r>
      <w:r>
        <w:rPr>
          <w:color w:val="231F20"/>
          <w:spacing w:val="-7"/>
        </w:rPr>
        <w:t> </w:t>
      </w:r>
      <w:r>
        <w:rPr>
          <w:color w:val="231F20"/>
        </w:rPr>
        <w:t>Balance by way of an adjusting transaction with the</w:t>
      </w:r>
    </w:p>
    <w:p>
      <w:pPr>
        <w:pStyle w:val="BodyText"/>
        <w:spacing w:line="225" w:lineRule="auto"/>
        <w:ind w:left="259" w:right="548"/>
      </w:pPr>
      <w:r>
        <w:rPr>
          <w:color w:val="231F20"/>
        </w:rPr>
        <w:t>Capital</w:t>
      </w:r>
      <w:r>
        <w:rPr>
          <w:color w:val="231F20"/>
          <w:spacing w:val="-7"/>
        </w:rPr>
        <w:t> </w:t>
      </w:r>
      <w:r>
        <w:rPr>
          <w:color w:val="231F20"/>
        </w:rPr>
        <w:t>Adjustment</w:t>
      </w:r>
      <w:r>
        <w:rPr>
          <w:color w:val="231F20"/>
          <w:spacing w:val="-6"/>
        </w:rPr>
        <w:t> </w:t>
      </w:r>
      <w:r>
        <w:rPr>
          <w:color w:val="231F20"/>
        </w:rPr>
        <w:t>Account</w:t>
      </w:r>
      <w:r>
        <w:rPr>
          <w:color w:val="231F20"/>
          <w:spacing w:val="-6"/>
        </w:rPr>
        <w:t> </w:t>
      </w:r>
      <w:r>
        <w:rPr>
          <w:color w:val="231F20"/>
        </w:rPr>
        <w:t>in</w:t>
      </w:r>
      <w:r>
        <w:rPr>
          <w:color w:val="231F20"/>
          <w:spacing w:val="-7"/>
        </w:rPr>
        <w:t> </w:t>
      </w:r>
      <w:r>
        <w:rPr>
          <w:color w:val="231F20"/>
        </w:rPr>
        <w:t>the</w:t>
      </w:r>
      <w:r>
        <w:rPr>
          <w:color w:val="231F20"/>
          <w:spacing w:val="-6"/>
        </w:rPr>
        <w:t> </w:t>
      </w:r>
      <w:r>
        <w:rPr>
          <w:color w:val="231F20"/>
        </w:rPr>
        <w:t>Movement</w:t>
      </w:r>
      <w:r>
        <w:rPr>
          <w:color w:val="231F20"/>
          <w:spacing w:val="-6"/>
        </w:rPr>
        <w:t> </w:t>
      </w:r>
      <w:r>
        <w:rPr>
          <w:color w:val="231F20"/>
        </w:rPr>
        <w:t>in Reserves Statement for the difference between the two.</w:t>
      </w:r>
    </w:p>
    <w:p>
      <w:pPr>
        <w:spacing w:after="0" w:line="225" w:lineRule="auto"/>
        <w:sectPr>
          <w:type w:val="continuous"/>
          <w:pgSz w:w="11910" w:h="16840"/>
          <w:pgMar w:header="377" w:footer="367" w:top="260" w:bottom="0" w:left="0" w:right="0"/>
          <w:cols w:num="2" w:equalWidth="0">
            <w:col w:w="5795" w:space="40"/>
            <w:col w:w="6075"/>
          </w:cols>
        </w:sectPr>
      </w:pPr>
    </w:p>
    <w:p>
      <w:pPr>
        <w:pStyle w:val="BodyText"/>
        <w:rPr>
          <w:sz w:val="28"/>
        </w:rPr>
      </w:pPr>
    </w:p>
    <w:p>
      <w:pPr>
        <w:spacing w:after="0"/>
        <w:rPr>
          <w:sz w:val="28"/>
        </w:rPr>
        <w:sectPr>
          <w:pgSz w:w="11910" w:h="16840"/>
          <w:pgMar w:header="377" w:footer="367" w:top="560" w:bottom="560" w:left="0" w:right="0"/>
        </w:sectPr>
      </w:pPr>
    </w:p>
    <w:p>
      <w:pPr>
        <w:pStyle w:val="Heading3"/>
        <w:numPr>
          <w:ilvl w:val="0"/>
          <w:numId w:val="11"/>
        </w:numPr>
        <w:tabs>
          <w:tab w:pos="841" w:val="left" w:leader="none"/>
        </w:tabs>
        <w:spacing w:line="310" w:lineRule="exact" w:before="100" w:after="0"/>
        <w:ind w:left="840" w:right="0" w:hanging="275"/>
        <w:jc w:val="left"/>
      </w:pPr>
      <w:r>
        <w:rPr>
          <w:color w:val="3B5673"/>
        </w:rPr>
        <w:t>EMPLOYEE</w:t>
      </w:r>
      <w:r>
        <w:rPr>
          <w:color w:val="3B5673"/>
          <w:spacing w:val="53"/>
        </w:rPr>
        <w:t> </w:t>
      </w:r>
      <w:r>
        <w:rPr>
          <w:color w:val="3B5673"/>
          <w:spacing w:val="-2"/>
        </w:rPr>
        <w:t>BENEFITS</w:t>
      </w:r>
    </w:p>
    <w:p>
      <w:pPr>
        <w:pStyle w:val="ListParagraph"/>
        <w:numPr>
          <w:ilvl w:val="0"/>
          <w:numId w:val="13"/>
        </w:numPr>
        <w:tabs>
          <w:tab w:pos="828" w:val="left" w:leader="none"/>
        </w:tabs>
        <w:spacing w:line="225" w:lineRule="auto" w:before="6" w:after="0"/>
        <w:ind w:left="566" w:right="352" w:firstLine="0"/>
        <w:jc w:val="left"/>
        <w:rPr>
          <w:sz w:val="24"/>
        </w:rPr>
      </w:pPr>
      <w:r>
        <w:rPr>
          <w:b/>
          <w:color w:val="3B5673"/>
          <w:sz w:val="24"/>
        </w:rPr>
        <w:t>Benefits payable During Employment </w:t>
      </w:r>
      <w:r>
        <w:rPr>
          <w:color w:val="231F20"/>
          <w:sz w:val="24"/>
        </w:rPr>
        <w:t>Short-term employee benefits are those due to be settled within 12 months of the year- end.</w:t>
      </w:r>
      <w:r>
        <w:rPr>
          <w:color w:val="231F20"/>
          <w:spacing w:val="40"/>
          <w:sz w:val="24"/>
        </w:rPr>
        <w:t> </w:t>
      </w:r>
      <w:r>
        <w:rPr>
          <w:color w:val="231F20"/>
          <w:sz w:val="24"/>
        </w:rPr>
        <w:t>They</w:t>
      </w:r>
      <w:r>
        <w:rPr>
          <w:color w:val="231F20"/>
          <w:spacing w:val="-5"/>
          <w:sz w:val="24"/>
        </w:rPr>
        <w:t> </w:t>
      </w:r>
      <w:r>
        <w:rPr>
          <w:color w:val="231F20"/>
          <w:sz w:val="24"/>
        </w:rPr>
        <w:t>include</w:t>
      </w:r>
      <w:r>
        <w:rPr>
          <w:color w:val="231F20"/>
          <w:spacing w:val="-6"/>
          <w:sz w:val="24"/>
        </w:rPr>
        <w:t> </w:t>
      </w:r>
      <w:r>
        <w:rPr>
          <w:color w:val="231F20"/>
          <w:sz w:val="24"/>
        </w:rPr>
        <w:t>such</w:t>
      </w:r>
      <w:r>
        <w:rPr>
          <w:color w:val="231F20"/>
          <w:spacing w:val="-6"/>
          <w:sz w:val="24"/>
        </w:rPr>
        <w:t> </w:t>
      </w:r>
      <w:r>
        <w:rPr>
          <w:color w:val="231F20"/>
          <w:sz w:val="24"/>
        </w:rPr>
        <w:t>benefits</w:t>
      </w:r>
      <w:r>
        <w:rPr>
          <w:color w:val="231F20"/>
          <w:spacing w:val="-5"/>
          <w:sz w:val="24"/>
        </w:rPr>
        <w:t> </w:t>
      </w:r>
      <w:r>
        <w:rPr>
          <w:color w:val="231F20"/>
          <w:sz w:val="24"/>
        </w:rPr>
        <w:t>as</w:t>
      </w:r>
      <w:r>
        <w:rPr>
          <w:color w:val="231F20"/>
          <w:spacing w:val="-5"/>
          <w:sz w:val="24"/>
        </w:rPr>
        <w:t> </w:t>
      </w:r>
      <w:r>
        <w:rPr>
          <w:color w:val="231F20"/>
          <w:sz w:val="24"/>
        </w:rPr>
        <w:t>wages</w:t>
      </w:r>
      <w:r>
        <w:rPr>
          <w:color w:val="231F20"/>
          <w:spacing w:val="-5"/>
          <w:sz w:val="24"/>
        </w:rPr>
        <w:t> </w:t>
      </w:r>
      <w:r>
        <w:rPr>
          <w:color w:val="231F20"/>
          <w:sz w:val="24"/>
        </w:rPr>
        <w:t>and salaries,</w:t>
      </w:r>
      <w:r>
        <w:rPr>
          <w:color w:val="231F20"/>
          <w:spacing w:val="-6"/>
          <w:sz w:val="24"/>
        </w:rPr>
        <w:t> </w:t>
      </w:r>
      <w:r>
        <w:rPr>
          <w:color w:val="231F20"/>
          <w:sz w:val="24"/>
        </w:rPr>
        <w:t>paid</w:t>
      </w:r>
      <w:r>
        <w:rPr>
          <w:color w:val="231F20"/>
          <w:spacing w:val="-2"/>
          <w:sz w:val="24"/>
        </w:rPr>
        <w:t> </w:t>
      </w:r>
      <w:r>
        <w:rPr>
          <w:color w:val="231F20"/>
          <w:sz w:val="24"/>
        </w:rPr>
        <w:t>annual</w:t>
      </w:r>
      <w:r>
        <w:rPr>
          <w:color w:val="231F20"/>
          <w:spacing w:val="-2"/>
          <w:sz w:val="24"/>
        </w:rPr>
        <w:t> </w:t>
      </w:r>
      <w:r>
        <w:rPr>
          <w:color w:val="231F20"/>
          <w:sz w:val="24"/>
        </w:rPr>
        <w:t>leave</w:t>
      </w:r>
      <w:r>
        <w:rPr>
          <w:color w:val="231F20"/>
          <w:spacing w:val="-3"/>
          <w:sz w:val="24"/>
        </w:rPr>
        <w:t> </w:t>
      </w:r>
      <w:r>
        <w:rPr>
          <w:color w:val="231F20"/>
          <w:sz w:val="24"/>
        </w:rPr>
        <w:t>and</w:t>
      </w:r>
      <w:r>
        <w:rPr>
          <w:color w:val="231F20"/>
          <w:spacing w:val="-2"/>
          <w:sz w:val="24"/>
        </w:rPr>
        <w:t> </w:t>
      </w:r>
      <w:r>
        <w:rPr>
          <w:color w:val="231F20"/>
          <w:sz w:val="24"/>
        </w:rPr>
        <w:t>paid</w:t>
      </w:r>
      <w:r>
        <w:rPr>
          <w:color w:val="231F20"/>
          <w:spacing w:val="-2"/>
          <w:sz w:val="24"/>
        </w:rPr>
        <w:t> </w:t>
      </w:r>
      <w:r>
        <w:rPr>
          <w:color w:val="231F20"/>
          <w:sz w:val="24"/>
        </w:rPr>
        <w:t>sick</w:t>
      </w:r>
      <w:r>
        <w:rPr>
          <w:color w:val="231F20"/>
          <w:spacing w:val="-3"/>
          <w:sz w:val="24"/>
        </w:rPr>
        <w:t> </w:t>
      </w:r>
      <w:r>
        <w:rPr>
          <w:color w:val="231F20"/>
          <w:spacing w:val="-2"/>
          <w:sz w:val="24"/>
        </w:rPr>
        <w:t>leave,</w:t>
      </w:r>
    </w:p>
    <w:p>
      <w:pPr>
        <w:pStyle w:val="BodyText"/>
        <w:spacing w:line="225" w:lineRule="auto"/>
        <w:ind w:left="566" w:right="36"/>
      </w:pPr>
      <w:r>
        <w:rPr>
          <w:color w:val="231F20"/>
        </w:rPr>
        <w:t>bonuses and accumulated flexi time for current employees and are recognised as an expense for the services in the year in which the employees render</w:t>
      </w:r>
      <w:r>
        <w:rPr>
          <w:color w:val="231F20"/>
          <w:spacing w:val="-4"/>
        </w:rPr>
        <w:t> </w:t>
      </w:r>
      <w:r>
        <w:rPr>
          <w:color w:val="231F20"/>
        </w:rPr>
        <w:t>service</w:t>
      </w:r>
      <w:r>
        <w:rPr>
          <w:color w:val="231F20"/>
          <w:spacing w:val="-5"/>
        </w:rPr>
        <w:t> </w:t>
      </w:r>
      <w:r>
        <w:rPr>
          <w:color w:val="231F20"/>
        </w:rPr>
        <w:t>to</w:t>
      </w:r>
      <w:r>
        <w:rPr>
          <w:color w:val="231F20"/>
          <w:spacing w:val="-4"/>
        </w:rPr>
        <w:t> </w:t>
      </w:r>
      <w:r>
        <w:rPr>
          <w:color w:val="231F20"/>
        </w:rPr>
        <w:t>the</w:t>
      </w:r>
      <w:r>
        <w:rPr>
          <w:color w:val="231F20"/>
          <w:spacing w:val="-4"/>
        </w:rPr>
        <w:t> </w:t>
      </w:r>
      <w:r>
        <w:rPr>
          <w:color w:val="231F20"/>
        </w:rPr>
        <w:t>Council.</w:t>
      </w:r>
      <w:r>
        <w:rPr>
          <w:color w:val="231F20"/>
          <w:spacing w:val="40"/>
        </w:rPr>
        <w:t> </w:t>
      </w:r>
      <w:r>
        <w:rPr>
          <w:color w:val="231F20"/>
        </w:rPr>
        <w:t>An</w:t>
      </w:r>
      <w:r>
        <w:rPr>
          <w:color w:val="231F20"/>
          <w:spacing w:val="-4"/>
        </w:rPr>
        <w:t> </w:t>
      </w:r>
      <w:r>
        <w:rPr>
          <w:color w:val="231F20"/>
        </w:rPr>
        <w:t>accrual</w:t>
      </w:r>
      <w:r>
        <w:rPr>
          <w:color w:val="231F20"/>
          <w:spacing w:val="-4"/>
        </w:rPr>
        <w:t> </w:t>
      </w:r>
      <w:r>
        <w:rPr>
          <w:color w:val="231F20"/>
        </w:rPr>
        <w:t>is</w:t>
      </w:r>
      <w:r>
        <w:rPr>
          <w:color w:val="231F20"/>
          <w:spacing w:val="-5"/>
        </w:rPr>
        <w:t> </w:t>
      </w:r>
      <w:r>
        <w:rPr>
          <w:color w:val="231F20"/>
        </w:rPr>
        <w:t>made for the cost of holiday entitlements etc. earned by employees but not taken before the year- end, which employees can carry forward into the next financial year. The accrual is made at the wage and salary rates applicable the following accounting year, being the period in which</w:t>
      </w:r>
    </w:p>
    <w:p>
      <w:pPr>
        <w:pStyle w:val="BodyText"/>
        <w:spacing w:line="225" w:lineRule="auto"/>
        <w:ind w:left="566" w:right="36"/>
      </w:pPr>
      <w:r>
        <w:rPr>
          <w:color w:val="231F20"/>
        </w:rPr>
        <w:t>the employee takes the benefit.</w:t>
      </w:r>
      <w:r>
        <w:rPr>
          <w:color w:val="231F20"/>
          <w:spacing w:val="40"/>
        </w:rPr>
        <w:t> </w:t>
      </w:r>
      <w:r>
        <w:rPr>
          <w:color w:val="231F20"/>
        </w:rPr>
        <w:t>The accrual is charged to Surplus and Deficit on the Provision of Services, but then reversed out through the Movement</w:t>
      </w:r>
      <w:r>
        <w:rPr>
          <w:color w:val="231F20"/>
          <w:spacing w:val="-9"/>
        </w:rPr>
        <w:t> </w:t>
      </w:r>
      <w:r>
        <w:rPr>
          <w:color w:val="231F20"/>
        </w:rPr>
        <w:t>in</w:t>
      </w:r>
      <w:r>
        <w:rPr>
          <w:color w:val="231F20"/>
          <w:spacing w:val="-9"/>
        </w:rPr>
        <w:t> </w:t>
      </w:r>
      <w:r>
        <w:rPr>
          <w:color w:val="231F20"/>
        </w:rPr>
        <w:t>Reserves</w:t>
      </w:r>
      <w:r>
        <w:rPr>
          <w:color w:val="231F20"/>
          <w:spacing w:val="-9"/>
        </w:rPr>
        <w:t> </w:t>
      </w:r>
      <w:r>
        <w:rPr>
          <w:color w:val="231F20"/>
        </w:rPr>
        <w:t>Statement</w:t>
      </w:r>
      <w:r>
        <w:rPr>
          <w:color w:val="231F20"/>
          <w:spacing w:val="-9"/>
        </w:rPr>
        <w:t> </w:t>
      </w:r>
      <w:r>
        <w:rPr>
          <w:color w:val="231F20"/>
        </w:rPr>
        <w:t>so</w:t>
      </w:r>
      <w:r>
        <w:rPr>
          <w:color w:val="231F20"/>
          <w:spacing w:val="-9"/>
        </w:rPr>
        <w:t> </w:t>
      </w:r>
      <w:r>
        <w:rPr>
          <w:color w:val="231F20"/>
        </w:rPr>
        <w:t>that</w:t>
      </w:r>
      <w:r>
        <w:rPr>
          <w:color w:val="231F20"/>
          <w:spacing w:val="-9"/>
        </w:rPr>
        <w:t> </w:t>
      </w:r>
      <w:r>
        <w:rPr>
          <w:color w:val="231F20"/>
        </w:rPr>
        <w:t>holiday benefits are charged to revenue in the financial year in which the holiday absence occurs.</w:t>
      </w:r>
    </w:p>
    <w:p>
      <w:pPr>
        <w:pStyle w:val="Heading4"/>
        <w:numPr>
          <w:ilvl w:val="0"/>
          <w:numId w:val="13"/>
        </w:numPr>
        <w:tabs>
          <w:tab w:pos="847" w:val="left" w:leader="none"/>
        </w:tabs>
        <w:spacing w:line="310" w:lineRule="exact" w:before="283" w:after="0"/>
        <w:ind w:left="846" w:right="0" w:hanging="281"/>
        <w:jc w:val="left"/>
      </w:pPr>
      <w:r>
        <w:rPr>
          <w:color w:val="3B5673"/>
          <w:spacing w:val="-2"/>
        </w:rPr>
        <w:t>Termination</w:t>
      </w:r>
      <w:r>
        <w:rPr>
          <w:color w:val="3B5673"/>
        </w:rPr>
        <w:t> </w:t>
      </w:r>
      <w:r>
        <w:rPr>
          <w:color w:val="3B5673"/>
          <w:spacing w:val="-2"/>
        </w:rPr>
        <w:t>Benefits</w:t>
      </w:r>
    </w:p>
    <w:p>
      <w:pPr>
        <w:pStyle w:val="BodyText"/>
        <w:spacing w:line="300" w:lineRule="exact"/>
        <w:ind w:left="566"/>
      </w:pPr>
      <w:r>
        <w:rPr>
          <w:color w:val="231F20"/>
        </w:rPr>
        <w:t>Termination</w:t>
      </w:r>
      <w:r>
        <w:rPr>
          <w:color w:val="231F20"/>
          <w:spacing w:val="-9"/>
        </w:rPr>
        <w:t> </w:t>
      </w:r>
      <w:r>
        <w:rPr>
          <w:color w:val="231F20"/>
        </w:rPr>
        <w:t>benefits</w:t>
      </w:r>
      <w:r>
        <w:rPr>
          <w:color w:val="231F20"/>
          <w:spacing w:val="-8"/>
        </w:rPr>
        <w:t> </w:t>
      </w:r>
      <w:r>
        <w:rPr>
          <w:color w:val="231F20"/>
        </w:rPr>
        <w:t>are</w:t>
      </w:r>
      <w:r>
        <w:rPr>
          <w:color w:val="231F20"/>
          <w:spacing w:val="-8"/>
        </w:rPr>
        <w:t> </w:t>
      </w:r>
      <w:r>
        <w:rPr>
          <w:color w:val="231F20"/>
        </w:rPr>
        <w:t>amounts</w:t>
      </w:r>
      <w:r>
        <w:rPr>
          <w:color w:val="231F20"/>
          <w:spacing w:val="-8"/>
        </w:rPr>
        <w:t> </w:t>
      </w:r>
      <w:r>
        <w:rPr>
          <w:color w:val="231F20"/>
          <w:spacing w:val="-2"/>
        </w:rPr>
        <w:t>payable</w:t>
      </w:r>
    </w:p>
    <w:p>
      <w:pPr>
        <w:pStyle w:val="BodyText"/>
        <w:spacing w:line="225" w:lineRule="auto" w:before="6"/>
        <w:ind w:left="566" w:right="240"/>
      </w:pPr>
      <w:r>
        <w:rPr>
          <w:color w:val="231F20"/>
        </w:rPr>
        <w:t>as a result of a decision by the Council to terminate an officer’s employment before the normal retirement date or an officer’s decision to accept voluntary redundancy in exchange for those benefits. These are charged on an accruals</w:t>
      </w:r>
      <w:r>
        <w:rPr>
          <w:color w:val="231F20"/>
          <w:spacing w:val="-5"/>
        </w:rPr>
        <w:t> </w:t>
      </w:r>
      <w:r>
        <w:rPr>
          <w:color w:val="231F20"/>
        </w:rPr>
        <w:t>basis</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Non</w:t>
      </w:r>
      <w:r>
        <w:rPr>
          <w:color w:val="231F20"/>
          <w:spacing w:val="-5"/>
        </w:rPr>
        <w:t> </w:t>
      </w:r>
      <w:r>
        <w:rPr>
          <w:color w:val="231F20"/>
        </w:rPr>
        <w:t>Distributed</w:t>
      </w:r>
      <w:r>
        <w:rPr>
          <w:color w:val="231F20"/>
          <w:spacing w:val="-6"/>
        </w:rPr>
        <w:t> </w:t>
      </w:r>
      <w:r>
        <w:rPr>
          <w:color w:val="231F20"/>
        </w:rPr>
        <w:t>Costs</w:t>
      </w:r>
      <w:r>
        <w:rPr>
          <w:color w:val="231F20"/>
          <w:spacing w:val="-6"/>
        </w:rPr>
        <w:t> </w:t>
      </w:r>
      <w:r>
        <w:rPr>
          <w:color w:val="231F20"/>
        </w:rPr>
        <w:t>line in</w:t>
      </w:r>
      <w:r>
        <w:rPr>
          <w:color w:val="231F20"/>
          <w:spacing w:val="-3"/>
        </w:rPr>
        <w:t> </w:t>
      </w:r>
      <w:r>
        <w:rPr>
          <w:color w:val="231F20"/>
        </w:rPr>
        <w:t>the</w:t>
      </w:r>
      <w:r>
        <w:rPr>
          <w:color w:val="231F20"/>
          <w:spacing w:val="-2"/>
        </w:rPr>
        <w:t> </w:t>
      </w:r>
      <w:r>
        <w:rPr>
          <w:color w:val="231F20"/>
        </w:rPr>
        <w:t>Comprehensive</w:t>
      </w:r>
      <w:r>
        <w:rPr>
          <w:color w:val="231F20"/>
          <w:spacing w:val="-3"/>
        </w:rPr>
        <w:t> </w:t>
      </w:r>
      <w:r>
        <w:rPr>
          <w:color w:val="231F20"/>
        </w:rPr>
        <w:t>Income</w:t>
      </w:r>
      <w:r>
        <w:rPr>
          <w:color w:val="231F20"/>
          <w:spacing w:val="-3"/>
        </w:rPr>
        <w:t> </w:t>
      </w:r>
      <w:r>
        <w:rPr>
          <w:color w:val="231F20"/>
        </w:rPr>
        <w:t>and</w:t>
      </w:r>
      <w:r>
        <w:rPr>
          <w:color w:val="231F20"/>
          <w:spacing w:val="-2"/>
        </w:rPr>
        <w:t> </w:t>
      </w:r>
      <w:r>
        <w:rPr>
          <w:color w:val="231F20"/>
        </w:rPr>
        <w:t>Expenditure Statement when the Council can no longer</w:t>
      </w:r>
    </w:p>
    <w:p>
      <w:pPr>
        <w:pStyle w:val="BodyText"/>
        <w:spacing w:line="294" w:lineRule="exact"/>
        <w:ind w:left="566"/>
      </w:pPr>
      <w:r>
        <w:rPr>
          <w:color w:val="231F20"/>
        </w:rPr>
        <w:t>withdraw</w:t>
      </w:r>
      <w:r>
        <w:rPr>
          <w:color w:val="231F20"/>
          <w:spacing w:val="-2"/>
        </w:rPr>
        <w:t> </w:t>
      </w:r>
      <w:r>
        <w:rPr>
          <w:color w:val="231F20"/>
        </w:rPr>
        <w:t>the</w:t>
      </w:r>
      <w:r>
        <w:rPr>
          <w:color w:val="231F20"/>
          <w:spacing w:val="-2"/>
        </w:rPr>
        <w:t> </w:t>
      </w:r>
      <w:r>
        <w:rPr>
          <w:color w:val="231F20"/>
        </w:rPr>
        <w:t>offer</w:t>
      </w:r>
      <w:r>
        <w:rPr>
          <w:color w:val="231F20"/>
          <w:spacing w:val="-2"/>
        </w:rPr>
        <w:t> </w:t>
      </w:r>
      <w:r>
        <w:rPr>
          <w:color w:val="231F20"/>
        </w:rPr>
        <w:t>of</w:t>
      </w:r>
      <w:r>
        <w:rPr>
          <w:color w:val="231F20"/>
          <w:spacing w:val="-1"/>
        </w:rPr>
        <w:t> </w:t>
      </w:r>
      <w:r>
        <w:rPr>
          <w:color w:val="231F20"/>
        </w:rPr>
        <w:t>those</w:t>
      </w:r>
      <w:r>
        <w:rPr>
          <w:color w:val="231F20"/>
          <w:spacing w:val="-2"/>
        </w:rPr>
        <w:t> </w:t>
      </w:r>
      <w:r>
        <w:rPr>
          <w:color w:val="231F20"/>
        </w:rPr>
        <w:t>benefits</w:t>
      </w:r>
      <w:r>
        <w:rPr>
          <w:color w:val="231F20"/>
          <w:spacing w:val="-2"/>
        </w:rPr>
        <w:t> </w:t>
      </w:r>
      <w:r>
        <w:rPr>
          <w:color w:val="231F20"/>
        </w:rPr>
        <w:t>or</w:t>
      </w:r>
      <w:r>
        <w:rPr>
          <w:color w:val="231F20"/>
          <w:spacing w:val="-1"/>
        </w:rPr>
        <w:t> </w:t>
      </w:r>
      <w:r>
        <w:rPr>
          <w:color w:val="231F20"/>
        </w:rPr>
        <w:t>when</w:t>
      </w:r>
      <w:r>
        <w:rPr>
          <w:color w:val="231F20"/>
          <w:spacing w:val="-2"/>
        </w:rPr>
        <w:t> </w:t>
      </w:r>
      <w:r>
        <w:rPr>
          <w:color w:val="231F20"/>
          <w:spacing w:val="-5"/>
        </w:rPr>
        <w:t>the</w:t>
      </w:r>
    </w:p>
    <w:p>
      <w:pPr>
        <w:pStyle w:val="BodyText"/>
        <w:spacing w:line="310" w:lineRule="exact"/>
        <w:ind w:left="566"/>
      </w:pPr>
      <w:r>
        <w:rPr>
          <w:color w:val="231F20"/>
        </w:rPr>
        <w:t>Council</w:t>
      </w:r>
      <w:r>
        <w:rPr>
          <w:color w:val="231F20"/>
          <w:spacing w:val="-3"/>
        </w:rPr>
        <w:t> </w:t>
      </w:r>
      <w:r>
        <w:rPr>
          <w:color w:val="231F20"/>
        </w:rPr>
        <w:t>recognises</w:t>
      </w:r>
      <w:r>
        <w:rPr>
          <w:color w:val="231F20"/>
          <w:spacing w:val="-1"/>
        </w:rPr>
        <w:t> </w:t>
      </w:r>
      <w:r>
        <w:rPr>
          <w:color w:val="231F20"/>
        </w:rPr>
        <w:t>costs</w:t>
      </w:r>
      <w:r>
        <w:rPr>
          <w:color w:val="231F20"/>
          <w:spacing w:val="-1"/>
        </w:rPr>
        <w:t> </w:t>
      </w:r>
      <w:r>
        <w:rPr>
          <w:color w:val="231F20"/>
        </w:rPr>
        <w:t>for</w:t>
      </w:r>
      <w:r>
        <w:rPr>
          <w:color w:val="231F20"/>
          <w:spacing w:val="-1"/>
        </w:rPr>
        <w:t> </w:t>
      </w:r>
      <w:r>
        <w:rPr>
          <w:color w:val="231F20"/>
        </w:rPr>
        <w:t>a</w:t>
      </w:r>
      <w:r>
        <w:rPr>
          <w:color w:val="231F20"/>
          <w:spacing w:val="-1"/>
        </w:rPr>
        <w:t> </w:t>
      </w:r>
      <w:r>
        <w:rPr>
          <w:color w:val="231F20"/>
          <w:spacing w:val="-2"/>
        </w:rPr>
        <w:t>restructuring.</w:t>
      </w:r>
    </w:p>
    <w:p>
      <w:pPr>
        <w:pStyle w:val="BodyText"/>
        <w:spacing w:before="3"/>
        <w:rPr>
          <w:sz w:val="22"/>
        </w:rPr>
      </w:pPr>
    </w:p>
    <w:p>
      <w:pPr>
        <w:pStyle w:val="BodyText"/>
        <w:spacing w:line="225" w:lineRule="auto" w:before="1"/>
        <w:ind w:left="566" w:right="148"/>
      </w:pPr>
      <w:r>
        <w:rPr>
          <w:color w:val="231F20"/>
        </w:rPr>
        <w:t>Where termination benefits involve the enhancement of pensions, statutory provisions require</w:t>
      </w:r>
      <w:r>
        <w:rPr>
          <w:color w:val="231F20"/>
          <w:spacing w:val="-1"/>
        </w:rPr>
        <w:t> </w:t>
      </w:r>
      <w:r>
        <w:rPr>
          <w:color w:val="231F20"/>
        </w:rPr>
        <w:t>the</w:t>
      </w:r>
      <w:r>
        <w:rPr>
          <w:color w:val="231F20"/>
          <w:spacing w:val="-1"/>
        </w:rPr>
        <w:t> </w:t>
      </w:r>
      <w:r>
        <w:rPr>
          <w:color w:val="231F20"/>
        </w:rPr>
        <w:t>General</w:t>
      </w:r>
      <w:r>
        <w:rPr>
          <w:color w:val="231F20"/>
          <w:spacing w:val="-1"/>
        </w:rPr>
        <w:t> </w:t>
      </w:r>
      <w:r>
        <w:rPr>
          <w:color w:val="231F20"/>
        </w:rPr>
        <w:t>Fund</w:t>
      </w:r>
      <w:r>
        <w:rPr>
          <w:color w:val="231F20"/>
          <w:spacing w:val="-2"/>
        </w:rPr>
        <w:t> </w:t>
      </w:r>
      <w:r>
        <w:rPr>
          <w:color w:val="231F20"/>
        </w:rPr>
        <w:t>Balance</w:t>
      </w:r>
      <w:r>
        <w:rPr>
          <w:color w:val="231F20"/>
          <w:spacing w:val="-2"/>
        </w:rPr>
        <w:t> </w:t>
      </w:r>
      <w:r>
        <w:rPr>
          <w:color w:val="231F20"/>
        </w:rPr>
        <w:t>to</w:t>
      </w:r>
      <w:r>
        <w:rPr>
          <w:color w:val="231F20"/>
          <w:spacing w:val="-1"/>
        </w:rPr>
        <w:t> </w:t>
      </w:r>
      <w:r>
        <w:rPr>
          <w:color w:val="231F20"/>
        </w:rPr>
        <w:t>be</w:t>
      </w:r>
      <w:r>
        <w:rPr>
          <w:color w:val="231F20"/>
          <w:spacing w:val="-1"/>
        </w:rPr>
        <w:t> </w:t>
      </w:r>
      <w:r>
        <w:rPr>
          <w:color w:val="231F20"/>
        </w:rPr>
        <w:t>charged with the amount payable by the Council to the pension fund or pensioner in the year, not the amount calculated according to the relevant accounting standards. In the Movement in Reserves</w:t>
      </w:r>
      <w:r>
        <w:rPr>
          <w:color w:val="231F20"/>
          <w:spacing w:val="-12"/>
        </w:rPr>
        <w:t> </w:t>
      </w:r>
      <w:r>
        <w:rPr>
          <w:color w:val="231F20"/>
        </w:rPr>
        <w:t>Statement,</w:t>
      </w:r>
      <w:r>
        <w:rPr>
          <w:color w:val="231F20"/>
          <w:spacing w:val="-12"/>
        </w:rPr>
        <w:t> </w:t>
      </w:r>
      <w:r>
        <w:rPr>
          <w:color w:val="231F20"/>
        </w:rPr>
        <w:t>appropriations</w:t>
      </w:r>
      <w:r>
        <w:rPr>
          <w:color w:val="231F20"/>
          <w:spacing w:val="-12"/>
        </w:rPr>
        <w:t> </w:t>
      </w:r>
      <w:r>
        <w:rPr>
          <w:color w:val="231F20"/>
        </w:rPr>
        <w:t>are</w:t>
      </w:r>
      <w:r>
        <w:rPr>
          <w:color w:val="231F20"/>
          <w:spacing w:val="-12"/>
        </w:rPr>
        <w:t> </w:t>
      </w:r>
      <w:r>
        <w:rPr>
          <w:color w:val="231F20"/>
        </w:rPr>
        <w:t>required to and from the Pensions Reserve to remove</w:t>
      </w:r>
      <w:r>
        <w:rPr>
          <w:color w:val="231F20"/>
          <w:spacing w:val="40"/>
        </w:rPr>
        <w:t> </w:t>
      </w:r>
      <w:r>
        <w:rPr>
          <w:color w:val="231F20"/>
        </w:rPr>
        <w:t>the notional debits and credits for pension enhancement termination benefits and replace</w:t>
      </w:r>
    </w:p>
    <w:p>
      <w:pPr>
        <w:pStyle w:val="BodyText"/>
        <w:spacing w:line="303" w:lineRule="exact"/>
        <w:ind w:left="566"/>
      </w:pPr>
      <w:r>
        <w:rPr>
          <w:color w:val="231F20"/>
        </w:rPr>
        <w:t>them with debits for the cash paid to the </w:t>
      </w:r>
      <w:r>
        <w:rPr>
          <w:color w:val="231F20"/>
          <w:spacing w:val="-2"/>
        </w:rPr>
        <w:t>pension</w:t>
      </w:r>
    </w:p>
    <w:p>
      <w:pPr>
        <w:pStyle w:val="BodyText"/>
        <w:spacing w:line="225" w:lineRule="auto" w:before="115"/>
        <w:ind w:left="267" w:right="432"/>
      </w:pPr>
      <w:r>
        <w:rPr/>
        <w:br w:type="column"/>
      </w:r>
      <w:r>
        <w:rPr>
          <w:color w:val="231F20"/>
        </w:rPr>
        <w:t>fund</w:t>
      </w:r>
      <w:r>
        <w:rPr>
          <w:color w:val="231F20"/>
          <w:spacing w:val="-6"/>
        </w:rPr>
        <w:t> </w:t>
      </w:r>
      <w:r>
        <w:rPr>
          <w:color w:val="231F20"/>
        </w:rPr>
        <w:t>and</w:t>
      </w:r>
      <w:r>
        <w:rPr>
          <w:color w:val="231F20"/>
          <w:spacing w:val="-6"/>
        </w:rPr>
        <w:t> </w:t>
      </w:r>
      <w:r>
        <w:rPr>
          <w:color w:val="231F20"/>
        </w:rPr>
        <w:t>pensioners</w:t>
      </w:r>
      <w:r>
        <w:rPr>
          <w:color w:val="231F20"/>
          <w:spacing w:val="-6"/>
        </w:rPr>
        <w:t> </w:t>
      </w:r>
      <w:r>
        <w:rPr>
          <w:color w:val="231F20"/>
        </w:rPr>
        <w:t>and</w:t>
      </w:r>
      <w:r>
        <w:rPr>
          <w:color w:val="231F20"/>
          <w:spacing w:val="-6"/>
        </w:rPr>
        <w:t> </w:t>
      </w:r>
      <w:r>
        <w:rPr>
          <w:color w:val="231F20"/>
        </w:rPr>
        <w:t>any</w:t>
      </w:r>
      <w:r>
        <w:rPr>
          <w:color w:val="231F20"/>
          <w:spacing w:val="-6"/>
        </w:rPr>
        <w:t> </w:t>
      </w:r>
      <w:r>
        <w:rPr>
          <w:color w:val="231F20"/>
        </w:rPr>
        <w:t>such</w:t>
      </w:r>
      <w:r>
        <w:rPr>
          <w:color w:val="231F20"/>
          <w:spacing w:val="-7"/>
        </w:rPr>
        <w:t> </w:t>
      </w:r>
      <w:r>
        <w:rPr>
          <w:color w:val="231F20"/>
        </w:rPr>
        <w:t>amounts payable but unpaid at the year-end.</w:t>
      </w:r>
    </w:p>
    <w:p>
      <w:pPr>
        <w:pStyle w:val="Heading4"/>
        <w:numPr>
          <w:ilvl w:val="0"/>
          <w:numId w:val="13"/>
        </w:numPr>
        <w:tabs>
          <w:tab w:pos="514" w:val="left" w:leader="none"/>
        </w:tabs>
        <w:spacing w:line="310" w:lineRule="exact" w:before="285" w:after="0"/>
        <w:ind w:left="513" w:right="0" w:hanging="247"/>
        <w:jc w:val="left"/>
      </w:pPr>
      <w:r>
        <w:rPr>
          <w:color w:val="3B5673"/>
        </w:rPr>
        <w:t>Post</w:t>
      </w:r>
      <w:r>
        <w:rPr>
          <w:color w:val="3B5673"/>
          <w:spacing w:val="-11"/>
        </w:rPr>
        <w:t> </w:t>
      </w:r>
      <w:r>
        <w:rPr>
          <w:color w:val="3B5673"/>
        </w:rPr>
        <w:t>Employment</w:t>
      </w:r>
      <w:r>
        <w:rPr>
          <w:color w:val="3B5673"/>
          <w:spacing w:val="-10"/>
        </w:rPr>
        <w:t> </w:t>
      </w:r>
      <w:r>
        <w:rPr>
          <w:color w:val="3B5673"/>
          <w:spacing w:val="-2"/>
        </w:rPr>
        <w:t>Benefits</w:t>
      </w:r>
    </w:p>
    <w:p>
      <w:pPr>
        <w:pStyle w:val="BodyText"/>
        <w:spacing w:line="225" w:lineRule="auto" w:before="6"/>
        <w:ind w:left="267" w:right="755"/>
      </w:pPr>
      <w:r>
        <w:rPr>
          <w:color w:val="231F20"/>
        </w:rPr>
        <w:t>Most employees of the Council contribute to the Nottinghamshire Pension Fund, the Local Government</w:t>
      </w:r>
      <w:r>
        <w:rPr>
          <w:color w:val="231F20"/>
          <w:spacing w:val="-11"/>
        </w:rPr>
        <w:t> </w:t>
      </w:r>
      <w:r>
        <w:rPr>
          <w:color w:val="231F20"/>
        </w:rPr>
        <w:t>Pension</w:t>
      </w:r>
      <w:r>
        <w:rPr>
          <w:color w:val="231F20"/>
          <w:spacing w:val="-11"/>
        </w:rPr>
        <w:t> </w:t>
      </w:r>
      <w:r>
        <w:rPr>
          <w:color w:val="231F20"/>
        </w:rPr>
        <w:t>Scheme</w:t>
      </w:r>
      <w:r>
        <w:rPr>
          <w:color w:val="231F20"/>
          <w:spacing w:val="-12"/>
        </w:rPr>
        <w:t> </w:t>
      </w:r>
      <w:r>
        <w:rPr>
          <w:color w:val="231F20"/>
        </w:rPr>
        <w:t>administered</w:t>
      </w:r>
      <w:r>
        <w:rPr>
          <w:color w:val="231F20"/>
          <w:spacing w:val="-11"/>
        </w:rPr>
        <w:t> </w:t>
      </w:r>
      <w:r>
        <w:rPr>
          <w:color w:val="231F20"/>
        </w:rPr>
        <w:t>by Nottinghamshire</w:t>
      </w:r>
      <w:r>
        <w:rPr>
          <w:color w:val="231F20"/>
          <w:spacing w:val="-1"/>
        </w:rPr>
        <w:t> </w:t>
      </w:r>
      <w:r>
        <w:rPr>
          <w:color w:val="231F20"/>
        </w:rPr>
        <w:t>County</w:t>
      </w:r>
      <w:r>
        <w:rPr>
          <w:color w:val="231F20"/>
          <w:spacing w:val="-2"/>
        </w:rPr>
        <w:t> </w:t>
      </w:r>
      <w:r>
        <w:rPr>
          <w:color w:val="231F20"/>
        </w:rPr>
        <w:t>Council.</w:t>
      </w:r>
      <w:r>
        <w:rPr>
          <w:color w:val="231F20"/>
          <w:spacing w:val="-2"/>
        </w:rPr>
        <w:t> </w:t>
      </w:r>
      <w:r>
        <w:rPr>
          <w:color w:val="231F20"/>
        </w:rPr>
        <w:t>The</w:t>
      </w:r>
      <w:r>
        <w:rPr>
          <w:color w:val="231F20"/>
          <w:spacing w:val="-1"/>
        </w:rPr>
        <w:t> </w:t>
      </w:r>
      <w:r>
        <w:rPr>
          <w:color w:val="231F20"/>
        </w:rPr>
        <w:t>scheme</w:t>
      </w:r>
    </w:p>
    <w:p>
      <w:pPr>
        <w:pStyle w:val="BodyText"/>
        <w:spacing w:line="225" w:lineRule="auto"/>
        <w:ind w:left="267" w:right="657"/>
        <w:jc w:val="both"/>
      </w:pPr>
      <w:r>
        <w:rPr>
          <w:color w:val="231F20"/>
        </w:rPr>
        <w:t>provides</w:t>
      </w:r>
      <w:r>
        <w:rPr>
          <w:color w:val="231F20"/>
          <w:spacing w:val="-7"/>
        </w:rPr>
        <w:t> </w:t>
      </w:r>
      <w:r>
        <w:rPr>
          <w:color w:val="231F20"/>
        </w:rPr>
        <w:t>defined</w:t>
      </w:r>
      <w:r>
        <w:rPr>
          <w:color w:val="231F20"/>
          <w:spacing w:val="-7"/>
        </w:rPr>
        <w:t> </w:t>
      </w:r>
      <w:r>
        <w:rPr>
          <w:color w:val="231F20"/>
        </w:rPr>
        <w:t>benefits</w:t>
      </w:r>
      <w:r>
        <w:rPr>
          <w:color w:val="231F20"/>
          <w:spacing w:val="-7"/>
        </w:rPr>
        <w:t> </w:t>
      </w:r>
      <w:r>
        <w:rPr>
          <w:color w:val="231F20"/>
        </w:rPr>
        <w:t>(retirement</w:t>
      </w:r>
      <w:r>
        <w:rPr>
          <w:color w:val="231F20"/>
          <w:spacing w:val="-7"/>
        </w:rPr>
        <w:t> </w:t>
      </w:r>
      <w:r>
        <w:rPr>
          <w:color w:val="231F20"/>
        </w:rPr>
        <w:t>lump</w:t>
      </w:r>
      <w:r>
        <w:rPr>
          <w:color w:val="231F20"/>
          <w:spacing w:val="-8"/>
        </w:rPr>
        <w:t> </w:t>
      </w:r>
      <w:r>
        <w:rPr>
          <w:color w:val="231F20"/>
        </w:rPr>
        <w:t>sums and</w:t>
      </w:r>
      <w:r>
        <w:rPr>
          <w:color w:val="231F20"/>
          <w:spacing w:val="-2"/>
        </w:rPr>
        <w:t> </w:t>
      </w:r>
      <w:r>
        <w:rPr>
          <w:color w:val="231F20"/>
        </w:rPr>
        <w:t>pensions)</w:t>
      </w:r>
      <w:r>
        <w:rPr>
          <w:color w:val="231F20"/>
          <w:spacing w:val="-2"/>
        </w:rPr>
        <w:t> </w:t>
      </w:r>
      <w:r>
        <w:rPr>
          <w:color w:val="231F20"/>
        </w:rPr>
        <w:t>earned</w:t>
      </w:r>
      <w:r>
        <w:rPr>
          <w:color w:val="231F20"/>
          <w:spacing w:val="-2"/>
        </w:rPr>
        <w:t> </w:t>
      </w:r>
      <w:r>
        <w:rPr>
          <w:color w:val="231F20"/>
        </w:rPr>
        <w:t>as</w:t>
      </w:r>
      <w:r>
        <w:rPr>
          <w:color w:val="231F20"/>
          <w:spacing w:val="-2"/>
        </w:rPr>
        <w:t> </w:t>
      </w:r>
      <w:r>
        <w:rPr>
          <w:color w:val="231F20"/>
        </w:rPr>
        <w:t>employees</w:t>
      </w:r>
      <w:r>
        <w:rPr>
          <w:color w:val="231F20"/>
          <w:spacing w:val="-2"/>
        </w:rPr>
        <w:t> </w:t>
      </w:r>
      <w:r>
        <w:rPr>
          <w:color w:val="231F20"/>
        </w:rPr>
        <w:t>work</w:t>
      </w:r>
      <w:r>
        <w:rPr>
          <w:color w:val="231F20"/>
          <w:spacing w:val="-2"/>
        </w:rPr>
        <w:t> </w:t>
      </w:r>
      <w:r>
        <w:rPr>
          <w:color w:val="231F20"/>
        </w:rPr>
        <w:t>for</w:t>
      </w:r>
      <w:r>
        <w:rPr>
          <w:color w:val="231F20"/>
          <w:spacing w:val="-2"/>
        </w:rPr>
        <w:t> </w:t>
      </w:r>
      <w:r>
        <w:rPr>
          <w:color w:val="231F20"/>
        </w:rPr>
        <w:t>the </w:t>
      </w:r>
      <w:r>
        <w:rPr>
          <w:color w:val="231F20"/>
          <w:spacing w:val="-2"/>
        </w:rPr>
        <w:t>Council.</w:t>
      </w:r>
    </w:p>
    <w:p>
      <w:pPr>
        <w:pStyle w:val="BodyText"/>
        <w:spacing w:line="310" w:lineRule="exact" w:before="284"/>
        <w:ind w:left="267"/>
      </w:pPr>
      <w:r>
        <w:rPr>
          <w:color w:val="231F20"/>
        </w:rPr>
        <w:t>The</w:t>
      </w:r>
      <w:r>
        <w:rPr>
          <w:color w:val="231F20"/>
          <w:spacing w:val="-8"/>
        </w:rPr>
        <w:t> </w:t>
      </w:r>
      <w:r>
        <w:rPr>
          <w:color w:val="231F20"/>
        </w:rPr>
        <w:t>Nottinghamshire</w:t>
      </w:r>
      <w:r>
        <w:rPr>
          <w:color w:val="231F20"/>
          <w:spacing w:val="-6"/>
        </w:rPr>
        <w:t> </w:t>
      </w:r>
      <w:r>
        <w:rPr>
          <w:color w:val="231F20"/>
        </w:rPr>
        <w:t>Pension</w:t>
      </w:r>
      <w:r>
        <w:rPr>
          <w:color w:val="231F20"/>
          <w:spacing w:val="-5"/>
        </w:rPr>
        <w:t> </w:t>
      </w:r>
      <w:r>
        <w:rPr>
          <w:color w:val="231F20"/>
        </w:rPr>
        <w:t>Fund</w:t>
      </w:r>
      <w:r>
        <w:rPr>
          <w:color w:val="231F20"/>
          <w:spacing w:val="-7"/>
        </w:rPr>
        <w:t> </w:t>
      </w:r>
      <w:r>
        <w:rPr>
          <w:color w:val="231F20"/>
        </w:rPr>
        <w:t>is</w:t>
      </w:r>
      <w:r>
        <w:rPr>
          <w:color w:val="231F20"/>
          <w:spacing w:val="-6"/>
        </w:rPr>
        <w:t> </w:t>
      </w:r>
      <w:r>
        <w:rPr>
          <w:color w:val="231F20"/>
          <w:spacing w:val="-2"/>
        </w:rPr>
        <w:t>accounted</w:t>
      </w:r>
    </w:p>
    <w:p>
      <w:pPr>
        <w:pStyle w:val="BodyText"/>
        <w:spacing w:line="300" w:lineRule="exact"/>
        <w:ind w:left="267"/>
      </w:pPr>
      <w:r>
        <w:rPr>
          <w:color w:val="231F20"/>
        </w:rPr>
        <w:t>for</w:t>
      </w:r>
      <w:r>
        <w:rPr>
          <w:color w:val="231F20"/>
          <w:spacing w:val="-4"/>
        </w:rPr>
        <w:t> </w:t>
      </w:r>
      <w:r>
        <w:rPr>
          <w:color w:val="231F20"/>
        </w:rPr>
        <w:t>as</w:t>
      </w:r>
      <w:r>
        <w:rPr>
          <w:color w:val="231F20"/>
          <w:spacing w:val="-3"/>
        </w:rPr>
        <w:t> </w:t>
      </w:r>
      <w:r>
        <w:rPr>
          <w:color w:val="231F20"/>
        </w:rPr>
        <w:t>a</w:t>
      </w:r>
      <w:r>
        <w:rPr>
          <w:color w:val="231F20"/>
          <w:spacing w:val="-3"/>
        </w:rPr>
        <w:t> </w:t>
      </w:r>
      <w:r>
        <w:rPr>
          <w:color w:val="231F20"/>
        </w:rPr>
        <w:t>defined</w:t>
      </w:r>
      <w:r>
        <w:rPr>
          <w:color w:val="231F20"/>
          <w:spacing w:val="-3"/>
        </w:rPr>
        <w:t> </w:t>
      </w:r>
      <w:r>
        <w:rPr>
          <w:color w:val="231F20"/>
        </w:rPr>
        <w:t>benefit</w:t>
      </w:r>
      <w:r>
        <w:rPr>
          <w:color w:val="231F20"/>
          <w:spacing w:val="-3"/>
        </w:rPr>
        <w:t> </w:t>
      </w:r>
      <w:r>
        <w:rPr>
          <w:color w:val="231F20"/>
          <w:spacing w:val="-2"/>
        </w:rPr>
        <w:t>scheme:</w:t>
      </w:r>
    </w:p>
    <w:p>
      <w:pPr>
        <w:pStyle w:val="ListParagraph"/>
        <w:numPr>
          <w:ilvl w:val="1"/>
          <w:numId w:val="11"/>
        </w:numPr>
        <w:tabs>
          <w:tab w:pos="438" w:val="left" w:leader="none"/>
        </w:tabs>
        <w:spacing w:line="225" w:lineRule="auto" w:before="6" w:after="0"/>
        <w:ind w:left="437" w:right="647" w:hanging="171"/>
        <w:jc w:val="left"/>
        <w:rPr>
          <w:sz w:val="24"/>
        </w:rPr>
      </w:pPr>
      <w:r>
        <w:rPr>
          <w:color w:val="231F20"/>
          <w:sz w:val="24"/>
        </w:rPr>
        <w:t>The</w:t>
      </w:r>
      <w:r>
        <w:rPr>
          <w:color w:val="231F20"/>
          <w:spacing w:val="-9"/>
          <w:sz w:val="24"/>
        </w:rPr>
        <w:t> </w:t>
      </w:r>
      <w:r>
        <w:rPr>
          <w:color w:val="231F20"/>
          <w:sz w:val="24"/>
        </w:rPr>
        <w:t>liabilities</w:t>
      </w:r>
      <w:r>
        <w:rPr>
          <w:color w:val="231F20"/>
          <w:spacing w:val="-10"/>
          <w:sz w:val="24"/>
        </w:rPr>
        <w:t> </w:t>
      </w:r>
      <w:r>
        <w:rPr>
          <w:color w:val="231F20"/>
          <w:sz w:val="24"/>
        </w:rPr>
        <w:t>of</w:t>
      </w:r>
      <w:r>
        <w:rPr>
          <w:color w:val="231F20"/>
          <w:spacing w:val="-9"/>
          <w:sz w:val="24"/>
        </w:rPr>
        <w:t> </w:t>
      </w:r>
      <w:r>
        <w:rPr>
          <w:color w:val="231F20"/>
          <w:sz w:val="24"/>
        </w:rPr>
        <w:t>Nottinghamshire</w:t>
      </w:r>
      <w:r>
        <w:rPr>
          <w:color w:val="231F20"/>
          <w:spacing w:val="-9"/>
          <w:sz w:val="24"/>
        </w:rPr>
        <w:t> </w:t>
      </w:r>
      <w:r>
        <w:rPr>
          <w:color w:val="231F20"/>
          <w:sz w:val="24"/>
        </w:rPr>
        <w:t>Pension</w:t>
      </w:r>
      <w:r>
        <w:rPr>
          <w:color w:val="231F20"/>
          <w:spacing w:val="-9"/>
          <w:sz w:val="24"/>
        </w:rPr>
        <w:t> </w:t>
      </w:r>
      <w:r>
        <w:rPr>
          <w:color w:val="231F20"/>
          <w:sz w:val="24"/>
        </w:rPr>
        <w:t>Fund attributable to the Council are included in</w:t>
      </w:r>
    </w:p>
    <w:p>
      <w:pPr>
        <w:pStyle w:val="BodyText"/>
        <w:spacing w:line="225" w:lineRule="auto"/>
        <w:ind w:left="437" w:right="648"/>
      </w:pPr>
      <w:r>
        <w:rPr/>
        <w:pict>
          <v:group style="position:absolute;margin-left:578.504028pt;margin-top:31.309776pt;width:16.8pt;height:192.8pt;mso-position-horizontal-relative:page;mso-position-vertical-relative:paragraph;z-index:15765504" id="docshapegroup303" coordorigin="11570,626" coordsize="336,3856">
            <v:rect style="position:absolute;left:11570;top:3517;width:336;height:964" id="docshape304" filled="true" fillcolor="#f15d6b" stroked="false">
              <v:fill type="solid"/>
            </v:rect>
            <v:rect style="position:absolute;left:11570;top:2553;width:336;height:964" id="docshape305" filled="true" fillcolor="#fbac42" stroked="false">
              <v:fill type="solid"/>
            </v:rect>
            <v:rect style="position:absolute;left:11570;top:1589;width:336;height:964" id="docshape306" filled="true" fillcolor="#b78fc1" stroked="false">
              <v:fill type="solid"/>
            </v:rect>
            <v:rect style="position:absolute;left:11570;top:626;width:336;height:964" id="docshape307" filled="true" fillcolor="#378372" stroked="false">
              <v:fill type="solid"/>
            </v:rect>
            <w10:wrap type="none"/>
          </v:group>
        </w:pict>
      </w:r>
      <w:r>
        <w:rPr>
          <w:color w:val="231F20"/>
        </w:rPr>
        <w:t>the Balance Sheet on an actuarial basis using the projected unit method, i.e. an assessment of the future payments that will be made in relation to retirement benefits earned to date by</w:t>
      </w:r>
      <w:r>
        <w:rPr>
          <w:color w:val="231F20"/>
          <w:spacing w:val="-7"/>
        </w:rPr>
        <w:t> </w:t>
      </w:r>
      <w:r>
        <w:rPr>
          <w:color w:val="231F20"/>
        </w:rPr>
        <w:t>employees,</w:t>
      </w:r>
      <w:r>
        <w:rPr>
          <w:color w:val="231F20"/>
          <w:spacing w:val="-7"/>
        </w:rPr>
        <w:t> </w:t>
      </w:r>
      <w:r>
        <w:rPr>
          <w:color w:val="231F20"/>
        </w:rPr>
        <w:t>based</w:t>
      </w:r>
      <w:r>
        <w:rPr>
          <w:color w:val="231F20"/>
          <w:spacing w:val="-7"/>
        </w:rPr>
        <w:t> </w:t>
      </w:r>
      <w:r>
        <w:rPr>
          <w:color w:val="231F20"/>
        </w:rPr>
        <w:t>on</w:t>
      </w:r>
      <w:r>
        <w:rPr>
          <w:color w:val="231F20"/>
          <w:spacing w:val="-7"/>
        </w:rPr>
        <w:t> </w:t>
      </w:r>
      <w:r>
        <w:rPr>
          <w:color w:val="231F20"/>
        </w:rPr>
        <w:t>assumptions</w:t>
      </w:r>
      <w:r>
        <w:rPr>
          <w:color w:val="231F20"/>
          <w:spacing w:val="-7"/>
        </w:rPr>
        <w:t> </w:t>
      </w:r>
      <w:r>
        <w:rPr>
          <w:color w:val="231F20"/>
        </w:rPr>
        <w:t>including mortality rates, employee turnover rates and projections of projected earnings for current </w:t>
      </w:r>
      <w:r>
        <w:rPr>
          <w:color w:val="231F20"/>
          <w:spacing w:val="-2"/>
        </w:rPr>
        <w:t>employees.</w:t>
      </w:r>
    </w:p>
    <w:p>
      <w:pPr>
        <w:pStyle w:val="ListParagraph"/>
        <w:numPr>
          <w:ilvl w:val="1"/>
          <w:numId w:val="11"/>
        </w:numPr>
        <w:tabs>
          <w:tab w:pos="438" w:val="left" w:leader="none"/>
        </w:tabs>
        <w:spacing w:line="225" w:lineRule="auto" w:before="56" w:after="0"/>
        <w:ind w:left="437" w:right="877" w:hanging="171"/>
        <w:jc w:val="left"/>
        <w:rPr>
          <w:sz w:val="24"/>
        </w:rPr>
      </w:pPr>
      <w:r>
        <w:rPr>
          <w:color w:val="231F20"/>
          <w:sz w:val="24"/>
        </w:rPr>
        <w:t>Liabilities are discounted to their value at current</w:t>
      </w:r>
      <w:r>
        <w:rPr>
          <w:color w:val="231F20"/>
          <w:spacing w:val="-5"/>
          <w:sz w:val="24"/>
        </w:rPr>
        <w:t> </w:t>
      </w:r>
      <w:r>
        <w:rPr>
          <w:color w:val="231F20"/>
          <w:sz w:val="24"/>
        </w:rPr>
        <w:t>prices</w:t>
      </w:r>
      <w:r>
        <w:rPr>
          <w:color w:val="231F20"/>
          <w:spacing w:val="-5"/>
          <w:sz w:val="24"/>
        </w:rPr>
        <w:t> </w:t>
      </w:r>
      <w:r>
        <w:rPr>
          <w:color w:val="231F20"/>
          <w:sz w:val="24"/>
        </w:rPr>
        <w:t>using</w:t>
      </w:r>
      <w:r>
        <w:rPr>
          <w:color w:val="231F20"/>
          <w:spacing w:val="-5"/>
          <w:sz w:val="24"/>
        </w:rPr>
        <w:t> </w:t>
      </w:r>
      <w:r>
        <w:rPr>
          <w:color w:val="231F20"/>
          <w:sz w:val="24"/>
        </w:rPr>
        <w:t>a</w:t>
      </w:r>
      <w:r>
        <w:rPr>
          <w:color w:val="231F20"/>
          <w:spacing w:val="-5"/>
          <w:sz w:val="24"/>
        </w:rPr>
        <w:t> </w:t>
      </w:r>
      <w:r>
        <w:rPr>
          <w:color w:val="231F20"/>
          <w:sz w:val="24"/>
        </w:rPr>
        <w:t>discount</w:t>
      </w:r>
      <w:r>
        <w:rPr>
          <w:color w:val="231F20"/>
          <w:spacing w:val="-5"/>
          <w:sz w:val="24"/>
        </w:rPr>
        <w:t> </w:t>
      </w:r>
      <w:r>
        <w:rPr>
          <w:color w:val="231F20"/>
          <w:sz w:val="24"/>
        </w:rPr>
        <w:t>rate</w:t>
      </w:r>
      <w:r>
        <w:rPr>
          <w:color w:val="231F20"/>
          <w:spacing w:val="-5"/>
          <w:sz w:val="24"/>
        </w:rPr>
        <w:t> </w:t>
      </w:r>
      <w:r>
        <w:rPr>
          <w:color w:val="231F20"/>
          <w:sz w:val="24"/>
        </w:rPr>
        <w:t>based</w:t>
      </w:r>
      <w:r>
        <w:rPr>
          <w:color w:val="231F20"/>
          <w:spacing w:val="-5"/>
          <w:sz w:val="24"/>
        </w:rPr>
        <w:t> </w:t>
      </w:r>
      <w:r>
        <w:rPr>
          <w:color w:val="231F20"/>
          <w:sz w:val="24"/>
        </w:rPr>
        <w:t>on an appropriate rate of return on high quality corporate bonds.</w:t>
      </w:r>
    </w:p>
    <w:p>
      <w:pPr>
        <w:pStyle w:val="ListParagraph"/>
        <w:numPr>
          <w:ilvl w:val="1"/>
          <w:numId w:val="11"/>
        </w:numPr>
        <w:tabs>
          <w:tab w:pos="438" w:val="left" w:leader="none"/>
        </w:tabs>
        <w:spacing w:line="225" w:lineRule="auto" w:before="56" w:after="0"/>
        <w:ind w:left="437" w:right="1006" w:hanging="171"/>
        <w:jc w:val="left"/>
        <w:rPr>
          <w:sz w:val="24"/>
        </w:rPr>
      </w:pPr>
      <w:r>
        <w:rPr>
          <w:color w:val="231F20"/>
          <w:sz w:val="24"/>
        </w:rPr>
        <w:t>The assets of the Fund attributable to the Council</w:t>
      </w:r>
      <w:r>
        <w:rPr>
          <w:color w:val="231F20"/>
          <w:spacing w:val="-6"/>
          <w:sz w:val="24"/>
        </w:rPr>
        <w:t> </w:t>
      </w:r>
      <w:r>
        <w:rPr>
          <w:color w:val="231F20"/>
          <w:sz w:val="24"/>
        </w:rPr>
        <w:t>are</w:t>
      </w:r>
      <w:r>
        <w:rPr>
          <w:color w:val="231F20"/>
          <w:spacing w:val="-5"/>
          <w:sz w:val="24"/>
        </w:rPr>
        <w:t> </w:t>
      </w:r>
      <w:r>
        <w:rPr>
          <w:color w:val="231F20"/>
          <w:sz w:val="24"/>
        </w:rPr>
        <w:t>included</w:t>
      </w:r>
      <w:r>
        <w:rPr>
          <w:color w:val="231F20"/>
          <w:spacing w:val="-6"/>
          <w:sz w:val="24"/>
        </w:rPr>
        <w:t> </w:t>
      </w:r>
      <w:r>
        <w:rPr>
          <w:color w:val="231F20"/>
          <w:sz w:val="24"/>
        </w:rPr>
        <w:t>in</w:t>
      </w:r>
      <w:r>
        <w:rPr>
          <w:color w:val="231F20"/>
          <w:spacing w:val="-6"/>
          <w:sz w:val="24"/>
        </w:rPr>
        <w:t> </w:t>
      </w:r>
      <w:r>
        <w:rPr>
          <w:color w:val="231F20"/>
          <w:sz w:val="24"/>
        </w:rPr>
        <w:t>the</w:t>
      </w:r>
      <w:r>
        <w:rPr>
          <w:color w:val="231F20"/>
          <w:spacing w:val="-5"/>
          <w:sz w:val="24"/>
        </w:rPr>
        <w:t> </w:t>
      </w:r>
      <w:r>
        <w:rPr>
          <w:color w:val="231F20"/>
          <w:sz w:val="24"/>
        </w:rPr>
        <w:t>Balance</w:t>
      </w:r>
      <w:r>
        <w:rPr>
          <w:color w:val="231F20"/>
          <w:spacing w:val="-6"/>
          <w:sz w:val="24"/>
        </w:rPr>
        <w:t> </w:t>
      </w:r>
      <w:r>
        <w:rPr>
          <w:color w:val="231F20"/>
          <w:sz w:val="24"/>
        </w:rPr>
        <w:t>Sheet</w:t>
      </w:r>
      <w:r>
        <w:rPr>
          <w:color w:val="231F20"/>
          <w:spacing w:val="-6"/>
          <w:sz w:val="24"/>
        </w:rPr>
        <w:t> </w:t>
      </w:r>
      <w:r>
        <w:rPr>
          <w:color w:val="231F20"/>
          <w:sz w:val="24"/>
        </w:rPr>
        <w:t>at their fair value.</w:t>
      </w:r>
    </w:p>
    <w:p>
      <w:pPr>
        <w:pStyle w:val="BodyText"/>
        <w:spacing w:before="8"/>
        <w:rPr>
          <w:sz w:val="25"/>
        </w:rPr>
      </w:pPr>
    </w:p>
    <w:p>
      <w:pPr>
        <w:pStyle w:val="ListParagraph"/>
        <w:numPr>
          <w:ilvl w:val="2"/>
          <w:numId w:val="11"/>
        </w:numPr>
        <w:tabs>
          <w:tab w:pos="748" w:val="left" w:leader="none"/>
        </w:tabs>
        <w:spacing w:line="240" w:lineRule="auto" w:before="1" w:after="0"/>
        <w:ind w:left="747" w:right="0" w:hanging="311"/>
        <w:jc w:val="left"/>
        <w:rPr>
          <w:sz w:val="24"/>
        </w:rPr>
      </w:pPr>
      <w:r>
        <w:rPr>
          <w:color w:val="231F20"/>
          <w:sz w:val="24"/>
        </w:rPr>
        <w:t>Quoted</w:t>
      </w:r>
      <w:r>
        <w:rPr>
          <w:color w:val="231F20"/>
          <w:spacing w:val="-2"/>
          <w:sz w:val="24"/>
        </w:rPr>
        <w:t> </w:t>
      </w:r>
      <w:r>
        <w:rPr>
          <w:color w:val="231F20"/>
          <w:sz w:val="24"/>
        </w:rPr>
        <w:t>securities</w:t>
      </w:r>
      <w:r>
        <w:rPr>
          <w:color w:val="231F20"/>
          <w:spacing w:val="-3"/>
          <w:sz w:val="24"/>
        </w:rPr>
        <w:t> </w:t>
      </w:r>
      <w:r>
        <w:rPr>
          <w:color w:val="231F20"/>
          <w:sz w:val="24"/>
        </w:rPr>
        <w:t>–</w:t>
      </w:r>
      <w:r>
        <w:rPr>
          <w:color w:val="231F20"/>
          <w:spacing w:val="-2"/>
          <w:sz w:val="24"/>
        </w:rPr>
        <w:t> </w:t>
      </w:r>
      <w:r>
        <w:rPr>
          <w:color w:val="231F20"/>
          <w:sz w:val="24"/>
        </w:rPr>
        <w:t>current</w:t>
      </w:r>
      <w:r>
        <w:rPr>
          <w:color w:val="231F20"/>
          <w:spacing w:val="-2"/>
          <w:sz w:val="24"/>
        </w:rPr>
        <w:t> </w:t>
      </w:r>
      <w:r>
        <w:rPr>
          <w:color w:val="231F20"/>
          <w:sz w:val="24"/>
        </w:rPr>
        <w:t>bid</w:t>
      </w:r>
      <w:r>
        <w:rPr>
          <w:color w:val="231F20"/>
          <w:spacing w:val="-1"/>
          <w:sz w:val="24"/>
        </w:rPr>
        <w:t> </w:t>
      </w:r>
      <w:r>
        <w:rPr>
          <w:color w:val="231F20"/>
          <w:spacing w:val="-2"/>
          <w:sz w:val="24"/>
        </w:rPr>
        <w:t>price</w:t>
      </w:r>
    </w:p>
    <w:p>
      <w:pPr>
        <w:pStyle w:val="ListParagraph"/>
        <w:numPr>
          <w:ilvl w:val="2"/>
          <w:numId w:val="11"/>
        </w:numPr>
        <w:tabs>
          <w:tab w:pos="748" w:val="left" w:leader="none"/>
        </w:tabs>
        <w:spacing w:line="240" w:lineRule="auto" w:before="37" w:after="0"/>
        <w:ind w:left="747" w:right="0" w:hanging="311"/>
        <w:jc w:val="left"/>
        <w:rPr>
          <w:sz w:val="24"/>
        </w:rPr>
      </w:pPr>
      <w:r>
        <w:rPr>
          <w:color w:val="231F20"/>
          <w:sz w:val="24"/>
        </w:rPr>
        <w:t>Unquoted</w:t>
      </w:r>
      <w:r>
        <w:rPr>
          <w:color w:val="231F20"/>
          <w:spacing w:val="-3"/>
          <w:sz w:val="24"/>
        </w:rPr>
        <w:t> </w:t>
      </w:r>
      <w:r>
        <w:rPr>
          <w:color w:val="231F20"/>
          <w:sz w:val="24"/>
        </w:rPr>
        <w:t>securities</w:t>
      </w:r>
      <w:r>
        <w:rPr>
          <w:color w:val="231F20"/>
          <w:spacing w:val="-3"/>
          <w:sz w:val="24"/>
        </w:rPr>
        <w:t> </w:t>
      </w:r>
      <w:r>
        <w:rPr>
          <w:color w:val="231F20"/>
          <w:sz w:val="24"/>
        </w:rPr>
        <w:t>–</w:t>
      </w:r>
      <w:r>
        <w:rPr>
          <w:color w:val="231F20"/>
          <w:spacing w:val="-2"/>
          <w:sz w:val="24"/>
        </w:rPr>
        <w:t> </w:t>
      </w:r>
      <w:r>
        <w:rPr>
          <w:color w:val="231F20"/>
          <w:sz w:val="24"/>
        </w:rPr>
        <w:t>professional</w:t>
      </w:r>
      <w:r>
        <w:rPr>
          <w:color w:val="231F20"/>
          <w:spacing w:val="-2"/>
          <w:sz w:val="24"/>
        </w:rPr>
        <w:t> estimate</w:t>
      </w:r>
    </w:p>
    <w:p>
      <w:pPr>
        <w:pStyle w:val="ListParagraph"/>
        <w:numPr>
          <w:ilvl w:val="2"/>
          <w:numId w:val="11"/>
        </w:numPr>
        <w:tabs>
          <w:tab w:pos="748" w:val="left" w:leader="none"/>
        </w:tabs>
        <w:spacing w:line="240" w:lineRule="auto" w:before="38" w:after="0"/>
        <w:ind w:left="747" w:right="0" w:hanging="311"/>
        <w:jc w:val="left"/>
        <w:rPr>
          <w:sz w:val="24"/>
        </w:rPr>
      </w:pPr>
      <w:r>
        <w:rPr>
          <w:color w:val="231F20"/>
          <w:sz w:val="24"/>
        </w:rPr>
        <w:t>Unitised</w:t>
      </w:r>
      <w:r>
        <w:rPr>
          <w:color w:val="231F20"/>
          <w:spacing w:val="-2"/>
          <w:sz w:val="24"/>
        </w:rPr>
        <w:t> </w:t>
      </w:r>
      <w:r>
        <w:rPr>
          <w:color w:val="231F20"/>
          <w:sz w:val="24"/>
        </w:rPr>
        <w:t>securities</w:t>
      </w:r>
      <w:r>
        <w:rPr>
          <w:color w:val="231F20"/>
          <w:spacing w:val="-3"/>
          <w:sz w:val="24"/>
        </w:rPr>
        <w:t> </w:t>
      </w:r>
      <w:r>
        <w:rPr>
          <w:color w:val="231F20"/>
          <w:sz w:val="24"/>
        </w:rPr>
        <w:t>–</w:t>
      </w:r>
      <w:r>
        <w:rPr>
          <w:color w:val="231F20"/>
          <w:spacing w:val="-2"/>
          <w:sz w:val="24"/>
        </w:rPr>
        <w:t> </w:t>
      </w:r>
      <w:r>
        <w:rPr>
          <w:color w:val="231F20"/>
          <w:sz w:val="24"/>
        </w:rPr>
        <w:t>current</w:t>
      </w:r>
      <w:r>
        <w:rPr>
          <w:color w:val="231F20"/>
          <w:spacing w:val="-2"/>
          <w:sz w:val="24"/>
        </w:rPr>
        <w:t> </w:t>
      </w:r>
      <w:r>
        <w:rPr>
          <w:color w:val="231F20"/>
          <w:sz w:val="24"/>
        </w:rPr>
        <w:t>bid</w:t>
      </w:r>
      <w:r>
        <w:rPr>
          <w:color w:val="231F20"/>
          <w:spacing w:val="-1"/>
          <w:sz w:val="24"/>
        </w:rPr>
        <w:t> </w:t>
      </w:r>
      <w:r>
        <w:rPr>
          <w:color w:val="231F20"/>
          <w:spacing w:val="-2"/>
          <w:sz w:val="24"/>
        </w:rPr>
        <w:t>price</w:t>
      </w:r>
    </w:p>
    <w:p>
      <w:pPr>
        <w:pStyle w:val="ListParagraph"/>
        <w:numPr>
          <w:ilvl w:val="2"/>
          <w:numId w:val="11"/>
        </w:numPr>
        <w:tabs>
          <w:tab w:pos="748" w:val="left" w:leader="none"/>
        </w:tabs>
        <w:spacing w:line="240" w:lineRule="auto" w:before="37" w:after="0"/>
        <w:ind w:left="747" w:right="0" w:hanging="311"/>
        <w:jc w:val="left"/>
        <w:rPr>
          <w:sz w:val="24"/>
        </w:rPr>
      </w:pPr>
      <w:r>
        <w:rPr>
          <w:color w:val="231F20"/>
          <w:sz w:val="24"/>
        </w:rPr>
        <w:t>Property</w:t>
      </w:r>
      <w:r>
        <w:rPr>
          <w:color w:val="231F20"/>
          <w:spacing w:val="-5"/>
          <w:sz w:val="24"/>
        </w:rPr>
        <w:t> </w:t>
      </w:r>
      <w:r>
        <w:rPr>
          <w:color w:val="231F20"/>
          <w:sz w:val="24"/>
        </w:rPr>
        <w:t>–</w:t>
      </w:r>
      <w:r>
        <w:rPr>
          <w:color w:val="231F20"/>
          <w:spacing w:val="-5"/>
          <w:sz w:val="24"/>
        </w:rPr>
        <w:t> </w:t>
      </w:r>
      <w:r>
        <w:rPr>
          <w:color w:val="231F20"/>
          <w:sz w:val="24"/>
        </w:rPr>
        <w:t>market</w:t>
      </w:r>
      <w:r>
        <w:rPr>
          <w:color w:val="231F20"/>
          <w:spacing w:val="-4"/>
          <w:sz w:val="24"/>
        </w:rPr>
        <w:t> </w:t>
      </w:r>
      <w:r>
        <w:rPr>
          <w:color w:val="231F20"/>
          <w:spacing w:val="-2"/>
          <w:sz w:val="24"/>
        </w:rPr>
        <w:t>value</w:t>
      </w:r>
    </w:p>
    <w:p>
      <w:pPr>
        <w:spacing w:after="0" w:line="240" w:lineRule="auto"/>
        <w:jc w:val="left"/>
        <w:rPr>
          <w:sz w:val="24"/>
        </w:rPr>
        <w:sectPr>
          <w:type w:val="continuous"/>
          <w:pgSz w:w="11910" w:h="16840"/>
          <w:pgMar w:header="377" w:footer="367" w:top="260" w:bottom="0" w:left="0" w:right="0"/>
          <w:cols w:num="2" w:equalWidth="0">
            <w:col w:w="5788" w:space="40"/>
            <w:col w:w="6082"/>
          </w:cols>
        </w:sectPr>
      </w:pPr>
    </w:p>
    <w:p>
      <w:pPr>
        <w:pStyle w:val="BodyText"/>
        <w:rPr>
          <w:sz w:val="28"/>
        </w:rPr>
      </w:pPr>
    </w:p>
    <w:p>
      <w:pPr>
        <w:spacing w:after="0"/>
        <w:rPr>
          <w:sz w:val="28"/>
        </w:rPr>
        <w:sectPr>
          <w:pgSz w:w="11910" w:h="16840"/>
          <w:pgMar w:header="377" w:footer="367" w:top="560" w:bottom="560" w:left="0" w:right="0"/>
        </w:sectPr>
      </w:pPr>
    </w:p>
    <w:p>
      <w:pPr>
        <w:pStyle w:val="BodyText"/>
        <w:spacing w:line="310" w:lineRule="exact" w:before="100"/>
        <w:ind w:left="566"/>
      </w:pPr>
      <w:r>
        <w:rPr>
          <w:color w:val="231F20"/>
        </w:rPr>
        <w:t>The</w:t>
      </w:r>
      <w:r>
        <w:rPr>
          <w:color w:val="231F20"/>
          <w:spacing w:val="-4"/>
        </w:rPr>
        <w:t> </w:t>
      </w:r>
      <w:r>
        <w:rPr>
          <w:color w:val="231F20"/>
        </w:rPr>
        <w:t>change</w:t>
      </w:r>
      <w:r>
        <w:rPr>
          <w:color w:val="231F20"/>
          <w:spacing w:val="-1"/>
        </w:rPr>
        <w:t> </w:t>
      </w:r>
      <w:r>
        <w:rPr>
          <w:color w:val="231F20"/>
        </w:rPr>
        <w:t>in</w:t>
      </w:r>
      <w:r>
        <w:rPr>
          <w:color w:val="231F20"/>
          <w:spacing w:val="-2"/>
        </w:rPr>
        <w:t> </w:t>
      </w:r>
      <w:r>
        <w:rPr>
          <w:color w:val="231F20"/>
        </w:rPr>
        <w:t>the</w:t>
      </w:r>
      <w:r>
        <w:rPr>
          <w:color w:val="231F20"/>
          <w:spacing w:val="-1"/>
        </w:rPr>
        <w:t> </w:t>
      </w:r>
      <w:r>
        <w:rPr>
          <w:color w:val="231F20"/>
        </w:rPr>
        <w:t>net</w:t>
      </w:r>
      <w:r>
        <w:rPr>
          <w:color w:val="231F20"/>
          <w:spacing w:val="-2"/>
        </w:rPr>
        <w:t> </w:t>
      </w:r>
      <w:r>
        <w:rPr>
          <w:color w:val="231F20"/>
        </w:rPr>
        <w:t>pension</w:t>
      </w:r>
      <w:r>
        <w:rPr>
          <w:color w:val="231F20"/>
          <w:spacing w:val="-1"/>
        </w:rPr>
        <w:t> </w:t>
      </w:r>
      <w:r>
        <w:rPr>
          <w:color w:val="231F20"/>
        </w:rPr>
        <w:t>liability</w:t>
      </w:r>
      <w:r>
        <w:rPr>
          <w:color w:val="231F20"/>
          <w:spacing w:val="-2"/>
        </w:rPr>
        <w:t> </w:t>
      </w:r>
      <w:r>
        <w:rPr>
          <w:color w:val="231F20"/>
        </w:rPr>
        <w:t>is</w:t>
      </w:r>
      <w:r>
        <w:rPr>
          <w:color w:val="231F20"/>
          <w:spacing w:val="-2"/>
        </w:rPr>
        <w:t> analysed</w:t>
      </w:r>
    </w:p>
    <w:p>
      <w:pPr>
        <w:pStyle w:val="BodyText"/>
        <w:spacing w:line="310" w:lineRule="exact"/>
        <w:ind w:left="566"/>
      </w:pPr>
      <w:r>
        <w:rPr>
          <w:color w:val="231F20"/>
        </w:rPr>
        <w:t>into</w:t>
      </w:r>
      <w:r>
        <w:rPr>
          <w:color w:val="231F20"/>
          <w:spacing w:val="-2"/>
        </w:rPr>
        <w:t> </w:t>
      </w:r>
      <w:r>
        <w:rPr>
          <w:color w:val="231F20"/>
        </w:rPr>
        <w:t>the</w:t>
      </w:r>
      <w:r>
        <w:rPr>
          <w:color w:val="231F20"/>
          <w:spacing w:val="-1"/>
        </w:rPr>
        <w:t> </w:t>
      </w:r>
      <w:r>
        <w:rPr>
          <w:color w:val="231F20"/>
        </w:rPr>
        <w:t>following</w:t>
      </w:r>
      <w:r>
        <w:rPr>
          <w:color w:val="231F20"/>
          <w:spacing w:val="-1"/>
        </w:rPr>
        <w:t> </w:t>
      </w:r>
      <w:r>
        <w:rPr>
          <w:color w:val="231F20"/>
          <w:spacing w:val="-2"/>
        </w:rPr>
        <w:t>components:</w:t>
      </w:r>
    </w:p>
    <w:p>
      <w:pPr>
        <w:pStyle w:val="ListParagraph"/>
        <w:numPr>
          <w:ilvl w:val="3"/>
          <w:numId w:val="11"/>
        </w:numPr>
        <w:tabs>
          <w:tab w:pos="737" w:val="left" w:leader="none"/>
        </w:tabs>
        <w:spacing w:line="240" w:lineRule="auto" w:before="281" w:after="0"/>
        <w:ind w:left="737" w:right="0" w:hanging="171"/>
        <w:jc w:val="left"/>
        <w:rPr>
          <w:sz w:val="24"/>
        </w:rPr>
      </w:pPr>
      <w:r>
        <w:rPr>
          <w:color w:val="231F20"/>
          <w:sz w:val="24"/>
        </w:rPr>
        <w:t>Service</w:t>
      </w:r>
      <w:r>
        <w:rPr>
          <w:color w:val="231F20"/>
          <w:spacing w:val="-6"/>
          <w:sz w:val="24"/>
        </w:rPr>
        <w:t> </w:t>
      </w:r>
      <w:r>
        <w:rPr>
          <w:color w:val="231F20"/>
          <w:sz w:val="24"/>
        </w:rPr>
        <w:t>Cost</w:t>
      </w:r>
      <w:r>
        <w:rPr>
          <w:color w:val="231F20"/>
          <w:spacing w:val="-5"/>
          <w:sz w:val="24"/>
        </w:rPr>
        <w:t> </w:t>
      </w:r>
      <w:r>
        <w:rPr>
          <w:color w:val="231F20"/>
          <w:spacing w:val="-2"/>
          <w:sz w:val="24"/>
        </w:rPr>
        <w:t>comprising</w:t>
      </w:r>
    </w:p>
    <w:p>
      <w:pPr>
        <w:pStyle w:val="ListParagraph"/>
        <w:numPr>
          <w:ilvl w:val="4"/>
          <w:numId w:val="11"/>
        </w:numPr>
        <w:tabs>
          <w:tab w:pos="1047" w:val="left" w:leader="none"/>
        </w:tabs>
        <w:spacing w:line="225" w:lineRule="auto" w:before="53" w:after="0"/>
        <w:ind w:left="1046" w:right="130" w:hanging="310"/>
        <w:jc w:val="left"/>
        <w:rPr>
          <w:sz w:val="24"/>
        </w:rPr>
      </w:pPr>
      <w:r>
        <w:rPr>
          <w:b/>
          <w:color w:val="3B5673"/>
          <w:sz w:val="24"/>
        </w:rPr>
        <w:t>Current Service Cost </w:t>
      </w:r>
      <w:r>
        <w:rPr>
          <w:color w:val="231F20"/>
          <w:sz w:val="24"/>
        </w:rPr>
        <w:t>- the increase in liabilities</w:t>
      </w:r>
      <w:r>
        <w:rPr>
          <w:color w:val="231F20"/>
          <w:spacing w:val="-6"/>
          <w:sz w:val="24"/>
        </w:rPr>
        <w:t> </w:t>
      </w:r>
      <w:r>
        <w:rPr>
          <w:color w:val="231F20"/>
          <w:sz w:val="24"/>
        </w:rPr>
        <w:t>as</w:t>
      </w:r>
      <w:r>
        <w:rPr>
          <w:color w:val="231F20"/>
          <w:spacing w:val="-5"/>
          <w:sz w:val="24"/>
        </w:rPr>
        <w:t> </w:t>
      </w:r>
      <w:r>
        <w:rPr>
          <w:color w:val="231F20"/>
          <w:sz w:val="24"/>
        </w:rPr>
        <w:t>result</w:t>
      </w:r>
      <w:r>
        <w:rPr>
          <w:color w:val="231F20"/>
          <w:spacing w:val="-5"/>
          <w:sz w:val="24"/>
        </w:rPr>
        <w:t> </w:t>
      </w:r>
      <w:r>
        <w:rPr>
          <w:color w:val="231F20"/>
          <w:sz w:val="24"/>
        </w:rPr>
        <w:t>of</w:t>
      </w:r>
      <w:r>
        <w:rPr>
          <w:color w:val="231F20"/>
          <w:spacing w:val="-5"/>
          <w:sz w:val="24"/>
        </w:rPr>
        <w:t> </w:t>
      </w:r>
      <w:r>
        <w:rPr>
          <w:color w:val="231F20"/>
          <w:sz w:val="24"/>
        </w:rPr>
        <w:t>years</w:t>
      </w:r>
      <w:r>
        <w:rPr>
          <w:color w:val="231F20"/>
          <w:spacing w:val="-5"/>
          <w:sz w:val="24"/>
        </w:rPr>
        <w:t> </w:t>
      </w:r>
      <w:r>
        <w:rPr>
          <w:color w:val="231F20"/>
          <w:sz w:val="24"/>
        </w:rPr>
        <w:t>of</w:t>
      </w:r>
      <w:r>
        <w:rPr>
          <w:color w:val="231F20"/>
          <w:spacing w:val="-5"/>
          <w:sz w:val="24"/>
        </w:rPr>
        <w:t> </w:t>
      </w:r>
      <w:r>
        <w:rPr>
          <w:color w:val="231F20"/>
          <w:sz w:val="24"/>
        </w:rPr>
        <w:t>service</w:t>
      </w:r>
      <w:r>
        <w:rPr>
          <w:color w:val="231F20"/>
          <w:spacing w:val="-6"/>
          <w:sz w:val="24"/>
        </w:rPr>
        <w:t> </w:t>
      </w:r>
      <w:r>
        <w:rPr>
          <w:color w:val="231F20"/>
          <w:sz w:val="24"/>
        </w:rPr>
        <w:t>earned this year - allocated in the Comprehensive Income and Expenditure Account to the services for which the employees worked</w:t>
      </w:r>
    </w:p>
    <w:p>
      <w:pPr>
        <w:pStyle w:val="ListParagraph"/>
        <w:numPr>
          <w:ilvl w:val="4"/>
          <w:numId w:val="11"/>
        </w:numPr>
        <w:tabs>
          <w:tab w:pos="1047" w:val="left" w:leader="none"/>
        </w:tabs>
        <w:spacing w:line="225" w:lineRule="auto" w:before="56" w:after="0"/>
        <w:ind w:left="1046" w:right="136" w:hanging="310"/>
        <w:jc w:val="left"/>
        <w:rPr>
          <w:sz w:val="24"/>
        </w:rPr>
      </w:pPr>
      <w:r>
        <w:rPr>
          <w:b/>
          <w:color w:val="3B5673"/>
          <w:sz w:val="24"/>
        </w:rPr>
        <w:t>Past</w:t>
      </w:r>
      <w:r>
        <w:rPr>
          <w:b/>
          <w:color w:val="3B5673"/>
          <w:spacing w:val="-6"/>
          <w:sz w:val="24"/>
        </w:rPr>
        <w:t> </w:t>
      </w:r>
      <w:r>
        <w:rPr>
          <w:b/>
          <w:color w:val="3B5673"/>
          <w:sz w:val="24"/>
        </w:rPr>
        <w:t>Service</w:t>
      </w:r>
      <w:r>
        <w:rPr>
          <w:b/>
          <w:color w:val="3B5673"/>
          <w:spacing w:val="-5"/>
          <w:sz w:val="24"/>
        </w:rPr>
        <w:t> </w:t>
      </w:r>
      <w:r>
        <w:rPr>
          <w:b/>
          <w:color w:val="3B5673"/>
          <w:sz w:val="24"/>
        </w:rPr>
        <w:t>cost</w:t>
      </w:r>
      <w:r>
        <w:rPr>
          <w:b/>
          <w:color w:val="3B5673"/>
          <w:spacing w:val="-6"/>
          <w:sz w:val="24"/>
        </w:rPr>
        <w:t> </w:t>
      </w:r>
      <w:r>
        <w:rPr>
          <w:color w:val="231F20"/>
          <w:sz w:val="24"/>
        </w:rPr>
        <w:t>-</w:t>
      </w:r>
      <w:r>
        <w:rPr>
          <w:color w:val="231F20"/>
          <w:spacing w:val="-5"/>
          <w:sz w:val="24"/>
        </w:rPr>
        <w:t> </w:t>
      </w:r>
      <w:r>
        <w:rPr>
          <w:color w:val="231F20"/>
          <w:sz w:val="24"/>
        </w:rPr>
        <w:t>the</w:t>
      </w:r>
      <w:r>
        <w:rPr>
          <w:color w:val="231F20"/>
          <w:spacing w:val="-5"/>
          <w:sz w:val="24"/>
        </w:rPr>
        <w:t> </w:t>
      </w:r>
      <w:r>
        <w:rPr>
          <w:color w:val="231F20"/>
          <w:sz w:val="24"/>
        </w:rPr>
        <w:t>increase</w:t>
      </w:r>
      <w:r>
        <w:rPr>
          <w:color w:val="231F20"/>
          <w:spacing w:val="-6"/>
          <w:sz w:val="24"/>
        </w:rPr>
        <w:t> </w:t>
      </w:r>
      <w:r>
        <w:rPr>
          <w:color w:val="231F20"/>
          <w:sz w:val="24"/>
        </w:rPr>
        <w:t>in</w:t>
      </w:r>
      <w:r>
        <w:rPr>
          <w:color w:val="231F20"/>
          <w:spacing w:val="-6"/>
          <w:sz w:val="24"/>
        </w:rPr>
        <w:t> </w:t>
      </w:r>
      <w:r>
        <w:rPr>
          <w:color w:val="231F20"/>
          <w:sz w:val="24"/>
        </w:rPr>
        <w:t>liabilities as a result of a scheme amendment or curtailment whose effect relates to years</w:t>
      </w:r>
    </w:p>
    <w:p>
      <w:pPr>
        <w:pStyle w:val="BodyText"/>
        <w:spacing w:line="225" w:lineRule="auto"/>
        <w:ind w:left="1046" w:right="305"/>
      </w:pPr>
      <w:r>
        <w:rPr>
          <w:color w:val="231F20"/>
        </w:rPr>
        <w:t>of</w:t>
      </w:r>
      <w:r>
        <w:rPr>
          <w:color w:val="231F20"/>
          <w:spacing w:val="-5"/>
        </w:rPr>
        <w:t> </w:t>
      </w:r>
      <w:r>
        <w:rPr>
          <w:color w:val="231F20"/>
        </w:rPr>
        <w:t>service</w:t>
      </w:r>
      <w:r>
        <w:rPr>
          <w:color w:val="231F20"/>
          <w:spacing w:val="-6"/>
        </w:rPr>
        <w:t> </w:t>
      </w:r>
      <w:r>
        <w:rPr>
          <w:color w:val="231F20"/>
        </w:rPr>
        <w:t>earned</w:t>
      </w:r>
      <w:r>
        <w:rPr>
          <w:color w:val="231F20"/>
          <w:spacing w:val="-5"/>
        </w:rPr>
        <w:t> </w:t>
      </w:r>
      <w:r>
        <w:rPr>
          <w:color w:val="231F20"/>
        </w:rPr>
        <w:t>in</w:t>
      </w:r>
      <w:r>
        <w:rPr>
          <w:color w:val="231F20"/>
          <w:spacing w:val="-6"/>
        </w:rPr>
        <w:t> </w:t>
      </w:r>
      <w:r>
        <w:rPr>
          <w:color w:val="231F20"/>
        </w:rPr>
        <w:t>earlier</w:t>
      </w:r>
      <w:r>
        <w:rPr>
          <w:color w:val="231F20"/>
          <w:spacing w:val="-5"/>
        </w:rPr>
        <w:t> </w:t>
      </w:r>
      <w:r>
        <w:rPr>
          <w:color w:val="231F20"/>
        </w:rPr>
        <w:t>years</w:t>
      </w:r>
      <w:r>
        <w:rPr>
          <w:color w:val="231F20"/>
          <w:spacing w:val="-5"/>
        </w:rPr>
        <w:t> </w:t>
      </w:r>
      <w:r>
        <w:rPr>
          <w:color w:val="231F20"/>
        </w:rPr>
        <w:t>-</w:t>
      </w:r>
      <w:r>
        <w:rPr>
          <w:color w:val="231F20"/>
          <w:spacing w:val="-5"/>
        </w:rPr>
        <w:t> </w:t>
      </w:r>
      <w:r>
        <w:rPr>
          <w:color w:val="231F20"/>
        </w:rPr>
        <w:t>debited to the Surplus or Deficit on Provision of Services in the Comprehensive Income and Expenditure Account as part of Non-</w:t>
      </w:r>
    </w:p>
    <w:p>
      <w:pPr>
        <w:pStyle w:val="BodyText"/>
        <w:spacing w:line="303" w:lineRule="exact"/>
        <w:ind w:left="1046"/>
      </w:pPr>
      <w:r>
        <w:rPr>
          <w:color w:val="231F20"/>
        </w:rPr>
        <w:t>Distributed</w:t>
      </w:r>
      <w:r>
        <w:rPr>
          <w:color w:val="231F20"/>
          <w:spacing w:val="-11"/>
        </w:rPr>
        <w:t> </w:t>
      </w:r>
      <w:r>
        <w:rPr>
          <w:color w:val="231F20"/>
          <w:spacing w:val="-2"/>
        </w:rPr>
        <w:t>Costs</w:t>
      </w:r>
    </w:p>
    <w:p>
      <w:pPr>
        <w:pStyle w:val="ListParagraph"/>
        <w:numPr>
          <w:ilvl w:val="4"/>
          <w:numId w:val="11"/>
        </w:numPr>
        <w:tabs>
          <w:tab w:pos="1047" w:val="left" w:leader="none"/>
        </w:tabs>
        <w:spacing w:line="225" w:lineRule="auto" w:before="53" w:after="0"/>
        <w:ind w:left="1046" w:right="27" w:hanging="310"/>
        <w:jc w:val="left"/>
        <w:rPr>
          <w:sz w:val="24"/>
        </w:rPr>
      </w:pPr>
      <w:r>
        <w:rPr>
          <w:b/>
          <w:color w:val="3B5673"/>
          <w:sz w:val="24"/>
        </w:rPr>
        <w:t>Net interest on the net defined liability (asset), i.e. the net interest expense</w:t>
      </w:r>
      <w:r>
        <w:rPr>
          <w:b/>
          <w:color w:val="3B5673"/>
          <w:spacing w:val="40"/>
          <w:sz w:val="24"/>
        </w:rPr>
        <w:t> </w:t>
      </w:r>
      <w:r>
        <w:rPr>
          <w:b/>
          <w:color w:val="3B5673"/>
          <w:sz w:val="24"/>
        </w:rPr>
        <w:t>for the Council </w:t>
      </w:r>
      <w:r>
        <w:rPr>
          <w:color w:val="231F20"/>
          <w:sz w:val="24"/>
        </w:rPr>
        <w:t>– the change during the period in the net defined benefit liability (asset)</w:t>
      </w:r>
      <w:r>
        <w:rPr>
          <w:color w:val="231F20"/>
          <w:spacing w:val="40"/>
          <w:sz w:val="24"/>
        </w:rPr>
        <w:t> </w:t>
      </w:r>
      <w:r>
        <w:rPr>
          <w:color w:val="231F20"/>
          <w:sz w:val="24"/>
        </w:rPr>
        <w:t>that</w:t>
      </w:r>
      <w:r>
        <w:rPr>
          <w:color w:val="231F20"/>
          <w:spacing w:val="-5"/>
          <w:sz w:val="24"/>
        </w:rPr>
        <w:t> </w:t>
      </w:r>
      <w:r>
        <w:rPr>
          <w:color w:val="231F20"/>
          <w:sz w:val="24"/>
        </w:rPr>
        <w:t>arises</w:t>
      </w:r>
      <w:r>
        <w:rPr>
          <w:color w:val="231F20"/>
          <w:spacing w:val="-5"/>
          <w:sz w:val="24"/>
        </w:rPr>
        <w:t> </w:t>
      </w:r>
      <w:r>
        <w:rPr>
          <w:color w:val="231F20"/>
          <w:sz w:val="24"/>
        </w:rPr>
        <w:t>from</w:t>
      </w:r>
      <w:r>
        <w:rPr>
          <w:color w:val="231F20"/>
          <w:spacing w:val="-5"/>
          <w:sz w:val="24"/>
        </w:rPr>
        <w:t> </w:t>
      </w:r>
      <w:r>
        <w:rPr>
          <w:color w:val="231F20"/>
          <w:sz w:val="24"/>
        </w:rPr>
        <w:t>the</w:t>
      </w:r>
      <w:r>
        <w:rPr>
          <w:color w:val="231F20"/>
          <w:spacing w:val="-5"/>
          <w:sz w:val="24"/>
        </w:rPr>
        <w:t> </w:t>
      </w:r>
      <w:r>
        <w:rPr>
          <w:color w:val="231F20"/>
          <w:sz w:val="24"/>
        </w:rPr>
        <w:t>passage</w:t>
      </w:r>
      <w:r>
        <w:rPr>
          <w:color w:val="231F20"/>
          <w:spacing w:val="-5"/>
          <w:sz w:val="24"/>
        </w:rPr>
        <w:t> </w:t>
      </w:r>
      <w:r>
        <w:rPr>
          <w:color w:val="231F20"/>
          <w:sz w:val="24"/>
        </w:rPr>
        <w:t>of</w:t>
      </w:r>
      <w:r>
        <w:rPr>
          <w:color w:val="231F20"/>
          <w:spacing w:val="-5"/>
          <w:sz w:val="24"/>
        </w:rPr>
        <w:t> </w:t>
      </w:r>
      <w:r>
        <w:rPr>
          <w:color w:val="231F20"/>
          <w:sz w:val="24"/>
        </w:rPr>
        <w:t>time</w:t>
      </w:r>
      <w:r>
        <w:rPr>
          <w:color w:val="231F20"/>
          <w:spacing w:val="-5"/>
          <w:sz w:val="24"/>
        </w:rPr>
        <w:t> </w:t>
      </w:r>
      <w:r>
        <w:rPr>
          <w:color w:val="231F20"/>
          <w:sz w:val="24"/>
        </w:rPr>
        <w:t>charged to the Financing and Investment Income</w:t>
      </w:r>
    </w:p>
    <w:p>
      <w:pPr>
        <w:pStyle w:val="BodyText"/>
        <w:spacing w:line="225" w:lineRule="auto"/>
        <w:ind w:left="1046" w:right="211"/>
      </w:pPr>
      <w:r>
        <w:rPr>
          <w:color w:val="231F20"/>
        </w:rPr>
        <w:t>and</w:t>
      </w:r>
      <w:r>
        <w:rPr>
          <w:color w:val="231F20"/>
          <w:spacing w:val="-8"/>
        </w:rPr>
        <w:t> </w:t>
      </w:r>
      <w:r>
        <w:rPr>
          <w:color w:val="231F20"/>
        </w:rPr>
        <w:t>Expenditure</w:t>
      </w:r>
      <w:r>
        <w:rPr>
          <w:color w:val="231F20"/>
          <w:spacing w:val="-8"/>
        </w:rPr>
        <w:t> </w:t>
      </w:r>
      <w:r>
        <w:rPr>
          <w:color w:val="231F20"/>
        </w:rPr>
        <w:t>line</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Comprehensive Income and Expenditure Statement – this</w:t>
      </w:r>
      <w:r>
        <w:rPr>
          <w:color w:val="231F20"/>
          <w:spacing w:val="40"/>
        </w:rPr>
        <w:t> </w:t>
      </w:r>
      <w:r>
        <w:rPr>
          <w:color w:val="231F20"/>
        </w:rPr>
        <w:t>is calculated by applying the discount</w:t>
      </w:r>
    </w:p>
    <w:p>
      <w:pPr>
        <w:pStyle w:val="BodyText"/>
        <w:spacing w:line="225" w:lineRule="auto"/>
        <w:ind w:left="1046" w:right="209"/>
      </w:pPr>
      <w:r>
        <w:rPr>
          <w:color w:val="231F20"/>
        </w:rPr>
        <w:t>rate used to measure the defined benefit obligation at the beginning of the period to</w:t>
      </w:r>
      <w:r>
        <w:rPr>
          <w:color w:val="231F20"/>
          <w:spacing w:val="-5"/>
        </w:rPr>
        <w:t> </w:t>
      </w:r>
      <w:r>
        <w:rPr>
          <w:color w:val="231F20"/>
        </w:rPr>
        <w:t>the</w:t>
      </w:r>
      <w:r>
        <w:rPr>
          <w:color w:val="231F20"/>
          <w:spacing w:val="-5"/>
        </w:rPr>
        <w:t> </w:t>
      </w:r>
      <w:r>
        <w:rPr>
          <w:color w:val="231F20"/>
        </w:rPr>
        <w:t>net</w:t>
      </w:r>
      <w:r>
        <w:rPr>
          <w:color w:val="231F20"/>
          <w:spacing w:val="-5"/>
        </w:rPr>
        <w:t> </w:t>
      </w:r>
      <w:r>
        <w:rPr>
          <w:color w:val="231F20"/>
        </w:rPr>
        <w:t>defined</w:t>
      </w:r>
      <w:r>
        <w:rPr>
          <w:color w:val="231F20"/>
          <w:spacing w:val="-5"/>
        </w:rPr>
        <w:t> </w:t>
      </w:r>
      <w:r>
        <w:rPr>
          <w:color w:val="231F20"/>
        </w:rPr>
        <w:t>benefit</w:t>
      </w:r>
      <w:r>
        <w:rPr>
          <w:color w:val="231F20"/>
          <w:spacing w:val="-5"/>
        </w:rPr>
        <w:t> </w:t>
      </w:r>
      <w:r>
        <w:rPr>
          <w:color w:val="231F20"/>
        </w:rPr>
        <w:t>liability</w:t>
      </w:r>
      <w:r>
        <w:rPr>
          <w:color w:val="231F20"/>
          <w:spacing w:val="-6"/>
        </w:rPr>
        <w:t> </w:t>
      </w:r>
      <w:r>
        <w:rPr>
          <w:color w:val="231F20"/>
        </w:rPr>
        <w:t>(asset)</w:t>
      </w:r>
      <w:r>
        <w:rPr>
          <w:color w:val="231F20"/>
          <w:spacing w:val="-5"/>
        </w:rPr>
        <w:t> </w:t>
      </w:r>
      <w:r>
        <w:rPr>
          <w:color w:val="231F20"/>
        </w:rPr>
        <w:t>at the beginning of the period – taking into account any changes in the net defined</w:t>
      </w:r>
    </w:p>
    <w:p>
      <w:pPr>
        <w:pStyle w:val="BodyText"/>
        <w:spacing w:line="225" w:lineRule="auto"/>
        <w:ind w:left="1046"/>
      </w:pPr>
      <w:r>
        <w:rPr>
          <w:color w:val="231F20"/>
        </w:rPr>
        <w:t>benefit</w:t>
      </w:r>
      <w:r>
        <w:rPr>
          <w:color w:val="231F20"/>
          <w:spacing w:val="-5"/>
        </w:rPr>
        <w:t> </w:t>
      </w:r>
      <w:r>
        <w:rPr>
          <w:color w:val="231F20"/>
        </w:rPr>
        <w:t>liability</w:t>
      </w:r>
      <w:r>
        <w:rPr>
          <w:color w:val="231F20"/>
          <w:spacing w:val="-6"/>
        </w:rPr>
        <w:t> </w:t>
      </w:r>
      <w:r>
        <w:rPr>
          <w:color w:val="231F20"/>
        </w:rPr>
        <w:t>(asset)</w:t>
      </w:r>
      <w:r>
        <w:rPr>
          <w:color w:val="231F20"/>
          <w:spacing w:val="-5"/>
        </w:rPr>
        <w:t> </w:t>
      </w:r>
      <w:r>
        <w:rPr>
          <w:color w:val="231F20"/>
        </w:rPr>
        <w:t>during</w:t>
      </w:r>
      <w:r>
        <w:rPr>
          <w:color w:val="231F20"/>
          <w:spacing w:val="-5"/>
        </w:rPr>
        <w:t> </w:t>
      </w:r>
      <w:r>
        <w:rPr>
          <w:color w:val="231F20"/>
        </w:rPr>
        <w:t>the</w:t>
      </w:r>
      <w:r>
        <w:rPr>
          <w:color w:val="231F20"/>
          <w:spacing w:val="-5"/>
        </w:rPr>
        <w:t> </w:t>
      </w:r>
      <w:r>
        <w:rPr>
          <w:color w:val="231F20"/>
        </w:rPr>
        <w:t>period</w:t>
      </w:r>
      <w:r>
        <w:rPr>
          <w:color w:val="231F20"/>
          <w:spacing w:val="-5"/>
        </w:rPr>
        <w:t> </w:t>
      </w:r>
      <w:r>
        <w:rPr>
          <w:color w:val="231F20"/>
        </w:rPr>
        <w:t>as</w:t>
      </w:r>
      <w:r>
        <w:rPr>
          <w:color w:val="231F20"/>
          <w:spacing w:val="-5"/>
        </w:rPr>
        <w:t> </w:t>
      </w:r>
      <w:r>
        <w:rPr>
          <w:color w:val="231F20"/>
        </w:rPr>
        <w:t>a result of contribution and benefit payments</w:t>
      </w:r>
    </w:p>
    <w:p>
      <w:pPr>
        <w:pStyle w:val="Heading4"/>
        <w:numPr>
          <w:ilvl w:val="4"/>
          <w:numId w:val="11"/>
        </w:numPr>
        <w:tabs>
          <w:tab w:pos="1047" w:val="left" w:leader="none"/>
        </w:tabs>
        <w:spacing w:line="240" w:lineRule="auto" w:before="40" w:after="0"/>
        <w:ind w:left="1046" w:right="0" w:hanging="310"/>
        <w:jc w:val="left"/>
      </w:pPr>
      <w:r>
        <w:rPr>
          <w:color w:val="3B5673"/>
        </w:rPr>
        <w:t>Re-measurement</w:t>
      </w:r>
      <w:r>
        <w:rPr>
          <w:color w:val="3B5673"/>
          <w:spacing w:val="-7"/>
        </w:rPr>
        <w:t> </w:t>
      </w:r>
      <w:r>
        <w:rPr>
          <w:color w:val="3B5673"/>
          <w:spacing w:val="-2"/>
        </w:rPr>
        <w:t>comprising:</w:t>
      </w:r>
    </w:p>
    <w:p>
      <w:pPr>
        <w:pStyle w:val="ListParagraph"/>
        <w:numPr>
          <w:ilvl w:val="5"/>
          <w:numId w:val="11"/>
        </w:numPr>
        <w:tabs>
          <w:tab w:pos="1191" w:val="left" w:leader="none"/>
        </w:tabs>
        <w:spacing w:line="225" w:lineRule="auto" w:before="53" w:after="0"/>
        <w:ind w:left="1190" w:right="721" w:hanging="171"/>
        <w:jc w:val="left"/>
        <w:rPr>
          <w:sz w:val="24"/>
        </w:rPr>
      </w:pPr>
      <w:r>
        <w:rPr>
          <w:color w:val="231F20"/>
          <w:sz w:val="24"/>
        </w:rPr>
        <w:t>the</w:t>
      </w:r>
      <w:r>
        <w:rPr>
          <w:color w:val="231F20"/>
          <w:spacing w:val="-6"/>
          <w:sz w:val="24"/>
        </w:rPr>
        <w:t> </w:t>
      </w:r>
      <w:r>
        <w:rPr>
          <w:color w:val="231F20"/>
          <w:sz w:val="24"/>
        </w:rPr>
        <w:t>return</w:t>
      </w:r>
      <w:r>
        <w:rPr>
          <w:color w:val="231F20"/>
          <w:spacing w:val="-6"/>
          <w:sz w:val="24"/>
        </w:rPr>
        <w:t> </w:t>
      </w:r>
      <w:r>
        <w:rPr>
          <w:color w:val="231F20"/>
          <w:sz w:val="24"/>
        </w:rPr>
        <w:t>on</w:t>
      </w:r>
      <w:r>
        <w:rPr>
          <w:color w:val="231F20"/>
          <w:spacing w:val="-6"/>
          <w:sz w:val="24"/>
        </w:rPr>
        <w:t> </w:t>
      </w:r>
      <w:r>
        <w:rPr>
          <w:color w:val="231F20"/>
          <w:sz w:val="24"/>
        </w:rPr>
        <w:t>plan</w:t>
      </w:r>
      <w:r>
        <w:rPr>
          <w:color w:val="231F20"/>
          <w:spacing w:val="-6"/>
          <w:sz w:val="24"/>
        </w:rPr>
        <w:t> </w:t>
      </w:r>
      <w:r>
        <w:rPr>
          <w:color w:val="231F20"/>
          <w:sz w:val="24"/>
        </w:rPr>
        <w:t>assets</w:t>
      </w:r>
      <w:r>
        <w:rPr>
          <w:color w:val="231F20"/>
          <w:spacing w:val="-6"/>
          <w:sz w:val="24"/>
        </w:rPr>
        <w:t> </w:t>
      </w:r>
      <w:r>
        <w:rPr>
          <w:color w:val="231F20"/>
          <w:sz w:val="24"/>
        </w:rPr>
        <w:t>–</w:t>
      </w:r>
      <w:r>
        <w:rPr>
          <w:color w:val="231F20"/>
          <w:spacing w:val="-6"/>
          <w:sz w:val="24"/>
        </w:rPr>
        <w:t> </w:t>
      </w:r>
      <w:r>
        <w:rPr>
          <w:color w:val="231F20"/>
          <w:sz w:val="24"/>
        </w:rPr>
        <w:t>excluding amounts included in net interest on the defined benefit liability (asset) –</w:t>
      </w:r>
    </w:p>
    <w:p>
      <w:pPr>
        <w:pStyle w:val="BodyText"/>
        <w:spacing w:line="225" w:lineRule="auto"/>
        <w:ind w:left="1190"/>
      </w:pPr>
      <w:r>
        <w:rPr>
          <w:color w:val="231F20"/>
        </w:rPr>
        <w:t>charged</w:t>
      </w:r>
      <w:r>
        <w:rPr>
          <w:color w:val="231F20"/>
          <w:spacing w:val="-9"/>
        </w:rPr>
        <w:t> </w:t>
      </w:r>
      <w:r>
        <w:rPr>
          <w:color w:val="231F20"/>
        </w:rPr>
        <w:t>to</w:t>
      </w:r>
      <w:r>
        <w:rPr>
          <w:color w:val="231F20"/>
          <w:spacing w:val="-9"/>
        </w:rPr>
        <w:t> </w:t>
      </w:r>
      <w:r>
        <w:rPr>
          <w:color w:val="231F20"/>
        </w:rPr>
        <w:t>the</w:t>
      </w:r>
      <w:r>
        <w:rPr>
          <w:color w:val="231F20"/>
          <w:spacing w:val="-9"/>
        </w:rPr>
        <w:t> </w:t>
      </w:r>
      <w:r>
        <w:rPr>
          <w:color w:val="231F20"/>
        </w:rPr>
        <w:t>Pensions</w:t>
      </w:r>
      <w:r>
        <w:rPr>
          <w:color w:val="231F20"/>
          <w:spacing w:val="-9"/>
        </w:rPr>
        <w:t> </w:t>
      </w:r>
      <w:r>
        <w:rPr>
          <w:color w:val="231F20"/>
        </w:rPr>
        <w:t>Reserve</w:t>
      </w:r>
      <w:r>
        <w:rPr>
          <w:color w:val="231F20"/>
          <w:spacing w:val="-9"/>
        </w:rPr>
        <w:t> </w:t>
      </w:r>
      <w:r>
        <w:rPr>
          <w:color w:val="231F20"/>
        </w:rPr>
        <w:t>as</w:t>
      </w:r>
      <w:r>
        <w:rPr>
          <w:color w:val="231F20"/>
          <w:spacing w:val="-9"/>
        </w:rPr>
        <w:t> </w:t>
      </w:r>
      <w:r>
        <w:rPr>
          <w:color w:val="231F20"/>
        </w:rPr>
        <w:t>Other Comprehensive Income and Expenditure</w:t>
      </w:r>
    </w:p>
    <w:p>
      <w:pPr>
        <w:pStyle w:val="ListParagraph"/>
        <w:numPr>
          <w:ilvl w:val="5"/>
          <w:numId w:val="11"/>
        </w:numPr>
        <w:tabs>
          <w:tab w:pos="1191" w:val="left" w:leader="none"/>
        </w:tabs>
        <w:spacing w:line="225" w:lineRule="auto" w:before="56" w:after="0"/>
        <w:ind w:left="1190" w:right="830" w:hanging="171"/>
        <w:jc w:val="left"/>
        <w:rPr>
          <w:sz w:val="24"/>
        </w:rPr>
      </w:pPr>
      <w:r>
        <w:rPr>
          <w:color w:val="231F20"/>
          <w:sz w:val="24"/>
        </w:rPr>
        <w:t>actuarial</w:t>
      </w:r>
      <w:r>
        <w:rPr>
          <w:color w:val="231F20"/>
          <w:spacing w:val="-7"/>
          <w:sz w:val="24"/>
        </w:rPr>
        <w:t> </w:t>
      </w:r>
      <w:r>
        <w:rPr>
          <w:color w:val="231F20"/>
          <w:sz w:val="24"/>
        </w:rPr>
        <w:t>gains</w:t>
      </w:r>
      <w:r>
        <w:rPr>
          <w:color w:val="231F20"/>
          <w:spacing w:val="-7"/>
          <w:sz w:val="24"/>
        </w:rPr>
        <w:t> </w:t>
      </w:r>
      <w:r>
        <w:rPr>
          <w:color w:val="231F20"/>
          <w:sz w:val="24"/>
        </w:rPr>
        <w:t>and</w:t>
      </w:r>
      <w:r>
        <w:rPr>
          <w:color w:val="231F20"/>
          <w:spacing w:val="-7"/>
          <w:sz w:val="24"/>
        </w:rPr>
        <w:t> </w:t>
      </w:r>
      <w:r>
        <w:rPr>
          <w:color w:val="231F20"/>
          <w:sz w:val="24"/>
        </w:rPr>
        <w:t>losses</w:t>
      </w:r>
      <w:r>
        <w:rPr>
          <w:color w:val="231F20"/>
          <w:spacing w:val="-8"/>
          <w:sz w:val="24"/>
        </w:rPr>
        <w:t> </w:t>
      </w:r>
      <w:r>
        <w:rPr>
          <w:color w:val="231F20"/>
          <w:sz w:val="24"/>
        </w:rPr>
        <w:t>-</w:t>
      </w:r>
      <w:r>
        <w:rPr>
          <w:color w:val="231F20"/>
          <w:spacing w:val="-7"/>
          <w:sz w:val="24"/>
        </w:rPr>
        <w:t> </w:t>
      </w:r>
      <w:r>
        <w:rPr>
          <w:color w:val="231F20"/>
          <w:sz w:val="24"/>
        </w:rPr>
        <w:t>changes in</w:t>
      </w:r>
      <w:r>
        <w:rPr>
          <w:color w:val="231F20"/>
          <w:spacing w:val="-6"/>
          <w:sz w:val="24"/>
        </w:rPr>
        <w:t> </w:t>
      </w:r>
      <w:r>
        <w:rPr>
          <w:color w:val="231F20"/>
          <w:sz w:val="24"/>
        </w:rPr>
        <w:t>the</w:t>
      </w:r>
      <w:r>
        <w:rPr>
          <w:color w:val="231F20"/>
          <w:spacing w:val="-5"/>
          <w:sz w:val="24"/>
        </w:rPr>
        <w:t> </w:t>
      </w:r>
      <w:r>
        <w:rPr>
          <w:color w:val="231F20"/>
          <w:sz w:val="24"/>
        </w:rPr>
        <w:t>net</w:t>
      </w:r>
      <w:r>
        <w:rPr>
          <w:color w:val="231F20"/>
          <w:spacing w:val="-5"/>
          <w:sz w:val="24"/>
        </w:rPr>
        <w:t> </w:t>
      </w:r>
      <w:r>
        <w:rPr>
          <w:color w:val="231F20"/>
          <w:sz w:val="24"/>
        </w:rPr>
        <w:t>pension</w:t>
      </w:r>
      <w:r>
        <w:rPr>
          <w:color w:val="231F20"/>
          <w:spacing w:val="-5"/>
          <w:sz w:val="24"/>
        </w:rPr>
        <w:t> </w:t>
      </w:r>
      <w:r>
        <w:rPr>
          <w:color w:val="231F20"/>
          <w:sz w:val="24"/>
        </w:rPr>
        <w:t>liability</w:t>
      </w:r>
      <w:r>
        <w:rPr>
          <w:color w:val="231F20"/>
          <w:spacing w:val="-6"/>
          <w:sz w:val="24"/>
        </w:rPr>
        <w:t> </w:t>
      </w:r>
      <w:r>
        <w:rPr>
          <w:color w:val="231F20"/>
          <w:sz w:val="24"/>
        </w:rPr>
        <w:t>that</w:t>
      </w:r>
      <w:r>
        <w:rPr>
          <w:color w:val="231F20"/>
          <w:spacing w:val="-5"/>
          <w:sz w:val="24"/>
        </w:rPr>
        <w:t> </w:t>
      </w:r>
      <w:r>
        <w:rPr>
          <w:color w:val="231F20"/>
          <w:sz w:val="24"/>
        </w:rPr>
        <w:t>arise</w:t>
      </w:r>
    </w:p>
    <w:p>
      <w:pPr>
        <w:pStyle w:val="BodyText"/>
        <w:spacing w:line="225" w:lineRule="auto"/>
        <w:ind w:left="1190" w:right="428"/>
      </w:pPr>
      <w:r>
        <w:rPr>
          <w:color w:val="231F20"/>
        </w:rPr>
        <w:t>because</w:t>
      </w:r>
      <w:r>
        <w:rPr>
          <w:color w:val="231F20"/>
          <w:spacing w:val="-8"/>
        </w:rPr>
        <w:t> </w:t>
      </w:r>
      <w:r>
        <w:rPr>
          <w:color w:val="231F20"/>
        </w:rPr>
        <w:t>events</w:t>
      </w:r>
      <w:r>
        <w:rPr>
          <w:color w:val="231F20"/>
          <w:spacing w:val="-8"/>
        </w:rPr>
        <w:t> </w:t>
      </w:r>
      <w:r>
        <w:rPr>
          <w:color w:val="231F20"/>
        </w:rPr>
        <w:t>have</w:t>
      </w:r>
      <w:r>
        <w:rPr>
          <w:color w:val="231F20"/>
          <w:spacing w:val="-8"/>
        </w:rPr>
        <w:t> </w:t>
      </w:r>
      <w:r>
        <w:rPr>
          <w:color w:val="231F20"/>
        </w:rPr>
        <w:t>not</w:t>
      </w:r>
      <w:r>
        <w:rPr>
          <w:color w:val="231F20"/>
          <w:spacing w:val="-8"/>
        </w:rPr>
        <w:t> </w:t>
      </w:r>
      <w:r>
        <w:rPr>
          <w:color w:val="231F20"/>
        </w:rPr>
        <w:t>coincided</w:t>
      </w:r>
      <w:r>
        <w:rPr>
          <w:color w:val="231F20"/>
          <w:spacing w:val="-8"/>
        </w:rPr>
        <w:t> </w:t>
      </w:r>
      <w:r>
        <w:rPr>
          <w:color w:val="231F20"/>
        </w:rPr>
        <w:t>with assumptions made at the last actuarial valuation or because the actuaries have updated their assumptions – charged</w:t>
      </w:r>
      <w:r>
        <w:rPr>
          <w:color w:val="231F20"/>
          <w:spacing w:val="40"/>
        </w:rPr>
        <w:t> </w:t>
      </w:r>
      <w:r>
        <w:rPr>
          <w:color w:val="231F20"/>
        </w:rPr>
        <w:t>to the Pensions Reserve as Other</w:t>
      </w:r>
    </w:p>
    <w:p>
      <w:pPr>
        <w:pStyle w:val="BodyText"/>
        <w:spacing w:line="303" w:lineRule="exact"/>
        <w:ind w:left="1190"/>
      </w:pPr>
      <w:r>
        <w:rPr>
          <w:color w:val="231F20"/>
        </w:rPr>
        <w:t>Comprehensive</w:t>
      </w:r>
      <w:r>
        <w:rPr>
          <w:color w:val="231F20"/>
          <w:spacing w:val="-7"/>
        </w:rPr>
        <w:t> </w:t>
      </w:r>
      <w:r>
        <w:rPr>
          <w:color w:val="231F20"/>
        </w:rPr>
        <w:t>Income</w:t>
      </w:r>
      <w:r>
        <w:rPr>
          <w:color w:val="231F20"/>
          <w:spacing w:val="-7"/>
        </w:rPr>
        <w:t> </w:t>
      </w:r>
      <w:r>
        <w:rPr>
          <w:color w:val="231F20"/>
        </w:rPr>
        <w:t>and</w:t>
      </w:r>
      <w:r>
        <w:rPr>
          <w:color w:val="231F20"/>
          <w:spacing w:val="-5"/>
        </w:rPr>
        <w:t> </w:t>
      </w:r>
      <w:r>
        <w:rPr>
          <w:color w:val="231F20"/>
          <w:spacing w:val="-2"/>
        </w:rPr>
        <w:t>Expenditure.</w:t>
      </w:r>
    </w:p>
    <w:p>
      <w:pPr>
        <w:pStyle w:val="ListParagraph"/>
        <w:numPr>
          <w:ilvl w:val="2"/>
          <w:numId w:val="11"/>
        </w:numPr>
        <w:tabs>
          <w:tab w:pos="730" w:val="left" w:leader="none"/>
        </w:tabs>
        <w:spacing w:line="225" w:lineRule="auto" w:before="115" w:after="0"/>
        <w:ind w:left="729" w:right="639" w:hanging="310"/>
        <w:jc w:val="left"/>
        <w:rPr>
          <w:sz w:val="24"/>
        </w:rPr>
      </w:pPr>
      <w:r>
        <w:rPr/>
        <w:br w:type="column"/>
      </w:r>
      <w:r>
        <w:rPr>
          <w:b/>
          <w:color w:val="3B5673"/>
          <w:sz w:val="24"/>
        </w:rPr>
        <w:t>Contributions paid to Nottinghamshire Pension Fund </w:t>
      </w:r>
      <w:r>
        <w:rPr>
          <w:color w:val="231F20"/>
          <w:sz w:val="24"/>
        </w:rPr>
        <w:t>- Cash paid as employer’s contributions to the pension fund in settlement</w:t>
      </w:r>
      <w:r>
        <w:rPr>
          <w:color w:val="231F20"/>
          <w:spacing w:val="-7"/>
          <w:sz w:val="24"/>
        </w:rPr>
        <w:t> </w:t>
      </w:r>
      <w:r>
        <w:rPr>
          <w:color w:val="231F20"/>
          <w:sz w:val="24"/>
        </w:rPr>
        <w:t>of</w:t>
      </w:r>
      <w:r>
        <w:rPr>
          <w:color w:val="231F20"/>
          <w:spacing w:val="-6"/>
          <w:sz w:val="24"/>
        </w:rPr>
        <w:t> </w:t>
      </w:r>
      <w:r>
        <w:rPr>
          <w:color w:val="231F20"/>
          <w:sz w:val="24"/>
        </w:rPr>
        <w:t>liabilities;</w:t>
      </w:r>
      <w:r>
        <w:rPr>
          <w:color w:val="231F20"/>
          <w:spacing w:val="-7"/>
          <w:sz w:val="24"/>
        </w:rPr>
        <w:t> </w:t>
      </w:r>
      <w:r>
        <w:rPr>
          <w:color w:val="231F20"/>
          <w:sz w:val="24"/>
        </w:rPr>
        <w:t>not</w:t>
      </w:r>
      <w:r>
        <w:rPr>
          <w:color w:val="231F20"/>
          <w:spacing w:val="-6"/>
          <w:sz w:val="24"/>
        </w:rPr>
        <w:t> </w:t>
      </w:r>
      <w:r>
        <w:rPr>
          <w:color w:val="231F20"/>
          <w:sz w:val="24"/>
        </w:rPr>
        <w:t>accounted</w:t>
      </w:r>
      <w:r>
        <w:rPr>
          <w:color w:val="231F20"/>
          <w:spacing w:val="-6"/>
          <w:sz w:val="24"/>
        </w:rPr>
        <w:t> </w:t>
      </w:r>
      <w:r>
        <w:rPr>
          <w:color w:val="231F20"/>
          <w:sz w:val="24"/>
        </w:rPr>
        <w:t>for</w:t>
      </w:r>
      <w:r>
        <w:rPr>
          <w:color w:val="231F20"/>
          <w:spacing w:val="-6"/>
          <w:sz w:val="24"/>
        </w:rPr>
        <w:t> </w:t>
      </w:r>
      <w:r>
        <w:rPr>
          <w:color w:val="231F20"/>
          <w:sz w:val="24"/>
        </w:rPr>
        <w:t>as an expense.</w:t>
      </w:r>
    </w:p>
    <w:p>
      <w:pPr>
        <w:pStyle w:val="BodyText"/>
        <w:spacing w:before="11"/>
        <w:rPr>
          <w:sz w:val="26"/>
        </w:rPr>
      </w:pPr>
    </w:p>
    <w:p>
      <w:pPr>
        <w:pStyle w:val="BodyText"/>
        <w:spacing w:line="225" w:lineRule="auto"/>
        <w:ind w:left="249" w:right="987"/>
      </w:pPr>
      <w:r>
        <w:rPr>
          <w:color w:val="231F20"/>
        </w:rPr>
        <w:t>In relation to retirement benefits, statutory provisions require the General Fund Balance to be charged with the amount payable by the</w:t>
      </w:r>
      <w:r>
        <w:rPr>
          <w:color w:val="231F20"/>
          <w:spacing w:val="-4"/>
        </w:rPr>
        <w:t> </w:t>
      </w:r>
      <w:r>
        <w:rPr>
          <w:color w:val="231F20"/>
        </w:rPr>
        <w:t>Council</w:t>
      </w:r>
      <w:r>
        <w:rPr>
          <w:color w:val="231F20"/>
          <w:spacing w:val="-5"/>
        </w:rPr>
        <w:t> </w:t>
      </w:r>
      <w:r>
        <w:rPr>
          <w:color w:val="231F20"/>
        </w:rPr>
        <w:t>to</w:t>
      </w:r>
      <w:r>
        <w:rPr>
          <w:color w:val="231F20"/>
          <w:spacing w:val="-4"/>
        </w:rPr>
        <w:t> </w:t>
      </w:r>
      <w:r>
        <w:rPr>
          <w:color w:val="231F20"/>
        </w:rPr>
        <w:t>the</w:t>
      </w:r>
      <w:r>
        <w:rPr>
          <w:color w:val="231F20"/>
          <w:spacing w:val="-4"/>
        </w:rPr>
        <w:t> </w:t>
      </w:r>
      <w:r>
        <w:rPr>
          <w:color w:val="231F20"/>
        </w:rPr>
        <w:t>pension</w:t>
      </w:r>
      <w:r>
        <w:rPr>
          <w:color w:val="231F20"/>
          <w:spacing w:val="-4"/>
        </w:rPr>
        <w:t> </w:t>
      </w:r>
      <w:r>
        <w:rPr>
          <w:color w:val="231F20"/>
        </w:rPr>
        <w:t>fund</w:t>
      </w:r>
      <w:r>
        <w:rPr>
          <w:color w:val="231F20"/>
          <w:spacing w:val="-4"/>
        </w:rPr>
        <w:t> </w:t>
      </w:r>
      <w:r>
        <w:rPr>
          <w:color w:val="231F20"/>
        </w:rPr>
        <w:t>or</w:t>
      </w:r>
      <w:r>
        <w:rPr>
          <w:color w:val="231F20"/>
          <w:spacing w:val="-4"/>
        </w:rPr>
        <w:t> </w:t>
      </w:r>
      <w:r>
        <w:rPr>
          <w:color w:val="231F20"/>
        </w:rPr>
        <w:t>directly</w:t>
      </w:r>
      <w:r>
        <w:rPr>
          <w:color w:val="231F20"/>
          <w:spacing w:val="-4"/>
        </w:rPr>
        <w:t> </w:t>
      </w:r>
      <w:r>
        <w:rPr>
          <w:color w:val="231F20"/>
        </w:rPr>
        <w:t>to</w:t>
      </w:r>
    </w:p>
    <w:p>
      <w:pPr>
        <w:pStyle w:val="BodyText"/>
        <w:spacing w:line="225" w:lineRule="auto"/>
        <w:ind w:left="249" w:right="529"/>
      </w:pPr>
      <w:r>
        <w:rPr>
          <w:color w:val="231F20"/>
        </w:rPr>
        <w:t>pensioners</w:t>
      </w:r>
      <w:r>
        <w:rPr>
          <w:color w:val="231F20"/>
          <w:spacing w:val="-5"/>
        </w:rPr>
        <w:t> </w:t>
      </w:r>
      <w:r>
        <w:rPr>
          <w:color w:val="231F20"/>
        </w:rPr>
        <w:t>in</w:t>
      </w:r>
      <w:r>
        <w:rPr>
          <w:color w:val="231F20"/>
          <w:spacing w:val="-6"/>
        </w:rPr>
        <w:t> </w:t>
      </w:r>
      <w:r>
        <w:rPr>
          <w:color w:val="231F20"/>
        </w:rPr>
        <w:t>the</w:t>
      </w:r>
      <w:r>
        <w:rPr>
          <w:color w:val="231F20"/>
          <w:spacing w:val="-5"/>
        </w:rPr>
        <w:t> </w:t>
      </w:r>
      <w:r>
        <w:rPr>
          <w:color w:val="231F20"/>
        </w:rPr>
        <w:t>year,</w:t>
      </w:r>
      <w:r>
        <w:rPr>
          <w:color w:val="231F20"/>
          <w:spacing w:val="-5"/>
        </w:rPr>
        <w:t> </w:t>
      </w:r>
      <w:r>
        <w:rPr>
          <w:color w:val="231F20"/>
        </w:rPr>
        <w:t>not</w:t>
      </w:r>
      <w:r>
        <w:rPr>
          <w:color w:val="231F20"/>
          <w:spacing w:val="-5"/>
        </w:rPr>
        <w:t> </w:t>
      </w:r>
      <w:r>
        <w:rPr>
          <w:color w:val="231F20"/>
        </w:rPr>
        <w:t>the</w:t>
      </w:r>
      <w:r>
        <w:rPr>
          <w:color w:val="231F20"/>
          <w:spacing w:val="-5"/>
        </w:rPr>
        <w:t> </w:t>
      </w:r>
      <w:r>
        <w:rPr>
          <w:color w:val="231F20"/>
        </w:rPr>
        <w:t>amount</w:t>
      </w:r>
      <w:r>
        <w:rPr>
          <w:color w:val="231F20"/>
          <w:spacing w:val="-5"/>
        </w:rPr>
        <w:t> </w:t>
      </w:r>
      <w:r>
        <w:rPr>
          <w:color w:val="231F20"/>
        </w:rPr>
        <w:t>calculated according to the relevant accounting standards.</w:t>
      </w:r>
    </w:p>
    <w:p>
      <w:pPr>
        <w:pStyle w:val="BodyText"/>
        <w:spacing w:before="7"/>
        <w:rPr>
          <w:sz w:val="22"/>
        </w:rPr>
      </w:pPr>
    </w:p>
    <w:p>
      <w:pPr>
        <w:pStyle w:val="BodyText"/>
        <w:spacing w:line="225" w:lineRule="auto"/>
        <w:ind w:left="249" w:right="529"/>
      </w:pPr>
      <w:r>
        <w:rPr/>
        <w:pict>
          <v:group style="position:absolute;margin-left:578.504028pt;margin-top:73.475182pt;width:16.8pt;height:192.8pt;mso-position-horizontal-relative:page;mso-position-vertical-relative:paragraph;z-index:15766016" id="docshapegroup308" coordorigin="11570,1470" coordsize="336,3856">
            <v:rect style="position:absolute;left:11570;top:4360;width:336;height:964" id="docshape309" filled="true" fillcolor="#f15d6b" stroked="false">
              <v:fill type="solid"/>
            </v:rect>
            <v:rect style="position:absolute;left:11570;top:3397;width:336;height:964" id="docshape310" filled="true" fillcolor="#fbac42" stroked="false">
              <v:fill type="solid"/>
            </v:rect>
            <v:rect style="position:absolute;left:11570;top:2433;width:336;height:964" id="docshape311" filled="true" fillcolor="#b78fc1" stroked="false">
              <v:fill type="solid"/>
            </v:rect>
            <v:rect style="position:absolute;left:11570;top:1469;width:336;height:964" id="docshape312" filled="true" fillcolor="#378372" stroked="false">
              <v:fill type="solid"/>
            </v:rect>
            <w10:wrap type="none"/>
          </v:group>
        </w:pict>
      </w:r>
      <w:r>
        <w:rPr>
          <w:color w:val="231F20"/>
        </w:rPr>
        <w:t>In the Movement in Reserves Statement this means that there are transfers to and from the Pensions Reserve to remove the notional debits and credits for retirement benefits and replace them</w:t>
      </w:r>
      <w:r>
        <w:rPr>
          <w:color w:val="231F20"/>
          <w:spacing w:val="-4"/>
        </w:rPr>
        <w:t> </w:t>
      </w:r>
      <w:r>
        <w:rPr>
          <w:color w:val="231F20"/>
        </w:rPr>
        <w:t>with</w:t>
      </w:r>
      <w:r>
        <w:rPr>
          <w:color w:val="231F20"/>
          <w:spacing w:val="-4"/>
        </w:rPr>
        <w:t> </w:t>
      </w:r>
      <w:r>
        <w:rPr>
          <w:color w:val="231F20"/>
        </w:rPr>
        <w:t>debits</w:t>
      </w:r>
      <w:r>
        <w:rPr>
          <w:color w:val="231F20"/>
          <w:spacing w:val="-4"/>
        </w:rPr>
        <w:t> </w:t>
      </w:r>
      <w:r>
        <w:rPr>
          <w:color w:val="231F20"/>
        </w:rPr>
        <w:t>for</w:t>
      </w:r>
      <w:r>
        <w:rPr>
          <w:color w:val="231F20"/>
          <w:spacing w:val="-4"/>
        </w:rPr>
        <w:t> </w:t>
      </w:r>
      <w:r>
        <w:rPr>
          <w:color w:val="231F20"/>
        </w:rPr>
        <w:t>the</w:t>
      </w:r>
      <w:r>
        <w:rPr>
          <w:color w:val="231F20"/>
          <w:spacing w:val="-4"/>
        </w:rPr>
        <w:t> </w:t>
      </w:r>
      <w:r>
        <w:rPr>
          <w:color w:val="231F20"/>
        </w:rPr>
        <w:t>cash</w:t>
      </w:r>
      <w:r>
        <w:rPr>
          <w:color w:val="231F20"/>
          <w:spacing w:val="-4"/>
        </w:rPr>
        <w:t> </w:t>
      </w:r>
      <w:r>
        <w:rPr>
          <w:color w:val="231F20"/>
        </w:rPr>
        <w:t>paid</w:t>
      </w:r>
      <w:r>
        <w:rPr>
          <w:color w:val="231F20"/>
          <w:spacing w:val="-4"/>
        </w:rPr>
        <w:t> </w:t>
      </w:r>
      <w:r>
        <w:rPr>
          <w:color w:val="231F20"/>
        </w:rPr>
        <w:t>to</w:t>
      </w:r>
      <w:r>
        <w:rPr>
          <w:color w:val="231F20"/>
          <w:spacing w:val="-4"/>
        </w:rPr>
        <w:t> </w:t>
      </w:r>
      <w:r>
        <w:rPr>
          <w:color w:val="231F20"/>
        </w:rPr>
        <w:t>the</w:t>
      </w:r>
      <w:r>
        <w:rPr>
          <w:color w:val="231F20"/>
          <w:spacing w:val="-4"/>
        </w:rPr>
        <w:t> </w:t>
      </w:r>
      <w:r>
        <w:rPr>
          <w:color w:val="231F20"/>
        </w:rPr>
        <w:t>pension fund and pensioners and any such amounts payable to the fund but unpaid at the year-end.</w:t>
      </w:r>
    </w:p>
    <w:p>
      <w:pPr>
        <w:pStyle w:val="BodyText"/>
        <w:spacing w:before="7"/>
        <w:rPr>
          <w:sz w:val="22"/>
        </w:rPr>
      </w:pPr>
    </w:p>
    <w:p>
      <w:pPr>
        <w:pStyle w:val="BodyText"/>
        <w:spacing w:line="225" w:lineRule="auto"/>
        <w:ind w:left="249" w:right="639"/>
      </w:pPr>
      <w:r>
        <w:rPr>
          <w:color w:val="231F20"/>
        </w:rPr>
        <w:t>The</w:t>
      </w:r>
      <w:r>
        <w:rPr>
          <w:color w:val="231F20"/>
          <w:spacing w:val="-6"/>
        </w:rPr>
        <w:t> </w:t>
      </w:r>
      <w:r>
        <w:rPr>
          <w:color w:val="231F20"/>
        </w:rPr>
        <w:t>negative</w:t>
      </w:r>
      <w:r>
        <w:rPr>
          <w:color w:val="231F20"/>
          <w:spacing w:val="-6"/>
        </w:rPr>
        <w:t> </w:t>
      </w:r>
      <w:r>
        <w:rPr>
          <w:color w:val="231F20"/>
        </w:rPr>
        <w:t>balance</w:t>
      </w:r>
      <w:r>
        <w:rPr>
          <w:color w:val="231F20"/>
          <w:spacing w:val="-6"/>
        </w:rPr>
        <w:t> </w:t>
      </w:r>
      <w:r>
        <w:rPr>
          <w:color w:val="231F20"/>
        </w:rPr>
        <w:t>that</w:t>
      </w:r>
      <w:r>
        <w:rPr>
          <w:color w:val="231F20"/>
          <w:spacing w:val="-6"/>
        </w:rPr>
        <w:t> </w:t>
      </w:r>
      <w:r>
        <w:rPr>
          <w:color w:val="231F20"/>
        </w:rPr>
        <w:t>arises</w:t>
      </w:r>
      <w:r>
        <w:rPr>
          <w:color w:val="231F20"/>
          <w:spacing w:val="-6"/>
        </w:rPr>
        <w:t> </w:t>
      </w:r>
      <w:r>
        <w:rPr>
          <w:color w:val="231F20"/>
        </w:rPr>
        <w:t>on</w:t>
      </w:r>
      <w:r>
        <w:rPr>
          <w:color w:val="231F20"/>
          <w:spacing w:val="-6"/>
        </w:rPr>
        <w:t> </w:t>
      </w:r>
      <w:r>
        <w:rPr>
          <w:color w:val="231F20"/>
        </w:rPr>
        <w:t>the</w:t>
      </w:r>
      <w:r>
        <w:rPr>
          <w:color w:val="231F20"/>
          <w:spacing w:val="-6"/>
        </w:rPr>
        <w:t> </w:t>
      </w:r>
      <w:r>
        <w:rPr>
          <w:color w:val="231F20"/>
        </w:rPr>
        <w:t>Pensions reserve thereby measures the beneficial impact on the General Fund of being required to account for retirement benefits on the basis of cash flows rather than as benefits are earned by </w:t>
      </w:r>
      <w:r>
        <w:rPr>
          <w:color w:val="231F20"/>
          <w:spacing w:val="-2"/>
        </w:rPr>
        <w:t>employees.</w:t>
      </w:r>
    </w:p>
    <w:p>
      <w:pPr>
        <w:pStyle w:val="Heading4"/>
        <w:numPr>
          <w:ilvl w:val="1"/>
          <w:numId w:val="11"/>
        </w:numPr>
        <w:tabs>
          <w:tab w:pos="421" w:val="left" w:leader="none"/>
        </w:tabs>
        <w:spacing w:line="310" w:lineRule="exact" w:before="284" w:after="0"/>
        <w:ind w:left="420" w:right="0" w:hanging="172"/>
        <w:jc w:val="left"/>
      </w:pPr>
      <w:r>
        <w:rPr>
          <w:color w:val="3B5673"/>
        </w:rPr>
        <w:t>Discretionary</w:t>
      </w:r>
      <w:r>
        <w:rPr>
          <w:color w:val="3B5673"/>
          <w:spacing w:val="3"/>
        </w:rPr>
        <w:t> </w:t>
      </w:r>
      <w:r>
        <w:rPr>
          <w:color w:val="3B5673"/>
          <w:spacing w:val="-2"/>
        </w:rPr>
        <w:t>Benefits</w:t>
      </w:r>
    </w:p>
    <w:p>
      <w:pPr>
        <w:pStyle w:val="BodyText"/>
        <w:spacing w:line="225" w:lineRule="auto" w:before="6"/>
        <w:ind w:left="420" w:right="529"/>
      </w:pPr>
      <w:r>
        <w:rPr>
          <w:color w:val="231F20"/>
        </w:rPr>
        <w:t>The Council also has restricted powers to make discretionary awards of retirement benefits in the event of early retirements. Any liabilities estimated</w:t>
      </w:r>
      <w:r>
        <w:rPr>
          <w:color w:val="231F20"/>
          <w:spacing w:val="-4"/>
        </w:rPr>
        <w:t> </w:t>
      </w:r>
      <w:r>
        <w:rPr>
          <w:color w:val="231F20"/>
        </w:rPr>
        <w:t>to</w:t>
      </w:r>
      <w:r>
        <w:rPr>
          <w:color w:val="231F20"/>
          <w:spacing w:val="-4"/>
        </w:rPr>
        <w:t> </w:t>
      </w:r>
      <w:r>
        <w:rPr>
          <w:color w:val="231F20"/>
        </w:rPr>
        <w:t>arise</w:t>
      </w:r>
      <w:r>
        <w:rPr>
          <w:color w:val="231F20"/>
          <w:spacing w:val="-4"/>
        </w:rPr>
        <w:t> </w:t>
      </w:r>
      <w:r>
        <w:rPr>
          <w:color w:val="231F20"/>
        </w:rPr>
        <w:t>as</w:t>
      </w:r>
      <w:r>
        <w:rPr>
          <w:color w:val="231F20"/>
          <w:spacing w:val="-4"/>
        </w:rPr>
        <w:t> </w:t>
      </w:r>
      <w:r>
        <w:rPr>
          <w:color w:val="231F20"/>
        </w:rPr>
        <w:t>a</w:t>
      </w:r>
      <w:r>
        <w:rPr>
          <w:color w:val="231F20"/>
          <w:spacing w:val="-4"/>
        </w:rPr>
        <w:t> </w:t>
      </w:r>
      <w:r>
        <w:rPr>
          <w:color w:val="231F20"/>
        </w:rPr>
        <w:t>result</w:t>
      </w:r>
      <w:r>
        <w:rPr>
          <w:color w:val="231F20"/>
          <w:spacing w:val="-4"/>
        </w:rPr>
        <w:t> </w:t>
      </w:r>
      <w:r>
        <w:rPr>
          <w:color w:val="231F20"/>
        </w:rPr>
        <w:t>of</w:t>
      </w:r>
      <w:r>
        <w:rPr>
          <w:color w:val="231F20"/>
          <w:spacing w:val="-4"/>
        </w:rPr>
        <w:t> </w:t>
      </w:r>
      <w:r>
        <w:rPr>
          <w:color w:val="231F20"/>
        </w:rPr>
        <w:t>an</w:t>
      </w:r>
      <w:r>
        <w:rPr>
          <w:color w:val="231F20"/>
          <w:spacing w:val="-4"/>
        </w:rPr>
        <w:t> </w:t>
      </w:r>
      <w:r>
        <w:rPr>
          <w:color w:val="231F20"/>
        </w:rPr>
        <w:t>award</w:t>
      </w:r>
      <w:r>
        <w:rPr>
          <w:color w:val="231F20"/>
          <w:spacing w:val="-4"/>
        </w:rPr>
        <w:t> </w:t>
      </w:r>
      <w:r>
        <w:rPr>
          <w:color w:val="231F20"/>
        </w:rPr>
        <w:t>to</w:t>
      </w:r>
      <w:r>
        <w:rPr>
          <w:color w:val="231F20"/>
          <w:spacing w:val="-4"/>
        </w:rPr>
        <w:t> </w:t>
      </w:r>
      <w:r>
        <w:rPr>
          <w:color w:val="231F20"/>
        </w:rPr>
        <w:t>any member of staff are accrued in the year of the decision to make the award and accounted for using the same policies as are applied to the Local Government Pension Scheme.</w:t>
      </w:r>
    </w:p>
    <w:p>
      <w:pPr>
        <w:spacing w:after="0" w:line="225" w:lineRule="auto"/>
        <w:sectPr>
          <w:type w:val="continuous"/>
          <w:pgSz w:w="11910" w:h="16840"/>
          <w:pgMar w:header="377" w:footer="367" w:top="260" w:bottom="0" w:left="0" w:right="0"/>
          <w:cols w:num="2" w:equalWidth="0">
            <w:col w:w="5805" w:space="40"/>
            <w:col w:w="6065"/>
          </w:cols>
        </w:sectPr>
      </w:pPr>
    </w:p>
    <w:p>
      <w:pPr>
        <w:pStyle w:val="BodyText"/>
        <w:rPr>
          <w:sz w:val="28"/>
        </w:rPr>
      </w:pPr>
    </w:p>
    <w:p>
      <w:pPr>
        <w:spacing w:after="0"/>
        <w:rPr>
          <w:sz w:val="28"/>
        </w:rPr>
        <w:sectPr>
          <w:pgSz w:w="11910" w:h="16840"/>
          <w:pgMar w:header="377" w:footer="367" w:top="560" w:bottom="560" w:left="0" w:right="0"/>
        </w:sectPr>
      </w:pPr>
    </w:p>
    <w:p>
      <w:pPr>
        <w:pStyle w:val="Heading3"/>
        <w:numPr>
          <w:ilvl w:val="0"/>
          <w:numId w:val="11"/>
        </w:numPr>
        <w:tabs>
          <w:tab w:pos="841" w:val="left" w:leader="none"/>
        </w:tabs>
        <w:spacing w:line="310" w:lineRule="exact" w:before="100" w:after="0"/>
        <w:ind w:left="840" w:right="0" w:hanging="275"/>
        <w:jc w:val="left"/>
      </w:pPr>
      <w:r>
        <w:rPr>
          <w:color w:val="3B5673"/>
        </w:rPr>
        <w:t>EVENTS</w:t>
      </w:r>
      <w:r>
        <w:rPr>
          <w:color w:val="3B5673"/>
          <w:spacing w:val="45"/>
        </w:rPr>
        <w:t> </w:t>
      </w:r>
      <w:r>
        <w:rPr>
          <w:color w:val="3B5673"/>
        </w:rPr>
        <w:t>AFTER</w:t>
      </w:r>
      <w:r>
        <w:rPr>
          <w:color w:val="3B5673"/>
          <w:spacing w:val="46"/>
        </w:rPr>
        <w:t> </w:t>
      </w:r>
      <w:r>
        <w:rPr>
          <w:color w:val="3B5673"/>
        </w:rPr>
        <w:t>THE</w:t>
      </w:r>
      <w:r>
        <w:rPr>
          <w:color w:val="3B5673"/>
          <w:spacing w:val="46"/>
        </w:rPr>
        <w:t> </w:t>
      </w:r>
      <w:r>
        <w:rPr>
          <w:color w:val="3B5673"/>
        </w:rPr>
        <w:t>REPORTING</w:t>
      </w:r>
      <w:r>
        <w:rPr>
          <w:color w:val="3B5673"/>
          <w:spacing w:val="46"/>
        </w:rPr>
        <w:t> </w:t>
      </w:r>
      <w:r>
        <w:rPr>
          <w:color w:val="3B5673"/>
          <w:spacing w:val="-2"/>
        </w:rPr>
        <w:t>PERIOD</w:t>
      </w:r>
    </w:p>
    <w:p>
      <w:pPr>
        <w:pStyle w:val="BodyText"/>
        <w:spacing w:line="225" w:lineRule="auto" w:before="6"/>
        <w:ind w:left="566"/>
      </w:pPr>
      <w:r>
        <w:rPr>
          <w:color w:val="231F20"/>
        </w:rPr>
        <w:t>Events after the Balance Sheet date are those events, both favourable and unfavourable, that occur between the end of the reporting period and</w:t>
      </w:r>
      <w:r>
        <w:rPr>
          <w:color w:val="231F20"/>
          <w:spacing w:val="-6"/>
        </w:rPr>
        <w:t> </w:t>
      </w:r>
      <w:r>
        <w:rPr>
          <w:color w:val="231F20"/>
        </w:rPr>
        <w:t>the</w:t>
      </w:r>
      <w:r>
        <w:rPr>
          <w:color w:val="231F20"/>
          <w:spacing w:val="-6"/>
        </w:rPr>
        <w:t> </w:t>
      </w:r>
      <w:r>
        <w:rPr>
          <w:color w:val="231F20"/>
        </w:rPr>
        <w:t>date</w:t>
      </w:r>
      <w:r>
        <w:rPr>
          <w:color w:val="231F20"/>
          <w:spacing w:val="-6"/>
        </w:rPr>
        <w:t> </w:t>
      </w:r>
      <w:r>
        <w:rPr>
          <w:color w:val="231F20"/>
        </w:rPr>
        <w:t>when</w:t>
      </w:r>
      <w:r>
        <w:rPr>
          <w:color w:val="231F20"/>
          <w:spacing w:val="-6"/>
        </w:rPr>
        <w:t> </w:t>
      </w:r>
      <w:r>
        <w:rPr>
          <w:color w:val="231F20"/>
        </w:rPr>
        <w:t>the</w:t>
      </w:r>
      <w:r>
        <w:rPr>
          <w:color w:val="231F20"/>
          <w:spacing w:val="-6"/>
        </w:rPr>
        <w:t> </w:t>
      </w:r>
      <w:r>
        <w:rPr>
          <w:color w:val="231F20"/>
        </w:rPr>
        <w:t>Statement</w:t>
      </w:r>
      <w:r>
        <w:rPr>
          <w:color w:val="231F20"/>
          <w:spacing w:val="-6"/>
        </w:rPr>
        <w:t> </w:t>
      </w:r>
      <w:r>
        <w:rPr>
          <w:color w:val="231F20"/>
        </w:rPr>
        <w:t>of</w:t>
      </w:r>
      <w:r>
        <w:rPr>
          <w:color w:val="231F20"/>
          <w:spacing w:val="-6"/>
        </w:rPr>
        <w:t> </w:t>
      </w:r>
      <w:r>
        <w:rPr>
          <w:color w:val="231F20"/>
        </w:rPr>
        <w:t>Accounts</w:t>
      </w:r>
      <w:r>
        <w:rPr>
          <w:color w:val="231F20"/>
          <w:spacing w:val="-6"/>
        </w:rPr>
        <w:t> </w:t>
      </w:r>
      <w:r>
        <w:rPr>
          <w:color w:val="231F20"/>
        </w:rPr>
        <w:t>is authorised</w:t>
      </w:r>
      <w:r>
        <w:rPr>
          <w:color w:val="231F20"/>
          <w:spacing w:val="-3"/>
        </w:rPr>
        <w:t> </w:t>
      </w:r>
      <w:r>
        <w:rPr>
          <w:color w:val="231F20"/>
        </w:rPr>
        <w:t>for</w:t>
      </w:r>
      <w:r>
        <w:rPr>
          <w:color w:val="231F20"/>
          <w:spacing w:val="-3"/>
        </w:rPr>
        <w:t> </w:t>
      </w:r>
      <w:r>
        <w:rPr>
          <w:color w:val="231F20"/>
        </w:rPr>
        <w:t>issue.</w:t>
      </w:r>
      <w:r>
        <w:rPr>
          <w:color w:val="231F20"/>
          <w:spacing w:val="-4"/>
        </w:rPr>
        <w:t> </w:t>
      </w:r>
      <w:r>
        <w:rPr>
          <w:color w:val="231F20"/>
        </w:rPr>
        <w:t>Two</w:t>
      </w:r>
      <w:r>
        <w:rPr>
          <w:color w:val="231F20"/>
          <w:spacing w:val="-3"/>
        </w:rPr>
        <w:t> </w:t>
      </w:r>
      <w:r>
        <w:rPr>
          <w:color w:val="231F20"/>
        </w:rPr>
        <w:t>types</w:t>
      </w:r>
      <w:r>
        <w:rPr>
          <w:color w:val="231F20"/>
          <w:spacing w:val="-3"/>
        </w:rPr>
        <w:t> </w:t>
      </w:r>
      <w:r>
        <w:rPr>
          <w:color w:val="231F20"/>
        </w:rPr>
        <w:t>of</w:t>
      </w:r>
      <w:r>
        <w:rPr>
          <w:color w:val="231F20"/>
          <w:spacing w:val="-3"/>
        </w:rPr>
        <w:t> </w:t>
      </w:r>
      <w:r>
        <w:rPr>
          <w:color w:val="231F20"/>
        </w:rPr>
        <w:t>events</w:t>
      </w:r>
      <w:r>
        <w:rPr>
          <w:color w:val="231F20"/>
          <w:spacing w:val="-3"/>
        </w:rPr>
        <w:t> </w:t>
      </w:r>
      <w:r>
        <w:rPr>
          <w:color w:val="231F20"/>
        </w:rPr>
        <w:t>can</w:t>
      </w:r>
      <w:r>
        <w:rPr>
          <w:color w:val="231F20"/>
          <w:spacing w:val="-3"/>
        </w:rPr>
        <w:t> </w:t>
      </w:r>
      <w:r>
        <w:rPr>
          <w:color w:val="231F20"/>
        </w:rPr>
        <w:t>be </w:t>
      </w:r>
      <w:r>
        <w:rPr>
          <w:color w:val="231F20"/>
          <w:spacing w:val="-2"/>
        </w:rPr>
        <w:t>identified;</w:t>
      </w:r>
    </w:p>
    <w:p>
      <w:pPr>
        <w:pStyle w:val="BodyText"/>
        <w:spacing w:before="7"/>
        <w:rPr>
          <w:sz w:val="22"/>
        </w:rPr>
      </w:pPr>
    </w:p>
    <w:p>
      <w:pPr>
        <w:pStyle w:val="ListParagraph"/>
        <w:numPr>
          <w:ilvl w:val="1"/>
          <w:numId w:val="11"/>
        </w:numPr>
        <w:tabs>
          <w:tab w:pos="737" w:val="left" w:leader="none"/>
        </w:tabs>
        <w:spacing w:line="225" w:lineRule="auto" w:before="0" w:after="0"/>
        <w:ind w:left="737" w:right="66" w:hanging="171"/>
        <w:jc w:val="left"/>
        <w:rPr>
          <w:sz w:val="24"/>
        </w:rPr>
      </w:pPr>
      <w:r>
        <w:rPr>
          <w:color w:val="231F20"/>
          <w:sz w:val="24"/>
        </w:rPr>
        <w:t>those that provide evidence of conditions that existed</w:t>
      </w:r>
      <w:r>
        <w:rPr>
          <w:color w:val="231F20"/>
          <w:spacing w:val="-4"/>
          <w:sz w:val="24"/>
        </w:rPr>
        <w:t> </w:t>
      </w:r>
      <w:r>
        <w:rPr>
          <w:color w:val="231F20"/>
          <w:sz w:val="24"/>
        </w:rPr>
        <w:t>at</w:t>
      </w:r>
      <w:r>
        <w:rPr>
          <w:color w:val="231F20"/>
          <w:spacing w:val="-4"/>
          <w:sz w:val="24"/>
        </w:rPr>
        <w:t> </w:t>
      </w:r>
      <w:r>
        <w:rPr>
          <w:color w:val="231F20"/>
          <w:sz w:val="24"/>
        </w:rPr>
        <w:t>the</w:t>
      </w:r>
      <w:r>
        <w:rPr>
          <w:color w:val="231F20"/>
          <w:spacing w:val="-4"/>
          <w:sz w:val="24"/>
        </w:rPr>
        <w:t> </w:t>
      </w:r>
      <w:r>
        <w:rPr>
          <w:color w:val="231F20"/>
          <w:sz w:val="24"/>
        </w:rPr>
        <w:t>end</w:t>
      </w:r>
      <w:r>
        <w:rPr>
          <w:color w:val="231F20"/>
          <w:spacing w:val="-4"/>
          <w:sz w:val="24"/>
        </w:rPr>
        <w:t> </w:t>
      </w:r>
      <w:r>
        <w:rPr>
          <w:color w:val="231F20"/>
          <w:sz w:val="24"/>
        </w:rPr>
        <w:t>of</w:t>
      </w:r>
      <w:r>
        <w:rPr>
          <w:color w:val="231F20"/>
          <w:spacing w:val="-4"/>
          <w:sz w:val="24"/>
        </w:rPr>
        <w:t> </w:t>
      </w:r>
      <w:r>
        <w:rPr>
          <w:color w:val="231F20"/>
          <w:sz w:val="24"/>
        </w:rPr>
        <w:t>the</w:t>
      </w:r>
      <w:r>
        <w:rPr>
          <w:color w:val="231F20"/>
          <w:spacing w:val="-4"/>
          <w:sz w:val="24"/>
        </w:rPr>
        <w:t> </w:t>
      </w:r>
      <w:r>
        <w:rPr>
          <w:color w:val="231F20"/>
          <w:sz w:val="24"/>
        </w:rPr>
        <w:t>reporting</w:t>
      </w:r>
      <w:r>
        <w:rPr>
          <w:color w:val="231F20"/>
          <w:spacing w:val="-4"/>
          <w:sz w:val="24"/>
        </w:rPr>
        <w:t> </w:t>
      </w:r>
      <w:r>
        <w:rPr>
          <w:color w:val="231F20"/>
          <w:sz w:val="24"/>
        </w:rPr>
        <w:t>period</w:t>
      </w:r>
      <w:r>
        <w:rPr>
          <w:color w:val="231F20"/>
          <w:spacing w:val="-4"/>
          <w:sz w:val="24"/>
        </w:rPr>
        <w:t> </w:t>
      </w:r>
      <w:r>
        <w:rPr>
          <w:color w:val="231F20"/>
          <w:sz w:val="24"/>
        </w:rPr>
        <w:t>–</w:t>
      </w:r>
      <w:r>
        <w:rPr>
          <w:color w:val="231F20"/>
          <w:spacing w:val="-4"/>
          <w:sz w:val="24"/>
        </w:rPr>
        <w:t> </w:t>
      </w:r>
      <w:r>
        <w:rPr>
          <w:color w:val="231F20"/>
          <w:sz w:val="24"/>
        </w:rPr>
        <w:t>the Statement of Accounts is adjusted to reflect such events,</w:t>
      </w:r>
    </w:p>
    <w:p>
      <w:pPr>
        <w:pStyle w:val="ListParagraph"/>
        <w:numPr>
          <w:ilvl w:val="1"/>
          <w:numId w:val="11"/>
        </w:numPr>
        <w:tabs>
          <w:tab w:pos="737" w:val="left" w:leader="none"/>
        </w:tabs>
        <w:spacing w:line="225" w:lineRule="auto" w:before="56" w:after="0"/>
        <w:ind w:left="737" w:right="624" w:hanging="171"/>
        <w:jc w:val="left"/>
        <w:rPr>
          <w:sz w:val="24"/>
        </w:rPr>
      </w:pPr>
      <w:r>
        <w:rPr>
          <w:color w:val="231F20"/>
          <w:sz w:val="24"/>
        </w:rPr>
        <w:t>those that are indicative of conditions that</w:t>
      </w:r>
      <w:r>
        <w:rPr>
          <w:color w:val="231F20"/>
          <w:spacing w:val="-5"/>
          <w:sz w:val="24"/>
        </w:rPr>
        <w:t> </w:t>
      </w:r>
      <w:r>
        <w:rPr>
          <w:color w:val="231F20"/>
          <w:sz w:val="24"/>
        </w:rPr>
        <w:t>arose</w:t>
      </w:r>
      <w:r>
        <w:rPr>
          <w:color w:val="231F20"/>
          <w:spacing w:val="-5"/>
          <w:sz w:val="24"/>
        </w:rPr>
        <w:t> </w:t>
      </w:r>
      <w:r>
        <w:rPr>
          <w:color w:val="231F20"/>
          <w:sz w:val="24"/>
        </w:rPr>
        <w:t>after</w:t>
      </w:r>
      <w:r>
        <w:rPr>
          <w:color w:val="231F20"/>
          <w:spacing w:val="-5"/>
          <w:sz w:val="24"/>
        </w:rPr>
        <w:t> </w:t>
      </w:r>
      <w:r>
        <w:rPr>
          <w:color w:val="231F20"/>
          <w:sz w:val="24"/>
        </w:rPr>
        <w:t>the</w:t>
      </w:r>
      <w:r>
        <w:rPr>
          <w:color w:val="231F20"/>
          <w:spacing w:val="-5"/>
          <w:sz w:val="24"/>
        </w:rPr>
        <w:t> </w:t>
      </w:r>
      <w:r>
        <w:rPr>
          <w:color w:val="231F20"/>
          <w:sz w:val="24"/>
        </w:rPr>
        <w:t>reporting</w:t>
      </w:r>
      <w:r>
        <w:rPr>
          <w:color w:val="231F20"/>
          <w:spacing w:val="-5"/>
          <w:sz w:val="24"/>
        </w:rPr>
        <w:t> </w:t>
      </w:r>
      <w:r>
        <w:rPr>
          <w:color w:val="231F20"/>
          <w:sz w:val="24"/>
        </w:rPr>
        <w:t>period</w:t>
      </w:r>
      <w:r>
        <w:rPr>
          <w:color w:val="231F20"/>
          <w:spacing w:val="-5"/>
          <w:sz w:val="24"/>
        </w:rPr>
        <w:t> </w:t>
      </w:r>
      <w:r>
        <w:rPr>
          <w:color w:val="231F20"/>
          <w:sz w:val="24"/>
        </w:rPr>
        <w:t>–</w:t>
      </w:r>
      <w:r>
        <w:rPr>
          <w:color w:val="231F20"/>
          <w:spacing w:val="-5"/>
          <w:sz w:val="24"/>
        </w:rPr>
        <w:t> </w:t>
      </w:r>
      <w:r>
        <w:rPr>
          <w:color w:val="231F20"/>
          <w:sz w:val="24"/>
        </w:rPr>
        <w:t>the</w:t>
      </w:r>
    </w:p>
    <w:p>
      <w:pPr>
        <w:pStyle w:val="BodyText"/>
        <w:spacing w:line="225" w:lineRule="auto"/>
        <w:ind w:left="737"/>
      </w:pPr>
      <w:r>
        <w:rPr>
          <w:color w:val="231F20"/>
        </w:rPr>
        <w:t>Statement</w:t>
      </w:r>
      <w:r>
        <w:rPr>
          <w:color w:val="231F20"/>
          <w:spacing w:val="-5"/>
        </w:rPr>
        <w:t> </w:t>
      </w:r>
      <w:r>
        <w:rPr>
          <w:color w:val="231F20"/>
        </w:rPr>
        <w:t>of</w:t>
      </w:r>
      <w:r>
        <w:rPr>
          <w:color w:val="231F20"/>
          <w:spacing w:val="-5"/>
        </w:rPr>
        <w:t> </w:t>
      </w:r>
      <w:r>
        <w:rPr>
          <w:color w:val="231F20"/>
        </w:rPr>
        <w:t>Accounts</w:t>
      </w:r>
      <w:r>
        <w:rPr>
          <w:color w:val="231F20"/>
          <w:spacing w:val="-5"/>
        </w:rPr>
        <w:t> </w:t>
      </w:r>
      <w:r>
        <w:rPr>
          <w:color w:val="231F20"/>
        </w:rPr>
        <w:t>is</w:t>
      </w:r>
      <w:r>
        <w:rPr>
          <w:color w:val="231F20"/>
          <w:spacing w:val="-6"/>
        </w:rPr>
        <w:t> </w:t>
      </w:r>
      <w:r>
        <w:rPr>
          <w:color w:val="231F20"/>
        </w:rPr>
        <w:t>not</w:t>
      </w:r>
      <w:r>
        <w:rPr>
          <w:color w:val="231F20"/>
          <w:spacing w:val="-5"/>
        </w:rPr>
        <w:t> </w:t>
      </w:r>
      <w:r>
        <w:rPr>
          <w:color w:val="231F20"/>
        </w:rPr>
        <w:t>adjusted</w:t>
      </w:r>
      <w:r>
        <w:rPr>
          <w:color w:val="231F20"/>
          <w:spacing w:val="-5"/>
        </w:rPr>
        <w:t> </w:t>
      </w:r>
      <w:r>
        <w:rPr>
          <w:color w:val="231F20"/>
        </w:rPr>
        <w:t>to</w:t>
      </w:r>
      <w:r>
        <w:rPr>
          <w:color w:val="231F20"/>
          <w:spacing w:val="-5"/>
        </w:rPr>
        <w:t> </w:t>
      </w:r>
      <w:r>
        <w:rPr>
          <w:color w:val="231F20"/>
        </w:rPr>
        <w:t>reflect such events, but where a category of events would</w:t>
      </w:r>
      <w:r>
        <w:rPr>
          <w:color w:val="231F20"/>
          <w:spacing w:val="-6"/>
        </w:rPr>
        <w:t> </w:t>
      </w:r>
      <w:r>
        <w:rPr>
          <w:color w:val="231F20"/>
        </w:rPr>
        <w:t>have</w:t>
      </w:r>
      <w:r>
        <w:rPr>
          <w:color w:val="231F20"/>
          <w:spacing w:val="-6"/>
        </w:rPr>
        <w:t> </w:t>
      </w:r>
      <w:r>
        <w:rPr>
          <w:color w:val="231F20"/>
        </w:rPr>
        <w:t>a</w:t>
      </w:r>
      <w:r>
        <w:rPr>
          <w:color w:val="231F20"/>
          <w:spacing w:val="-6"/>
        </w:rPr>
        <w:t> </w:t>
      </w:r>
      <w:r>
        <w:rPr>
          <w:color w:val="231F20"/>
        </w:rPr>
        <w:t>material</w:t>
      </w:r>
      <w:r>
        <w:rPr>
          <w:color w:val="231F20"/>
          <w:spacing w:val="-7"/>
        </w:rPr>
        <w:t> </w:t>
      </w:r>
      <w:r>
        <w:rPr>
          <w:color w:val="231F20"/>
        </w:rPr>
        <w:t>effect,</w:t>
      </w:r>
      <w:r>
        <w:rPr>
          <w:color w:val="231F20"/>
          <w:spacing w:val="-6"/>
        </w:rPr>
        <w:t> </w:t>
      </w:r>
      <w:r>
        <w:rPr>
          <w:color w:val="231F20"/>
        </w:rPr>
        <w:t>disclosure</w:t>
      </w:r>
      <w:r>
        <w:rPr>
          <w:color w:val="231F20"/>
          <w:spacing w:val="-6"/>
        </w:rPr>
        <w:t> </w:t>
      </w:r>
      <w:r>
        <w:rPr>
          <w:color w:val="231F20"/>
        </w:rPr>
        <w:t>is</w:t>
      </w:r>
      <w:r>
        <w:rPr>
          <w:color w:val="231F20"/>
          <w:spacing w:val="-7"/>
        </w:rPr>
        <w:t> </w:t>
      </w:r>
      <w:r>
        <w:rPr>
          <w:color w:val="231F20"/>
        </w:rPr>
        <w:t>made in the notes of the nature of the events and their estimated financial effect.</w:t>
      </w:r>
    </w:p>
    <w:p>
      <w:pPr>
        <w:pStyle w:val="BodyText"/>
        <w:spacing w:before="11"/>
        <w:rPr>
          <w:sz w:val="26"/>
        </w:rPr>
      </w:pPr>
    </w:p>
    <w:p>
      <w:pPr>
        <w:pStyle w:val="BodyText"/>
        <w:spacing w:line="225" w:lineRule="auto"/>
        <w:ind w:left="566" w:right="141"/>
      </w:pPr>
      <w:r>
        <w:rPr>
          <w:color w:val="231F20"/>
        </w:rPr>
        <w:t>Events taking place after the date of authorisation for issue</w:t>
      </w:r>
      <w:r>
        <w:rPr>
          <w:color w:val="231F20"/>
          <w:spacing w:val="-1"/>
        </w:rPr>
        <w:t> </w:t>
      </w:r>
      <w:r>
        <w:rPr>
          <w:color w:val="231F20"/>
        </w:rPr>
        <w:t>are not reflected in</w:t>
      </w:r>
      <w:r>
        <w:rPr>
          <w:color w:val="231F20"/>
          <w:spacing w:val="-1"/>
        </w:rPr>
        <w:t> </w:t>
      </w:r>
      <w:r>
        <w:rPr>
          <w:color w:val="231F20"/>
        </w:rPr>
        <w:t>the Statement of Accounts. For the purposes of consideration, Post Balance Sheet events can occur</w:t>
      </w:r>
      <w:r>
        <w:rPr>
          <w:color w:val="231F20"/>
          <w:spacing w:val="-6"/>
        </w:rPr>
        <w:t> </w:t>
      </w:r>
      <w:r>
        <w:rPr>
          <w:color w:val="231F20"/>
        </w:rPr>
        <w:t>up</w:t>
      </w:r>
      <w:r>
        <w:rPr>
          <w:color w:val="231F20"/>
          <w:spacing w:val="-6"/>
        </w:rPr>
        <w:t> </w:t>
      </w:r>
      <w:r>
        <w:rPr>
          <w:color w:val="231F20"/>
        </w:rPr>
        <w:t>to</w:t>
      </w:r>
      <w:r>
        <w:rPr>
          <w:color w:val="231F20"/>
          <w:spacing w:val="-6"/>
        </w:rPr>
        <w:t> </w:t>
      </w:r>
      <w:r>
        <w:rPr>
          <w:color w:val="231F20"/>
        </w:rPr>
        <w:t>approval</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Statements</w:t>
      </w:r>
      <w:r>
        <w:rPr>
          <w:color w:val="231F20"/>
          <w:spacing w:val="-6"/>
        </w:rPr>
        <w:t> </w:t>
      </w:r>
      <w:r>
        <w:rPr>
          <w:color w:val="231F20"/>
        </w:rPr>
        <w:t>by</w:t>
      </w:r>
      <w:r>
        <w:rPr>
          <w:color w:val="231F20"/>
          <w:spacing w:val="-6"/>
        </w:rPr>
        <w:t> </w:t>
      </w:r>
      <w:r>
        <w:rPr>
          <w:color w:val="231F20"/>
        </w:rPr>
        <w:t>the Audit Committee.</w:t>
      </w:r>
    </w:p>
    <w:p>
      <w:pPr>
        <w:pStyle w:val="Heading3"/>
        <w:numPr>
          <w:ilvl w:val="0"/>
          <w:numId w:val="11"/>
        </w:numPr>
        <w:tabs>
          <w:tab w:pos="841" w:val="left" w:leader="none"/>
        </w:tabs>
        <w:spacing w:line="310" w:lineRule="exact" w:before="284" w:after="0"/>
        <w:ind w:left="840" w:right="0" w:hanging="275"/>
        <w:jc w:val="left"/>
      </w:pPr>
      <w:r>
        <w:rPr>
          <w:color w:val="3B5673"/>
        </w:rPr>
        <w:t>FINANCIAL</w:t>
      </w:r>
      <w:r>
        <w:rPr>
          <w:color w:val="3B5673"/>
          <w:spacing w:val="72"/>
        </w:rPr>
        <w:t> </w:t>
      </w:r>
      <w:r>
        <w:rPr>
          <w:color w:val="3B5673"/>
          <w:spacing w:val="-2"/>
        </w:rPr>
        <w:t>INSTRUMENTS</w:t>
      </w:r>
    </w:p>
    <w:p>
      <w:pPr>
        <w:pStyle w:val="Heading4"/>
        <w:numPr>
          <w:ilvl w:val="0"/>
          <w:numId w:val="14"/>
        </w:numPr>
        <w:tabs>
          <w:tab w:pos="828" w:val="left" w:leader="none"/>
        </w:tabs>
        <w:spacing w:line="300" w:lineRule="exact" w:before="0" w:after="0"/>
        <w:ind w:left="827" w:right="0" w:hanging="262"/>
        <w:jc w:val="left"/>
      </w:pPr>
      <w:r>
        <w:rPr>
          <w:color w:val="3B5673"/>
        </w:rPr>
        <w:t>Financial </w:t>
      </w:r>
      <w:r>
        <w:rPr>
          <w:color w:val="3B5673"/>
          <w:spacing w:val="-2"/>
        </w:rPr>
        <w:t>Liabilities</w:t>
      </w:r>
    </w:p>
    <w:p>
      <w:pPr>
        <w:pStyle w:val="BodyText"/>
        <w:spacing w:line="225" w:lineRule="auto" w:before="6"/>
        <w:ind w:left="566" w:right="69"/>
      </w:pPr>
      <w:r>
        <w:rPr>
          <w:color w:val="231F20"/>
        </w:rPr>
        <w:t>Financial</w:t>
      </w:r>
      <w:r>
        <w:rPr>
          <w:color w:val="231F20"/>
          <w:spacing w:val="-7"/>
        </w:rPr>
        <w:t> </w:t>
      </w:r>
      <w:r>
        <w:rPr>
          <w:color w:val="231F20"/>
        </w:rPr>
        <w:t>liabilities</w:t>
      </w:r>
      <w:r>
        <w:rPr>
          <w:color w:val="231F20"/>
          <w:spacing w:val="-7"/>
        </w:rPr>
        <w:t> </w:t>
      </w:r>
      <w:r>
        <w:rPr>
          <w:color w:val="231F20"/>
        </w:rPr>
        <w:t>are</w:t>
      </w:r>
      <w:r>
        <w:rPr>
          <w:color w:val="231F20"/>
          <w:spacing w:val="-6"/>
        </w:rPr>
        <w:t> </w:t>
      </w:r>
      <w:r>
        <w:rPr>
          <w:color w:val="231F20"/>
        </w:rPr>
        <w:t>recognised</w:t>
      </w:r>
      <w:r>
        <w:rPr>
          <w:color w:val="231F20"/>
          <w:spacing w:val="-6"/>
        </w:rPr>
        <w:t> </w:t>
      </w:r>
      <w:r>
        <w:rPr>
          <w:color w:val="231F20"/>
        </w:rPr>
        <w:t>on</w:t>
      </w:r>
      <w:r>
        <w:rPr>
          <w:color w:val="231F20"/>
          <w:spacing w:val="-6"/>
        </w:rPr>
        <w:t> </w:t>
      </w:r>
      <w:r>
        <w:rPr>
          <w:color w:val="231F20"/>
        </w:rPr>
        <w:t>the</w:t>
      </w:r>
      <w:r>
        <w:rPr>
          <w:color w:val="231F20"/>
          <w:spacing w:val="-6"/>
        </w:rPr>
        <w:t> </w:t>
      </w:r>
      <w:r>
        <w:rPr>
          <w:color w:val="231F20"/>
        </w:rPr>
        <w:t>Balance Sheet when the Council becomes a party to the contractual provisions of a financial instrument, which</w:t>
      </w:r>
      <w:r>
        <w:rPr>
          <w:color w:val="231F20"/>
          <w:spacing w:val="-2"/>
        </w:rPr>
        <w:t> </w:t>
      </w:r>
      <w:r>
        <w:rPr>
          <w:color w:val="231F20"/>
        </w:rPr>
        <w:t>are</w:t>
      </w:r>
      <w:r>
        <w:rPr>
          <w:color w:val="231F20"/>
          <w:spacing w:val="-2"/>
        </w:rPr>
        <w:t> </w:t>
      </w:r>
      <w:r>
        <w:rPr>
          <w:color w:val="231F20"/>
        </w:rPr>
        <w:t>initially</w:t>
      </w:r>
      <w:r>
        <w:rPr>
          <w:color w:val="231F20"/>
          <w:spacing w:val="-3"/>
        </w:rPr>
        <w:t> </w:t>
      </w:r>
      <w:r>
        <w:rPr>
          <w:color w:val="231F20"/>
        </w:rPr>
        <w:t>measured</w:t>
      </w:r>
      <w:r>
        <w:rPr>
          <w:color w:val="231F20"/>
          <w:spacing w:val="-3"/>
        </w:rPr>
        <w:t> </w:t>
      </w:r>
      <w:r>
        <w:rPr>
          <w:color w:val="231F20"/>
        </w:rPr>
        <w:t>at</w:t>
      </w:r>
      <w:r>
        <w:rPr>
          <w:color w:val="231F20"/>
          <w:spacing w:val="-2"/>
        </w:rPr>
        <w:t> </w:t>
      </w:r>
      <w:r>
        <w:rPr>
          <w:color w:val="231F20"/>
        </w:rPr>
        <w:t>fair</w:t>
      </w:r>
      <w:r>
        <w:rPr>
          <w:color w:val="231F20"/>
          <w:spacing w:val="-2"/>
        </w:rPr>
        <w:t> </w:t>
      </w:r>
      <w:r>
        <w:rPr>
          <w:color w:val="231F20"/>
        </w:rPr>
        <w:t>value,</w:t>
      </w:r>
      <w:r>
        <w:rPr>
          <w:color w:val="231F20"/>
          <w:spacing w:val="-2"/>
        </w:rPr>
        <w:t> </w:t>
      </w:r>
      <w:r>
        <w:rPr>
          <w:color w:val="231F20"/>
        </w:rPr>
        <w:t>and</w:t>
      </w:r>
      <w:r>
        <w:rPr>
          <w:color w:val="231F20"/>
          <w:spacing w:val="-2"/>
        </w:rPr>
        <w:t> </w:t>
      </w:r>
      <w:r>
        <w:rPr>
          <w:color w:val="231F20"/>
        </w:rPr>
        <w:t>are carried at their amortised cost. Annual charges to the Financing and Investment Income and Expenditure line in the Comprehensive Income and Expenditure Statement for interest payable are</w:t>
      </w:r>
      <w:r>
        <w:rPr>
          <w:color w:val="231F20"/>
          <w:spacing w:val="-3"/>
        </w:rPr>
        <w:t> </w:t>
      </w:r>
      <w:r>
        <w:rPr>
          <w:color w:val="231F20"/>
        </w:rPr>
        <w:t>based</w:t>
      </w:r>
      <w:r>
        <w:rPr>
          <w:color w:val="231F20"/>
          <w:spacing w:val="-3"/>
        </w:rPr>
        <w:t> </w:t>
      </w:r>
      <w:r>
        <w:rPr>
          <w:color w:val="231F20"/>
        </w:rPr>
        <w:t>on</w:t>
      </w:r>
      <w:r>
        <w:rPr>
          <w:color w:val="231F20"/>
          <w:spacing w:val="-3"/>
        </w:rPr>
        <w:t> </w:t>
      </w:r>
      <w:r>
        <w:rPr>
          <w:color w:val="231F20"/>
        </w:rPr>
        <w:t>the</w:t>
      </w:r>
      <w:r>
        <w:rPr>
          <w:color w:val="231F20"/>
          <w:spacing w:val="-3"/>
        </w:rPr>
        <w:t> </w:t>
      </w:r>
      <w:r>
        <w:rPr>
          <w:color w:val="231F20"/>
        </w:rPr>
        <w:t>carrying</w:t>
      </w:r>
      <w:r>
        <w:rPr>
          <w:color w:val="231F20"/>
          <w:spacing w:val="-3"/>
        </w:rPr>
        <w:t> </w:t>
      </w:r>
      <w:r>
        <w:rPr>
          <w:color w:val="231F20"/>
        </w:rPr>
        <w:t>amount</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liability,</w:t>
      </w:r>
    </w:p>
    <w:p>
      <w:pPr>
        <w:pStyle w:val="BodyText"/>
        <w:spacing w:line="225" w:lineRule="auto"/>
        <w:ind w:left="566"/>
      </w:pPr>
      <w:r>
        <w:rPr>
          <w:color w:val="231F20"/>
        </w:rPr>
        <w:t>multiplied</w:t>
      </w:r>
      <w:r>
        <w:rPr>
          <w:color w:val="231F20"/>
          <w:spacing w:val="-7"/>
        </w:rPr>
        <w:t> </w:t>
      </w:r>
      <w:r>
        <w:rPr>
          <w:color w:val="231F20"/>
        </w:rPr>
        <w:t>by</w:t>
      </w:r>
      <w:r>
        <w:rPr>
          <w:color w:val="231F20"/>
          <w:spacing w:val="-6"/>
        </w:rPr>
        <w:t> </w:t>
      </w:r>
      <w:r>
        <w:rPr>
          <w:color w:val="231F20"/>
        </w:rPr>
        <w:t>the</w:t>
      </w:r>
      <w:r>
        <w:rPr>
          <w:color w:val="231F20"/>
          <w:spacing w:val="-6"/>
        </w:rPr>
        <w:t> </w:t>
      </w:r>
      <w:r>
        <w:rPr>
          <w:color w:val="231F20"/>
        </w:rPr>
        <w:t>effective</w:t>
      </w:r>
      <w:r>
        <w:rPr>
          <w:color w:val="231F20"/>
          <w:spacing w:val="-6"/>
        </w:rPr>
        <w:t> </w:t>
      </w:r>
      <w:r>
        <w:rPr>
          <w:color w:val="231F20"/>
        </w:rPr>
        <w:t>interest</w:t>
      </w:r>
      <w:r>
        <w:rPr>
          <w:color w:val="231F20"/>
          <w:spacing w:val="-7"/>
        </w:rPr>
        <w:t> </w:t>
      </w:r>
      <w:r>
        <w:rPr>
          <w:color w:val="231F20"/>
        </w:rPr>
        <w:t>rate</w:t>
      </w:r>
      <w:r>
        <w:rPr>
          <w:color w:val="231F20"/>
          <w:spacing w:val="-6"/>
        </w:rPr>
        <w:t> </w:t>
      </w:r>
      <w:r>
        <w:rPr>
          <w:color w:val="231F20"/>
        </w:rPr>
        <w:t>of</w:t>
      </w:r>
      <w:r>
        <w:rPr>
          <w:color w:val="231F20"/>
          <w:spacing w:val="-6"/>
        </w:rPr>
        <w:t> </w:t>
      </w:r>
      <w:r>
        <w:rPr>
          <w:color w:val="231F20"/>
        </w:rPr>
        <w:t>interest for each instrument. The effective interest rate is the rate that exactly discounts estimated future cash payments over the life of the instrument to the amount at which it was originally borrowed.</w:t>
      </w:r>
    </w:p>
    <w:p>
      <w:pPr>
        <w:pStyle w:val="BodyText"/>
        <w:spacing w:before="6"/>
        <w:rPr>
          <w:sz w:val="22"/>
        </w:rPr>
      </w:pPr>
    </w:p>
    <w:p>
      <w:pPr>
        <w:pStyle w:val="BodyText"/>
        <w:spacing w:line="225" w:lineRule="auto"/>
        <w:ind w:left="566" w:right="195"/>
      </w:pPr>
      <w:r>
        <w:rPr>
          <w:color w:val="231F20"/>
        </w:rPr>
        <w:t>For most of the borrowings that the Council has, this means that the amount presented in the</w:t>
      </w:r>
      <w:r>
        <w:rPr>
          <w:color w:val="231F20"/>
          <w:spacing w:val="-6"/>
        </w:rPr>
        <w:t> </w:t>
      </w:r>
      <w:r>
        <w:rPr>
          <w:color w:val="231F20"/>
        </w:rPr>
        <w:t>Balance</w:t>
      </w:r>
      <w:r>
        <w:rPr>
          <w:color w:val="231F20"/>
          <w:spacing w:val="-7"/>
        </w:rPr>
        <w:t> </w:t>
      </w:r>
      <w:r>
        <w:rPr>
          <w:color w:val="231F20"/>
        </w:rPr>
        <w:t>Sheet</w:t>
      </w:r>
      <w:r>
        <w:rPr>
          <w:color w:val="231F20"/>
          <w:spacing w:val="-7"/>
        </w:rPr>
        <w:t> </w:t>
      </w:r>
      <w:r>
        <w:rPr>
          <w:color w:val="231F20"/>
        </w:rPr>
        <w:t>is</w:t>
      </w:r>
      <w:r>
        <w:rPr>
          <w:color w:val="231F20"/>
          <w:spacing w:val="-7"/>
        </w:rPr>
        <w:t> </w:t>
      </w:r>
      <w:r>
        <w:rPr>
          <w:color w:val="231F20"/>
        </w:rPr>
        <w:t>the</w:t>
      </w:r>
      <w:r>
        <w:rPr>
          <w:color w:val="231F20"/>
          <w:spacing w:val="-6"/>
        </w:rPr>
        <w:t> </w:t>
      </w:r>
      <w:r>
        <w:rPr>
          <w:color w:val="231F20"/>
        </w:rPr>
        <w:t>outstanding</w:t>
      </w:r>
      <w:r>
        <w:rPr>
          <w:color w:val="231F20"/>
          <w:spacing w:val="-6"/>
        </w:rPr>
        <w:t> </w:t>
      </w:r>
      <w:r>
        <w:rPr>
          <w:color w:val="231F20"/>
        </w:rPr>
        <w:t>principal repayable</w:t>
      </w:r>
      <w:r>
        <w:rPr>
          <w:color w:val="231F20"/>
          <w:spacing w:val="-2"/>
        </w:rPr>
        <w:t> </w:t>
      </w:r>
      <w:r>
        <w:rPr>
          <w:color w:val="231F20"/>
        </w:rPr>
        <w:t>(plus</w:t>
      </w:r>
      <w:r>
        <w:rPr>
          <w:color w:val="231F20"/>
          <w:spacing w:val="-2"/>
        </w:rPr>
        <w:t> </w:t>
      </w:r>
      <w:r>
        <w:rPr>
          <w:color w:val="231F20"/>
        </w:rPr>
        <w:t>accrued</w:t>
      </w:r>
      <w:r>
        <w:rPr>
          <w:color w:val="231F20"/>
          <w:spacing w:val="-2"/>
        </w:rPr>
        <w:t> </w:t>
      </w:r>
      <w:r>
        <w:rPr>
          <w:color w:val="231F20"/>
        </w:rPr>
        <w:t>interest);</w:t>
      </w:r>
      <w:r>
        <w:rPr>
          <w:color w:val="231F20"/>
          <w:spacing w:val="-3"/>
        </w:rPr>
        <w:t> </w:t>
      </w:r>
      <w:r>
        <w:rPr>
          <w:color w:val="231F20"/>
        </w:rPr>
        <w:t>and</w:t>
      </w:r>
      <w:r>
        <w:rPr>
          <w:color w:val="231F20"/>
          <w:spacing w:val="-1"/>
        </w:rPr>
        <w:t> </w:t>
      </w:r>
      <w:r>
        <w:rPr>
          <w:color w:val="231F20"/>
          <w:spacing w:val="-2"/>
        </w:rPr>
        <w:t>interest</w:t>
      </w:r>
    </w:p>
    <w:p>
      <w:pPr>
        <w:pStyle w:val="BodyText"/>
        <w:spacing w:line="225" w:lineRule="auto" w:before="115"/>
        <w:ind w:left="259" w:right="433"/>
      </w:pPr>
      <w:r>
        <w:rPr/>
        <w:br w:type="column"/>
      </w:r>
      <w:r>
        <w:rPr>
          <w:color w:val="231F20"/>
        </w:rPr>
        <w:t>charged to the Comprehensive Income and Expenditure</w:t>
      </w:r>
      <w:r>
        <w:rPr>
          <w:color w:val="231F20"/>
          <w:spacing w:val="-7"/>
        </w:rPr>
        <w:t> </w:t>
      </w:r>
      <w:r>
        <w:rPr>
          <w:color w:val="231F20"/>
        </w:rPr>
        <w:t>Statement</w:t>
      </w:r>
      <w:r>
        <w:rPr>
          <w:color w:val="231F20"/>
          <w:spacing w:val="-7"/>
        </w:rPr>
        <w:t> </w:t>
      </w:r>
      <w:r>
        <w:rPr>
          <w:color w:val="231F20"/>
        </w:rPr>
        <w:t>is</w:t>
      </w:r>
      <w:r>
        <w:rPr>
          <w:color w:val="231F20"/>
          <w:spacing w:val="-8"/>
        </w:rPr>
        <w:t> </w:t>
      </w:r>
      <w:r>
        <w:rPr>
          <w:color w:val="231F20"/>
        </w:rPr>
        <w:t>the</w:t>
      </w:r>
      <w:r>
        <w:rPr>
          <w:color w:val="231F20"/>
          <w:spacing w:val="-7"/>
        </w:rPr>
        <w:t> </w:t>
      </w:r>
      <w:r>
        <w:rPr>
          <w:color w:val="231F20"/>
        </w:rPr>
        <w:t>amount</w:t>
      </w:r>
      <w:r>
        <w:rPr>
          <w:color w:val="231F20"/>
          <w:spacing w:val="-7"/>
        </w:rPr>
        <w:t> </w:t>
      </w:r>
      <w:r>
        <w:rPr>
          <w:color w:val="231F20"/>
        </w:rPr>
        <w:t>payable</w:t>
      </w:r>
      <w:r>
        <w:rPr>
          <w:color w:val="231F20"/>
          <w:spacing w:val="-7"/>
        </w:rPr>
        <w:t> </w:t>
      </w:r>
      <w:r>
        <w:rPr>
          <w:color w:val="231F20"/>
        </w:rPr>
        <w:t>for the year according to the loan agreement.</w:t>
      </w:r>
    </w:p>
    <w:p>
      <w:pPr>
        <w:pStyle w:val="BodyText"/>
        <w:spacing w:before="7"/>
        <w:rPr>
          <w:sz w:val="22"/>
        </w:rPr>
      </w:pPr>
    </w:p>
    <w:p>
      <w:pPr>
        <w:pStyle w:val="BodyText"/>
        <w:spacing w:line="225" w:lineRule="auto" w:before="1"/>
        <w:ind w:left="259" w:right="688"/>
      </w:pPr>
      <w:r>
        <w:rPr>
          <w:color w:val="231F20"/>
        </w:rPr>
        <w:t>Where premiums and discounts have been charged to the Comprehensive Income and Expenditure Statement, regulations allow the impact on the General Fund Balance to be spread over future years. The Council has a policy of spreading the gain or loss over the term that was remaining on the loan against which the premium was payable or discount receivable</w:t>
      </w:r>
      <w:r>
        <w:rPr>
          <w:color w:val="231F20"/>
          <w:spacing w:val="-5"/>
        </w:rPr>
        <w:t> </w:t>
      </w:r>
      <w:r>
        <w:rPr>
          <w:color w:val="231F20"/>
        </w:rPr>
        <w:t>when</w:t>
      </w:r>
      <w:r>
        <w:rPr>
          <w:color w:val="231F20"/>
          <w:spacing w:val="-5"/>
        </w:rPr>
        <w:t> </w:t>
      </w:r>
      <w:r>
        <w:rPr>
          <w:color w:val="231F20"/>
        </w:rPr>
        <w:t>it</w:t>
      </w:r>
      <w:r>
        <w:rPr>
          <w:color w:val="231F20"/>
          <w:spacing w:val="-6"/>
        </w:rPr>
        <w:t> </w:t>
      </w:r>
      <w:r>
        <w:rPr>
          <w:color w:val="231F20"/>
        </w:rPr>
        <w:t>was</w:t>
      </w:r>
      <w:r>
        <w:rPr>
          <w:color w:val="231F20"/>
          <w:spacing w:val="-5"/>
        </w:rPr>
        <w:t> </w:t>
      </w:r>
      <w:r>
        <w:rPr>
          <w:color w:val="231F20"/>
        </w:rPr>
        <w:t>repaid.</w:t>
      </w:r>
      <w:r>
        <w:rPr>
          <w:color w:val="231F20"/>
          <w:spacing w:val="-5"/>
        </w:rPr>
        <w:t> </w:t>
      </w:r>
      <w:r>
        <w:rPr>
          <w:color w:val="231F20"/>
        </w:rPr>
        <w:t>The</w:t>
      </w:r>
      <w:r>
        <w:rPr>
          <w:color w:val="231F20"/>
          <w:spacing w:val="-5"/>
        </w:rPr>
        <w:t> </w:t>
      </w:r>
      <w:r>
        <w:rPr>
          <w:color w:val="231F20"/>
        </w:rPr>
        <w:t>reconciliation of amounts charged to the Comprehensive Income and Expenditure Statement to the</w:t>
      </w:r>
    </w:p>
    <w:p>
      <w:pPr>
        <w:pStyle w:val="BodyText"/>
        <w:spacing w:line="225" w:lineRule="auto"/>
        <w:ind w:left="259" w:right="433"/>
      </w:pPr>
      <w:r>
        <w:rPr/>
        <w:pict>
          <v:group style="position:absolute;margin-left:578.504028pt;margin-top:46.309837pt;width:16.8pt;height:192.8pt;mso-position-horizontal-relative:page;mso-position-vertical-relative:paragraph;z-index:15766528" id="docshapegroup313" coordorigin="11570,926" coordsize="336,3856">
            <v:rect style="position:absolute;left:11570;top:3817;width:336;height:964" id="docshape314" filled="true" fillcolor="#f15d6b" stroked="false">
              <v:fill type="solid"/>
            </v:rect>
            <v:rect style="position:absolute;left:11570;top:2853;width:336;height:964" id="docshape315" filled="true" fillcolor="#fbac42" stroked="false">
              <v:fill type="solid"/>
            </v:rect>
            <v:rect style="position:absolute;left:11570;top:1889;width:336;height:964" id="docshape316" filled="true" fillcolor="#b78fc1" stroked="false">
              <v:fill type="solid"/>
            </v:rect>
            <v:rect style="position:absolute;left:11570;top:926;width:336;height:964" id="docshape317" filled="true" fillcolor="#378372" stroked="false">
              <v:fill type="solid"/>
            </v:rect>
            <w10:wrap type="none"/>
          </v:group>
        </w:pict>
      </w:r>
      <w:r>
        <w:rPr>
          <w:color w:val="231F20"/>
        </w:rPr>
        <w:t>net charge required against the General Fund Balance is managed by a transfer to or from the Financial</w:t>
      </w:r>
      <w:r>
        <w:rPr>
          <w:color w:val="231F20"/>
          <w:spacing w:val="-8"/>
        </w:rPr>
        <w:t> </w:t>
      </w:r>
      <w:r>
        <w:rPr>
          <w:color w:val="231F20"/>
        </w:rPr>
        <w:t>Instruments</w:t>
      </w:r>
      <w:r>
        <w:rPr>
          <w:color w:val="231F20"/>
          <w:spacing w:val="-8"/>
        </w:rPr>
        <w:t> </w:t>
      </w:r>
      <w:r>
        <w:rPr>
          <w:color w:val="231F20"/>
        </w:rPr>
        <w:t>Adjustment</w:t>
      </w:r>
      <w:r>
        <w:rPr>
          <w:color w:val="231F20"/>
          <w:spacing w:val="-7"/>
        </w:rPr>
        <w:t> </w:t>
      </w:r>
      <w:r>
        <w:rPr>
          <w:color w:val="231F20"/>
        </w:rPr>
        <w:t>Account</w:t>
      </w:r>
      <w:r>
        <w:rPr>
          <w:color w:val="231F20"/>
          <w:spacing w:val="-7"/>
        </w:rPr>
        <w:t> </w:t>
      </w:r>
      <w:r>
        <w:rPr>
          <w:color w:val="231F20"/>
        </w:rPr>
        <w:t>in</w:t>
      </w:r>
      <w:r>
        <w:rPr>
          <w:color w:val="231F20"/>
          <w:spacing w:val="-8"/>
        </w:rPr>
        <w:t> </w:t>
      </w:r>
      <w:r>
        <w:rPr>
          <w:color w:val="231F20"/>
        </w:rPr>
        <w:t>the Movement in Reserves Statement.</w:t>
      </w:r>
    </w:p>
    <w:p>
      <w:pPr>
        <w:pStyle w:val="Heading4"/>
        <w:numPr>
          <w:ilvl w:val="0"/>
          <w:numId w:val="14"/>
        </w:numPr>
        <w:tabs>
          <w:tab w:pos="540" w:val="left" w:leader="none"/>
        </w:tabs>
        <w:spacing w:line="310" w:lineRule="exact" w:before="283" w:after="0"/>
        <w:ind w:left="539" w:right="0" w:hanging="281"/>
        <w:jc w:val="left"/>
      </w:pPr>
      <w:r>
        <w:rPr>
          <w:color w:val="3B5673"/>
        </w:rPr>
        <w:t>Financial </w:t>
      </w:r>
      <w:r>
        <w:rPr>
          <w:color w:val="3B5673"/>
          <w:spacing w:val="-2"/>
        </w:rPr>
        <w:t>Assets</w:t>
      </w:r>
    </w:p>
    <w:p>
      <w:pPr>
        <w:pStyle w:val="BodyText"/>
        <w:spacing w:line="225" w:lineRule="auto" w:before="6"/>
        <w:ind w:left="259" w:right="433"/>
      </w:pPr>
      <w:r>
        <w:rPr>
          <w:color w:val="231F20"/>
        </w:rPr>
        <w:t>Financial assets are classified based on a classification and measurement approach that reflects the business model for holding the financial</w:t>
      </w:r>
      <w:r>
        <w:rPr>
          <w:color w:val="231F20"/>
          <w:spacing w:val="-6"/>
        </w:rPr>
        <w:t> </w:t>
      </w:r>
      <w:r>
        <w:rPr>
          <w:color w:val="231F20"/>
        </w:rPr>
        <w:t>assets</w:t>
      </w:r>
      <w:r>
        <w:rPr>
          <w:color w:val="231F20"/>
          <w:spacing w:val="-6"/>
        </w:rPr>
        <w:t> </w:t>
      </w:r>
      <w:r>
        <w:rPr>
          <w:color w:val="231F20"/>
        </w:rPr>
        <w:t>and</w:t>
      </w:r>
      <w:r>
        <w:rPr>
          <w:color w:val="231F20"/>
          <w:spacing w:val="-6"/>
        </w:rPr>
        <w:t> </w:t>
      </w:r>
      <w:r>
        <w:rPr>
          <w:color w:val="231F20"/>
        </w:rPr>
        <w:t>their</w:t>
      </w:r>
      <w:r>
        <w:rPr>
          <w:color w:val="231F20"/>
          <w:spacing w:val="-6"/>
        </w:rPr>
        <w:t> </w:t>
      </w:r>
      <w:r>
        <w:rPr>
          <w:color w:val="231F20"/>
        </w:rPr>
        <w:t>cashflow</w:t>
      </w:r>
      <w:r>
        <w:rPr>
          <w:color w:val="231F20"/>
          <w:spacing w:val="-6"/>
        </w:rPr>
        <w:t> </w:t>
      </w:r>
      <w:r>
        <w:rPr>
          <w:color w:val="231F20"/>
        </w:rPr>
        <w:t>characteristics. There are three main classes of financial assets measured at:</w:t>
      </w:r>
    </w:p>
    <w:p>
      <w:pPr>
        <w:pStyle w:val="ListParagraph"/>
        <w:numPr>
          <w:ilvl w:val="1"/>
          <w:numId w:val="11"/>
        </w:numPr>
        <w:tabs>
          <w:tab w:pos="430" w:val="left" w:leader="none"/>
        </w:tabs>
        <w:spacing w:line="240" w:lineRule="auto" w:before="284" w:after="0"/>
        <w:ind w:left="429" w:right="0" w:hanging="171"/>
        <w:jc w:val="left"/>
        <w:rPr>
          <w:sz w:val="24"/>
        </w:rPr>
      </w:pPr>
      <w:r>
        <w:rPr>
          <w:color w:val="231F20"/>
          <w:sz w:val="24"/>
        </w:rPr>
        <w:t>amortised </w:t>
      </w:r>
      <w:r>
        <w:rPr>
          <w:color w:val="231F20"/>
          <w:spacing w:val="-4"/>
          <w:sz w:val="24"/>
        </w:rPr>
        <w:t>cost</w:t>
      </w:r>
    </w:p>
    <w:p>
      <w:pPr>
        <w:pStyle w:val="ListParagraph"/>
        <w:numPr>
          <w:ilvl w:val="1"/>
          <w:numId w:val="11"/>
        </w:numPr>
        <w:tabs>
          <w:tab w:pos="430" w:val="left" w:leader="none"/>
        </w:tabs>
        <w:spacing w:line="240" w:lineRule="auto" w:before="38" w:after="0"/>
        <w:ind w:left="429" w:right="0" w:hanging="171"/>
        <w:jc w:val="left"/>
        <w:rPr>
          <w:sz w:val="24"/>
        </w:rPr>
      </w:pPr>
      <w:r>
        <w:rPr>
          <w:color w:val="231F20"/>
          <w:sz w:val="24"/>
        </w:rPr>
        <w:t>fair</w:t>
      </w:r>
      <w:r>
        <w:rPr>
          <w:color w:val="231F20"/>
          <w:spacing w:val="-2"/>
          <w:sz w:val="24"/>
        </w:rPr>
        <w:t> </w:t>
      </w:r>
      <w:r>
        <w:rPr>
          <w:color w:val="231F20"/>
          <w:sz w:val="24"/>
        </w:rPr>
        <w:t>value</w:t>
      </w:r>
      <w:r>
        <w:rPr>
          <w:color w:val="231F20"/>
          <w:spacing w:val="-1"/>
          <w:sz w:val="24"/>
        </w:rPr>
        <w:t> </w:t>
      </w:r>
      <w:r>
        <w:rPr>
          <w:color w:val="231F20"/>
          <w:sz w:val="24"/>
        </w:rPr>
        <w:t>through</w:t>
      </w:r>
      <w:r>
        <w:rPr>
          <w:color w:val="231F20"/>
          <w:spacing w:val="-1"/>
          <w:sz w:val="24"/>
        </w:rPr>
        <w:t> </w:t>
      </w:r>
      <w:r>
        <w:rPr>
          <w:color w:val="231F20"/>
          <w:sz w:val="24"/>
        </w:rPr>
        <w:t>profit</w:t>
      </w:r>
      <w:r>
        <w:rPr>
          <w:color w:val="231F20"/>
          <w:spacing w:val="-2"/>
          <w:sz w:val="24"/>
        </w:rPr>
        <w:t> </w:t>
      </w:r>
      <w:r>
        <w:rPr>
          <w:color w:val="231F20"/>
          <w:sz w:val="24"/>
        </w:rPr>
        <w:t>or</w:t>
      </w:r>
      <w:r>
        <w:rPr>
          <w:color w:val="231F20"/>
          <w:spacing w:val="-1"/>
          <w:sz w:val="24"/>
        </w:rPr>
        <w:t> </w:t>
      </w:r>
      <w:r>
        <w:rPr>
          <w:color w:val="231F20"/>
          <w:sz w:val="24"/>
        </w:rPr>
        <w:t>loss</w:t>
      </w:r>
      <w:r>
        <w:rPr>
          <w:color w:val="231F20"/>
          <w:spacing w:val="-2"/>
          <w:sz w:val="24"/>
        </w:rPr>
        <w:t> </w:t>
      </w:r>
      <w:r>
        <w:rPr>
          <w:color w:val="231F20"/>
          <w:sz w:val="24"/>
        </w:rPr>
        <w:t>(FVPL),</w:t>
      </w:r>
      <w:r>
        <w:rPr>
          <w:color w:val="231F20"/>
          <w:spacing w:val="-1"/>
          <w:sz w:val="24"/>
        </w:rPr>
        <w:t> </w:t>
      </w:r>
      <w:r>
        <w:rPr>
          <w:color w:val="231F20"/>
          <w:spacing w:val="-5"/>
          <w:sz w:val="24"/>
        </w:rPr>
        <w:t>and</w:t>
      </w:r>
    </w:p>
    <w:p>
      <w:pPr>
        <w:pStyle w:val="ListParagraph"/>
        <w:numPr>
          <w:ilvl w:val="1"/>
          <w:numId w:val="11"/>
        </w:numPr>
        <w:tabs>
          <w:tab w:pos="430" w:val="left" w:leader="none"/>
        </w:tabs>
        <w:spacing w:line="225" w:lineRule="auto" w:before="53" w:after="0"/>
        <w:ind w:left="429" w:right="609" w:hanging="171"/>
        <w:jc w:val="left"/>
        <w:rPr>
          <w:sz w:val="24"/>
        </w:rPr>
      </w:pPr>
      <w:r>
        <w:rPr>
          <w:color w:val="231F20"/>
          <w:sz w:val="24"/>
        </w:rPr>
        <w:t>fair</w:t>
      </w:r>
      <w:r>
        <w:rPr>
          <w:color w:val="231F20"/>
          <w:spacing w:val="-7"/>
          <w:sz w:val="24"/>
        </w:rPr>
        <w:t> </w:t>
      </w:r>
      <w:r>
        <w:rPr>
          <w:color w:val="231F20"/>
          <w:sz w:val="24"/>
        </w:rPr>
        <w:t>value</w:t>
      </w:r>
      <w:r>
        <w:rPr>
          <w:color w:val="231F20"/>
          <w:spacing w:val="-7"/>
          <w:sz w:val="24"/>
        </w:rPr>
        <w:t> </w:t>
      </w:r>
      <w:r>
        <w:rPr>
          <w:color w:val="231F20"/>
          <w:sz w:val="24"/>
        </w:rPr>
        <w:t>through</w:t>
      </w:r>
      <w:r>
        <w:rPr>
          <w:color w:val="231F20"/>
          <w:spacing w:val="-7"/>
          <w:sz w:val="24"/>
        </w:rPr>
        <w:t> </w:t>
      </w:r>
      <w:r>
        <w:rPr>
          <w:color w:val="231F20"/>
          <w:sz w:val="24"/>
        </w:rPr>
        <w:t>other</w:t>
      </w:r>
      <w:r>
        <w:rPr>
          <w:color w:val="231F20"/>
          <w:spacing w:val="-7"/>
          <w:sz w:val="24"/>
        </w:rPr>
        <w:t> </w:t>
      </w:r>
      <w:r>
        <w:rPr>
          <w:color w:val="231F20"/>
          <w:sz w:val="24"/>
        </w:rPr>
        <w:t>comprehensive</w:t>
      </w:r>
      <w:r>
        <w:rPr>
          <w:color w:val="231F20"/>
          <w:spacing w:val="-7"/>
          <w:sz w:val="24"/>
        </w:rPr>
        <w:t> </w:t>
      </w:r>
      <w:r>
        <w:rPr>
          <w:color w:val="231F20"/>
          <w:sz w:val="24"/>
        </w:rPr>
        <w:t>income </w:t>
      </w:r>
      <w:r>
        <w:rPr>
          <w:color w:val="231F20"/>
          <w:spacing w:val="-2"/>
          <w:sz w:val="24"/>
        </w:rPr>
        <w:t>(FVOCI)</w:t>
      </w:r>
    </w:p>
    <w:p>
      <w:pPr>
        <w:pStyle w:val="BodyText"/>
        <w:spacing w:before="10"/>
        <w:rPr>
          <w:sz w:val="26"/>
        </w:rPr>
      </w:pPr>
    </w:p>
    <w:p>
      <w:pPr>
        <w:pStyle w:val="BodyText"/>
        <w:spacing w:line="225" w:lineRule="auto"/>
        <w:ind w:left="259" w:right="548"/>
      </w:pPr>
      <w:r>
        <w:rPr>
          <w:color w:val="231F20"/>
        </w:rPr>
        <w:t>The Council’s business model is to hold investments</w:t>
      </w:r>
      <w:r>
        <w:rPr>
          <w:color w:val="231F20"/>
          <w:spacing w:val="-8"/>
        </w:rPr>
        <w:t> </w:t>
      </w:r>
      <w:r>
        <w:rPr>
          <w:color w:val="231F20"/>
        </w:rPr>
        <w:t>to</w:t>
      </w:r>
      <w:r>
        <w:rPr>
          <w:color w:val="231F20"/>
          <w:spacing w:val="-7"/>
        </w:rPr>
        <w:t> </w:t>
      </w:r>
      <w:r>
        <w:rPr>
          <w:color w:val="231F20"/>
        </w:rPr>
        <w:t>collect</w:t>
      </w:r>
      <w:r>
        <w:rPr>
          <w:color w:val="231F20"/>
          <w:spacing w:val="-7"/>
        </w:rPr>
        <w:t> </w:t>
      </w:r>
      <w:r>
        <w:rPr>
          <w:color w:val="231F20"/>
        </w:rPr>
        <w:t>contractual</w:t>
      </w:r>
      <w:r>
        <w:rPr>
          <w:color w:val="231F20"/>
          <w:spacing w:val="-7"/>
        </w:rPr>
        <w:t> </w:t>
      </w:r>
      <w:r>
        <w:rPr>
          <w:color w:val="231F20"/>
        </w:rPr>
        <w:t>cash</w:t>
      </w:r>
      <w:r>
        <w:rPr>
          <w:color w:val="231F20"/>
          <w:spacing w:val="-7"/>
        </w:rPr>
        <w:t> </w:t>
      </w:r>
      <w:r>
        <w:rPr>
          <w:color w:val="231F20"/>
        </w:rPr>
        <w:t>flows. Financial assets are therefore classified at amortised cost.</w:t>
      </w:r>
    </w:p>
    <w:p>
      <w:pPr>
        <w:spacing w:after="0" w:line="225" w:lineRule="auto"/>
        <w:sectPr>
          <w:type w:val="continuous"/>
          <w:pgSz w:w="11910" w:h="16840"/>
          <w:pgMar w:header="377" w:footer="367" w:top="260" w:bottom="0" w:left="0" w:right="0"/>
          <w:cols w:num="2" w:equalWidth="0">
            <w:col w:w="5795" w:space="40"/>
            <w:col w:w="6075"/>
          </w:cols>
        </w:sectPr>
      </w:pPr>
    </w:p>
    <w:p>
      <w:pPr>
        <w:pStyle w:val="BodyText"/>
        <w:rPr>
          <w:sz w:val="28"/>
        </w:rPr>
      </w:pPr>
    </w:p>
    <w:p>
      <w:pPr>
        <w:spacing w:after="0"/>
        <w:rPr>
          <w:sz w:val="28"/>
        </w:rPr>
        <w:sectPr>
          <w:pgSz w:w="11910" w:h="16840"/>
          <w:pgMar w:header="377" w:footer="367" w:top="560" w:bottom="560" w:left="0" w:right="0"/>
        </w:sectPr>
      </w:pPr>
    </w:p>
    <w:p>
      <w:pPr>
        <w:pStyle w:val="BodyText"/>
        <w:spacing w:line="225" w:lineRule="auto" w:before="115"/>
        <w:ind w:left="566" w:right="65"/>
      </w:pPr>
      <w:r>
        <w:rPr>
          <w:b/>
          <w:color w:val="3B5673"/>
        </w:rPr>
        <w:t>Financial</w:t>
      </w:r>
      <w:r>
        <w:rPr>
          <w:b/>
          <w:color w:val="3B5673"/>
          <w:spacing w:val="-6"/>
        </w:rPr>
        <w:t> </w:t>
      </w:r>
      <w:r>
        <w:rPr>
          <w:b/>
          <w:color w:val="3B5673"/>
        </w:rPr>
        <w:t>Assets</w:t>
      </w:r>
      <w:r>
        <w:rPr>
          <w:b/>
          <w:color w:val="3B5673"/>
          <w:spacing w:val="-7"/>
        </w:rPr>
        <w:t> </w:t>
      </w:r>
      <w:r>
        <w:rPr>
          <w:b/>
          <w:color w:val="3B5673"/>
        </w:rPr>
        <w:t>measured</w:t>
      </w:r>
      <w:r>
        <w:rPr>
          <w:b/>
          <w:color w:val="3B5673"/>
          <w:spacing w:val="-6"/>
        </w:rPr>
        <w:t> </w:t>
      </w:r>
      <w:r>
        <w:rPr>
          <w:b/>
          <w:color w:val="3B5673"/>
        </w:rPr>
        <w:t>at</w:t>
      </w:r>
      <w:r>
        <w:rPr>
          <w:b/>
          <w:color w:val="3B5673"/>
          <w:spacing w:val="-7"/>
        </w:rPr>
        <w:t> </w:t>
      </w:r>
      <w:r>
        <w:rPr>
          <w:b/>
          <w:color w:val="3B5673"/>
        </w:rPr>
        <w:t>amortised</w:t>
      </w:r>
      <w:r>
        <w:rPr>
          <w:b/>
          <w:color w:val="3B5673"/>
          <w:spacing w:val="-7"/>
        </w:rPr>
        <w:t> </w:t>
      </w:r>
      <w:r>
        <w:rPr>
          <w:b/>
          <w:color w:val="3B5673"/>
        </w:rPr>
        <w:t>costs </w:t>
      </w:r>
      <w:r>
        <w:rPr>
          <w:color w:val="231F20"/>
        </w:rPr>
        <w:t>Loans and receivables are recognised on the Balance Sheet when the Council becomes a party</w:t>
      </w:r>
      <w:r>
        <w:rPr>
          <w:color w:val="231F20"/>
          <w:spacing w:val="-2"/>
        </w:rPr>
        <w:t> </w:t>
      </w:r>
      <w:r>
        <w:rPr>
          <w:color w:val="231F20"/>
        </w:rPr>
        <w:t>to</w:t>
      </w:r>
      <w:r>
        <w:rPr>
          <w:color w:val="231F20"/>
          <w:spacing w:val="-2"/>
        </w:rPr>
        <w:t> </w:t>
      </w:r>
      <w:r>
        <w:rPr>
          <w:color w:val="231F20"/>
        </w:rPr>
        <w:t>the</w:t>
      </w:r>
      <w:r>
        <w:rPr>
          <w:color w:val="231F20"/>
          <w:spacing w:val="-2"/>
        </w:rPr>
        <w:t> </w:t>
      </w:r>
      <w:r>
        <w:rPr>
          <w:color w:val="231F20"/>
        </w:rPr>
        <w:t>contractual</w:t>
      </w:r>
      <w:r>
        <w:rPr>
          <w:color w:val="231F20"/>
          <w:spacing w:val="-2"/>
        </w:rPr>
        <w:t> </w:t>
      </w:r>
      <w:r>
        <w:rPr>
          <w:color w:val="231F20"/>
        </w:rPr>
        <w:t>provisions</w:t>
      </w:r>
      <w:r>
        <w:rPr>
          <w:color w:val="231F20"/>
          <w:spacing w:val="-2"/>
        </w:rPr>
        <w:t> </w:t>
      </w:r>
      <w:r>
        <w:rPr>
          <w:color w:val="231F20"/>
        </w:rPr>
        <w:t>of</w:t>
      </w:r>
      <w:r>
        <w:rPr>
          <w:color w:val="231F20"/>
          <w:spacing w:val="-2"/>
        </w:rPr>
        <w:t> </w:t>
      </w:r>
      <w:r>
        <w:rPr>
          <w:color w:val="231F20"/>
        </w:rPr>
        <w:t>a</w:t>
      </w:r>
      <w:r>
        <w:rPr>
          <w:color w:val="231F20"/>
          <w:spacing w:val="-2"/>
        </w:rPr>
        <w:t> </w:t>
      </w:r>
      <w:r>
        <w:rPr>
          <w:color w:val="231F20"/>
        </w:rPr>
        <w:t>financial instrument and are initially measured at fair value. They are subsequently measured at their amortised cost.</w:t>
      </w:r>
    </w:p>
    <w:p>
      <w:pPr>
        <w:pStyle w:val="BodyText"/>
        <w:spacing w:before="7"/>
        <w:rPr>
          <w:sz w:val="22"/>
        </w:rPr>
      </w:pPr>
    </w:p>
    <w:p>
      <w:pPr>
        <w:pStyle w:val="BodyText"/>
        <w:spacing w:line="225" w:lineRule="auto"/>
        <w:ind w:left="566" w:right="273"/>
      </w:pPr>
      <w:r>
        <w:rPr>
          <w:color w:val="231F20"/>
        </w:rPr>
        <w:t>Annual credits to the Financing and Investment Income and Expenditure line in</w:t>
      </w:r>
      <w:r>
        <w:rPr>
          <w:color w:val="231F20"/>
          <w:spacing w:val="40"/>
        </w:rPr>
        <w:t> </w:t>
      </w:r>
      <w:r>
        <w:rPr>
          <w:color w:val="231F20"/>
        </w:rPr>
        <w:t>the Comprehensive Income and Expenditure Statement</w:t>
      </w:r>
      <w:r>
        <w:rPr>
          <w:color w:val="231F20"/>
          <w:spacing w:val="-4"/>
        </w:rPr>
        <w:t> </w:t>
      </w:r>
      <w:r>
        <w:rPr>
          <w:color w:val="231F20"/>
        </w:rPr>
        <w:t>for</w:t>
      </w:r>
      <w:r>
        <w:rPr>
          <w:color w:val="231F20"/>
          <w:spacing w:val="-4"/>
        </w:rPr>
        <w:t> </w:t>
      </w:r>
      <w:r>
        <w:rPr>
          <w:color w:val="231F20"/>
        </w:rPr>
        <w:t>interest</w:t>
      </w:r>
      <w:r>
        <w:rPr>
          <w:color w:val="231F20"/>
          <w:spacing w:val="-5"/>
        </w:rPr>
        <w:t> </w:t>
      </w:r>
      <w:r>
        <w:rPr>
          <w:color w:val="231F20"/>
        </w:rPr>
        <w:t>receivable</w:t>
      </w:r>
      <w:r>
        <w:rPr>
          <w:color w:val="231F20"/>
          <w:spacing w:val="-4"/>
        </w:rPr>
        <w:t> </w:t>
      </w:r>
      <w:r>
        <w:rPr>
          <w:color w:val="231F20"/>
        </w:rPr>
        <w:t>are</w:t>
      </w:r>
      <w:r>
        <w:rPr>
          <w:color w:val="231F20"/>
          <w:spacing w:val="-4"/>
        </w:rPr>
        <w:t> </w:t>
      </w:r>
      <w:r>
        <w:rPr>
          <w:color w:val="231F20"/>
        </w:rPr>
        <w:t>based</w:t>
      </w:r>
      <w:r>
        <w:rPr>
          <w:color w:val="231F20"/>
          <w:spacing w:val="-4"/>
        </w:rPr>
        <w:t> </w:t>
      </w:r>
      <w:r>
        <w:rPr>
          <w:color w:val="231F20"/>
        </w:rPr>
        <w:t>on the</w:t>
      </w:r>
      <w:r>
        <w:rPr>
          <w:color w:val="231F20"/>
          <w:spacing w:val="-2"/>
        </w:rPr>
        <w:t> </w:t>
      </w:r>
      <w:r>
        <w:rPr>
          <w:color w:val="231F20"/>
        </w:rPr>
        <w:t>carrying</w:t>
      </w:r>
      <w:r>
        <w:rPr>
          <w:color w:val="231F20"/>
          <w:spacing w:val="-1"/>
        </w:rPr>
        <w:t> </w:t>
      </w:r>
      <w:r>
        <w:rPr>
          <w:color w:val="231F20"/>
        </w:rPr>
        <w:t>amount</w:t>
      </w:r>
      <w:r>
        <w:rPr>
          <w:color w:val="231F20"/>
          <w:spacing w:val="-1"/>
        </w:rPr>
        <w:t> </w:t>
      </w:r>
      <w:r>
        <w:rPr>
          <w:color w:val="231F20"/>
        </w:rPr>
        <w:t>of</w:t>
      </w:r>
      <w:r>
        <w:rPr>
          <w:color w:val="231F20"/>
          <w:spacing w:val="-2"/>
        </w:rPr>
        <w:t> </w:t>
      </w:r>
      <w:r>
        <w:rPr>
          <w:color w:val="231F20"/>
        </w:rPr>
        <w:t>the</w:t>
      </w:r>
      <w:r>
        <w:rPr>
          <w:color w:val="231F20"/>
          <w:spacing w:val="-1"/>
        </w:rPr>
        <w:t> </w:t>
      </w:r>
      <w:r>
        <w:rPr>
          <w:color w:val="231F20"/>
        </w:rPr>
        <w:t>asset</w:t>
      </w:r>
      <w:r>
        <w:rPr>
          <w:color w:val="231F20"/>
          <w:spacing w:val="-1"/>
        </w:rPr>
        <w:t> </w:t>
      </w:r>
      <w:r>
        <w:rPr>
          <w:color w:val="231F20"/>
        </w:rPr>
        <w:t>multiplied</w:t>
      </w:r>
      <w:r>
        <w:rPr>
          <w:color w:val="231F20"/>
          <w:spacing w:val="-2"/>
        </w:rPr>
        <w:t> </w:t>
      </w:r>
      <w:r>
        <w:rPr>
          <w:color w:val="231F20"/>
          <w:spacing w:val="-7"/>
        </w:rPr>
        <w:t>by</w:t>
      </w:r>
    </w:p>
    <w:p>
      <w:pPr>
        <w:pStyle w:val="BodyText"/>
        <w:spacing w:line="225" w:lineRule="auto"/>
        <w:ind w:left="566" w:right="101"/>
      </w:pPr>
      <w:r>
        <w:rPr>
          <w:color w:val="231F20"/>
        </w:rPr>
        <w:t>the effective rate of interest for the instrument. For most of the loans that the Council has made, this means that the amount presented in the Balance Sheet is the outstanding principal receivable (plus accrued interest) and interest credited to the Comprehensive Income and Expenditure</w:t>
      </w:r>
      <w:r>
        <w:rPr>
          <w:color w:val="231F20"/>
          <w:spacing w:val="-8"/>
        </w:rPr>
        <w:t> </w:t>
      </w:r>
      <w:r>
        <w:rPr>
          <w:color w:val="231F20"/>
        </w:rPr>
        <w:t>Statement</w:t>
      </w:r>
      <w:r>
        <w:rPr>
          <w:color w:val="231F20"/>
          <w:spacing w:val="-8"/>
        </w:rPr>
        <w:t> </w:t>
      </w:r>
      <w:r>
        <w:rPr>
          <w:color w:val="231F20"/>
        </w:rPr>
        <w:t>is</w:t>
      </w:r>
      <w:r>
        <w:rPr>
          <w:color w:val="231F20"/>
          <w:spacing w:val="-9"/>
        </w:rPr>
        <w:t> </w:t>
      </w:r>
      <w:r>
        <w:rPr>
          <w:color w:val="231F20"/>
        </w:rPr>
        <w:t>the</w:t>
      </w:r>
      <w:r>
        <w:rPr>
          <w:color w:val="231F20"/>
          <w:spacing w:val="-8"/>
        </w:rPr>
        <w:t> </w:t>
      </w:r>
      <w:r>
        <w:rPr>
          <w:color w:val="231F20"/>
        </w:rPr>
        <w:t>amount</w:t>
      </w:r>
      <w:r>
        <w:rPr>
          <w:color w:val="231F20"/>
          <w:spacing w:val="-8"/>
        </w:rPr>
        <w:t> </w:t>
      </w:r>
      <w:r>
        <w:rPr>
          <w:color w:val="231F20"/>
        </w:rPr>
        <w:t>receivable for the year in the loan agreement.</w:t>
      </w:r>
    </w:p>
    <w:p>
      <w:pPr>
        <w:pStyle w:val="BodyText"/>
        <w:spacing w:before="7"/>
        <w:rPr>
          <w:sz w:val="22"/>
        </w:rPr>
      </w:pPr>
    </w:p>
    <w:p>
      <w:pPr>
        <w:pStyle w:val="BodyText"/>
        <w:spacing w:line="225" w:lineRule="auto"/>
        <w:ind w:left="566" w:right="113"/>
      </w:pPr>
      <w:r>
        <w:rPr>
          <w:color w:val="231F20"/>
        </w:rPr>
        <w:t>Investments are classed as either long-term assets, if repayable after 12 months or longer, or</w:t>
      </w:r>
      <w:r>
        <w:rPr>
          <w:color w:val="231F20"/>
          <w:spacing w:val="-5"/>
        </w:rPr>
        <w:t> </w:t>
      </w:r>
      <w:r>
        <w:rPr>
          <w:color w:val="231F20"/>
        </w:rPr>
        <w:t>current</w:t>
      </w:r>
      <w:r>
        <w:rPr>
          <w:color w:val="231F20"/>
          <w:spacing w:val="-5"/>
        </w:rPr>
        <w:t> </w:t>
      </w:r>
      <w:r>
        <w:rPr>
          <w:color w:val="231F20"/>
        </w:rPr>
        <w:t>assets,</w:t>
      </w:r>
      <w:r>
        <w:rPr>
          <w:color w:val="231F20"/>
          <w:spacing w:val="-5"/>
        </w:rPr>
        <w:t> </w:t>
      </w:r>
      <w:r>
        <w:rPr>
          <w:color w:val="231F20"/>
        </w:rPr>
        <w:t>if</w:t>
      </w:r>
      <w:r>
        <w:rPr>
          <w:color w:val="231F20"/>
          <w:spacing w:val="-6"/>
        </w:rPr>
        <w:t> </w:t>
      </w:r>
      <w:r>
        <w:rPr>
          <w:color w:val="231F20"/>
        </w:rPr>
        <w:t>repayable</w:t>
      </w:r>
      <w:r>
        <w:rPr>
          <w:color w:val="231F20"/>
          <w:spacing w:val="-5"/>
        </w:rPr>
        <w:t> </w:t>
      </w:r>
      <w:r>
        <w:rPr>
          <w:color w:val="231F20"/>
        </w:rPr>
        <w:t>within</w:t>
      </w:r>
      <w:r>
        <w:rPr>
          <w:color w:val="231F20"/>
          <w:spacing w:val="-5"/>
        </w:rPr>
        <w:t> </w:t>
      </w:r>
      <w:r>
        <w:rPr>
          <w:color w:val="231F20"/>
        </w:rPr>
        <w:t>12</w:t>
      </w:r>
      <w:r>
        <w:rPr>
          <w:color w:val="231F20"/>
          <w:spacing w:val="-6"/>
        </w:rPr>
        <w:t> </w:t>
      </w:r>
      <w:r>
        <w:rPr>
          <w:color w:val="231F20"/>
        </w:rPr>
        <w:t>months. Investments are shown in the Balance Sheet at amortised cost, using the effective interest rate</w:t>
      </w:r>
    </w:p>
    <w:p>
      <w:pPr>
        <w:pStyle w:val="BodyText"/>
        <w:spacing w:line="294" w:lineRule="exact"/>
        <w:ind w:left="566"/>
      </w:pPr>
      <w:r>
        <w:rPr>
          <w:color w:val="231F20"/>
        </w:rPr>
        <w:t>that</w:t>
      </w:r>
      <w:r>
        <w:rPr>
          <w:color w:val="231F20"/>
          <w:spacing w:val="-2"/>
        </w:rPr>
        <w:t> </w:t>
      </w:r>
      <w:r>
        <w:rPr>
          <w:color w:val="231F20"/>
        </w:rPr>
        <w:t>applies</w:t>
      </w:r>
      <w:r>
        <w:rPr>
          <w:color w:val="231F20"/>
          <w:spacing w:val="-2"/>
        </w:rPr>
        <w:t> </w:t>
      </w:r>
      <w:r>
        <w:rPr>
          <w:color w:val="231F20"/>
        </w:rPr>
        <w:t>to</w:t>
      </w:r>
      <w:r>
        <w:rPr>
          <w:color w:val="231F20"/>
          <w:spacing w:val="-2"/>
        </w:rPr>
        <w:t> </w:t>
      </w:r>
      <w:r>
        <w:rPr>
          <w:color w:val="231F20"/>
        </w:rPr>
        <w:t>the</w:t>
      </w:r>
      <w:r>
        <w:rPr>
          <w:color w:val="231F20"/>
          <w:spacing w:val="-2"/>
        </w:rPr>
        <w:t> </w:t>
      </w:r>
      <w:r>
        <w:rPr>
          <w:color w:val="231F20"/>
        </w:rPr>
        <w:t>individual</w:t>
      </w:r>
      <w:r>
        <w:rPr>
          <w:color w:val="231F20"/>
          <w:spacing w:val="-3"/>
        </w:rPr>
        <w:t> </w:t>
      </w:r>
      <w:r>
        <w:rPr>
          <w:color w:val="231F20"/>
        </w:rPr>
        <w:t>loans</w:t>
      </w:r>
      <w:r>
        <w:rPr>
          <w:color w:val="231F20"/>
          <w:spacing w:val="-3"/>
        </w:rPr>
        <w:t> </w:t>
      </w:r>
      <w:r>
        <w:rPr>
          <w:color w:val="231F20"/>
        </w:rPr>
        <w:t>that</w:t>
      </w:r>
      <w:r>
        <w:rPr>
          <w:color w:val="231F20"/>
          <w:spacing w:val="-1"/>
        </w:rPr>
        <w:t> </w:t>
      </w:r>
      <w:r>
        <w:rPr>
          <w:color w:val="231F20"/>
          <w:spacing w:val="-2"/>
        </w:rPr>
        <w:t>comprise</w:t>
      </w:r>
    </w:p>
    <w:p>
      <w:pPr>
        <w:pStyle w:val="BodyText"/>
        <w:spacing w:line="310" w:lineRule="exact"/>
        <w:ind w:left="566"/>
      </w:pPr>
      <w:r>
        <w:rPr>
          <w:color w:val="231F20"/>
        </w:rPr>
        <w:t>the total borrowing held by the </w:t>
      </w:r>
      <w:r>
        <w:rPr>
          <w:color w:val="231F20"/>
          <w:spacing w:val="-2"/>
        </w:rPr>
        <w:t>Council.</w:t>
      </w:r>
    </w:p>
    <w:p>
      <w:pPr>
        <w:pStyle w:val="BodyText"/>
        <w:spacing w:line="225" w:lineRule="auto" w:before="115"/>
        <w:ind w:left="322" w:right="982"/>
      </w:pPr>
      <w:r>
        <w:rPr/>
        <w:br w:type="column"/>
      </w:r>
      <w:r>
        <w:rPr>
          <w:color w:val="231F20"/>
        </w:rPr>
        <w:t>The amount shown in the Balance Sheet represents the outstanding principal due to be repaid to the Council and the interest that is</w:t>
      </w:r>
      <w:r>
        <w:rPr>
          <w:color w:val="231F20"/>
          <w:spacing w:val="-6"/>
        </w:rPr>
        <w:t> </w:t>
      </w:r>
      <w:r>
        <w:rPr>
          <w:color w:val="231F20"/>
        </w:rPr>
        <w:t>credited</w:t>
      </w:r>
      <w:r>
        <w:rPr>
          <w:color w:val="231F20"/>
          <w:spacing w:val="-3"/>
        </w:rPr>
        <w:t> </w:t>
      </w:r>
      <w:r>
        <w:rPr>
          <w:color w:val="231F20"/>
        </w:rPr>
        <w:t>to</w:t>
      </w:r>
      <w:r>
        <w:rPr>
          <w:color w:val="231F20"/>
          <w:spacing w:val="-4"/>
        </w:rPr>
        <w:t> </w:t>
      </w:r>
      <w:r>
        <w:rPr>
          <w:color w:val="231F20"/>
        </w:rPr>
        <w:t>the</w:t>
      </w:r>
      <w:r>
        <w:rPr>
          <w:color w:val="231F20"/>
          <w:spacing w:val="-3"/>
        </w:rPr>
        <w:t> </w:t>
      </w:r>
      <w:r>
        <w:rPr>
          <w:color w:val="231F20"/>
        </w:rPr>
        <w:t>Comprehensive</w:t>
      </w:r>
      <w:r>
        <w:rPr>
          <w:color w:val="231F20"/>
          <w:spacing w:val="-4"/>
        </w:rPr>
        <w:t> </w:t>
      </w:r>
      <w:r>
        <w:rPr>
          <w:color w:val="231F20"/>
        </w:rPr>
        <w:t>Income</w:t>
      </w:r>
      <w:r>
        <w:rPr>
          <w:color w:val="231F20"/>
          <w:spacing w:val="-3"/>
        </w:rPr>
        <w:t> </w:t>
      </w:r>
      <w:r>
        <w:rPr>
          <w:color w:val="231F20"/>
          <w:spacing w:val="-5"/>
        </w:rPr>
        <w:t>and</w:t>
      </w:r>
    </w:p>
    <w:p>
      <w:pPr>
        <w:pStyle w:val="BodyText"/>
        <w:spacing w:line="225" w:lineRule="auto"/>
        <w:ind w:left="322" w:right="738"/>
      </w:pPr>
      <w:r>
        <w:rPr>
          <w:color w:val="231F20"/>
        </w:rPr>
        <w:t>Expenditure</w:t>
      </w:r>
      <w:r>
        <w:rPr>
          <w:color w:val="231F20"/>
          <w:spacing w:val="-8"/>
        </w:rPr>
        <w:t> </w:t>
      </w:r>
      <w:r>
        <w:rPr>
          <w:color w:val="231F20"/>
        </w:rPr>
        <w:t>Statement</w:t>
      </w:r>
      <w:r>
        <w:rPr>
          <w:color w:val="231F20"/>
          <w:spacing w:val="-8"/>
        </w:rPr>
        <w:t> </w:t>
      </w:r>
      <w:r>
        <w:rPr>
          <w:color w:val="231F20"/>
        </w:rPr>
        <w:t>is</w:t>
      </w:r>
      <w:r>
        <w:rPr>
          <w:color w:val="231F20"/>
          <w:spacing w:val="-9"/>
        </w:rPr>
        <w:t> </w:t>
      </w:r>
      <w:r>
        <w:rPr>
          <w:color w:val="231F20"/>
        </w:rPr>
        <w:t>the</w:t>
      </w:r>
      <w:r>
        <w:rPr>
          <w:color w:val="231F20"/>
          <w:spacing w:val="-8"/>
        </w:rPr>
        <w:t> </w:t>
      </w:r>
      <w:r>
        <w:rPr>
          <w:color w:val="231F20"/>
        </w:rPr>
        <w:t>amount</w:t>
      </w:r>
      <w:r>
        <w:rPr>
          <w:color w:val="231F20"/>
          <w:spacing w:val="-8"/>
        </w:rPr>
        <w:t> </w:t>
      </w:r>
      <w:r>
        <w:rPr>
          <w:color w:val="231F20"/>
        </w:rPr>
        <w:t>receivable in the year under the loan agreement.</w:t>
      </w:r>
    </w:p>
    <w:p>
      <w:pPr>
        <w:pStyle w:val="Heading4"/>
        <w:numPr>
          <w:ilvl w:val="0"/>
          <w:numId w:val="14"/>
        </w:numPr>
        <w:tabs>
          <w:tab w:pos="569" w:val="left" w:leader="none"/>
        </w:tabs>
        <w:spacing w:line="310" w:lineRule="exact" w:before="285" w:after="0"/>
        <w:ind w:left="568" w:right="0" w:hanging="247"/>
        <w:jc w:val="left"/>
      </w:pPr>
      <w:r>
        <w:rPr>
          <w:color w:val="3B5673"/>
        </w:rPr>
        <w:t>Expected</w:t>
      </w:r>
      <w:r>
        <w:rPr>
          <w:color w:val="3B5673"/>
          <w:spacing w:val="-4"/>
        </w:rPr>
        <w:t> </w:t>
      </w:r>
      <w:r>
        <w:rPr>
          <w:color w:val="3B5673"/>
        </w:rPr>
        <w:t>Credit</w:t>
      </w:r>
      <w:r>
        <w:rPr>
          <w:color w:val="3B5673"/>
          <w:spacing w:val="-3"/>
        </w:rPr>
        <w:t> </w:t>
      </w:r>
      <w:r>
        <w:rPr>
          <w:color w:val="3B5673"/>
        </w:rPr>
        <w:t>Loss</w:t>
      </w:r>
      <w:r>
        <w:rPr>
          <w:color w:val="3B5673"/>
          <w:spacing w:val="-4"/>
        </w:rPr>
        <w:t> </w:t>
      </w:r>
      <w:r>
        <w:rPr>
          <w:color w:val="3B5673"/>
          <w:spacing w:val="-2"/>
        </w:rPr>
        <w:t>Model</w:t>
      </w:r>
    </w:p>
    <w:p>
      <w:pPr>
        <w:pStyle w:val="BodyText"/>
        <w:spacing w:line="225" w:lineRule="auto" w:before="5"/>
        <w:ind w:left="322" w:right="738"/>
      </w:pPr>
      <w:r>
        <w:rPr>
          <w:color w:val="231F20"/>
        </w:rPr>
        <w:t>The Council recognises expected credit losses on all of its financial assets held at amortised cost,</w:t>
      </w:r>
      <w:r>
        <w:rPr>
          <w:color w:val="231F20"/>
          <w:spacing w:val="-4"/>
        </w:rPr>
        <w:t> </w:t>
      </w:r>
      <w:r>
        <w:rPr>
          <w:color w:val="231F20"/>
        </w:rPr>
        <w:t>either</w:t>
      </w:r>
      <w:r>
        <w:rPr>
          <w:color w:val="231F20"/>
          <w:spacing w:val="-4"/>
        </w:rPr>
        <w:t> </w:t>
      </w:r>
      <w:r>
        <w:rPr>
          <w:color w:val="231F20"/>
        </w:rPr>
        <w:t>on</w:t>
      </w:r>
      <w:r>
        <w:rPr>
          <w:color w:val="231F20"/>
          <w:spacing w:val="-4"/>
        </w:rPr>
        <w:t> </w:t>
      </w:r>
      <w:r>
        <w:rPr>
          <w:color w:val="231F20"/>
        </w:rPr>
        <w:t>a</w:t>
      </w:r>
      <w:r>
        <w:rPr>
          <w:color w:val="231F20"/>
          <w:spacing w:val="-4"/>
        </w:rPr>
        <w:t> </w:t>
      </w:r>
      <w:r>
        <w:rPr>
          <w:color w:val="231F20"/>
        </w:rPr>
        <w:t>12-month</w:t>
      </w:r>
      <w:r>
        <w:rPr>
          <w:color w:val="231F20"/>
          <w:spacing w:val="-5"/>
        </w:rPr>
        <w:t> </w:t>
      </w:r>
      <w:r>
        <w:rPr>
          <w:color w:val="231F20"/>
        </w:rPr>
        <w:t>or</w:t>
      </w:r>
      <w:r>
        <w:rPr>
          <w:color w:val="231F20"/>
          <w:spacing w:val="-4"/>
        </w:rPr>
        <w:t> </w:t>
      </w:r>
      <w:r>
        <w:rPr>
          <w:color w:val="231F20"/>
        </w:rPr>
        <w:t>lifetime</w:t>
      </w:r>
      <w:r>
        <w:rPr>
          <w:color w:val="231F20"/>
          <w:spacing w:val="-5"/>
        </w:rPr>
        <w:t> </w:t>
      </w:r>
      <w:r>
        <w:rPr>
          <w:color w:val="231F20"/>
        </w:rPr>
        <w:t>basis.</w:t>
      </w:r>
      <w:r>
        <w:rPr>
          <w:color w:val="231F20"/>
          <w:spacing w:val="-4"/>
        </w:rPr>
        <w:t> </w:t>
      </w:r>
      <w:r>
        <w:rPr>
          <w:color w:val="231F20"/>
        </w:rPr>
        <w:t>The expected</w:t>
      </w:r>
      <w:r>
        <w:rPr>
          <w:color w:val="231F20"/>
          <w:spacing w:val="-1"/>
        </w:rPr>
        <w:t> </w:t>
      </w:r>
      <w:r>
        <w:rPr>
          <w:color w:val="231F20"/>
        </w:rPr>
        <w:t>credit</w:t>
      </w:r>
      <w:r>
        <w:rPr>
          <w:color w:val="231F20"/>
          <w:spacing w:val="-1"/>
        </w:rPr>
        <w:t> </w:t>
      </w:r>
      <w:r>
        <w:rPr>
          <w:color w:val="231F20"/>
        </w:rPr>
        <w:t>loss</w:t>
      </w:r>
      <w:r>
        <w:rPr>
          <w:color w:val="231F20"/>
          <w:spacing w:val="-2"/>
        </w:rPr>
        <w:t> </w:t>
      </w:r>
      <w:r>
        <w:rPr>
          <w:color w:val="231F20"/>
        </w:rPr>
        <w:t>model</w:t>
      </w:r>
      <w:r>
        <w:rPr>
          <w:color w:val="231F20"/>
          <w:spacing w:val="-2"/>
        </w:rPr>
        <w:t> </w:t>
      </w:r>
      <w:r>
        <w:rPr>
          <w:color w:val="231F20"/>
        </w:rPr>
        <w:t>also</w:t>
      </w:r>
      <w:r>
        <w:rPr>
          <w:color w:val="231F20"/>
          <w:spacing w:val="-1"/>
        </w:rPr>
        <w:t> </w:t>
      </w:r>
      <w:r>
        <w:rPr>
          <w:color w:val="231F20"/>
        </w:rPr>
        <w:t>applies</w:t>
      </w:r>
      <w:r>
        <w:rPr>
          <w:color w:val="231F20"/>
          <w:spacing w:val="-1"/>
        </w:rPr>
        <w:t> </w:t>
      </w:r>
      <w:r>
        <w:rPr>
          <w:color w:val="231F20"/>
        </w:rPr>
        <w:t>to</w:t>
      </w:r>
      <w:r>
        <w:rPr>
          <w:color w:val="231F20"/>
          <w:spacing w:val="-1"/>
        </w:rPr>
        <w:t> </w:t>
      </w:r>
      <w:r>
        <w:rPr>
          <w:color w:val="231F20"/>
        </w:rPr>
        <w:t>lease receivables and contract assets. Only lifetime losses are recognised for trade receivables (debtors) held by the Council.</w:t>
      </w:r>
    </w:p>
    <w:p>
      <w:pPr>
        <w:pStyle w:val="BodyText"/>
        <w:spacing w:before="7"/>
        <w:rPr>
          <w:sz w:val="22"/>
        </w:rPr>
      </w:pPr>
    </w:p>
    <w:p>
      <w:pPr>
        <w:pStyle w:val="BodyText"/>
        <w:spacing w:line="225" w:lineRule="auto"/>
        <w:ind w:left="322" w:right="635"/>
      </w:pPr>
      <w:r>
        <w:rPr/>
        <w:pict>
          <v:group style="position:absolute;margin-left:578.504028pt;margin-top:31.309837pt;width:16.8pt;height:192.8pt;mso-position-horizontal-relative:page;mso-position-vertical-relative:paragraph;z-index:15767040" id="docshapegroup318" coordorigin="11570,626" coordsize="336,3856">
            <v:rect style="position:absolute;left:11570;top:3517;width:336;height:964" id="docshape319" filled="true" fillcolor="#f15d6b" stroked="false">
              <v:fill type="solid"/>
            </v:rect>
            <v:rect style="position:absolute;left:11570;top:2553;width:336;height:964" id="docshape320" filled="true" fillcolor="#fbac42" stroked="false">
              <v:fill type="solid"/>
            </v:rect>
            <v:rect style="position:absolute;left:11570;top:1589;width:336;height:964" id="docshape321" filled="true" fillcolor="#b78fc1" stroked="false">
              <v:fill type="solid"/>
            </v:rect>
            <v:rect style="position:absolute;left:11570;top:626;width:336;height:964" id="docshape322" filled="true" fillcolor="#378372" stroked="false">
              <v:fill type="solid"/>
            </v:rect>
            <w10:wrap type="none"/>
          </v:group>
        </w:pict>
      </w:r>
      <w:r>
        <w:rPr>
          <w:color w:val="231F20"/>
        </w:rPr>
        <w:t>Impairment losses are calculated to reflect the expectation that the future cash flows might not take place because the borrower could default on their obligations. Credit risk plays a crucial part</w:t>
      </w:r>
      <w:r>
        <w:rPr>
          <w:color w:val="231F20"/>
          <w:spacing w:val="-5"/>
        </w:rPr>
        <w:t> </w:t>
      </w:r>
      <w:r>
        <w:rPr>
          <w:color w:val="231F20"/>
        </w:rPr>
        <w:t>in</w:t>
      </w:r>
      <w:r>
        <w:rPr>
          <w:color w:val="231F20"/>
          <w:spacing w:val="-6"/>
        </w:rPr>
        <w:t> </w:t>
      </w:r>
      <w:r>
        <w:rPr>
          <w:color w:val="231F20"/>
        </w:rPr>
        <w:t>assessing</w:t>
      </w:r>
      <w:r>
        <w:rPr>
          <w:color w:val="231F20"/>
          <w:spacing w:val="-5"/>
        </w:rPr>
        <w:t> </w:t>
      </w:r>
      <w:r>
        <w:rPr>
          <w:color w:val="231F20"/>
        </w:rPr>
        <w:t>losses.</w:t>
      </w:r>
      <w:r>
        <w:rPr>
          <w:color w:val="231F20"/>
          <w:spacing w:val="-6"/>
        </w:rPr>
        <w:t> </w:t>
      </w:r>
      <w:r>
        <w:rPr>
          <w:color w:val="231F20"/>
        </w:rPr>
        <w:t>Where</w:t>
      </w:r>
      <w:r>
        <w:rPr>
          <w:color w:val="231F20"/>
          <w:spacing w:val="-6"/>
        </w:rPr>
        <w:t> </w:t>
      </w:r>
      <w:r>
        <w:rPr>
          <w:color w:val="231F20"/>
        </w:rPr>
        <w:t>risk</w:t>
      </w:r>
      <w:r>
        <w:rPr>
          <w:color w:val="231F20"/>
          <w:spacing w:val="-5"/>
        </w:rPr>
        <w:t> </w:t>
      </w:r>
      <w:r>
        <w:rPr>
          <w:color w:val="231F20"/>
        </w:rPr>
        <w:t>has</w:t>
      </w:r>
      <w:r>
        <w:rPr>
          <w:color w:val="231F20"/>
          <w:spacing w:val="-5"/>
        </w:rPr>
        <w:t> </w:t>
      </w:r>
      <w:r>
        <w:rPr>
          <w:color w:val="231F20"/>
        </w:rPr>
        <w:t>increased significantly since an instrument was initially recognised, losses are assessed on a lifetime basis. Where risk has not increased significantly or remains low, losses are assessed on the basis of 12-month expected losses.</w:t>
      </w:r>
    </w:p>
    <w:p>
      <w:pPr>
        <w:spacing w:after="0" w:line="225" w:lineRule="auto"/>
        <w:sectPr>
          <w:type w:val="continuous"/>
          <w:pgSz w:w="11910" w:h="16840"/>
          <w:pgMar w:header="377" w:footer="367" w:top="260" w:bottom="0" w:left="0" w:right="0"/>
          <w:cols w:num="2" w:equalWidth="0">
            <w:col w:w="5733" w:space="40"/>
            <w:col w:w="6137"/>
          </w:cols>
        </w:sectPr>
      </w:pPr>
    </w:p>
    <w:p>
      <w:pPr>
        <w:pStyle w:val="BodyText"/>
        <w:rPr>
          <w:sz w:val="28"/>
        </w:rPr>
      </w:pPr>
    </w:p>
    <w:p>
      <w:pPr>
        <w:spacing w:after="0"/>
        <w:rPr>
          <w:sz w:val="28"/>
        </w:rPr>
        <w:sectPr>
          <w:pgSz w:w="11910" w:h="16840"/>
          <w:pgMar w:header="377" w:footer="367" w:top="560" w:bottom="560" w:left="0" w:right="0"/>
        </w:sectPr>
      </w:pPr>
    </w:p>
    <w:p>
      <w:pPr>
        <w:pStyle w:val="Heading3"/>
        <w:numPr>
          <w:ilvl w:val="0"/>
          <w:numId w:val="11"/>
        </w:numPr>
        <w:tabs>
          <w:tab w:pos="979" w:val="left" w:leader="none"/>
        </w:tabs>
        <w:spacing w:line="310" w:lineRule="exact" w:before="100" w:after="0"/>
        <w:ind w:left="978" w:right="0" w:hanging="413"/>
        <w:jc w:val="left"/>
      </w:pPr>
      <w:r>
        <w:rPr>
          <w:color w:val="3B5673"/>
        </w:rPr>
        <w:t>GOVERNMENT</w:t>
      </w:r>
      <w:r>
        <w:rPr>
          <w:color w:val="3B5673"/>
          <w:spacing w:val="64"/>
        </w:rPr>
        <w:t> </w:t>
      </w:r>
      <w:r>
        <w:rPr>
          <w:color w:val="3B5673"/>
        </w:rPr>
        <w:t>GRANTS</w:t>
      </w:r>
      <w:r>
        <w:rPr>
          <w:color w:val="3B5673"/>
          <w:spacing w:val="64"/>
        </w:rPr>
        <w:t> </w:t>
      </w:r>
      <w:r>
        <w:rPr>
          <w:color w:val="3B5673"/>
          <w:spacing w:val="-5"/>
        </w:rPr>
        <w:t>AND</w:t>
      </w:r>
    </w:p>
    <w:p>
      <w:pPr>
        <w:spacing w:line="300" w:lineRule="exact" w:before="0"/>
        <w:ind w:left="571" w:right="0" w:firstLine="0"/>
        <w:jc w:val="left"/>
        <w:rPr>
          <w:b/>
          <w:sz w:val="24"/>
        </w:rPr>
      </w:pPr>
      <w:r>
        <w:rPr>
          <w:b/>
          <w:color w:val="3B5673"/>
          <w:spacing w:val="-2"/>
          <w:sz w:val="24"/>
        </w:rPr>
        <w:t>CONTRIBUTIONS</w:t>
      </w:r>
    </w:p>
    <w:p>
      <w:pPr>
        <w:pStyle w:val="BodyText"/>
        <w:spacing w:line="225" w:lineRule="auto" w:before="6"/>
        <w:ind w:left="566" w:right="449"/>
      </w:pPr>
      <w:r>
        <w:rPr>
          <w:color w:val="231F20"/>
        </w:rPr>
        <w:t>Whether paid on account, by instalments or in</w:t>
      </w:r>
      <w:r>
        <w:rPr>
          <w:color w:val="231F20"/>
          <w:spacing w:val="-7"/>
        </w:rPr>
        <w:t> </w:t>
      </w:r>
      <w:r>
        <w:rPr>
          <w:color w:val="231F20"/>
        </w:rPr>
        <w:t>arrears,</w:t>
      </w:r>
      <w:r>
        <w:rPr>
          <w:color w:val="231F20"/>
          <w:spacing w:val="-6"/>
        </w:rPr>
        <w:t> </w:t>
      </w:r>
      <w:r>
        <w:rPr>
          <w:color w:val="231F20"/>
        </w:rPr>
        <w:t>government</w:t>
      </w:r>
      <w:r>
        <w:rPr>
          <w:color w:val="231F20"/>
          <w:spacing w:val="-6"/>
        </w:rPr>
        <w:t> </w:t>
      </w:r>
      <w:r>
        <w:rPr>
          <w:color w:val="231F20"/>
        </w:rPr>
        <w:t>grants</w:t>
      </w:r>
      <w:r>
        <w:rPr>
          <w:color w:val="231F20"/>
          <w:spacing w:val="-6"/>
        </w:rPr>
        <w:t> </w:t>
      </w:r>
      <w:r>
        <w:rPr>
          <w:color w:val="231F20"/>
        </w:rPr>
        <w:t>and</w:t>
      </w:r>
      <w:r>
        <w:rPr>
          <w:color w:val="231F20"/>
          <w:spacing w:val="-6"/>
        </w:rPr>
        <w:t> </w:t>
      </w:r>
      <w:r>
        <w:rPr>
          <w:color w:val="231F20"/>
        </w:rPr>
        <w:t>third</w:t>
      </w:r>
      <w:r>
        <w:rPr>
          <w:color w:val="231F20"/>
          <w:spacing w:val="-6"/>
        </w:rPr>
        <w:t> </w:t>
      </w:r>
      <w:r>
        <w:rPr>
          <w:color w:val="231F20"/>
        </w:rPr>
        <w:t>party</w:t>
      </w:r>
    </w:p>
    <w:p>
      <w:pPr>
        <w:pStyle w:val="BodyText"/>
        <w:spacing w:line="225" w:lineRule="auto"/>
        <w:ind w:left="566"/>
      </w:pPr>
      <w:r>
        <w:rPr>
          <w:color w:val="231F20"/>
        </w:rPr>
        <w:t>contributions</w:t>
      </w:r>
      <w:r>
        <w:rPr>
          <w:color w:val="231F20"/>
          <w:spacing w:val="-7"/>
        </w:rPr>
        <w:t> </w:t>
      </w:r>
      <w:r>
        <w:rPr>
          <w:color w:val="231F20"/>
        </w:rPr>
        <w:t>and</w:t>
      </w:r>
      <w:r>
        <w:rPr>
          <w:color w:val="231F20"/>
          <w:spacing w:val="-7"/>
        </w:rPr>
        <w:t> </w:t>
      </w:r>
      <w:r>
        <w:rPr>
          <w:color w:val="231F20"/>
        </w:rPr>
        <w:t>donations</w:t>
      </w:r>
      <w:r>
        <w:rPr>
          <w:color w:val="231F20"/>
          <w:spacing w:val="-7"/>
        </w:rPr>
        <w:t> </w:t>
      </w:r>
      <w:r>
        <w:rPr>
          <w:color w:val="231F20"/>
        </w:rPr>
        <w:t>are</w:t>
      </w:r>
      <w:r>
        <w:rPr>
          <w:color w:val="231F20"/>
          <w:spacing w:val="-7"/>
        </w:rPr>
        <w:t> </w:t>
      </w:r>
      <w:r>
        <w:rPr>
          <w:color w:val="231F20"/>
        </w:rPr>
        <w:t>recognised</w:t>
      </w:r>
      <w:r>
        <w:rPr>
          <w:color w:val="231F20"/>
          <w:spacing w:val="-7"/>
        </w:rPr>
        <w:t> </w:t>
      </w:r>
      <w:r>
        <w:rPr>
          <w:color w:val="231F20"/>
        </w:rPr>
        <w:t>as due to the Council when there is reasonable assurance that:</w:t>
      </w:r>
    </w:p>
    <w:p>
      <w:pPr>
        <w:pStyle w:val="ListParagraph"/>
        <w:numPr>
          <w:ilvl w:val="1"/>
          <w:numId w:val="11"/>
        </w:numPr>
        <w:tabs>
          <w:tab w:pos="737" w:val="left" w:leader="none"/>
        </w:tabs>
        <w:spacing w:line="310" w:lineRule="exact" w:before="284" w:after="0"/>
        <w:ind w:left="737" w:right="0" w:hanging="171"/>
        <w:jc w:val="left"/>
        <w:rPr>
          <w:sz w:val="24"/>
        </w:rPr>
      </w:pPr>
      <w:r>
        <w:rPr>
          <w:color w:val="231F20"/>
          <w:sz w:val="24"/>
        </w:rPr>
        <w:t>the</w:t>
      </w:r>
      <w:r>
        <w:rPr>
          <w:color w:val="231F20"/>
          <w:spacing w:val="-1"/>
          <w:sz w:val="24"/>
        </w:rPr>
        <w:t> </w:t>
      </w:r>
      <w:r>
        <w:rPr>
          <w:color w:val="231F20"/>
          <w:sz w:val="24"/>
        </w:rPr>
        <w:t>Council</w:t>
      </w:r>
      <w:r>
        <w:rPr>
          <w:color w:val="231F20"/>
          <w:spacing w:val="-2"/>
          <w:sz w:val="24"/>
        </w:rPr>
        <w:t> </w:t>
      </w:r>
      <w:r>
        <w:rPr>
          <w:color w:val="231F20"/>
          <w:sz w:val="24"/>
        </w:rPr>
        <w:t>will</w:t>
      </w:r>
      <w:r>
        <w:rPr>
          <w:color w:val="231F20"/>
          <w:spacing w:val="-1"/>
          <w:sz w:val="24"/>
        </w:rPr>
        <w:t> </w:t>
      </w:r>
      <w:r>
        <w:rPr>
          <w:color w:val="231F20"/>
          <w:sz w:val="24"/>
        </w:rPr>
        <w:t>comply</w:t>
      </w:r>
      <w:r>
        <w:rPr>
          <w:color w:val="231F20"/>
          <w:spacing w:val="-1"/>
          <w:sz w:val="24"/>
        </w:rPr>
        <w:t> </w:t>
      </w:r>
      <w:r>
        <w:rPr>
          <w:color w:val="231F20"/>
          <w:sz w:val="24"/>
        </w:rPr>
        <w:t>with</w:t>
      </w:r>
      <w:r>
        <w:rPr>
          <w:color w:val="231F20"/>
          <w:spacing w:val="-1"/>
          <w:sz w:val="24"/>
        </w:rPr>
        <w:t> </w:t>
      </w:r>
      <w:r>
        <w:rPr>
          <w:color w:val="231F20"/>
          <w:sz w:val="24"/>
        </w:rPr>
        <w:t>the</w:t>
      </w:r>
      <w:r>
        <w:rPr>
          <w:color w:val="231F20"/>
          <w:spacing w:val="-1"/>
          <w:sz w:val="24"/>
        </w:rPr>
        <w:t> </w:t>
      </w:r>
      <w:r>
        <w:rPr>
          <w:color w:val="231F20"/>
          <w:spacing w:val="-2"/>
          <w:sz w:val="24"/>
        </w:rPr>
        <w:t>conditions</w:t>
      </w:r>
    </w:p>
    <w:p>
      <w:pPr>
        <w:pStyle w:val="BodyText"/>
        <w:spacing w:line="310" w:lineRule="exact"/>
        <w:ind w:left="737"/>
      </w:pPr>
      <w:r>
        <w:rPr>
          <w:color w:val="231F20"/>
        </w:rPr>
        <w:t>attached to the payments, </w:t>
      </w:r>
      <w:r>
        <w:rPr>
          <w:color w:val="231F20"/>
          <w:spacing w:val="-5"/>
        </w:rPr>
        <w:t>and</w:t>
      </w:r>
    </w:p>
    <w:p>
      <w:pPr>
        <w:pStyle w:val="ListParagraph"/>
        <w:numPr>
          <w:ilvl w:val="1"/>
          <w:numId w:val="11"/>
        </w:numPr>
        <w:tabs>
          <w:tab w:pos="737" w:val="left" w:leader="none"/>
        </w:tabs>
        <w:spacing w:line="240" w:lineRule="auto" w:before="37" w:after="0"/>
        <w:ind w:left="737" w:right="0" w:hanging="171"/>
        <w:jc w:val="left"/>
        <w:rPr>
          <w:sz w:val="24"/>
        </w:rPr>
      </w:pPr>
      <w:r>
        <w:rPr>
          <w:color w:val="231F20"/>
          <w:sz w:val="24"/>
        </w:rPr>
        <w:t>the grants or contributions will be </w:t>
      </w:r>
      <w:r>
        <w:rPr>
          <w:color w:val="231F20"/>
          <w:spacing w:val="-2"/>
          <w:sz w:val="24"/>
        </w:rPr>
        <w:t>received.</w:t>
      </w:r>
    </w:p>
    <w:p>
      <w:pPr>
        <w:pStyle w:val="BodyText"/>
        <w:spacing w:before="7"/>
        <w:rPr>
          <w:sz w:val="26"/>
        </w:rPr>
      </w:pPr>
    </w:p>
    <w:p>
      <w:pPr>
        <w:pStyle w:val="BodyText"/>
        <w:spacing w:line="225" w:lineRule="auto" w:before="1"/>
        <w:ind w:left="566" w:right="81"/>
      </w:pPr>
      <w:r>
        <w:rPr>
          <w:color w:val="231F20"/>
        </w:rPr>
        <w:t>Amounts recognised as due to the Council are not credited to the Comprehensive Income and Expenditure</w:t>
      </w:r>
      <w:r>
        <w:rPr>
          <w:color w:val="231F20"/>
          <w:spacing w:val="-5"/>
        </w:rPr>
        <w:t> </w:t>
      </w:r>
      <w:r>
        <w:rPr>
          <w:color w:val="231F20"/>
        </w:rPr>
        <w:t>Statement</w:t>
      </w:r>
      <w:r>
        <w:rPr>
          <w:color w:val="231F20"/>
          <w:spacing w:val="-5"/>
        </w:rPr>
        <w:t> </w:t>
      </w:r>
      <w:r>
        <w:rPr>
          <w:color w:val="231F20"/>
        </w:rPr>
        <w:t>until</w:t>
      </w:r>
      <w:r>
        <w:rPr>
          <w:color w:val="231F20"/>
          <w:spacing w:val="-5"/>
        </w:rPr>
        <w:t> </w:t>
      </w:r>
      <w:r>
        <w:rPr>
          <w:color w:val="231F20"/>
        </w:rPr>
        <w:t>conditions</w:t>
      </w:r>
      <w:r>
        <w:rPr>
          <w:color w:val="231F20"/>
          <w:spacing w:val="-5"/>
        </w:rPr>
        <w:t> </w:t>
      </w:r>
      <w:r>
        <w:rPr>
          <w:color w:val="231F20"/>
        </w:rPr>
        <w:t>attached to the grant or contribution have been satisfied. Conditions are stipulations that specify that the future economic benefits or service potential embodied in the asset acquired using the grant or contribution are required to be consumed by the recipient as specified, or future economic benefits</w:t>
      </w:r>
      <w:r>
        <w:rPr>
          <w:color w:val="231F20"/>
          <w:spacing w:val="-5"/>
        </w:rPr>
        <w:t> </w:t>
      </w:r>
      <w:r>
        <w:rPr>
          <w:color w:val="231F20"/>
        </w:rPr>
        <w:t>or</w:t>
      </w:r>
      <w:r>
        <w:rPr>
          <w:color w:val="231F20"/>
          <w:spacing w:val="-5"/>
        </w:rPr>
        <w:t> </w:t>
      </w:r>
      <w:r>
        <w:rPr>
          <w:color w:val="231F20"/>
        </w:rPr>
        <w:t>service</w:t>
      </w:r>
      <w:r>
        <w:rPr>
          <w:color w:val="231F20"/>
          <w:spacing w:val="-6"/>
        </w:rPr>
        <w:t> </w:t>
      </w:r>
      <w:r>
        <w:rPr>
          <w:color w:val="231F20"/>
        </w:rPr>
        <w:t>potential</w:t>
      </w:r>
      <w:r>
        <w:rPr>
          <w:color w:val="231F20"/>
          <w:spacing w:val="-5"/>
        </w:rPr>
        <w:t> </w:t>
      </w:r>
      <w:r>
        <w:rPr>
          <w:color w:val="231F20"/>
        </w:rPr>
        <w:t>must</w:t>
      </w:r>
      <w:r>
        <w:rPr>
          <w:color w:val="231F20"/>
          <w:spacing w:val="-6"/>
        </w:rPr>
        <w:t> </w:t>
      </w:r>
      <w:r>
        <w:rPr>
          <w:color w:val="231F20"/>
        </w:rPr>
        <w:t>be</w:t>
      </w:r>
      <w:r>
        <w:rPr>
          <w:color w:val="231F20"/>
          <w:spacing w:val="-5"/>
        </w:rPr>
        <w:t> </w:t>
      </w:r>
      <w:r>
        <w:rPr>
          <w:color w:val="231F20"/>
        </w:rPr>
        <w:t>returned</w:t>
      </w:r>
      <w:r>
        <w:rPr>
          <w:color w:val="231F20"/>
          <w:spacing w:val="-5"/>
        </w:rPr>
        <w:t> </w:t>
      </w:r>
      <w:r>
        <w:rPr>
          <w:color w:val="231F20"/>
        </w:rPr>
        <w:t>to the transferor.</w:t>
      </w:r>
    </w:p>
    <w:p>
      <w:pPr>
        <w:pStyle w:val="BodyText"/>
        <w:spacing w:before="6"/>
        <w:rPr>
          <w:sz w:val="22"/>
        </w:rPr>
      </w:pPr>
    </w:p>
    <w:p>
      <w:pPr>
        <w:pStyle w:val="BodyText"/>
        <w:spacing w:line="225" w:lineRule="auto"/>
        <w:ind w:left="566" w:right="154"/>
      </w:pPr>
      <w:r>
        <w:rPr>
          <w:color w:val="231F20"/>
        </w:rPr>
        <w:t>Monies advanced as grants and contributions for</w:t>
      </w:r>
      <w:r>
        <w:rPr>
          <w:color w:val="231F20"/>
          <w:spacing w:val="-5"/>
        </w:rPr>
        <w:t> </w:t>
      </w:r>
      <w:r>
        <w:rPr>
          <w:color w:val="231F20"/>
        </w:rPr>
        <w:t>which</w:t>
      </w:r>
      <w:r>
        <w:rPr>
          <w:color w:val="231F20"/>
          <w:spacing w:val="-5"/>
        </w:rPr>
        <w:t> </w:t>
      </w:r>
      <w:r>
        <w:rPr>
          <w:color w:val="231F20"/>
        </w:rPr>
        <w:t>conditions</w:t>
      </w:r>
      <w:r>
        <w:rPr>
          <w:color w:val="231F20"/>
          <w:spacing w:val="-5"/>
        </w:rPr>
        <w:t> </w:t>
      </w:r>
      <w:r>
        <w:rPr>
          <w:color w:val="231F20"/>
        </w:rPr>
        <w:t>have</w:t>
      </w:r>
      <w:r>
        <w:rPr>
          <w:color w:val="231F20"/>
          <w:spacing w:val="-5"/>
        </w:rPr>
        <w:t> </w:t>
      </w:r>
      <w:r>
        <w:rPr>
          <w:color w:val="231F20"/>
        </w:rPr>
        <w:t>not</w:t>
      </w:r>
      <w:r>
        <w:rPr>
          <w:color w:val="231F20"/>
          <w:spacing w:val="-5"/>
        </w:rPr>
        <w:t> </w:t>
      </w:r>
      <w:r>
        <w:rPr>
          <w:color w:val="231F20"/>
        </w:rPr>
        <w:t>been</w:t>
      </w:r>
      <w:r>
        <w:rPr>
          <w:color w:val="231F20"/>
          <w:spacing w:val="-5"/>
        </w:rPr>
        <w:t> </w:t>
      </w:r>
      <w:r>
        <w:rPr>
          <w:color w:val="231F20"/>
        </w:rPr>
        <w:t>satisfied</w:t>
      </w:r>
      <w:r>
        <w:rPr>
          <w:color w:val="231F20"/>
          <w:spacing w:val="-6"/>
        </w:rPr>
        <w:t> </w:t>
      </w:r>
      <w:r>
        <w:rPr>
          <w:color w:val="231F20"/>
        </w:rPr>
        <w:t>are carried in the Balance Sheet as creditors. When</w:t>
      </w:r>
    </w:p>
    <w:p>
      <w:pPr>
        <w:pStyle w:val="BodyText"/>
        <w:spacing w:line="225" w:lineRule="auto"/>
        <w:ind w:left="566"/>
      </w:pPr>
      <w:r>
        <w:rPr>
          <w:color w:val="231F20"/>
        </w:rPr>
        <w:t>conditions are satisfied, the grant or contribution is credited to the relevant service line (attributable</w:t>
      </w:r>
      <w:r>
        <w:rPr>
          <w:color w:val="231F20"/>
          <w:spacing w:val="-8"/>
        </w:rPr>
        <w:t> </w:t>
      </w:r>
      <w:r>
        <w:rPr>
          <w:color w:val="231F20"/>
        </w:rPr>
        <w:t>revenue</w:t>
      </w:r>
      <w:r>
        <w:rPr>
          <w:color w:val="231F20"/>
          <w:spacing w:val="-8"/>
        </w:rPr>
        <w:t> </w:t>
      </w:r>
      <w:r>
        <w:rPr>
          <w:color w:val="231F20"/>
        </w:rPr>
        <w:t>grants</w:t>
      </w:r>
      <w:r>
        <w:rPr>
          <w:color w:val="231F20"/>
          <w:spacing w:val="-8"/>
        </w:rPr>
        <w:t> </w:t>
      </w:r>
      <w:r>
        <w:rPr>
          <w:color w:val="231F20"/>
        </w:rPr>
        <w:t>and</w:t>
      </w:r>
      <w:r>
        <w:rPr>
          <w:color w:val="231F20"/>
          <w:spacing w:val="-8"/>
        </w:rPr>
        <w:t> </w:t>
      </w:r>
      <w:r>
        <w:rPr>
          <w:color w:val="231F20"/>
        </w:rPr>
        <w:t>contributions)</w:t>
      </w:r>
      <w:r>
        <w:rPr>
          <w:color w:val="231F20"/>
          <w:spacing w:val="-8"/>
        </w:rPr>
        <w:t> </w:t>
      </w:r>
      <w:r>
        <w:rPr>
          <w:color w:val="231F20"/>
        </w:rPr>
        <w:t>or Taxation and Non-Specific Grant Income (non- ring-fenced revenue grants and all capital grants) in the Comprehensive Income and Expenditure </w:t>
      </w:r>
      <w:r>
        <w:rPr>
          <w:color w:val="231F20"/>
          <w:spacing w:val="-2"/>
        </w:rPr>
        <w:t>Statement.</w:t>
      </w:r>
    </w:p>
    <w:p>
      <w:pPr>
        <w:pStyle w:val="BodyText"/>
        <w:spacing w:before="7"/>
        <w:rPr>
          <w:sz w:val="22"/>
        </w:rPr>
      </w:pPr>
    </w:p>
    <w:p>
      <w:pPr>
        <w:pStyle w:val="BodyText"/>
        <w:spacing w:line="225" w:lineRule="auto"/>
        <w:ind w:left="566" w:right="217"/>
      </w:pPr>
      <w:r>
        <w:rPr>
          <w:color w:val="231F20"/>
        </w:rPr>
        <w:t>Where capital grants are credited to the Comprehensive Income and Expenditure Statement,</w:t>
      </w:r>
      <w:r>
        <w:rPr>
          <w:color w:val="231F20"/>
          <w:spacing w:val="-6"/>
        </w:rPr>
        <w:t> </w:t>
      </w:r>
      <w:r>
        <w:rPr>
          <w:color w:val="231F20"/>
        </w:rPr>
        <w:t>they</w:t>
      </w:r>
      <w:r>
        <w:rPr>
          <w:color w:val="231F20"/>
          <w:spacing w:val="-6"/>
        </w:rPr>
        <w:t> </w:t>
      </w:r>
      <w:r>
        <w:rPr>
          <w:color w:val="231F20"/>
        </w:rPr>
        <w:t>are</w:t>
      </w:r>
      <w:r>
        <w:rPr>
          <w:color w:val="231F20"/>
          <w:spacing w:val="-6"/>
        </w:rPr>
        <w:t> </w:t>
      </w:r>
      <w:r>
        <w:rPr>
          <w:color w:val="231F20"/>
        </w:rPr>
        <w:t>reversed</w:t>
      </w:r>
      <w:r>
        <w:rPr>
          <w:color w:val="231F20"/>
          <w:spacing w:val="-6"/>
        </w:rPr>
        <w:t> </w:t>
      </w:r>
      <w:r>
        <w:rPr>
          <w:color w:val="231F20"/>
        </w:rPr>
        <w:t>out</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General Fund Balance in the Movement in Reserves Statement. Where the grant has yet to be used to finance capital expenditure, it is posted to the Capital Grants Unapplied reserve. Where</w:t>
      </w:r>
    </w:p>
    <w:p>
      <w:pPr>
        <w:pStyle w:val="BodyText"/>
        <w:spacing w:line="225" w:lineRule="auto"/>
        <w:ind w:left="566"/>
      </w:pPr>
      <w:r>
        <w:rPr>
          <w:color w:val="231F20"/>
        </w:rPr>
        <w:t>it has been applied, it is posted to the Capital Adjustment Account. Amounts in the Capital Grants Unapplied Reserve are transferred to the Capital</w:t>
      </w:r>
      <w:r>
        <w:rPr>
          <w:color w:val="231F20"/>
          <w:spacing w:val="-7"/>
        </w:rPr>
        <w:t> </w:t>
      </w:r>
      <w:r>
        <w:rPr>
          <w:color w:val="231F20"/>
        </w:rPr>
        <w:t>Adjustment</w:t>
      </w:r>
      <w:r>
        <w:rPr>
          <w:color w:val="231F20"/>
          <w:spacing w:val="-6"/>
        </w:rPr>
        <w:t> </w:t>
      </w:r>
      <w:r>
        <w:rPr>
          <w:color w:val="231F20"/>
        </w:rPr>
        <w:t>Account</w:t>
      </w:r>
      <w:r>
        <w:rPr>
          <w:color w:val="231F20"/>
          <w:spacing w:val="-6"/>
        </w:rPr>
        <w:t> </w:t>
      </w:r>
      <w:r>
        <w:rPr>
          <w:color w:val="231F20"/>
        </w:rPr>
        <w:t>once</w:t>
      </w:r>
      <w:r>
        <w:rPr>
          <w:color w:val="231F20"/>
          <w:spacing w:val="-6"/>
        </w:rPr>
        <w:t> </w:t>
      </w:r>
      <w:r>
        <w:rPr>
          <w:color w:val="231F20"/>
        </w:rPr>
        <w:t>they</w:t>
      </w:r>
      <w:r>
        <w:rPr>
          <w:color w:val="231F20"/>
          <w:spacing w:val="-6"/>
        </w:rPr>
        <w:t> </w:t>
      </w:r>
      <w:r>
        <w:rPr>
          <w:color w:val="231F20"/>
        </w:rPr>
        <w:t>have</w:t>
      </w:r>
      <w:r>
        <w:rPr>
          <w:color w:val="231F20"/>
          <w:spacing w:val="-6"/>
        </w:rPr>
        <w:t> </w:t>
      </w:r>
      <w:r>
        <w:rPr>
          <w:color w:val="231F20"/>
        </w:rPr>
        <w:t>been applied to fund capital expenditure.</w:t>
      </w:r>
    </w:p>
    <w:p>
      <w:pPr>
        <w:pStyle w:val="Heading4"/>
        <w:spacing w:before="100"/>
        <w:ind w:left="240"/>
      </w:pPr>
      <w:r>
        <w:rPr>
          <w:b w:val="0"/>
        </w:rPr>
        <w:br w:type="column"/>
      </w:r>
      <w:r>
        <w:rPr>
          <w:color w:val="3B5673"/>
          <w:spacing w:val="-2"/>
        </w:rPr>
        <w:t>Non-specific Grants</w:t>
      </w:r>
    </w:p>
    <w:p>
      <w:pPr>
        <w:pStyle w:val="BodyText"/>
        <w:spacing w:line="225" w:lineRule="auto" w:before="6"/>
        <w:ind w:left="240" w:right="541"/>
      </w:pPr>
      <w:r>
        <w:rPr>
          <w:color w:val="231F20"/>
        </w:rPr>
        <w:t>These are general grants allocated by central government directly to local authorities as additional revenue funding.</w:t>
      </w:r>
      <w:r>
        <w:rPr>
          <w:color w:val="231F20"/>
          <w:spacing w:val="40"/>
        </w:rPr>
        <w:t> </w:t>
      </w:r>
      <w:r>
        <w:rPr>
          <w:color w:val="231F20"/>
        </w:rPr>
        <w:t>They are non-ring- fenced and are credited to Taxation and Non- Specific Grant Income in the Comprehensive Income</w:t>
      </w:r>
      <w:r>
        <w:rPr>
          <w:color w:val="231F20"/>
          <w:spacing w:val="-9"/>
        </w:rPr>
        <w:t> </w:t>
      </w:r>
      <w:r>
        <w:rPr>
          <w:color w:val="231F20"/>
        </w:rPr>
        <w:t>and</w:t>
      </w:r>
      <w:r>
        <w:rPr>
          <w:color w:val="231F20"/>
          <w:spacing w:val="-8"/>
        </w:rPr>
        <w:t> </w:t>
      </w:r>
      <w:r>
        <w:rPr>
          <w:color w:val="231F20"/>
        </w:rPr>
        <w:t>Expenditure</w:t>
      </w:r>
      <w:r>
        <w:rPr>
          <w:color w:val="231F20"/>
          <w:spacing w:val="-8"/>
        </w:rPr>
        <w:t> </w:t>
      </w:r>
      <w:r>
        <w:rPr>
          <w:color w:val="231F20"/>
        </w:rPr>
        <w:t>Statement.</w:t>
      </w:r>
      <w:r>
        <w:rPr>
          <w:color w:val="231F20"/>
          <w:spacing w:val="-8"/>
        </w:rPr>
        <w:t> </w:t>
      </w:r>
      <w:r>
        <w:rPr>
          <w:color w:val="231F20"/>
        </w:rPr>
        <w:t>For</w:t>
      </w:r>
      <w:r>
        <w:rPr>
          <w:color w:val="231F20"/>
          <w:spacing w:val="-9"/>
        </w:rPr>
        <w:t> </w:t>
      </w:r>
      <w:r>
        <w:rPr>
          <w:color w:val="231F20"/>
        </w:rPr>
        <w:t>example, New Homes Bonus funding.</w:t>
      </w:r>
    </w:p>
    <w:p>
      <w:pPr>
        <w:pStyle w:val="Heading3"/>
        <w:numPr>
          <w:ilvl w:val="0"/>
          <w:numId w:val="11"/>
        </w:numPr>
        <w:tabs>
          <w:tab w:pos="653" w:val="left" w:leader="none"/>
        </w:tabs>
        <w:spacing w:line="310" w:lineRule="exact" w:before="284" w:after="0"/>
        <w:ind w:left="652" w:right="0" w:hanging="413"/>
        <w:jc w:val="left"/>
      </w:pPr>
      <w:r>
        <w:rPr>
          <w:color w:val="3B5673"/>
        </w:rPr>
        <w:t>INTANGIBLE</w:t>
      </w:r>
      <w:r>
        <w:rPr>
          <w:color w:val="3B5673"/>
          <w:spacing w:val="63"/>
        </w:rPr>
        <w:t> </w:t>
      </w:r>
      <w:r>
        <w:rPr>
          <w:color w:val="3B5673"/>
          <w:spacing w:val="-2"/>
        </w:rPr>
        <w:t>ASSETS</w:t>
      </w:r>
    </w:p>
    <w:p>
      <w:pPr>
        <w:pStyle w:val="BodyText"/>
        <w:spacing w:line="225" w:lineRule="auto" w:before="6"/>
        <w:ind w:left="240" w:right="541"/>
      </w:pPr>
      <w:r>
        <w:rPr>
          <w:color w:val="231F20"/>
        </w:rPr>
        <w:t>Expenditure</w:t>
      </w:r>
      <w:r>
        <w:rPr>
          <w:color w:val="231F20"/>
          <w:spacing w:val="-4"/>
        </w:rPr>
        <w:t> </w:t>
      </w:r>
      <w:r>
        <w:rPr>
          <w:color w:val="231F20"/>
        </w:rPr>
        <w:t>on</w:t>
      </w:r>
      <w:r>
        <w:rPr>
          <w:color w:val="231F20"/>
          <w:spacing w:val="-4"/>
        </w:rPr>
        <w:t> </w:t>
      </w:r>
      <w:r>
        <w:rPr>
          <w:color w:val="231F20"/>
        </w:rPr>
        <w:t>assets</w:t>
      </w:r>
      <w:r>
        <w:rPr>
          <w:color w:val="231F20"/>
          <w:spacing w:val="-4"/>
        </w:rPr>
        <w:t> </w:t>
      </w:r>
      <w:r>
        <w:rPr>
          <w:color w:val="231F20"/>
        </w:rPr>
        <w:t>that</w:t>
      </w:r>
      <w:r>
        <w:rPr>
          <w:color w:val="231F20"/>
          <w:spacing w:val="-4"/>
        </w:rPr>
        <w:t> </w:t>
      </w:r>
      <w:r>
        <w:rPr>
          <w:color w:val="231F20"/>
        </w:rPr>
        <w:t>do</w:t>
      </w:r>
      <w:r>
        <w:rPr>
          <w:color w:val="231F20"/>
          <w:spacing w:val="-4"/>
        </w:rPr>
        <w:t> </w:t>
      </w:r>
      <w:r>
        <w:rPr>
          <w:color w:val="231F20"/>
        </w:rPr>
        <w:t>not</w:t>
      </w:r>
      <w:r>
        <w:rPr>
          <w:color w:val="231F20"/>
          <w:spacing w:val="-4"/>
        </w:rPr>
        <w:t> </w:t>
      </w:r>
      <w:r>
        <w:rPr>
          <w:color w:val="231F20"/>
        </w:rPr>
        <w:t>have</w:t>
      </w:r>
      <w:r>
        <w:rPr>
          <w:color w:val="231F20"/>
          <w:spacing w:val="-4"/>
        </w:rPr>
        <w:t> </w:t>
      </w:r>
      <w:r>
        <w:rPr>
          <w:color w:val="231F20"/>
        </w:rPr>
        <w:t>a</w:t>
      </w:r>
      <w:r>
        <w:rPr>
          <w:color w:val="231F20"/>
          <w:spacing w:val="-4"/>
        </w:rPr>
        <w:t> </w:t>
      </w:r>
      <w:r>
        <w:rPr>
          <w:color w:val="231F20"/>
        </w:rPr>
        <w:t>physical substance but are identifiable and controlled by the Council are capitalised when it is expected that</w:t>
      </w:r>
      <w:r>
        <w:rPr>
          <w:color w:val="231F20"/>
          <w:spacing w:val="-4"/>
        </w:rPr>
        <w:t> </w:t>
      </w:r>
      <w:r>
        <w:rPr>
          <w:color w:val="231F20"/>
        </w:rPr>
        <w:t>future</w:t>
      </w:r>
      <w:r>
        <w:rPr>
          <w:color w:val="231F20"/>
          <w:spacing w:val="-4"/>
        </w:rPr>
        <w:t> </w:t>
      </w:r>
      <w:r>
        <w:rPr>
          <w:color w:val="231F20"/>
        </w:rPr>
        <w:t>economic</w:t>
      </w:r>
      <w:r>
        <w:rPr>
          <w:color w:val="231F20"/>
          <w:spacing w:val="-4"/>
        </w:rPr>
        <w:t> </w:t>
      </w:r>
      <w:r>
        <w:rPr>
          <w:color w:val="231F20"/>
        </w:rPr>
        <w:t>benefits</w:t>
      </w:r>
      <w:r>
        <w:rPr>
          <w:color w:val="231F20"/>
          <w:spacing w:val="-4"/>
        </w:rPr>
        <w:t> </w:t>
      </w:r>
      <w:r>
        <w:rPr>
          <w:color w:val="231F20"/>
        </w:rPr>
        <w:t>or</w:t>
      </w:r>
      <w:r>
        <w:rPr>
          <w:color w:val="231F20"/>
          <w:spacing w:val="-4"/>
        </w:rPr>
        <w:t> </w:t>
      </w:r>
      <w:r>
        <w:rPr>
          <w:color w:val="231F20"/>
        </w:rPr>
        <w:t>service</w:t>
      </w:r>
      <w:r>
        <w:rPr>
          <w:color w:val="231F20"/>
          <w:spacing w:val="-5"/>
        </w:rPr>
        <w:t> </w:t>
      </w:r>
      <w:r>
        <w:rPr>
          <w:color w:val="231F20"/>
        </w:rPr>
        <w:t>potential will flow from the intangible asset to the Council.</w:t>
      </w:r>
    </w:p>
    <w:p>
      <w:pPr>
        <w:pStyle w:val="BodyText"/>
        <w:spacing w:line="310" w:lineRule="exact" w:before="284"/>
        <w:ind w:left="240"/>
      </w:pPr>
      <w:r>
        <w:rPr>
          <w:color w:val="231F20"/>
        </w:rPr>
        <w:t>During</w:t>
      </w:r>
      <w:r>
        <w:rPr>
          <w:color w:val="231F20"/>
          <w:spacing w:val="-5"/>
        </w:rPr>
        <w:t> </w:t>
      </w:r>
      <w:r>
        <w:rPr>
          <w:color w:val="231F20"/>
        </w:rPr>
        <w:t>2022/23,</w:t>
      </w:r>
      <w:r>
        <w:rPr>
          <w:color w:val="231F20"/>
          <w:spacing w:val="-4"/>
        </w:rPr>
        <w:t> </w:t>
      </w:r>
      <w:r>
        <w:rPr>
          <w:color w:val="231F20"/>
        </w:rPr>
        <w:t>no</w:t>
      </w:r>
      <w:r>
        <w:rPr>
          <w:color w:val="231F20"/>
          <w:spacing w:val="-3"/>
        </w:rPr>
        <w:t> </w:t>
      </w:r>
      <w:r>
        <w:rPr>
          <w:color w:val="231F20"/>
        </w:rPr>
        <w:t>Council</w:t>
      </w:r>
      <w:r>
        <w:rPr>
          <w:color w:val="231F20"/>
          <w:spacing w:val="-5"/>
        </w:rPr>
        <w:t> </w:t>
      </w:r>
      <w:r>
        <w:rPr>
          <w:color w:val="231F20"/>
        </w:rPr>
        <w:t>assets</w:t>
      </w:r>
      <w:r>
        <w:rPr>
          <w:color w:val="231F20"/>
          <w:spacing w:val="-3"/>
        </w:rPr>
        <w:t> </w:t>
      </w:r>
      <w:r>
        <w:rPr>
          <w:color w:val="231F20"/>
        </w:rPr>
        <w:t>met</w:t>
      </w:r>
      <w:r>
        <w:rPr>
          <w:color w:val="231F20"/>
          <w:spacing w:val="-4"/>
        </w:rPr>
        <w:t> </w:t>
      </w:r>
      <w:r>
        <w:rPr>
          <w:color w:val="231F20"/>
          <w:spacing w:val="-5"/>
        </w:rPr>
        <w:t>the</w:t>
      </w:r>
    </w:p>
    <w:p>
      <w:pPr>
        <w:pStyle w:val="BodyText"/>
        <w:spacing w:line="310" w:lineRule="exact"/>
        <w:ind w:left="240"/>
      </w:pPr>
      <w:r>
        <w:rPr/>
        <w:pict>
          <v:group style="position:absolute;margin-left:578.504028pt;margin-top:16.606321pt;width:16.8pt;height:192.8pt;mso-position-horizontal-relative:page;mso-position-vertical-relative:paragraph;z-index:15767552" id="docshapegroup323" coordorigin="11570,332" coordsize="336,3856">
            <v:rect style="position:absolute;left:11570;top:3223;width:336;height:964" id="docshape324" filled="true" fillcolor="#f15d6b" stroked="false">
              <v:fill type="solid"/>
            </v:rect>
            <v:rect style="position:absolute;left:11570;top:2259;width:336;height:964" id="docshape325" filled="true" fillcolor="#fbac42" stroked="false">
              <v:fill type="solid"/>
            </v:rect>
            <v:rect style="position:absolute;left:11570;top:1295;width:336;height:964" id="docshape326" filled="true" fillcolor="#b78fc1" stroked="false">
              <v:fill type="solid"/>
            </v:rect>
            <v:rect style="position:absolute;left:11570;top:332;width:336;height:964" id="docshape327" filled="true" fillcolor="#378372" stroked="false">
              <v:fill type="solid"/>
            </v:rect>
            <w10:wrap type="none"/>
          </v:group>
        </w:pict>
      </w:r>
      <w:r>
        <w:rPr>
          <w:color w:val="231F20"/>
        </w:rPr>
        <w:t>‘Intangible Assets’ </w:t>
      </w:r>
      <w:r>
        <w:rPr>
          <w:color w:val="231F20"/>
          <w:spacing w:val="-2"/>
        </w:rPr>
        <w:t>definition.</w:t>
      </w:r>
    </w:p>
    <w:p>
      <w:pPr>
        <w:pStyle w:val="BodyText"/>
        <w:spacing w:before="3"/>
        <w:rPr>
          <w:sz w:val="22"/>
        </w:rPr>
      </w:pPr>
    </w:p>
    <w:p>
      <w:pPr>
        <w:pStyle w:val="Heading3"/>
        <w:numPr>
          <w:ilvl w:val="0"/>
          <w:numId w:val="11"/>
        </w:numPr>
        <w:tabs>
          <w:tab w:pos="653" w:val="left" w:leader="none"/>
        </w:tabs>
        <w:spacing w:line="225" w:lineRule="auto" w:before="1" w:after="0"/>
        <w:ind w:left="244" w:right="2214" w:hanging="5"/>
        <w:jc w:val="left"/>
      </w:pPr>
      <w:r>
        <w:rPr>
          <w:color w:val="3B5673"/>
        </w:rPr>
        <w:t>INTERESTS IN COMPANIES AND OTHER ENTITIES</w:t>
      </w:r>
    </w:p>
    <w:p>
      <w:pPr>
        <w:pStyle w:val="BodyText"/>
        <w:spacing w:line="225" w:lineRule="auto"/>
        <w:ind w:left="240" w:right="729"/>
      </w:pPr>
      <w:r>
        <w:rPr>
          <w:color w:val="231F20"/>
        </w:rPr>
        <w:t>The Council has no material interests in companies and other entities that have the nature</w:t>
      </w:r>
      <w:r>
        <w:rPr>
          <w:color w:val="231F20"/>
          <w:spacing w:val="-7"/>
        </w:rPr>
        <w:t> </w:t>
      </w:r>
      <w:r>
        <w:rPr>
          <w:color w:val="231F20"/>
        </w:rPr>
        <w:t>of</w:t>
      </w:r>
      <w:r>
        <w:rPr>
          <w:color w:val="231F20"/>
          <w:spacing w:val="-7"/>
        </w:rPr>
        <w:t> </w:t>
      </w:r>
      <w:r>
        <w:rPr>
          <w:color w:val="231F20"/>
        </w:rPr>
        <w:t>subsidiaries,</w:t>
      </w:r>
      <w:r>
        <w:rPr>
          <w:color w:val="231F20"/>
          <w:spacing w:val="-8"/>
        </w:rPr>
        <w:t> </w:t>
      </w:r>
      <w:r>
        <w:rPr>
          <w:color w:val="231F20"/>
        </w:rPr>
        <w:t>associates</w:t>
      </w:r>
      <w:r>
        <w:rPr>
          <w:color w:val="231F20"/>
          <w:spacing w:val="-7"/>
        </w:rPr>
        <w:t> </w:t>
      </w:r>
      <w:r>
        <w:rPr>
          <w:color w:val="231F20"/>
        </w:rPr>
        <w:t>and</w:t>
      </w:r>
      <w:r>
        <w:rPr>
          <w:color w:val="231F20"/>
          <w:spacing w:val="-7"/>
        </w:rPr>
        <w:t> </w:t>
      </w:r>
      <w:r>
        <w:rPr>
          <w:color w:val="231F20"/>
        </w:rPr>
        <w:t>jointly controlled entities and require it to prepare Group Accounts.</w:t>
      </w:r>
    </w:p>
    <w:p>
      <w:pPr>
        <w:pStyle w:val="Heading4"/>
        <w:spacing w:before="284"/>
        <w:ind w:left="240"/>
      </w:pPr>
      <w:r>
        <w:rPr>
          <w:color w:val="3B5673"/>
        </w:rPr>
        <w:t>(a)</w:t>
      </w:r>
      <w:r>
        <w:rPr>
          <w:color w:val="3B5673"/>
          <w:spacing w:val="-5"/>
        </w:rPr>
        <w:t> </w:t>
      </w:r>
      <w:r>
        <w:rPr>
          <w:color w:val="3B5673"/>
        </w:rPr>
        <w:t>Joint</w:t>
      </w:r>
      <w:r>
        <w:rPr>
          <w:color w:val="3B5673"/>
          <w:spacing w:val="-5"/>
        </w:rPr>
        <w:t> </w:t>
      </w:r>
      <w:r>
        <w:rPr>
          <w:color w:val="3B5673"/>
        </w:rPr>
        <w:t>Crematorium</w:t>
      </w:r>
      <w:r>
        <w:rPr>
          <w:color w:val="3B5673"/>
          <w:spacing w:val="-4"/>
        </w:rPr>
        <w:t> </w:t>
      </w:r>
      <w:r>
        <w:rPr>
          <w:color w:val="3B5673"/>
          <w:spacing w:val="-2"/>
        </w:rPr>
        <w:t>Committee</w:t>
      </w:r>
    </w:p>
    <w:p>
      <w:pPr>
        <w:pStyle w:val="BodyText"/>
        <w:spacing w:line="225" w:lineRule="auto" w:before="6"/>
        <w:ind w:left="240" w:right="958"/>
      </w:pPr>
      <w:r>
        <w:rPr>
          <w:color w:val="231F20"/>
        </w:rPr>
        <w:t>The</w:t>
      </w:r>
      <w:r>
        <w:rPr>
          <w:color w:val="231F20"/>
          <w:spacing w:val="-4"/>
        </w:rPr>
        <w:t> </w:t>
      </w:r>
      <w:r>
        <w:rPr>
          <w:color w:val="231F20"/>
        </w:rPr>
        <w:t>Council</w:t>
      </w:r>
      <w:r>
        <w:rPr>
          <w:color w:val="231F20"/>
          <w:spacing w:val="-5"/>
        </w:rPr>
        <w:t> </w:t>
      </w:r>
      <w:r>
        <w:rPr>
          <w:color w:val="231F20"/>
        </w:rPr>
        <w:t>is</w:t>
      </w:r>
      <w:r>
        <w:rPr>
          <w:color w:val="231F20"/>
          <w:spacing w:val="-5"/>
        </w:rPr>
        <w:t> </w:t>
      </w:r>
      <w:r>
        <w:rPr>
          <w:color w:val="231F20"/>
        </w:rPr>
        <w:t>a</w:t>
      </w:r>
      <w:r>
        <w:rPr>
          <w:color w:val="231F20"/>
          <w:spacing w:val="-4"/>
        </w:rPr>
        <w:t> </w:t>
      </w:r>
      <w:r>
        <w:rPr>
          <w:color w:val="231F20"/>
        </w:rPr>
        <w:t>constituent</w:t>
      </w:r>
      <w:r>
        <w:rPr>
          <w:color w:val="231F20"/>
          <w:spacing w:val="-4"/>
        </w:rPr>
        <w:t> </w:t>
      </w:r>
      <w:r>
        <w:rPr>
          <w:color w:val="231F20"/>
        </w:rPr>
        <w:t>member</w:t>
      </w:r>
      <w:r>
        <w:rPr>
          <w:color w:val="231F20"/>
          <w:spacing w:val="-5"/>
        </w:rPr>
        <w:t> </w:t>
      </w:r>
      <w:r>
        <w:rPr>
          <w:color w:val="231F20"/>
        </w:rPr>
        <w:t>of</w:t>
      </w:r>
      <w:r>
        <w:rPr>
          <w:color w:val="231F20"/>
          <w:spacing w:val="-4"/>
        </w:rPr>
        <w:t> </w:t>
      </w:r>
      <w:r>
        <w:rPr>
          <w:color w:val="231F20"/>
        </w:rPr>
        <w:t>a</w:t>
      </w:r>
      <w:r>
        <w:rPr>
          <w:color w:val="231F20"/>
          <w:spacing w:val="-4"/>
        </w:rPr>
        <w:t> </w:t>
      </w:r>
      <w:r>
        <w:rPr>
          <w:color w:val="231F20"/>
        </w:rPr>
        <w:t>joint crematorium committee with neighbouring authorities of Mansfield and Newark and Sherwood District Councils. Current activities are split between all the councils based on</w:t>
      </w:r>
      <w:r>
        <w:rPr>
          <w:color w:val="231F20"/>
          <w:spacing w:val="40"/>
        </w:rPr>
        <w:t> </w:t>
      </w:r>
      <w:r>
        <w:rPr>
          <w:color w:val="231F20"/>
        </w:rPr>
        <w:t>the number of residents of each district area cremated.</w:t>
      </w:r>
      <w:r>
        <w:rPr>
          <w:color w:val="231F20"/>
          <w:spacing w:val="40"/>
        </w:rPr>
        <w:t> </w:t>
      </w:r>
      <w:r>
        <w:rPr>
          <w:color w:val="231F20"/>
        </w:rPr>
        <w:t>The balance sheet is apportioned</w:t>
      </w:r>
    </w:p>
    <w:p>
      <w:pPr>
        <w:pStyle w:val="BodyText"/>
        <w:spacing w:line="225" w:lineRule="auto"/>
        <w:ind w:left="240" w:right="416"/>
      </w:pPr>
      <w:r>
        <w:rPr>
          <w:color w:val="231F20"/>
        </w:rPr>
        <w:t>based</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current</w:t>
      </w:r>
      <w:r>
        <w:rPr>
          <w:color w:val="231F20"/>
          <w:spacing w:val="-5"/>
        </w:rPr>
        <w:t> </w:t>
      </w:r>
      <w:r>
        <w:rPr>
          <w:color w:val="231F20"/>
        </w:rPr>
        <w:t>year’s</w:t>
      </w:r>
      <w:r>
        <w:rPr>
          <w:color w:val="231F20"/>
          <w:spacing w:val="-5"/>
        </w:rPr>
        <w:t> </w:t>
      </w:r>
      <w:r>
        <w:rPr>
          <w:color w:val="231F20"/>
        </w:rPr>
        <w:t>cremations</w:t>
      </w:r>
      <w:r>
        <w:rPr>
          <w:color w:val="231F20"/>
          <w:spacing w:val="-5"/>
        </w:rPr>
        <w:t> </w:t>
      </w:r>
      <w:r>
        <w:rPr>
          <w:color w:val="231F20"/>
        </w:rPr>
        <w:t>from</w:t>
      </w:r>
      <w:r>
        <w:rPr>
          <w:color w:val="231F20"/>
          <w:spacing w:val="-5"/>
        </w:rPr>
        <w:t> </w:t>
      </w:r>
      <w:r>
        <w:rPr>
          <w:color w:val="231F20"/>
        </w:rPr>
        <w:t>each area. The Council’s share of running costs and income has been included in the Comprehensive Income</w:t>
      </w:r>
      <w:r>
        <w:rPr>
          <w:color w:val="231F20"/>
          <w:spacing w:val="-6"/>
        </w:rPr>
        <w:t> </w:t>
      </w:r>
      <w:r>
        <w:rPr>
          <w:color w:val="231F20"/>
        </w:rPr>
        <w:t>and</w:t>
      </w:r>
      <w:r>
        <w:rPr>
          <w:color w:val="231F20"/>
          <w:spacing w:val="-5"/>
        </w:rPr>
        <w:t> </w:t>
      </w:r>
      <w:r>
        <w:rPr>
          <w:color w:val="231F20"/>
        </w:rPr>
        <w:t>Expenditure</w:t>
      </w:r>
      <w:r>
        <w:rPr>
          <w:color w:val="231F20"/>
          <w:spacing w:val="-5"/>
        </w:rPr>
        <w:t> </w:t>
      </w:r>
      <w:r>
        <w:rPr>
          <w:color w:val="231F20"/>
        </w:rPr>
        <w:t>Statement</w:t>
      </w:r>
      <w:r>
        <w:rPr>
          <w:color w:val="231F20"/>
          <w:spacing w:val="-5"/>
        </w:rPr>
        <w:t> </w:t>
      </w:r>
      <w:r>
        <w:rPr>
          <w:color w:val="231F20"/>
        </w:rPr>
        <w:t>and</w:t>
      </w:r>
      <w:r>
        <w:rPr>
          <w:color w:val="231F20"/>
          <w:spacing w:val="-5"/>
        </w:rPr>
        <w:t> </w:t>
      </w:r>
      <w:r>
        <w:rPr>
          <w:color w:val="231F20"/>
        </w:rPr>
        <w:t>the</w:t>
      </w:r>
      <w:r>
        <w:rPr>
          <w:color w:val="231F20"/>
          <w:spacing w:val="-5"/>
        </w:rPr>
        <w:t> </w:t>
      </w:r>
      <w:r>
        <w:rPr>
          <w:color w:val="231F20"/>
        </w:rPr>
        <w:t>share of assets included within the Balance Sheet using these apportionments. Due to the nature of the relationship of the Council within the committee, Group Accounts are not required for this entity.</w:t>
      </w:r>
    </w:p>
    <w:p>
      <w:pPr>
        <w:pStyle w:val="BodyText"/>
        <w:spacing w:line="225" w:lineRule="auto"/>
        <w:ind w:left="240" w:right="729"/>
      </w:pPr>
      <w:r>
        <w:rPr>
          <w:color w:val="231F20"/>
        </w:rPr>
        <w:t>Information on the Council’s share of the income</w:t>
      </w:r>
      <w:r>
        <w:rPr>
          <w:color w:val="231F20"/>
          <w:spacing w:val="-7"/>
        </w:rPr>
        <w:t> </w:t>
      </w:r>
      <w:r>
        <w:rPr>
          <w:color w:val="231F20"/>
        </w:rPr>
        <w:t>and</w:t>
      </w:r>
      <w:r>
        <w:rPr>
          <w:color w:val="231F20"/>
          <w:spacing w:val="-6"/>
        </w:rPr>
        <w:t> </w:t>
      </w:r>
      <w:r>
        <w:rPr>
          <w:color w:val="231F20"/>
        </w:rPr>
        <w:t>expenditure</w:t>
      </w:r>
      <w:r>
        <w:rPr>
          <w:color w:val="231F20"/>
          <w:spacing w:val="-6"/>
        </w:rPr>
        <w:t> </w:t>
      </w:r>
      <w:r>
        <w:rPr>
          <w:color w:val="231F20"/>
        </w:rPr>
        <w:t>and</w:t>
      </w:r>
      <w:r>
        <w:rPr>
          <w:color w:val="231F20"/>
          <w:spacing w:val="-6"/>
        </w:rPr>
        <w:t> </w:t>
      </w:r>
      <w:r>
        <w:rPr>
          <w:color w:val="231F20"/>
        </w:rPr>
        <w:t>associated</w:t>
      </w:r>
      <w:r>
        <w:rPr>
          <w:color w:val="231F20"/>
          <w:spacing w:val="-6"/>
        </w:rPr>
        <w:t> </w:t>
      </w:r>
      <w:r>
        <w:rPr>
          <w:color w:val="231F20"/>
        </w:rPr>
        <w:t>assets and liabilities is shown in note 38 to the Core Financial Statements.</w:t>
      </w:r>
    </w:p>
    <w:p>
      <w:pPr>
        <w:spacing w:after="0" w:line="225" w:lineRule="auto"/>
        <w:sectPr>
          <w:type w:val="continuous"/>
          <w:pgSz w:w="11910" w:h="16840"/>
          <w:pgMar w:header="377" w:footer="367" w:top="260" w:bottom="0" w:left="0" w:right="0"/>
          <w:cols w:num="2" w:equalWidth="0">
            <w:col w:w="5814" w:space="40"/>
            <w:col w:w="6056"/>
          </w:cols>
        </w:sectPr>
      </w:pPr>
    </w:p>
    <w:p>
      <w:pPr>
        <w:pStyle w:val="BodyText"/>
        <w:rPr>
          <w:sz w:val="28"/>
        </w:rPr>
      </w:pPr>
    </w:p>
    <w:p>
      <w:pPr>
        <w:spacing w:after="0"/>
        <w:rPr>
          <w:sz w:val="28"/>
        </w:rPr>
        <w:sectPr>
          <w:pgSz w:w="11910" w:h="16840"/>
          <w:pgMar w:header="377" w:footer="367" w:top="560" w:bottom="560" w:left="0" w:right="0"/>
        </w:sectPr>
      </w:pPr>
    </w:p>
    <w:p>
      <w:pPr>
        <w:pStyle w:val="Heading3"/>
        <w:numPr>
          <w:ilvl w:val="0"/>
          <w:numId w:val="11"/>
        </w:numPr>
        <w:tabs>
          <w:tab w:pos="979" w:val="left" w:leader="none"/>
        </w:tabs>
        <w:spacing w:line="225" w:lineRule="auto" w:before="115" w:after="0"/>
        <w:ind w:left="571" w:right="1045" w:hanging="5"/>
        <w:jc w:val="left"/>
      </w:pPr>
      <w:r>
        <w:rPr>
          <w:color w:val="3B5673"/>
        </w:rPr>
        <w:t>INVENTORIES AND LONG TERM </w:t>
      </w:r>
      <w:r>
        <w:rPr>
          <w:color w:val="3B5673"/>
          <w:spacing w:val="-2"/>
        </w:rPr>
        <w:t>CONTRACTS</w:t>
      </w:r>
    </w:p>
    <w:p>
      <w:pPr>
        <w:pStyle w:val="BodyText"/>
        <w:spacing w:line="225" w:lineRule="auto"/>
        <w:ind w:left="566" w:right="398"/>
      </w:pPr>
      <w:r>
        <w:rPr>
          <w:color w:val="231F20"/>
        </w:rPr>
        <w:t>Inventories</w:t>
      </w:r>
      <w:r>
        <w:rPr>
          <w:color w:val="231F20"/>
          <w:spacing w:val="-1"/>
        </w:rPr>
        <w:t> </w:t>
      </w:r>
      <w:r>
        <w:rPr>
          <w:color w:val="231F20"/>
        </w:rPr>
        <w:t>are included</w:t>
      </w:r>
      <w:r>
        <w:rPr>
          <w:color w:val="231F20"/>
          <w:spacing w:val="-1"/>
        </w:rPr>
        <w:t> </w:t>
      </w:r>
      <w:r>
        <w:rPr>
          <w:color w:val="231F20"/>
        </w:rPr>
        <w:t>on the balance sheet at the lower of cost and net realisable value. In determining the cost of raw materials, consumables</w:t>
      </w:r>
      <w:r>
        <w:rPr>
          <w:color w:val="231F20"/>
          <w:spacing w:val="-7"/>
        </w:rPr>
        <w:t> </w:t>
      </w:r>
      <w:r>
        <w:rPr>
          <w:color w:val="231F20"/>
        </w:rPr>
        <w:t>and</w:t>
      </w:r>
      <w:r>
        <w:rPr>
          <w:color w:val="231F20"/>
          <w:spacing w:val="-7"/>
        </w:rPr>
        <w:t> </w:t>
      </w:r>
      <w:r>
        <w:rPr>
          <w:color w:val="231F20"/>
        </w:rPr>
        <w:t>goods</w:t>
      </w:r>
      <w:r>
        <w:rPr>
          <w:color w:val="231F20"/>
          <w:spacing w:val="-7"/>
        </w:rPr>
        <w:t> </w:t>
      </w:r>
      <w:r>
        <w:rPr>
          <w:color w:val="231F20"/>
        </w:rPr>
        <w:t>purchased</w:t>
      </w:r>
      <w:r>
        <w:rPr>
          <w:color w:val="231F20"/>
          <w:spacing w:val="-7"/>
        </w:rPr>
        <w:t> </w:t>
      </w:r>
      <w:r>
        <w:rPr>
          <w:color w:val="231F20"/>
        </w:rPr>
        <w:t>for</w:t>
      </w:r>
      <w:r>
        <w:rPr>
          <w:color w:val="231F20"/>
          <w:spacing w:val="-7"/>
        </w:rPr>
        <w:t> </w:t>
      </w:r>
      <w:r>
        <w:rPr>
          <w:color w:val="231F20"/>
        </w:rPr>
        <w:t>resale, the weighted average purchase price is used. For</w:t>
      </w:r>
      <w:r>
        <w:rPr>
          <w:color w:val="231F20"/>
          <w:spacing w:val="-2"/>
        </w:rPr>
        <w:t> </w:t>
      </w:r>
      <w:r>
        <w:rPr>
          <w:color w:val="231F20"/>
        </w:rPr>
        <w:t>work</w:t>
      </w:r>
      <w:r>
        <w:rPr>
          <w:color w:val="231F20"/>
          <w:spacing w:val="-1"/>
        </w:rPr>
        <w:t> </w:t>
      </w:r>
      <w:r>
        <w:rPr>
          <w:color w:val="231F20"/>
        </w:rPr>
        <w:t>in</w:t>
      </w:r>
      <w:r>
        <w:rPr>
          <w:color w:val="231F20"/>
          <w:spacing w:val="-2"/>
        </w:rPr>
        <w:t> </w:t>
      </w:r>
      <w:r>
        <w:rPr>
          <w:color w:val="231F20"/>
        </w:rPr>
        <w:t>progress</w:t>
      </w:r>
      <w:r>
        <w:rPr>
          <w:color w:val="231F20"/>
          <w:spacing w:val="-1"/>
        </w:rPr>
        <w:t> </w:t>
      </w:r>
      <w:r>
        <w:rPr>
          <w:color w:val="231F20"/>
        </w:rPr>
        <w:t>and</w:t>
      </w:r>
      <w:r>
        <w:rPr>
          <w:color w:val="231F20"/>
          <w:spacing w:val="-1"/>
        </w:rPr>
        <w:t> </w:t>
      </w:r>
      <w:r>
        <w:rPr>
          <w:color w:val="231F20"/>
        </w:rPr>
        <w:t>finished</w:t>
      </w:r>
      <w:r>
        <w:rPr>
          <w:color w:val="231F20"/>
          <w:spacing w:val="-1"/>
        </w:rPr>
        <w:t> </w:t>
      </w:r>
      <w:r>
        <w:rPr>
          <w:color w:val="231F20"/>
        </w:rPr>
        <w:t>goods,</w:t>
      </w:r>
      <w:r>
        <w:rPr>
          <w:color w:val="231F20"/>
          <w:spacing w:val="-1"/>
        </w:rPr>
        <w:t> </w:t>
      </w:r>
      <w:r>
        <w:rPr>
          <w:color w:val="231F20"/>
        </w:rPr>
        <w:t>cost is</w:t>
      </w:r>
      <w:r>
        <w:rPr>
          <w:color w:val="231F20"/>
          <w:spacing w:val="-3"/>
        </w:rPr>
        <w:t> </w:t>
      </w:r>
      <w:r>
        <w:rPr>
          <w:color w:val="231F20"/>
        </w:rPr>
        <w:t>taken</w:t>
      </w:r>
      <w:r>
        <w:rPr>
          <w:color w:val="231F20"/>
          <w:spacing w:val="-1"/>
        </w:rPr>
        <w:t> </w:t>
      </w:r>
      <w:r>
        <w:rPr>
          <w:color w:val="231F20"/>
        </w:rPr>
        <w:t>as</w:t>
      </w:r>
      <w:r>
        <w:rPr>
          <w:color w:val="231F20"/>
          <w:spacing w:val="-1"/>
        </w:rPr>
        <w:t> </w:t>
      </w:r>
      <w:r>
        <w:rPr>
          <w:color w:val="231F20"/>
        </w:rPr>
        <w:t>production</w:t>
      </w:r>
      <w:r>
        <w:rPr>
          <w:color w:val="231F20"/>
          <w:spacing w:val="-1"/>
        </w:rPr>
        <w:t> </w:t>
      </w:r>
      <w:r>
        <w:rPr>
          <w:color w:val="231F20"/>
        </w:rPr>
        <w:t>cost,</w:t>
      </w:r>
      <w:r>
        <w:rPr>
          <w:color w:val="231F20"/>
          <w:spacing w:val="-1"/>
        </w:rPr>
        <w:t> </w:t>
      </w:r>
      <w:r>
        <w:rPr>
          <w:color w:val="231F20"/>
        </w:rPr>
        <w:t>which</w:t>
      </w:r>
      <w:r>
        <w:rPr>
          <w:color w:val="231F20"/>
          <w:spacing w:val="-1"/>
        </w:rPr>
        <w:t> </w:t>
      </w:r>
      <w:r>
        <w:rPr>
          <w:color w:val="231F20"/>
        </w:rPr>
        <w:t>includes</w:t>
      </w:r>
      <w:r>
        <w:rPr>
          <w:color w:val="231F20"/>
          <w:spacing w:val="-2"/>
        </w:rPr>
        <w:t> </w:t>
      </w:r>
      <w:r>
        <w:rPr>
          <w:color w:val="231F20"/>
          <w:spacing w:val="-5"/>
        </w:rPr>
        <w:t>an</w:t>
      </w:r>
    </w:p>
    <w:p>
      <w:pPr>
        <w:pStyle w:val="BodyText"/>
        <w:spacing w:line="303" w:lineRule="exact"/>
        <w:ind w:left="566"/>
      </w:pPr>
      <w:r>
        <w:rPr>
          <w:color w:val="231F20"/>
        </w:rPr>
        <w:t>appropriate proportion of attributable </w:t>
      </w:r>
      <w:r>
        <w:rPr>
          <w:color w:val="231F20"/>
          <w:spacing w:val="-2"/>
        </w:rPr>
        <w:t>overheads.</w:t>
      </w:r>
    </w:p>
    <w:p>
      <w:pPr>
        <w:pStyle w:val="BodyText"/>
        <w:spacing w:before="4"/>
        <w:rPr>
          <w:sz w:val="22"/>
        </w:rPr>
      </w:pPr>
    </w:p>
    <w:p>
      <w:pPr>
        <w:pStyle w:val="BodyText"/>
        <w:spacing w:line="225" w:lineRule="auto"/>
        <w:ind w:left="566"/>
      </w:pPr>
      <w:r>
        <w:rPr>
          <w:color w:val="231F20"/>
        </w:rPr>
        <w:t>Long term contracts are accounted for on the basis of charging the Surplus or Deficit on the Provision</w:t>
      </w:r>
      <w:r>
        <w:rPr>
          <w:color w:val="231F20"/>
          <w:spacing w:val="-6"/>
        </w:rPr>
        <w:t> </w:t>
      </w:r>
      <w:r>
        <w:rPr>
          <w:color w:val="231F20"/>
        </w:rPr>
        <w:t>of</w:t>
      </w:r>
      <w:r>
        <w:rPr>
          <w:color w:val="231F20"/>
          <w:spacing w:val="-5"/>
        </w:rPr>
        <w:t> </w:t>
      </w:r>
      <w:r>
        <w:rPr>
          <w:color w:val="231F20"/>
        </w:rPr>
        <w:t>Services</w:t>
      </w:r>
      <w:r>
        <w:rPr>
          <w:color w:val="231F20"/>
          <w:spacing w:val="-6"/>
        </w:rPr>
        <w:t> </w:t>
      </w:r>
      <w:r>
        <w:rPr>
          <w:color w:val="231F20"/>
        </w:rPr>
        <w:t>with</w:t>
      </w:r>
      <w:r>
        <w:rPr>
          <w:color w:val="231F20"/>
          <w:spacing w:val="-5"/>
        </w:rPr>
        <w:t> </w:t>
      </w:r>
      <w:r>
        <w:rPr>
          <w:color w:val="231F20"/>
        </w:rPr>
        <w:t>the</w:t>
      </w:r>
      <w:r>
        <w:rPr>
          <w:color w:val="231F20"/>
          <w:spacing w:val="-5"/>
        </w:rPr>
        <w:t> </w:t>
      </w:r>
      <w:r>
        <w:rPr>
          <w:color w:val="231F20"/>
        </w:rPr>
        <w:t>value</w:t>
      </w:r>
      <w:r>
        <w:rPr>
          <w:color w:val="231F20"/>
          <w:spacing w:val="-5"/>
        </w:rPr>
        <w:t> </w:t>
      </w:r>
      <w:r>
        <w:rPr>
          <w:color w:val="231F20"/>
        </w:rPr>
        <w:t>of</w:t>
      </w:r>
      <w:r>
        <w:rPr>
          <w:color w:val="231F20"/>
          <w:spacing w:val="-5"/>
        </w:rPr>
        <w:t> </w:t>
      </w:r>
      <w:r>
        <w:rPr>
          <w:color w:val="231F20"/>
        </w:rPr>
        <w:t>works</w:t>
      </w:r>
      <w:r>
        <w:rPr>
          <w:color w:val="231F20"/>
          <w:spacing w:val="-5"/>
        </w:rPr>
        <w:t> </w:t>
      </w:r>
      <w:r>
        <w:rPr>
          <w:color w:val="231F20"/>
        </w:rPr>
        <w:t>and services received under the contract during the financial year.</w:t>
      </w:r>
    </w:p>
    <w:p>
      <w:pPr>
        <w:pStyle w:val="Heading3"/>
        <w:numPr>
          <w:ilvl w:val="0"/>
          <w:numId w:val="11"/>
        </w:numPr>
        <w:tabs>
          <w:tab w:pos="1045" w:val="left" w:leader="none"/>
        </w:tabs>
        <w:spacing w:line="310" w:lineRule="exact" w:before="284" w:after="0"/>
        <w:ind w:left="1044" w:right="0" w:hanging="479"/>
        <w:jc w:val="left"/>
      </w:pPr>
      <w:r>
        <w:rPr>
          <w:color w:val="3B5673"/>
        </w:rPr>
        <w:t>INVESTMENT</w:t>
      </w:r>
      <w:r>
        <w:rPr>
          <w:color w:val="3B5673"/>
          <w:spacing w:val="46"/>
          <w:w w:val="150"/>
        </w:rPr>
        <w:t> </w:t>
      </w:r>
      <w:r>
        <w:rPr>
          <w:color w:val="3B5673"/>
          <w:spacing w:val="-2"/>
        </w:rPr>
        <w:t>PROPERTIES</w:t>
      </w:r>
    </w:p>
    <w:p>
      <w:pPr>
        <w:pStyle w:val="BodyText"/>
        <w:spacing w:line="225" w:lineRule="auto" w:before="6"/>
        <w:ind w:left="566"/>
      </w:pPr>
      <w:r>
        <w:rPr>
          <w:color w:val="231F20"/>
        </w:rPr>
        <w:t>The</w:t>
      </w:r>
      <w:r>
        <w:rPr>
          <w:color w:val="231F20"/>
          <w:spacing w:val="-6"/>
        </w:rPr>
        <w:t> </w:t>
      </w:r>
      <w:r>
        <w:rPr>
          <w:color w:val="231F20"/>
        </w:rPr>
        <w:t>Council</w:t>
      </w:r>
      <w:r>
        <w:rPr>
          <w:color w:val="231F20"/>
          <w:spacing w:val="-7"/>
        </w:rPr>
        <w:t> </w:t>
      </w:r>
      <w:r>
        <w:rPr>
          <w:color w:val="231F20"/>
        </w:rPr>
        <w:t>does</w:t>
      </w:r>
      <w:r>
        <w:rPr>
          <w:color w:val="231F20"/>
          <w:spacing w:val="-6"/>
        </w:rPr>
        <w:t> </w:t>
      </w:r>
      <w:r>
        <w:rPr>
          <w:color w:val="231F20"/>
        </w:rPr>
        <w:t>hold</w:t>
      </w:r>
      <w:r>
        <w:rPr>
          <w:color w:val="231F20"/>
          <w:spacing w:val="-6"/>
        </w:rPr>
        <w:t> </w:t>
      </w:r>
      <w:r>
        <w:rPr>
          <w:color w:val="231F20"/>
        </w:rPr>
        <w:t>properties</w:t>
      </w:r>
      <w:r>
        <w:rPr>
          <w:color w:val="231F20"/>
          <w:spacing w:val="-6"/>
        </w:rPr>
        <w:t> </w:t>
      </w:r>
      <w:r>
        <w:rPr>
          <w:color w:val="231F20"/>
        </w:rPr>
        <w:t>for</w:t>
      </w:r>
      <w:r>
        <w:rPr>
          <w:color w:val="231F20"/>
          <w:spacing w:val="-6"/>
        </w:rPr>
        <w:t> </w:t>
      </w:r>
      <w:r>
        <w:rPr>
          <w:color w:val="231F20"/>
        </w:rPr>
        <w:t>investment </w:t>
      </w:r>
      <w:r>
        <w:rPr>
          <w:color w:val="231F20"/>
          <w:spacing w:val="-2"/>
        </w:rPr>
        <w:t>purposes.</w:t>
      </w:r>
    </w:p>
    <w:p>
      <w:pPr>
        <w:pStyle w:val="BodyText"/>
        <w:spacing w:before="7"/>
        <w:rPr>
          <w:sz w:val="22"/>
        </w:rPr>
      </w:pPr>
    </w:p>
    <w:p>
      <w:pPr>
        <w:pStyle w:val="BodyText"/>
        <w:spacing w:line="225" w:lineRule="auto"/>
        <w:ind w:left="566" w:right="508"/>
      </w:pPr>
      <w:r>
        <w:rPr>
          <w:color w:val="231F20"/>
        </w:rPr>
        <w:t>Investment properties are those that are used</w:t>
      </w:r>
      <w:r>
        <w:rPr>
          <w:color w:val="231F20"/>
          <w:spacing w:val="-5"/>
        </w:rPr>
        <w:t> </w:t>
      </w:r>
      <w:r>
        <w:rPr>
          <w:color w:val="231F20"/>
        </w:rPr>
        <w:t>solely</w:t>
      </w:r>
      <w:r>
        <w:rPr>
          <w:color w:val="231F20"/>
          <w:spacing w:val="-6"/>
        </w:rPr>
        <w:t> </w:t>
      </w:r>
      <w:r>
        <w:rPr>
          <w:color w:val="231F20"/>
        </w:rPr>
        <w:t>to</w:t>
      </w:r>
      <w:r>
        <w:rPr>
          <w:color w:val="231F20"/>
          <w:spacing w:val="-5"/>
        </w:rPr>
        <w:t> </w:t>
      </w:r>
      <w:r>
        <w:rPr>
          <w:color w:val="231F20"/>
        </w:rPr>
        <w:t>earn</w:t>
      </w:r>
      <w:r>
        <w:rPr>
          <w:color w:val="231F20"/>
          <w:spacing w:val="-5"/>
        </w:rPr>
        <w:t> </w:t>
      </w:r>
      <w:r>
        <w:rPr>
          <w:color w:val="231F20"/>
        </w:rPr>
        <w:t>rentals</w:t>
      </w:r>
      <w:r>
        <w:rPr>
          <w:color w:val="231F20"/>
          <w:spacing w:val="-5"/>
        </w:rPr>
        <w:t> </w:t>
      </w:r>
      <w:r>
        <w:rPr>
          <w:color w:val="231F20"/>
        </w:rPr>
        <w:t>and/or</w:t>
      </w:r>
      <w:r>
        <w:rPr>
          <w:color w:val="231F20"/>
          <w:spacing w:val="-5"/>
        </w:rPr>
        <w:t> </w:t>
      </w:r>
      <w:r>
        <w:rPr>
          <w:color w:val="231F20"/>
        </w:rPr>
        <w:t>for</w:t>
      </w:r>
      <w:r>
        <w:rPr>
          <w:color w:val="231F20"/>
          <w:spacing w:val="-5"/>
        </w:rPr>
        <w:t> </w:t>
      </w:r>
      <w:r>
        <w:rPr>
          <w:color w:val="231F20"/>
        </w:rPr>
        <w:t>capital appreciation. The definition is</w:t>
      </w:r>
      <w:r>
        <w:rPr>
          <w:color w:val="231F20"/>
          <w:spacing w:val="-1"/>
        </w:rPr>
        <w:t> </w:t>
      </w:r>
      <w:r>
        <w:rPr>
          <w:color w:val="231F20"/>
        </w:rPr>
        <w:t>not met</w:t>
      </w:r>
      <w:r>
        <w:rPr>
          <w:color w:val="231F20"/>
          <w:spacing w:val="-1"/>
        </w:rPr>
        <w:t> </w:t>
      </w:r>
      <w:r>
        <w:rPr>
          <w:color w:val="231F20"/>
        </w:rPr>
        <w:t>if</w:t>
      </w:r>
      <w:r>
        <w:rPr>
          <w:color w:val="231F20"/>
          <w:spacing w:val="-1"/>
        </w:rPr>
        <w:t> </w:t>
      </w:r>
      <w:r>
        <w:rPr>
          <w:color w:val="231F20"/>
        </w:rPr>
        <w:t>the property is used in any way to facilitate the</w:t>
      </w:r>
    </w:p>
    <w:p>
      <w:pPr>
        <w:pStyle w:val="BodyText"/>
        <w:spacing w:line="225" w:lineRule="auto"/>
        <w:ind w:left="566"/>
      </w:pPr>
      <w:r>
        <w:rPr>
          <w:color w:val="231F20"/>
        </w:rPr>
        <w:t>delivery</w:t>
      </w:r>
      <w:r>
        <w:rPr>
          <w:color w:val="231F20"/>
          <w:spacing w:val="-5"/>
        </w:rPr>
        <w:t> </w:t>
      </w:r>
      <w:r>
        <w:rPr>
          <w:color w:val="231F20"/>
        </w:rPr>
        <w:t>of</w:t>
      </w:r>
      <w:r>
        <w:rPr>
          <w:color w:val="231F20"/>
          <w:spacing w:val="-5"/>
        </w:rPr>
        <w:t> </w:t>
      </w:r>
      <w:r>
        <w:rPr>
          <w:color w:val="231F20"/>
        </w:rPr>
        <w:t>services</w:t>
      </w:r>
      <w:r>
        <w:rPr>
          <w:color w:val="231F20"/>
          <w:spacing w:val="-6"/>
        </w:rPr>
        <w:t> </w:t>
      </w:r>
      <w:r>
        <w:rPr>
          <w:color w:val="231F20"/>
        </w:rPr>
        <w:t>or</w:t>
      </w:r>
      <w:r>
        <w:rPr>
          <w:color w:val="231F20"/>
          <w:spacing w:val="-5"/>
        </w:rPr>
        <w:t> </w:t>
      </w:r>
      <w:r>
        <w:rPr>
          <w:color w:val="231F20"/>
        </w:rPr>
        <w:t>production</w:t>
      </w:r>
      <w:r>
        <w:rPr>
          <w:color w:val="231F20"/>
          <w:spacing w:val="-5"/>
        </w:rPr>
        <w:t> </w:t>
      </w:r>
      <w:r>
        <w:rPr>
          <w:color w:val="231F20"/>
        </w:rPr>
        <w:t>of</w:t>
      </w:r>
      <w:r>
        <w:rPr>
          <w:color w:val="231F20"/>
          <w:spacing w:val="-5"/>
        </w:rPr>
        <w:t> </w:t>
      </w:r>
      <w:r>
        <w:rPr>
          <w:color w:val="231F20"/>
        </w:rPr>
        <w:t>goods</w:t>
      </w:r>
      <w:r>
        <w:rPr>
          <w:color w:val="231F20"/>
          <w:spacing w:val="-5"/>
        </w:rPr>
        <w:t> </w:t>
      </w:r>
      <w:r>
        <w:rPr>
          <w:color w:val="231F20"/>
        </w:rPr>
        <w:t>or</w:t>
      </w:r>
      <w:r>
        <w:rPr>
          <w:color w:val="231F20"/>
          <w:spacing w:val="-5"/>
        </w:rPr>
        <w:t> </w:t>
      </w:r>
      <w:r>
        <w:rPr>
          <w:color w:val="231F20"/>
        </w:rPr>
        <w:t>is held for sale.</w:t>
      </w:r>
    </w:p>
    <w:p>
      <w:pPr>
        <w:pStyle w:val="BodyText"/>
        <w:spacing w:before="7"/>
        <w:rPr>
          <w:sz w:val="22"/>
        </w:rPr>
      </w:pPr>
    </w:p>
    <w:p>
      <w:pPr>
        <w:pStyle w:val="BodyText"/>
        <w:spacing w:line="225" w:lineRule="auto"/>
        <w:ind w:left="566" w:right="292"/>
      </w:pPr>
      <w:r>
        <w:rPr>
          <w:color w:val="231F20"/>
        </w:rPr>
        <w:t>Investment properties are measured initially at cost and subsequently at fair value, being the price that would be received to sell such an asset</w:t>
      </w:r>
      <w:r>
        <w:rPr>
          <w:color w:val="231F20"/>
          <w:spacing w:val="-6"/>
        </w:rPr>
        <w:t> </w:t>
      </w:r>
      <w:r>
        <w:rPr>
          <w:color w:val="231F20"/>
        </w:rPr>
        <w:t>in</w:t>
      </w:r>
      <w:r>
        <w:rPr>
          <w:color w:val="231F20"/>
          <w:spacing w:val="-7"/>
        </w:rPr>
        <w:t> </w:t>
      </w:r>
      <w:r>
        <w:rPr>
          <w:color w:val="231F20"/>
        </w:rPr>
        <w:t>an</w:t>
      </w:r>
      <w:r>
        <w:rPr>
          <w:color w:val="231F20"/>
          <w:spacing w:val="-6"/>
        </w:rPr>
        <w:t> </w:t>
      </w:r>
      <w:r>
        <w:rPr>
          <w:color w:val="231F20"/>
        </w:rPr>
        <w:t>orderly</w:t>
      </w:r>
      <w:r>
        <w:rPr>
          <w:color w:val="231F20"/>
          <w:spacing w:val="-6"/>
        </w:rPr>
        <w:t> </w:t>
      </w:r>
      <w:r>
        <w:rPr>
          <w:color w:val="231F20"/>
        </w:rPr>
        <w:t>transaction</w:t>
      </w:r>
      <w:r>
        <w:rPr>
          <w:color w:val="231F20"/>
          <w:spacing w:val="-6"/>
        </w:rPr>
        <w:t> </w:t>
      </w:r>
      <w:r>
        <w:rPr>
          <w:color w:val="231F20"/>
        </w:rPr>
        <w:t>between</w:t>
      </w:r>
      <w:r>
        <w:rPr>
          <w:color w:val="231F20"/>
          <w:spacing w:val="-6"/>
        </w:rPr>
        <w:t> </w:t>
      </w:r>
      <w:r>
        <w:rPr>
          <w:color w:val="231F20"/>
        </w:rPr>
        <w:t>market participants at the measurement date. As a non-financial asset, investment properties are measured at highest and best use. Properties are not depreciated but are revalued annually according to market conditions at the year-</w:t>
      </w:r>
    </w:p>
    <w:p>
      <w:pPr>
        <w:pStyle w:val="BodyText"/>
        <w:spacing w:line="225" w:lineRule="auto"/>
        <w:ind w:left="566" w:right="66"/>
      </w:pPr>
      <w:r>
        <w:rPr>
          <w:color w:val="231F20"/>
        </w:rPr>
        <w:t>end. Gains and losses on revaluation are posted to the Financing and Investment Income and Expenditure line in the Comprehensive Income and</w:t>
      </w:r>
      <w:r>
        <w:rPr>
          <w:color w:val="231F20"/>
          <w:spacing w:val="-9"/>
        </w:rPr>
        <w:t> </w:t>
      </w:r>
      <w:r>
        <w:rPr>
          <w:color w:val="231F20"/>
        </w:rPr>
        <w:t>Expenditure</w:t>
      </w:r>
      <w:r>
        <w:rPr>
          <w:color w:val="231F20"/>
          <w:spacing w:val="-9"/>
        </w:rPr>
        <w:t> </w:t>
      </w:r>
      <w:r>
        <w:rPr>
          <w:color w:val="231F20"/>
        </w:rPr>
        <w:t>Statement.</w:t>
      </w:r>
      <w:r>
        <w:rPr>
          <w:color w:val="231F20"/>
          <w:spacing w:val="-9"/>
        </w:rPr>
        <w:t> </w:t>
      </w:r>
      <w:r>
        <w:rPr>
          <w:color w:val="231F20"/>
        </w:rPr>
        <w:t>The</w:t>
      </w:r>
      <w:r>
        <w:rPr>
          <w:color w:val="231F20"/>
          <w:spacing w:val="-9"/>
        </w:rPr>
        <w:t> </w:t>
      </w:r>
      <w:r>
        <w:rPr>
          <w:color w:val="231F20"/>
        </w:rPr>
        <w:t>same</w:t>
      </w:r>
      <w:r>
        <w:rPr>
          <w:color w:val="231F20"/>
          <w:spacing w:val="-10"/>
        </w:rPr>
        <w:t> </w:t>
      </w:r>
      <w:r>
        <w:rPr>
          <w:color w:val="231F20"/>
        </w:rPr>
        <w:t>treatment is applied to gains and losses on disposal.</w:t>
      </w:r>
    </w:p>
    <w:p>
      <w:pPr>
        <w:pStyle w:val="BodyText"/>
        <w:spacing w:before="7"/>
        <w:rPr>
          <w:sz w:val="22"/>
        </w:rPr>
      </w:pPr>
    </w:p>
    <w:p>
      <w:pPr>
        <w:pStyle w:val="BodyText"/>
        <w:spacing w:line="225" w:lineRule="auto"/>
        <w:ind w:left="566" w:right="66"/>
      </w:pPr>
      <w:r>
        <w:rPr>
          <w:color w:val="231F20"/>
        </w:rPr>
        <w:t>Rentals received in relation to investment properties are credited to the Financing and Investment Income line and result in a gain for the</w:t>
      </w:r>
      <w:r>
        <w:rPr>
          <w:color w:val="231F20"/>
          <w:spacing w:val="-7"/>
        </w:rPr>
        <w:t> </w:t>
      </w:r>
      <w:r>
        <w:rPr>
          <w:color w:val="231F20"/>
        </w:rPr>
        <w:t>General</w:t>
      </w:r>
      <w:r>
        <w:rPr>
          <w:color w:val="231F20"/>
          <w:spacing w:val="-7"/>
        </w:rPr>
        <w:t> </w:t>
      </w:r>
      <w:r>
        <w:rPr>
          <w:color w:val="231F20"/>
        </w:rPr>
        <w:t>Fund</w:t>
      </w:r>
      <w:r>
        <w:rPr>
          <w:color w:val="231F20"/>
          <w:spacing w:val="-8"/>
        </w:rPr>
        <w:t> </w:t>
      </w:r>
      <w:r>
        <w:rPr>
          <w:color w:val="231F20"/>
        </w:rPr>
        <w:t>Balance.</w:t>
      </w:r>
      <w:r>
        <w:rPr>
          <w:color w:val="231F20"/>
          <w:spacing w:val="-8"/>
        </w:rPr>
        <w:t> </w:t>
      </w:r>
      <w:r>
        <w:rPr>
          <w:color w:val="231F20"/>
        </w:rPr>
        <w:t>However,</w:t>
      </w:r>
      <w:r>
        <w:rPr>
          <w:color w:val="231F20"/>
          <w:spacing w:val="-7"/>
        </w:rPr>
        <w:t> </w:t>
      </w:r>
      <w:r>
        <w:rPr>
          <w:color w:val="231F20"/>
        </w:rPr>
        <w:t>revaluation and</w:t>
      </w:r>
      <w:r>
        <w:rPr>
          <w:color w:val="231F20"/>
          <w:spacing w:val="-3"/>
        </w:rPr>
        <w:t> </w:t>
      </w:r>
      <w:r>
        <w:rPr>
          <w:color w:val="231F20"/>
        </w:rPr>
        <w:t>disposal</w:t>
      </w:r>
      <w:r>
        <w:rPr>
          <w:color w:val="231F20"/>
          <w:spacing w:val="-1"/>
        </w:rPr>
        <w:t> </w:t>
      </w:r>
      <w:r>
        <w:rPr>
          <w:color w:val="231F20"/>
        </w:rPr>
        <w:t>gains</w:t>
      </w:r>
      <w:r>
        <w:rPr>
          <w:color w:val="231F20"/>
          <w:spacing w:val="-1"/>
        </w:rPr>
        <w:t> </w:t>
      </w:r>
      <w:r>
        <w:rPr>
          <w:color w:val="231F20"/>
        </w:rPr>
        <w:t>and losses</w:t>
      </w:r>
      <w:r>
        <w:rPr>
          <w:color w:val="231F20"/>
          <w:spacing w:val="-2"/>
        </w:rPr>
        <w:t> </w:t>
      </w:r>
      <w:r>
        <w:rPr>
          <w:color w:val="231F20"/>
        </w:rPr>
        <w:t>are</w:t>
      </w:r>
      <w:r>
        <w:rPr>
          <w:color w:val="231F20"/>
          <w:spacing w:val="-1"/>
        </w:rPr>
        <w:t> </w:t>
      </w:r>
      <w:r>
        <w:rPr>
          <w:color w:val="231F20"/>
        </w:rPr>
        <w:t>not </w:t>
      </w:r>
      <w:r>
        <w:rPr>
          <w:color w:val="231F20"/>
          <w:spacing w:val="-2"/>
        </w:rPr>
        <w:t>permitted</w:t>
      </w:r>
    </w:p>
    <w:p>
      <w:pPr>
        <w:pStyle w:val="BodyText"/>
        <w:spacing w:line="225" w:lineRule="auto" w:before="115"/>
        <w:ind w:left="244" w:right="631"/>
      </w:pPr>
      <w:r>
        <w:rPr/>
        <w:br w:type="column"/>
      </w:r>
      <w:r>
        <w:rPr>
          <w:color w:val="231F20"/>
        </w:rPr>
        <w:t>by</w:t>
      </w:r>
      <w:r>
        <w:rPr>
          <w:color w:val="231F20"/>
          <w:spacing w:val="-2"/>
        </w:rPr>
        <w:t> </w:t>
      </w:r>
      <w:r>
        <w:rPr>
          <w:color w:val="231F20"/>
        </w:rPr>
        <w:t>statutory</w:t>
      </w:r>
      <w:r>
        <w:rPr>
          <w:color w:val="231F20"/>
          <w:spacing w:val="-3"/>
        </w:rPr>
        <w:t> </w:t>
      </w:r>
      <w:r>
        <w:rPr>
          <w:color w:val="231F20"/>
        </w:rPr>
        <w:t>arrangements</w:t>
      </w:r>
      <w:r>
        <w:rPr>
          <w:color w:val="231F20"/>
          <w:spacing w:val="-2"/>
        </w:rPr>
        <w:t> </w:t>
      </w:r>
      <w:r>
        <w:rPr>
          <w:color w:val="231F20"/>
        </w:rPr>
        <w:t>to</w:t>
      </w:r>
      <w:r>
        <w:rPr>
          <w:color w:val="231F20"/>
          <w:spacing w:val="-2"/>
        </w:rPr>
        <w:t> </w:t>
      </w:r>
      <w:r>
        <w:rPr>
          <w:color w:val="231F20"/>
        </w:rPr>
        <w:t>have</w:t>
      </w:r>
      <w:r>
        <w:rPr>
          <w:color w:val="231F20"/>
          <w:spacing w:val="-2"/>
        </w:rPr>
        <w:t> </w:t>
      </w:r>
      <w:r>
        <w:rPr>
          <w:color w:val="231F20"/>
        </w:rPr>
        <w:t>an</w:t>
      </w:r>
      <w:r>
        <w:rPr>
          <w:color w:val="231F20"/>
          <w:spacing w:val="-2"/>
        </w:rPr>
        <w:t> </w:t>
      </w:r>
      <w:r>
        <w:rPr>
          <w:color w:val="231F20"/>
        </w:rPr>
        <w:t>impact</w:t>
      </w:r>
      <w:r>
        <w:rPr>
          <w:color w:val="231F20"/>
          <w:spacing w:val="-3"/>
        </w:rPr>
        <w:t> </w:t>
      </w:r>
      <w:r>
        <w:rPr>
          <w:color w:val="231F20"/>
        </w:rPr>
        <w:t>on the General Fund Balance. The gains and losses are therefore reversed out of the General Fund Balance</w:t>
      </w:r>
      <w:r>
        <w:rPr>
          <w:color w:val="231F20"/>
          <w:spacing w:val="-1"/>
        </w:rPr>
        <w:t> </w:t>
      </w:r>
      <w:r>
        <w:rPr>
          <w:color w:val="231F20"/>
        </w:rPr>
        <w:t>in</w:t>
      </w:r>
      <w:r>
        <w:rPr>
          <w:color w:val="231F20"/>
          <w:spacing w:val="-1"/>
        </w:rPr>
        <w:t> </w:t>
      </w:r>
      <w:r>
        <w:rPr>
          <w:color w:val="231F20"/>
        </w:rPr>
        <w:t>the Movement in</w:t>
      </w:r>
      <w:r>
        <w:rPr>
          <w:color w:val="231F20"/>
          <w:spacing w:val="-1"/>
        </w:rPr>
        <w:t> </w:t>
      </w:r>
      <w:r>
        <w:rPr>
          <w:color w:val="231F20"/>
        </w:rPr>
        <w:t>Reserves Statement and posted to the Capital Adjustment Account and</w:t>
      </w:r>
      <w:r>
        <w:rPr>
          <w:color w:val="231F20"/>
          <w:spacing w:val="-5"/>
        </w:rPr>
        <w:t> </w:t>
      </w:r>
      <w:r>
        <w:rPr>
          <w:color w:val="231F20"/>
        </w:rPr>
        <w:t>(for</w:t>
      </w:r>
      <w:r>
        <w:rPr>
          <w:color w:val="231F20"/>
          <w:spacing w:val="-5"/>
        </w:rPr>
        <w:t> </w:t>
      </w:r>
      <w:r>
        <w:rPr>
          <w:color w:val="231F20"/>
        </w:rPr>
        <w:t>any</w:t>
      </w:r>
      <w:r>
        <w:rPr>
          <w:color w:val="231F20"/>
          <w:spacing w:val="-5"/>
        </w:rPr>
        <w:t> </w:t>
      </w:r>
      <w:r>
        <w:rPr>
          <w:color w:val="231F20"/>
        </w:rPr>
        <w:t>sale</w:t>
      </w:r>
      <w:r>
        <w:rPr>
          <w:color w:val="231F20"/>
          <w:spacing w:val="-6"/>
        </w:rPr>
        <w:t> </w:t>
      </w:r>
      <w:r>
        <w:rPr>
          <w:color w:val="231F20"/>
        </w:rPr>
        <w:t>proceeds</w:t>
      </w:r>
      <w:r>
        <w:rPr>
          <w:color w:val="231F20"/>
          <w:spacing w:val="-5"/>
        </w:rPr>
        <w:t> </w:t>
      </w:r>
      <w:r>
        <w:rPr>
          <w:color w:val="231F20"/>
        </w:rPr>
        <w:t>greater</w:t>
      </w:r>
      <w:r>
        <w:rPr>
          <w:color w:val="231F20"/>
          <w:spacing w:val="-5"/>
        </w:rPr>
        <w:t> </w:t>
      </w:r>
      <w:r>
        <w:rPr>
          <w:color w:val="231F20"/>
        </w:rPr>
        <w:t>than</w:t>
      </w:r>
      <w:r>
        <w:rPr>
          <w:color w:val="231F20"/>
          <w:spacing w:val="-5"/>
        </w:rPr>
        <w:t> </w:t>
      </w:r>
      <w:r>
        <w:rPr>
          <w:color w:val="231F20"/>
        </w:rPr>
        <w:t>£10,000) the Capital Receipts Reserve.</w:t>
      </w:r>
    </w:p>
    <w:p>
      <w:pPr>
        <w:pStyle w:val="Heading3"/>
        <w:numPr>
          <w:ilvl w:val="0"/>
          <w:numId w:val="11"/>
        </w:numPr>
        <w:tabs>
          <w:tab w:pos="657" w:val="left" w:leader="none"/>
        </w:tabs>
        <w:spacing w:line="310" w:lineRule="exact" w:before="284" w:after="0"/>
        <w:ind w:left="656" w:right="0" w:hanging="413"/>
        <w:jc w:val="left"/>
      </w:pPr>
      <w:r>
        <w:rPr>
          <w:color w:val="3B5673"/>
          <w:spacing w:val="-2"/>
        </w:rPr>
        <w:t>LEASES</w:t>
      </w:r>
    </w:p>
    <w:p>
      <w:pPr>
        <w:pStyle w:val="BodyText"/>
        <w:spacing w:line="225" w:lineRule="auto" w:before="6"/>
        <w:ind w:left="244" w:right="706"/>
      </w:pPr>
      <w:r>
        <w:rPr>
          <w:color w:val="231F20"/>
        </w:rPr>
        <w:t>Leases</w:t>
      </w:r>
      <w:r>
        <w:rPr>
          <w:color w:val="231F20"/>
          <w:spacing w:val="-2"/>
        </w:rPr>
        <w:t> </w:t>
      </w:r>
      <w:r>
        <w:rPr>
          <w:color w:val="231F20"/>
        </w:rPr>
        <w:t>are</w:t>
      </w:r>
      <w:r>
        <w:rPr>
          <w:color w:val="231F20"/>
          <w:spacing w:val="-2"/>
        </w:rPr>
        <w:t> </w:t>
      </w:r>
      <w:r>
        <w:rPr>
          <w:color w:val="231F20"/>
        </w:rPr>
        <w:t>classified</w:t>
      </w:r>
      <w:r>
        <w:rPr>
          <w:color w:val="231F20"/>
          <w:spacing w:val="-2"/>
        </w:rPr>
        <w:t> </w:t>
      </w:r>
      <w:r>
        <w:rPr>
          <w:color w:val="231F20"/>
        </w:rPr>
        <w:t>as</w:t>
      </w:r>
      <w:r>
        <w:rPr>
          <w:color w:val="231F20"/>
          <w:spacing w:val="-2"/>
        </w:rPr>
        <w:t> </w:t>
      </w:r>
      <w:r>
        <w:rPr>
          <w:color w:val="231F20"/>
        </w:rPr>
        <w:t>finance</w:t>
      </w:r>
      <w:r>
        <w:rPr>
          <w:color w:val="231F20"/>
          <w:spacing w:val="-2"/>
        </w:rPr>
        <w:t> </w:t>
      </w:r>
      <w:r>
        <w:rPr>
          <w:color w:val="231F20"/>
        </w:rPr>
        <w:t>leases</w:t>
      </w:r>
      <w:r>
        <w:rPr>
          <w:color w:val="231F20"/>
          <w:spacing w:val="-3"/>
        </w:rPr>
        <w:t> </w:t>
      </w:r>
      <w:r>
        <w:rPr>
          <w:color w:val="231F20"/>
        </w:rPr>
        <w:t>where</w:t>
      </w:r>
      <w:r>
        <w:rPr>
          <w:color w:val="231F20"/>
          <w:spacing w:val="-2"/>
        </w:rPr>
        <w:t> </w:t>
      </w:r>
      <w:r>
        <w:rPr>
          <w:color w:val="231F20"/>
        </w:rPr>
        <w:t>the terms of the lease transfer substantially all the risks</w:t>
      </w:r>
      <w:r>
        <w:rPr>
          <w:color w:val="231F20"/>
          <w:spacing w:val="-5"/>
        </w:rPr>
        <w:t> </w:t>
      </w:r>
      <w:r>
        <w:rPr>
          <w:color w:val="231F20"/>
        </w:rPr>
        <w:t>and</w:t>
      </w:r>
      <w:r>
        <w:rPr>
          <w:color w:val="231F20"/>
          <w:spacing w:val="-5"/>
        </w:rPr>
        <w:t> </w:t>
      </w:r>
      <w:r>
        <w:rPr>
          <w:color w:val="231F20"/>
        </w:rPr>
        <w:t>rewards</w:t>
      </w:r>
      <w:r>
        <w:rPr>
          <w:color w:val="231F20"/>
          <w:spacing w:val="-5"/>
        </w:rPr>
        <w:t> </w:t>
      </w:r>
      <w:r>
        <w:rPr>
          <w:color w:val="231F20"/>
        </w:rPr>
        <w:t>incidental</w:t>
      </w:r>
      <w:r>
        <w:rPr>
          <w:color w:val="231F20"/>
          <w:spacing w:val="-6"/>
        </w:rPr>
        <w:t> </w:t>
      </w:r>
      <w:r>
        <w:rPr>
          <w:color w:val="231F20"/>
        </w:rPr>
        <w:t>to</w:t>
      </w:r>
      <w:r>
        <w:rPr>
          <w:color w:val="231F20"/>
          <w:spacing w:val="-5"/>
        </w:rPr>
        <w:t> </w:t>
      </w:r>
      <w:r>
        <w:rPr>
          <w:color w:val="231F20"/>
        </w:rPr>
        <w:t>ownership</w:t>
      </w:r>
      <w:r>
        <w:rPr>
          <w:color w:val="231F20"/>
          <w:spacing w:val="-5"/>
        </w:rPr>
        <w:t> </w:t>
      </w:r>
      <w:r>
        <w:rPr>
          <w:color w:val="231F20"/>
        </w:rPr>
        <w:t>of</w:t>
      </w:r>
      <w:r>
        <w:rPr>
          <w:color w:val="231F20"/>
          <w:spacing w:val="-5"/>
        </w:rPr>
        <w:t> </w:t>
      </w:r>
      <w:r>
        <w:rPr>
          <w:color w:val="231F20"/>
        </w:rPr>
        <w:t>the property, plant and equipment from the lessor to the lessee.</w:t>
      </w:r>
      <w:r>
        <w:rPr>
          <w:color w:val="231F20"/>
          <w:spacing w:val="40"/>
        </w:rPr>
        <w:t> </w:t>
      </w:r>
      <w:r>
        <w:rPr>
          <w:color w:val="231F20"/>
        </w:rPr>
        <w:t>All other leases are classified as operating leases.</w:t>
      </w:r>
    </w:p>
    <w:p>
      <w:pPr>
        <w:pStyle w:val="BodyText"/>
        <w:spacing w:before="7"/>
        <w:rPr>
          <w:sz w:val="22"/>
        </w:rPr>
      </w:pPr>
    </w:p>
    <w:p>
      <w:pPr>
        <w:pStyle w:val="BodyText"/>
        <w:spacing w:line="225" w:lineRule="auto"/>
        <w:ind w:left="244" w:right="888"/>
        <w:jc w:val="both"/>
      </w:pPr>
      <w:r>
        <w:rPr/>
        <w:pict>
          <v:group style="position:absolute;margin-left:578.504028pt;margin-top:31.309837pt;width:16.8pt;height:192.8pt;mso-position-horizontal-relative:page;mso-position-vertical-relative:paragraph;z-index:15768064" id="docshapegroup328" coordorigin="11570,626" coordsize="336,3856">
            <v:rect style="position:absolute;left:11570;top:3517;width:336;height:964" id="docshape329" filled="true" fillcolor="#f15d6b" stroked="false">
              <v:fill type="solid"/>
            </v:rect>
            <v:rect style="position:absolute;left:11570;top:2553;width:336;height:964" id="docshape330" filled="true" fillcolor="#fbac42" stroked="false">
              <v:fill type="solid"/>
            </v:rect>
            <v:rect style="position:absolute;left:11570;top:1589;width:336;height:964" id="docshape331" filled="true" fillcolor="#b78fc1" stroked="false">
              <v:fill type="solid"/>
            </v:rect>
            <v:rect style="position:absolute;left:11570;top:626;width:336;height:964" id="docshape332" filled="true" fillcolor="#378372" stroked="false">
              <v:fill type="solid"/>
            </v:rect>
            <w10:wrap type="none"/>
          </v:group>
        </w:pict>
      </w:r>
      <w:r>
        <w:rPr>
          <w:color w:val="231F20"/>
        </w:rPr>
        <w:t>Where a lease covers both land and buildings, the</w:t>
      </w:r>
      <w:r>
        <w:rPr>
          <w:color w:val="231F20"/>
          <w:spacing w:val="-6"/>
        </w:rPr>
        <w:t> </w:t>
      </w:r>
      <w:r>
        <w:rPr>
          <w:color w:val="231F20"/>
        </w:rPr>
        <w:t>land</w:t>
      </w:r>
      <w:r>
        <w:rPr>
          <w:color w:val="231F20"/>
          <w:spacing w:val="-7"/>
        </w:rPr>
        <w:t> </w:t>
      </w:r>
      <w:r>
        <w:rPr>
          <w:color w:val="231F20"/>
        </w:rPr>
        <w:t>and</w:t>
      </w:r>
      <w:r>
        <w:rPr>
          <w:color w:val="231F20"/>
          <w:spacing w:val="-6"/>
        </w:rPr>
        <w:t> </w:t>
      </w:r>
      <w:r>
        <w:rPr>
          <w:color w:val="231F20"/>
        </w:rPr>
        <w:t>building</w:t>
      </w:r>
      <w:r>
        <w:rPr>
          <w:color w:val="231F20"/>
          <w:spacing w:val="-6"/>
        </w:rPr>
        <w:t> </w:t>
      </w:r>
      <w:r>
        <w:rPr>
          <w:color w:val="231F20"/>
        </w:rPr>
        <w:t>elements</w:t>
      </w:r>
      <w:r>
        <w:rPr>
          <w:color w:val="231F20"/>
          <w:spacing w:val="-6"/>
        </w:rPr>
        <w:t> </w:t>
      </w:r>
      <w:r>
        <w:rPr>
          <w:color w:val="231F20"/>
        </w:rPr>
        <w:t>are</w:t>
      </w:r>
      <w:r>
        <w:rPr>
          <w:color w:val="231F20"/>
          <w:spacing w:val="-6"/>
        </w:rPr>
        <w:t> </w:t>
      </w:r>
      <w:r>
        <w:rPr>
          <w:color w:val="231F20"/>
        </w:rPr>
        <w:t>considered separately for classification.</w:t>
      </w:r>
    </w:p>
    <w:p>
      <w:pPr>
        <w:pStyle w:val="BodyText"/>
        <w:spacing w:before="7"/>
        <w:rPr>
          <w:sz w:val="22"/>
        </w:rPr>
      </w:pPr>
    </w:p>
    <w:p>
      <w:pPr>
        <w:pStyle w:val="BodyText"/>
        <w:spacing w:line="225" w:lineRule="auto" w:before="1"/>
        <w:ind w:left="244" w:right="631"/>
      </w:pPr>
      <w:r>
        <w:rPr>
          <w:color w:val="231F20"/>
        </w:rPr>
        <w:t>Arrangements that do not have the legal status of a lease but convey a right to use an asset in return</w:t>
      </w:r>
      <w:r>
        <w:rPr>
          <w:color w:val="231F20"/>
          <w:spacing w:val="-5"/>
        </w:rPr>
        <w:t> </w:t>
      </w:r>
      <w:r>
        <w:rPr>
          <w:color w:val="231F20"/>
        </w:rPr>
        <w:t>for</w:t>
      </w:r>
      <w:r>
        <w:rPr>
          <w:color w:val="231F20"/>
          <w:spacing w:val="-5"/>
        </w:rPr>
        <w:t> </w:t>
      </w:r>
      <w:r>
        <w:rPr>
          <w:color w:val="231F20"/>
        </w:rPr>
        <w:t>payment</w:t>
      </w:r>
      <w:r>
        <w:rPr>
          <w:color w:val="231F20"/>
          <w:spacing w:val="-5"/>
        </w:rPr>
        <w:t> </w:t>
      </w:r>
      <w:r>
        <w:rPr>
          <w:color w:val="231F20"/>
        </w:rPr>
        <w:t>are</w:t>
      </w:r>
      <w:r>
        <w:rPr>
          <w:color w:val="231F20"/>
          <w:spacing w:val="-5"/>
        </w:rPr>
        <w:t> </w:t>
      </w:r>
      <w:r>
        <w:rPr>
          <w:color w:val="231F20"/>
        </w:rPr>
        <w:t>accounted</w:t>
      </w:r>
      <w:r>
        <w:rPr>
          <w:color w:val="231F20"/>
          <w:spacing w:val="-5"/>
        </w:rPr>
        <w:t> </w:t>
      </w:r>
      <w:r>
        <w:rPr>
          <w:color w:val="231F20"/>
        </w:rPr>
        <w:t>for</w:t>
      </w:r>
      <w:r>
        <w:rPr>
          <w:color w:val="231F20"/>
          <w:spacing w:val="-5"/>
        </w:rPr>
        <w:t> </w:t>
      </w:r>
      <w:r>
        <w:rPr>
          <w:color w:val="231F20"/>
        </w:rPr>
        <w:t>under</w:t>
      </w:r>
      <w:r>
        <w:rPr>
          <w:color w:val="231F20"/>
          <w:spacing w:val="-5"/>
        </w:rPr>
        <w:t> </w:t>
      </w:r>
      <w:r>
        <w:rPr>
          <w:color w:val="231F20"/>
        </w:rPr>
        <w:t>this policy where fulfilment of the arrangement is dependent on the use of specific assets.</w:t>
      </w:r>
    </w:p>
    <w:p>
      <w:pPr>
        <w:pStyle w:val="Heading4"/>
        <w:numPr>
          <w:ilvl w:val="0"/>
          <w:numId w:val="15"/>
        </w:numPr>
        <w:tabs>
          <w:tab w:pos="441" w:val="left" w:leader="none"/>
        </w:tabs>
        <w:spacing w:line="600" w:lineRule="atLeast" w:before="3" w:after="0"/>
        <w:ind w:left="244" w:right="3399" w:firstLine="0"/>
        <w:jc w:val="left"/>
      </w:pPr>
      <w:r>
        <w:rPr>
          <w:color w:val="3B5673"/>
        </w:rPr>
        <w:t>Operating Leases The</w:t>
      </w:r>
      <w:r>
        <w:rPr>
          <w:color w:val="3B5673"/>
          <w:spacing w:val="-11"/>
        </w:rPr>
        <w:t> </w:t>
      </w:r>
      <w:r>
        <w:rPr>
          <w:color w:val="3B5673"/>
        </w:rPr>
        <w:t>Council</w:t>
      </w:r>
      <w:r>
        <w:rPr>
          <w:color w:val="3B5673"/>
          <w:spacing w:val="-11"/>
        </w:rPr>
        <w:t> </w:t>
      </w:r>
      <w:r>
        <w:rPr>
          <w:color w:val="3B5673"/>
        </w:rPr>
        <w:t>as</w:t>
      </w:r>
      <w:r>
        <w:rPr>
          <w:color w:val="3B5673"/>
          <w:spacing w:val="-12"/>
        </w:rPr>
        <w:t> </w:t>
      </w:r>
      <w:r>
        <w:rPr>
          <w:color w:val="3B5673"/>
        </w:rPr>
        <w:t>Lessee</w:t>
      </w:r>
    </w:p>
    <w:p>
      <w:pPr>
        <w:pStyle w:val="BodyText"/>
        <w:spacing w:line="225" w:lineRule="auto"/>
        <w:ind w:left="244" w:right="774"/>
      </w:pPr>
      <w:r>
        <w:rPr>
          <w:color w:val="231F20"/>
        </w:rPr>
        <w:t>Rentals paid under operating leases are</w:t>
      </w:r>
      <w:r>
        <w:rPr>
          <w:color w:val="231F20"/>
          <w:spacing w:val="40"/>
        </w:rPr>
        <w:t> </w:t>
      </w:r>
      <w:r>
        <w:rPr>
          <w:color w:val="231F20"/>
        </w:rPr>
        <w:t>charged to the Comprehensive Income and Expenditure Statement as an expense of the services benefitting from the use of the leased property</w:t>
      </w:r>
      <w:r>
        <w:rPr>
          <w:color w:val="231F20"/>
          <w:spacing w:val="-6"/>
        </w:rPr>
        <w:t> </w:t>
      </w:r>
      <w:r>
        <w:rPr>
          <w:color w:val="231F20"/>
        </w:rPr>
        <w:t>plant</w:t>
      </w:r>
      <w:r>
        <w:rPr>
          <w:color w:val="231F20"/>
          <w:spacing w:val="-6"/>
        </w:rPr>
        <w:t> </w:t>
      </w:r>
      <w:r>
        <w:rPr>
          <w:color w:val="231F20"/>
        </w:rPr>
        <w:t>or</w:t>
      </w:r>
      <w:r>
        <w:rPr>
          <w:color w:val="231F20"/>
          <w:spacing w:val="-6"/>
        </w:rPr>
        <w:t> </w:t>
      </w:r>
      <w:r>
        <w:rPr>
          <w:color w:val="231F20"/>
        </w:rPr>
        <w:t>equipment.</w:t>
      </w:r>
      <w:r>
        <w:rPr>
          <w:color w:val="231F20"/>
          <w:spacing w:val="-6"/>
        </w:rPr>
        <w:t> </w:t>
      </w:r>
      <w:r>
        <w:rPr>
          <w:color w:val="231F20"/>
        </w:rPr>
        <w:t>Charges</w:t>
      </w:r>
      <w:r>
        <w:rPr>
          <w:color w:val="231F20"/>
          <w:spacing w:val="-7"/>
        </w:rPr>
        <w:t> </w:t>
      </w:r>
      <w:r>
        <w:rPr>
          <w:color w:val="231F20"/>
        </w:rPr>
        <w:t>are</w:t>
      </w:r>
      <w:r>
        <w:rPr>
          <w:color w:val="231F20"/>
          <w:spacing w:val="-6"/>
        </w:rPr>
        <w:t> </w:t>
      </w:r>
      <w:r>
        <w:rPr>
          <w:color w:val="231F20"/>
        </w:rPr>
        <w:t>made on a straight-line basis over the life of the</w:t>
      </w:r>
      <w:r>
        <w:rPr>
          <w:color w:val="231F20"/>
          <w:spacing w:val="80"/>
        </w:rPr>
        <w:t> </w:t>
      </w:r>
      <w:r>
        <w:rPr>
          <w:color w:val="231F20"/>
        </w:rPr>
        <w:t>lease;</w:t>
      </w:r>
      <w:r>
        <w:rPr>
          <w:color w:val="231F20"/>
          <w:spacing w:val="-3"/>
        </w:rPr>
        <w:t> </w:t>
      </w:r>
      <w:r>
        <w:rPr>
          <w:color w:val="231F20"/>
        </w:rPr>
        <w:t>even</w:t>
      </w:r>
      <w:r>
        <w:rPr>
          <w:color w:val="231F20"/>
          <w:spacing w:val="-2"/>
        </w:rPr>
        <w:t> </w:t>
      </w:r>
      <w:r>
        <w:rPr>
          <w:color w:val="231F20"/>
        </w:rPr>
        <w:t>if</w:t>
      </w:r>
      <w:r>
        <w:rPr>
          <w:color w:val="231F20"/>
          <w:spacing w:val="-3"/>
        </w:rPr>
        <w:t> </w:t>
      </w:r>
      <w:r>
        <w:rPr>
          <w:color w:val="231F20"/>
        </w:rPr>
        <w:t>this</w:t>
      </w:r>
      <w:r>
        <w:rPr>
          <w:color w:val="231F20"/>
          <w:spacing w:val="-2"/>
        </w:rPr>
        <w:t> </w:t>
      </w:r>
      <w:r>
        <w:rPr>
          <w:color w:val="231F20"/>
        </w:rPr>
        <w:t>does</w:t>
      </w:r>
      <w:r>
        <w:rPr>
          <w:color w:val="231F20"/>
          <w:spacing w:val="-2"/>
        </w:rPr>
        <w:t> </w:t>
      </w:r>
      <w:r>
        <w:rPr>
          <w:color w:val="231F20"/>
        </w:rPr>
        <w:t>not</w:t>
      </w:r>
      <w:r>
        <w:rPr>
          <w:color w:val="231F20"/>
          <w:spacing w:val="-2"/>
        </w:rPr>
        <w:t> </w:t>
      </w:r>
      <w:r>
        <w:rPr>
          <w:color w:val="231F20"/>
        </w:rPr>
        <w:t>match</w:t>
      </w:r>
      <w:r>
        <w:rPr>
          <w:color w:val="231F20"/>
          <w:spacing w:val="-3"/>
        </w:rPr>
        <w:t> </w:t>
      </w:r>
      <w:r>
        <w:rPr>
          <w:color w:val="231F20"/>
        </w:rPr>
        <w:t>the</w:t>
      </w:r>
      <w:r>
        <w:rPr>
          <w:color w:val="231F20"/>
          <w:spacing w:val="-2"/>
        </w:rPr>
        <w:t> </w:t>
      </w:r>
      <w:r>
        <w:rPr>
          <w:color w:val="231F20"/>
        </w:rPr>
        <w:t>pattern</w:t>
      </w:r>
      <w:r>
        <w:rPr>
          <w:color w:val="231F20"/>
          <w:spacing w:val="-2"/>
        </w:rPr>
        <w:t> </w:t>
      </w:r>
      <w:r>
        <w:rPr>
          <w:color w:val="231F20"/>
        </w:rPr>
        <w:t>of payments,</w:t>
      </w:r>
      <w:r>
        <w:rPr>
          <w:color w:val="231F20"/>
          <w:spacing w:val="-4"/>
        </w:rPr>
        <w:t> </w:t>
      </w:r>
      <w:r>
        <w:rPr>
          <w:color w:val="231F20"/>
        </w:rPr>
        <w:t>(e.g.</w:t>
      </w:r>
      <w:r>
        <w:rPr>
          <w:color w:val="231F20"/>
          <w:spacing w:val="-4"/>
        </w:rPr>
        <w:t> </w:t>
      </w:r>
      <w:r>
        <w:rPr>
          <w:color w:val="231F20"/>
        </w:rPr>
        <w:t>there</w:t>
      </w:r>
      <w:r>
        <w:rPr>
          <w:color w:val="231F20"/>
          <w:spacing w:val="-4"/>
        </w:rPr>
        <w:t> </w:t>
      </w:r>
      <w:r>
        <w:rPr>
          <w:color w:val="231F20"/>
        </w:rPr>
        <w:t>is</w:t>
      </w:r>
      <w:r>
        <w:rPr>
          <w:color w:val="231F20"/>
          <w:spacing w:val="-5"/>
        </w:rPr>
        <w:t> </w:t>
      </w:r>
      <w:r>
        <w:rPr>
          <w:color w:val="231F20"/>
        </w:rPr>
        <w:t>a</w:t>
      </w:r>
      <w:r>
        <w:rPr>
          <w:color w:val="231F20"/>
          <w:spacing w:val="-4"/>
        </w:rPr>
        <w:t> </w:t>
      </w:r>
      <w:r>
        <w:rPr>
          <w:color w:val="231F20"/>
        </w:rPr>
        <w:t>rent-free</w:t>
      </w:r>
      <w:r>
        <w:rPr>
          <w:color w:val="231F20"/>
          <w:spacing w:val="-4"/>
        </w:rPr>
        <w:t> </w:t>
      </w:r>
      <w:r>
        <w:rPr>
          <w:color w:val="231F20"/>
        </w:rPr>
        <w:t>period</w:t>
      </w:r>
      <w:r>
        <w:rPr>
          <w:color w:val="231F20"/>
          <w:spacing w:val="-4"/>
        </w:rPr>
        <w:t> </w:t>
      </w:r>
      <w:r>
        <w:rPr>
          <w:color w:val="231F20"/>
        </w:rPr>
        <w:t>at</w:t>
      </w:r>
      <w:r>
        <w:rPr>
          <w:color w:val="231F20"/>
          <w:spacing w:val="-4"/>
        </w:rPr>
        <w:t> </w:t>
      </w:r>
      <w:r>
        <w:rPr>
          <w:color w:val="231F20"/>
        </w:rPr>
        <w:t>the commencement of the lease).</w:t>
      </w:r>
    </w:p>
    <w:p>
      <w:pPr>
        <w:pStyle w:val="Heading4"/>
        <w:spacing w:before="280"/>
        <w:ind w:left="244"/>
      </w:pPr>
      <w:r>
        <w:rPr>
          <w:color w:val="3B5673"/>
        </w:rPr>
        <w:t>The</w:t>
      </w:r>
      <w:r>
        <w:rPr>
          <w:color w:val="3B5673"/>
          <w:spacing w:val="-3"/>
        </w:rPr>
        <w:t> </w:t>
      </w:r>
      <w:r>
        <w:rPr>
          <w:color w:val="3B5673"/>
        </w:rPr>
        <w:t>Council</w:t>
      </w:r>
      <w:r>
        <w:rPr>
          <w:color w:val="3B5673"/>
          <w:spacing w:val="-2"/>
        </w:rPr>
        <w:t> </w:t>
      </w:r>
      <w:r>
        <w:rPr>
          <w:color w:val="3B5673"/>
        </w:rPr>
        <w:t>as</w:t>
      </w:r>
      <w:r>
        <w:rPr>
          <w:color w:val="3B5673"/>
          <w:spacing w:val="-3"/>
        </w:rPr>
        <w:t> </w:t>
      </w:r>
      <w:r>
        <w:rPr>
          <w:color w:val="3B5673"/>
          <w:spacing w:val="-2"/>
        </w:rPr>
        <w:t>Lessor</w:t>
      </w:r>
    </w:p>
    <w:p>
      <w:pPr>
        <w:pStyle w:val="BodyText"/>
        <w:spacing w:line="225" w:lineRule="auto" w:before="6"/>
        <w:ind w:left="244" w:right="631"/>
      </w:pPr>
      <w:r>
        <w:rPr>
          <w:color w:val="231F20"/>
        </w:rPr>
        <w:t>The Council does act in the capacity as lessor for the leases of land and properties it owns. Rents due</w:t>
      </w:r>
      <w:r>
        <w:rPr>
          <w:color w:val="231F20"/>
          <w:spacing w:val="-3"/>
        </w:rPr>
        <w:t> </w:t>
      </w:r>
      <w:r>
        <w:rPr>
          <w:color w:val="231F20"/>
        </w:rPr>
        <w:t>under</w:t>
      </w:r>
      <w:r>
        <w:rPr>
          <w:color w:val="231F20"/>
          <w:spacing w:val="-3"/>
        </w:rPr>
        <w:t> </w:t>
      </w:r>
      <w:r>
        <w:rPr>
          <w:color w:val="231F20"/>
        </w:rPr>
        <w:t>operating</w:t>
      </w:r>
      <w:r>
        <w:rPr>
          <w:color w:val="231F20"/>
          <w:spacing w:val="-3"/>
        </w:rPr>
        <w:t> </w:t>
      </w:r>
      <w:r>
        <w:rPr>
          <w:color w:val="231F20"/>
        </w:rPr>
        <w:t>leases</w:t>
      </w:r>
      <w:r>
        <w:rPr>
          <w:color w:val="231F20"/>
          <w:spacing w:val="-4"/>
        </w:rPr>
        <w:t> </w:t>
      </w:r>
      <w:r>
        <w:rPr>
          <w:color w:val="231F20"/>
        </w:rPr>
        <w:t>are</w:t>
      </w:r>
      <w:r>
        <w:rPr>
          <w:color w:val="231F20"/>
          <w:spacing w:val="-3"/>
        </w:rPr>
        <w:t> </w:t>
      </w:r>
      <w:r>
        <w:rPr>
          <w:color w:val="231F20"/>
        </w:rPr>
        <w:t>accounted</w:t>
      </w:r>
      <w:r>
        <w:rPr>
          <w:color w:val="231F20"/>
          <w:spacing w:val="-3"/>
        </w:rPr>
        <w:t> </w:t>
      </w:r>
      <w:r>
        <w:rPr>
          <w:color w:val="231F20"/>
        </w:rPr>
        <w:t>for</w:t>
      </w:r>
      <w:r>
        <w:rPr>
          <w:color w:val="231F20"/>
          <w:spacing w:val="-3"/>
        </w:rPr>
        <w:t> </w:t>
      </w:r>
      <w:r>
        <w:rPr>
          <w:color w:val="231F20"/>
        </w:rPr>
        <w:t>on a straight-line basis as they become due.</w:t>
      </w:r>
      <w:r>
        <w:rPr>
          <w:color w:val="231F20"/>
          <w:spacing w:val="40"/>
        </w:rPr>
        <w:t> </w:t>
      </w:r>
      <w:r>
        <w:rPr>
          <w:color w:val="231F20"/>
        </w:rPr>
        <w:t>Land and property leased under operating leases are held as non-current assets within the Balance Sheet</w:t>
      </w:r>
      <w:r>
        <w:rPr>
          <w:color w:val="231F20"/>
          <w:spacing w:val="-6"/>
        </w:rPr>
        <w:t> </w:t>
      </w:r>
      <w:r>
        <w:rPr>
          <w:color w:val="231F20"/>
        </w:rPr>
        <w:t>and</w:t>
      </w:r>
      <w:r>
        <w:rPr>
          <w:color w:val="231F20"/>
          <w:spacing w:val="-5"/>
        </w:rPr>
        <w:t> </w:t>
      </w:r>
      <w:r>
        <w:rPr>
          <w:color w:val="231F20"/>
        </w:rPr>
        <w:t>valued</w:t>
      </w:r>
      <w:r>
        <w:rPr>
          <w:color w:val="231F20"/>
          <w:spacing w:val="-5"/>
        </w:rPr>
        <w:t> </w:t>
      </w:r>
      <w:r>
        <w:rPr>
          <w:color w:val="231F20"/>
        </w:rPr>
        <w:t>in</w:t>
      </w:r>
      <w:r>
        <w:rPr>
          <w:color w:val="231F20"/>
          <w:spacing w:val="-6"/>
        </w:rPr>
        <w:t> </w:t>
      </w:r>
      <w:r>
        <w:rPr>
          <w:color w:val="231F20"/>
        </w:rPr>
        <w:t>accordance</w:t>
      </w:r>
      <w:r>
        <w:rPr>
          <w:color w:val="231F20"/>
          <w:spacing w:val="-5"/>
        </w:rPr>
        <w:t> </w:t>
      </w:r>
      <w:r>
        <w:rPr>
          <w:color w:val="231F20"/>
        </w:rPr>
        <w:t>with</w:t>
      </w:r>
      <w:r>
        <w:rPr>
          <w:color w:val="231F20"/>
          <w:spacing w:val="-5"/>
        </w:rPr>
        <w:t> </w:t>
      </w:r>
      <w:r>
        <w:rPr>
          <w:color w:val="231F20"/>
        </w:rPr>
        <w:t>appropriate valuation practices.</w:t>
      </w:r>
    </w:p>
    <w:p>
      <w:pPr>
        <w:spacing w:after="0" w:line="225" w:lineRule="auto"/>
        <w:sectPr>
          <w:type w:val="continuous"/>
          <w:pgSz w:w="11910" w:h="16840"/>
          <w:pgMar w:header="377" w:footer="367" w:top="260" w:bottom="0" w:left="0" w:right="0"/>
          <w:cols w:num="2" w:equalWidth="0">
            <w:col w:w="5810" w:space="40"/>
            <w:col w:w="6060"/>
          </w:cols>
        </w:sectPr>
      </w:pPr>
    </w:p>
    <w:p>
      <w:pPr>
        <w:pStyle w:val="BodyText"/>
        <w:rPr>
          <w:sz w:val="28"/>
        </w:rPr>
      </w:pPr>
    </w:p>
    <w:p>
      <w:pPr>
        <w:spacing w:after="0"/>
        <w:rPr>
          <w:sz w:val="28"/>
        </w:rPr>
        <w:sectPr>
          <w:pgSz w:w="11910" w:h="16840"/>
          <w:pgMar w:header="377" w:footer="367" w:top="560" w:bottom="560" w:left="0" w:right="0"/>
        </w:sectPr>
      </w:pPr>
    </w:p>
    <w:p>
      <w:pPr>
        <w:pStyle w:val="Heading4"/>
        <w:numPr>
          <w:ilvl w:val="0"/>
          <w:numId w:val="15"/>
        </w:numPr>
        <w:tabs>
          <w:tab w:pos="847" w:val="left" w:leader="none"/>
        </w:tabs>
        <w:spacing w:line="240" w:lineRule="auto" w:before="100" w:after="0"/>
        <w:ind w:left="846" w:right="0" w:hanging="281"/>
        <w:jc w:val="left"/>
      </w:pPr>
      <w:r>
        <w:rPr>
          <w:color w:val="3B5673"/>
        </w:rPr>
        <w:t>Finance </w:t>
      </w:r>
      <w:r>
        <w:rPr>
          <w:color w:val="3B5673"/>
          <w:spacing w:val="-2"/>
        </w:rPr>
        <w:t>Leases</w:t>
      </w:r>
    </w:p>
    <w:p>
      <w:pPr>
        <w:spacing w:line="310" w:lineRule="exact" w:before="281"/>
        <w:ind w:left="566" w:right="0" w:firstLine="0"/>
        <w:jc w:val="left"/>
        <w:rPr>
          <w:b/>
          <w:sz w:val="24"/>
        </w:rPr>
      </w:pPr>
      <w:r>
        <w:rPr>
          <w:b/>
          <w:color w:val="3B5673"/>
          <w:sz w:val="24"/>
        </w:rPr>
        <w:t>The</w:t>
      </w:r>
      <w:r>
        <w:rPr>
          <w:b/>
          <w:color w:val="3B5673"/>
          <w:spacing w:val="-3"/>
          <w:sz w:val="24"/>
        </w:rPr>
        <w:t> </w:t>
      </w:r>
      <w:r>
        <w:rPr>
          <w:b/>
          <w:color w:val="3B5673"/>
          <w:sz w:val="24"/>
        </w:rPr>
        <w:t>Council</w:t>
      </w:r>
      <w:r>
        <w:rPr>
          <w:b/>
          <w:color w:val="3B5673"/>
          <w:spacing w:val="-2"/>
          <w:sz w:val="24"/>
        </w:rPr>
        <w:t> </w:t>
      </w:r>
      <w:r>
        <w:rPr>
          <w:b/>
          <w:color w:val="3B5673"/>
          <w:sz w:val="24"/>
        </w:rPr>
        <w:t>as</w:t>
      </w:r>
      <w:r>
        <w:rPr>
          <w:b/>
          <w:color w:val="3B5673"/>
          <w:spacing w:val="-3"/>
          <w:sz w:val="24"/>
        </w:rPr>
        <w:t> </w:t>
      </w:r>
      <w:r>
        <w:rPr>
          <w:b/>
          <w:color w:val="3B5673"/>
          <w:spacing w:val="-2"/>
          <w:sz w:val="24"/>
        </w:rPr>
        <w:t>Lessee</w:t>
      </w:r>
    </w:p>
    <w:p>
      <w:pPr>
        <w:pStyle w:val="BodyText"/>
        <w:spacing w:line="225" w:lineRule="auto" w:before="6"/>
        <w:ind w:left="566" w:right="138"/>
      </w:pPr>
      <w:r>
        <w:rPr>
          <w:color w:val="231F20"/>
        </w:rPr>
        <w:t>Plant and Equipment held under finance leases are recognised on the Balance Sheet at the lower of the fair value of the asset at the lease inception</w:t>
      </w:r>
      <w:r>
        <w:rPr>
          <w:color w:val="231F20"/>
          <w:spacing w:val="-7"/>
        </w:rPr>
        <w:t> </w:t>
      </w:r>
      <w:r>
        <w:rPr>
          <w:color w:val="231F20"/>
        </w:rPr>
        <w:t>and</w:t>
      </w:r>
      <w:r>
        <w:rPr>
          <w:color w:val="231F20"/>
          <w:spacing w:val="-6"/>
        </w:rPr>
        <w:t> </w:t>
      </w:r>
      <w:r>
        <w:rPr>
          <w:color w:val="231F20"/>
        </w:rPr>
        <w:t>the</w:t>
      </w:r>
      <w:r>
        <w:rPr>
          <w:color w:val="231F20"/>
          <w:spacing w:val="-6"/>
        </w:rPr>
        <w:t> </w:t>
      </w:r>
      <w:r>
        <w:rPr>
          <w:color w:val="231F20"/>
        </w:rPr>
        <w:t>present</w:t>
      </w:r>
      <w:r>
        <w:rPr>
          <w:color w:val="231F20"/>
          <w:spacing w:val="-6"/>
        </w:rPr>
        <w:t> </w:t>
      </w:r>
      <w:r>
        <w:rPr>
          <w:color w:val="231F20"/>
        </w:rPr>
        <w:t>value</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minimum lease payments. The value of the asset is matched by a liability to pay the finance lessor.</w:t>
      </w:r>
    </w:p>
    <w:p>
      <w:pPr>
        <w:pStyle w:val="BodyText"/>
        <w:spacing w:before="6"/>
        <w:rPr>
          <w:sz w:val="22"/>
        </w:rPr>
      </w:pPr>
    </w:p>
    <w:p>
      <w:pPr>
        <w:pStyle w:val="BodyText"/>
        <w:spacing w:line="225" w:lineRule="auto" w:before="1"/>
        <w:ind w:left="566"/>
      </w:pPr>
      <w:r>
        <w:rPr>
          <w:color w:val="231F20"/>
        </w:rPr>
        <w:t>The</w:t>
      </w:r>
      <w:r>
        <w:rPr>
          <w:color w:val="231F20"/>
          <w:spacing w:val="-5"/>
        </w:rPr>
        <w:t> </w:t>
      </w:r>
      <w:r>
        <w:rPr>
          <w:color w:val="231F20"/>
        </w:rPr>
        <w:t>Council</w:t>
      </w:r>
      <w:r>
        <w:rPr>
          <w:color w:val="231F20"/>
          <w:spacing w:val="-6"/>
        </w:rPr>
        <w:t> </w:t>
      </w:r>
      <w:r>
        <w:rPr>
          <w:color w:val="231F20"/>
        </w:rPr>
        <w:t>does</w:t>
      </w:r>
      <w:r>
        <w:rPr>
          <w:color w:val="231F20"/>
          <w:spacing w:val="-5"/>
        </w:rPr>
        <w:t> </w:t>
      </w:r>
      <w:r>
        <w:rPr>
          <w:color w:val="231F20"/>
        </w:rPr>
        <w:t>not</w:t>
      </w:r>
      <w:r>
        <w:rPr>
          <w:color w:val="231F20"/>
          <w:spacing w:val="-5"/>
        </w:rPr>
        <w:t> </w:t>
      </w:r>
      <w:r>
        <w:rPr>
          <w:color w:val="231F20"/>
        </w:rPr>
        <w:t>have</w:t>
      </w:r>
      <w:r>
        <w:rPr>
          <w:color w:val="231F20"/>
          <w:spacing w:val="-5"/>
        </w:rPr>
        <w:t> </w:t>
      </w:r>
      <w:r>
        <w:rPr>
          <w:color w:val="231F20"/>
        </w:rPr>
        <w:t>any</w:t>
      </w:r>
      <w:r>
        <w:rPr>
          <w:color w:val="231F20"/>
          <w:spacing w:val="-5"/>
        </w:rPr>
        <w:t> </w:t>
      </w:r>
      <w:r>
        <w:rPr>
          <w:color w:val="231F20"/>
        </w:rPr>
        <w:t>finance</w:t>
      </w:r>
      <w:r>
        <w:rPr>
          <w:color w:val="231F20"/>
          <w:spacing w:val="-5"/>
        </w:rPr>
        <w:t> </w:t>
      </w:r>
      <w:r>
        <w:rPr>
          <w:color w:val="231F20"/>
        </w:rPr>
        <w:t>leases where it acts as lessee.</w:t>
      </w:r>
    </w:p>
    <w:p>
      <w:pPr>
        <w:pStyle w:val="Heading4"/>
        <w:spacing w:before="284"/>
      </w:pPr>
      <w:r>
        <w:rPr>
          <w:color w:val="3B5673"/>
        </w:rPr>
        <w:t>The</w:t>
      </w:r>
      <w:r>
        <w:rPr>
          <w:color w:val="3B5673"/>
          <w:spacing w:val="-3"/>
        </w:rPr>
        <w:t> </w:t>
      </w:r>
      <w:r>
        <w:rPr>
          <w:color w:val="3B5673"/>
        </w:rPr>
        <w:t>Council</w:t>
      </w:r>
      <w:r>
        <w:rPr>
          <w:color w:val="3B5673"/>
          <w:spacing w:val="-2"/>
        </w:rPr>
        <w:t> </w:t>
      </w:r>
      <w:r>
        <w:rPr>
          <w:color w:val="3B5673"/>
        </w:rPr>
        <w:t>as</w:t>
      </w:r>
      <w:r>
        <w:rPr>
          <w:color w:val="3B5673"/>
          <w:spacing w:val="-3"/>
        </w:rPr>
        <w:t> </w:t>
      </w:r>
      <w:r>
        <w:rPr>
          <w:color w:val="3B5673"/>
          <w:spacing w:val="-2"/>
        </w:rPr>
        <w:t>Lessor</w:t>
      </w:r>
    </w:p>
    <w:p>
      <w:pPr>
        <w:pStyle w:val="BodyText"/>
        <w:spacing w:line="225" w:lineRule="auto" w:before="6"/>
        <w:ind w:left="566"/>
      </w:pPr>
      <w:r>
        <w:rPr>
          <w:color w:val="231F20"/>
        </w:rPr>
        <w:t>The</w:t>
      </w:r>
      <w:r>
        <w:rPr>
          <w:color w:val="231F20"/>
          <w:spacing w:val="-5"/>
        </w:rPr>
        <w:t> </w:t>
      </w:r>
      <w:r>
        <w:rPr>
          <w:color w:val="231F20"/>
        </w:rPr>
        <w:t>Council</w:t>
      </w:r>
      <w:r>
        <w:rPr>
          <w:color w:val="231F20"/>
          <w:spacing w:val="-6"/>
        </w:rPr>
        <w:t> </w:t>
      </w:r>
      <w:r>
        <w:rPr>
          <w:color w:val="231F20"/>
        </w:rPr>
        <w:t>does</w:t>
      </w:r>
      <w:r>
        <w:rPr>
          <w:color w:val="231F20"/>
          <w:spacing w:val="-5"/>
        </w:rPr>
        <w:t> </w:t>
      </w:r>
      <w:r>
        <w:rPr>
          <w:color w:val="231F20"/>
        </w:rPr>
        <w:t>not</w:t>
      </w:r>
      <w:r>
        <w:rPr>
          <w:color w:val="231F20"/>
          <w:spacing w:val="-5"/>
        </w:rPr>
        <w:t> </w:t>
      </w:r>
      <w:r>
        <w:rPr>
          <w:color w:val="231F20"/>
        </w:rPr>
        <w:t>have</w:t>
      </w:r>
      <w:r>
        <w:rPr>
          <w:color w:val="231F20"/>
          <w:spacing w:val="-5"/>
        </w:rPr>
        <w:t> </w:t>
      </w:r>
      <w:r>
        <w:rPr>
          <w:color w:val="231F20"/>
        </w:rPr>
        <w:t>any</w:t>
      </w:r>
      <w:r>
        <w:rPr>
          <w:color w:val="231F20"/>
          <w:spacing w:val="-5"/>
        </w:rPr>
        <w:t> </w:t>
      </w:r>
      <w:r>
        <w:rPr>
          <w:color w:val="231F20"/>
        </w:rPr>
        <w:t>finance</w:t>
      </w:r>
      <w:r>
        <w:rPr>
          <w:color w:val="231F20"/>
          <w:spacing w:val="-5"/>
        </w:rPr>
        <w:t> </w:t>
      </w:r>
      <w:r>
        <w:rPr>
          <w:color w:val="231F20"/>
        </w:rPr>
        <w:t>leases where it acts as lessor.</w:t>
      </w:r>
    </w:p>
    <w:p>
      <w:pPr>
        <w:pStyle w:val="Heading3"/>
        <w:numPr>
          <w:ilvl w:val="0"/>
          <w:numId w:val="11"/>
        </w:numPr>
        <w:tabs>
          <w:tab w:pos="979" w:val="left" w:leader="none"/>
        </w:tabs>
        <w:spacing w:line="310" w:lineRule="exact" w:before="284" w:after="0"/>
        <w:ind w:left="978" w:right="0" w:hanging="413"/>
        <w:jc w:val="left"/>
      </w:pPr>
      <w:r>
        <w:rPr>
          <w:color w:val="3B5673"/>
        </w:rPr>
        <w:t>OVERHEADS</w:t>
      </w:r>
      <w:r>
        <w:rPr>
          <w:color w:val="3B5673"/>
          <w:spacing w:val="50"/>
        </w:rPr>
        <w:t> </w:t>
      </w:r>
      <w:r>
        <w:rPr>
          <w:color w:val="3B5673"/>
        </w:rPr>
        <w:t>AND</w:t>
      </w:r>
      <w:r>
        <w:rPr>
          <w:color w:val="3B5673"/>
          <w:spacing w:val="50"/>
        </w:rPr>
        <w:t> </w:t>
      </w:r>
      <w:r>
        <w:rPr>
          <w:color w:val="3B5673"/>
        </w:rPr>
        <w:t>SUPPORT</w:t>
      </w:r>
      <w:r>
        <w:rPr>
          <w:color w:val="3B5673"/>
          <w:spacing w:val="50"/>
        </w:rPr>
        <w:t> </w:t>
      </w:r>
      <w:r>
        <w:rPr>
          <w:color w:val="3B5673"/>
          <w:spacing w:val="-2"/>
        </w:rPr>
        <w:t>SERVICES</w:t>
      </w:r>
    </w:p>
    <w:p>
      <w:pPr>
        <w:pStyle w:val="BodyText"/>
        <w:spacing w:line="225" w:lineRule="auto" w:before="6"/>
        <w:ind w:left="566" w:right="81"/>
      </w:pPr>
      <w:r>
        <w:rPr>
          <w:color w:val="231F20"/>
        </w:rPr>
        <w:t>The cost of overheads and support services are charged</w:t>
      </w:r>
      <w:r>
        <w:rPr>
          <w:color w:val="231F20"/>
          <w:spacing w:val="-6"/>
        </w:rPr>
        <w:t> </w:t>
      </w:r>
      <w:r>
        <w:rPr>
          <w:color w:val="231F20"/>
        </w:rPr>
        <w:t>to</w:t>
      </w:r>
      <w:r>
        <w:rPr>
          <w:color w:val="231F20"/>
          <w:spacing w:val="-6"/>
        </w:rPr>
        <w:t> </w:t>
      </w:r>
      <w:r>
        <w:rPr>
          <w:color w:val="231F20"/>
        </w:rPr>
        <w:t>service</w:t>
      </w:r>
      <w:r>
        <w:rPr>
          <w:color w:val="231F20"/>
          <w:spacing w:val="-7"/>
        </w:rPr>
        <w:t> </w:t>
      </w:r>
      <w:r>
        <w:rPr>
          <w:color w:val="231F20"/>
        </w:rPr>
        <w:t>segments</w:t>
      </w:r>
      <w:r>
        <w:rPr>
          <w:color w:val="231F20"/>
          <w:spacing w:val="-7"/>
        </w:rPr>
        <w:t> </w:t>
      </w:r>
      <w:r>
        <w:rPr>
          <w:color w:val="231F20"/>
        </w:rPr>
        <w:t>in</w:t>
      </w:r>
      <w:r>
        <w:rPr>
          <w:color w:val="231F20"/>
          <w:spacing w:val="-7"/>
        </w:rPr>
        <w:t> </w:t>
      </w:r>
      <w:r>
        <w:rPr>
          <w:color w:val="231F20"/>
        </w:rPr>
        <w:t>accordance</w:t>
      </w:r>
      <w:r>
        <w:rPr>
          <w:color w:val="231F20"/>
          <w:spacing w:val="-6"/>
        </w:rPr>
        <w:t> </w:t>
      </w:r>
      <w:r>
        <w:rPr>
          <w:color w:val="231F20"/>
        </w:rPr>
        <w:t>with the Council’s arrangements for accountability and financial performance.</w:t>
      </w:r>
    </w:p>
    <w:p>
      <w:pPr>
        <w:pStyle w:val="Heading3"/>
        <w:numPr>
          <w:ilvl w:val="0"/>
          <w:numId w:val="11"/>
        </w:numPr>
        <w:tabs>
          <w:tab w:pos="979" w:val="left" w:leader="none"/>
        </w:tabs>
        <w:spacing w:line="310" w:lineRule="exact" w:before="284" w:after="0"/>
        <w:ind w:left="978" w:right="0" w:hanging="413"/>
        <w:jc w:val="left"/>
      </w:pPr>
      <w:r>
        <w:rPr>
          <w:color w:val="3B5673"/>
        </w:rPr>
        <w:t>PROPERTY,</w:t>
      </w:r>
      <w:r>
        <w:rPr>
          <w:color w:val="3B5673"/>
          <w:spacing w:val="30"/>
        </w:rPr>
        <w:t> </w:t>
      </w:r>
      <w:r>
        <w:rPr>
          <w:color w:val="3B5673"/>
        </w:rPr>
        <w:t>PLANT</w:t>
      </w:r>
      <w:r>
        <w:rPr>
          <w:color w:val="3B5673"/>
          <w:spacing w:val="37"/>
        </w:rPr>
        <w:t> </w:t>
      </w:r>
      <w:r>
        <w:rPr>
          <w:color w:val="3B5673"/>
        </w:rPr>
        <w:t>AND</w:t>
      </w:r>
      <w:r>
        <w:rPr>
          <w:color w:val="3B5673"/>
          <w:spacing w:val="37"/>
        </w:rPr>
        <w:t> </w:t>
      </w:r>
      <w:r>
        <w:rPr>
          <w:color w:val="3B5673"/>
          <w:spacing w:val="-2"/>
        </w:rPr>
        <w:t>EQUIPMENT</w:t>
      </w:r>
    </w:p>
    <w:p>
      <w:pPr>
        <w:pStyle w:val="BodyText"/>
        <w:spacing w:line="225" w:lineRule="auto" w:before="6"/>
        <w:ind w:left="566" w:right="449"/>
      </w:pPr>
      <w:r>
        <w:rPr>
          <w:color w:val="231F20"/>
        </w:rPr>
        <w:t>Assets that have physical substance and are held</w:t>
      </w:r>
      <w:r>
        <w:rPr>
          <w:color w:val="231F20"/>
          <w:spacing w:val="-4"/>
        </w:rPr>
        <w:t> </w:t>
      </w:r>
      <w:r>
        <w:rPr>
          <w:color w:val="231F20"/>
        </w:rPr>
        <w:t>for</w:t>
      </w:r>
      <w:r>
        <w:rPr>
          <w:color w:val="231F20"/>
          <w:spacing w:val="-4"/>
        </w:rPr>
        <w:t> </w:t>
      </w:r>
      <w:r>
        <w:rPr>
          <w:color w:val="231F20"/>
        </w:rPr>
        <w:t>use</w:t>
      </w:r>
      <w:r>
        <w:rPr>
          <w:color w:val="231F20"/>
          <w:spacing w:val="-4"/>
        </w:rPr>
        <w:t> </w:t>
      </w:r>
      <w:r>
        <w:rPr>
          <w:color w:val="231F20"/>
        </w:rPr>
        <w:t>in</w:t>
      </w:r>
      <w:r>
        <w:rPr>
          <w:color w:val="231F20"/>
          <w:spacing w:val="-5"/>
        </w:rPr>
        <w:t> </w:t>
      </w:r>
      <w:r>
        <w:rPr>
          <w:color w:val="231F20"/>
        </w:rPr>
        <w:t>the</w:t>
      </w:r>
      <w:r>
        <w:rPr>
          <w:color w:val="231F20"/>
          <w:spacing w:val="-4"/>
        </w:rPr>
        <w:t> </w:t>
      </w:r>
      <w:r>
        <w:rPr>
          <w:color w:val="231F20"/>
        </w:rPr>
        <w:t>provision</w:t>
      </w:r>
      <w:r>
        <w:rPr>
          <w:color w:val="231F20"/>
          <w:spacing w:val="-4"/>
        </w:rPr>
        <w:t> </w:t>
      </w:r>
      <w:r>
        <w:rPr>
          <w:color w:val="231F20"/>
        </w:rPr>
        <w:t>of</w:t>
      </w:r>
      <w:r>
        <w:rPr>
          <w:color w:val="231F20"/>
          <w:spacing w:val="-4"/>
        </w:rPr>
        <w:t> </w:t>
      </w:r>
      <w:r>
        <w:rPr>
          <w:color w:val="231F20"/>
        </w:rPr>
        <w:t>services</w:t>
      </w:r>
      <w:r>
        <w:rPr>
          <w:color w:val="231F20"/>
          <w:spacing w:val="-5"/>
        </w:rPr>
        <w:t> </w:t>
      </w:r>
      <w:r>
        <w:rPr>
          <w:color w:val="231F20"/>
        </w:rPr>
        <w:t>or</w:t>
      </w:r>
      <w:r>
        <w:rPr>
          <w:color w:val="231F20"/>
          <w:spacing w:val="-4"/>
        </w:rPr>
        <w:t> </w:t>
      </w:r>
      <w:r>
        <w:rPr>
          <w:color w:val="231F20"/>
        </w:rPr>
        <w:t>for</w:t>
      </w:r>
    </w:p>
    <w:p>
      <w:pPr>
        <w:pStyle w:val="BodyText"/>
        <w:spacing w:line="225" w:lineRule="auto"/>
        <w:ind w:left="566"/>
      </w:pPr>
      <w:r>
        <w:rPr>
          <w:color w:val="231F20"/>
        </w:rPr>
        <w:t>administrative</w:t>
      </w:r>
      <w:r>
        <w:rPr>
          <w:color w:val="231F20"/>
          <w:spacing w:val="-7"/>
        </w:rPr>
        <w:t> </w:t>
      </w:r>
      <w:r>
        <w:rPr>
          <w:color w:val="231F20"/>
        </w:rPr>
        <w:t>purposes</w:t>
      </w:r>
      <w:r>
        <w:rPr>
          <w:color w:val="231F20"/>
          <w:spacing w:val="-7"/>
        </w:rPr>
        <w:t> </w:t>
      </w:r>
      <w:r>
        <w:rPr>
          <w:color w:val="231F20"/>
        </w:rPr>
        <w:t>on</w:t>
      </w:r>
      <w:r>
        <w:rPr>
          <w:color w:val="231F20"/>
          <w:spacing w:val="-7"/>
        </w:rPr>
        <w:t> </w:t>
      </w:r>
      <w:r>
        <w:rPr>
          <w:color w:val="231F20"/>
        </w:rPr>
        <w:t>a</w:t>
      </w:r>
      <w:r>
        <w:rPr>
          <w:color w:val="231F20"/>
          <w:spacing w:val="-7"/>
        </w:rPr>
        <w:t> </w:t>
      </w:r>
      <w:r>
        <w:rPr>
          <w:color w:val="231F20"/>
        </w:rPr>
        <w:t>continuing</w:t>
      </w:r>
      <w:r>
        <w:rPr>
          <w:color w:val="231F20"/>
          <w:spacing w:val="-7"/>
        </w:rPr>
        <w:t> </w:t>
      </w:r>
      <w:r>
        <w:rPr>
          <w:color w:val="231F20"/>
        </w:rPr>
        <w:t>basis</w:t>
      </w:r>
      <w:r>
        <w:rPr>
          <w:color w:val="231F20"/>
          <w:spacing w:val="-6"/>
        </w:rPr>
        <w:t> </w:t>
      </w:r>
      <w:r>
        <w:rPr>
          <w:color w:val="231F20"/>
        </w:rPr>
        <w:t>are classed as Property, Plant and Equipment.</w:t>
      </w:r>
    </w:p>
    <w:p>
      <w:pPr>
        <w:pStyle w:val="Heading4"/>
        <w:spacing w:before="100"/>
        <w:ind w:left="240"/>
      </w:pPr>
      <w:r>
        <w:rPr>
          <w:b w:val="0"/>
        </w:rPr>
        <w:br w:type="column"/>
      </w:r>
      <w:r>
        <w:rPr>
          <w:color w:val="3B5673"/>
          <w:spacing w:val="-2"/>
        </w:rPr>
        <w:t>Recognition</w:t>
      </w:r>
    </w:p>
    <w:p>
      <w:pPr>
        <w:pStyle w:val="BodyText"/>
        <w:spacing w:line="225" w:lineRule="auto" w:before="6"/>
        <w:ind w:left="240" w:right="654"/>
      </w:pPr>
      <w:r>
        <w:rPr>
          <w:color w:val="231F20"/>
        </w:rPr>
        <w:t>Expenditure on the acquisition, creation or enhancement of Property, Plant and Equipment is capitalised on an accruals basis, provided that it is probable that the future economic benefits or service potential associated with the item will flow to the Council and the cost of the item can be</w:t>
      </w:r>
      <w:r>
        <w:rPr>
          <w:color w:val="231F20"/>
          <w:spacing w:val="-7"/>
        </w:rPr>
        <w:t> </w:t>
      </w:r>
      <w:r>
        <w:rPr>
          <w:color w:val="231F20"/>
        </w:rPr>
        <w:t>measured</w:t>
      </w:r>
      <w:r>
        <w:rPr>
          <w:color w:val="231F20"/>
          <w:spacing w:val="-8"/>
        </w:rPr>
        <w:t> </w:t>
      </w:r>
      <w:r>
        <w:rPr>
          <w:color w:val="231F20"/>
        </w:rPr>
        <w:t>reliably.</w:t>
      </w:r>
      <w:r>
        <w:rPr>
          <w:color w:val="231F20"/>
          <w:spacing w:val="-7"/>
        </w:rPr>
        <w:t> </w:t>
      </w:r>
      <w:r>
        <w:rPr>
          <w:color w:val="231F20"/>
        </w:rPr>
        <w:t>Expenditure</w:t>
      </w:r>
      <w:r>
        <w:rPr>
          <w:color w:val="231F20"/>
          <w:spacing w:val="-7"/>
        </w:rPr>
        <w:t> </w:t>
      </w:r>
      <w:r>
        <w:rPr>
          <w:color w:val="231F20"/>
        </w:rPr>
        <w:t>that</w:t>
      </w:r>
      <w:r>
        <w:rPr>
          <w:color w:val="231F20"/>
          <w:spacing w:val="-7"/>
        </w:rPr>
        <w:t> </w:t>
      </w:r>
      <w:r>
        <w:rPr>
          <w:color w:val="231F20"/>
        </w:rPr>
        <w:t>maintains but does not extend the previously assessed standard</w:t>
      </w:r>
      <w:r>
        <w:rPr>
          <w:color w:val="231F20"/>
          <w:spacing w:val="-1"/>
        </w:rPr>
        <w:t> </w:t>
      </w:r>
      <w:r>
        <w:rPr>
          <w:color w:val="231F20"/>
        </w:rPr>
        <w:t>of performance of an asset (e.g. repairs and maintenance) is charged to revenue as it is </w:t>
      </w:r>
      <w:r>
        <w:rPr>
          <w:color w:val="231F20"/>
          <w:spacing w:val="-2"/>
        </w:rPr>
        <w:t>incurred.</w:t>
      </w:r>
    </w:p>
    <w:p>
      <w:pPr>
        <w:pStyle w:val="BodyText"/>
        <w:spacing w:before="6"/>
        <w:rPr>
          <w:sz w:val="22"/>
        </w:rPr>
      </w:pPr>
    </w:p>
    <w:p>
      <w:pPr>
        <w:pStyle w:val="BodyText"/>
        <w:spacing w:line="225" w:lineRule="auto" w:before="1"/>
        <w:ind w:left="240" w:right="729"/>
      </w:pPr>
      <w:r>
        <w:rPr/>
        <w:pict>
          <v:group style="position:absolute;margin-left:578.504028pt;margin-top:76.359840pt;width:16.8pt;height:192.8pt;mso-position-horizontal-relative:page;mso-position-vertical-relative:paragraph;z-index:15768576" id="docshapegroup333" coordorigin="11570,1527" coordsize="336,3856">
            <v:rect style="position:absolute;left:11570;top:4418;width:336;height:964" id="docshape334" filled="true" fillcolor="#f15d6b" stroked="false">
              <v:fill type="solid"/>
            </v:rect>
            <v:rect style="position:absolute;left:11570;top:3454;width:336;height:964" id="docshape335" filled="true" fillcolor="#fbac42" stroked="false">
              <v:fill type="solid"/>
            </v:rect>
            <v:rect style="position:absolute;left:11570;top:2490;width:336;height:964" id="docshape336" filled="true" fillcolor="#b78fc1" stroked="false">
              <v:fill type="solid"/>
            </v:rect>
            <v:rect style="position:absolute;left:11570;top:1527;width:336;height:964" id="docshape337" filled="true" fillcolor="#378372" stroked="false">
              <v:fill type="solid"/>
            </v:rect>
            <w10:wrap type="none"/>
          </v:group>
        </w:pict>
      </w:r>
      <w:r>
        <w:rPr>
          <w:color w:val="231F20"/>
        </w:rPr>
        <w:t>Property,</w:t>
      </w:r>
      <w:r>
        <w:rPr>
          <w:color w:val="231F20"/>
          <w:spacing w:val="-6"/>
        </w:rPr>
        <w:t> </w:t>
      </w:r>
      <w:r>
        <w:rPr>
          <w:color w:val="231F20"/>
        </w:rPr>
        <w:t>Plant</w:t>
      </w:r>
      <w:r>
        <w:rPr>
          <w:color w:val="231F20"/>
          <w:spacing w:val="-6"/>
        </w:rPr>
        <w:t> </w:t>
      </w:r>
      <w:r>
        <w:rPr>
          <w:color w:val="231F20"/>
        </w:rPr>
        <w:t>and</w:t>
      </w:r>
      <w:r>
        <w:rPr>
          <w:color w:val="231F20"/>
          <w:spacing w:val="-6"/>
        </w:rPr>
        <w:t> </w:t>
      </w:r>
      <w:r>
        <w:rPr>
          <w:color w:val="231F20"/>
        </w:rPr>
        <w:t>Equipment</w:t>
      </w:r>
      <w:r>
        <w:rPr>
          <w:color w:val="231F20"/>
          <w:spacing w:val="-6"/>
        </w:rPr>
        <w:t> </w:t>
      </w:r>
      <w:r>
        <w:rPr>
          <w:color w:val="231F20"/>
        </w:rPr>
        <w:t>may</w:t>
      </w:r>
      <w:r>
        <w:rPr>
          <w:color w:val="231F20"/>
          <w:spacing w:val="-6"/>
        </w:rPr>
        <w:t> </w:t>
      </w:r>
      <w:r>
        <w:rPr>
          <w:color w:val="231F20"/>
        </w:rPr>
        <w:t>also</w:t>
      </w:r>
      <w:r>
        <w:rPr>
          <w:color w:val="231F20"/>
          <w:spacing w:val="-6"/>
        </w:rPr>
        <w:t> </w:t>
      </w:r>
      <w:r>
        <w:rPr>
          <w:color w:val="231F20"/>
        </w:rPr>
        <w:t>include assets held under finance leases, which have been capitalised and included in the Balance Sheet at a value reflecting the fair value of the </w:t>
      </w:r>
      <w:r>
        <w:rPr>
          <w:color w:val="231F20"/>
          <w:spacing w:val="-2"/>
        </w:rPr>
        <w:t>asset.</w:t>
      </w:r>
    </w:p>
    <w:p>
      <w:pPr>
        <w:pStyle w:val="BodyText"/>
        <w:spacing w:before="6"/>
        <w:rPr>
          <w:sz w:val="22"/>
        </w:rPr>
      </w:pPr>
    </w:p>
    <w:p>
      <w:pPr>
        <w:pStyle w:val="BodyText"/>
        <w:spacing w:line="225" w:lineRule="auto" w:before="1"/>
        <w:ind w:left="240" w:right="729"/>
      </w:pPr>
      <w:r>
        <w:rPr>
          <w:color w:val="231F20"/>
        </w:rPr>
        <w:t>A de-minimis asset value of £10,000 has been set</w:t>
      </w:r>
      <w:r>
        <w:rPr>
          <w:color w:val="231F20"/>
          <w:spacing w:val="-5"/>
        </w:rPr>
        <w:t> </w:t>
      </w:r>
      <w:r>
        <w:rPr>
          <w:color w:val="231F20"/>
        </w:rPr>
        <w:t>and</w:t>
      </w:r>
      <w:r>
        <w:rPr>
          <w:color w:val="231F20"/>
          <w:spacing w:val="-4"/>
        </w:rPr>
        <w:t> </w:t>
      </w:r>
      <w:r>
        <w:rPr>
          <w:color w:val="231F20"/>
        </w:rPr>
        <w:t>expenditure</w:t>
      </w:r>
      <w:r>
        <w:rPr>
          <w:color w:val="231F20"/>
          <w:spacing w:val="-4"/>
        </w:rPr>
        <w:t> </w:t>
      </w:r>
      <w:r>
        <w:rPr>
          <w:color w:val="231F20"/>
        </w:rPr>
        <w:t>on</w:t>
      </w:r>
      <w:r>
        <w:rPr>
          <w:color w:val="231F20"/>
          <w:spacing w:val="-4"/>
        </w:rPr>
        <w:t> </w:t>
      </w:r>
      <w:r>
        <w:rPr>
          <w:color w:val="231F20"/>
        </w:rPr>
        <w:t>new</w:t>
      </w:r>
      <w:r>
        <w:rPr>
          <w:color w:val="231F20"/>
          <w:spacing w:val="-4"/>
        </w:rPr>
        <w:t> </w:t>
      </w:r>
      <w:r>
        <w:rPr>
          <w:color w:val="231F20"/>
        </w:rPr>
        <w:t>assets</w:t>
      </w:r>
      <w:r>
        <w:rPr>
          <w:color w:val="231F20"/>
          <w:spacing w:val="-4"/>
        </w:rPr>
        <w:t> </w:t>
      </w:r>
      <w:r>
        <w:rPr>
          <w:color w:val="231F20"/>
        </w:rPr>
        <w:t>of</w:t>
      </w:r>
      <w:r>
        <w:rPr>
          <w:color w:val="231F20"/>
          <w:spacing w:val="-4"/>
        </w:rPr>
        <w:t> </w:t>
      </w:r>
      <w:r>
        <w:rPr>
          <w:color w:val="231F20"/>
        </w:rPr>
        <w:t>less</w:t>
      </w:r>
      <w:r>
        <w:rPr>
          <w:color w:val="231F20"/>
          <w:spacing w:val="-5"/>
        </w:rPr>
        <w:t> </w:t>
      </w:r>
      <w:r>
        <w:rPr>
          <w:color w:val="231F20"/>
        </w:rPr>
        <w:t>than this amount is charged to the service revenue account</w:t>
      </w:r>
      <w:r>
        <w:rPr>
          <w:color w:val="231F20"/>
          <w:spacing w:val="-4"/>
        </w:rPr>
        <w:t> </w:t>
      </w:r>
      <w:r>
        <w:rPr>
          <w:color w:val="231F20"/>
        </w:rPr>
        <w:t>as</w:t>
      </w:r>
      <w:r>
        <w:rPr>
          <w:color w:val="231F20"/>
          <w:spacing w:val="-4"/>
        </w:rPr>
        <w:t> </w:t>
      </w:r>
      <w:r>
        <w:rPr>
          <w:color w:val="231F20"/>
        </w:rPr>
        <w:t>a</w:t>
      </w:r>
      <w:r>
        <w:rPr>
          <w:color w:val="231F20"/>
          <w:spacing w:val="-4"/>
        </w:rPr>
        <w:t> </w:t>
      </w:r>
      <w:r>
        <w:rPr>
          <w:color w:val="231F20"/>
        </w:rPr>
        <w:t>proxy</w:t>
      </w:r>
      <w:r>
        <w:rPr>
          <w:color w:val="231F20"/>
          <w:spacing w:val="-4"/>
        </w:rPr>
        <w:t> </w:t>
      </w:r>
      <w:r>
        <w:rPr>
          <w:color w:val="231F20"/>
        </w:rPr>
        <w:t>for</w:t>
      </w:r>
      <w:r>
        <w:rPr>
          <w:color w:val="231F20"/>
          <w:spacing w:val="-4"/>
        </w:rPr>
        <w:t> </w:t>
      </w:r>
      <w:r>
        <w:rPr>
          <w:color w:val="231F20"/>
        </w:rPr>
        <w:t>depreciation,</w:t>
      </w:r>
      <w:r>
        <w:rPr>
          <w:color w:val="231F20"/>
          <w:spacing w:val="-4"/>
        </w:rPr>
        <w:t> </w:t>
      </w:r>
      <w:r>
        <w:rPr>
          <w:color w:val="231F20"/>
        </w:rPr>
        <w:t>unless</w:t>
      </w:r>
      <w:r>
        <w:rPr>
          <w:color w:val="231F20"/>
          <w:spacing w:val="-4"/>
        </w:rPr>
        <w:t> </w:t>
      </w:r>
      <w:r>
        <w:rPr>
          <w:color w:val="231F20"/>
        </w:rPr>
        <w:t>the expenditure forms part of a larger scheme.</w:t>
      </w:r>
    </w:p>
    <w:p>
      <w:pPr>
        <w:pStyle w:val="Heading4"/>
        <w:spacing w:before="284"/>
        <w:ind w:left="240"/>
      </w:pPr>
      <w:r>
        <w:rPr>
          <w:color w:val="3B5673"/>
          <w:spacing w:val="-2"/>
        </w:rPr>
        <w:t>Measurement</w:t>
      </w:r>
    </w:p>
    <w:p>
      <w:pPr>
        <w:pStyle w:val="BodyText"/>
        <w:spacing w:line="225" w:lineRule="auto" w:before="6"/>
        <w:ind w:left="240" w:right="541"/>
      </w:pPr>
      <w:r>
        <w:rPr>
          <w:color w:val="231F20"/>
        </w:rPr>
        <w:t>Assets are initially measured at cost, which comprises all expenditure that is directly attributable to bringing an asset into working condition</w:t>
      </w:r>
      <w:r>
        <w:rPr>
          <w:color w:val="231F20"/>
          <w:spacing w:val="-5"/>
        </w:rPr>
        <w:t> </w:t>
      </w:r>
      <w:r>
        <w:rPr>
          <w:color w:val="231F20"/>
        </w:rPr>
        <w:t>for</w:t>
      </w:r>
      <w:r>
        <w:rPr>
          <w:color w:val="231F20"/>
          <w:spacing w:val="-5"/>
        </w:rPr>
        <w:t> </w:t>
      </w:r>
      <w:r>
        <w:rPr>
          <w:color w:val="231F20"/>
        </w:rPr>
        <w:t>its</w:t>
      </w:r>
      <w:r>
        <w:rPr>
          <w:color w:val="231F20"/>
          <w:spacing w:val="-6"/>
        </w:rPr>
        <w:t> </w:t>
      </w:r>
      <w:r>
        <w:rPr>
          <w:color w:val="231F20"/>
        </w:rPr>
        <w:t>intended</w:t>
      </w:r>
      <w:r>
        <w:rPr>
          <w:color w:val="231F20"/>
          <w:spacing w:val="-6"/>
        </w:rPr>
        <w:t> </w:t>
      </w:r>
      <w:r>
        <w:rPr>
          <w:color w:val="231F20"/>
        </w:rPr>
        <w:t>use.</w:t>
      </w:r>
      <w:r>
        <w:rPr>
          <w:color w:val="231F20"/>
          <w:spacing w:val="-5"/>
        </w:rPr>
        <w:t> </w:t>
      </w:r>
      <w:r>
        <w:rPr>
          <w:color w:val="231F20"/>
        </w:rPr>
        <w:t>The</w:t>
      </w:r>
      <w:r>
        <w:rPr>
          <w:color w:val="231F20"/>
          <w:spacing w:val="-5"/>
        </w:rPr>
        <w:t> </w:t>
      </w:r>
      <w:r>
        <w:rPr>
          <w:color w:val="231F20"/>
        </w:rPr>
        <w:t>Council</w:t>
      </w:r>
      <w:r>
        <w:rPr>
          <w:color w:val="231F20"/>
          <w:spacing w:val="-6"/>
        </w:rPr>
        <w:t> </w:t>
      </w:r>
      <w:r>
        <w:rPr>
          <w:color w:val="231F20"/>
        </w:rPr>
        <w:t>does not capitalise borrowing costs incurred whilst assets are under construction.</w:t>
      </w:r>
    </w:p>
    <w:p>
      <w:pPr>
        <w:pStyle w:val="BodyText"/>
        <w:spacing w:line="310" w:lineRule="exact" w:before="284"/>
        <w:ind w:left="240"/>
      </w:pPr>
      <w:r>
        <w:rPr>
          <w:color w:val="231F20"/>
        </w:rPr>
        <w:t>Assets</w:t>
      </w:r>
      <w:r>
        <w:rPr>
          <w:color w:val="231F20"/>
          <w:spacing w:val="-4"/>
        </w:rPr>
        <w:t> </w:t>
      </w:r>
      <w:r>
        <w:rPr>
          <w:color w:val="231F20"/>
        </w:rPr>
        <w:t>are</w:t>
      </w:r>
      <w:r>
        <w:rPr>
          <w:color w:val="231F20"/>
          <w:spacing w:val="-2"/>
        </w:rPr>
        <w:t> </w:t>
      </w:r>
      <w:r>
        <w:rPr>
          <w:color w:val="231F20"/>
        </w:rPr>
        <w:t>then</w:t>
      </w:r>
      <w:r>
        <w:rPr>
          <w:color w:val="231F20"/>
          <w:spacing w:val="-3"/>
        </w:rPr>
        <w:t> </w:t>
      </w:r>
      <w:r>
        <w:rPr>
          <w:color w:val="231F20"/>
        </w:rPr>
        <w:t>carried</w:t>
      </w:r>
      <w:r>
        <w:rPr>
          <w:color w:val="231F20"/>
          <w:spacing w:val="-2"/>
        </w:rPr>
        <w:t> </w:t>
      </w:r>
      <w:r>
        <w:rPr>
          <w:color w:val="231F20"/>
        </w:rPr>
        <w:t>in</w:t>
      </w:r>
      <w:r>
        <w:rPr>
          <w:color w:val="231F20"/>
          <w:spacing w:val="-2"/>
        </w:rPr>
        <w:t> </w:t>
      </w:r>
      <w:r>
        <w:rPr>
          <w:color w:val="231F20"/>
        </w:rPr>
        <w:t>the</w:t>
      </w:r>
      <w:r>
        <w:rPr>
          <w:color w:val="231F20"/>
          <w:spacing w:val="-3"/>
        </w:rPr>
        <w:t> </w:t>
      </w:r>
      <w:r>
        <w:rPr>
          <w:color w:val="231F20"/>
        </w:rPr>
        <w:t>Balance</w:t>
      </w:r>
      <w:r>
        <w:rPr>
          <w:color w:val="231F20"/>
          <w:spacing w:val="-2"/>
        </w:rPr>
        <w:t> </w:t>
      </w:r>
      <w:r>
        <w:rPr>
          <w:color w:val="231F20"/>
        </w:rPr>
        <w:t>Sheet</w:t>
      </w:r>
      <w:r>
        <w:rPr>
          <w:color w:val="231F20"/>
          <w:spacing w:val="-2"/>
        </w:rPr>
        <w:t> using</w:t>
      </w:r>
    </w:p>
    <w:p>
      <w:pPr>
        <w:pStyle w:val="BodyText"/>
        <w:spacing w:line="310" w:lineRule="exact"/>
        <w:ind w:left="240"/>
      </w:pPr>
      <w:r>
        <w:rPr>
          <w:color w:val="231F20"/>
        </w:rPr>
        <w:t>the</w:t>
      </w:r>
      <w:r>
        <w:rPr>
          <w:color w:val="231F20"/>
          <w:spacing w:val="-4"/>
        </w:rPr>
        <w:t> </w:t>
      </w:r>
      <w:r>
        <w:rPr>
          <w:color w:val="231F20"/>
        </w:rPr>
        <w:t>following</w:t>
      </w:r>
      <w:r>
        <w:rPr>
          <w:color w:val="231F20"/>
          <w:spacing w:val="-3"/>
        </w:rPr>
        <w:t> </w:t>
      </w:r>
      <w:r>
        <w:rPr>
          <w:color w:val="231F20"/>
        </w:rPr>
        <w:t>measurement</w:t>
      </w:r>
      <w:r>
        <w:rPr>
          <w:color w:val="231F20"/>
          <w:spacing w:val="-4"/>
        </w:rPr>
        <w:t> </w:t>
      </w:r>
      <w:r>
        <w:rPr>
          <w:color w:val="231F20"/>
          <w:spacing w:val="-2"/>
        </w:rPr>
        <w:t>bases:</w:t>
      </w:r>
    </w:p>
    <w:p>
      <w:pPr>
        <w:spacing w:after="0" w:line="310" w:lineRule="exact"/>
        <w:sectPr>
          <w:type w:val="continuous"/>
          <w:pgSz w:w="11910" w:h="16840"/>
          <w:pgMar w:header="377" w:footer="367" w:top="260" w:bottom="0" w:left="0" w:right="0"/>
          <w:cols w:num="2" w:equalWidth="0">
            <w:col w:w="5814" w:space="40"/>
            <w:col w:w="6056"/>
          </w:cols>
        </w:sectPr>
      </w:pPr>
    </w:p>
    <w:p>
      <w:pPr>
        <w:pStyle w:val="BodyText"/>
        <w:rPr>
          <w:sz w:val="20"/>
        </w:rPr>
      </w:pPr>
    </w:p>
    <w:p>
      <w:pPr>
        <w:pStyle w:val="BodyText"/>
        <w:spacing w:before="4"/>
        <w:rPr>
          <w:sz w:val="20"/>
        </w:rPr>
      </w:pPr>
    </w:p>
    <w:tbl>
      <w:tblPr>
        <w:tblW w:w="0" w:type="auto"/>
        <w:jc w:val="left"/>
        <w:tblInd w:w="574" w:type="dxa"/>
        <w:tblBorders>
          <w:top w:val="single" w:sz="4" w:space="0" w:color="3B5673"/>
          <w:left w:val="single" w:sz="4" w:space="0" w:color="3B5673"/>
          <w:bottom w:val="single" w:sz="4" w:space="0" w:color="3B5673"/>
          <w:right w:val="single" w:sz="4" w:space="0" w:color="3B5673"/>
          <w:insideH w:val="single" w:sz="4" w:space="0" w:color="3B5673"/>
          <w:insideV w:val="single" w:sz="4" w:space="0" w:color="3B5673"/>
        </w:tblBorders>
        <w:tblLayout w:type="fixed"/>
        <w:tblCellMar>
          <w:top w:w="0" w:type="dxa"/>
          <w:left w:w="0" w:type="dxa"/>
          <w:bottom w:w="0" w:type="dxa"/>
          <w:right w:w="0" w:type="dxa"/>
        </w:tblCellMar>
        <w:tblLook w:val="01E0"/>
      </w:tblPr>
      <w:tblGrid>
        <w:gridCol w:w="5386"/>
        <w:gridCol w:w="5386"/>
      </w:tblGrid>
      <w:tr>
        <w:trPr>
          <w:trHeight w:val="448" w:hRule="atLeast"/>
        </w:trPr>
        <w:tc>
          <w:tcPr>
            <w:tcW w:w="5386" w:type="dxa"/>
            <w:tcBorders>
              <w:top w:val="nil"/>
              <w:left w:val="nil"/>
            </w:tcBorders>
            <w:shd w:val="clear" w:color="auto" w:fill="5D6B86"/>
          </w:tcPr>
          <w:p>
            <w:pPr>
              <w:pStyle w:val="TableParagraph"/>
              <w:spacing w:line="240" w:lineRule="auto" w:before="55"/>
              <w:ind w:left="80"/>
              <w:rPr>
                <w:b/>
                <w:sz w:val="24"/>
              </w:rPr>
            </w:pPr>
            <w:r>
              <w:rPr>
                <w:b/>
                <w:color w:val="FFFFFF"/>
                <w:sz w:val="24"/>
              </w:rPr>
              <w:t>Asset</w:t>
            </w:r>
            <w:r>
              <w:rPr>
                <w:b/>
                <w:color w:val="FFFFFF"/>
                <w:spacing w:val="-5"/>
                <w:sz w:val="24"/>
              </w:rPr>
              <w:t> </w:t>
            </w:r>
            <w:r>
              <w:rPr>
                <w:b/>
                <w:color w:val="FFFFFF"/>
                <w:spacing w:val="-2"/>
                <w:sz w:val="24"/>
              </w:rPr>
              <w:t>Category</w:t>
            </w:r>
          </w:p>
        </w:tc>
        <w:tc>
          <w:tcPr>
            <w:tcW w:w="5386" w:type="dxa"/>
            <w:tcBorders>
              <w:top w:val="nil"/>
              <w:right w:val="nil"/>
            </w:tcBorders>
            <w:shd w:val="clear" w:color="auto" w:fill="5D6B86"/>
          </w:tcPr>
          <w:p>
            <w:pPr>
              <w:pStyle w:val="TableParagraph"/>
              <w:spacing w:line="240" w:lineRule="auto" w:before="55"/>
              <w:ind w:left="74"/>
              <w:rPr>
                <w:b/>
                <w:sz w:val="24"/>
              </w:rPr>
            </w:pPr>
            <w:r>
              <w:rPr>
                <w:b/>
                <w:color w:val="FFFFFF"/>
                <w:sz w:val="24"/>
              </w:rPr>
              <w:t>Basis</w:t>
            </w:r>
            <w:r>
              <w:rPr>
                <w:b/>
                <w:color w:val="FFFFFF"/>
                <w:spacing w:val="-5"/>
                <w:sz w:val="24"/>
              </w:rPr>
              <w:t> </w:t>
            </w:r>
            <w:r>
              <w:rPr>
                <w:b/>
                <w:color w:val="FFFFFF"/>
                <w:sz w:val="24"/>
              </w:rPr>
              <w:t>of</w:t>
            </w:r>
            <w:r>
              <w:rPr>
                <w:b/>
                <w:color w:val="FFFFFF"/>
                <w:spacing w:val="-5"/>
                <w:sz w:val="24"/>
              </w:rPr>
              <w:t> </w:t>
            </w:r>
            <w:r>
              <w:rPr>
                <w:b/>
                <w:color w:val="FFFFFF"/>
                <w:spacing w:val="-2"/>
                <w:sz w:val="24"/>
              </w:rPr>
              <w:t>Valuation</w:t>
            </w:r>
          </w:p>
        </w:tc>
      </w:tr>
      <w:tr>
        <w:trPr>
          <w:trHeight w:val="624" w:hRule="atLeast"/>
        </w:trPr>
        <w:tc>
          <w:tcPr>
            <w:tcW w:w="5386" w:type="dxa"/>
            <w:tcBorders>
              <w:left w:val="nil"/>
            </w:tcBorders>
          </w:tcPr>
          <w:p>
            <w:pPr>
              <w:pStyle w:val="TableParagraph"/>
              <w:spacing w:line="310" w:lineRule="exact"/>
              <w:ind w:left="80"/>
              <w:rPr>
                <w:sz w:val="24"/>
              </w:rPr>
            </w:pPr>
            <w:r>
              <w:rPr>
                <w:color w:val="231F20"/>
                <w:sz w:val="24"/>
              </w:rPr>
              <w:t>Property,</w:t>
            </w:r>
            <w:r>
              <w:rPr>
                <w:color w:val="231F20"/>
                <w:spacing w:val="-5"/>
                <w:sz w:val="24"/>
              </w:rPr>
              <w:t> </w:t>
            </w:r>
            <w:r>
              <w:rPr>
                <w:color w:val="231F20"/>
                <w:sz w:val="24"/>
              </w:rPr>
              <w:t>Plant</w:t>
            </w:r>
            <w:r>
              <w:rPr>
                <w:color w:val="231F20"/>
                <w:spacing w:val="-5"/>
                <w:sz w:val="24"/>
              </w:rPr>
              <w:t> </w:t>
            </w:r>
            <w:r>
              <w:rPr>
                <w:color w:val="231F20"/>
                <w:sz w:val="24"/>
              </w:rPr>
              <w:t>and</w:t>
            </w:r>
            <w:r>
              <w:rPr>
                <w:color w:val="231F20"/>
                <w:spacing w:val="-4"/>
                <w:sz w:val="24"/>
              </w:rPr>
              <w:t> </w:t>
            </w:r>
            <w:r>
              <w:rPr>
                <w:color w:val="231F20"/>
                <w:spacing w:val="-2"/>
                <w:sz w:val="24"/>
              </w:rPr>
              <w:t>Equipment</w:t>
            </w:r>
          </w:p>
        </w:tc>
        <w:tc>
          <w:tcPr>
            <w:tcW w:w="5386" w:type="dxa"/>
            <w:tcBorders>
              <w:right w:val="nil"/>
            </w:tcBorders>
          </w:tcPr>
          <w:p>
            <w:pPr>
              <w:pStyle w:val="TableParagraph"/>
              <w:spacing w:line="300" w:lineRule="exact" w:before="4"/>
              <w:ind w:left="74"/>
              <w:rPr>
                <w:sz w:val="24"/>
              </w:rPr>
            </w:pPr>
            <w:r>
              <w:rPr>
                <w:color w:val="231F20"/>
                <w:sz w:val="24"/>
              </w:rPr>
              <w:t>Fair</w:t>
            </w:r>
            <w:r>
              <w:rPr>
                <w:color w:val="231F20"/>
                <w:spacing w:val="-6"/>
                <w:sz w:val="24"/>
              </w:rPr>
              <w:t> </w:t>
            </w:r>
            <w:r>
              <w:rPr>
                <w:color w:val="231F20"/>
                <w:sz w:val="24"/>
              </w:rPr>
              <w:t>value</w:t>
            </w:r>
            <w:r>
              <w:rPr>
                <w:color w:val="231F20"/>
                <w:spacing w:val="-6"/>
                <w:sz w:val="24"/>
              </w:rPr>
              <w:t> </w:t>
            </w:r>
            <w:r>
              <w:rPr>
                <w:color w:val="231F20"/>
                <w:sz w:val="24"/>
              </w:rPr>
              <w:t>determined</w:t>
            </w:r>
            <w:r>
              <w:rPr>
                <w:color w:val="231F20"/>
                <w:spacing w:val="-6"/>
                <w:sz w:val="24"/>
              </w:rPr>
              <w:t> </w:t>
            </w:r>
            <w:r>
              <w:rPr>
                <w:color w:val="231F20"/>
                <w:sz w:val="24"/>
              </w:rPr>
              <w:t>in</w:t>
            </w:r>
            <w:r>
              <w:rPr>
                <w:color w:val="231F20"/>
                <w:spacing w:val="-7"/>
                <w:sz w:val="24"/>
              </w:rPr>
              <w:t> </w:t>
            </w:r>
            <w:r>
              <w:rPr>
                <w:color w:val="231F20"/>
                <w:sz w:val="24"/>
              </w:rPr>
              <w:t>the</w:t>
            </w:r>
            <w:r>
              <w:rPr>
                <w:color w:val="231F20"/>
                <w:spacing w:val="-6"/>
                <w:sz w:val="24"/>
              </w:rPr>
              <w:t> </w:t>
            </w:r>
            <w:r>
              <w:rPr>
                <w:color w:val="231F20"/>
                <w:sz w:val="24"/>
              </w:rPr>
              <w:t>existing</w:t>
            </w:r>
            <w:r>
              <w:rPr>
                <w:color w:val="231F20"/>
                <w:spacing w:val="-6"/>
                <w:sz w:val="24"/>
              </w:rPr>
              <w:t> </w:t>
            </w:r>
            <w:r>
              <w:rPr>
                <w:color w:val="231F20"/>
                <w:sz w:val="24"/>
              </w:rPr>
              <w:t>use</w:t>
            </w:r>
            <w:r>
              <w:rPr>
                <w:color w:val="231F20"/>
                <w:spacing w:val="-6"/>
                <w:sz w:val="24"/>
              </w:rPr>
              <w:t> </w:t>
            </w:r>
            <w:r>
              <w:rPr>
                <w:color w:val="231F20"/>
                <w:sz w:val="24"/>
              </w:rPr>
              <w:t>of</w:t>
            </w:r>
            <w:r>
              <w:rPr>
                <w:color w:val="231F20"/>
                <w:spacing w:val="-6"/>
                <w:sz w:val="24"/>
              </w:rPr>
              <w:t> </w:t>
            </w:r>
            <w:r>
              <w:rPr>
                <w:color w:val="231F20"/>
                <w:sz w:val="24"/>
              </w:rPr>
              <w:t>the </w:t>
            </w:r>
            <w:r>
              <w:rPr>
                <w:color w:val="231F20"/>
                <w:spacing w:val="-2"/>
                <w:sz w:val="24"/>
              </w:rPr>
              <w:t>asset</w:t>
            </w:r>
          </w:p>
        </w:tc>
      </w:tr>
      <w:tr>
        <w:trPr>
          <w:trHeight w:val="624" w:hRule="atLeast"/>
        </w:trPr>
        <w:tc>
          <w:tcPr>
            <w:tcW w:w="5386" w:type="dxa"/>
            <w:tcBorders>
              <w:left w:val="nil"/>
            </w:tcBorders>
            <w:shd w:val="clear" w:color="auto" w:fill="C9CBD4"/>
          </w:tcPr>
          <w:p>
            <w:pPr>
              <w:pStyle w:val="TableParagraph"/>
              <w:spacing w:line="310" w:lineRule="exact"/>
              <w:ind w:left="80"/>
              <w:rPr>
                <w:sz w:val="24"/>
              </w:rPr>
            </w:pPr>
            <w:r>
              <w:rPr>
                <w:color w:val="231F20"/>
                <w:spacing w:val="-2"/>
                <w:sz w:val="24"/>
              </w:rPr>
              <w:t>Dwellings</w:t>
            </w:r>
          </w:p>
        </w:tc>
        <w:tc>
          <w:tcPr>
            <w:tcW w:w="5386" w:type="dxa"/>
            <w:tcBorders>
              <w:right w:val="nil"/>
            </w:tcBorders>
            <w:shd w:val="clear" w:color="auto" w:fill="C9CBD4"/>
          </w:tcPr>
          <w:p>
            <w:pPr>
              <w:pStyle w:val="TableParagraph"/>
              <w:spacing w:line="300" w:lineRule="exact" w:before="4"/>
              <w:ind w:left="74"/>
              <w:rPr>
                <w:sz w:val="24"/>
              </w:rPr>
            </w:pPr>
            <w:r>
              <w:rPr>
                <w:color w:val="231F20"/>
                <w:sz w:val="24"/>
              </w:rPr>
              <w:t>Fair</w:t>
            </w:r>
            <w:r>
              <w:rPr>
                <w:color w:val="231F20"/>
                <w:spacing w:val="-6"/>
                <w:sz w:val="24"/>
              </w:rPr>
              <w:t> </w:t>
            </w:r>
            <w:r>
              <w:rPr>
                <w:color w:val="231F20"/>
                <w:sz w:val="24"/>
              </w:rPr>
              <w:t>value</w:t>
            </w:r>
            <w:r>
              <w:rPr>
                <w:color w:val="231F20"/>
                <w:spacing w:val="-6"/>
                <w:sz w:val="24"/>
              </w:rPr>
              <w:t> </w:t>
            </w:r>
            <w:r>
              <w:rPr>
                <w:color w:val="231F20"/>
                <w:sz w:val="24"/>
              </w:rPr>
              <w:t>in</w:t>
            </w:r>
            <w:r>
              <w:rPr>
                <w:color w:val="231F20"/>
                <w:spacing w:val="-7"/>
                <w:sz w:val="24"/>
              </w:rPr>
              <w:t> </w:t>
            </w:r>
            <w:r>
              <w:rPr>
                <w:color w:val="231F20"/>
                <w:sz w:val="24"/>
              </w:rPr>
              <w:t>the</w:t>
            </w:r>
            <w:r>
              <w:rPr>
                <w:color w:val="231F20"/>
                <w:spacing w:val="-6"/>
                <w:sz w:val="24"/>
              </w:rPr>
              <w:t> </w:t>
            </w:r>
            <w:r>
              <w:rPr>
                <w:color w:val="231F20"/>
                <w:sz w:val="24"/>
              </w:rPr>
              <w:t>existing</w:t>
            </w:r>
            <w:r>
              <w:rPr>
                <w:color w:val="231F20"/>
                <w:spacing w:val="-6"/>
                <w:sz w:val="24"/>
              </w:rPr>
              <w:t> </w:t>
            </w:r>
            <w:r>
              <w:rPr>
                <w:color w:val="231F20"/>
                <w:sz w:val="24"/>
              </w:rPr>
              <w:t>use</w:t>
            </w:r>
            <w:r>
              <w:rPr>
                <w:color w:val="231F20"/>
                <w:spacing w:val="-6"/>
                <w:sz w:val="24"/>
              </w:rPr>
              <w:t> </w:t>
            </w:r>
            <w:r>
              <w:rPr>
                <w:color w:val="231F20"/>
                <w:sz w:val="24"/>
              </w:rPr>
              <w:t>value</w:t>
            </w:r>
            <w:r>
              <w:rPr>
                <w:color w:val="231F20"/>
                <w:spacing w:val="-6"/>
                <w:sz w:val="24"/>
              </w:rPr>
              <w:t> </w:t>
            </w:r>
            <w:r>
              <w:rPr>
                <w:color w:val="231F20"/>
                <w:sz w:val="24"/>
              </w:rPr>
              <w:t>for</w:t>
            </w:r>
            <w:r>
              <w:rPr>
                <w:color w:val="231F20"/>
                <w:spacing w:val="-6"/>
                <w:sz w:val="24"/>
              </w:rPr>
              <w:t> </w:t>
            </w:r>
            <w:r>
              <w:rPr>
                <w:color w:val="231F20"/>
                <w:sz w:val="24"/>
              </w:rPr>
              <w:t>social </w:t>
            </w:r>
            <w:r>
              <w:rPr>
                <w:color w:val="231F20"/>
                <w:spacing w:val="-2"/>
                <w:sz w:val="24"/>
              </w:rPr>
              <w:t>housing</w:t>
            </w:r>
          </w:p>
        </w:tc>
      </w:tr>
      <w:tr>
        <w:trPr>
          <w:trHeight w:val="624" w:hRule="atLeast"/>
        </w:trPr>
        <w:tc>
          <w:tcPr>
            <w:tcW w:w="5386" w:type="dxa"/>
            <w:tcBorders>
              <w:left w:val="nil"/>
            </w:tcBorders>
          </w:tcPr>
          <w:p>
            <w:pPr>
              <w:pStyle w:val="TableParagraph"/>
              <w:spacing w:line="310" w:lineRule="exact"/>
              <w:ind w:left="80"/>
              <w:rPr>
                <w:sz w:val="24"/>
              </w:rPr>
            </w:pPr>
            <w:r>
              <w:rPr>
                <w:color w:val="231F20"/>
                <w:sz w:val="24"/>
              </w:rPr>
              <w:t>Investment</w:t>
            </w:r>
            <w:r>
              <w:rPr>
                <w:color w:val="231F20"/>
                <w:spacing w:val="-10"/>
                <w:sz w:val="24"/>
              </w:rPr>
              <w:t> </w:t>
            </w:r>
            <w:r>
              <w:rPr>
                <w:color w:val="231F20"/>
                <w:spacing w:val="-2"/>
                <w:sz w:val="24"/>
              </w:rPr>
              <w:t>Properties</w:t>
            </w:r>
          </w:p>
        </w:tc>
        <w:tc>
          <w:tcPr>
            <w:tcW w:w="5386" w:type="dxa"/>
            <w:tcBorders>
              <w:right w:val="nil"/>
            </w:tcBorders>
          </w:tcPr>
          <w:p>
            <w:pPr>
              <w:pStyle w:val="TableParagraph"/>
              <w:spacing w:line="300" w:lineRule="exact"/>
              <w:ind w:left="74"/>
              <w:rPr>
                <w:sz w:val="24"/>
              </w:rPr>
            </w:pPr>
            <w:r>
              <w:rPr>
                <w:color w:val="231F20"/>
                <w:sz w:val="24"/>
              </w:rPr>
              <w:t>Fair</w:t>
            </w:r>
            <w:r>
              <w:rPr>
                <w:color w:val="231F20"/>
                <w:spacing w:val="-3"/>
                <w:sz w:val="24"/>
              </w:rPr>
              <w:t> </w:t>
            </w:r>
            <w:r>
              <w:rPr>
                <w:color w:val="231F20"/>
                <w:sz w:val="24"/>
              </w:rPr>
              <w:t>value</w:t>
            </w:r>
            <w:r>
              <w:rPr>
                <w:color w:val="231F20"/>
                <w:spacing w:val="-3"/>
                <w:sz w:val="24"/>
              </w:rPr>
              <w:t> </w:t>
            </w:r>
            <w:r>
              <w:rPr>
                <w:color w:val="231F20"/>
                <w:sz w:val="24"/>
              </w:rPr>
              <w:t>to</w:t>
            </w:r>
            <w:r>
              <w:rPr>
                <w:color w:val="231F20"/>
                <w:spacing w:val="-2"/>
                <w:sz w:val="24"/>
              </w:rPr>
              <w:t> </w:t>
            </w:r>
            <w:r>
              <w:rPr>
                <w:color w:val="231F20"/>
                <w:sz w:val="24"/>
              </w:rPr>
              <w:t>reflect</w:t>
            </w:r>
            <w:r>
              <w:rPr>
                <w:color w:val="231F20"/>
                <w:spacing w:val="-3"/>
                <w:sz w:val="24"/>
              </w:rPr>
              <w:t> </w:t>
            </w:r>
            <w:r>
              <w:rPr>
                <w:color w:val="231F20"/>
                <w:sz w:val="24"/>
              </w:rPr>
              <w:t>market</w:t>
            </w:r>
            <w:r>
              <w:rPr>
                <w:color w:val="231F20"/>
                <w:spacing w:val="-3"/>
                <w:sz w:val="24"/>
              </w:rPr>
              <w:t> </w:t>
            </w:r>
            <w:r>
              <w:rPr>
                <w:color w:val="231F20"/>
                <w:sz w:val="24"/>
              </w:rPr>
              <w:t>conditions</w:t>
            </w:r>
            <w:r>
              <w:rPr>
                <w:color w:val="231F20"/>
                <w:spacing w:val="-3"/>
                <w:sz w:val="24"/>
              </w:rPr>
              <w:t> </w:t>
            </w:r>
            <w:r>
              <w:rPr>
                <w:color w:val="231F20"/>
                <w:sz w:val="24"/>
              </w:rPr>
              <w:t>at</w:t>
            </w:r>
            <w:r>
              <w:rPr>
                <w:color w:val="231F20"/>
                <w:spacing w:val="-3"/>
                <w:sz w:val="24"/>
              </w:rPr>
              <w:t> </w:t>
            </w:r>
            <w:r>
              <w:rPr>
                <w:color w:val="231F20"/>
                <w:sz w:val="24"/>
              </w:rPr>
              <w:t>the</w:t>
            </w:r>
            <w:r>
              <w:rPr>
                <w:color w:val="231F20"/>
                <w:spacing w:val="-2"/>
                <w:sz w:val="24"/>
              </w:rPr>
              <w:t> </w:t>
            </w:r>
            <w:r>
              <w:rPr>
                <w:color w:val="231F20"/>
                <w:spacing w:val="-5"/>
                <w:sz w:val="24"/>
              </w:rPr>
              <w:t>end</w:t>
            </w:r>
          </w:p>
          <w:p>
            <w:pPr>
              <w:pStyle w:val="TableParagraph"/>
              <w:spacing w:line="304" w:lineRule="exact"/>
              <w:ind w:left="74"/>
              <w:rPr>
                <w:sz w:val="24"/>
              </w:rPr>
            </w:pPr>
            <w:r>
              <w:rPr>
                <w:color w:val="231F20"/>
                <w:sz w:val="24"/>
              </w:rPr>
              <w:t>of the reporting </w:t>
            </w:r>
            <w:r>
              <w:rPr>
                <w:color w:val="231F20"/>
                <w:spacing w:val="-2"/>
                <w:sz w:val="24"/>
              </w:rPr>
              <w:t>period</w:t>
            </w:r>
          </w:p>
        </w:tc>
      </w:tr>
      <w:tr>
        <w:trPr>
          <w:trHeight w:val="624" w:hRule="atLeast"/>
        </w:trPr>
        <w:tc>
          <w:tcPr>
            <w:tcW w:w="5386" w:type="dxa"/>
            <w:tcBorders>
              <w:left w:val="nil"/>
            </w:tcBorders>
            <w:shd w:val="clear" w:color="auto" w:fill="C9CBD4"/>
          </w:tcPr>
          <w:p>
            <w:pPr>
              <w:pStyle w:val="TableParagraph"/>
              <w:spacing w:line="300" w:lineRule="exact" w:before="4"/>
              <w:ind w:left="80" w:right="141"/>
              <w:rPr>
                <w:sz w:val="24"/>
              </w:rPr>
            </w:pPr>
            <w:r>
              <w:rPr>
                <w:color w:val="231F20"/>
                <w:sz w:val="24"/>
              </w:rPr>
              <w:t>Infrastructure,</w:t>
            </w:r>
            <w:r>
              <w:rPr>
                <w:color w:val="231F20"/>
                <w:spacing w:val="-10"/>
                <w:sz w:val="24"/>
              </w:rPr>
              <w:t> </w:t>
            </w:r>
            <w:r>
              <w:rPr>
                <w:color w:val="231F20"/>
                <w:sz w:val="24"/>
              </w:rPr>
              <w:t>community</w:t>
            </w:r>
            <w:r>
              <w:rPr>
                <w:color w:val="231F20"/>
                <w:spacing w:val="-9"/>
                <w:sz w:val="24"/>
              </w:rPr>
              <w:t> </w:t>
            </w:r>
            <w:r>
              <w:rPr>
                <w:color w:val="231F20"/>
                <w:sz w:val="24"/>
              </w:rPr>
              <w:t>assets</w:t>
            </w:r>
            <w:r>
              <w:rPr>
                <w:color w:val="231F20"/>
                <w:spacing w:val="-9"/>
                <w:sz w:val="24"/>
              </w:rPr>
              <w:t> </w:t>
            </w:r>
            <w:r>
              <w:rPr>
                <w:color w:val="231F20"/>
                <w:sz w:val="24"/>
              </w:rPr>
              <w:t>and</w:t>
            </w:r>
            <w:r>
              <w:rPr>
                <w:color w:val="231F20"/>
                <w:spacing w:val="-9"/>
                <w:sz w:val="24"/>
              </w:rPr>
              <w:t> </w:t>
            </w:r>
            <w:r>
              <w:rPr>
                <w:color w:val="231F20"/>
                <w:sz w:val="24"/>
              </w:rPr>
              <w:t>assets under construction</w:t>
            </w:r>
          </w:p>
        </w:tc>
        <w:tc>
          <w:tcPr>
            <w:tcW w:w="5386" w:type="dxa"/>
            <w:tcBorders>
              <w:right w:val="nil"/>
            </w:tcBorders>
            <w:shd w:val="clear" w:color="auto" w:fill="C9CBD4"/>
          </w:tcPr>
          <w:p>
            <w:pPr>
              <w:pStyle w:val="TableParagraph"/>
              <w:spacing w:line="300" w:lineRule="exact" w:before="4"/>
              <w:ind w:left="74"/>
              <w:rPr>
                <w:sz w:val="24"/>
              </w:rPr>
            </w:pPr>
            <w:r>
              <w:rPr>
                <w:color w:val="231F20"/>
                <w:sz w:val="24"/>
              </w:rPr>
              <w:t>Depreciated</w:t>
            </w:r>
            <w:r>
              <w:rPr>
                <w:color w:val="231F20"/>
                <w:spacing w:val="-7"/>
                <w:sz w:val="24"/>
              </w:rPr>
              <w:t> </w:t>
            </w:r>
            <w:r>
              <w:rPr>
                <w:color w:val="231F20"/>
                <w:sz w:val="24"/>
              </w:rPr>
              <w:t>historic</w:t>
            </w:r>
            <w:r>
              <w:rPr>
                <w:color w:val="231F20"/>
                <w:spacing w:val="-6"/>
                <w:sz w:val="24"/>
              </w:rPr>
              <w:t> </w:t>
            </w:r>
            <w:r>
              <w:rPr>
                <w:color w:val="231F20"/>
                <w:sz w:val="24"/>
              </w:rPr>
              <w:t>cost</w:t>
            </w:r>
            <w:r>
              <w:rPr>
                <w:color w:val="231F20"/>
                <w:spacing w:val="-6"/>
                <w:sz w:val="24"/>
              </w:rPr>
              <w:t> </w:t>
            </w:r>
            <w:r>
              <w:rPr>
                <w:color w:val="231F20"/>
                <w:sz w:val="24"/>
              </w:rPr>
              <w:t>once</w:t>
            </w:r>
            <w:r>
              <w:rPr>
                <w:color w:val="231F20"/>
                <w:spacing w:val="-6"/>
                <w:sz w:val="24"/>
              </w:rPr>
              <w:t> </w:t>
            </w:r>
            <w:r>
              <w:rPr>
                <w:color w:val="231F20"/>
                <w:sz w:val="24"/>
              </w:rPr>
              <w:t>the</w:t>
            </w:r>
            <w:r>
              <w:rPr>
                <w:color w:val="231F20"/>
                <w:spacing w:val="-6"/>
                <w:sz w:val="24"/>
              </w:rPr>
              <w:t> </w:t>
            </w:r>
            <w:r>
              <w:rPr>
                <w:color w:val="231F20"/>
                <w:sz w:val="24"/>
              </w:rPr>
              <w:t>asset</w:t>
            </w:r>
            <w:r>
              <w:rPr>
                <w:color w:val="231F20"/>
                <w:spacing w:val="-6"/>
                <w:sz w:val="24"/>
              </w:rPr>
              <w:t> </w:t>
            </w:r>
            <w:r>
              <w:rPr>
                <w:color w:val="231F20"/>
                <w:sz w:val="24"/>
              </w:rPr>
              <w:t>becomes </w:t>
            </w:r>
            <w:r>
              <w:rPr>
                <w:color w:val="231F20"/>
                <w:spacing w:val="-2"/>
                <w:sz w:val="24"/>
              </w:rPr>
              <w:t>operational</w:t>
            </w:r>
          </w:p>
        </w:tc>
      </w:tr>
    </w:tbl>
    <w:p>
      <w:pPr>
        <w:spacing w:after="0" w:line="300" w:lineRule="exact"/>
        <w:rPr>
          <w:sz w:val="24"/>
        </w:rPr>
        <w:sectPr>
          <w:type w:val="continuous"/>
          <w:pgSz w:w="11910" w:h="16840"/>
          <w:pgMar w:header="377" w:footer="367" w:top="260" w:bottom="0" w:left="0" w:right="0"/>
        </w:sectPr>
      </w:pPr>
    </w:p>
    <w:p>
      <w:pPr>
        <w:pStyle w:val="BodyText"/>
        <w:rPr>
          <w:sz w:val="28"/>
        </w:rPr>
      </w:pPr>
    </w:p>
    <w:p>
      <w:pPr>
        <w:spacing w:after="0"/>
        <w:rPr>
          <w:sz w:val="28"/>
        </w:rPr>
        <w:sectPr>
          <w:pgSz w:w="11910" w:h="16840"/>
          <w:pgMar w:header="377" w:footer="367" w:top="560" w:bottom="560" w:left="0" w:right="0"/>
        </w:sectPr>
      </w:pPr>
    </w:p>
    <w:p>
      <w:pPr>
        <w:pStyle w:val="BodyText"/>
        <w:spacing w:line="310" w:lineRule="exact" w:before="100"/>
        <w:ind w:left="566"/>
      </w:pPr>
      <w:r>
        <w:rPr>
          <w:color w:val="231F20"/>
        </w:rPr>
        <w:t>Where</w:t>
      </w:r>
      <w:r>
        <w:rPr>
          <w:color w:val="231F20"/>
          <w:spacing w:val="-3"/>
        </w:rPr>
        <w:t> </w:t>
      </w:r>
      <w:r>
        <w:rPr>
          <w:color w:val="231F20"/>
        </w:rPr>
        <w:t>there</w:t>
      </w:r>
      <w:r>
        <w:rPr>
          <w:color w:val="231F20"/>
          <w:spacing w:val="-1"/>
        </w:rPr>
        <w:t> </w:t>
      </w:r>
      <w:r>
        <w:rPr>
          <w:color w:val="231F20"/>
        </w:rPr>
        <w:t>is</w:t>
      </w:r>
      <w:r>
        <w:rPr>
          <w:color w:val="231F20"/>
          <w:spacing w:val="-3"/>
        </w:rPr>
        <w:t> </w:t>
      </w:r>
      <w:r>
        <w:rPr>
          <w:color w:val="231F20"/>
        </w:rPr>
        <w:t>no</w:t>
      </w:r>
      <w:r>
        <w:rPr>
          <w:color w:val="231F20"/>
          <w:spacing w:val="-1"/>
        </w:rPr>
        <w:t> </w:t>
      </w:r>
      <w:r>
        <w:rPr>
          <w:color w:val="231F20"/>
        </w:rPr>
        <w:t>market</w:t>
      </w:r>
      <w:r>
        <w:rPr>
          <w:color w:val="231F20"/>
          <w:spacing w:val="-3"/>
        </w:rPr>
        <w:t> </w:t>
      </w:r>
      <w:r>
        <w:rPr>
          <w:color w:val="231F20"/>
        </w:rPr>
        <w:t>based</w:t>
      </w:r>
      <w:r>
        <w:rPr>
          <w:color w:val="231F20"/>
          <w:spacing w:val="-1"/>
        </w:rPr>
        <w:t> </w:t>
      </w:r>
      <w:r>
        <w:rPr>
          <w:color w:val="231F20"/>
        </w:rPr>
        <w:t>evidence</w:t>
      </w:r>
      <w:r>
        <w:rPr>
          <w:color w:val="231F20"/>
          <w:spacing w:val="-1"/>
        </w:rPr>
        <w:t> </w:t>
      </w:r>
      <w:r>
        <w:rPr>
          <w:color w:val="231F20"/>
          <w:spacing w:val="-5"/>
        </w:rPr>
        <w:t>of</w:t>
      </w:r>
    </w:p>
    <w:p>
      <w:pPr>
        <w:pStyle w:val="BodyText"/>
        <w:spacing w:line="225" w:lineRule="auto" w:before="6"/>
        <w:ind w:left="566"/>
      </w:pPr>
      <w:r>
        <w:rPr>
          <w:color w:val="231F20"/>
        </w:rPr>
        <w:t>fair value because of the specialist nature of an asset,</w:t>
      </w:r>
      <w:r>
        <w:rPr>
          <w:color w:val="231F20"/>
          <w:spacing w:val="-5"/>
        </w:rPr>
        <w:t> </w:t>
      </w:r>
      <w:r>
        <w:rPr>
          <w:color w:val="231F20"/>
        </w:rPr>
        <w:t>depreciated</w:t>
      </w:r>
      <w:r>
        <w:rPr>
          <w:color w:val="231F20"/>
          <w:spacing w:val="-5"/>
        </w:rPr>
        <w:t> </w:t>
      </w:r>
      <w:r>
        <w:rPr>
          <w:color w:val="231F20"/>
        </w:rPr>
        <w:t>replacement</w:t>
      </w:r>
      <w:r>
        <w:rPr>
          <w:color w:val="231F20"/>
          <w:spacing w:val="-5"/>
        </w:rPr>
        <w:t> </w:t>
      </w:r>
      <w:r>
        <w:rPr>
          <w:color w:val="231F20"/>
        </w:rPr>
        <w:t>cost</w:t>
      </w:r>
      <w:r>
        <w:rPr>
          <w:color w:val="231F20"/>
          <w:spacing w:val="-5"/>
        </w:rPr>
        <w:t> </w:t>
      </w:r>
      <w:r>
        <w:rPr>
          <w:color w:val="231F20"/>
        </w:rPr>
        <w:t>is</w:t>
      </w:r>
      <w:r>
        <w:rPr>
          <w:color w:val="231F20"/>
          <w:spacing w:val="-6"/>
        </w:rPr>
        <w:t> </w:t>
      </w:r>
      <w:r>
        <w:rPr>
          <w:color w:val="231F20"/>
        </w:rPr>
        <w:t>used</w:t>
      </w:r>
      <w:r>
        <w:rPr>
          <w:color w:val="231F20"/>
          <w:spacing w:val="-5"/>
        </w:rPr>
        <w:t> </w:t>
      </w:r>
      <w:r>
        <w:rPr>
          <w:color w:val="231F20"/>
        </w:rPr>
        <w:t>as</w:t>
      </w:r>
      <w:r>
        <w:rPr>
          <w:color w:val="231F20"/>
          <w:spacing w:val="-5"/>
        </w:rPr>
        <w:t> </w:t>
      </w:r>
      <w:r>
        <w:rPr>
          <w:color w:val="231F20"/>
        </w:rPr>
        <w:t>an estimate</w:t>
      </w:r>
      <w:r>
        <w:rPr>
          <w:color w:val="231F20"/>
          <w:spacing w:val="-1"/>
        </w:rPr>
        <w:t> </w:t>
      </w:r>
      <w:r>
        <w:rPr>
          <w:color w:val="231F20"/>
        </w:rPr>
        <w:t>for</w:t>
      </w:r>
      <w:r>
        <w:rPr>
          <w:color w:val="231F20"/>
          <w:spacing w:val="-1"/>
        </w:rPr>
        <w:t> </w:t>
      </w:r>
      <w:r>
        <w:rPr>
          <w:color w:val="231F20"/>
        </w:rPr>
        <w:t>fair</w:t>
      </w:r>
      <w:r>
        <w:rPr>
          <w:color w:val="231F20"/>
          <w:spacing w:val="-1"/>
        </w:rPr>
        <w:t> </w:t>
      </w:r>
      <w:r>
        <w:rPr>
          <w:color w:val="231F20"/>
        </w:rPr>
        <w:t>value.</w:t>
      </w:r>
      <w:r>
        <w:rPr>
          <w:color w:val="231F20"/>
          <w:spacing w:val="-1"/>
        </w:rPr>
        <w:t> </w:t>
      </w:r>
      <w:r>
        <w:rPr>
          <w:color w:val="231F20"/>
        </w:rPr>
        <w:t>Where</w:t>
      </w:r>
      <w:r>
        <w:rPr>
          <w:color w:val="231F20"/>
          <w:spacing w:val="-2"/>
        </w:rPr>
        <w:t> </w:t>
      </w:r>
      <w:r>
        <w:rPr>
          <w:color w:val="231F20"/>
        </w:rPr>
        <w:t>assets</w:t>
      </w:r>
      <w:r>
        <w:rPr>
          <w:color w:val="231F20"/>
          <w:spacing w:val="-1"/>
        </w:rPr>
        <w:t> </w:t>
      </w:r>
      <w:r>
        <w:rPr>
          <w:color w:val="231F20"/>
        </w:rPr>
        <w:t>have</w:t>
      </w:r>
      <w:r>
        <w:rPr>
          <w:color w:val="231F20"/>
          <w:spacing w:val="-1"/>
        </w:rPr>
        <w:t> </w:t>
      </w:r>
      <w:r>
        <w:rPr>
          <w:color w:val="231F20"/>
        </w:rPr>
        <w:t>a</w:t>
      </w:r>
      <w:r>
        <w:rPr>
          <w:color w:val="231F20"/>
          <w:spacing w:val="-1"/>
        </w:rPr>
        <w:t> </w:t>
      </w:r>
      <w:r>
        <w:rPr>
          <w:color w:val="231F20"/>
        </w:rPr>
        <w:t>short useful</w:t>
      </w:r>
      <w:r>
        <w:rPr>
          <w:color w:val="231F20"/>
          <w:spacing w:val="-4"/>
        </w:rPr>
        <w:t> </w:t>
      </w:r>
      <w:r>
        <w:rPr>
          <w:color w:val="231F20"/>
        </w:rPr>
        <w:t>life</w:t>
      </w:r>
      <w:r>
        <w:rPr>
          <w:color w:val="231F20"/>
          <w:spacing w:val="-5"/>
        </w:rPr>
        <w:t> </w:t>
      </w:r>
      <w:r>
        <w:rPr>
          <w:color w:val="231F20"/>
        </w:rPr>
        <w:t>then</w:t>
      </w:r>
      <w:r>
        <w:rPr>
          <w:color w:val="231F20"/>
          <w:spacing w:val="-4"/>
        </w:rPr>
        <w:t> </w:t>
      </w:r>
      <w:r>
        <w:rPr>
          <w:color w:val="231F20"/>
        </w:rPr>
        <w:t>depreciated</w:t>
      </w:r>
      <w:r>
        <w:rPr>
          <w:color w:val="231F20"/>
          <w:spacing w:val="-4"/>
        </w:rPr>
        <w:t> </w:t>
      </w:r>
      <w:r>
        <w:rPr>
          <w:color w:val="231F20"/>
        </w:rPr>
        <w:t>historical</w:t>
      </w:r>
      <w:r>
        <w:rPr>
          <w:color w:val="231F20"/>
          <w:spacing w:val="-4"/>
        </w:rPr>
        <w:t> </w:t>
      </w:r>
      <w:r>
        <w:rPr>
          <w:color w:val="231F20"/>
        </w:rPr>
        <w:t>cost</w:t>
      </w:r>
      <w:r>
        <w:rPr>
          <w:color w:val="231F20"/>
          <w:spacing w:val="-4"/>
        </w:rPr>
        <w:t> </w:t>
      </w:r>
      <w:r>
        <w:rPr>
          <w:color w:val="231F20"/>
        </w:rPr>
        <w:t>is</w:t>
      </w:r>
      <w:r>
        <w:rPr>
          <w:color w:val="231F20"/>
          <w:spacing w:val="-5"/>
        </w:rPr>
        <w:t> </w:t>
      </w:r>
      <w:r>
        <w:rPr>
          <w:color w:val="231F20"/>
        </w:rPr>
        <w:t>used as a proxy for fair value.</w:t>
      </w:r>
    </w:p>
    <w:p>
      <w:pPr>
        <w:pStyle w:val="BodyText"/>
        <w:spacing w:before="7"/>
        <w:rPr>
          <w:sz w:val="22"/>
        </w:rPr>
      </w:pPr>
    </w:p>
    <w:p>
      <w:pPr>
        <w:pStyle w:val="BodyText"/>
        <w:spacing w:line="225" w:lineRule="auto"/>
        <w:ind w:left="566" w:right="117"/>
      </w:pPr>
      <w:r>
        <w:rPr>
          <w:color w:val="231F20"/>
        </w:rPr>
        <w:t>Assets</w:t>
      </w:r>
      <w:r>
        <w:rPr>
          <w:color w:val="231F20"/>
          <w:spacing w:val="-5"/>
        </w:rPr>
        <w:t> </w:t>
      </w:r>
      <w:r>
        <w:rPr>
          <w:color w:val="231F20"/>
        </w:rPr>
        <w:t>included</w:t>
      </w:r>
      <w:r>
        <w:rPr>
          <w:color w:val="231F20"/>
          <w:spacing w:val="-6"/>
        </w:rPr>
        <w:t> </w:t>
      </w:r>
      <w:r>
        <w:rPr>
          <w:color w:val="231F20"/>
        </w:rPr>
        <w:t>in</w:t>
      </w:r>
      <w:r>
        <w:rPr>
          <w:color w:val="231F20"/>
          <w:spacing w:val="-6"/>
        </w:rPr>
        <w:t> </w:t>
      </w:r>
      <w:r>
        <w:rPr>
          <w:color w:val="231F20"/>
        </w:rPr>
        <w:t>the</w:t>
      </w:r>
      <w:r>
        <w:rPr>
          <w:color w:val="231F20"/>
          <w:spacing w:val="-5"/>
        </w:rPr>
        <w:t> </w:t>
      </w:r>
      <w:r>
        <w:rPr>
          <w:color w:val="231F20"/>
        </w:rPr>
        <w:t>Balance</w:t>
      </w:r>
      <w:r>
        <w:rPr>
          <w:color w:val="231F20"/>
          <w:spacing w:val="-6"/>
        </w:rPr>
        <w:t> </w:t>
      </w:r>
      <w:r>
        <w:rPr>
          <w:color w:val="231F20"/>
        </w:rPr>
        <w:t>Sheet</w:t>
      </w:r>
      <w:r>
        <w:rPr>
          <w:color w:val="231F20"/>
          <w:spacing w:val="-6"/>
        </w:rPr>
        <w:t> </w:t>
      </w:r>
      <w:r>
        <w:rPr>
          <w:color w:val="231F20"/>
        </w:rPr>
        <w:t>at</w:t>
      </w:r>
      <w:r>
        <w:rPr>
          <w:color w:val="231F20"/>
          <w:spacing w:val="-5"/>
        </w:rPr>
        <w:t> </w:t>
      </w:r>
      <w:r>
        <w:rPr>
          <w:color w:val="231F20"/>
        </w:rPr>
        <w:t>fair</w:t>
      </w:r>
      <w:r>
        <w:rPr>
          <w:color w:val="231F20"/>
          <w:spacing w:val="-5"/>
        </w:rPr>
        <w:t> </w:t>
      </w:r>
      <w:r>
        <w:rPr>
          <w:color w:val="231F20"/>
        </w:rPr>
        <w:t>value are re-valued where there have been material changes in their value, but as a minimum every</w:t>
      </w:r>
      <w:r>
        <w:rPr>
          <w:color w:val="231F20"/>
          <w:spacing w:val="40"/>
        </w:rPr>
        <w:t> </w:t>
      </w:r>
      <w:r>
        <w:rPr>
          <w:color w:val="231F20"/>
        </w:rPr>
        <w:t>5 years. The Council’s housing stock is re-valued annually by applying an appropriate housing price index to a series of beacon values at the start of the financial year.</w:t>
      </w:r>
    </w:p>
    <w:p>
      <w:pPr>
        <w:pStyle w:val="BodyText"/>
        <w:spacing w:before="7"/>
        <w:rPr>
          <w:sz w:val="22"/>
        </w:rPr>
      </w:pPr>
    </w:p>
    <w:p>
      <w:pPr>
        <w:pStyle w:val="BodyText"/>
        <w:spacing w:line="225" w:lineRule="auto"/>
        <w:ind w:left="566"/>
      </w:pPr>
      <w:r>
        <w:rPr>
          <w:color w:val="231F20"/>
        </w:rPr>
        <w:t>Increases</w:t>
      </w:r>
      <w:r>
        <w:rPr>
          <w:color w:val="231F20"/>
          <w:spacing w:val="-4"/>
        </w:rPr>
        <w:t> </w:t>
      </w:r>
      <w:r>
        <w:rPr>
          <w:color w:val="231F20"/>
        </w:rPr>
        <w:t>in</w:t>
      </w:r>
      <w:r>
        <w:rPr>
          <w:color w:val="231F20"/>
          <w:spacing w:val="-4"/>
        </w:rPr>
        <w:t> </w:t>
      </w:r>
      <w:r>
        <w:rPr>
          <w:color w:val="231F20"/>
        </w:rPr>
        <w:t>valuations</w:t>
      </w:r>
      <w:r>
        <w:rPr>
          <w:color w:val="231F20"/>
          <w:spacing w:val="-3"/>
        </w:rPr>
        <w:t> </w:t>
      </w:r>
      <w:r>
        <w:rPr>
          <w:color w:val="231F20"/>
        </w:rPr>
        <w:t>are</w:t>
      </w:r>
      <w:r>
        <w:rPr>
          <w:color w:val="231F20"/>
          <w:spacing w:val="-3"/>
        </w:rPr>
        <w:t> </w:t>
      </w:r>
      <w:r>
        <w:rPr>
          <w:color w:val="231F20"/>
        </w:rPr>
        <w:t>matched</w:t>
      </w:r>
      <w:r>
        <w:rPr>
          <w:color w:val="231F20"/>
          <w:spacing w:val="-4"/>
        </w:rPr>
        <w:t> </w:t>
      </w:r>
      <w:r>
        <w:rPr>
          <w:color w:val="231F20"/>
        </w:rPr>
        <w:t>by</w:t>
      </w:r>
      <w:r>
        <w:rPr>
          <w:color w:val="231F20"/>
          <w:spacing w:val="-3"/>
        </w:rPr>
        <w:t> </w:t>
      </w:r>
      <w:r>
        <w:rPr>
          <w:color w:val="231F20"/>
        </w:rPr>
        <w:t>a</w:t>
      </w:r>
      <w:r>
        <w:rPr>
          <w:color w:val="231F20"/>
          <w:spacing w:val="-3"/>
        </w:rPr>
        <w:t> </w:t>
      </w:r>
      <w:r>
        <w:rPr>
          <w:color w:val="231F20"/>
        </w:rPr>
        <w:t>credit</w:t>
      </w:r>
      <w:r>
        <w:rPr>
          <w:color w:val="231F20"/>
          <w:spacing w:val="-3"/>
        </w:rPr>
        <w:t> </w:t>
      </w:r>
      <w:r>
        <w:rPr>
          <w:color w:val="231F20"/>
        </w:rPr>
        <w:t>to the Revaluation Reserve to recognise unrealised gains. Exceptionally, gains might be credited to the Income and Expenditure Statement where they</w:t>
      </w:r>
      <w:r>
        <w:rPr>
          <w:color w:val="231F20"/>
          <w:spacing w:val="-5"/>
        </w:rPr>
        <w:t> </w:t>
      </w:r>
      <w:r>
        <w:rPr>
          <w:color w:val="231F20"/>
        </w:rPr>
        <w:t>arise</w:t>
      </w:r>
      <w:r>
        <w:rPr>
          <w:color w:val="231F20"/>
          <w:spacing w:val="-5"/>
        </w:rPr>
        <w:t> </w:t>
      </w:r>
      <w:r>
        <w:rPr>
          <w:color w:val="231F20"/>
        </w:rPr>
        <w:t>from</w:t>
      </w:r>
      <w:r>
        <w:rPr>
          <w:color w:val="231F20"/>
          <w:spacing w:val="-5"/>
        </w:rPr>
        <w:t> </w:t>
      </w:r>
      <w:r>
        <w:rPr>
          <w:color w:val="231F20"/>
        </w:rPr>
        <w:t>the</w:t>
      </w:r>
      <w:r>
        <w:rPr>
          <w:color w:val="231F20"/>
          <w:spacing w:val="-5"/>
        </w:rPr>
        <w:t> </w:t>
      </w:r>
      <w:r>
        <w:rPr>
          <w:color w:val="231F20"/>
        </w:rPr>
        <w:t>reversal</w:t>
      </w:r>
      <w:r>
        <w:rPr>
          <w:color w:val="231F20"/>
          <w:spacing w:val="-5"/>
        </w:rPr>
        <w:t> </w:t>
      </w:r>
      <w:r>
        <w:rPr>
          <w:color w:val="231F20"/>
        </w:rPr>
        <w:t>of</w:t>
      </w:r>
      <w:r>
        <w:rPr>
          <w:color w:val="231F20"/>
          <w:spacing w:val="-5"/>
        </w:rPr>
        <w:t> </w:t>
      </w:r>
      <w:r>
        <w:rPr>
          <w:color w:val="231F20"/>
        </w:rPr>
        <w:t>an</w:t>
      </w:r>
      <w:r>
        <w:rPr>
          <w:color w:val="231F20"/>
          <w:spacing w:val="-5"/>
        </w:rPr>
        <w:t> </w:t>
      </w:r>
      <w:r>
        <w:rPr>
          <w:color w:val="231F20"/>
        </w:rPr>
        <w:t>impairment</w:t>
      </w:r>
      <w:r>
        <w:rPr>
          <w:color w:val="231F20"/>
          <w:spacing w:val="-6"/>
        </w:rPr>
        <w:t> </w:t>
      </w:r>
      <w:r>
        <w:rPr>
          <w:color w:val="231F20"/>
        </w:rPr>
        <w:t>loss previously charged to a service revenue account.</w:t>
      </w:r>
    </w:p>
    <w:p>
      <w:pPr>
        <w:pStyle w:val="BodyText"/>
        <w:spacing w:before="7"/>
        <w:rPr>
          <w:sz w:val="22"/>
        </w:rPr>
      </w:pPr>
    </w:p>
    <w:p>
      <w:pPr>
        <w:pStyle w:val="BodyText"/>
        <w:spacing w:line="225" w:lineRule="auto"/>
        <w:ind w:left="566" w:right="247"/>
      </w:pPr>
      <w:r>
        <w:rPr>
          <w:color w:val="231F20"/>
        </w:rPr>
        <w:t>Where decreases in value are identified they are</w:t>
      </w:r>
      <w:r>
        <w:rPr>
          <w:color w:val="231F20"/>
          <w:spacing w:val="-5"/>
        </w:rPr>
        <w:t> </w:t>
      </w:r>
      <w:r>
        <w:rPr>
          <w:color w:val="231F20"/>
        </w:rPr>
        <w:t>accounted</w:t>
      </w:r>
      <w:r>
        <w:rPr>
          <w:color w:val="231F20"/>
          <w:spacing w:val="-5"/>
        </w:rPr>
        <w:t> </w:t>
      </w:r>
      <w:r>
        <w:rPr>
          <w:color w:val="231F20"/>
        </w:rPr>
        <w:t>for</w:t>
      </w:r>
      <w:r>
        <w:rPr>
          <w:color w:val="231F20"/>
          <w:spacing w:val="-5"/>
        </w:rPr>
        <w:t> </w:t>
      </w:r>
      <w:r>
        <w:rPr>
          <w:color w:val="231F20"/>
        </w:rPr>
        <w:t>by</w:t>
      </w:r>
      <w:r>
        <w:rPr>
          <w:color w:val="231F20"/>
          <w:spacing w:val="-5"/>
        </w:rPr>
        <w:t> </w:t>
      </w:r>
      <w:r>
        <w:rPr>
          <w:color w:val="231F20"/>
        </w:rPr>
        <w:t>a</w:t>
      </w:r>
      <w:r>
        <w:rPr>
          <w:color w:val="231F20"/>
          <w:spacing w:val="-5"/>
        </w:rPr>
        <w:t> </w:t>
      </w:r>
      <w:r>
        <w:rPr>
          <w:color w:val="231F20"/>
        </w:rPr>
        <w:t>debit</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Revaluation Reserve</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extent</w:t>
      </w:r>
      <w:r>
        <w:rPr>
          <w:color w:val="231F20"/>
          <w:spacing w:val="-6"/>
        </w:rPr>
        <w:t> </w:t>
      </w:r>
      <w:r>
        <w:rPr>
          <w:color w:val="231F20"/>
        </w:rPr>
        <w:t>that</w:t>
      </w:r>
      <w:r>
        <w:rPr>
          <w:color w:val="231F20"/>
          <w:spacing w:val="-6"/>
        </w:rPr>
        <w:t> </w:t>
      </w:r>
      <w:r>
        <w:rPr>
          <w:color w:val="231F20"/>
        </w:rPr>
        <w:t>an</w:t>
      </w:r>
      <w:r>
        <w:rPr>
          <w:color w:val="231F20"/>
          <w:spacing w:val="-6"/>
        </w:rPr>
        <w:t> </w:t>
      </w:r>
      <w:r>
        <w:rPr>
          <w:color w:val="231F20"/>
        </w:rPr>
        <w:t>accumulated</w:t>
      </w:r>
      <w:r>
        <w:rPr>
          <w:color w:val="231F20"/>
          <w:spacing w:val="-6"/>
        </w:rPr>
        <w:t> </w:t>
      </w:r>
      <w:r>
        <w:rPr>
          <w:color w:val="231F20"/>
        </w:rPr>
        <w:t>gain has been recorded against that asset; where there is no balance or an insufficient balance on the revaluation reserve for that asset the</w:t>
      </w:r>
    </w:p>
    <w:p>
      <w:pPr>
        <w:pStyle w:val="BodyText"/>
        <w:spacing w:line="225" w:lineRule="auto"/>
        <w:ind w:left="566"/>
      </w:pPr>
      <w:r>
        <w:rPr>
          <w:color w:val="231F20"/>
        </w:rPr>
        <w:t>write</w:t>
      </w:r>
      <w:r>
        <w:rPr>
          <w:color w:val="231F20"/>
          <w:spacing w:val="-5"/>
        </w:rPr>
        <w:t> </w:t>
      </w:r>
      <w:r>
        <w:rPr>
          <w:color w:val="231F20"/>
        </w:rPr>
        <w:t>down</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asset</w:t>
      </w:r>
      <w:r>
        <w:rPr>
          <w:color w:val="231F20"/>
          <w:spacing w:val="-5"/>
        </w:rPr>
        <w:t> </w:t>
      </w:r>
      <w:r>
        <w:rPr>
          <w:color w:val="231F20"/>
        </w:rPr>
        <w:t>value</w:t>
      </w:r>
      <w:r>
        <w:rPr>
          <w:color w:val="231F20"/>
          <w:spacing w:val="-5"/>
        </w:rPr>
        <w:t> </w:t>
      </w:r>
      <w:r>
        <w:rPr>
          <w:color w:val="231F20"/>
        </w:rPr>
        <w:t>is</w:t>
      </w:r>
      <w:r>
        <w:rPr>
          <w:color w:val="231F20"/>
          <w:spacing w:val="-6"/>
        </w:rPr>
        <w:t> </w:t>
      </w:r>
      <w:r>
        <w:rPr>
          <w:color w:val="231F20"/>
        </w:rPr>
        <w:t>charged</w:t>
      </w:r>
      <w:r>
        <w:rPr>
          <w:color w:val="231F20"/>
          <w:spacing w:val="-5"/>
        </w:rPr>
        <w:t> </w:t>
      </w:r>
      <w:r>
        <w:rPr>
          <w:color w:val="231F20"/>
        </w:rPr>
        <w:t>against the relevant service within the Comprehensive Income and Expenditure Statement.</w:t>
      </w:r>
    </w:p>
    <w:p>
      <w:pPr>
        <w:pStyle w:val="BodyText"/>
        <w:spacing w:before="6"/>
        <w:rPr>
          <w:sz w:val="22"/>
        </w:rPr>
      </w:pPr>
    </w:p>
    <w:p>
      <w:pPr>
        <w:pStyle w:val="BodyText"/>
        <w:spacing w:line="225" w:lineRule="auto" w:before="1"/>
        <w:ind w:left="566"/>
      </w:pPr>
      <w:r>
        <w:rPr>
          <w:color w:val="231F20"/>
        </w:rPr>
        <w:t>The Revaluation Reserve contains revaluation gains recognised since 1st April 2007 only, the date of its formal implementation. Revaluations are recorded by individual asset. Gains arising before</w:t>
      </w:r>
      <w:r>
        <w:rPr>
          <w:color w:val="231F20"/>
          <w:spacing w:val="-5"/>
        </w:rPr>
        <w:t> </w:t>
      </w:r>
      <w:r>
        <w:rPr>
          <w:color w:val="231F20"/>
        </w:rPr>
        <w:t>that</w:t>
      </w:r>
      <w:r>
        <w:rPr>
          <w:color w:val="231F20"/>
          <w:spacing w:val="-5"/>
        </w:rPr>
        <w:t> </w:t>
      </w:r>
      <w:r>
        <w:rPr>
          <w:color w:val="231F20"/>
        </w:rPr>
        <w:t>date</w:t>
      </w:r>
      <w:r>
        <w:rPr>
          <w:color w:val="231F20"/>
          <w:spacing w:val="-5"/>
        </w:rPr>
        <w:t> </w:t>
      </w:r>
      <w:r>
        <w:rPr>
          <w:color w:val="231F20"/>
        </w:rPr>
        <w:t>have</w:t>
      </w:r>
      <w:r>
        <w:rPr>
          <w:color w:val="231F20"/>
          <w:spacing w:val="-5"/>
        </w:rPr>
        <w:t> </w:t>
      </w:r>
      <w:r>
        <w:rPr>
          <w:color w:val="231F20"/>
        </w:rPr>
        <w:t>been</w:t>
      </w:r>
      <w:r>
        <w:rPr>
          <w:color w:val="231F20"/>
          <w:spacing w:val="-5"/>
        </w:rPr>
        <w:t> </w:t>
      </w:r>
      <w:r>
        <w:rPr>
          <w:color w:val="231F20"/>
        </w:rPr>
        <w:t>consolidated</w:t>
      </w:r>
      <w:r>
        <w:rPr>
          <w:color w:val="231F20"/>
          <w:spacing w:val="-5"/>
        </w:rPr>
        <w:t> </w:t>
      </w:r>
      <w:r>
        <w:rPr>
          <w:color w:val="231F20"/>
        </w:rPr>
        <w:t>into</w:t>
      </w:r>
      <w:r>
        <w:rPr>
          <w:color w:val="231F20"/>
          <w:spacing w:val="-6"/>
        </w:rPr>
        <w:t> </w:t>
      </w:r>
      <w:r>
        <w:rPr>
          <w:color w:val="231F20"/>
        </w:rPr>
        <w:t>the Capital Adjustment Account.</w:t>
      </w:r>
    </w:p>
    <w:p>
      <w:pPr>
        <w:pStyle w:val="BodyText"/>
        <w:spacing w:before="6"/>
        <w:rPr>
          <w:sz w:val="22"/>
        </w:rPr>
      </w:pPr>
    </w:p>
    <w:p>
      <w:pPr>
        <w:pStyle w:val="BodyText"/>
        <w:spacing w:line="225" w:lineRule="auto" w:before="1"/>
        <w:ind w:left="566" w:right="397"/>
      </w:pPr>
      <w:r>
        <w:rPr>
          <w:color w:val="231F20"/>
        </w:rPr>
        <w:t>Costs of dismantling assets such as roofs, windows and heating systems in Council Dwellings are included in the costs paid to</w:t>
      </w:r>
      <w:r>
        <w:rPr>
          <w:color w:val="231F20"/>
          <w:spacing w:val="40"/>
        </w:rPr>
        <w:t> </w:t>
      </w:r>
      <w:r>
        <w:rPr>
          <w:color w:val="231F20"/>
        </w:rPr>
        <w:t>the main contractor. The main contractor is responsible</w:t>
      </w:r>
      <w:r>
        <w:rPr>
          <w:color w:val="231F20"/>
          <w:spacing w:val="-6"/>
        </w:rPr>
        <w:t> </w:t>
      </w:r>
      <w:r>
        <w:rPr>
          <w:color w:val="231F20"/>
        </w:rPr>
        <w:t>for</w:t>
      </w:r>
      <w:r>
        <w:rPr>
          <w:color w:val="231F20"/>
          <w:spacing w:val="-6"/>
        </w:rPr>
        <w:t> </w:t>
      </w:r>
      <w:r>
        <w:rPr>
          <w:color w:val="231F20"/>
        </w:rPr>
        <w:t>the</w:t>
      </w:r>
      <w:r>
        <w:rPr>
          <w:color w:val="231F20"/>
          <w:spacing w:val="-6"/>
        </w:rPr>
        <w:t> </w:t>
      </w:r>
      <w:r>
        <w:rPr>
          <w:color w:val="231F20"/>
        </w:rPr>
        <w:t>disposal</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dismantled</w:t>
      </w:r>
    </w:p>
    <w:p>
      <w:pPr>
        <w:pStyle w:val="BodyText"/>
        <w:spacing w:line="225" w:lineRule="auto"/>
        <w:ind w:left="566"/>
      </w:pPr>
      <w:r>
        <w:rPr>
          <w:color w:val="231F20"/>
        </w:rPr>
        <w:t>assets.</w:t>
      </w:r>
      <w:r>
        <w:rPr>
          <w:color w:val="231F20"/>
          <w:spacing w:val="-6"/>
        </w:rPr>
        <w:t> </w:t>
      </w:r>
      <w:r>
        <w:rPr>
          <w:color w:val="231F20"/>
        </w:rPr>
        <w:t>The</w:t>
      </w:r>
      <w:r>
        <w:rPr>
          <w:color w:val="231F20"/>
          <w:spacing w:val="-6"/>
        </w:rPr>
        <w:t> </w:t>
      </w:r>
      <w:r>
        <w:rPr>
          <w:color w:val="231F20"/>
        </w:rPr>
        <w:t>dismantled</w:t>
      </w:r>
      <w:r>
        <w:rPr>
          <w:color w:val="231F20"/>
          <w:spacing w:val="-6"/>
        </w:rPr>
        <w:t> </w:t>
      </w:r>
      <w:r>
        <w:rPr>
          <w:color w:val="231F20"/>
        </w:rPr>
        <w:t>assets</w:t>
      </w:r>
      <w:r>
        <w:rPr>
          <w:color w:val="231F20"/>
          <w:spacing w:val="-6"/>
        </w:rPr>
        <w:t> </w:t>
      </w:r>
      <w:r>
        <w:rPr>
          <w:color w:val="231F20"/>
        </w:rPr>
        <w:t>have</w:t>
      </w:r>
      <w:r>
        <w:rPr>
          <w:color w:val="231F20"/>
          <w:spacing w:val="-6"/>
        </w:rPr>
        <w:t> </w:t>
      </w:r>
      <w:r>
        <w:rPr>
          <w:color w:val="231F20"/>
        </w:rPr>
        <w:t>been</w:t>
      </w:r>
      <w:r>
        <w:rPr>
          <w:color w:val="231F20"/>
          <w:spacing w:val="-6"/>
        </w:rPr>
        <w:t> </w:t>
      </w:r>
      <w:r>
        <w:rPr>
          <w:color w:val="231F20"/>
        </w:rPr>
        <w:t>assessed by the valuer as only having a negligible value.</w:t>
      </w:r>
    </w:p>
    <w:p>
      <w:pPr>
        <w:pStyle w:val="Heading4"/>
        <w:spacing w:before="100"/>
        <w:ind w:left="251"/>
      </w:pPr>
      <w:r>
        <w:rPr>
          <w:b w:val="0"/>
        </w:rPr>
        <w:br w:type="column"/>
      </w:r>
      <w:r>
        <w:rPr>
          <w:color w:val="3B5673"/>
          <w:spacing w:val="-2"/>
        </w:rPr>
        <w:t>Impairment</w:t>
      </w:r>
    </w:p>
    <w:p>
      <w:pPr>
        <w:pStyle w:val="BodyText"/>
        <w:spacing w:line="225" w:lineRule="auto" w:before="6"/>
        <w:ind w:left="251" w:right="505"/>
      </w:pPr>
      <w:r>
        <w:rPr>
          <w:color w:val="231F20"/>
        </w:rPr>
        <w:t>Assets are assessed at each year-end as to whether</w:t>
      </w:r>
      <w:r>
        <w:rPr>
          <w:color w:val="231F20"/>
          <w:spacing w:val="-4"/>
        </w:rPr>
        <w:t> </w:t>
      </w:r>
      <w:r>
        <w:rPr>
          <w:color w:val="231F20"/>
        </w:rPr>
        <w:t>there</w:t>
      </w:r>
      <w:r>
        <w:rPr>
          <w:color w:val="231F20"/>
          <w:spacing w:val="-4"/>
        </w:rPr>
        <w:t> </w:t>
      </w:r>
      <w:r>
        <w:rPr>
          <w:color w:val="231F20"/>
        </w:rPr>
        <w:t>is</w:t>
      </w:r>
      <w:r>
        <w:rPr>
          <w:color w:val="231F20"/>
          <w:spacing w:val="-5"/>
        </w:rPr>
        <w:t> </w:t>
      </w:r>
      <w:r>
        <w:rPr>
          <w:color w:val="231F20"/>
        </w:rPr>
        <w:t>any</w:t>
      </w:r>
      <w:r>
        <w:rPr>
          <w:color w:val="231F20"/>
          <w:spacing w:val="-4"/>
        </w:rPr>
        <w:t> </w:t>
      </w:r>
      <w:r>
        <w:rPr>
          <w:color w:val="231F20"/>
        </w:rPr>
        <w:t>indication</w:t>
      </w:r>
      <w:r>
        <w:rPr>
          <w:color w:val="231F20"/>
          <w:spacing w:val="-5"/>
        </w:rPr>
        <w:t> </w:t>
      </w:r>
      <w:r>
        <w:rPr>
          <w:color w:val="231F20"/>
        </w:rPr>
        <w:t>that</w:t>
      </w:r>
      <w:r>
        <w:rPr>
          <w:color w:val="231F20"/>
          <w:spacing w:val="-4"/>
        </w:rPr>
        <w:t> </w:t>
      </w:r>
      <w:r>
        <w:rPr>
          <w:color w:val="231F20"/>
        </w:rPr>
        <w:t>an</w:t>
      </w:r>
      <w:r>
        <w:rPr>
          <w:color w:val="231F20"/>
          <w:spacing w:val="-4"/>
        </w:rPr>
        <w:t> </w:t>
      </w:r>
      <w:r>
        <w:rPr>
          <w:color w:val="231F20"/>
        </w:rPr>
        <w:t>asset</w:t>
      </w:r>
      <w:r>
        <w:rPr>
          <w:color w:val="231F20"/>
          <w:spacing w:val="-4"/>
        </w:rPr>
        <w:t> </w:t>
      </w:r>
      <w:r>
        <w:rPr>
          <w:color w:val="231F20"/>
        </w:rPr>
        <w:t>may be impaired. Where there is an indication that there is a material impairment in the value of an asset when compared to the carrying value an impairment loss is recognised. The impairment loss is written down to the revaluation reserve</w:t>
      </w:r>
    </w:p>
    <w:p>
      <w:pPr>
        <w:pStyle w:val="BodyText"/>
        <w:spacing w:line="225" w:lineRule="auto"/>
        <w:ind w:left="251" w:right="1032"/>
      </w:pPr>
      <w:r>
        <w:rPr>
          <w:color w:val="231F20"/>
        </w:rPr>
        <w:t>to the extent that any balance for that asset is held within the revaluation reserve. Where there is no balance or an insufficient balance then the carrying amount of the asset is written</w:t>
      </w:r>
      <w:r>
        <w:rPr>
          <w:color w:val="231F20"/>
          <w:spacing w:val="-5"/>
        </w:rPr>
        <w:t> </w:t>
      </w:r>
      <w:r>
        <w:rPr>
          <w:color w:val="231F20"/>
        </w:rPr>
        <w:t>down</w:t>
      </w:r>
      <w:r>
        <w:rPr>
          <w:color w:val="231F20"/>
          <w:spacing w:val="-5"/>
        </w:rPr>
        <w:t> </w:t>
      </w:r>
      <w:r>
        <w:rPr>
          <w:color w:val="231F20"/>
        </w:rPr>
        <w:t>against</w:t>
      </w:r>
      <w:r>
        <w:rPr>
          <w:color w:val="231F20"/>
          <w:spacing w:val="-5"/>
        </w:rPr>
        <w:t> </w:t>
      </w:r>
      <w:r>
        <w:rPr>
          <w:color w:val="231F20"/>
        </w:rPr>
        <w:t>the</w:t>
      </w:r>
      <w:r>
        <w:rPr>
          <w:color w:val="231F20"/>
          <w:spacing w:val="-5"/>
        </w:rPr>
        <w:t> </w:t>
      </w:r>
      <w:r>
        <w:rPr>
          <w:color w:val="231F20"/>
        </w:rPr>
        <w:t>relevant</w:t>
      </w:r>
      <w:r>
        <w:rPr>
          <w:color w:val="231F20"/>
          <w:spacing w:val="-5"/>
        </w:rPr>
        <w:t> </w:t>
      </w:r>
      <w:r>
        <w:rPr>
          <w:color w:val="231F20"/>
        </w:rPr>
        <w:t>service</w:t>
      </w:r>
      <w:r>
        <w:rPr>
          <w:color w:val="231F20"/>
          <w:spacing w:val="-6"/>
        </w:rPr>
        <w:t> </w:t>
      </w:r>
      <w:r>
        <w:rPr>
          <w:color w:val="231F20"/>
        </w:rPr>
        <w:t>line</w:t>
      </w:r>
    </w:p>
    <w:p>
      <w:pPr>
        <w:pStyle w:val="BodyText"/>
        <w:spacing w:line="225" w:lineRule="auto"/>
        <w:ind w:left="251"/>
      </w:pPr>
      <w:r>
        <w:rPr>
          <w:color w:val="231F20"/>
        </w:rPr>
        <w:t>in</w:t>
      </w:r>
      <w:r>
        <w:rPr>
          <w:color w:val="231F20"/>
          <w:spacing w:val="-8"/>
        </w:rPr>
        <w:t> </w:t>
      </w:r>
      <w:r>
        <w:rPr>
          <w:color w:val="231F20"/>
        </w:rPr>
        <w:t>the</w:t>
      </w:r>
      <w:r>
        <w:rPr>
          <w:color w:val="231F20"/>
          <w:spacing w:val="-7"/>
        </w:rPr>
        <w:t> </w:t>
      </w:r>
      <w:r>
        <w:rPr>
          <w:color w:val="231F20"/>
        </w:rPr>
        <w:t>Comprehensive</w:t>
      </w:r>
      <w:r>
        <w:rPr>
          <w:color w:val="231F20"/>
          <w:spacing w:val="-8"/>
        </w:rPr>
        <w:t> </w:t>
      </w:r>
      <w:r>
        <w:rPr>
          <w:color w:val="231F20"/>
        </w:rPr>
        <w:t>Income</w:t>
      </w:r>
      <w:r>
        <w:rPr>
          <w:color w:val="231F20"/>
          <w:spacing w:val="-8"/>
        </w:rPr>
        <w:t> </w:t>
      </w:r>
      <w:r>
        <w:rPr>
          <w:color w:val="231F20"/>
        </w:rPr>
        <w:t>and</w:t>
      </w:r>
      <w:r>
        <w:rPr>
          <w:color w:val="231F20"/>
          <w:spacing w:val="-7"/>
        </w:rPr>
        <w:t> </w:t>
      </w:r>
      <w:r>
        <w:rPr>
          <w:color w:val="231F20"/>
        </w:rPr>
        <w:t>Expenditure </w:t>
      </w:r>
      <w:r>
        <w:rPr>
          <w:color w:val="231F20"/>
          <w:spacing w:val="-2"/>
        </w:rPr>
        <w:t>Statement.</w:t>
      </w:r>
    </w:p>
    <w:p>
      <w:pPr>
        <w:pStyle w:val="BodyText"/>
        <w:spacing w:before="6"/>
        <w:rPr>
          <w:sz w:val="22"/>
        </w:rPr>
      </w:pPr>
    </w:p>
    <w:p>
      <w:pPr>
        <w:pStyle w:val="Heading4"/>
        <w:spacing w:line="225" w:lineRule="auto"/>
        <w:ind w:left="251" w:right="2118"/>
      </w:pPr>
      <w:r>
        <w:rPr>
          <w:color w:val="3B5673"/>
        </w:rPr>
        <w:t>Disposals</w:t>
      </w:r>
      <w:r>
        <w:rPr>
          <w:color w:val="3B5673"/>
          <w:spacing w:val="-17"/>
        </w:rPr>
        <w:t> </w:t>
      </w:r>
      <w:r>
        <w:rPr>
          <w:color w:val="3B5673"/>
        </w:rPr>
        <w:t>and</w:t>
      </w:r>
      <w:r>
        <w:rPr>
          <w:color w:val="3B5673"/>
          <w:spacing w:val="-17"/>
        </w:rPr>
        <w:t> </w:t>
      </w:r>
      <w:r>
        <w:rPr>
          <w:color w:val="3B5673"/>
        </w:rPr>
        <w:t>Non-Current Assets Held for Sale</w:t>
      </w:r>
    </w:p>
    <w:p>
      <w:pPr>
        <w:pStyle w:val="BodyText"/>
        <w:spacing w:line="225" w:lineRule="auto"/>
        <w:ind w:left="251" w:right="704"/>
      </w:pPr>
      <w:r>
        <w:rPr/>
        <w:pict>
          <v:group style="position:absolute;margin-left:578.504028pt;margin-top:1.309867pt;width:16.8pt;height:192.8pt;mso-position-horizontal-relative:page;mso-position-vertical-relative:paragraph;z-index:15769088" id="docshapegroup338" coordorigin="11570,26" coordsize="336,3856">
            <v:rect style="position:absolute;left:11570;top:2917;width:336;height:964" id="docshape339" filled="true" fillcolor="#f15d6b" stroked="false">
              <v:fill type="solid"/>
            </v:rect>
            <v:rect style="position:absolute;left:11570;top:1953;width:336;height:964" id="docshape340" filled="true" fillcolor="#fbac42" stroked="false">
              <v:fill type="solid"/>
            </v:rect>
            <v:rect style="position:absolute;left:11570;top:989;width:336;height:964" id="docshape341" filled="true" fillcolor="#b78fc1" stroked="false">
              <v:fill type="solid"/>
            </v:rect>
            <v:rect style="position:absolute;left:11570;top:26;width:336;height:964" id="docshape342" filled="true" fillcolor="#378372" stroked="false">
              <v:fill type="solid"/>
            </v:rect>
            <w10:wrap type="none"/>
          </v:group>
        </w:pict>
      </w:r>
      <w:r>
        <w:rPr>
          <w:color w:val="231F20"/>
        </w:rPr>
        <w:t>When it becomes probable that the carrying amount of an asset will be recovered principally through</w:t>
      </w:r>
      <w:r>
        <w:rPr>
          <w:color w:val="231F20"/>
          <w:spacing w:val="-6"/>
        </w:rPr>
        <w:t> </w:t>
      </w:r>
      <w:r>
        <w:rPr>
          <w:color w:val="231F20"/>
        </w:rPr>
        <w:t>a</w:t>
      </w:r>
      <w:r>
        <w:rPr>
          <w:color w:val="231F20"/>
          <w:spacing w:val="-6"/>
        </w:rPr>
        <w:t> </w:t>
      </w:r>
      <w:r>
        <w:rPr>
          <w:color w:val="231F20"/>
        </w:rPr>
        <w:t>sale</w:t>
      </w:r>
      <w:r>
        <w:rPr>
          <w:color w:val="231F20"/>
          <w:spacing w:val="-7"/>
        </w:rPr>
        <w:t> </w:t>
      </w:r>
      <w:r>
        <w:rPr>
          <w:color w:val="231F20"/>
        </w:rPr>
        <w:t>transaction</w:t>
      </w:r>
      <w:r>
        <w:rPr>
          <w:color w:val="231F20"/>
          <w:spacing w:val="-6"/>
        </w:rPr>
        <w:t> </w:t>
      </w:r>
      <w:r>
        <w:rPr>
          <w:color w:val="231F20"/>
        </w:rPr>
        <w:t>rather</w:t>
      </w:r>
      <w:r>
        <w:rPr>
          <w:color w:val="231F20"/>
          <w:spacing w:val="-6"/>
        </w:rPr>
        <w:t> </w:t>
      </w:r>
      <w:r>
        <w:rPr>
          <w:color w:val="231F20"/>
        </w:rPr>
        <w:t>than</w:t>
      </w:r>
      <w:r>
        <w:rPr>
          <w:color w:val="231F20"/>
          <w:spacing w:val="-6"/>
        </w:rPr>
        <w:t> </w:t>
      </w:r>
      <w:r>
        <w:rPr>
          <w:color w:val="231F20"/>
        </w:rPr>
        <w:t>continued service use then it is reclassified as an Asset</w:t>
      </w:r>
      <w:r>
        <w:rPr>
          <w:color w:val="231F20"/>
          <w:spacing w:val="40"/>
        </w:rPr>
        <w:t> </w:t>
      </w:r>
      <w:r>
        <w:rPr>
          <w:color w:val="231F20"/>
        </w:rPr>
        <w:t>Held</w:t>
      </w:r>
      <w:r>
        <w:rPr>
          <w:color w:val="231F20"/>
          <w:spacing w:val="-5"/>
        </w:rPr>
        <w:t> </w:t>
      </w:r>
      <w:r>
        <w:rPr>
          <w:color w:val="231F20"/>
        </w:rPr>
        <w:t>for</w:t>
      </w:r>
      <w:r>
        <w:rPr>
          <w:color w:val="231F20"/>
          <w:spacing w:val="-5"/>
        </w:rPr>
        <w:t> </w:t>
      </w:r>
      <w:r>
        <w:rPr>
          <w:color w:val="231F20"/>
        </w:rPr>
        <w:t>Sale.</w:t>
      </w:r>
      <w:r>
        <w:rPr>
          <w:color w:val="231F20"/>
          <w:spacing w:val="-5"/>
        </w:rPr>
        <w:t> </w:t>
      </w:r>
      <w:r>
        <w:rPr>
          <w:color w:val="231F20"/>
        </w:rPr>
        <w:t>The</w:t>
      </w:r>
      <w:r>
        <w:rPr>
          <w:color w:val="231F20"/>
          <w:spacing w:val="-5"/>
        </w:rPr>
        <w:t> </w:t>
      </w:r>
      <w:r>
        <w:rPr>
          <w:color w:val="231F20"/>
        </w:rPr>
        <w:t>asset</w:t>
      </w:r>
      <w:r>
        <w:rPr>
          <w:color w:val="231F20"/>
          <w:spacing w:val="-5"/>
        </w:rPr>
        <w:t> </w:t>
      </w:r>
      <w:r>
        <w:rPr>
          <w:color w:val="231F20"/>
        </w:rPr>
        <w:t>is</w:t>
      </w:r>
      <w:r>
        <w:rPr>
          <w:color w:val="231F20"/>
          <w:spacing w:val="-5"/>
        </w:rPr>
        <w:t> </w:t>
      </w:r>
      <w:r>
        <w:rPr>
          <w:color w:val="231F20"/>
        </w:rPr>
        <w:t>re-valued</w:t>
      </w:r>
      <w:r>
        <w:rPr>
          <w:color w:val="231F20"/>
          <w:spacing w:val="-5"/>
        </w:rPr>
        <w:t> </w:t>
      </w:r>
      <w:r>
        <w:rPr>
          <w:color w:val="231F20"/>
        </w:rPr>
        <w:t>immediately</w:t>
      </w:r>
    </w:p>
    <w:p>
      <w:pPr>
        <w:pStyle w:val="BodyText"/>
        <w:spacing w:line="225" w:lineRule="auto"/>
        <w:ind w:left="251" w:right="505"/>
      </w:pPr>
      <w:r>
        <w:rPr>
          <w:color w:val="231F20"/>
        </w:rPr>
        <w:t>before</w:t>
      </w:r>
      <w:r>
        <w:rPr>
          <w:color w:val="231F20"/>
          <w:spacing w:val="-5"/>
        </w:rPr>
        <w:t> </w:t>
      </w:r>
      <w:r>
        <w:rPr>
          <w:color w:val="231F20"/>
        </w:rPr>
        <w:t>classification</w:t>
      </w:r>
      <w:r>
        <w:rPr>
          <w:color w:val="231F20"/>
          <w:spacing w:val="-5"/>
        </w:rPr>
        <w:t> </w:t>
      </w:r>
      <w:r>
        <w:rPr>
          <w:color w:val="231F20"/>
        </w:rPr>
        <w:t>and</w:t>
      </w:r>
      <w:r>
        <w:rPr>
          <w:color w:val="231F20"/>
          <w:spacing w:val="-5"/>
        </w:rPr>
        <w:t> </w:t>
      </w:r>
      <w:r>
        <w:rPr>
          <w:color w:val="231F20"/>
        </w:rPr>
        <w:t>then</w:t>
      </w:r>
      <w:r>
        <w:rPr>
          <w:color w:val="231F20"/>
          <w:spacing w:val="-5"/>
        </w:rPr>
        <w:t> </w:t>
      </w:r>
      <w:r>
        <w:rPr>
          <w:color w:val="231F20"/>
        </w:rPr>
        <w:t>carried</w:t>
      </w:r>
      <w:r>
        <w:rPr>
          <w:color w:val="231F20"/>
          <w:spacing w:val="-5"/>
        </w:rPr>
        <w:t> </w:t>
      </w:r>
      <w:r>
        <w:rPr>
          <w:color w:val="231F20"/>
        </w:rPr>
        <w:t>at</w:t>
      </w:r>
      <w:r>
        <w:rPr>
          <w:color w:val="231F20"/>
          <w:spacing w:val="-5"/>
        </w:rPr>
        <w:t> </w:t>
      </w:r>
      <w:r>
        <w:rPr>
          <w:color w:val="231F20"/>
        </w:rPr>
        <w:t>the</w:t>
      </w:r>
      <w:r>
        <w:rPr>
          <w:color w:val="231F20"/>
          <w:spacing w:val="-5"/>
        </w:rPr>
        <w:t> </w:t>
      </w:r>
      <w:r>
        <w:rPr>
          <w:color w:val="231F20"/>
        </w:rPr>
        <w:t>lower of this amount or fair value less</w:t>
      </w:r>
      <w:r>
        <w:rPr>
          <w:color w:val="231F20"/>
          <w:spacing w:val="-1"/>
        </w:rPr>
        <w:t> </w:t>
      </w:r>
      <w:r>
        <w:rPr>
          <w:color w:val="231F20"/>
        </w:rPr>
        <w:t>costs of disposal. Where there is a subsequent decrease in the valuation determined on classification</w:t>
      </w:r>
    </w:p>
    <w:p>
      <w:pPr>
        <w:pStyle w:val="BodyText"/>
        <w:spacing w:line="225" w:lineRule="auto"/>
        <w:ind w:left="251" w:right="704"/>
      </w:pPr>
      <w:r>
        <w:rPr>
          <w:color w:val="231F20"/>
        </w:rPr>
        <w:t>to Asset Held for Sale then a loss is posted to the Other Operating Expenditure line in the Comprehensive Income and Expenditure Statement.</w:t>
      </w:r>
      <w:r>
        <w:rPr>
          <w:color w:val="231F20"/>
          <w:spacing w:val="-5"/>
        </w:rPr>
        <w:t> </w:t>
      </w:r>
      <w:r>
        <w:rPr>
          <w:color w:val="231F20"/>
        </w:rPr>
        <w:t>Gains</w:t>
      </w:r>
      <w:r>
        <w:rPr>
          <w:color w:val="231F20"/>
          <w:spacing w:val="-5"/>
        </w:rPr>
        <w:t> </w:t>
      </w:r>
      <w:r>
        <w:rPr>
          <w:color w:val="231F20"/>
        </w:rPr>
        <w:t>in</w:t>
      </w:r>
      <w:r>
        <w:rPr>
          <w:color w:val="231F20"/>
          <w:spacing w:val="-6"/>
        </w:rPr>
        <w:t> </w:t>
      </w:r>
      <w:r>
        <w:rPr>
          <w:color w:val="231F20"/>
        </w:rPr>
        <w:t>the</w:t>
      </w:r>
      <w:r>
        <w:rPr>
          <w:color w:val="231F20"/>
          <w:spacing w:val="-5"/>
        </w:rPr>
        <w:t> </w:t>
      </w:r>
      <w:r>
        <w:rPr>
          <w:color w:val="231F20"/>
        </w:rPr>
        <w:t>fair</w:t>
      </w:r>
      <w:r>
        <w:rPr>
          <w:color w:val="231F20"/>
          <w:spacing w:val="-5"/>
        </w:rPr>
        <w:t> </w:t>
      </w:r>
      <w:r>
        <w:rPr>
          <w:color w:val="231F20"/>
        </w:rPr>
        <w:t>value</w:t>
      </w:r>
      <w:r>
        <w:rPr>
          <w:color w:val="231F20"/>
          <w:spacing w:val="-5"/>
        </w:rPr>
        <w:t> </w:t>
      </w:r>
      <w:r>
        <w:rPr>
          <w:color w:val="231F20"/>
        </w:rPr>
        <w:t>of</w:t>
      </w:r>
      <w:r>
        <w:rPr>
          <w:color w:val="231F20"/>
          <w:spacing w:val="-5"/>
        </w:rPr>
        <w:t> </w:t>
      </w:r>
      <w:r>
        <w:rPr>
          <w:color w:val="231F20"/>
        </w:rPr>
        <w:t>Assets</w:t>
      </w:r>
      <w:r>
        <w:rPr>
          <w:color w:val="231F20"/>
          <w:spacing w:val="-5"/>
        </w:rPr>
        <w:t> </w:t>
      </w:r>
      <w:r>
        <w:rPr>
          <w:color w:val="231F20"/>
        </w:rPr>
        <w:t>Held for Sale are only recognised to the extent that they reverse a previous loss recognised within the Comprehensive Income and Expenditure</w:t>
      </w:r>
    </w:p>
    <w:p>
      <w:pPr>
        <w:pStyle w:val="BodyText"/>
        <w:spacing w:line="225" w:lineRule="auto"/>
        <w:ind w:left="251" w:right="505"/>
      </w:pPr>
      <w:r>
        <w:rPr>
          <w:color w:val="231F20"/>
        </w:rPr>
        <w:t>Statement.</w:t>
      </w:r>
      <w:r>
        <w:rPr>
          <w:color w:val="231F20"/>
          <w:spacing w:val="-7"/>
        </w:rPr>
        <w:t> </w:t>
      </w:r>
      <w:r>
        <w:rPr>
          <w:color w:val="231F20"/>
        </w:rPr>
        <w:t>Depreciation</w:t>
      </w:r>
      <w:r>
        <w:rPr>
          <w:color w:val="231F20"/>
          <w:spacing w:val="-8"/>
        </w:rPr>
        <w:t> </w:t>
      </w:r>
      <w:r>
        <w:rPr>
          <w:color w:val="231F20"/>
        </w:rPr>
        <w:t>is</w:t>
      </w:r>
      <w:r>
        <w:rPr>
          <w:color w:val="231F20"/>
          <w:spacing w:val="-8"/>
        </w:rPr>
        <w:t> </w:t>
      </w:r>
      <w:r>
        <w:rPr>
          <w:color w:val="231F20"/>
        </w:rPr>
        <w:t>not</w:t>
      </w:r>
      <w:r>
        <w:rPr>
          <w:color w:val="231F20"/>
          <w:spacing w:val="-7"/>
        </w:rPr>
        <w:t> </w:t>
      </w:r>
      <w:r>
        <w:rPr>
          <w:color w:val="231F20"/>
        </w:rPr>
        <w:t>charged</w:t>
      </w:r>
      <w:r>
        <w:rPr>
          <w:color w:val="231F20"/>
          <w:spacing w:val="-7"/>
        </w:rPr>
        <w:t> </w:t>
      </w:r>
      <w:r>
        <w:rPr>
          <w:color w:val="231F20"/>
        </w:rPr>
        <w:t>on</w:t>
      </w:r>
      <w:r>
        <w:rPr>
          <w:color w:val="231F20"/>
          <w:spacing w:val="-7"/>
        </w:rPr>
        <w:t> </w:t>
      </w:r>
      <w:r>
        <w:rPr>
          <w:color w:val="231F20"/>
        </w:rPr>
        <w:t>Assets Held for Sale.</w:t>
      </w:r>
    </w:p>
    <w:p>
      <w:pPr>
        <w:pStyle w:val="BodyText"/>
        <w:spacing w:before="6"/>
        <w:rPr>
          <w:sz w:val="22"/>
        </w:rPr>
      </w:pPr>
    </w:p>
    <w:p>
      <w:pPr>
        <w:pStyle w:val="BodyText"/>
        <w:spacing w:line="225" w:lineRule="auto"/>
        <w:ind w:left="251" w:right="597"/>
      </w:pPr>
      <w:r>
        <w:rPr>
          <w:color w:val="231F20"/>
        </w:rPr>
        <w:t>When an asset is disposed of or decommissioned, the carrying value of the asset in the Balance Sheet is written off to the Other Operating</w:t>
      </w:r>
      <w:r>
        <w:rPr>
          <w:color w:val="231F20"/>
          <w:spacing w:val="-7"/>
        </w:rPr>
        <w:t> </w:t>
      </w:r>
      <w:r>
        <w:rPr>
          <w:color w:val="231F20"/>
        </w:rPr>
        <w:t>Expenditure</w:t>
      </w:r>
      <w:r>
        <w:rPr>
          <w:color w:val="231F20"/>
          <w:spacing w:val="-7"/>
        </w:rPr>
        <w:t> </w:t>
      </w:r>
      <w:r>
        <w:rPr>
          <w:color w:val="231F20"/>
        </w:rPr>
        <w:t>line</w:t>
      </w:r>
      <w:r>
        <w:rPr>
          <w:color w:val="231F20"/>
          <w:spacing w:val="-8"/>
        </w:rPr>
        <w:t> </w:t>
      </w:r>
      <w:r>
        <w:rPr>
          <w:color w:val="231F20"/>
        </w:rPr>
        <w:t>in</w:t>
      </w:r>
      <w:r>
        <w:rPr>
          <w:color w:val="231F20"/>
          <w:spacing w:val="-8"/>
        </w:rPr>
        <w:t> </w:t>
      </w:r>
      <w:r>
        <w:rPr>
          <w:color w:val="231F20"/>
        </w:rPr>
        <w:t>the</w:t>
      </w:r>
      <w:r>
        <w:rPr>
          <w:color w:val="231F20"/>
          <w:spacing w:val="-7"/>
        </w:rPr>
        <w:t> </w:t>
      </w:r>
      <w:r>
        <w:rPr>
          <w:color w:val="231F20"/>
        </w:rPr>
        <w:t>Comprehensive Income and Expenditure Statement as part</w:t>
      </w:r>
    </w:p>
    <w:p>
      <w:pPr>
        <w:pStyle w:val="BodyText"/>
        <w:spacing w:line="225" w:lineRule="auto"/>
        <w:ind w:left="251" w:right="154"/>
      </w:pPr>
      <w:r>
        <w:rPr>
          <w:color w:val="231F20"/>
        </w:rPr>
        <w:t>of</w:t>
      </w:r>
      <w:r>
        <w:rPr>
          <w:color w:val="231F20"/>
          <w:spacing w:val="-5"/>
        </w:rPr>
        <w:t> </w:t>
      </w:r>
      <w:r>
        <w:rPr>
          <w:color w:val="231F20"/>
        </w:rPr>
        <w:t>the</w:t>
      </w:r>
      <w:r>
        <w:rPr>
          <w:color w:val="231F20"/>
          <w:spacing w:val="-5"/>
        </w:rPr>
        <w:t> </w:t>
      </w:r>
      <w:r>
        <w:rPr>
          <w:color w:val="231F20"/>
        </w:rPr>
        <w:t>gain</w:t>
      </w:r>
      <w:r>
        <w:rPr>
          <w:color w:val="231F20"/>
          <w:spacing w:val="-5"/>
        </w:rPr>
        <w:t> </w:t>
      </w:r>
      <w:r>
        <w:rPr>
          <w:color w:val="231F20"/>
        </w:rPr>
        <w:t>or</w:t>
      </w:r>
      <w:r>
        <w:rPr>
          <w:color w:val="231F20"/>
          <w:spacing w:val="-5"/>
        </w:rPr>
        <w:t> </w:t>
      </w:r>
      <w:r>
        <w:rPr>
          <w:color w:val="231F20"/>
        </w:rPr>
        <w:t>loss</w:t>
      </w:r>
      <w:r>
        <w:rPr>
          <w:color w:val="231F20"/>
          <w:spacing w:val="-6"/>
        </w:rPr>
        <w:t> </w:t>
      </w:r>
      <w:r>
        <w:rPr>
          <w:color w:val="231F20"/>
        </w:rPr>
        <w:t>on</w:t>
      </w:r>
      <w:r>
        <w:rPr>
          <w:color w:val="231F20"/>
          <w:spacing w:val="-5"/>
        </w:rPr>
        <w:t> </w:t>
      </w:r>
      <w:r>
        <w:rPr>
          <w:color w:val="231F20"/>
        </w:rPr>
        <w:t>disposal.</w:t>
      </w:r>
      <w:r>
        <w:rPr>
          <w:color w:val="231F20"/>
          <w:spacing w:val="-5"/>
        </w:rPr>
        <w:t> </w:t>
      </w:r>
      <w:r>
        <w:rPr>
          <w:color w:val="231F20"/>
        </w:rPr>
        <w:t>Receipts</w:t>
      </w:r>
      <w:r>
        <w:rPr>
          <w:color w:val="231F20"/>
          <w:spacing w:val="-5"/>
        </w:rPr>
        <w:t> </w:t>
      </w:r>
      <w:r>
        <w:rPr>
          <w:color w:val="231F20"/>
        </w:rPr>
        <w:t>from disposals are credited to the same line in</w:t>
      </w:r>
    </w:p>
    <w:p>
      <w:pPr>
        <w:pStyle w:val="BodyText"/>
        <w:spacing w:line="225" w:lineRule="auto"/>
        <w:ind w:left="251" w:right="505"/>
      </w:pPr>
      <w:r>
        <w:rPr>
          <w:color w:val="231F20"/>
        </w:rPr>
        <w:t>the Comprehensive Income and Expenditure Statement</w:t>
      </w:r>
      <w:r>
        <w:rPr>
          <w:color w:val="231F20"/>
          <w:spacing w:val="-5"/>
        </w:rPr>
        <w:t> </w:t>
      </w:r>
      <w:r>
        <w:rPr>
          <w:color w:val="231F20"/>
        </w:rPr>
        <w:t>as</w:t>
      </w:r>
      <w:r>
        <w:rPr>
          <w:color w:val="231F20"/>
          <w:spacing w:val="-5"/>
        </w:rPr>
        <w:t> </w:t>
      </w:r>
      <w:r>
        <w:rPr>
          <w:color w:val="231F20"/>
        </w:rPr>
        <w:t>part</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gain</w:t>
      </w:r>
      <w:r>
        <w:rPr>
          <w:color w:val="231F20"/>
          <w:spacing w:val="-5"/>
        </w:rPr>
        <w:t> </w:t>
      </w:r>
      <w:r>
        <w:rPr>
          <w:color w:val="231F20"/>
        </w:rPr>
        <w:t>or</w:t>
      </w:r>
      <w:r>
        <w:rPr>
          <w:color w:val="231F20"/>
          <w:spacing w:val="-5"/>
        </w:rPr>
        <w:t> </w:t>
      </w:r>
      <w:r>
        <w:rPr>
          <w:color w:val="231F20"/>
        </w:rPr>
        <w:t>loss</w:t>
      </w:r>
      <w:r>
        <w:rPr>
          <w:color w:val="231F20"/>
          <w:spacing w:val="-6"/>
        </w:rPr>
        <w:t> </w:t>
      </w:r>
      <w:r>
        <w:rPr>
          <w:color w:val="231F20"/>
        </w:rPr>
        <w:t>on</w:t>
      </w:r>
      <w:r>
        <w:rPr>
          <w:color w:val="231F20"/>
          <w:spacing w:val="-5"/>
        </w:rPr>
        <w:t> </w:t>
      </w:r>
      <w:r>
        <w:rPr>
          <w:color w:val="231F20"/>
        </w:rPr>
        <w:t>disposal (i.e. netted off against the carrying value of the asset at the time of disposal). Any revaluation</w:t>
      </w:r>
    </w:p>
    <w:p>
      <w:pPr>
        <w:spacing w:after="0" w:line="225" w:lineRule="auto"/>
        <w:sectPr>
          <w:type w:val="continuous"/>
          <w:pgSz w:w="11910" w:h="16840"/>
          <w:pgMar w:header="377" w:footer="367" w:top="260" w:bottom="0" w:left="0" w:right="0"/>
          <w:cols w:num="2" w:equalWidth="0">
            <w:col w:w="5803" w:space="40"/>
            <w:col w:w="6067"/>
          </w:cols>
        </w:sectPr>
      </w:pPr>
    </w:p>
    <w:p>
      <w:pPr>
        <w:pStyle w:val="BodyText"/>
        <w:rPr>
          <w:sz w:val="28"/>
        </w:rPr>
      </w:pPr>
    </w:p>
    <w:p>
      <w:pPr>
        <w:spacing w:after="0"/>
        <w:rPr>
          <w:sz w:val="28"/>
        </w:rPr>
        <w:sectPr>
          <w:pgSz w:w="11910" w:h="16840"/>
          <w:pgMar w:header="377" w:footer="367" w:top="560" w:bottom="560" w:left="0" w:right="0"/>
        </w:sectPr>
      </w:pPr>
    </w:p>
    <w:p>
      <w:pPr>
        <w:pStyle w:val="BodyText"/>
        <w:spacing w:line="225" w:lineRule="auto" w:before="115"/>
        <w:ind w:left="566"/>
      </w:pPr>
      <w:r>
        <w:rPr>
          <w:color w:val="231F20"/>
        </w:rPr>
        <w:t>gains relating to the asset in the Revaluation Reserve</w:t>
      </w:r>
      <w:r>
        <w:rPr>
          <w:color w:val="231F20"/>
          <w:spacing w:val="-7"/>
        </w:rPr>
        <w:t> </w:t>
      </w:r>
      <w:r>
        <w:rPr>
          <w:color w:val="231F20"/>
        </w:rPr>
        <w:t>are</w:t>
      </w:r>
      <w:r>
        <w:rPr>
          <w:color w:val="231F20"/>
          <w:spacing w:val="-7"/>
        </w:rPr>
        <w:t> </w:t>
      </w:r>
      <w:r>
        <w:rPr>
          <w:color w:val="231F20"/>
        </w:rPr>
        <w:t>transferred</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Capital</w:t>
      </w:r>
      <w:r>
        <w:rPr>
          <w:color w:val="231F20"/>
          <w:spacing w:val="-8"/>
        </w:rPr>
        <w:t> </w:t>
      </w:r>
      <w:r>
        <w:rPr>
          <w:color w:val="231F20"/>
        </w:rPr>
        <w:t>Adjustment </w:t>
      </w:r>
      <w:r>
        <w:rPr>
          <w:color w:val="231F20"/>
          <w:spacing w:val="-2"/>
        </w:rPr>
        <w:t>Account.</w:t>
      </w:r>
    </w:p>
    <w:p>
      <w:pPr>
        <w:pStyle w:val="BodyText"/>
        <w:spacing w:before="7"/>
        <w:rPr>
          <w:sz w:val="22"/>
        </w:rPr>
      </w:pPr>
    </w:p>
    <w:p>
      <w:pPr>
        <w:pStyle w:val="BodyText"/>
        <w:spacing w:line="225" w:lineRule="auto" w:before="1"/>
        <w:ind w:left="566" w:right="107"/>
      </w:pPr>
      <w:r>
        <w:rPr>
          <w:color w:val="231F20"/>
        </w:rPr>
        <w:t>Amounts received in excess of £10,000 are Amounts received in excess of £10,000 are categorised as capital receipts. Prior to 2021/22 a proportion of receipts relating to housing disposals was payable to the Government. This is no longer the case for 2022/23 and 2023/24. These</w:t>
      </w:r>
      <w:r>
        <w:rPr>
          <w:color w:val="231F20"/>
          <w:spacing w:val="-5"/>
        </w:rPr>
        <w:t> </w:t>
      </w:r>
      <w:r>
        <w:rPr>
          <w:color w:val="231F20"/>
        </w:rPr>
        <w:t>receipts</w:t>
      </w:r>
      <w:r>
        <w:rPr>
          <w:color w:val="231F20"/>
          <w:spacing w:val="-5"/>
        </w:rPr>
        <w:t> </w:t>
      </w:r>
      <w:r>
        <w:rPr>
          <w:color w:val="231F20"/>
        </w:rPr>
        <w:t>are</w:t>
      </w:r>
      <w:r>
        <w:rPr>
          <w:color w:val="231F20"/>
          <w:spacing w:val="-5"/>
        </w:rPr>
        <w:t> </w:t>
      </w:r>
      <w:r>
        <w:rPr>
          <w:color w:val="231F20"/>
        </w:rPr>
        <w:t>required</w:t>
      </w:r>
      <w:r>
        <w:rPr>
          <w:color w:val="231F20"/>
          <w:spacing w:val="-5"/>
        </w:rPr>
        <w:t> </w:t>
      </w:r>
      <w:r>
        <w:rPr>
          <w:color w:val="231F20"/>
        </w:rPr>
        <w:t>to</w:t>
      </w:r>
      <w:r>
        <w:rPr>
          <w:color w:val="231F20"/>
          <w:spacing w:val="-5"/>
        </w:rPr>
        <w:t> </w:t>
      </w:r>
      <w:r>
        <w:rPr>
          <w:color w:val="231F20"/>
        </w:rPr>
        <w:t>be</w:t>
      </w:r>
      <w:r>
        <w:rPr>
          <w:color w:val="231F20"/>
          <w:spacing w:val="-5"/>
        </w:rPr>
        <w:t> </w:t>
      </w:r>
      <w:r>
        <w:rPr>
          <w:color w:val="231F20"/>
        </w:rPr>
        <w:t>credited</w:t>
      </w:r>
      <w:r>
        <w:rPr>
          <w:color w:val="231F20"/>
          <w:spacing w:val="-5"/>
        </w:rPr>
        <w:t> </w:t>
      </w:r>
      <w:r>
        <w:rPr>
          <w:color w:val="231F20"/>
        </w:rPr>
        <w:t>to</w:t>
      </w:r>
      <w:r>
        <w:rPr>
          <w:color w:val="231F20"/>
          <w:spacing w:val="-5"/>
        </w:rPr>
        <w:t> </w:t>
      </w:r>
      <w:r>
        <w:rPr>
          <w:color w:val="231F20"/>
        </w:rPr>
        <w:t>the Capital Receipts Reserve and can then only be used for new capital investment or set aside to reduce the Council’s underlying need to borrow (the capital financing requirement). Receipts</w:t>
      </w:r>
    </w:p>
    <w:p>
      <w:pPr>
        <w:pStyle w:val="BodyText"/>
        <w:spacing w:line="293" w:lineRule="exact"/>
        <w:ind w:left="566"/>
      </w:pPr>
      <w:r>
        <w:rPr>
          <w:color w:val="231F20"/>
        </w:rPr>
        <w:t>are</w:t>
      </w:r>
      <w:r>
        <w:rPr>
          <w:color w:val="231F20"/>
          <w:spacing w:val="-5"/>
        </w:rPr>
        <w:t> </w:t>
      </w:r>
      <w:r>
        <w:rPr>
          <w:color w:val="231F20"/>
        </w:rPr>
        <w:t>appropriated</w:t>
      </w:r>
      <w:r>
        <w:rPr>
          <w:color w:val="231F20"/>
          <w:spacing w:val="-2"/>
        </w:rPr>
        <w:t> </w:t>
      </w:r>
      <w:r>
        <w:rPr>
          <w:color w:val="231F20"/>
        </w:rPr>
        <w:t>to</w:t>
      </w:r>
      <w:r>
        <w:rPr>
          <w:color w:val="231F20"/>
          <w:spacing w:val="-3"/>
        </w:rPr>
        <w:t> </w:t>
      </w:r>
      <w:r>
        <w:rPr>
          <w:color w:val="231F20"/>
        </w:rPr>
        <w:t>the</w:t>
      </w:r>
      <w:r>
        <w:rPr>
          <w:color w:val="231F20"/>
          <w:spacing w:val="-2"/>
        </w:rPr>
        <w:t> </w:t>
      </w:r>
      <w:r>
        <w:rPr>
          <w:color w:val="231F20"/>
        </w:rPr>
        <w:t>Capital</w:t>
      </w:r>
      <w:r>
        <w:rPr>
          <w:color w:val="231F20"/>
          <w:spacing w:val="-3"/>
        </w:rPr>
        <w:t> </w:t>
      </w:r>
      <w:r>
        <w:rPr>
          <w:color w:val="231F20"/>
        </w:rPr>
        <w:t>Receipt</w:t>
      </w:r>
      <w:r>
        <w:rPr>
          <w:color w:val="231F20"/>
          <w:spacing w:val="-2"/>
        </w:rPr>
        <w:t> Reserve</w:t>
      </w:r>
    </w:p>
    <w:p>
      <w:pPr>
        <w:pStyle w:val="BodyText"/>
        <w:spacing w:line="310" w:lineRule="exact"/>
        <w:ind w:left="566"/>
      </w:pPr>
      <w:r>
        <w:rPr>
          <w:color w:val="231F20"/>
        </w:rPr>
        <w:t>within</w:t>
      </w:r>
      <w:r>
        <w:rPr>
          <w:color w:val="231F20"/>
          <w:spacing w:val="-2"/>
        </w:rPr>
        <w:t> </w:t>
      </w:r>
      <w:r>
        <w:rPr>
          <w:color w:val="231F20"/>
        </w:rPr>
        <w:t>the</w:t>
      </w:r>
      <w:r>
        <w:rPr>
          <w:color w:val="231F20"/>
          <w:spacing w:val="-2"/>
        </w:rPr>
        <w:t> </w:t>
      </w:r>
      <w:r>
        <w:rPr>
          <w:color w:val="231F20"/>
        </w:rPr>
        <w:t>Movement</w:t>
      </w:r>
      <w:r>
        <w:rPr>
          <w:color w:val="231F20"/>
          <w:spacing w:val="-2"/>
        </w:rPr>
        <w:t> </w:t>
      </w:r>
      <w:r>
        <w:rPr>
          <w:color w:val="231F20"/>
        </w:rPr>
        <w:t>in</w:t>
      </w:r>
      <w:r>
        <w:rPr>
          <w:color w:val="231F20"/>
          <w:spacing w:val="-3"/>
        </w:rPr>
        <w:t> </w:t>
      </w:r>
      <w:r>
        <w:rPr>
          <w:color w:val="231F20"/>
        </w:rPr>
        <w:t>Reserves</w:t>
      </w:r>
      <w:r>
        <w:rPr>
          <w:color w:val="231F20"/>
          <w:spacing w:val="-1"/>
        </w:rPr>
        <w:t> </w:t>
      </w:r>
      <w:r>
        <w:rPr>
          <w:color w:val="231F20"/>
          <w:spacing w:val="-2"/>
        </w:rPr>
        <w:t>Statement.</w:t>
      </w:r>
    </w:p>
    <w:p>
      <w:pPr>
        <w:pStyle w:val="BodyText"/>
        <w:spacing w:before="3"/>
        <w:rPr>
          <w:sz w:val="22"/>
        </w:rPr>
      </w:pPr>
    </w:p>
    <w:p>
      <w:pPr>
        <w:pStyle w:val="BodyText"/>
        <w:spacing w:line="225" w:lineRule="auto"/>
        <w:ind w:left="566" w:right="36"/>
      </w:pPr>
      <w:r>
        <w:rPr>
          <w:color w:val="231F20"/>
        </w:rPr>
        <w:t>The</w:t>
      </w:r>
      <w:r>
        <w:rPr>
          <w:color w:val="231F20"/>
          <w:spacing w:val="-5"/>
        </w:rPr>
        <w:t> </w:t>
      </w:r>
      <w:r>
        <w:rPr>
          <w:color w:val="231F20"/>
        </w:rPr>
        <w:t>written-off</w:t>
      </w:r>
      <w:r>
        <w:rPr>
          <w:color w:val="231F20"/>
          <w:spacing w:val="-5"/>
        </w:rPr>
        <w:t> </w:t>
      </w:r>
      <w:r>
        <w:rPr>
          <w:color w:val="231F20"/>
        </w:rPr>
        <w:t>value</w:t>
      </w:r>
      <w:r>
        <w:rPr>
          <w:color w:val="231F20"/>
          <w:spacing w:val="-5"/>
        </w:rPr>
        <w:t> </w:t>
      </w:r>
      <w:r>
        <w:rPr>
          <w:color w:val="231F20"/>
        </w:rPr>
        <w:t>of</w:t>
      </w:r>
      <w:r>
        <w:rPr>
          <w:color w:val="231F20"/>
          <w:spacing w:val="-5"/>
        </w:rPr>
        <w:t> </w:t>
      </w:r>
      <w:r>
        <w:rPr>
          <w:color w:val="231F20"/>
        </w:rPr>
        <w:t>disposals</w:t>
      </w:r>
      <w:r>
        <w:rPr>
          <w:color w:val="231F20"/>
          <w:spacing w:val="-5"/>
        </w:rPr>
        <w:t> </w:t>
      </w:r>
      <w:r>
        <w:rPr>
          <w:color w:val="231F20"/>
        </w:rPr>
        <w:t>is</w:t>
      </w:r>
      <w:r>
        <w:rPr>
          <w:color w:val="231F20"/>
          <w:spacing w:val="-6"/>
        </w:rPr>
        <w:t> </w:t>
      </w:r>
      <w:r>
        <w:rPr>
          <w:color w:val="231F20"/>
        </w:rPr>
        <w:t>not</w:t>
      </w:r>
      <w:r>
        <w:rPr>
          <w:color w:val="231F20"/>
          <w:spacing w:val="-5"/>
        </w:rPr>
        <w:t> </w:t>
      </w:r>
      <w:r>
        <w:rPr>
          <w:color w:val="231F20"/>
        </w:rPr>
        <w:t>a</w:t>
      </w:r>
      <w:r>
        <w:rPr>
          <w:color w:val="231F20"/>
          <w:spacing w:val="-5"/>
        </w:rPr>
        <w:t> </w:t>
      </w:r>
      <w:r>
        <w:rPr>
          <w:color w:val="231F20"/>
        </w:rPr>
        <w:t>charge against Council Tax, as the cost of non-current assets is fully provided for under separate arrangements for capital financing. Amounts are appropriated to the Capital</w:t>
      </w:r>
      <w:r>
        <w:rPr>
          <w:color w:val="231F20"/>
          <w:spacing w:val="-1"/>
        </w:rPr>
        <w:t> </w:t>
      </w:r>
      <w:r>
        <w:rPr>
          <w:color w:val="231F20"/>
        </w:rPr>
        <w:t>Adjustment Account from the General Fund Balance within the Movement in Reserves Statement.</w:t>
      </w:r>
    </w:p>
    <w:p>
      <w:pPr>
        <w:pStyle w:val="Heading4"/>
        <w:spacing w:before="284"/>
      </w:pPr>
      <w:r>
        <w:rPr>
          <w:color w:val="3B5673"/>
          <w:spacing w:val="-2"/>
        </w:rPr>
        <w:t>Depreciation</w:t>
      </w:r>
    </w:p>
    <w:p>
      <w:pPr>
        <w:pStyle w:val="BodyText"/>
        <w:spacing w:line="225" w:lineRule="auto" w:before="6"/>
        <w:ind w:left="566"/>
      </w:pPr>
      <w:r>
        <w:rPr>
          <w:color w:val="231F20"/>
        </w:rPr>
        <w:t>Depreciation</w:t>
      </w:r>
      <w:r>
        <w:rPr>
          <w:color w:val="231F20"/>
          <w:spacing w:val="-7"/>
        </w:rPr>
        <w:t> </w:t>
      </w:r>
      <w:r>
        <w:rPr>
          <w:color w:val="231F20"/>
        </w:rPr>
        <w:t>is</w:t>
      </w:r>
      <w:r>
        <w:rPr>
          <w:color w:val="231F20"/>
          <w:spacing w:val="-7"/>
        </w:rPr>
        <w:t> </w:t>
      </w:r>
      <w:r>
        <w:rPr>
          <w:color w:val="231F20"/>
        </w:rPr>
        <w:t>provided</w:t>
      </w:r>
      <w:r>
        <w:rPr>
          <w:color w:val="231F20"/>
          <w:spacing w:val="-6"/>
        </w:rPr>
        <w:t> </w:t>
      </w:r>
      <w:r>
        <w:rPr>
          <w:color w:val="231F20"/>
        </w:rPr>
        <w:t>for</w:t>
      </w:r>
      <w:r>
        <w:rPr>
          <w:color w:val="231F20"/>
          <w:spacing w:val="-6"/>
        </w:rPr>
        <w:t> </w:t>
      </w:r>
      <w:r>
        <w:rPr>
          <w:color w:val="231F20"/>
        </w:rPr>
        <w:t>on</w:t>
      </w:r>
      <w:r>
        <w:rPr>
          <w:color w:val="231F20"/>
          <w:spacing w:val="-6"/>
        </w:rPr>
        <w:t> </w:t>
      </w:r>
      <w:r>
        <w:rPr>
          <w:color w:val="231F20"/>
        </w:rPr>
        <w:t>all</w:t>
      </w:r>
      <w:r>
        <w:rPr>
          <w:color w:val="231F20"/>
          <w:spacing w:val="-6"/>
        </w:rPr>
        <w:t> </w:t>
      </w:r>
      <w:r>
        <w:rPr>
          <w:color w:val="231F20"/>
        </w:rPr>
        <w:t>Property,</w:t>
      </w:r>
      <w:r>
        <w:rPr>
          <w:color w:val="231F20"/>
          <w:spacing w:val="-7"/>
        </w:rPr>
        <w:t> </w:t>
      </w:r>
      <w:r>
        <w:rPr>
          <w:color w:val="231F20"/>
        </w:rPr>
        <w:t>Plant and Equipment over a period of their estimated useful lives; freehold land is determined to have an infinite economic life and is not depreciated, assets under construction are not depreciated until they become operational in providing services. Depreciation is calculated using the straight-line method. Assets are depreciated</w:t>
      </w:r>
    </w:p>
    <w:p>
      <w:pPr>
        <w:pStyle w:val="BodyText"/>
        <w:spacing w:line="225" w:lineRule="auto"/>
        <w:ind w:left="566" w:right="36"/>
      </w:pPr>
      <w:r>
        <w:rPr>
          <w:color w:val="231F20"/>
        </w:rPr>
        <w:t>over the estimated economic life of the asset, which</w:t>
      </w:r>
      <w:r>
        <w:rPr>
          <w:color w:val="231F20"/>
          <w:spacing w:val="-5"/>
        </w:rPr>
        <w:t> </w:t>
      </w:r>
      <w:r>
        <w:rPr>
          <w:color w:val="231F20"/>
        </w:rPr>
        <w:t>has</w:t>
      </w:r>
      <w:r>
        <w:rPr>
          <w:color w:val="231F20"/>
          <w:spacing w:val="-5"/>
        </w:rPr>
        <w:t> </w:t>
      </w:r>
      <w:r>
        <w:rPr>
          <w:color w:val="231F20"/>
        </w:rPr>
        <w:t>been</w:t>
      </w:r>
      <w:r>
        <w:rPr>
          <w:color w:val="231F20"/>
          <w:spacing w:val="-5"/>
        </w:rPr>
        <w:t> </w:t>
      </w:r>
      <w:r>
        <w:rPr>
          <w:color w:val="231F20"/>
        </w:rPr>
        <w:t>assessed</w:t>
      </w:r>
      <w:r>
        <w:rPr>
          <w:color w:val="231F20"/>
          <w:spacing w:val="-5"/>
        </w:rPr>
        <w:t> </w:t>
      </w:r>
      <w:r>
        <w:rPr>
          <w:color w:val="231F20"/>
        </w:rPr>
        <w:t>as</w:t>
      </w:r>
      <w:r>
        <w:rPr>
          <w:color w:val="231F20"/>
          <w:spacing w:val="-5"/>
        </w:rPr>
        <w:t> </w:t>
      </w:r>
      <w:r>
        <w:rPr>
          <w:color w:val="231F20"/>
        </w:rPr>
        <w:t>being</w:t>
      </w:r>
      <w:r>
        <w:rPr>
          <w:color w:val="231F20"/>
          <w:spacing w:val="-5"/>
        </w:rPr>
        <w:t> </w:t>
      </w:r>
      <w:r>
        <w:rPr>
          <w:color w:val="231F20"/>
        </w:rPr>
        <w:t>the</w:t>
      </w:r>
      <w:r>
        <w:rPr>
          <w:color w:val="231F20"/>
          <w:spacing w:val="-5"/>
        </w:rPr>
        <w:t> </w:t>
      </w:r>
      <w:r>
        <w:rPr>
          <w:color w:val="231F20"/>
        </w:rPr>
        <w:t>following </w:t>
      </w:r>
      <w:r>
        <w:rPr>
          <w:color w:val="231F20"/>
          <w:spacing w:val="-2"/>
        </w:rPr>
        <w:t>periods:</w:t>
      </w:r>
    </w:p>
    <w:p>
      <w:pPr>
        <w:pStyle w:val="BodyText"/>
        <w:spacing w:before="7"/>
        <w:rPr>
          <w:sz w:val="22"/>
        </w:rPr>
      </w:pPr>
    </w:p>
    <w:p>
      <w:pPr>
        <w:pStyle w:val="BodyText"/>
        <w:tabs>
          <w:tab w:pos="2886" w:val="left" w:leader="none"/>
        </w:tabs>
        <w:spacing w:line="225" w:lineRule="auto"/>
        <w:ind w:left="566" w:right="1538"/>
      </w:pPr>
      <w:r>
        <w:rPr>
          <w:color w:val="231F20"/>
        </w:rPr>
        <w:t>Council dwellings</w:t>
        <w:tab/>
        <w:t>40 years Other HRA assets</w:t>
        <w:tab/>
        <w:t>10</w:t>
      </w:r>
      <w:r>
        <w:rPr>
          <w:color w:val="231F20"/>
          <w:spacing w:val="-13"/>
        </w:rPr>
        <w:t> </w:t>
      </w:r>
      <w:r>
        <w:rPr>
          <w:color w:val="231F20"/>
        </w:rPr>
        <w:t>-</w:t>
      </w:r>
      <w:r>
        <w:rPr>
          <w:color w:val="231F20"/>
          <w:spacing w:val="-12"/>
        </w:rPr>
        <w:t> </w:t>
      </w:r>
      <w:r>
        <w:rPr>
          <w:color w:val="231F20"/>
        </w:rPr>
        <w:t>80</w:t>
      </w:r>
      <w:r>
        <w:rPr>
          <w:color w:val="231F20"/>
          <w:spacing w:val="-13"/>
        </w:rPr>
        <w:t> </w:t>
      </w:r>
      <w:r>
        <w:rPr>
          <w:color w:val="231F20"/>
        </w:rPr>
        <w:t>years Other Buildings</w:t>
        <w:tab/>
        <w:t>10</w:t>
      </w:r>
      <w:r>
        <w:rPr>
          <w:color w:val="231F20"/>
          <w:spacing w:val="-13"/>
        </w:rPr>
        <w:t> </w:t>
      </w:r>
      <w:r>
        <w:rPr>
          <w:color w:val="231F20"/>
        </w:rPr>
        <w:t>-</w:t>
      </w:r>
      <w:r>
        <w:rPr>
          <w:color w:val="231F20"/>
          <w:spacing w:val="-12"/>
        </w:rPr>
        <w:t> </w:t>
      </w:r>
      <w:r>
        <w:rPr>
          <w:color w:val="231F20"/>
        </w:rPr>
        <w:t>80</w:t>
      </w:r>
      <w:r>
        <w:rPr>
          <w:color w:val="231F20"/>
          <w:spacing w:val="-13"/>
        </w:rPr>
        <w:t> </w:t>
      </w:r>
      <w:r>
        <w:rPr>
          <w:color w:val="231F20"/>
        </w:rPr>
        <w:t>years Vehicles, plant</w:t>
      </w:r>
    </w:p>
    <w:p>
      <w:pPr>
        <w:pStyle w:val="BodyText"/>
        <w:tabs>
          <w:tab w:pos="2886" w:val="left" w:leader="none"/>
        </w:tabs>
        <w:spacing w:line="294" w:lineRule="exact"/>
        <w:ind w:left="566"/>
      </w:pPr>
      <w:r>
        <w:rPr>
          <w:color w:val="231F20"/>
        </w:rPr>
        <w:t>and </w:t>
      </w:r>
      <w:r>
        <w:rPr>
          <w:color w:val="231F20"/>
          <w:spacing w:val="-2"/>
        </w:rPr>
        <w:t>equipment</w:t>
      </w:r>
      <w:r>
        <w:rPr>
          <w:color w:val="231F20"/>
        </w:rPr>
        <w:tab/>
        <w:t>3</w:t>
      </w:r>
      <w:r>
        <w:rPr>
          <w:color w:val="231F20"/>
          <w:spacing w:val="-4"/>
        </w:rPr>
        <w:t> </w:t>
      </w:r>
      <w:r>
        <w:rPr>
          <w:color w:val="231F20"/>
        </w:rPr>
        <w:t>- 10</w:t>
      </w:r>
      <w:r>
        <w:rPr>
          <w:color w:val="231F20"/>
          <w:spacing w:val="-1"/>
        </w:rPr>
        <w:t> </w:t>
      </w:r>
      <w:r>
        <w:rPr>
          <w:color w:val="231F20"/>
          <w:spacing w:val="-2"/>
        </w:rPr>
        <w:t>years</w:t>
      </w:r>
    </w:p>
    <w:p>
      <w:pPr>
        <w:pStyle w:val="BodyText"/>
        <w:tabs>
          <w:tab w:pos="2886" w:val="left" w:leader="none"/>
        </w:tabs>
        <w:spacing w:line="225" w:lineRule="auto" w:before="6"/>
        <w:ind w:left="566" w:right="1538"/>
      </w:pPr>
      <w:r>
        <w:rPr>
          <w:color w:val="231F20"/>
          <w:spacing w:val="-2"/>
        </w:rPr>
        <w:t>Infrastructure</w:t>
      </w:r>
      <w:r>
        <w:rPr>
          <w:color w:val="231F20"/>
        </w:rPr>
        <w:tab/>
        <w:t>10</w:t>
      </w:r>
      <w:r>
        <w:rPr>
          <w:color w:val="231F20"/>
          <w:spacing w:val="-13"/>
        </w:rPr>
        <w:t> </w:t>
      </w:r>
      <w:r>
        <w:rPr>
          <w:color w:val="231F20"/>
        </w:rPr>
        <w:t>-</w:t>
      </w:r>
      <w:r>
        <w:rPr>
          <w:color w:val="231F20"/>
          <w:spacing w:val="-12"/>
        </w:rPr>
        <w:t> </w:t>
      </w:r>
      <w:r>
        <w:rPr>
          <w:color w:val="231F20"/>
        </w:rPr>
        <w:t>40</w:t>
      </w:r>
      <w:r>
        <w:rPr>
          <w:color w:val="231F20"/>
          <w:spacing w:val="-13"/>
        </w:rPr>
        <w:t> </w:t>
      </w:r>
      <w:r>
        <w:rPr>
          <w:color w:val="231F20"/>
        </w:rPr>
        <w:t>years Community Assets</w:t>
        <w:tab/>
        <w:t>20 years</w:t>
      </w:r>
    </w:p>
    <w:p>
      <w:pPr>
        <w:pStyle w:val="BodyText"/>
        <w:spacing w:line="225" w:lineRule="auto" w:before="115"/>
        <w:ind w:left="267" w:right="648"/>
      </w:pPr>
      <w:r>
        <w:rPr/>
        <w:br w:type="column"/>
      </w:r>
      <w:r>
        <w:rPr>
          <w:color w:val="231F20"/>
        </w:rPr>
        <w:t>Revaluation gains are also depreciated.</w:t>
      </w:r>
      <w:r>
        <w:rPr>
          <w:color w:val="231F20"/>
          <w:spacing w:val="40"/>
        </w:rPr>
        <w:t> </w:t>
      </w:r>
      <w:r>
        <w:rPr>
          <w:color w:val="231F20"/>
        </w:rPr>
        <w:t>The difference between the depreciation on the current value and that, which would have been charged</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historic</w:t>
      </w:r>
      <w:r>
        <w:rPr>
          <w:color w:val="231F20"/>
          <w:spacing w:val="-5"/>
        </w:rPr>
        <w:t> </w:t>
      </w:r>
      <w:r>
        <w:rPr>
          <w:color w:val="231F20"/>
        </w:rPr>
        <w:t>value,</w:t>
      </w:r>
      <w:r>
        <w:rPr>
          <w:color w:val="231F20"/>
          <w:spacing w:val="-5"/>
        </w:rPr>
        <w:t> </w:t>
      </w:r>
      <w:r>
        <w:rPr>
          <w:color w:val="231F20"/>
        </w:rPr>
        <w:t>is</w:t>
      </w:r>
      <w:r>
        <w:rPr>
          <w:color w:val="231F20"/>
          <w:spacing w:val="-6"/>
        </w:rPr>
        <w:t> </w:t>
      </w:r>
      <w:r>
        <w:rPr>
          <w:color w:val="231F20"/>
        </w:rPr>
        <w:t>transferred</w:t>
      </w:r>
      <w:r>
        <w:rPr>
          <w:color w:val="231F20"/>
          <w:spacing w:val="-5"/>
        </w:rPr>
        <w:t> </w:t>
      </w:r>
      <w:r>
        <w:rPr>
          <w:color w:val="231F20"/>
        </w:rPr>
        <w:t>each year</w:t>
      </w:r>
      <w:r>
        <w:rPr>
          <w:color w:val="231F20"/>
          <w:spacing w:val="-2"/>
        </w:rPr>
        <w:t> </w:t>
      </w:r>
      <w:r>
        <w:rPr>
          <w:color w:val="231F20"/>
        </w:rPr>
        <w:t>from</w:t>
      </w:r>
      <w:r>
        <w:rPr>
          <w:color w:val="231F20"/>
          <w:spacing w:val="-2"/>
        </w:rPr>
        <w:t> </w:t>
      </w:r>
      <w:r>
        <w:rPr>
          <w:color w:val="231F20"/>
        </w:rPr>
        <w:t>the</w:t>
      </w:r>
      <w:r>
        <w:rPr>
          <w:color w:val="231F20"/>
          <w:spacing w:val="-2"/>
        </w:rPr>
        <w:t> </w:t>
      </w:r>
      <w:r>
        <w:rPr>
          <w:color w:val="231F20"/>
        </w:rPr>
        <w:t>Revaluation</w:t>
      </w:r>
      <w:r>
        <w:rPr>
          <w:color w:val="231F20"/>
          <w:spacing w:val="-2"/>
        </w:rPr>
        <w:t> </w:t>
      </w:r>
      <w:r>
        <w:rPr>
          <w:color w:val="231F20"/>
        </w:rPr>
        <w:t>Reserve</w:t>
      </w:r>
      <w:r>
        <w:rPr>
          <w:color w:val="231F20"/>
          <w:spacing w:val="-2"/>
        </w:rPr>
        <w:t> </w:t>
      </w:r>
      <w:r>
        <w:rPr>
          <w:color w:val="231F20"/>
        </w:rPr>
        <w:t>to</w:t>
      </w:r>
      <w:r>
        <w:rPr>
          <w:color w:val="231F20"/>
          <w:spacing w:val="-2"/>
        </w:rPr>
        <w:t> </w:t>
      </w:r>
      <w:r>
        <w:rPr>
          <w:color w:val="231F20"/>
        </w:rPr>
        <w:t>the</w:t>
      </w:r>
      <w:r>
        <w:rPr>
          <w:color w:val="231F20"/>
          <w:spacing w:val="-2"/>
        </w:rPr>
        <w:t> </w:t>
      </w:r>
      <w:r>
        <w:rPr>
          <w:color w:val="231F20"/>
        </w:rPr>
        <w:t>Capital Adjustment Account.</w:t>
      </w:r>
    </w:p>
    <w:p>
      <w:pPr>
        <w:pStyle w:val="Heading4"/>
        <w:spacing w:before="285"/>
        <w:ind w:left="267"/>
      </w:pPr>
      <w:r>
        <w:rPr>
          <w:color w:val="3B5673"/>
          <w:spacing w:val="-2"/>
        </w:rPr>
        <w:t>Componentisation</w:t>
      </w:r>
    </w:p>
    <w:p>
      <w:pPr>
        <w:pStyle w:val="BodyText"/>
        <w:spacing w:line="225" w:lineRule="auto" w:before="5"/>
        <w:ind w:left="267" w:right="369"/>
      </w:pPr>
      <w:r>
        <w:rPr>
          <w:color w:val="231F20"/>
        </w:rPr>
        <w:t>The Council allocates the costs of an individual asset to its various components to calculate depreciation</w:t>
      </w:r>
      <w:r>
        <w:rPr>
          <w:color w:val="231F20"/>
          <w:spacing w:val="-5"/>
        </w:rPr>
        <w:t> </w:t>
      </w:r>
      <w:r>
        <w:rPr>
          <w:color w:val="231F20"/>
        </w:rPr>
        <w:t>charges</w:t>
      </w:r>
      <w:r>
        <w:rPr>
          <w:color w:val="231F20"/>
          <w:spacing w:val="-5"/>
        </w:rPr>
        <w:t> </w:t>
      </w:r>
      <w:r>
        <w:rPr>
          <w:color w:val="231F20"/>
        </w:rPr>
        <w:t>where</w:t>
      </w:r>
      <w:r>
        <w:rPr>
          <w:color w:val="231F20"/>
          <w:spacing w:val="-5"/>
        </w:rPr>
        <w:t> </w:t>
      </w:r>
      <w:r>
        <w:rPr>
          <w:color w:val="231F20"/>
        </w:rPr>
        <w:t>the</w:t>
      </w:r>
      <w:r>
        <w:rPr>
          <w:color w:val="231F20"/>
          <w:spacing w:val="-5"/>
        </w:rPr>
        <w:t> </w:t>
      </w:r>
      <w:r>
        <w:rPr>
          <w:color w:val="231F20"/>
        </w:rPr>
        <w:t>value</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asset exceeds £500K and more than one individual component exceeds 20% of the asset value.</w:t>
      </w:r>
    </w:p>
    <w:p>
      <w:pPr>
        <w:pStyle w:val="BodyText"/>
        <w:spacing w:line="225" w:lineRule="auto"/>
        <w:ind w:left="267" w:right="648"/>
      </w:pPr>
      <w:r>
        <w:rPr>
          <w:color w:val="231F20"/>
        </w:rPr>
        <w:t>The impact on depreciation charges for assets below the threshold is not considered material. The</w:t>
      </w:r>
      <w:r>
        <w:rPr>
          <w:color w:val="231F20"/>
          <w:spacing w:val="-6"/>
        </w:rPr>
        <w:t> </w:t>
      </w:r>
      <w:r>
        <w:rPr>
          <w:color w:val="231F20"/>
        </w:rPr>
        <w:t>componentisation</w:t>
      </w:r>
      <w:r>
        <w:rPr>
          <w:color w:val="231F20"/>
          <w:spacing w:val="-6"/>
        </w:rPr>
        <w:t> </w:t>
      </w:r>
      <w:r>
        <w:rPr>
          <w:color w:val="231F20"/>
        </w:rPr>
        <w:t>is</w:t>
      </w:r>
      <w:r>
        <w:rPr>
          <w:color w:val="231F20"/>
          <w:spacing w:val="-7"/>
        </w:rPr>
        <w:t> </w:t>
      </w:r>
      <w:r>
        <w:rPr>
          <w:color w:val="231F20"/>
        </w:rPr>
        <w:t>based</w:t>
      </w:r>
      <w:r>
        <w:rPr>
          <w:color w:val="231F20"/>
          <w:spacing w:val="-6"/>
        </w:rPr>
        <w:t> </w:t>
      </w:r>
      <w:r>
        <w:rPr>
          <w:color w:val="231F20"/>
        </w:rPr>
        <w:t>on</w:t>
      </w:r>
      <w:r>
        <w:rPr>
          <w:color w:val="231F20"/>
          <w:spacing w:val="-6"/>
        </w:rPr>
        <w:t> </w:t>
      </w:r>
      <w:r>
        <w:rPr>
          <w:color w:val="231F20"/>
        </w:rPr>
        <w:t>the</w:t>
      </w:r>
      <w:r>
        <w:rPr>
          <w:color w:val="231F20"/>
          <w:spacing w:val="-6"/>
        </w:rPr>
        <w:t> </w:t>
      </w:r>
      <w:r>
        <w:rPr>
          <w:color w:val="231F20"/>
        </w:rPr>
        <w:t>following elements of the asset:-</w:t>
      </w:r>
    </w:p>
    <w:p>
      <w:pPr>
        <w:pStyle w:val="ListParagraph"/>
        <w:numPr>
          <w:ilvl w:val="0"/>
          <w:numId w:val="16"/>
        </w:numPr>
        <w:tabs>
          <w:tab w:pos="438" w:val="left" w:leader="none"/>
        </w:tabs>
        <w:spacing w:line="240" w:lineRule="auto" w:before="284" w:after="0"/>
        <w:ind w:left="437" w:right="0" w:hanging="171"/>
        <w:jc w:val="left"/>
        <w:rPr>
          <w:sz w:val="24"/>
        </w:rPr>
      </w:pPr>
      <w:r>
        <w:rPr/>
        <w:pict>
          <v:group style="position:absolute;margin-left:578.504028pt;margin-top:16.286821pt;width:16.8pt;height:192.8pt;mso-position-horizontal-relative:page;mso-position-vertical-relative:paragraph;z-index:15769600" id="docshapegroup343" coordorigin="11570,326" coordsize="336,3856">
            <v:rect style="position:absolute;left:11570;top:3217;width:336;height:964" id="docshape344" filled="true" fillcolor="#f15d6b" stroked="false">
              <v:fill type="solid"/>
            </v:rect>
            <v:rect style="position:absolute;left:11570;top:2253;width:336;height:964" id="docshape345" filled="true" fillcolor="#fbac42" stroked="false">
              <v:fill type="solid"/>
            </v:rect>
            <v:rect style="position:absolute;left:11570;top:1289;width:336;height:964" id="docshape346" filled="true" fillcolor="#b78fc1" stroked="false">
              <v:fill type="solid"/>
            </v:rect>
            <v:rect style="position:absolute;left:11570;top:325;width:336;height:964" id="docshape347" filled="true" fillcolor="#378372" stroked="false">
              <v:fill type="solid"/>
            </v:rect>
            <w10:wrap type="none"/>
          </v:group>
        </w:pict>
      </w:r>
      <w:r>
        <w:rPr>
          <w:color w:val="231F20"/>
          <w:sz w:val="24"/>
        </w:rPr>
        <w:t>Boilers,</w:t>
      </w:r>
      <w:r>
        <w:rPr>
          <w:color w:val="231F20"/>
          <w:spacing w:val="-3"/>
          <w:sz w:val="24"/>
        </w:rPr>
        <w:t> </w:t>
      </w:r>
      <w:r>
        <w:rPr>
          <w:color w:val="231F20"/>
          <w:sz w:val="24"/>
        </w:rPr>
        <w:t>heating</w:t>
      </w:r>
      <w:r>
        <w:rPr>
          <w:color w:val="231F20"/>
          <w:spacing w:val="-2"/>
          <w:sz w:val="24"/>
        </w:rPr>
        <w:t> </w:t>
      </w:r>
      <w:r>
        <w:rPr>
          <w:color w:val="231F20"/>
          <w:sz w:val="24"/>
        </w:rPr>
        <w:t>and</w:t>
      </w:r>
      <w:r>
        <w:rPr>
          <w:color w:val="231F20"/>
          <w:spacing w:val="-2"/>
          <w:sz w:val="24"/>
        </w:rPr>
        <w:t> </w:t>
      </w:r>
      <w:r>
        <w:rPr>
          <w:color w:val="231F20"/>
          <w:sz w:val="24"/>
        </w:rPr>
        <w:t>plant</w:t>
      </w:r>
      <w:r>
        <w:rPr>
          <w:color w:val="231F20"/>
          <w:spacing w:val="-1"/>
          <w:sz w:val="24"/>
        </w:rPr>
        <w:t> </w:t>
      </w:r>
      <w:r>
        <w:rPr>
          <w:color w:val="231F20"/>
          <w:spacing w:val="-2"/>
          <w:sz w:val="24"/>
        </w:rPr>
        <w:t>systems</w:t>
      </w:r>
    </w:p>
    <w:p>
      <w:pPr>
        <w:pStyle w:val="ListParagraph"/>
        <w:numPr>
          <w:ilvl w:val="0"/>
          <w:numId w:val="16"/>
        </w:numPr>
        <w:tabs>
          <w:tab w:pos="438" w:val="left" w:leader="none"/>
        </w:tabs>
        <w:spacing w:line="240" w:lineRule="auto" w:before="38" w:after="0"/>
        <w:ind w:left="437" w:right="0" w:hanging="171"/>
        <w:jc w:val="left"/>
        <w:rPr>
          <w:sz w:val="24"/>
        </w:rPr>
      </w:pPr>
      <w:r>
        <w:rPr>
          <w:color w:val="231F20"/>
          <w:spacing w:val="-2"/>
          <w:sz w:val="24"/>
        </w:rPr>
        <w:t>Lifts</w:t>
      </w:r>
    </w:p>
    <w:p>
      <w:pPr>
        <w:pStyle w:val="ListParagraph"/>
        <w:numPr>
          <w:ilvl w:val="0"/>
          <w:numId w:val="16"/>
        </w:numPr>
        <w:tabs>
          <w:tab w:pos="438" w:val="left" w:leader="none"/>
        </w:tabs>
        <w:spacing w:line="240" w:lineRule="auto" w:before="37" w:after="0"/>
        <w:ind w:left="437" w:right="0" w:hanging="171"/>
        <w:jc w:val="left"/>
        <w:rPr>
          <w:sz w:val="24"/>
        </w:rPr>
      </w:pPr>
      <w:r>
        <w:rPr>
          <w:color w:val="231F20"/>
          <w:spacing w:val="-2"/>
          <w:sz w:val="24"/>
        </w:rPr>
        <w:t>Roofs</w:t>
      </w:r>
    </w:p>
    <w:p>
      <w:pPr>
        <w:pStyle w:val="ListParagraph"/>
        <w:numPr>
          <w:ilvl w:val="0"/>
          <w:numId w:val="16"/>
        </w:numPr>
        <w:tabs>
          <w:tab w:pos="438" w:val="left" w:leader="none"/>
        </w:tabs>
        <w:spacing w:line="240" w:lineRule="auto" w:before="38" w:after="0"/>
        <w:ind w:left="437" w:right="0" w:hanging="171"/>
        <w:jc w:val="left"/>
        <w:rPr>
          <w:sz w:val="24"/>
        </w:rPr>
      </w:pPr>
      <w:r>
        <w:rPr>
          <w:color w:val="231F20"/>
          <w:sz w:val="24"/>
        </w:rPr>
        <w:t>Windows</w:t>
      </w:r>
      <w:r>
        <w:rPr>
          <w:color w:val="231F20"/>
          <w:spacing w:val="-4"/>
          <w:sz w:val="24"/>
        </w:rPr>
        <w:t> </w:t>
      </w:r>
      <w:r>
        <w:rPr>
          <w:color w:val="231F20"/>
          <w:sz w:val="24"/>
        </w:rPr>
        <w:t>and</w:t>
      </w:r>
      <w:r>
        <w:rPr>
          <w:color w:val="231F20"/>
          <w:spacing w:val="-3"/>
          <w:sz w:val="24"/>
        </w:rPr>
        <w:t> </w:t>
      </w:r>
      <w:r>
        <w:rPr>
          <w:color w:val="231F20"/>
          <w:spacing w:val="-2"/>
          <w:sz w:val="24"/>
        </w:rPr>
        <w:t>doors</w:t>
      </w:r>
    </w:p>
    <w:p>
      <w:pPr>
        <w:pStyle w:val="BodyText"/>
        <w:spacing w:before="7"/>
        <w:rPr>
          <w:sz w:val="26"/>
        </w:rPr>
      </w:pPr>
    </w:p>
    <w:p>
      <w:pPr>
        <w:pStyle w:val="BodyText"/>
        <w:spacing w:line="225" w:lineRule="auto"/>
        <w:ind w:left="267" w:right="575"/>
      </w:pPr>
      <w:r>
        <w:rPr>
          <w:color w:val="231F20"/>
        </w:rPr>
        <w:t>In terms of Council Dwellings, these assets are collectively valued in excess of £500K.</w:t>
      </w:r>
      <w:r>
        <w:rPr>
          <w:color w:val="231F20"/>
          <w:spacing w:val="40"/>
        </w:rPr>
        <w:t> </w:t>
      </w:r>
      <w:r>
        <w:rPr>
          <w:color w:val="231F20"/>
        </w:rPr>
        <w:t>However, when comparing the value of depreciation charged on a component basis compared to the current 40-year life straight-line methodology, the</w:t>
      </w:r>
      <w:r>
        <w:rPr>
          <w:color w:val="231F20"/>
          <w:spacing w:val="-5"/>
        </w:rPr>
        <w:t> </w:t>
      </w:r>
      <w:r>
        <w:rPr>
          <w:color w:val="231F20"/>
        </w:rPr>
        <w:t>difference</w:t>
      </w:r>
      <w:r>
        <w:rPr>
          <w:color w:val="231F20"/>
          <w:spacing w:val="-5"/>
        </w:rPr>
        <w:t> </w:t>
      </w:r>
      <w:r>
        <w:rPr>
          <w:color w:val="231F20"/>
        </w:rPr>
        <w:t>is</w:t>
      </w:r>
      <w:r>
        <w:rPr>
          <w:color w:val="231F20"/>
          <w:spacing w:val="-6"/>
        </w:rPr>
        <w:t> </w:t>
      </w:r>
      <w:r>
        <w:rPr>
          <w:color w:val="231F20"/>
        </w:rPr>
        <w:t>not</w:t>
      </w:r>
      <w:r>
        <w:rPr>
          <w:color w:val="231F20"/>
          <w:spacing w:val="-5"/>
        </w:rPr>
        <w:t> </w:t>
      </w:r>
      <w:r>
        <w:rPr>
          <w:color w:val="231F20"/>
        </w:rPr>
        <w:t>considered</w:t>
      </w:r>
      <w:r>
        <w:rPr>
          <w:color w:val="231F20"/>
          <w:spacing w:val="-5"/>
        </w:rPr>
        <w:t> </w:t>
      </w:r>
      <w:r>
        <w:rPr>
          <w:color w:val="231F20"/>
        </w:rPr>
        <w:t>material.</w:t>
      </w:r>
      <w:r>
        <w:rPr>
          <w:color w:val="231F20"/>
          <w:spacing w:val="40"/>
        </w:rPr>
        <w:t> </w:t>
      </w:r>
      <w:r>
        <w:rPr>
          <w:color w:val="231F20"/>
        </w:rPr>
        <w:t>Council Dwellings are therefore not currently subject</w:t>
      </w:r>
    </w:p>
    <w:p>
      <w:pPr>
        <w:pStyle w:val="BodyText"/>
        <w:spacing w:line="294" w:lineRule="exact"/>
        <w:ind w:left="267"/>
      </w:pPr>
      <w:r>
        <w:rPr>
          <w:color w:val="231F20"/>
        </w:rPr>
        <w:t>to</w:t>
      </w:r>
      <w:r>
        <w:rPr>
          <w:color w:val="231F20"/>
          <w:spacing w:val="-1"/>
        </w:rPr>
        <w:t> </w:t>
      </w:r>
      <w:r>
        <w:rPr>
          <w:color w:val="231F20"/>
        </w:rPr>
        <w:t>componentisation but the policy is</w:t>
      </w:r>
      <w:r>
        <w:rPr>
          <w:color w:val="231F20"/>
          <w:spacing w:val="-1"/>
        </w:rPr>
        <w:t> </w:t>
      </w:r>
      <w:r>
        <w:rPr>
          <w:color w:val="231F20"/>
        </w:rPr>
        <w:t>to </w:t>
      </w:r>
      <w:r>
        <w:rPr>
          <w:color w:val="231F20"/>
          <w:spacing w:val="-5"/>
        </w:rPr>
        <w:t>be</w:t>
      </w:r>
    </w:p>
    <w:p>
      <w:pPr>
        <w:pStyle w:val="BodyText"/>
        <w:spacing w:line="310" w:lineRule="exact"/>
        <w:ind w:left="267"/>
      </w:pPr>
      <w:r>
        <w:rPr>
          <w:color w:val="231F20"/>
        </w:rPr>
        <w:t>reviewed on an annual </w:t>
      </w:r>
      <w:r>
        <w:rPr>
          <w:color w:val="231F20"/>
          <w:spacing w:val="-2"/>
        </w:rPr>
        <w:t>basis.</w:t>
      </w:r>
    </w:p>
    <w:p>
      <w:pPr>
        <w:spacing w:after="0" w:line="310" w:lineRule="exact"/>
        <w:sectPr>
          <w:type w:val="continuous"/>
          <w:pgSz w:w="11910" w:h="16840"/>
          <w:pgMar w:header="377" w:footer="367" w:top="260" w:bottom="0" w:left="0" w:right="0"/>
          <w:cols w:num="2" w:equalWidth="0">
            <w:col w:w="5788" w:space="40"/>
            <w:col w:w="6082"/>
          </w:cols>
        </w:sectPr>
      </w:pPr>
    </w:p>
    <w:p>
      <w:pPr>
        <w:pStyle w:val="BodyText"/>
        <w:rPr>
          <w:sz w:val="28"/>
        </w:rPr>
      </w:pPr>
    </w:p>
    <w:p>
      <w:pPr>
        <w:spacing w:after="0"/>
        <w:rPr>
          <w:sz w:val="28"/>
        </w:rPr>
        <w:sectPr>
          <w:pgSz w:w="11910" w:h="16840"/>
          <w:pgMar w:header="377" w:footer="367" w:top="560" w:bottom="560" w:left="0" w:right="0"/>
        </w:sectPr>
      </w:pPr>
    </w:p>
    <w:p>
      <w:pPr>
        <w:pStyle w:val="Heading3"/>
        <w:numPr>
          <w:ilvl w:val="0"/>
          <w:numId w:val="11"/>
        </w:numPr>
        <w:tabs>
          <w:tab w:pos="979" w:val="left" w:leader="none"/>
        </w:tabs>
        <w:spacing w:line="310" w:lineRule="exact" w:before="100" w:after="0"/>
        <w:ind w:left="978" w:right="0" w:hanging="413"/>
        <w:jc w:val="left"/>
      </w:pPr>
      <w:r>
        <w:rPr>
          <w:color w:val="3B5673"/>
        </w:rPr>
        <w:t>HERITAGE</w:t>
      </w:r>
      <w:r>
        <w:rPr>
          <w:color w:val="3B5673"/>
          <w:spacing w:val="45"/>
        </w:rPr>
        <w:t> </w:t>
      </w:r>
      <w:r>
        <w:rPr>
          <w:color w:val="3B5673"/>
          <w:spacing w:val="-2"/>
        </w:rPr>
        <w:t>ASSETS</w:t>
      </w:r>
    </w:p>
    <w:p>
      <w:pPr>
        <w:pStyle w:val="BodyText"/>
        <w:spacing w:line="225" w:lineRule="auto" w:before="6"/>
        <w:ind w:left="566"/>
      </w:pPr>
      <w:r>
        <w:rPr>
          <w:color w:val="231F20"/>
        </w:rPr>
        <w:t>The Council’s Heritage Assets held are Historical Monuments, Statues and Artwork.</w:t>
      </w:r>
      <w:r>
        <w:rPr>
          <w:color w:val="231F20"/>
          <w:spacing w:val="80"/>
        </w:rPr>
        <w:t> </w:t>
      </w:r>
      <w:r>
        <w:rPr>
          <w:color w:val="231F20"/>
        </w:rPr>
        <w:t>Heritage Assets are recognised and measured (including the treatment of revaluation gains and losses) in accordance</w:t>
      </w:r>
      <w:r>
        <w:rPr>
          <w:color w:val="231F20"/>
          <w:spacing w:val="-7"/>
        </w:rPr>
        <w:t> </w:t>
      </w:r>
      <w:r>
        <w:rPr>
          <w:color w:val="231F20"/>
        </w:rPr>
        <w:t>with</w:t>
      </w:r>
      <w:r>
        <w:rPr>
          <w:color w:val="231F20"/>
          <w:spacing w:val="-7"/>
        </w:rPr>
        <w:t> </w:t>
      </w:r>
      <w:r>
        <w:rPr>
          <w:color w:val="231F20"/>
        </w:rPr>
        <w:t>the</w:t>
      </w:r>
      <w:r>
        <w:rPr>
          <w:color w:val="231F20"/>
          <w:spacing w:val="-7"/>
        </w:rPr>
        <w:t> </w:t>
      </w:r>
      <w:r>
        <w:rPr>
          <w:color w:val="231F20"/>
        </w:rPr>
        <w:t>Council’s</w:t>
      </w:r>
      <w:r>
        <w:rPr>
          <w:color w:val="231F20"/>
          <w:spacing w:val="-8"/>
        </w:rPr>
        <w:t> </w:t>
      </w:r>
      <w:r>
        <w:rPr>
          <w:color w:val="231F20"/>
        </w:rPr>
        <w:t>accounting</w:t>
      </w:r>
      <w:r>
        <w:rPr>
          <w:color w:val="231F20"/>
          <w:spacing w:val="-7"/>
        </w:rPr>
        <w:t> </w:t>
      </w:r>
      <w:r>
        <w:rPr>
          <w:color w:val="231F20"/>
        </w:rPr>
        <w:t>policies on property, plant and equipment. However, no depreciation is charged on Heritage Assets as they are deemed to have an indeterminate life and have a high residual value.</w:t>
      </w:r>
    </w:p>
    <w:p>
      <w:pPr>
        <w:pStyle w:val="Heading4"/>
        <w:spacing w:before="284"/>
      </w:pPr>
      <w:r>
        <w:rPr>
          <w:color w:val="3B5673"/>
        </w:rPr>
        <w:t>Historical</w:t>
      </w:r>
      <w:r>
        <w:rPr>
          <w:color w:val="3B5673"/>
          <w:spacing w:val="-9"/>
        </w:rPr>
        <w:t> </w:t>
      </w:r>
      <w:r>
        <w:rPr>
          <w:color w:val="3B5673"/>
          <w:spacing w:val="-2"/>
        </w:rPr>
        <w:t>Monuments</w:t>
      </w:r>
    </w:p>
    <w:p>
      <w:pPr>
        <w:pStyle w:val="BodyText"/>
        <w:spacing w:line="225" w:lineRule="auto" w:before="6"/>
        <w:ind w:left="566" w:right="66"/>
      </w:pPr>
      <w:r>
        <w:rPr>
          <w:color w:val="231F20"/>
        </w:rPr>
        <w:t>The Council has seven Cenotaphs that are located</w:t>
      </w:r>
      <w:r>
        <w:rPr>
          <w:color w:val="231F20"/>
          <w:spacing w:val="-8"/>
        </w:rPr>
        <w:t> </w:t>
      </w:r>
      <w:r>
        <w:rPr>
          <w:color w:val="231F20"/>
        </w:rPr>
        <w:t>at</w:t>
      </w:r>
      <w:r>
        <w:rPr>
          <w:color w:val="231F20"/>
          <w:spacing w:val="-8"/>
        </w:rPr>
        <w:t> </w:t>
      </w:r>
      <w:r>
        <w:rPr>
          <w:color w:val="231F20"/>
        </w:rPr>
        <w:t>various</w:t>
      </w:r>
      <w:r>
        <w:rPr>
          <w:color w:val="231F20"/>
          <w:spacing w:val="-8"/>
        </w:rPr>
        <w:t> </w:t>
      </w:r>
      <w:r>
        <w:rPr>
          <w:color w:val="231F20"/>
        </w:rPr>
        <w:t>outside</w:t>
      </w:r>
      <w:r>
        <w:rPr>
          <w:color w:val="231F20"/>
          <w:spacing w:val="-8"/>
        </w:rPr>
        <w:t> </w:t>
      </w:r>
      <w:r>
        <w:rPr>
          <w:color w:val="231F20"/>
        </w:rPr>
        <w:t>locations</w:t>
      </w:r>
      <w:r>
        <w:rPr>
          <w:color w:val="231F20"/>
          <w:spacing w:val="-8"/>
        </w:rPr>
        <w:t> </w:t>
      </w:r>
      <w:r>
        <w:rPr>
          <w:color w:val="231F20"/>
        </w:rPr>
        <w:t>throughout the District. These monuments are reported in the Balance Sheet on an average replacement cost basis, which has been agreed following discussions with our internal valuer.</w:t>
      </w:r>
    </w:p>
    <w:p>
      <w:pPr>
        <w:pStyle w:val="Heading4"/>
        <w:spacing w:before="284"/>
      </w:pPr>
      <w:r>
        <w:rPr>
          <w:color w:val="3B5673"/>
        </w:rPr>
        <w:t>Statues</w:t>
      </w:r>
      <w:r>
        <w:rPr>
          <w:color w:val="3B5673"/>
          <w:spacing w:val="-6"/>
        </w:rPr>
        <w:t> </w:t>
      </w:r>
      <w:r>
        <w:rPr>
          <w:color w:val="3B5673"/>
        </w:rPr>
        <w:t>and</w:t>
      </w:r>
      <w:r>
        <w:rPr>
          <w:color w:val="3B5673"/>
          <w:spacing w:val="-5"/>
        </w:rPr>
        <w:t> </w:t>
      </w:r>
      <w:r>
        <w:rPr>
          <w:color w:val="3B5673"/>
        </w:rPr>
        <w:t>Artwork</w:t>
      </w:r>
      <w:r>
        <w:rPr>
          <w:color w:val="3B5673"/>
          <w:spacing w:val="-5"/>
        </w:rPr>
        <w:t> </w:t>
      </w:r>
      <w:r>
        <w:rPr>
          <w:color w:val="3B5673"/>
          <w:spacing w:val="-2"/>
        </w:rPr>
        <w:t>Collection</w:t>
      </w:r>
    </w:p>
    <w:p>
      <w:pPr>
        <w:pStyle w:val="BodyText"/>
        <w:spacing w:line="225" w:lineRule="auto" w:before="6"/>
        <w:ind w:left="566"/>
      </w:pPr>
      <w:r>
        <w:rPr>
          <w:color w:val="231F20"/>
        </w:rPr>
        <w:t>The collection includes Statues, Sculptures and Mosaics</w:t>
      </w:r>
      <w:r>
        <w:rPr>
          <w:color w:val="231F20"/>
          <w:spacing w:val="-6"/>
        </w:rPr>
        <w:t> </w:t>
      </w:r>
      <w:r>
        <w:rPr>
          <w:color w:val="231F20"/>
        </w:rPr>
        <w:t>situated</w:t>
      </w:r>
      <w:r>
        <w:rPr>
          <w:color w:val="231F20"/>
          <w:spacing w:val="-7"/>
        </w:rPr>
        <w:t> </w:t>
      </w:r>
      <w:r>
        <w:rPr>
          <w:color w:val="231F20"/>
        </w:rPr>
        <w:t>within</w:t>
      </w:r>
      <w:r>
        <w:rPr>
          <w:color w:val="231F20"/>
          <w:spacing w:val="-6"/>
        </w:rPr>
        <w:t> </w:t>
      </w:r>
      <w:r>
        <w:rPr>
          <w:color w:val="231F20"/>
        </w:rPr>
        <w:t>the</w:t>
      </w:r>
      <w:r>
        <w:rPr>
          <w:color w:val="231F20"/>
          <w:spacing w:val="-6"/>
        </w:rPr>
        <w:t> </w:t>
      </w:r>
      <w:r>
        <w:rPr>
          <w:color w:val="231F20"/>
        </w:rPr>
        <w:t>local</w:t>
      </w:r>
      <w:r>
        <w:rPr>
          <w:color w:val="231F20"/>
          <w:spacing w:val="-7"/>
        </w:rPr>
        <w:t> </w:t>
      </w:r>
      <w:r>
        <w:rPr>
          <w:color w:val="231F20"/>
        </w:rPr>
        <w:t>town</w:t>
      </w:r>
      <w:r>
        <w:rPr>
          <w:color w:val="231F20"/>
          <w:spacing w:val="-6"/>
        </w:rPr>
        <w:t> </w:t>
      </w:r>
      <w:r>
        <w:rPr>
          <w:color w:val="231F20"/>
        </w:rPr>
        <w:t>and</w:t>
      </w:r>
      <w:r>
        <w:rPr>
          <w:color w:val="231F20"/>
          <w:spacing w:val="-6"/>
        </w:rPr>
        <w:t> </w:t>
      </w:r>
      <w:r>
        <w:rPr>
          <w:color w:val="231F20"/>
        </w:rPr>
        <w:t>village streets throughout the District. The collection depicts the District’s mining and engineering history to ensure the knowledge, culture and understanding of our heritage is preserved for future generations. An artwork example would</w:t>
      </w:r>
    </w:p>
    <w:p>
      <w:pPr>
        <w:pStyle w:val="BodyText"/>
        <w:spacing w:line="225" w:lineRule="auto"/>
        <w:ind w:left="566"/>
      </w:pPr>
      <w:r>
        <w:rPr>
          <w:color w:val="231F20"/>
        </w:rPr>
        <w:t>be The Flight of Fancy sculpture that represents the</w:t>
      </w:r>
      <w:r>
        <w:rPr>
          <w:color w:val="231F20"/>
          <w:spacing w:val="-9"/>
        </w:rPr>
        <w:t> </w:t>
      </w:r>
      <w:r>
        <w:rPr>
          <w:color w:val="231F20"/>
        </w:rPr>
        <w:t>Rolls</w:t>
      </w:r>
      <w:r>
        <w:rPr>
          <w:color w:val="231F20"/>
          <w:spacing w:val="-9"/>
        </w:rPr>
        <w:t> </w:t>
      </w:r>
      <w:r>
        <w:rPr>
          <w:color w:val="231F20"/>
        </w:rPr>
        <w:t>Royce</w:t>
      </w:r>
      <w:r>
        <w:rPr>
          <w:color w:val="231F20"/>
          <w:spacing w:val="-9"/>
        </w:rPr>
        <w:t> </w:t>
      </w:r>
      <w:r>
        <w:rPr>
          <w:color w:val="231F20"/>
        </w:rPr>
        <w:t>Flying</w:t>
      </w:r>
      <w:r>
        <w:rPr>
          <w:color w:val="231F20"/>
          <w:spacing w:val="-10"/>
        </w:rPr>
        <w:t> </w:t>
      </w:r>
      <w:r>
        <w:rPr>
          <w:color w:val="231F20"/>
        </w:rPr>
        <w:t>Bedstead</w:t>
      </w:r>
      <w:r>
        <w:rPr>
          <w:color w:val="231F20"/>
          <w:spacing w:val="-10"/>
        </w:rPr>
        <w:t> </w:t>
      </w:r>
      <w:r>
        <w:rPr>
          <w:color w:val="231F20"/>
        </w:rPr>
        <w:t>thrust</w:t>
      </w:r>
      <w:r>
        <w:rPr>
          <w:color w:val="231F20"/>
          <w:spacing w:val="-9"/>
        </w:rPr>
        <w:t> </w:t>
      </w:r>
      <w:r>
        <w:rPr>
          <w:color w:val="231F20"/>
        </w:rPr>
        <w:t>measuring machine that was developed to research the</w:t>
      </w:r>
    </w:p>
    <w:p>
      <w:pPr>
        <w:pStyle w:val="BodyText"/>
        <w:spacing w:line="225" w:lineRule="auto"/>
        <w:ind w:left="566"/>
      </w:pPr>
      <w:r>
        <w:rPr>
          <w:color w:val="231F20"/>
        </w:rPr>
        <w:t>use</w:t>
      </w:r>
      <w:r>
        <w:rPr>
          <w:color w:val="231F20"/>
          <w:spacing w:val="-4"/>
        </w:rPr>
        <w:t> </w:t>
      </w:r>
      <w:r>
        <w:rPr>
          <w:color w:val="231F20"/>
        </w:rPr>
        <w:t>of</w:t>
      </w:r>
      <w:r>
        <w:rPr>
          <w:color w:val="231F20"/>
          <w:spacing w:val="-4"/>
        </w:rPr>
        <w:t> </w:t>
      </w:r>
      <w:r>
        <w:rPr>
          <w:color w:val="231F20"/>
        </w:rPr>
        <w:t>direct</w:t>
      </w:r>
      <w:r>
        <w:rPr>
          <w:color w:val="231F20"/>
          <w:spacing w:val="-4"/>
        </w:rPr>
        <w:t> </w:t>
      </w:r>
      <w:r>
        <w:rPr>
          <w:color w:val="231F20"/>
        </w:rPr>
        <w:t>lift.</w:t>
      </w:r>
      <w:r>
        <w:rPr>
          <w:color w:val="231F20"/>
          <w:spacing w:val="-5"/>
        </w:rPr>
        <w:t> </w:t>
      </w:r>
      <w:r>
        <w:rPr>
          <w:color w:val="231F20"/>
        </w:rPr>
        <w:t>These</w:t>
      </w:r>
      <w:r>
        <w:rPr>
          <w:color w:val="231F20"/>
          <w:spacing w:val="-4"/>
        </w:rPr>
        <w:t> </w:t>
      </w:r>
      <w:r>
        <w:rPr>
          <w:color w:val="231F20"/>
        </w:rPr>
        <w:t>items</w:t>
      </w:r>
      <w:r>
        <w:rPr>
          <w:color w:val="231F20"/>
          <w:spacing w:val="-5"/>
        </w:rPr>
        <w:t> </w:t>
      </w:r>
      <w:r>
        <w:rPr>
          <w:color w:val="231F20"/>
        </w:rPr>
        <w:t>are</w:t>
      </w:r>
      <w:r>
        <w:rPr>
          <w:color w:val="231F20"/>
          <w:spacing w:val="-4"/>
        </w:rPr>
        <w:t> </w:t>
      </w:r>
      <w:r>
        <w:rPr>
          <w:color w:val="231F20"/>
        </w:rPr>
        <w:t>reported</w:t>
      </w:r>
      <w:r>
        <w:rPr>
          <w:color w:val="231F20"/>
          <w:spacing w:val="-4"/>
        </w:rPr>
        <w:t> </w:t>
      </w:r>
      <w:r>
        <w:rPr>
          <w:color w:val="231F20"/>
        </w:rPr>
        <w:t>in</w:t>
      </w:r>
      <w:r>
        <w:rPr>
          <w:color w:val="231F20"/>
          <w:spacing w:val="-5"/>
        </w:rPr>
        <w:t> </w:t>
      </w:r>
      <w:r>
        <w:rPr>
          <w:color w:val="231F20"/>
        </w:rPr>
        <w:t>the Balance Sheet on an historic cost basis or on</w:t>
      </w:r>
    </w:p>
    <w:p>
      <w:pPr>
        <w:pStyle w:val="BodyText"/>
        <w:spacing w:line="294" w:lineRule="exact"/>
        <w:ind w:left="566"/>
      </w:pPr>
      <w:r>
        <w:rPr>
          <w:color w:val="231F20"/>
        </w:rPr>
        <w:t>an</w:t>
      </w:r>
      <w:r>
        <w:rPr>
          <w:color w:val="231F20"/>
          <w:spacing w:val="-2"/>
        </w:rPr>
        <w:t> </w:t>
      </w:r>
      <w:r>
        <w:rPr>
          <w:color w:val="231F20"/>
        </w:rPr>
        <w:t>insurance</w:t>
      </w:r>
      <w:r>
        <w:rPr>
          <w:color w:val="231F20"/>
          <w:spacing w:val="-2"/>
        </w:rPr>
        <w:t> </w:t>
      </w:r>
      <w:r>
        <w:rPr>
          <w:color w:val="231F20"/>
        </w:rPr>
        <w:t>valuation</w:t>
      </w:r>
      <w:r>
        <w:rPr>
          <w:color w:val="231F20"/>
          <w:spacing w:val="-1"/>
        </w:rPr>
        <w:t> </w:t>
      </w:r>
      <w:r>
        <w:rPr>
          <w:color w:val="231F20"/>
        </w:rPr>
        <w:t>basis</w:t>
      </w:r>
      <w:r>
        <w:rPr>
          <w:color w:val="231F20"/>
          <w:spacing w:val="-2"/>
        </w:rPr>
        <w:t> </w:t>
      </w:r>
      <w:r>
        <w:rPr>
          <w:color w:val="231F20"/>
        </w:rPr>
        <w:t>and</w:t>
      </w:r>
      <w:r>
        <w:rPr>
          <w:color w:val="231F20"/>
          <w:spacing w:val="-1"/>
        </w:rPr>
        <w:t> </w:t>
      </w:r>
      <w:r>
        <w:rPr>
          <w:color w:val="231F20"/>
        </w:rPr>
        <w:t>were</w:t>
      </w:r>
      <w:r>
        <w:rPr>
          <w:color w:val="231F20"/>
          <w:spacing w:val="-1"/>
        </w:rPr>
        <w:t> </w:t>
      </w:r>
      <w:r>
        <w:rPr>
          <w:color w:val="231F20"/>
          <w:spacing w:val="-2"/>
        </w:rPr>
        <w:t>mainly</w:t>
      </w:r>
    </w:p>
    <w:p>
      <w:pPr>
        <w:pStyle w:val="BodyText"/>
        <w:spacing w:line="310" w:lineRule="exact"/>
        <w:ind w:left="566"/>
      </w:pPr>
      <w:r>
        <w:rPr>
          <w:color w:val="231F20"/>
        </w:rPr>
        <w:t>purchased from grant </w:t>
      </w:r>
      <w:r>
        <w:rPr>
          <w:color w:val="231F20"/>
          <w:spacing w:val="-2"/>
        </w:rPr>
        <w:t>funding.</w:t>
      </w:r>
    </w:p>
    <w:p>
      <w:pPr>
        <w:pStyle w:val="Heading4"/>
        <w:spacing w:before="280"/>
      </w:pPr>
      <w:r>
        <w:rPr>
          <w:color w:val="3B5673"/>
        </w:rPr>
        <w:t>Non</w:t>
      </w:r>
      <w:r>
        <w:rPr>
          <w:color w:val="3B5673"/>
          <w:spacing w:val="-3"/>
        </w:rPr>
        <w:t> </w:t>
      </w:r>
      <w:r>
        <w:rPr>
          <w:color w:val="3B5673"/>
        </w:rPr>
        <w:t>Balance</w:t>
      </w:r>
      <w:r>
        <w:rPr>
          <w:color w:val="3B5673"/>
          <w:spacing w:val="-4"/>
        </w:rPr>
        <w:t> </w:t>
      </w:r>
      <w:r>
        <w:rPr>
          <w:color w:val="3B5673"/>
        </w:rPr>
        <w:t>Sheet</w:t>
      </w:r>
      <w:r>
        <w:rPr>
          <w:color w:val="3B5673"/>
          <w:spacing w:val="-2"/>
        </w:rPr>
        <w:t> Items</w:t>
      </w:r>
    </w:p>
    <w:p>
      <w:pPr>
        <w:pStyle w:val="BodyText"/>
        <w:spacing w:line="225" w:lineRule="auto" w:before="6"/>
        <w:ind w:left="566" w:right="188"/>
      </w:pPr>
      <w:r>
        <w:rPr>
          <w:color w:val="231F20"/>
        </w:rPr>
        <w:t>The Council also holds a collection of items</w:t>
      </w:r>
      <w:r>
        <w:rPr>
          <w:color w:val="231F20"/>
          <w:spacing w:val="80"/>
        </w:rPr>
        <w:t> </w:t>
      </w:r>
      <w:r>
        <w:rPr>
          <w:color w:val="231F20"/>
        </w:rPr>
        <w:t>that</w:t>
      </w:r>
      <w:r>
        <w:rPr>
          <w:color w:val="231F20"/>
          <w:spacing w:val="-5"/>
        </w:rPr>
        <w:t> </w:t>
      </w:r>
      <w:r>
        <w:rPr>
          <w:color w:val="231F20"/>
        </w:rPr>
        <w:t>are</w:t>
      </w:r>
      <w:r>
        <w:rPr>
          <w:color w:val="231F20"/>
          <w:spacing w:val="-5"/>
        </w:rPr>
        <w:t> </w:t>
      </w:r>
      <w:r>
        <w:rPr>
          <w:color w:val="231F20"/>
        </w:rPr>
        <w:t>not</w:t>
      </w:r>
      <w:r>
        <w:rPr>
          <w:color w:val="231F20"/>
          <w:spacing w:val="-5"/>
        </w:rPr>
        <w:t> </w:t>
      </w:r>
      <w:r>
        <w:rPr>
          <w:color w:val="231F20"/>
        </w:rPr>
        <w:t>recognised</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Balance</w:t>
      </w:r>
      <w:r>
        <w:rPr>
          <w:color w:val="231F20"/>
          <w:spacing w:val="-6"/>
        </w:rPr>
        <w:t> </w:t>
      </w:r>
      <w:r>
        <w:rPr>
          <w:color w:val="231F20"/>
        </w:rPr>
        <w:t>Sheet</w:t>
      </w:r>
      <w:r>
        <w:rPr>
          <w:color w:val="231F20"/>
          <w:spacing w:val="-6"/>
        </w:rPr>
        <w:t> </w:t>
      </w:r>
      <w:r>
        <w:rPr>
          <w:color w:val="231F20"/>
        </w:rPr>
        <w:t>as cost</w:t>
      </w:r>
      <w:r>
        <w:rPr>
          <w:color w:val="231F20"/>
          <w:spacing w:val="-1"/>
        </w:rPr>
        <w:t> </w:t>
      </w:r>
      <w:r>
        <w:rPr>
          <w:color w:val="231F20"/>
        </w:rPr>
        <w:t>information</w:t>
      </w:r>
      <w:r>
        <w:rPr>
          <w:color w:val="231F20"/>
          <w:spacing w:val="-2"/>
        </w:rPr>
        <w:t> </w:t>
      </w:r>
      <w:r>
        <w:rPr>
          <w:color w:val="231F20"/>
        </w:rPr>
        <w:t>is</w:t>
      </w:r>
      <w:r>
        <w:rPr>
          <w:color w:val="231F20"/>
          <w:spacing w:val="-2"/>
        </w:rPr>
        <w:t> </w:t>
      </w:r>
      <w:r>
        <w:rPr>
          <w:color w:val="231F20"/>
        </w:rPr>
        <w:t>not</w:t>
      </w:r>
      <w:r>
        <w:rPr>
          <w:color w:val="231F20"/>
          <w:spacing w:val="-1"/>
        </w:rPr>
        <w:t> </w:t>
      </w:r>
      <w:r>
        <w:rPr>
          <w:color w:val="231F20"/>
        </w:rPr>
        <w:t>readily</w:t>
      </w:r>
      <w:r>
        <w:rPr>
          <w:color w:val="231F20"/>
          <w:spacing w:val="-1"/>
        </w:rPr>
        <w:t> </w:t>
      </w:r>
      <w:r>
        <w:rPr>
          <w:color w:val="231F20"/>
        </w:rPr>
        <w:t>available</w:t>
      </w:r>
      <w:r>
        <w:rPr>
          <w:color w:val="231F20"/>
          <w:spacing w:val="-1"/>
        </w:rPr>
        <w:t> </w:t>
      </w:r>
      <w:r>
        <w:rPr>
          <w:color w:val="231F20"/>
        </w:rPr>
        <w:t>and</w:t>
      </w:r>
      <w:r>
        <w:rPr>
          <w:color w:val="231F20"/>
          <w:spacing w:val="-1"/>
        </w:rPr>
        <w:t> </w:t>
      </w:r>
      <w:r>
        <w:rPr>
          <w:color w:val="231F20"/>
        </w:rPr>
        <w:t>the Council believes that the benefits of obtaining the valuation for these items would not justify the cost. These items are believed to have</w:t>
      </w:r>
    </w:p>
    <w:p>
      <w:pPr>
        <w:spacing w:line="240" w:lineRule="auto" w:before="3"/>
        <w:rPr>
          <w:sz w:val="31"/>
        </w:rPr>
      </w:pPr>
      <w:r>
        <w:rPr/>
        <w:br w:type="column"/>
      </w:r>
      <w:r>
        <w:rPr>
          <w:sz w:val="31"/>
        </w:rPr>
      </w:r>
    </w:p>
    <w:p>
      <w:pPr>
        <w:pStyle w:val="BodyText"/>
        <w:spacing w:line="225" w:lineRule="auto"/>
        <w:ind w:left="244" w:right="438"/>
      </w:pPr>
      <w:r>
        <w:rPr>
          <w:color w:val="231F20"/>
        </w:rPr>
        <w:t>a value of £10k or less. The majority of the collection</w:t>
      </w:r>
      <w:r>
        <w:rPr>
          <w:color w:val="231F20"/>
          <w:spacing w:val="-7"/>
        </w:rPr>
        <w:t> </w:t>
      </w:r>
      <w:r>
        <w:rPr>
          <w:color w:val="231F20"/>
        </w:rPr>
        <w:t>is</w:t>
      </w:r>
      <w:r>
        <w:rPr>
          <w:color w:val="231F20"/>
          <w:spacing w:val="-7"/>
        </w:rPr>
        <w:t> </w:t>
      </w:r>
      <w:r>
        <w:rPr>
          <w:color w:val="231F20"/>
        </w:rPr>
        <w:t>street</w:t>
      </w:r>
      <w:r>
        <w:rPr>
          <w:color w:val="231F20"/>
          <w:spacing w:val="-7"/>
        </w:rPr>
        <w:t> </w:t>
      </w:r>
      <w:r>
        <w:rPr>
          <w:color w:val="231F20"/>
        </w:rPr>
        <w:t>mosaics,</w:t>
      </w:r>
      <w:r>
        <w:rPr>
          <w:color w:val="231F20"/>
          <w:spacing w:val="-7"/>
        </w:rPr>
        <w:t> </w:t>
      </w:r>
      <w:r>
        <w:rPr>
          <w:color w:val="231F20"/>
        </w:rPr>
        <w:t>murals</w:t>
      </w:r>
      <w:r>
        <w:rPr>
          <w:color w:val="231F20"/>
          <w:spacing w:val="-7"/>
        </w:rPr>
        <w:t> </w:t>
      </w:r>
      <w:r>
        <w:rPr>
          <w:color w:val="231F20"/>
        </w:rPr>
        <w:t>and</w:t>
      </w:r>
      <w:r>
        <w:rPr>
          <w:color w:val="231F20"/>
          <w:spacing w:val="-7"/>
        </w:rPr>
        <w:t> </w:t>
      </w:r>
      <w:r>
        <w:rPr>
          <w:color w:val="231F20"/>
        </w:rPr>
        <w:t>sculptures purchased through grant funding or produced</w:t>
      </w:r>
    </w:p>
    <w:p>
      <w:pPr>
        <w:pStyle w:val="BodyText"/>
        <w:spacing w:line="225" w:lineRule="auto"/>
        <w:ind w:left="244" w:right="438"/>
      </w:pPr>
      <w:r>
        <w:rPr>
          <w:color w:val="231F20"/>
        </w:rPr>
        <w:t>by the public art events. The Council has also received a number of donations including a Knitting machine and a Stocking machine dating back to the 18th and 19th century, both of which are believed to be forerunners to the Spinning Jenny. It is difficult to obtain a valuation on these two items as there is no comparable item that provides a market value. Most assets are located on</w:t>
      </w:r>
      <w:r>
        <w:rPr>
          <w:color w:val="231F20"/>
          <w:spacing w:val="-4"/>
        </w:rPr>
        <w:t> </w:t>
      </w:r>
      <w:r>
        <w:rPr>
          <w:color w:val="231F20"/>
        </w:rPr>
        <w:t>public</w:t>
      </w:r>
      <w:r>
        <w:rPr>
          <w:color w:val="231F20"/>
          <w:spacing w:val="-4"/>
        </w:rPr>
        <w:t> </w:t>
      </w:r>
      <w:r>
        <w:rPr>
          <w:color w:val="231F20"/>
        </w:rPr>
        <w:t>streets,</w:t>
      </w:r>
      <w:r>
        <w:rPr>
          <w:color w:val="231F20"/>
          <w:spacing w:val="-5"/>
        </w:rPr>
        <w:t> </w:t>
      </w:r>
      <w:r>
        <w:rPr>
          <w:color w:val="231F20"/>
        </w:rPr>
        <w:t>in</w:t>
      </w:r>
      <w:r>
        <w:rPr>
          <w:color w:val="231F20"/>
          <w:spacing w:val="-5"/>
        </w:rPr>
        <w:t> </w:t>
      </w:r>
      <w:r>
        <w:rPr>
          <w:color w:val="231F20"/>
        </w:rPr>
        <w:t>parks</w:t>
      </w:r>
      <w:r>
        <w:rPr>
          <w:color w:val="231F20"/>
          <w:spacing w:val="-4"/>
        </w:rPr>
        <w:t> </w:t>
      </w:r>
      <w:r>
        <w:rPr>
          <w:color w:val="231F20"/>
        </w:rPr>
        <w:t>or</w:t>
      </w:r>
      <w:r>
        <w:rPr>
          <w:color w:val="231F20"/>
          <w:spacing w:val="-4"/>
        </w:rPr>
        <w:t> </w:t>
      </w:r>
      <w:r>
        <w:rPr>
          <w:color w:val="231F20"/>
        </w:rPr>
        <w:t>are</w:t>
      </w:r>
      <w:r>
        <w:rPr>
          <w:color w:val="231F20"/>
          <w:spacing w:val="-4"/>
        </w:rPr>
        <w:t> </w:t>
      </w:r>
      <w:r>
        <w:rPr>
          <w:color w:val="231F20"/>
        </w:rPr>
        <w:t>on</w:t>
      </w:r>
      <w:r>
        <w:rPr>
          <w:color w:val="231F20"/>
          <w:spacing w:val="-4"/>
        </w:rPr>
        <w:t> </w:t>
      </w:r>
      <w:r>
        <w:rPr>
          <w:color w:val="231F20"/>
        </w:rPr>
        <w:t>display</w:t>
      </w:r>
      <w:r>
        <w:rPr>
          <w:color w:val="231F20"/>
          <w:spacing w:val="-4"/>
        </w:rPr>
        <w:t> </w:t>
      </w:r>
      <w:r>
        <w:rPr>
          <w:color w:val="231F20"/>
        </w:rPr>
        <w:t>within public Council buildings. A few items are stored securely</w:t>
      </w:r>
      <w:r>
        <w:rPr>
          <w:color w:val="231F20"/>
          <w:spacing w:val="-2"/>
        </w:rPr>
        <w:t> </w:t>
      </w:r>
      <w:r>
        <w:rPr>
          <w:color w:val="231F20"/>
        </w:rPr>
        <w:t>in</w:t>
      </w:r>
      <w:r>
        <w:rPr>
          <w:color w:val="231F20"/>
          <w:spacing w:val="-2"/>
        </w:rPr>
        <w:t> </w:t>
      </w:r>
      <w:r>
        <w:rPr>
          <w:color w:val="231F20"/>
        </w:rPr>
        <w:t>the</w:t>
      </w:r>
      <w:r>
        <w:rPr>
          <w:color w:val="231F20"/>
          <w:spacing w:val="-1"/>
        </w:rPr>
        <w:t> </w:t>
      </w:r>
      <w:r>
        <w:rPr>
          <w:color w:val="231F20"/>
        </w:rPr>
        <w:t>Council’s</w:t>
      </w:r>
      <w:r>
        <w:rPr>
          <w:color w:val="231F20"/>
          <w:spacing w:val="-2"/>
        </w:rPr>
        <w:t> </w:t>
      </w:r>
      <w:r>
        <w:rPr>
          <w:color w:val="231F20"/>
        </w:rPr>
        <w:t>Offices</w:t>
      </w:r>
      <w:r>
        <w:rPr>
          <w:color w:val="231F20"/>
          <w:spacing w:val="-1"/>
        </w:rPr>
        <w:t> </w:t>
      </w:r>
      <w:r>
        <w:rPr>
          <w:color w:val="231F20"/>
        </w:rPr>
        <w:t>and</w:t>
      </w:r>
      <w:r>
        <w:rPr>
          <w:color w:val="231F20"/>
          <w:spacing w:val="-1"/>
        </w:rPr>
        <w:t> </w:t>
      </w:r>
      <w:r>
        <w:rPr>
          <w:color w:val="231F20"/>
        </w:rPr>
        <w:t>not</w:t>
      </w:r>
      <w:r>
        <w:rPr>
          <w:color w:val="231F20"/>
          <w:spacing w:val="-1"/>
        </w:rPr>
        <w:t> </w:t>
      </w:r>
      <w:r>
        <w:rPr>
          <w:color w:val="231F20"/>
        </w:rPr>
        <w:t>currently available for public viewing.</w:t>
      </w:r>
    </w:p>
    <w:p>
      <w:pPr>
        <w:pStyle w:val="Heading4"/>
        <w:spacing w:before="284"/>
        <w:ind w:left="244"/>
      </w:pPr>
      <w:r>
        <w:rPr>
          <w:color w:val="3B5673"/>
        </w:rPr>
        <w:t>Heritage</w:t>
      </w:r>
      <w:r>
        <w:rPr>
          <w:color w:val="3B5673"/>
          <w:spacing w:val="-5"/>
        </w:rPr>
        <w:t> </w:t>
      </w:r>
      <w:r>
        <w:rPr>
          <w:color w:val="3B5673"/>
        </w:rPr>
        <w:t>Assets</w:t>
      </w:r>
      <w:r>
        <w:rPr>
          <w:color w:val="3B5673"/>
          <w:spacing w:val="-5"/>
        </w:rPr>
        <w:t> </w:t>
      </w:r>
      <w:r>
        <w:rPr>
          <w:color w:val="3B5673"/>
        </w:rPr>
        <w:t>–</w:t>
      </w:r>
      <w:r>
        <w:rPr>
          <w:color w:val="3B5673"/>
          <w:spacing w:val="-3"/>
        </w:rPr>
        <w:t> </w:t>
      </w:r>
      <w:r>
        <w:rPr>
          <w:color w:val="3B5673"/>
          <w:spacing w:val="-2"/>
        </w:rPr>
        <w:t>General</w:t>
      </w:r>
    </w:p>
    <w:p>
      <w:pPr>
        <w:pStyle w:val="BodyText"/>
        <w:spacing w:line="225" w:lineRule="auto" w:before="6"/>
        <w:ind w:left="244" w:right="900"/>
      </w:pPr>
      <w:r>
        <w:rPr/>
        <w:pict>
          <v:group style="position:absolute;margin-left:578.504028pt;margin-top:1.609867pt;width:16.8pt;height:192.8pt;mso-position-horizontal-relative:page;mso-position-vertical-relative:paragraph;z-index:15770112" id="docshapegroup348" coordorigin="11570,32" coordsize="336,3856">
            <v:rect style="position:absolute;left:11570;top:2923;width:336;height:964" id="docshape349" filled="true" fillcolor="#f15d6b" stroked="false">
              <v:fill type="solid"/>
            </v:rect>
            <v:rect style="position:absolute;left:11570;top:1959;width:336;height:964" id="docshape350" filled="true" fillcolor="#fbac42" stroked="false">
              <v:fill type="solid"/>
            </v:rect>
            <v:rect style="position:absolute;left:11570;top:995;width:336;height:964" id="docshape351" filled="true" fillcolor="#b78fc1" stroked="false">
              <v:fill type="solid"/>
            </v:rect>
            <v:rect style="position:absolute;left:11570;top:32;width:336;height:964" id="docshape352" filled="true" fillcolor="#378372" stroked="false">
              <v:fill type="solid"/>
            </v:rect>
            <w10:wrap type="none"/>
          </v:group>
        </w:pict>
      </w:r>
      <w:r>
        <w:rPr>
          <w:color w:val="231F20"/>
        </w:rPr>
        <w:t>Heritage Assets are reviewed by the Council for impairments such as where an item has suffered physical deterioration or breakage. Any impairment is measured and recognised within the Revaluation Reserve. The Council works closely with the Ashfield War Memorial Committee</w:t>
      </w:r>
      <w:r>
        <w:rPr>
          <w:color w:val="231F20"/>
          <w:spacing w:val="-4"/>
        </w:rPr>
        <w:t> </w:t>
      </w:r>
      <w:r>
        <w:rPr>
          <w:color w:val="231F20"/>
        </w:rPr>
        <w:t>to</w:t>
      </w:r>
      <w:r>
        <w:rPr>
          <w:color w:val="231F20"/>
          <w:spacing w:val="-2"/>
        </w:rPr>
        <w:t> </w:t>
      </w:r>
      <w:r>
        <w:rPr>
          <w:color w:val="231F20"/>
        </w:rPr>
        <w:t>preserve</w:t>
      </w:r>
      <w:r>
        <w:rPr>
          <w:color w:val="231F20"/>
          <w:spacing w:val="-3"/>
        </w:rPr>
        <w:t> </w:t>
      </w:r>
      <w:r>
        <w:rPr>
          <w:color w:val="231F20"/>
        </w:rPr>
        <w:t>and</w:t>
      </w:r>
      <w:r>
        <w:rPr>
          <w:color w:val="231F20"/>
          <w:spacing w:val="-3"/>
        </w:rPr>
        <w:t> </w:t>
      </w:r>
      <w:r>
        <w:rPr>
          <w:color w:val="231F20"/>
        </w:rPr>
        <w:t>maintain</w:t>
      </w:r>
      <w:r>
        <w:rPr>
          <w:color w:val="231F20"/>
          <w:spacing w:val="-3"/>
        </w:rPr>
        <w:t> </w:t>
      </w:r>
      <w:r>
        <w:rPr>
          <w:color w:val="231F20"/>
        </w:rPr>
        <w:t>the</w:t>
      </w:r>
      <w:r>
        <w:rPr>
          <w:color w:val="231F20"/>
          <w:spacing w:val="-2"/>
        </w:rPr>
        <w:t> local</w:t>
      </w:r>
    </w:p>
    <w:p>
      <w:pPr>
        <w:pStyle w:val="BodyText"/>
        <w:spacing w:line="294" w:lineRule="exact"/>
        <w:ind w:left="244"/>
      </w:pPr>
      <w:r>
        <w:rPr>
          <w:color w:val="231F20"/>
        </w:rPr>
        <w:t>historical</w:t>
      </w:r>
      <w:r>
        <w:rPr>
          <w:color w:val="231F20"/>
          <w:spacing w:val="-2"/>
        </w:rPr>
        <w:t> </w:t>
      </w:r>
      <w:r>
        <w:rPr>
          <w:color w:val="231F20"/>
        </w:rPr>
        <w:t>monuments.</w:t>
      </w:r>
      <w:r>
        <w:rPr>
          <w:color w:val="231F20"/>
          <w:spacing w:val="-3"/>
        </w:rPr>
        <w:t> </w:t>
      </w:r>
      <w:r>
        <w:rPr>
          <w:color w:val="231F20"/>
        </w:rPr>
        <w:t>All</w:t>
      </w:r>
      <w:r>
        <w:rPr>
          <w:color w:val="231F20"/>
          <w:spacing w:val="-2"/>
        </w:rPr>
        <w:t> </w:t>
      </w:r>
      <w:r>
        <w:rPr>
          <w:color w:val="231F20"/>
        </w:rPr>
        <w:t>other</w:t>
      </w:r>
      <w:r>
        <w:rPr>
          <w:color w:val="231F20"/>
          <w:spacing w:val="-2"/>
        </w:rPr>
        <w:t> </w:t>
      </w:r>
      <w:r>
        <w:rPr>
          <w:color w:val="231F20"/>
        </w:rPr>
        <w:t>Heritage</w:t>
      </w:r>
      <w:r>
        <w:rPr>
          <w:color w:val="231F20"/>
          <w:spacing w:val="-1"/>
        </w:rPr>
        <w:t> </w:t>
      </w:r>
      <w:r>
        <w:rPr>
          <w:color w:val="231F20"/>
          <w:spacing w:val="-2"/>
        </w:rPr>
        <w:t>Assets</w:t>
      </w:r>
    </w:p>
    <w:p>
      <w:pPr>
        <w:pStyle w:val="BodyText"/>
        <w:spacing w:line="225" w:lineRule="auto" w:before="5"/>
        <w:ind w:left="244" w:right="631"/>
      </w:pPr>
      <w:r>
        <w:rPr>
          <w:color w:val="231F20"/>
        </w:rPr>
        <w:t>are reviewed and maintained as required. Disposal</w:t>
      </w:r>
      <w:r>
        <w:rPr>
          <w:color w:val="231F20"/>
          <w:spacing w:val="-7"/>
        </w:rPr>
        <w:t> </w:t>
      </w:r>
      <w:r>
        <w:rPr>
          <w:color w:val="231F20"/>
        </w:rPr>
        <w:t>proceeds</w:t>
      </w:r>
      <w:r>
        <w:rPr>
          <w:color w:val="231F20"/>
          <w:spacing w:val="-6"/>
        </w:rPr>
        <w:t> </w:t>
      </w:r>
      <w:r>
        <w:rPr>
          <w:color w:val="231F20"/>
        </w:rPr>
        <w:t>are</w:t>
      </w:r>
      <w:r>
        <w:rPr>
          <w:color w:val="231F20"/>
          <w:spacing w:val="-6"/>
        </w:rPr>
        <w:t> </w:t>
      </w:r>
      <w:r>
        <w:rPr>
          <w:color w:val="231F20"/>
        </w:rPr>
        <w:t>disclosed</w:t>
      </w:r>
      <w:r>
        <w:rPr>
          <w:color w:val="231F20"/>
          <w:spacing w:val="-6"/>
        </w:rPr>
        <w:t> </w:t>
      </w:r>
      <w:r>
        <w:rPr>
          <w:color w:val="231F20"/>
        </w:rPr>
        <w:t>separately</w:t>
      </w:r>
      <w:r>
        <w:rPr>
          <w:color w:val="231F20"/>
          <w:spacing w:val="-7"/>
        </w:rPr>
        <w:t> </w:t>
      </w:r>
      <w:r>
        <w:rPr>
          <w:color w:val="231F20"/>
        </w:rPr>
        <w:t>in</w:t>
      </w:r>
      <w:r>
        <w:rPr>
          <w:color w:val="231F20"/>
          <w:spacing w:val="-7"/>
        </w:rPr>
        <w:t> </w:t>
      </w:r>
      <w:r>
        <w:rPr>
          <w:color w:val="231F20"/>
        </w:rPr>
        <w:t>the notes to the financial statements and accounted for in accordance with statutory accounting requirements relating to capital expenditure and capital receipts.</w:t>
      </w:r>
    </w:p>
    <w:p>
      <w:pPr>
        <w:spacing w:after="0" w:line="225" w:lineRule="auto"/>
        <w:sectPr>
          <w:type w:val="continuous"/>
          <w:pgSz w:w="11910" w:h="16840"/>
          <w:pgMar w:header="377" w:footer="367" w:top="260" w:bottom="0" w:left="0" w:right="0"/>
          <w:cols w:num="2" w:equalWidth="0">
            <w:col w:w="5810" w:space="40"/>
            <w:col w:w="6060"/>
          </w:cols>
        </w:sectPr>
      </w:pPr>
    </w:p>
    <w:p>
      <w:pPr>
        <w:pStyle w:val="BodyText"/>
        <w:rPr>
          <w:sz w:val="28"/>
        </w:rPr>
      </w:pPr>
    </w:p>
    <w:p>
      <w:pPr>
        <w:spacing w:after="0"/>
        <w:rPr>
          <w:sz w:val="28"/>
        </w:rPr>
        <w:sectPr>
          <w:pgSz w:w="11910" w:h="16840"/>
          <w:pgMar w:header="377" w:footer="367" w:top="560" w:bottom="560" w:left="0" w:right="0"/>
        </w:sectPr>
      </w:pPr>
    </w:p>
    <w:p>
      <w:pPr>
        <w:pStyle w:val="Heading3"/>
        <w:numPr>
          <w:ilvl w:val="0"/>
          <w:numId w:val="11"/>
        </w:numPr>
        <w:tabs>
          <w:tab w:pos="979" w:val="left" w:leader="none"/>
        </w:tabs>
        <w:spacing w:line="310" w:lineRule="exact" w:before="100" w:after="0"/>
        <w:ind w:left="978" w:right="0" w:hanging="413"/>
        <w:jc w:val="left"/>
      </w:pPr>
      <w:r>
        <w:rPr>
          <w:color w:val="3B5673"/>
        </w:rPr>
        <w:t>PROVISIONS,</w:t>
      </w:r>
      <w:r>
        <w:rPr>
          <w:color w:val="3B5673"/>
          <w:spacing w:val="73"/>
        </w:rPr>
        <w:t> </w:t>
      </w:r>
      <w:r>
        <w:rPr>
          <w:color w:val="3B5673"/>
        </w:rPr>
        <w:t>CONTINGENT</w:t>
      </w:r>
      <w:r>
        <w:rPr>
          <w:color w:val="3B5673"/>
          <w:spacing w:val="48"/>
          <w:w w:val="150"/>
        </w:rPr>
        <w:t> </w:t>
      </w:r>
      <w:r>
        <w:rPr>
          <w:color w:val="3B5673"/>
          <w:spacing w:val="-2"/>
        </w:rPr>
        <w:t>LIABILITIES</w:t>
      </w:r>
    </w:p>
    <w:p>
      <w:pPr>
        <w:spacing w:line="300" w:lineRule="exact" w:before="0"/>
        <w:ind w:left="571" w:right="0" w:firstLine="0"/>
        <w:jc w:val="left"/>
        <w:rPr>
          <w:b/>
          <w:sz w:val="24"/>
        </w:rPr>
      </w:pPr>
      <w:r>
        <w:rPr>
          <w:b/>
          <w:color w:val="3B5673"/>
          <w:sz w:val="24"/>
        </w:rPr>
        <w:t>AND</w:t>
      </w:r>
      <w:r>
        <w:rPr>
          <w:b/>
          <w:color w:val="3B5673"/>
          <w:spacing w:val="50"/>
          <w:sz w:val="24"/>
        </w:rPr>
        <w:t> </w:t>
      </w:r>
      <w:r>
        <w:rPr>
          <w:b/>
          <w:color w:val="3B5673"/>
          <w:sz w:val="24"/>
        </w:rPr>
        <w:t>CONTINGENT</w:t>
      </w:r>
      <w:r>
        <w:rPr>
          <w:b/>
          <w:color w:val="3B5673"/>
          <w:spacing w:val="51"/>
          <w:sz w:val="24"/>
        </w:rPr>
        <w:t> </w:t>
      </w:r>
      <w:r>
        <w:rPr>
          <w:b/>
          <w:color w:val="3B5673"/>
          <w:spacing w:val="-2"/>
          <w:sz w:val="24"/>
        </w:rPr>
        <w:t>ASSETS</w:t>
      </w:r>
    </w:p>
    <w:p>
      <w:pPr>
        <w:pStyle w:val="Heading4"/>
        <w:numPr>
          <w:ilvl w:val="0"/>
          <w:numId w:val="17"/>
        </w:numPr>
        <w:tabs>
          <w:tab w:pos="828" w:val="left" w:leader="none"/>
        </w:tabs>
        <w:spacing w:line="300" w:lineRule="exact" w:before="0" w:after="0"/>
        <w:ind w:left="827" w:right="0" w:hanging="262"/>
        <w:jc w:val="left"/>
      </w:pPr>
      <w:r>
        <w:rPr>
          <w:color w:val="3B5673"/>
          <w:spacing w:val="-2"/>
        </w:rPr>
        <w:t>Provisions</w:t>
      </w:r>
    </w:p>
    <w:p>
      <w:pPr>
        <w:pStyle w:val="BodyText"/>
        <w:spacing w:line="225" w:lineRule="auto" w:before="6"/>
        <w:ind w:left="566"/>
      </w:pPr>
      <w:r>
        <w:rPr>
          <w:color w:val="231F20"/>
        </w:rPr>
        <w:t>Provisions are made where an event has taken place that gives the Council an obligation that probably requires settlement by a transfer of economic benefits, but where the timing of the transfer is uncertain. For instance, the Council may be involved in a court case that could eventually</w:t>
      </w:r>
      <w:r>
        <w:rPr>
          <w:color w:val="231F20"/>
          <w:spacing w:val="-5"/>
        </w:rPr>
        <w:t> </w:t>
      </w:r>
      <w:r>
        <w:rPr>
          <w:color w:val="231F20"/>
        </w:rPr>
        <w:t>result</w:t>
      </w:r>
      <w:r>
        <w:rPr>
          <w:color w:val="231F20"/>
          <w:spacing w:val="-5"/>
        </w:rPr>
        <w:t> </w:t>
      </w:r>
      <w:r>
        <w:rPr>
          <w:color w:val="231F20"/>
        </w:rPr>
        <w:t>in</w:t>
      </w:r>
      <w:r>
        <w:rPr>
          <w:color w:val="231F20"/>
          <w:spacing w:val="-6"/>
        </w:rPr>
        <w:t> </w:t>
      </w:r>
      <w:r>
        <w:rPr>
          <w:color w:val="231F20"/>
        </w:rPr>
        <w:t>the</w:t>
      </w:r>
      <w:r>
        <w:rPr>
          <w:color w:val="231F20"/>
          <w:spacing w:val="-5"/>
        </w:rPr>
        <w:t> </w:t>
      </w:r>
      <w:r>
        <w:rPr>
          <w:color w:val="231F20"/>
        </w:rPr>
        <w:t>making</w:t>
      </w:r>
      <w:r>
        <w:rPr>
          <w:color w:val="231F20"/>
          <w:spacing w:val="-6"/>
        </w:rPr>
        <w:t> </w:t>
      </w:r>
      <w:r>
        <w:rPr>
          <w:color w:val="231F20"/>
        </w:rPr>
        <w:t>of</w:t>
      </w:r>
      <w:r>
        <w:rPr>
          <w:color w:val="231F20"/>
          <w:spacing w:val="-5"/>
        </w:rPr>
        <w:t> </w:t>
      </w:r>
      <w:r>
        <w:rPr>
          <w:color w:val="231F20"/>
        </w:rPr>
        <w:t>a</w:t>
      </w:r>
      <w:r>
        <w:rPr>
          <w:color w:val="231F20"/>
          <w:spacing w:val="-5"/>
        </w:rPr>
        <w:t> </w:t>
      </w:r>
      <w:r>
        <w:rPr>
          <w:color w:val="231F20"/>
        </w:rPr>
        <w:t>settlement</w:t>
      </w:r>
      <w:r>
        <w:rPr>
          <w:color w:val="231F20"/>
          <w:spacing w:val="-6"/>
        </w:rPr>
        <w:t> </w:t>
      </w:r>
      <w:r>
        <w:rPr>
          <w:color w:val="231F20"/>
        </w:rPr>
        <w:t>or the payment of compensation.</w:t>
      </w:r>
    </w:p>
    <w:p>
      <w:pPr>
        <w:pStyle w:val="BodyText"/>
        <w:spacing w:before="7"/>
        <w:rPr>
          <w:sz w:val="22"/>
        </w:rPr>
      </w:pPr>
    </w:p>
    <w:p>
      <w:pPr>
        <w:pStyle w:val="BodyText"/>
        <w:spacing w:line="225" w:lineRule="auto"/>
        <w:ind w:left="566"/>
      </w:pPr>
      <w:r>
        <w:rPr>
          <w:color w:val="231F20"/>
        </w:rPr>
        <w:t>Provisions</w:t>
      </w:r>
      <w:r>
        <w:rPr>
          <w:color w:val="231F20"/>
          <w:spacing w:val="-7"/>
        </w:rPr>
        <w:t> </w:t>
      </w:r>
      <w:r>
        <w:rPr>
          <w:color w:val="231F20"/>
        </w:rPr>
        <w:t>are</w:t>
      </w:r>
      <w:r>
        <w:rPr>
          <w:color w:val="231F20"/>
          <w:spacing w:val="-6"/>
        </w:rPr>
        <w:t> </w:t>
      </w:r>
      <w:r>
        <w:rPr>
          <w:color w:val="231F20"/>
        </w:rPr>
        <w:t>charged</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appropriate</w:t>
      </w:r>
      <w:r>
        <w:rPr>
          <w:color w:val="231F20"/>
          <w:spacing w:val="-6"/>
        </w:rPr>
        <w:t> </w:t>
      </w:r>
      <w:r>
        <w:rPr>
          <w:color w:val="231F20"/>
        </w:rPr>
        <w:t>service revenue account in the year that the Council becomes aware of the obligation, and are measured at the best estimate at the balance sheet date of the expenditure required to settle the obligation, taking into account relevant risks and uncertainties.</w:t>
      </w:r>
    </w:p>
    <w:p>
      <w:pPr>
        <w:pStyle w:val="BodyText"/>
        <w:spacing w:before="6"/>
        <w:rPr>
          <w:sz w:val="22"/>
        </w:rPr>
      </w:pPr>
    </w:p>
    <w:p>
      <w:pPr>
        <w:pStyle w:val="BodyText"/>
        <w:spacing w:line="225" w:lineRule="auto" w:before="1"/>
        <w:ind w:left="566" w:right="298"/>
        <w:jc w:val="both"/>
      </w:pPr>
      <w:r>
        <w:rPr>
          <w:color w:val="231F20"/>
        </w:rPr>
        <w:t>When</w:t>
      </w:r>
      <w:r>
        <w:rPr>
          <w:color w:val="231F20"/>
          <w:spacing w:val="-7"/>
        </w:rPr>
        <w:t> </w:t>
      </w:r>
      <w:r>
        <w:rPr>
          <w:color w:val="231F20"/>
        </w:rPr>
        <w:t>payments</w:t>
      </w:r>
      <w:r>
        <w:rPr>
          <w:color w:val="231F20"/>
          <w:spacing w:val="-6"/>
        </w:rPr>
        <w:t> </w:t>
      </w:r>
      <w:r>
        <w:rPr>
          <w:color w:val="231F20"/>
        </w:rPr>
        <w:t>are</w:t>
      </w:r>
      <w:r>
        <w:rPr>
          <w:color w:val="231F20"/>
          <w:spacing w:val="-6"/>
        </w:rPr>
        <w:t> </w:t>
      </w:r>
      <w:r>
        <w:rPr>
          <w:color w:val="231F20"/>
        </w:rPr>
        <w:t>eventually</w:t>
      </w:r>
      <w:r>
        <w:rPr>
          <w:color w:val="231F20"/>
          <w:spacing w:val="-6"/>
        </w:rPr>
        <w:t> </w:t>
      </w:r>
      <w:r>
        <w:rPr>
          <w:color w:val="231F20"/>
        </w:rPr>
        <w:t>made,</w:t>
      </w:r>
      <w:r>
        <w:rPr>
          <w:color w:val="231F20"/>
          <w:spacing w:val="-7"/>
        </w:rPr>
        <w:t> </w:t>
      </w:r>
      <w:r>
        <w:rPr>
          <w:color w:val="231F20"/>
        </w:rPr>
        <w:t>they</w:t>
      </w:r>
      <w:r>
        <w:rPr>
          <w:color w:val="231F20"/>
          <w:spacing w:val="-6"/>
        </w:rPr>
        <w:t> </w:t>
      </w:r>
      <w:r>
        <w:rPr>
          <w:color w:val="231F20"/>
        </w:rPr>
        <w:t>are charged</w:t>
      </w:r>
      <w:r>
        <w:rPr>
          <w:color w:val="231F20"/>
          <w:spacing w:val="-1"/>
        </w:rPr>
        <w:t> </w:t>
      </w:r>
      <w:r>
        <w:rPr>
          <w:color w:val="231F20"/>
        </w:rPr>
        <w:t>to</w:t>
      </w:r>
      <w:r>
        <w:rPr>
          <w:color w:val="231F20"/>
          <w:spacing w:val="-1"/>
        </w:rPr>
        <w:t> </w:t>
      </w:r>
      <w:r>
        <w:rPr>
          <w:color w:val="231F20"/>
        </w:rPr>
        <w:t>the</w:t>
      </w:r>
      <w:r>
        <w:rPr>
          <w:color w:val="231F20"/>
          <w:spacing w:val="-1"/>
        </w:rPr>
        <w:t> </w:t>
      </w:r>
      <w:r>
        <w:rPr>
          <w:color w:val="231F20"/>
        </w:rPr>
        <w:t>provision</w:t>
      </w:r>
      <w:r>
        <w:rPr>
          <w:color w:val="231F20"/>
          <w:spacing w:val="-1"/>
        </w:rPr>
        <w:t> </w:t>
      </w:r>
      <w:r>
        <w:rPr>
          <w:color w:val="231F20"/>
        </w:rPr>
        <w:t>set</w:t>
      </w:r>
      <w:r>
        <w:rPr>
          <w:color w:val="231F20"/>
          <w:spacing w:val="-2"/>
        </w:rPr>
        <w:t> </w:t>
      </w:r>
      <w:r>
        <w:rPr>
          <w:color w:val="231F20"/>
        </w:rPr>
        <w:t>up</w:t>
      </w:r>
      <w:r>
        <w:rPr>
          <w:color w:val="231F20"/>
          <w:spacing w:val="-1"/>
        </w:rPr>
        <w:t> </w:t>
      </w:r>
      <w:r>
        <w:rPr>
          <w:color w:val="231F20"/>
        </w:rPr>
        <w:t>in</w:t>
      </w:r>
      <w:r>
        <w:rPr>
          <w:color w:val="231F20"/>
          <w:spacing w:val="-2"/>
        </w:rPr>
        <w:t> </w:t>
      </w:r>
      <w:r>
        <w:rPr>
          <w:color w:val="231F20"/>
        </w:rPr>
        <w:t>the</w:t>
      </w:r>
      <w:r>
        <w:rPr>
          <w:color w:val="231F20"/>
          <w:spacing w:val="-1"/>
        </w:rPr>
        <w:t> </w:t>
      </w:r>
      <w:r>
        <w:rPr>
          <w:color w:val="231F20"/>
        </w:rPr>
        <w:t>Balance Sheet. Estimated settlements are reviewed</w:t>
      </w:r>
    </w:p>
    <w:p>
      <w:pPr>
        <w:pStyle w:val="BodyText"/>
        <w:spacing w:line="225" w:lineRule="auto"/>
        <w:ind w:left="566" w:right="283"/>
      </w:pPr>
      <w:r>
        <w:rPr>
          <w:color w:val="231F20"/>
        </w:rPr>
        <w:t>at the end of each financial year; where it becomes more likely than not that a transfer of</w:t>
      </w:r>
      <w:r>
        <w:rPr>
          <w:color w:val="231F20"/>
          <w:spacing w:val="-2"/>
        </w:rPr>
        <w:t> </w:t>
      </w:r>
      <w:r>
        <w:rPr>
          <w:color w:val="231F20"/>
        </w:rPr>
        <w:t>economic</w:t>
      </w:r>
      <w:r>
        <w:rPr>
          <w:color w:val="231F20"/>
          <w:spacing w:val="-1"/>
        </w:rPr>
        <w:t> </w:t>
      </w:r>
      <w:r>
        <w:rPr>
          <w:color w:val="231F20"/>
        </w:rPr>
        <w:t>benefits</w:t>
      </w:r>
      <w:r>
        <w:rPr>
          <w:color w:val="231F20"/>
          <w:spacing w:val="-1"/>
        </w:rPr>
        <w:t> </w:t>
      </w:r>
      <w:r>
        <w:rPr>
          <w:color w:val="231F20"/>
        </w:rPr>
        <w:t>will</w:t>
      </w:r>
      <w:r>
        <w:rPr>
          <w:color w:val="231F20"/>
          <w:spacing w:val="-1"/>
        </w:rPr>
        <w:t> </w:t>
      </w:r>
      <w:r>
        <w:rPr>
          <w:color w:val="231F20"/>
        </w:rPr>
        <w:t>not</w:t>
      </w:r>
      <w:r>
        <w:rPr>
          <w:color w:val="231F20"/>
          <w:spacing w:val="-1"/>
        </w:rPr>
        <w:t> </w:t>
      </w:r>
      <w:r>
        <w:rPr>
          <w:color w:val="231F20"/>
        </w:rPr>
        <w:t>be</w:t>
      </w:r>
      <w:r>
        <w:rPr>
          <w:color w:val="231F20"/>
          <w:spacing w:val="-1"/>
        </w:rPr>
        <w:t> </w:t>
      </w:r>
      <w:r>
        <w:rPr>
          <w:color w:val="231F20"/>
        </w:rPr>
        <w:t>required</w:t>
      </w:r>
      <w:r>
        <w:rPr>
          <w:color w:val="231F20"/>
          <w:spacing w:val="-1"/>
        </w:rPr>
        <w:t> </w:t>
      </w:r>
      <w:r>
        <w:rPr>
          <w:color w:val="231F20"/>
        </w:rPr>
        <w:t>(or</w:t>
      </w:r>
      <w:r>
        <w:rPr>
          <w:color w:val="231F20"/>
          <w:spacing w:val="-1"/>
        </w:rPr>
        <w:t> </w:t>
      </w:r>
      <w:r>
        <w:rPr>
          <w:color w:val="231F20"/>
          <w:spacing w:val="-10"/>
        </w:rPr>
        <w:t>a</w:t>
      </w:r>
    </w:p>
    <w:p>
      <w:pPr>
        <w:pStyle w:val="BodyText"/>
        <w:spacing w:line="225" w:lineRule="auto"/>
        <w:ind w:left="566"/>
      </w:pPr>
      <w:r>
        <w:rPr>
          <w:color w:val="231F20"/>
        </w:rPr>
        <w:t>lower</w:t>
      </w:r>
      <w:r>
        <w:rPr>
          <w:color w:val="231F20"/>
          <w:spacing w:val="-7"/>
        </w:rPr>
        <w:t> </w:t>
      </w:r>
      <w:r>
        <w:rPr>
          <w:color w:val="231F20"/>
        </w:rPr>
        <w:t>settlement</w:t>
      </w:r>
      <w:r>
        <w:rPr>
          <w:color w:val="231F20"/>
          <w:spacing w:val="-7"/>
        </w:rPr>
        <w:t> </w:t>
      </w:r>
      <w:r>
        <w:rPr>
          <w:color w:val="231F20"/>
        </w:rPr>
        <w:t>than</w:t>
      </w:r>
      <w:r>
        <w:rPr>
          <w:color w:val="231F20"/>
          <w:spacing w:val="-6"/>
        </w:rPr>
        <w:t> </w:t>
      </w:r>
      <w:r>
        <w:rPr>
          <w:color w:val="231F20"/>
        </w:rPr>
        <w:t>anticipated</w:t>
      </w:r>
      <w:r>
        <w:rPr>
          <w:color w:val="231F20"/>
          <w:spacing w:val="-6"/>
        </w:rPr>
        <w:t> </w:t>
      </w:r>
      <w:r>
        <w:rPr>
          <w:color w:val="231F20"/>
        </w:rPr>
        <w:t>is</w:t>
      </w:r>
      <w:r>
        <w:rPr>
          <w:color w:val="231F20"/>
          <w:spacing w:val="-7"/>
        </w:rPr>
        <w:t> </w:t>
      </w:r>
      <w:r>
        <w:rPr>
          <w:color w:val="231F20"/>
        </w:rPr>
        <w:t>made),</w:t>
      </w:r>
      <w:r>
        <w:rPr>
          <w:color w:val="231F20"/>
          <w:spacing w:val="-7"/>
        </w:rPr>
        <w:t> </w:t>
      </w:r>
      <w:r>
        <w:rPr>
          <w:color w:val="231F20"/>
        </w:rPr>
        <w:t>the provision is reversed and credited back to the relevant service revenue account.</w:t>
      </w:r>
    </w:p>
    <w:p>
      <w:pPr>
        <w:pStyle w:val="BodyText"/>
        <w:spacing w:before="6"/>
        <w:rPr>
          <w:sz w:val="22"/>
        </w:rPr>
      </w:pPr>
    </w:p>
    <w:p>
      <w:pPr>
        <w:pStyle w:val="BodyText"/>
        <w:spacing w:line="225" w:lineRule="auto"/>
        <w:ind w:left="566" w:right="415"/>
      </w:pPr>
      <w:r>
        <w:rPr>
          <w:color w:val="231F20"/>
        </w:rPr>
        <w:t>Where some or all of the payment required to</w:t>
      </w:r>
      <w:r>
        <w:rPr>
          <w:color w:val="231F20"/>
          <w:spacing w:val="-4"/>
        </w:rPr>
        <w:t> </w:t>
      </w:r>
      <w:r>
        <w:rPr>
          <w:color w:val="231F20"/>
        </w:rPr>
        <w:t>settle</w:t>
      </w:r>
      <w:r>
        <w:rPr>
          <w:color w:val="231F20"/>
          <w:spacing w:val="-5"/>
        </w:rPr>
        <w:t> </w:t>
      </w:r>
      <w:r>
        <w:rPr>
          <w:color w:val="231F20"/>
        </w:rPr>
        <w:t>a</w:t>
      </w:r>
      <w:r>
        <w:rPr>
          <w:color w:val="231F20"/>
          <w:spacing w:val="-4"/>
        </w:rPr>
        <w:t> </w:t>
      </w:r>
      <w:r>
        <w:rPr>
          <w:color w:val="231F20"/>
        </w:rPr>
        <w:t>provision</w:t>
      </w:r>
      <w:r>
        <w:rPr>
          <w:color w:val="231F20"/>
          <w:spacing w:val="-4"/>
        </w:rPr>
        <w:t> </w:t>
      </w:r>
      <w:r>
        <w:rPr>
          <w:color w:val="231F20"/>
        </w:rPr>
        <w:t>is</w:t>
      </w:r>
      <w:r>
        <w:rPr>
          <w:color w:val="231F20"/>
          <w:spacing w:val="-5"/>
        </w:rPr>
        <w:t> </w:t>
      </w:r>
      <w:r>
        <w:rPr>
          <w:color w:val="231F20"/>
        </w:rPr>
        <w:t>expected</w:t>
      </w:r>
      <w:r>
        <w:rPr>
          <w:color w:val="231F20"/>
          <w:spacing w:val="-4"/>
        </w:rPr>
        <w:t> </w:t>
      </w:r>
      <w:r>
        <w:rPr>
          <w:color w:val="231F20"/>
        </w:rPr>
        <w:t>to</w:t>
      </w:r>
      <w:r>
        <w:rPr>
          <w:color w:val="231F20"/>
          <w:spacing w:val="-4"/>
        </w:rPr>
        <w:t> </w:t>
      </w:r>
      <w:r>
        <w:rPr>
          <w:color w:val="231F20"/>
        </w:rPr>
        <w:t>be</w:t>
      </w:r>
      <w:r>
        <w:rPr>
          <w:color w:val="231F20"/>
          <w:spacing w:val="-4"/>
        </w:rPr>
        <w:t> </w:t>
      </w:r>
      <w:r>
        <w:rPr>
          <w:color w:val="231F20"/>
        </w:rPr>
        <w:t>met</w:t>
      </w:r>
      <w:r>
        <w:rPr>
          <w:color w:val="231F20"/>
          <w:spacing w:val="-5"/>
        </w:rPr>
        <w:t> </w:t>
      </w:r>
      <w:r>
        <w:rPr>
          <w:color w:val="231F20"/>
        </w:rPr>
        <w:t>by another party (e.g. from an insurance claim),</w:t>
      </w:r>
    </w:p>
    <w:p>
      <w:pPr>
        <w:pStyle w:val="BodyText"/>
        <w:spacing w:line="225" w:lineRule="auto"/>
        <w:ind w:left="566"/>
      </w:pPr>
      <w:r>
        <w:rPr>
          <w:color w:val="231F20"/>
        </w:rPr>
        <w:t>this</w:t>
      </w:r>
      <w:r>
        <w:rPr>
          <w:color w:val="231F20"/>
          <w:spacing w:val="-4"/>
        </w:rPr>
        <w:t> </w:t>
      </w:r>
      <w:r>
        <w:rPr>
          <w:color w:val="231F20"/>
        </w:rPr>
        <w:t>is</w:t>
      </w:r>
      <w:r>
        <w:rPr>
          <w:color w:val="231F20"/>
          <w:spacing w:val="-5"/>
        </w:rPr>
        <w:t> </w:t>
      </w:r>
      <w:r>
        <w:rPr>
          <w:color w:val="231F20"/>
        </w:rPr>
        <w:t>only</w:t>
      </w:r>
      <w:r>
        <w:rPr>
          <w:color w:val="231F20"/>
          <w:spacing w:val="-4"/>
        </w:rPr>
        <w:t> </w:t>
      </w:r>
      <w:r>
        <w:rPr>
          <w:color w:val="231F20"/>
        </w:rPr>
        <w:t>recognised</w:t>
      </w:r>
      <w:r>
        <w:rPr>
          <w:color w:val="231F20"/>
          <w:spacing w:val="-4"/>
        </w:rPr>
        <w:t> </w:t>
      </w:r>
      <w:r>
        <w:rPr>
          <w:color w:val="231F20"/>
        </w:rPr>
        <w:t>as</w:t>
      </w:r>
      <w:r>
        <w:rPr>
          <w:color w:val="231F20"/>
          <w:spacing w:val="-4"/>
        </w:rPr>
        <w:t> </w:t>
      </w:r>
      <w:r>
        <w:rPr>
          <w:color w:val="231F20"/>
        </w:rPr>
        <w:t>income</w:t>
      </w:r>
      <w:r>
        <w:rPr>
          <w:color w:val="231F20"/>
          <w:spacing w:val="-5"/>
        </w:rPr>
        <w:t> </w:t>
      </w:r>
      <w:r>
        <w:rPr>
          <w:color w:val="231F20"/>
        </w:rPr>
        <w:t>in</w:t>
      </w:r>
      <w:r>
        <w:rPr>
          <w:color w:val="231F20"/>
          <w:spacing w:val="-5"/>
        </w:rPr>
        <w:t> </w:t>
      </w:r>
      <w:r>
        <w:rPr>
          <w:color w:val="231F20"/>
        </w:rPr>
        <w:t>the</w:t>
      </w:r>
      <w:r>
        <w:rPr>
          <w:color w:val="231F20"/>
          <w:spacing w:val="-4"/>
        </w:rPr>
        <w:t> </w:t>
      </w:r>
      <w:r>
        <w:rPr>
          <w:color w:val="231F20"/>
        </w:rPr>
        <w:t>relevant service revenue account if it is virtually certain that reimbursement will be received if the obligation is settled.</w:t>
      </w:r>
    </w:p>
    <w:p>
      <w:pPr>
        <w:pStyle w:val="Heading4"/>
        <w:numPr>
          <w:ilvl w:val="0"/>
          <w:numId w:val="17"/>
        </w:numPr>
        <w:tabs>
          <w:tab w:pos="579" w:val="left" w:leader="none"/>
        </w:tabs>
        <w:spacing w:line="310" w:lineRule="exact" w:before="100" w:after="0"/>
        <w:ind w:left="578" w:right="0" w:hanging="281"/>
        <w:jc w:val="left"/>
      </w:pPr>
      <w:r>
        <w:rPr>
          <w:b w:val="0"/>
        </w:rPr>
        <w:br w:type="column"/>
      </w:r>
      <w:r>
        <w:rPr>
          <w:color w:val="3B5673"/>
        </w:rPr>
        <w:t>Contingent</w:t>
      </w:r>
      <w:r>
        <w:rPr>
          <w:color w:val="3B5673"/>
          <w:spacing w:val="-9"/>
        </w:rPr>
        <w:t> </w:t>
      </w:r>
      <w:r>
        <w:rPr>
          <w:color w:val="3B5673"/>
          <w:spacing w:val="-2"/>
        </w:rPr>
        <w:t>Liabilities</w:t>
      </w:r>
    </w:p>
    <w:p>
      <w:pPr>
        <w:pStyle w:val="BodyText"/>
        <w:spacing w:line="225" w:lineRule="auto" w:before="6"/>
        <w:ind w:left="298" w:right="793"/>
      </w:pPr>
      <w:r>
        <w:rPr>
          <w:color w:val="231F20"/>
        </w:rPr>
        <w:t>A Contingent Liability arises where an event</w:t>
      </w:r>
      <w:r>
        <w:rPr>
          <w:color w:val="231F20"/>
          <w:spacing w:val="40"/>
        </w:rPr>
        <w:t> </w:t>
      </w:r>
      <w:r>
        <w:rPr>
          <w:color w:val="231F20"/>
        </w:rPr>
        <w:t>has taken place that gives the Council a possible obligation whose existence will only</w:t>
      </w:r>
      <w:r>
        <w:rPr>
          <w:color w:val="231F20"/>
          <w:spacing w:val="40"/>
        </w:rPr>
        <w:t> </w:t>
      </w:r>
      <w:r>
        <w:rPr>
          <w:color w:val="231F20"/>
        </w:rPr>
        <w:t>be confirmed by the occurrence or otherwise</w:t>
      </w:r>
      <w:r>
        <w:rPr>
          <w:color w:val="231F20"/>
          <w:spacing w:val="40"/>
        </w:rPr>
        <w:t> </w:t>
      </w:r>
      <w:r>
        <w:rPr>
          <w:color w:val="231F20"/>
        </w:rPr>
        <w:t>of uncertain future events not wholly within </w:t>
      </w:r>
      <w:r>
        <w:rPr>
          <w:color w:val="231F20"/>
          <w:spacing w:val="-5"/>
        </w:rPr>
        <w:t>the</w:t>
      </w:r>
    </w:p>
    <w:p>
      <w:pPr>
        <w:pStyle w:val="BodyText"/>
        <w:spacing w:line="225" w:lineRule="auto"/>
        <w:ind w:left="298" w:right="650"/>
      </w:pPr>
      <w:r>
        <w:rPr>
          <w:color w:val="231F20"/>
        </w:rPr>
        <w:t>control</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Council.</w:t>
      </w:r>
      <w:r>
        <w:rPr>
          <w:color w:val="231F20"/>
          <w:spacing w:val="-6"/>
        </w:rPr>
        <w:t> </w:t>
      </w:r>
      <w:r>
        <w:rPr>
          <w:color w:val="231F20"/>
        </w:rPr>
        <w:t>Contingent</w:t>
      </w:r>
      <w:r>
        <w:rPr>
          <w:color w:val="231F20"/>
          <w:spacing w:val="-6"/>
        </w:rPr>
        <w:t> </w:t>
      </w:r>
      <w:r>
        <w:rPr>
          <w:color w:val="231F20"/>
        </w:rPr>
        <w:t>Liabilities</w:t>
      </w:r>
      <w:r>
        <w:rPr>
          <w:color w:val="231F20"/>
          <w:spacing w:val="-6"/>
        </w:rPr>
        <w:t> </w:t>
      </w:r>
      <w:r>
        <w:rPr>
          <w:color w:val="231F20"/>
        </w:rPr>
        <w:t>also arise in circumstances where a provision would otherwise be made but either it is not probable that an outflow of resources will be required</w:t>
      </w:r>
    </w:p>
    <w:p>
      <w:pPr>
        <w:pStyle w:val="BodyText"/>
        <w:spacing w:line="225" w:lineRule="auto"/>
        <w:ind w:left="298" w:right="650"/>
      </w:pPr>
      <w:r>
        <w:rPr>
          <w:color w:val="231F20"/>
        </w:rPr>
        <w:t>or the amount of the obligation cannot be measured</w:t>
      </w:r>
      <w:r>
        <w:rPr>
          <w:color w:val="231F20"/>
          <w:spacing w:val="-6"/>
        </w:rPr>
        <w:t> </w:t>
      </w:r>
      <w:r>
        <w:rPr>
          <w:color w:val="231F20"/>
        </w:rPr>
        <w:t>reliably.</w:t>
      </w:r>
      <w:r>
        <w:rPr>
          <w:color w:val="231F20"/>
          <w:spacing w:val="40"/>
        </w:rPr>
        <w:t> </w:t>
      </w:r>
      <w:r>
        <w:rPr>
          <w:color w:val="231F20"/>
        </w:rPr>
        <w:t>Contingent</w:t>
      </w:r>
      <w:r>
        <w:rPr>
          <w:color w:val="231F20"/>
          <w:spacing w:val="-6"/>
        </w:rPr>
        <w:t> </w:t>
      </w:r>
      <w:r>
        <w:rPr>
          <w:color w:val="231F20"/>
        </w:rPr>
        <w:t>Liabilities</w:t>
      </w:r>
      <w:r>
        <w:rPr>
          <w:color w:val="231F20"/>
          <w:spacing w:val="-6"/>
        </w:rPr>
        <w:t> </w:t>
      </w:r>
      <w:r>
        <w:rPr>
          <w:color w:val="231F20"/>
        </w:rPr>
        <w:t>are</w:t>
      </w:r>
      <w:r>
        <w:rPr>
          <w:color w:val="231F20"/>
          <w:spacing w:val="-6"/>
        </w:rPr>
        <w:t> </w:t>
      </w:r>
      <w:r>
        <w:rPr>
          <w:color w:val="231F20"/>
        </w:rPr>
        <w:t>not recognised</w:t>
      </w:r>
      <w:r>
        <w:rPr>
          <w:color w:val="231F20"/>
          <w:spacing w:val="-5"/>
        </w:rPr>
        <w:t> </w:t>
      </w:r>
      <w:r>
        <w:rPr>
          <w:color w:val="231F20"/>
        </w:rPr>
        <w:t>in</w:t>
      </w:r>
      <w:r>
        <w:rPr>
          <w:color w:val="231F20"/>
          <w:spacing w:val="-6"/>
        </w:rPr>
        <w:t> </w:t>
      </w:r>
      <w:r>
        <w:rPr>
          <w:color w:val="231F20"/>
        </w:rPr>
        <w:t>the</w:t>
      </w:r>
      <w:r>
        <w:rPr>
          <w:color w:val="231F20"/>
          <w:spacing w:val="-5"/>
        </w:rPr>
        <w:t> </w:t>
      </w:r>
      <w:r>
        <w:rPr>
          <w:color w:val="231F20"/>
        </w:rPr>
        <w:t>Balance</w:t>
      </w:r>
      <w:r>
        <w:rPr>
          <w:color w:val="231F20"/>
          <w:spacing w:val="-6"/>
        </w:rPr>
        <w:t> </w:t>
      </w:r>
      <w:r>
        <w:rPr>
          <w:color w:val="231F20"/>
        </w:rPr>
        <w:t>Sheet</w:t>
      </w:r>
      <w:r>
        <w:rPr>
          <w:color w:val="231F20"/>
          <w:spacing w:val="-6"/>
        </w:rPr>
        <w:t> </w:t>
      </w:r>
      <w:r>
        <w:rPr>
          <w:color w:val="231F20"/>
        </w:rPr>
        <w:t>but</w:t>
      </w:r>
      <w:r>
        <w:rPr>
          <w:color w:val="231F20"/>
          <w:spacing w:val="-5"/>
        </w:rPr>
        <w:t> </w:t>
      </w:r>
      <w:r>
        <w:rPr>
          <w:color w:val="231F20"/>
        </w:rPr>
        <w:t>disclosed</w:t>
      </w:r>
      <w:r>
        <w:rPr>
          <w:color w:val="231F20"/>
          <w:spacing w:val="-5"/>
        </w:rPr>
        <w:t> </w:t>
      </w:r>
      <w:r>
        <w:rPr>
          <w:color w:val="231F20"/>
        </w:rPr>
        <w:t>in a note to the accounts.</w:t>
      </w:r>
    </w:p>
    <w:p>
      <w:pPr>
        <w:pStyle w:val="Heading4"/>
        <w:numPr>
          <w:ilvl w:val="0"/>
          <w:numId w:val="17"/>
        </w:numPr>
        <w:tabs>
          <w:tab w:pos="545" w:val="left" w:leader="none"/>
        </w:tabs>
        <w:spacing w:line="310" w:lineRule="exact" w:before="283" w:after="0"/>
        <w:ind w:left="544" w:right="0" w:hanging="247"/>
        <w:jc w:val="left"/>
      </w:pPr>
      <w:r>
        <w:rPr>
          <w:color w:val="3B5673"/>
        </w:rPr>
        <w:t>Contingent</w:t>
      </w:r>
      <w:r>
        <w:rPr>
          <w:color w:val="3B5673"/>
          <w:spacing w:val="-9"/>
        </w:rPr>
        <w:t> </w:t>
      </w:r>
      <w:r>
        <w:rPr>
          <w:color w:val="3B5673"/>
          <w:spacing w:val="-2"/>
        </w:rPr>
        <w:t>Assets</w:t>
      </w:r>
    </w:p>
    <w:p>
      <w:pPr>
        <w:pStyle w:val="BodyText"/>
        <w:spacing w:line="225" w:lineRule="auto" w:before="6"/>
        <w:ind w:left="298" w:right="856"/>
      </w:pPr>
      <w:r>
        <w:rPr/>
        <w:pict>
          <v:group style="position:absolute;margin-left:578.504028pt;margin-top:31.609837pt;width:16.8pt;height:192.8pt;mso-position-horizontal-relative:page;mso-position-vertical-relative:paragraph;z-index:15770624" id="docshapegroup353" coordorigin="11570,632" coordsize="336,3856">
            <v:rect style="position:absolute;left:11570;top:3523;width:336;height:964" id="docshape354" filled="true" fillcolor="#f15d6b" stroked="false">
              <v:fill type="solid"/>
            </v:rect>
            <v:rect style="position:absolute;left:11570;top:2559;width:336;height:964" id="docshape355" filled="true" fillcolor="#fbac42" stroked="false">
              <v:fill type="solid"/>
            </v:rect>
            <v:rect style="position:absolute;left:11570;top:1595;width:336;height:964" id="docshape356" filled="true" fillcolor="#b78fc1" stroked="false">
              <v:fill type="solid"/>
            </v:rect>
            <v:rect style="position:absolute;left:11570;top:632;width:336;height:964" id="docshape357" filled="true" fillcolor="#378372" stroked="false">
              <v:fill type="solid"/>
            </v:rect>
            <w10:wrap type="none"/>
          </v:group>
        </w:pict>
      </w:r>
      <w:r>
        <w:rPr>
          <w:color w:val="231F20"/>
        </w:rPr>
        <w:t>A</w:t>
      </w:r>
      <w:r>
        <w:rPr>
          <w:color w:val="231F20"/>
          <w:spacing w:val="-5"/>
        </w:rPr>
        <w:t> </w:t>
      </w:r>
      <w:r>
        <w:rPr>
          <w:color w:val="231F20"/>
        </w:rPr>
        <w:t>Contingent</w:t>
      </w:r>
      <w:r>
        <w:rPr>
          <w:color w:val="231F20"/>
          <w:spacing w:val="-6"/>
        </w:rPr>
        <w:t> </w:t>
      </w:r>
      <w:r>
        <w:rPr>
          <w:color w:val="231F20"/>
        </w:rPr>
        <w:t>Asset</w:t>
      </w:r>
      <w:r>
        <w:rPr>
          <w:color w:val="231F20"/>
          <w:spacing w:val="-5"/>
        </w:rPr>
        <w:t> </w:t>
      </w:r>
      <w:r>
        <w:rPr>
          <w:color w:val="231F20"/>
        </w:rPr>
        <w:t>arises</w:t>
      </w:r>
      <w:r>
        <w:rPr>
          <w:color w:val="231F20"/>
          <w:spacing w:val="-5"/>
        </w:rPr>
        <w:t> </w:t>
      </w:r>
      <w:r>
        <w:rPr>
          <w:color w:val="231F20"/>
        </w:rPr>
        <w:t>where</w:t>
      </w:r>
      <w:r>
        <w:rPr>
          <w:color w:val="231F20"/>
          <w:spacing w:val="-5"/>
        </w:rPr>
        <w:t> </w:t>
      </w:r>
      <w:r>
        <w:rPr>
          <w:color w:val="231F20"/>
        </w:rPr>
        <w:t>an</w:t>
      </w:r>
      <w:r>
        <w:rPr>
          <w:color w:val="231F20"/>
          <w:spacing w:val="-5"/>
        </w:rPr>
        <w:t> </w:t>
      </w:r>
      <w:r>
        <w:rPr>
          <w:color w:val="231F20"/>
        </w:rPr>
        <w:t>event</w:t>
      </w:r>
      <w:r>
        <w:rPr>
          <w:color w:val="231F20"/>
          <w:spacing w:val="-5"/>
        </w:rPr>
        <w:t> </w:t>
      </w:r>
      <w:r>
        <w:rPr>
          <w:color w:val="231F20"/>
        </w:rPr>
        <w:t>has taken place that gives the Council a possible asset whose existence will only be confirmed by the occurrence or otherwise of uncertain</w:t>
      </w:r>
    </w:p>
    <w:p>
      <w:pPr>
        <w:pStyle w:val="BodyText"/>
        <w:spacing w:line="225" w:lineRule="auto"/>
        <w:ind w:left="298" w:right="644"/>
      </w:pPr>
      <w:r>
        <w:rPr>
          <w:color w:val="231F20"/>
        </w:rPr>
        <w:t>future</w:t>
      </w:r>
      <w:r>
        <w:rPr>
          <w:color w:val="231F20"/>
          <w:spacing w:val="-4"/>
        </w:rPr>
        <w:t> </w:t>
      </w:r>
      <w:r>
        <w:rPr>
          <w:color w:val="231F20"/>
        </w:rPr>
        <w:t>events</w:t>
      </w:r>
      <w:r>
        <w:rPr>
          <w:color w:val="231F20"/>
          <w:spacing w:val="-4"/>
        </w:rPr>
        <w:t> </w:t>
      </w:r>
      <w:r>
        <w:rPr>
          <w:color w:val="231F20"/>
        </w:rPr>
        <w:t>not</w:t>
      </w:r>
      <w:r>
        <w:rPr>
          <w:color w:val="231F20"/>
          <w:spacing w:val="-4"/>
        </w:rPr>
        <w:t> </w:t>
      </w:r>
      <w:r>
        <w:rPr>
          <w:color w:val="231F20"/>
        </w:rPr>
        <w:t>wholly</w:t>
      </w:r>
      <w:r>
        <w:rPr>
          <w:color w:val="231F20"/>
          <w:spacing w:val="-4"/>
        </w:rPr>
        <w:t> </w:t>
      </w:r>
      <w:r>
        <w:rPr>
          <w:color w:val="231F20"/>
        </w:rPr>
        <w:t>within</w:t>
      </w:r>
      <w:r>
        <w:rPr>
          <w:color w:val="231F20"/>
          <w:spacing w:val="-4"/>
        </w:rPr>
        <w:t> </w:t>
      </w:r>
      <w:r>
        <w:rPr>
          <w:color w:val="231F20"/>
        </w:rPr>
        <w:t>the</w:t>
      </w:r>
      <w:r>
        <w:rPr>
          <w:color w:val="231F20"/>
          <w:spacing w:val="-4"/>
        </w:rPr>
        <w:t> </w:t>
      </w:r>
      <w:r>
        <w:rPr>
          <w:color w:val="231F20"/>
        </w:rPr>
        <w:t>control</w:t>
      </w:r>
      <w:r>
        <w:rPr>
          <w:color w:val="231F20"/>
          <w:spacing w:val="-4"/>
        </w:rPr>
        <w:t> </w:t>
      </w:r>
      <w:r>
        <w:rPr>
          <w:color w:val="231F20"/>
        </w:rPr>
        <w:t>of</w:t>
      </w:r>
      <w:r>
        <w:rPr>
          <w:color w:val="231F20"/>
          <w:spacing w:val="-4"/>
        </w:rPr>
        <w:t> </w:t>
      </w:r>
      <w:r>
        <w:rPr>
          <w:color w:val="231F20"/>
        </w:rPr>
        <w:t>the Council.</w:t>
      </w:r>
      <w:r>
        <w:rPr>
          <w:color w:val="231F20"/>
          <w:spacing w:val="80"/>
        </w:rPr>
        <w:t> </w:t>
      </w:r>
      <w:r>
        <w:rPr>
          <w:color w:val="231F20"/>
        </w:rPr>
        <w:t>Contingent Assets are not recognised</w:t>
      </w:r>
      <w:r>
        <w:rPr>
          <w:color w:val="231F20"/>
          <w:spacing w:val="40"/>
        </w:rPr>
        <w:t> </w:t>
      </w:r>
      <w:r>
        <w:rPr>
          <w:color w:val="231F20"/>
        </w:rPr>
        <w:t>in the Balance Sheet but disclosed in a note to the accounts where it is probable that there will be an inflow of economic benefits or service </w:t>
      </w:r>
      <w:r>
        <w:rPr>
          <w:color w:val="231F20"/>
          <w:spacing w:val="-2"/>
        </w:rPr>
        <w:t>potential.</w:t>
      </w:r>
    </w:p>
    <w:p>
      <w:pPr>
        <w:spacing w:after="0" w:line="225" w:lineRule="auto"/>
        <w:sectPr>
          <w:type w:val="continuous"/>
          <w:pgSz w:w="11910" w:h="16840"/>
          <w:pgMar w:header="377" w:footer="367" w:top="260" w:bottom="0" w:left="0" w:right="0"/>
          <w:cols w:num="2" w:equalWidth="0">
            <w:col w:w="5757" w:space="40"/>
            <w:col w:w="6113"/>
          </w:cols>
        </w:sectPr>
      </w:pPr>
    </w:p>
    <w:p>
      <w:pPr>
        <w:pStyle w:val="BodyText"/>
        <w:rPr>
          <w:sz w:val="28"/>
        </w:rPr>
      </w:pPr>
    </w:p>
    <w:p>
      <w:pPr>
        <w:spacing w:after="0"/>
        <w:rPr>
          <w:sz w:val="28"/>
        </w:rPr>
        <w:sectPr>
          <w:pgSz w:w="11910" w:h="16840"/>
          <w:pgMar w:header="377" w:footer="367" w:top="560" w:bottom="560" w:left="0" w:right="0"/>
        </w:sectPr>
      </w:pPr>
    </w:p>
    <w:p>
      <w:pPr>
        <w:pStyle w:val="Heading3"/>
        <w:numPr>
          <w:ilvl w:val="0"/>
          <w:numId w:val="11"/>
        </w:numPr>
        <w:tabs>
          <w:tab w:pos="979" w:val="left" w:leader="none"/>
        </w:tabs>
        <w:spacing w:line="310" w:lineRule="exact" w:before="100" w:after="0"/>
        <w:ind w:left="978" w:right="0" w:hanging="413"/>
        <w:jc w:val="left"/>
      </w:pPr>
      <w:r>
        <w:rPr>
          <w:color w:val="3B5673"/>
          <w:spacing w:val="-2"/>
        </w:rPr>
        <w:t>RESERVES</w:t>
      </w:r>
    </w:p>
    <w:p>
      <w:pPr>
        <w:pStyle w:val="BodyText"/>
        <w:spacing w:line="225" w:lineRule="auto" w:before="6"/>
        <w:ind w:left="566" w:right="415"/>
      </w:pPr>
      <w:r>
        <w:rPr>
          <w:color w:val="231F20"/>
        </w:rPr>
        <w:t>The Council sets aside specific amounts as reserves for future policy purposes, or to cover</w:t>
      </w:r>
      <w:r>
        <w:rPr>
          <w:color w:val="231F20"/>
          <w:spacing w:val="-8"/>
        </w:rPr>
        <w:t> </w:t>
      </w:r>
      <w:r>
        <w:rPr>
          <w:color w:val="231F20"/>
        </w:rPr>
        <w:t>contingencies.</w:t>
      </w:r>
      <w:r>
        <w:rPr>
          <w:color w:val="231F20"/>
          <w:spacing w:val="40"/>
        </w:rPr>
        <w:t> </w:t>
      </w:r>
      <w:r>
        <w:rPr>
          <w:color w:val="231F20"/>
        </w:rPr>
        <w:t>Reserves</w:t>
      </w:r>
      <w:r>
        <w:rPr>
          <w:color w:val="231F20"/>
          <w:spacing w:val="-8"/>
        </w:rPr>
        <w:t> </w:t>
      </w:r>
      <w:r>
        <w:rPr>
          <w:color w:val="231F20"/>
        </w:rPr>
        <w:t>are</w:t>
      </w:r>
      <w:r>
        <w:rPr>
          <w:color w:val="231F20"/>
          <w:spacing w:val="-8"/>
        </w:rPr>
        <w:t> </w:t>
      </w:r>
      <w:r>
        <w:rPr>
          <w:color w:val="231F20"/>
        </w:rPr>
        <w:t>created</w:t>
      </w:r>
      <w:r>
        <w:rPr>
          <w:color w:val="231F20"/>
          <w:spacing w:val="-8"/>
        </w:rPr>
        <w:t> </w:t>
      </w:r>
      <w:r>
        <w:rPr>
          <w:color w:val="231F20"/>
        </w:rPr>
        <w:t>by</w:t>
      </w:r>
    </w:p>
    <w:p>
      <w:pPr>
        <w:pStyle w:val="BodyText"/>
        <w:spacing w:line="225" w:lineRule="auto"/>
        <w:ind w:left="566"/>
      </w:pPr>
      <w:r>
        <w:rPr>
          <w:color w:val="231F20"/>
        </w:rPr>
        <w:t>appropriating</w:t>
      </w:r>
      <w:r>
        <w:rPr>
          <w:color w:val="231F20"/>
          <w:spacing w:val="-6"/>
        </w:rPr>
        <w:t> </w:t>
      </w:r>
      <w:r>
        <w:rPr>
          <w:color w:val="231F20"/>
        </w:rPr>
        <w:t>amounts</w:t>
      </w:r>
      <w:r>
        <w:rPr>
          <w:color w:val="231F20"/>
          <w:spacing w:val="-6"/>
        </w:rPr>
        <w:t> </w:t>
      </w:r>
      <w:r>
        <w:rPr>
          <w:color w:val="231F20"/>
        </w:rPr>
        <w:t>out</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General</w:t>
      </w:r>
      <w:r>
        <w:rPr>
          <w:color w:val="231F20"/>
          <w:spacing w:val="-6"/>
        </w:rPr>
        <w:t> </w:t>
      </w:r>
      <w:r>
        <w:rPr>
          <w:color w:val="231F20"/>
        </w:rPr>
        <w:t>Fund Balance in the Movement in Reserves. When expenditure to be financed from a reserve</w:t>
      </w:r>
    </w:p>
    <w:p>
      <w:pPr>
        <w:pStyle w:val="BodyText"/>
        <w:spacing w:line="225" w:lineRule="auto"/>
        <w:ind w:left="566"/>
      </w:pPr>
      <w:r>
        <w:rPr>
          <w:color w:val="231F20"/>
        </w:rPr>
        <w:t>is incurred, it is charged to the appropriate revenue</w:t>
      </w:r>
      <w:r>
        <w:rPr>
          <w:color w:val="231F20"/>
          <w:spacing w:val="-4"/>
        </w:rPr>
        <w:t> </w:t>
      </w:r>
      <w:r>
        <w:rPr>
          <w:color w:val="231F20"/>
        </w:rPr>
        <w:t>account</w:t>
      </w:r>
      <w:r>
        <w:rPr>
          <w:color w:val="231F20"/>
          <w:spacing w:val="-4"/>
        </w:rPr>
        <w:t> </w:t>
      </w:r>
      <w:r>
        <w:rPr>
          <w:color w:val="231F20"/>
        </w:rPr>
        <w:t>in</w:t>
      </w:r>
      <w:r>
        <w:rPr>
          <w:color w:val="231F20"/>
          <w:spacing w:val="-5"/>
        </w:rPr>
        <w:t> </w:t>
      </w:r>
      <w:r>
        <w:rPr>
          <w:color w:val="231F20"/>
        </w:rPr>
        <w:t>that</w:t>
      </w:r>
      <w:r>
        <w:rPr>
          <w:color w:val="231F20"/>
          <w:spacing w:val="-4"/>
        </w:rPr>
        <w:t> </w:t>
      </w:r>
      <w:r>
        <w:rPr>
          <w:color w:val="231F20"/>
        </w:rPr>
        <w:t>year</w:t>
      </w:r>
      <w:r>
        <w:rPr>
          <w:color w:val="231F20"/>
          <w:spacing w:val="-4"/>
        </w:rPr>
        <w:t> </w:t>
      </w:r>
      <w:r>
        <w:rPr>
          <w:color w:val="231F20"/>
        </w:rPr>
        <w:t>to</w:t>
      </w:r>
      <w:r>
        <w:rPr>
          <w:color w:val="231F20"/>
          <w:spacing w:val="-4"/>
        </w:rPr>
        <w:t> </w:t>
      </w:r>
      <w:r>
        <w:rPr>
          <w:color w:val="231F20"/>
        </w:rPr>
        <w:t>score</w:t>
      </w:r>
      <w:r>
        <w:rPr>
          <w:color w:val="231F20"/>
          <w:spacing w:val="-5"/>
        </w:rPr>
        <w:t> </w:t>
      </w:r>
      <w:r>
        <w:rPr>
          <w:color w:val="231F20"/>
        </w:rPr>
        <w:t>against</w:t>
      </w:r>
      <w:r>
        <w:rPr>
          <w:color w:val="231F20"/>
          <w:spacing w:val="-4"/>
        </w:rPr>
        <w:t> </w:t>
      </w:r>
      <w:r>
        <w:rPr>
          <w:color w:val="231F20"/>
        </w:rPr>
        <w:t>the Surplus or Deficit on the Provision of Services</w:t>
      </w:r>
    </w:p>
    <w:p>
      <w:pPr>
        <w:pStyle w:val="BodyText"/>
        <w:spacing w:line="225" w:lineRule="auto"/>
        <w:ind w:left="566"/>
      </w:pPr>
      <w:r>
        <w:rPr>
          <w:color w:val="231F20"/>
        </w:rPr>
        <w:t>in the Comprehensive Income and Expenditure Statement.</w:t>
      </w:r>
      <w:r>
        <w:rPr>
          <w:color w:val="231F20"/>
          <w:spacing w:val="-8"/>
        </w:rPr>
        <w:t> </w:t>
      </w:r>
      <w:r>
        <w:rPr>
          <w:color w:val="231F20"/>
        </w:rPr>
        <w:t>The</w:t>
      </w:r>
      <w:r>
        <w:rPr>
          <w:color w:val="231F20"/>
          <w:spacing w:val="-8"/>
        </w:rPr>
        <w:t> </w:t>
      </w:r>
      <w:r>
        <w:rPr>
          <w:color w:val="231F20"/>
        </w:rPr>
        <w:t>reserve</w:t>
      </w:r>
      <w:r>
        <w:rPr>
          <w:color w:val="231F20"/>
          <w:spacing w:val="-8"/>
        </w:rPr>
        <w:t> </w:t>
      </w:r>
      <w:r>
        <w:rPr>
          <w:color w:val="231F20"/>
        </w:rPr>
        <w:t>is</w:t>
      </w:r>
      <w:r>
        <w:rPr>
          <w:color w:val="231F20"/>
          <w:spacing w:val="-8"/>
        </w:rPr>
        <w:t> </w:t>
      </w:r>
      <w:r>
        <w:rPr>
          <w:color w:val="231F20"/>
        </w:rPr>
        <w:t>then</w:t>
      </w:r>
      <w:r>
        <w:rPr>
          <w:color w:val="231F20"/>
          <w:spacing w:val="-8"/>
        </w:rPr>
        <w:t> </w:t>
      </w:r>
      <w:r>
        <w:rPr>
          <w:color w:val="231F20"/>
        </w:rPr>
        <w:t>appropriated</w:t>
      </w:r>
      <w:r>
        <w:rPr>
          <w:color w:val="231F20"/>
          <w:spacing w:val="-8"/>
        </w:rPr>
        <w:t> </w:t>
      </w:r>
      <w:r>
        <w:rPr>
          <w:color w:val="231F20"/>
        </w:rPr>
        <w:t>back into the General Fund Balance in the Movement in Reserves Statement so that there is no net charge against Council Tax for the expenditure.</w:t>
      </w:r>
    </w:p>
    <w:p>
      <w:pPr>
        <w:pStyle w:val="BodyText"/>
        <w:spacing w:before="6"/>
        <w:rPr>
          <w:sz w:val="22"/>
        </w:rPr>
      </w:pPr>
    </w:p>
    <w:p>
      <w:pPr>
        <w:pStyle w:val="BodyText"/>
        <w:spacing w:line="225" w:lineRule="auto"/>
        <w:ind w:left="566"/>
      </w:pPr>
      <w:r>
        <w:rPr>
          <w:color w:val="231F20"/>
        </w:rPr>
        <w:t>The level of reserves and balances is reviewed annually to ensure they are appropriate.</w:t>
      </w:r>
      <w:r>
        <w:rPr>
          <w:color w:val="231F20"/>
          <w:spacing w:val="40"/>
        </w:rPr>
        <w:t> </w:t>
      </w:r>
      <w:r>
        <w:rPr>
          <w:color w:val="231F20"/>
        </w:rPr>
        <w:t>The General Fund Balance, Earmarked Reserve and Reserves arising from Capital Receipts together with Capital</w:t>
      </w:r>
      <w:r>
        <w:rPr>
          <w:color w:val="231F20"/>
          <w:spacing w:val="-1"/>
        </w:rPr>
        <w:t> </w:t>
      </w:r>
      <w:r>
        <w:rPr>
          <w:color w:val="231F20"/>
        </w:rPr>
        <w:t>Grants Unapplied are deemed to be usable</w:t>
      </w:r>
      <w:r>
        <w:rPr>
          <w:color w:val="231F20"/>
          <w:spacing w:val="-4"/>
        </w:rPr>
        <w:t> </w:t>
      </w:r>
      <w:r>
        <w:rPr>
          <w:color w:val="231F20"/>
        </w:rPr>
        <w:t>reserves</w:t>
      </w:r>
      <w:r>
        <w:rPr>
          <w:color w:val="231F20"/>
          <w:spacing w:val="-4"/>
        </w:rPr>
        <w:t> </w:t>
      </w:r>
      <w:r>
        <w:rPr>
          <w:color w:val="231F20"/>
        </w:rPr>
        <w:t>in</w:t>
      </w:r>
      <w:r>
        <w:rPr>
          <w:color w:val="231F20"/>
          <w:spacing w:val="-5"/>
        </w:rPr>
        <w:t> </w:t>
      </w:r>
      <w:r>
        <w:rPr>
          <w:color w:val="231F20"/>
        </w:rPr>
        <w:t>that</w:t>
      </w:r>
      <w:r>
        <w:rPr>
          <w:color w:val="231F20"/>
          <w:spacing w:val="-4"/>
        </w:rPr>
        <w:t> </w:t>
      </w:r>
      <w:r>
        <w:rPr>
          <w:color w:val="231F20"/>
        </w:rPr>
        <w:t>they</w:t>
      </w:r>
      <w:r>
        <w:rPr>
          <w:color w:val="231F20"/>
          <w:spacing w:val="-4"/>
        </w:rPr>
        <w:t> </w:t>
      </w:r>
      <w:r>
        <w:rPr>
          <w:color w:val="231F20"/>
        </w:rPr>
        <w:t>may</w:t>
      </w:r>
      <w:r>
        <w:rPr>
          <w:color w:val="231F20"/>
          <w:spacing w:val="-5"/>
        </w:rPr>
        <w:t> </w:t>
      </w:r>
      <w:r>
        <w:rPr>
          <w:color w:val="231F20"/>
        </w:rPr>
        <w:t>be</w:t>
      </w:r>
      <w:r>
        <w:rPr>
          <w:color w:val="231F20"/>
          <w:spacing w:val="-4"/>
        </w:rPr>
        <w:t> </w:t>
      </w:r>
      <w:r>
        <w:rPr>
          <w:color w:val="231F20"/>
        </w:rPr>
        <w:t>used</w:t>
      </w:r>
      <w:r>
        <w:rPr>
          <w:color w:val="231F20"/>
          <w:spacing w:val="-4"/>
        </w:rPr>
        <w:t> </w:t>
      </w:r>
      <w:r>
        <w:rPr>
          <w:color w:val="231F20"/>
        </w:rPr>
        <w:t>to</w:t>
      </w:r>
      <w:r>
        <w:rPr>
          <w:color w:val="231F20"/>
          <w:spacing w:val="-4"/>
        </w:rPr>
        <w:t> </w:t>
      </w:r>
      <w:r>
        <w:rPr>
          <w:color w:val="231F20"/>
        </w:rPr>
        <w:t>fund future expenditure.</w:t>
      </w:r>
    </w:p>
    <w:p>
      <w:pPr>
        <w:pStyle w:val="BodyText"/>
        <w:spacing w:before="7"/>
        <w:rPr>
          <w:sz w:val="22"/>
        </w:rPr>
      </w:pPr>
    </w:p>
    <w:p>
      <w:pPr>
        <w:pStyle w:val="BodyText"/>
        <w:spacing w:line="225" w:lineRule="auto"/>
        <w:ind w:left="566"/>
      </w:pPr>
      <w:r>
        <w:rPr>
          <w:color w:val="231F20"/>
        </w:rPr>
        <w:t>Certain reserves are kept to manage the accounting processes for non-current assets, financial instruments retirement benefits and employee benefits; these are termed unusable reserves</w:t>
      </w:r>
      <w:r>
        <w:rPr>
          <w:color w:val="231F20"/>
          <w:spacing w:val="-4"/>
        </w:rPr>
        <w:t> </w:t>
      </w:r>
      <w:r>
        <w:rPr>
          <w:color w:val="231F20"/>
        </w:rPr>
        <w:t>and</w:t>
      </w:r>
      <w:r>
        <w:rPr>
          <w:color w:val="231F20"/>
          <w:spacing w:val="-4"/>
        </w:rPr>
        <w:t> </w:t>
      </w:r>
      <w:r>
        <w:rPr>
          <w:color w:val="231F20"/>
        </w:rPr>
        <w:t>are</w:t>
      </w:r>
      <w:r>
        <w:rPr>
          <w:color w:val="231F20"/>
          <w:spacing w:val="-4"/>
        </w:rPr>
        <w:t> </w:t>
      </w:r>
      <w:r>
        <w:rPr>
          <w:color w:val="231F20"/>
        </w:rPr>
        <w:t>not</w:t>
      </w:r>
      <w:r>
        <w:rPr>
          <w:color w:val="231F20"/>
          <w:spacing w:val="-4"/>
        </w:rPr>
        <w:t> </w:t>
      </w:r>
      <w:r>
        <w:rPr>
          <w:color w:val="231F20"/>
        </w:rPr>
        <w:t>available</w:t>
      </w:r>
      <w:r>
        <w:rPr>
          <w:color w:val="231F20"/>
          <w:spacing w:val="-4"/>
        </w:rPr>
        <w:t> </w:t>
      </w:r>
      <w:r>
        <w:rPr>
          <w:color w:val="231F20"/>
        </w:rPr>
        <w:t>to</w:t>
      </w:r>
      <w:r>
        <w:rPr>
          <w:color w:val="231F20"/>
          <w:spacing w:val="-4"/>
        </w:rPr>
        <w:t> </w:t>
      </w:r>
      <w:r>
        <w:rPr>
          <w:color w:val="231F20"/>
        </w:rPr>
        <w:t>be</w:t>
      </w:r>
      <w:r>
        <w:rPr>
          <w:color w:val="231F20"/>
          <w:spacing w:val="-4"/>
        </w:rPr>
        <w:t> </w:t>
      </w:r>
      <w:r>
        <w:rPr>
          <w:color w:val="231F20"/>
        </w:rPr>
        <w:t>used</w:t>
      </w:r>
      <w:r>
        <w:rPr>
          <w:color w:val="231F20"/>
          <w:spacing w:val="-4"/>
        </w:rPr>
        <w:t> </w:t>
      </w:r>
      <w:r>
        <w:rPr>
          <w:color w:val="231F20"/>
        </w:rPr>
        <w:t>to</w:t>
      </w:r>
      <w:r>
        <w:rPr>
          <w:color w:val="231F20"/>
          <w:spacing w:val="-4"/>
        </w:rPr>
        <w:t> </w:t>
      </w:r>
      <w:r>
        <w:rPr>
          <w:color w:val="231F20"/>
        </w:rPr>
        <w:t>fund future expenditure.</w:t>
      </w:r>
    </w:p>
    <w:p>
      <w:pPr>
        <w:pStyle w:val="Heading3"/>
        <w:numPr>
          <w:ilvl w:val="0"/>
          <w:numId w:val="11"/>
        </w:numPr>
        <w:tabs>
          <w:tab w:pos="710" w:val="left" w:leader="none"/>
        </w:tabs>
        <w:spacing w:line="211" w:lineRule="auto" w:before="131" w:after="0"/>
        <w:ind w:left="302" w:right="633" w:hanging="5"/>
        <w:jc w:val="left"/>
      </w:pPr>
      <w:r>
        <w:rPr>
          <w:b w:val="0"/>
        </w:rPr>
        <w:br w:type="column"/>
      </w:r>
      <w:r>
        <w:rPr>
          <w:color w:val="3B5673"/>
        </w:rPr>
        <w:t>REVENUE EXPENDITURE FUNDED FROM</w:t>
      </w:r>
      <w:r>
        <w:rPr>
          <w:color w:val="3B5673"/>
          <w:spacing w:val="40"/>
        </w:rPr>
        <w:t> </w:t>
      </w:r>
      <w:r>
        <w:rPr>
          <w:color w:val="3B5673"/>
        </w:rPr>
        <w:t>CAPITAL UNDER STATUTE </w:t>
      </w:r>
      <w:r>
        <w:rPr>
          <w:color w:val="3B5673"/>
          <w:position w:val="2"/>
        </w:rPr>
        <w:t>(</w:t>
      </w:r>
      <w:r>
        <w:rPr>
          <w:color w:val="3B5673"/>
        </w:rPr>
        <w:t>REFCUS</w:t>
      </w:r>
      <w:r>
        <w:rPr>
          <w:color w:val="3B5673"/>
          <w:position w:val="2"/>
        </w:rPr>
        <w:t>)</w:t>
      </w:r>
    </w:p>
    <w:p>
      <w:pPr>
        <w:pStyle w:val="BodyText"/>
        <w:spacing w:line="225" w:lineRule="auto" w:before="3"/>
        <w:ind w:left="297" w:right="605"/>
      </w:pPr>
      <w:r>
        <w:rPr>
          <w:color w:val="231F20"/>
        </w:rPr>
        <w:t>Expenditure incurred during the year that may</w:t>
      </w:r>
      <w:r>
        <w:rPr>
          <w:color w:val="231F20"/>
          <w:spacing w:val="40"/>
        </w:rPr>
        <w:t> </w:t>
      </w:r>
      <w:r>
        <w:rPr>
          <w:color w:val="231F20"/>
        </w:rPr>
        <w:t>be</w:t>
      </w:r>
      <w:r>
        <w:rPr>
          <w:color w:val="231F20"/>
          <w:spacing w:val="-6"/>
        </w:rPr>
        <w:t> </w:t>
      </w:r>
      <w:r>
        <w:rPr>
          <w:color w:val="231F20"/>
        </w:rPr>
        <w:t>capitalised</w:t>
      </w:r>
      <w:r>
        <w:rPr>
          <w:color w:val="231F20"/>
          <w:spacing w:val="-6"/>
        </w:rPr>
        <w:t> </w:t>
      </w:r>
      <w:r>
        <w:rPr>
          <w:color w:val="231F20"/>
        </w:rPr>
        <w:t>under</w:t>
      </w:r>
      <w:r>
        <w:rPr>
          <w:color w:val="231F20"/>
          <w:spacing w:val="-6"/>
        </w:rPr>
        <w:t> </w:t>
      </w:r>
      <w:r>
        <w:rPr>
          <w:color w:val="231F20"/>
        </w:rPr>
        <w:t>statutory</w:t>
      </w:r>
      <w:r>
        <w:rPr>
          <w:color w:val="231F20"/>
          <w:spacing w:val="-7"/>
        </w:rPr>
        <w:t> </w:t>
      </w:r>
      <w:r>
        <w:rPr>
          <w:color w:val="231F20"/>
        </w:rPr>
        <w:t>provisions</w:t>
      </w:r>
      <w:r>
        <w:rPr>
          <w:color w:val="231F20"/>
          <w:spacing w:val="-6"/>
        </w:rPr>
        <w:t> </w:t>
      </w:r>
      <w:r>
        <w:rPr>
          <w:color w:val="231F20"/>
        </w:rPr>
        <w:t>but</w:t>
      </w:r>
      <w:r>
        <w:rPr>
          <w:color w:val="231F20"/>
          <w:spacing w:val="-6"/>
        </w:rPr>
        <w:t> </w:t>
      </w:r>
      <w:r>
        <w:rPr>
          <w:color w:val="231F20"/>
        </w:rPr>
        <w:t>that does not result in the creation of non-current assets has been charged as expenditure to the relevant service in the Comprehensive Statement of Income and Expenditure in the year. Where the Council has decided to meet the cost of</w:t>
      </w:r>
    </w:p>
    <w:p>
      <w:pPr>
        <w:pStyle w:val="BodyText"/>
        <w:spacing w:line="294" w:lineRule="exact"/>
        <w:ind w:left="297"/>
      </w:pPr>
      <w:r>
        <w:rPr>
          <w:color w:val="231F20"/>
        </w:rPr>
        <w:t>this expenditure from existing capital </w:t>
      </w:r>
      <w:r>
        <w:rPr>
          <w:color w:val="231F20"/>
          <w:spacing w:val="-2"/>
        </w:rPr>
        <w:t>resources</w:t>
      </w:r>
    </w:p>
    <w:p>
      <w:pPr>
        <w:pStyle w:val="BodyText"/>
        <w:spacing w:line="225" w:lineRule="auto" w:before="6"/>
        <w:ind w:left="297" w:right="937"/>
      </w:pPr>
      <w:r>
        <w:rPr>
          <w:color w:val="231F20"/>
        </w:rPr>
        <w:t>or by borrowing, a transfer in the Movement in</w:t>
      </w:r>
      <w:r>
        <w:rPr>
          <w:color w:val="231F20"/>
          <w:spacing w:val="-9"/>
        </w:rPr>
        <w:t> </w:t>
      </w:r>
      <w:r>
        <w:rPr>
          <w:color w:val="231F20"/>
        </w:rPr>
        <w:t>Reserves</w:t>
      </w:r>
      <w:r>
        <w:rPr>
          <w:color w:val="231F20"/>
          <w:spacing w:val="-8"/>
        </w:rPr>
        <w:t> </w:t>
      </w:r>
      <w:r>
        <w:rPr>
          <w:color w:val="231F20"/>
        </w:rPr>
        <w:t>Statement</w:t>
      </w:r>
      <w:r>
        <w:rPr>
          <w:color w:val="231F20"/>
          <w:spacing w:val="-8"/>
        </w:rPr>
        <w:t> </w:t>
      </w:r>
      <w:r>
        <w:rPr>
          <w:color w:val="231F20"/>
        </w:rPr>
        <w:t>from</w:t>
      </w:r>
      <w:r>
        <w:rPr>
          <w:color w:val="231F20"/>
          <w:spacing w:val="-8"/>
        </w:rPr>
        <w:t> </w:t>
      </w:r>
      <w:r>
        <w:rPr>
          <w:color w:val="231F20"/>
        </w:rPr>
        <w:t>the</w:t>
      </w:r>
      <w:r>
        <w:rPr>
          <w:color w:val="231F20"/>
          <w:spacing w:val="-8"/>
        </w:rPr>
        <w:t> </w:t>
      </w:r>
      <w:r>
        <w:rPr>
          <w:color w:val="231F20"/>
        </w:rPr>
        <w:t>General</w:t>
      </w:r>
      <w:r>
        <w:rPr>
          <w:color w:val="231F20"/>
          <w:spacing w:val="-8"/>
        </w:rPr>
        <w:t> </w:t>
      </w:r>
      <w:r>
        <w:rPr>
          <w:color w:val="231F20"/>
        </w:rPr>
        <w:t>Fund Balance to the Capital Adjustment Account reverses out the amounts so that there is no impact on the level of council tax.</w:t>
      </w:r>
    </w:p>
    <w:p>
      <w:pPr>
        <w:pStyle w:val="Heading3"/>
        <w:numPr>
          <w:ilvl w:val="0"/>
          <w:numId w:val="11"/>
        </w:numPr>
        <w:tabs>
          <w:tab w:pos="710" w:val="left" w:leader="none"/>
        </w:tabs>
        <w:spacing w:line="310" w:lineRule="exact" w:before="284" w:after="0"/>
        <w:ind w:left="709" w:right="0" w:hanging="413"/>
        <w:jc w:val="left"/>
      </w:pPr>
      <w:r>
        <w:rPr>
          <w:color w:val="3B5673"/>
        </w:rPr>
        <w:t>VALUE</w:t>
      </w:r>
      <w:r>
        <w:rPr>
          <w:color w:val="3B5673"/>
          <w:spacing w:val="31"/>
        </w:rPr>
        <w:t> </w:t>
      </w:r>
      <w:r>
        <w:rPr>
          <w:color w:val="3B5673"/>
        </w:rPr>
        <w:t>ADDED</w:t>
      </w:r>
      <w:r>
        <w:rPr>
          <w:color w:val="3B5673"/>
          <w:spacing w:val="32"/>
        </w:rPr>
        <w:t> </w:t>
      </w:r>
      <w:r>
        <w:rPr>
          <w:color w:val="3B5673"/>
          <w:spacing w:val="-5"/>
        </w:rPr>
        <w:t>TAX</w:t>
      </w:r>
    </w:p>
    <w:p>
      <w:pPr>
        <w:pStyle w:val="BodyText"/>
        <w:spacing w:line="225" w:lineRule="auto" w:before="6"/>
        <w:ind w:left="297" w:right="517"/>
      </w:pPr>
      <w:r>
        <w:rPr/>
        <w:pict>
          <v:group style="position:absolute;margin-left:578.504028pt;margin-top:16.609837pt;width:16.8pt;height:192.8pt;mso-position-horizontal-relative:page;mso-position-vertical-relative:paragraph;z-index:15771136" id="docshapegroup358" coordorigin="11570,332" coordsize="336,3856">
            <v:rect style="position:absolute;left:11570;top:3223;width:336;height:964" id="docshape359" filled="true" fillcolor="#f15d6b" stroked="false">
              <v:fill type="solid"/>
            </v:rect>
            <v:rect style="position:absolute;left:11570;top:2259;width:336;height:964" id="docshape360" filled="true" fillcolor="#fbac42" stroked="false">
              <v:fill type="solid"/>
            </v:rect>
            <v:rect style="position:absolute;left:11570;top:1295;width:336;height:964" id="docshape361" filled="true" fillcolor="#b78fc1" stroked="false">
              <v:fill type="solid"/>
            </v:rect>
            <v:rect style="position:absolute;left:11570;top:332;width:336;height:964" id="docshape362" filled="true" fillcolor="#378372" stroked="false">
              <v:fill type="solid"/>
            </v:rect>
            <w10:wrap type="none"/>
          </v:group>
        </w:pict>
      </w:r>
      <w:r>
        <w:rPr>
          <w:color w:val="231F20"/>
        </w:rPr>
        <w:t>Value Added Tax (VAT) is excluded from all income</w:t>
      </w:r>
      <w:r>
        <w:rPr>
          <w:color w:val="231F20"/>
          <w:spacing w:val="-5"/>
        </w:rPr>
        <w:t> </w:t>
      </w:r>
      <w:r>
        <w:rPr>
          <w:color w:val="231F20"/>
        </w:rPr>
        <w:t>and</w:t>
      </w:r>
      <w:r>
        <w:rPr>
          <w:color w:val="231F20"/>
          <w:spacing w:val="-5"/>
        </w:rPr>
        <w:t> </w:t>
      </w:r>
      <w:r>
        <w:rPr>
          <w:color w:val="231F20"/>
        </w:rPr>
        <w:t>expenditure</w:t>
      </w:r>
      <w:r>
        <w:rPr>
          <w:color w:val="231F20"/>
          <w:spacing w:val="-5"/>
        </w:rPr>
        <w:t> </w:t>
      </w:r>
      <w:r>
        <w:rPr>
          <w:color w:val="231F20"/>
        </w:rPr>
        <w:t>received</w:t>
      </w:r>
      <w:r>
        <w:rPr>
          <w:color w:val="231F20"/>
          <w:spacing w:val="-5"/>
        </w:rPr>
        <w:t> </w:t>
      </w:r>
      <w:r>
        <w:rPr>
          <w:color w:val="231F20"/>
        </w:rPr>
        <w:t>and</w:t>
      </w:r>
      <w:r>
        <w:rPr>
          <w:color w:val="231F20"/>
          <w:spacing w:val="-5"/>
        </w:rPr>
        <w:t> </w:t>
      </w:r>
      <w:r>
        <w:rPr>
          <w:color w:val="231F20"/>
        </w:rPr>
        <w:t>paid</w:t>
      </w:r>
      <w:r>
        <w:rPr>
          <w:color w:val="231F20"/>
          <w:spacing w:val="-5"/>
        </w:rPr>
        <w:t> </w:t>
      </w:r>
      <w:r>
        <w:rPr>
          <w:color w:val="231F20"/>
        </w:rPr>
        <w:t>by</w:t>
      </w:r>
      <w:r>
        <w:rPr>
          <w:color w:val="231F20"/>
          <w:spacing w:val="-5"/>
        </w:rPr>
        <w:t> </w:t>
      </w:r>
      <w:r>
        <w:rPr>
          <w:color w:val="231F20"/>
        </w:rPr>
        <w:t>the Council</w:t>
      </w:r>
      <w:r>
        <w:rPr>
          <w:color w:val="231F20"/>
          <w:spacing w:val="-5"/>
        </w:rPr>
        <w:t> </w:t>
      </w:r>
      <w:r>
        <w:rPr>
          <w:color w:val="231F20"/>
        </w:rPr>
        <w:t>except</w:t>
      </w:r>
      <w:r>
        <w:rPr>
          <w:color w:val="231F20"/>
          <w:spacing w:val="-5"/>
        </w:rPr>
        <w:t> </w:t>
      </w:r>
      <w:r>
        <w:rPr>
          <w:color w:val="231F20"/>
        </w:rPr>
        <w:t>where</w:t>
      </w:r>
      <w:r>
        <w:rPr>
          <w:color w:val="231F20"/>
          <w:spacing w:val="-5"/>
        </w:rPr>
        <w:t> </w:t>
      </w:r>
      <w:r>
        <w:rPr>
          <w:color w:val="231F20"/>
        </w:rPr>
        <w:t>it</w:t>
      </w:r>
      <w:r>
        <w:rPr>
          <w:color w:val="231F20"/>
          <w:spacing w:val="-5"/>
        </w:rPr>
        <w:t> </w:t>
      </w:r>
      <w:r>
        <w:rPr>
          <w:color w:val="231F20"/>
        </w:rPr>
        <w:t>is</w:t>
      </w:r>
      <w:r>
        <w:rPr>
          <w:color w:val="231F20"/>
          <w:spacing w:val="-5"/>
        </w:rPr>
        <w:t> </w:t>
      </w:r>
      <w:r>
        <w:rPr>
          <w:color w:val="231F20"/>
        </w:rPr>
        <w:t>classed</w:t>
      </w:r>
      <w:r>
        <w:rPr>
          <w:color w:val="231F20"/>
          <w:spacing w:val="-5"/>
        </w:rPr>
        <w:t> </w:t>
      </w:r>
      <w:r>
        <w:rPr>
          <w:color w:val="231F20"/>
        </w:rPr>
        <w:t>as</w:t>
      </w:r>
      <w:r>
        <w:rPr>
          <w:color w:val="231F20"/>
          <w:spacing w:val="-5"/>
        </w:rPr>
        <w:t> </w:t>
      </w:r>
      <w:r>
        <w:rPr>
          <w:color w:val="231F20"/>
        </w:rPr>
        <w:t>irrecoverable by HM Revenue and Customs.</w:t>
      </w:r>
    </w:p>
    <w:p>
      <w:pPr>
        <w:spacing w:after="0" w:line="225" w:lineRule="auto"/>
        <w:sectPr>
          <w:type w:val="continuous"/>
          <w:pgSz w:w="11910" w:h="16840"/>
          <w:pgMar w:header="377" w:footer="367" w:top="260" w:bottom="0" w:left="0" w:right="0"/>
          <w:cols w:num="2" w:equalWidth="0">
            <w:col w:w="5757" w:space="40"/>
            <w:col w:w="6113"/>
          </w:cols>
        </w:sectPr>
      </w:pPr>
    </w:p>
    <w:p>
      <w:pPr>
        <w:pStyle w:val="BodyText"/>
        <w:rPr>
          <w:sz w:val="28"/>
        </w:rPr>
      </w:pPr>
    </w:p>
    <w:p>
      <w:pPr>
        <w:spacing w:after="0"/>
        <w:rPr>
          <w:sz w:val="28"/>
        </w:rPr>
        <w:sectPr>
          <w:pgSz w:w="11910" w:h="16840"/>
          <w:pgMar w:header="377" w:footer="367" w:top="560" w:bottom="560" w:left="0" w:right="0"/>
        </w:sectPr>
      </w:pPr>
    </w:p>
    <w:p>
      <w:pPr>
        <w:pStyle w:val="Heading3"/>
        <w:numPr>
          <w:ilvl w:val="0"/>
          <w:numId w:val="11"/>
        </w:numPr>
        <w:tabs>
          <w:tab w:pos="979" w:val="left" w:leader="none"/>
        </w:tabs>
        <w:spacing w:line="310" w:lineRule="exact" w:before="100" w:after="0"/>
        <w:ind w:left="978" w:right="0" w:hanging="413"/>
        <w:jc w:val="left"/>
      </w:pPr>
      <w:r>
        <w:rPr>
          <w:color w:val="3B5673"/>
        </w:rPr>
        <w:t>THE</w:t>
      </w:r>
      <w:r>
        <w:rPr>
          <w:color w:val="3B5673"/>
          <w:spacing w:val="50"/>
        </w:rPr>
        <w:t> </w:t>
      </w:r>
      <w:r>
        <w:rPr>
          <w:color w:val="3B5673"/>
        </w:rPr>
        <w:t>COLLECTION</w:t>
      </w:r>
      <w:r>
        <w:rPr>
          <w:color w:val="3B5673"/>
          <w:spacing w:val="51"/>
        </w:rPr>
        <w:t> </w:t>
      </w:r>
      <w:r>
        <w:rPr>
          <w:color w:val="3B5673"/>
          <w:spacing w:val="-4"/>
        </w:rPr>
        <w:t>FUND</w:t>
      </w:r>
    </w:p>
    <w:p>
      <w:pPr>
        <w:pStyle w:val="Heading4"/>
        <w:numPr>
          <w:ilvl w:val="0"/>
          <w:numId w:val="18"/>
        </w:numPr>
        <w:tabs>
          <w:tab w:pos="790" w:val="left" w:leader="none"/>
        </w:tabs>
        <w:spacing w:line="300" w:lineRule="exact" w:before="0" w:after="0"/>
        <w:ind w:left="789" w:right="0" w:hanging="224"/>
        <w:jc w:val="left"/>
      </w:pPr>
      <w:r>
        <w:rPr>
          <w:color w:val="3B5673"/>
        </w:rPr>
        <w:t>Council</w:t>
      </w:r>
      <w:r>
        <w:rPr>
          <w:color w:val="3B5673"/>
          <w:spacing w:val="-6"/>
        </w:rPr>
        <w:t> </w:t>
      </w:r>
      <w:r>
        <w:rPr>
          <w:color w:val="3B5673"/>
          <w:spacing w:val="-5"/>
        </w:rPr>
        <w:t>Tax</w:t>
      </w:r>
    </w:p>
    <w:p>
      <w:pPr>
        <w:pStyle w:val="BodyText"/>
        <w:spacing w:line="225" w:lineRule="auto" w:before="6"/>
        <w:ind w:left="566" w:right="9"/>
      </w:pPr>
      <w:r>
        <w:rPr>
          <w:color w:val="231F20"/>
        </w:rPr>
        <w:t>The Council includes its share of the accrued Council Tax due for the year within its Comprehensive Income and Expenditure Statement. The difference between this sum</w:t>
      </w:r>
      <w:r>
        <w:rPr>
          <w:color w:val="231F20"/>
          <w:spacing w:val="-1"/>
        </w:rPr>
        <w:t> </w:t>
      </w:r>
      <w:r>
        <w:rPr>
          <w:color w:val="231F20"/>
        </w:rPr>
        <w:t>and the</w:t>
      </w:r>
      <w:r>
        <w:rPr>
          <w:color w:val="231F20"/>
          <w:spacing w:val="-5"/>
        </w:rPr>
        <w:t> </w:t>
      </w:r>
      <w:r>
        <w:rPr>
          <w:color w:val="231F20"/>
        </w:rPr>
        <w:t>local</w:t>
      </w:r>
      <w:r>
        <w:rPr>
          <w:color w:val="231F20"/>
          <w:spacing w:val="-6"/>
        </w:rPr>
        <w:t> </w:t>
      </w:r>
      <w:r>
        <w:rPr>
          <w:color w:val="231F20"/>
        </w:rPr>
        <w:t>precept</w:t>
      </w:r>
      <w:r>
        <w:rPr>
          <w:color w:val="231F20"/>
          <w:spacing w:val="-5"/>
        </w:rPr>
        <w:t> </w:t>
      </w:r>
      <w:r>
        <w:rPr>
          <w:color w:val="231F20"/>
        </w:rPr>
        <w:t>for</w:t>
      </w:r>
      <w:r>
        <w:rPr>
          <w:color w:val="231F20"/>
          <w:spacing w:val="-5"/>
        </w:rPr>
        <w:t> </w:t>
      </w:r>
      <w:r>
        <w:rPr>
          <w:color w:val="231F20"/>
        </w:rPr>
        <w:t>Council</w:t>
      </w:r>
      <w:r>
        <w:rPr>
          <w:color w:val="231F20"/>
          <w:spacing w:val="-6"/>
        </w:rPr>
        <w:t> </w:t>
      </w:r>
      <w:r>
        <w:rPr>
          <w:color w:val="231F20"/>
        </w:rPr>
        <w:t>and</w:t>
      </w:r>
      <w:r>
        <w:rPr>
          <w:color w:val="231F20"/>
          <w:spacing w:val="-5"/>
        </w:rPr>
        <w:t> </w:t>
      </w:r>
      <w:r>
        <w:rPr>
          <w:color w:val="231F20"/>
        </w:rPr>
        <w:t>parish</w:t>
      </w:r>
      <w:r>
        <w:rPr>
          <w:color w:val="231F20"/>
          <w:spacing w:val="-5"/>
        </w:rPr>
        <w:t> </w:t>
      </w:r>
      <w:r>
        <w:rPr>
          <w:color w:val="231F20"/>
        </w:rPr>
        <w:t>activities is reversed through the General Fund Balance</w:t>
      </w:r>
    </w:p>
    <w:p>
      <w:pPr>
        <w:pStyle w:val="BodyText"/>
        <w:spacing w:line="225" w:lineRule="auto"/>
        <w:ind w:left="566" w:right="9"/>
      </w:pPr>
      <w:r>
        <w:rPr>
          <w:color w:val="231F20"/>
        </w:rPr>
        <w:t>to ensure only the level of Council Tax required to pay for Council activities is credited to the General</w:t>
      </w:r>
      <w:r>
        <w:rPr>
          <w:color w:val="231F20"/>
          <w:spacing w:val="-4"/>
        </w:rPr>
        <w:t> </w:t>
      </w:r>
      <w:r>
        <w:rPr>
          <w:color w:val="231F20"/>
        </w:rPr>
        <w:t>Fund</w:t>
      </w:r>
      <w:r>
        <w:rPr>
          <w:color w:val="231F20"/>
          <w:spacing w:val="-5"/>
        </w:rPr>
        <w:t> </w:t>
      </w:r>
      <w:r>
        <w:rPr>
          <w:color w:val="231F20"/>
        </w:rPr>
        <w:t>in</w:t>
      </w:r>
      <w:r>
        <w:rPr>
          <w:color w:val="231F20"/>
          <w:spacing w:val="-5"/>
        </w:rPr>
        <w:t> </w:t>
      </w:r>
      <w:r>
        <w:rPr>
          <w:color w:val="231F20"/>
        </w:rPr>
        <w:t>the</w:t>
      </w:r>
      <w:r>
        <w:rPr>
          <w:color w:val="231F20"/>
          <w:spacing w:val="-4"/>
        </w:rPr>
        <w:t> </w:t>
      </w:r>
      <w:r>
        <w:rPr>
          <w:color w:val="231F20"/>
        </w:rPr>
        <w:t>year.</w:t>
      </w:r>
      <w:r>
        <w:rPr>
          <w:color w:val="231F20"/>
          <w:spacing w:val="-4"/>
        </w:rPr>
        <w:t> </w:t>
      </w:r>
      <w:r>
        <w:rPr>
          <w:color w:val="231F20"/>
        </w:rPr>
        <w:t>The</w:t>
      </w:r>
      <w:r>
        <w:rPr>
          <w:color w:val="231F20"/>
          <w:spacing w:val="-4"/>
        </w:rPr>
        <w:t> </w:t>
      </w:r>
      <w:r>
        <w:rPr>
          <w:color w:val="231F20"/>
        </w:rPr>
        <w:t>balance</w:t>
      </w:r>
      <w:r>
        <w:rPr>
          <w:color w:val="231F20"/>
          <w:spacing w:val="-4"/>
        </w:rPr>
        <w:t> </w:t>
      </w:r>
      <w:r>
        <w:rPr>
          <w:color w:val="231F20"/>
        </w:rPr>
        <w:t>is</w:t>
      </w:r>
      <w:r>
        <w:rPr>
          <w:color w:val="231F20"/>
          <w:spacing w:val="-5"/>
        </w:rPr>
        <w:t> </w:t>
      </w:r>
      <w:r>
        <w:rPr>
          <w:color w:val="231F20"/>
        </w:rPr>
        <w:t>taken</w:t>
      </w:r>
      <w:r>
        <w:rPr>
          <w:color w:val="231F20"/>
          <w:spacing w:val="-4"/>
        </w:rPr>
        <w:t> </w:t>
      </w:r>
      <w:r>
        <w:rPr>
          <w:color w:val="231F20"/>
        </w:rPr>
        <w:t>to the Collection Fund Adjustment Account, within the Balance Sheet.</w:t>
      </w:r>
    </w:p>
    <w:p>
      <w:pPr>
        <w:pStyle w:val="BodyText"/>
        <w:spacing w:before="6"/>
        <w:rPr>
          <w:sz w:val="22"/>
        </w:rPr>
      </w:pPr>
    </w:p>
    <w:p>
      <w:pPr>
        <w:pStyle w:val="BodyText"/>
        <w:spacing w:line="225" w:lineRule="auto" w:before="1"/>
        <w:ind w:left="566"/>
      </w:pPr>
      <w:r>
        <w:rPr>
          <w:color w:val="231F20"/>
        </w:rPr>
        <w:t>Amounts collected on behalf of the other preceptors of Nottinghamshire County Council, Nottinghamshire</w:t>
      </w:r>
      <w:r>
        <w:rPr>
          <w:color w:val="231F20"/>
          <w:spacing w:val="-13"/>
        </w:rPr>
        <w:t> </w:t>
      </w:r>
      <w:r>
        <w:rPr>
          <w:color w:val="231F20"/>
        </w:rPr>
        <w:t>Police</w:t>
      </w:r>
      <w:r>
        <w:rPr>
          <w:color w:val="231F20"/>
          <w:spacing w:val="-13"/>
        </w:rPr>
        <w:t> </w:t>
      </w:r>
      <w:r>
        <w:rPr>
          <w:color w:val="231F20"/>
        </w:rPr>
        <w:t>and</w:t>
      </w:r>
      <w:r>
        <w:rPr>
          <w:color w:val="231F20"/>
          <w:spacing w:val="-13"/>
        </w:rPr>
        <w:t> </w:t>
      </w:r>
      <w:r>
        <w:rPr>
          <w:color w:val="231F20"/>
        </w:rPr>
        <w:t>Crime</w:t>
      </w:r>
      <w:r>
        <w:rPr>
          <w:color w:val="231F20"/>
          <w:spacing w:val="-13"/>
        </w:rPr>
        <w:t> </w:t>
      </w:r>
      <w:r>
        <w:rPr>
          <w:color w:val="231F20"/>
        </w:rPr>
        <w:t>Commissioner and Nottinghamshire Fire and Rescue Authority are treated as either debtors or creditors depending upon the respective share of the Collection Fund attributable to these bodies at 31st March.</w:t>
      </w:r>
    </w:p>
    <w:p>
      <w:pPr>
        <w:pStyle w:val="Heading4"/>
        <w:numPr>
          <w:ilvl w:val="0"/>
          <w:numId w:val="18"/>
        </w:numPr>
        <w:tabs>
          <w:tab w:pos="925" w:val="left" w:leader="none"/>
        </w:tabs>
        <w:spacing w:line="310" w:lineRule="exact" w:before="283" w:after="0"/>
        <w:ind w:left="924" w:right="0" w:hanging="359"/>
        <w:jc w:val="left"/>
      </w:pPr>
      <w:r>
        <w:rPr>
          <w:color w:val="3B5673"/>
        </w:rPr>
        <w:t>Business</w:t>
      </w:r>
      <w:r>
        <w:rPr>
          <w:color w:val="3B5673"/>
          <w:spacing w:val="-8"/>
        </w:rPr>
        <w:t> </w:t>
      </w:r>
      <w:r>
        <w:rPr>
          <w:color w:val="3B5673"/>
          <w:spacing w:val="-2"/>
        </w:rPr>
        <w:t>Rates</w:t>
      </w:r>
    </w:p>
    <w:p>
      <w:pPr>
        <w:pStyle w:val="BodyText"/>
        <w:spacing w:line="225" w:lineRule="auto" w:before="6"/>
        <w:ind w:left="566" w:right="168"/>
      </w:pPr>
      <w:r>
        <w:rPr>
          <w:color w:val="231F20"/>
        </w:rPr>
        <w:t>The Council includes its share of accrued Business Rates due for the year within its Comprehensive Income and Expenditure Statement. The difference between this sum and the forecast amount due to the Council is reversed through the General Fund Balance to ensure</w:t>
      </w:r>
      <w:r>
        <w:rPr>
          <w:color w:val="231F20"/>
          <w:spacing w:val="-5"/>
        </w:rPr>
        <w:t> </w:t>
      </w:r>
      <w:r>
        <w:rPr>
          <w:color w:val="231F20"/>
        </w:rPr>
        <w:t>only</w:t>
      </w:r>
      <w:r>
        <w:rPr>
          <w:color w:val="231F20"/>
          <w:spacing w:val="-5"/>
        </w:rPr>
        <w:t> </w:t>
      </w:r>
      <w:r>
        <w:rPr>
          <w:color w:val="231F20"/>
        </w:rPr>
        <w:t>the</w:t>
      </w:r>
      <w:r>
        <w:rPr>
          <w:color w:val="231F20"/>
          <w:spacing w:val="-5"/>
        </w:rPr>
        <w:t> </w:t>
      </w:r>
      <w:r>
        <w:rPr>
          <w:color w:val="231F20"/>
        </w:rPr>
        <w:t>level</w:t>
      </w:r>
      <w:r>
        <w:rPr>
          <w:color w:val="231F20"/>
          <w:spacing w:val="-6"/>
        </w:rPr>
        <w:t> </w:t>
      </w:r>
      <w:r>
        <w:rPr>
          <w:color w:val="231F20"/>
        </w:rPr>
        <w:t>of</w:t>
      </w:r>
      <w:r>
        <w:rPr>
          <w:color w:val="231F20"/>
          <w:spacing w:val="-5"/>
        </w:rPr>
        <w:t> </w:t>
      </w:r>
      <w:r>
        <w:rPr>
          <w:color w:val="231F20"/>
        </w:rPr>
        <w:t>Business</w:t>
      </w:r>
      <w:r>
        <w:rPr>
          <w:color w:val="231F20"/>
          <w:spacing w:val="-6"/>
        </w:rPr>
        <w:t> </w:t>
      </w:r>
      <w:r>
        <w:rPr>
          <w:color w:val="231F20"/>
        </w:rPr>
        <w:t>Rates</w:t>
      </w:r>
      <w:r>
        <w:rPr>
          <w:color w:val="231F20"/>
          <w:spacing w:val="-6"/>
        </w:rPr>
        <w:t> </w:t>
      </w:r>
      <w:r>
        <w:rPr>
          <w:color w:val="231F20"/>
        </w:rPr>
        <w:t>required to pay for Council activities is credited to the</w:t>
      </w:r>
    </w:p>
    <w:p>
      <w:pPr>
        <w:pStyle w:val="BodyText"/>
        <w:spacing w:line="225" w:lineRule="auto"/>
        <w:ind w:left="566" w:right="9"/>
      </w:pPr>
      <w:r>
        <w:rPr>
          <w:color w:val="231F20"/>
        </w:rPr>
        <w:t>General</w:t>
      </w:r>
      <w:r>
        <w:rPr>
          <w:color w:val="231F20"/>
          <w:spacing w:val="-4"/>
        </w:rPr>
        <w:t> </w:t>
      </w:r>
      <w:r>
        <w:rPr>
          <w:color w:val="231F20"/>
        </w:rPr>
        <w:t>Fund</w:t>
      </w:r>
      <w:r>
        <w:rPr>
          <w:color w:val="231F20"/>
          <w:spacing w:val="-5"/>
        </w:rPr>
        <w:t> </w:t>
      </w:r>
      <w:r>
        <w:rPr>
          <w:color w:val="231F20"/>
        </w:rPr>
        <w:t>in</w:t>
      </w:r>
      <w:r>
        <w:rPr>
          <w:color w:val="231F20"/>
          <w:spacing w:val="-5"/>
        </w:rPr>
        <w:t> </w:t>
      </w:r>
      <w:r>
        <w:rPr>
          <w:color w:val="231F20"/>
        </w:rPr>
        <w:t>the</w:t>
      </w:r>
      <w:r>
        <w:rPr>
          <w:color w:val="231F20"/>
          <w:spacing w:val="-4"/>
        </w:rPr>
        <w:t> </w:t>
      </w:r>
      <w:r>
        <w:rPr>
          <w:color w:val="231F20"/>
        </w:rPr>
        <w:t>year.</w:t>
      </w:r>
      <w:r>
        <w:rPr>
          <w:color w:val="231F20"/>
          <w:spacing w:val="-4"/>
        </w:rPr>
        <w:t> </w:t>
      </w:r>
      <w:r>
        <w:rPr>
          <w:color w:val="231F20"/>
        </w:rPr>
        <w:t>The</w:t>
      </w:r>
      <w:r>
        <w:rPr>
          <w:color w:val="231F20"/>
          <w:spacing w:val="-4"/>
        </w:rPr>
        <w:t> </w:t>
      </w:r>
      <w:r>
        <w:rPr>
          <w:color w:val="231F20"/>
        </w:rPr>
        <w:t>balance</w:t>
      </w:r>
      <w:r>
        <w:rPr>
          <w:color w:val="231F20"/>
          <w:spacing w:val="-4"/>
        </w:rPr>
        <w:t> </w:t>
      </w:r>
      <w:r>
        <w:rPr>
          <w:color w:val="231F20"/>
        </w:rPr>
        <w:t>is</w:t>
      </w:r>
      <w:r>
        <w:rPr>
          <w:color w:val="231F20"/>
          <w:spacing w:val="-5"/>
        </w:rPr>
        <w:t> </w:t>
      </w:r>
      <w:r>
        <w:rPr>
          <w:color w:val="231F20"/>
        </w:rPr>
        <w:t>taken</w:t>
      </w:r>
      <w:r>
        <w:rPr>
          <w:color w:val="231F20"/>
          <w:spacing w:val="-4"/>
        </w:rPr>
        <w:t> </w:t>
      </w:r>
      <w:r>
        <w:rPr>
          <w:color w:val="231F20"/>
        </w:rPr>
        <w:t>to the Collection Fund Adjustment Account, within the Balance Sheet.</w:t>
      </w:r>
    </w:p>
    <w:p>
      <w:pPr>
        <w:pStyle w:val="BodyText"/>
        <w:spacing w:before="7"/>
        <w:rPr>
          <w:sz w:val="22"/>
        </w:rPr>
      </w:pPr>
    </w:p>
    <w:p>
      <w:pPr>
        <w:pStyle w:val="BodyText"/>
        <w:spacing w:line="225" w:lineRule="auto"/>
        <w:ind w:left="566" w:right="9"/>
      </w:pPr>
      <w:r>
        <w:rPr>
          <w:color w:val="231F20"/>
        </w:rPr>
        <w:t>Amounts collected on behalf of the other partners of the pool (Central Government, Nottinghamshire County Council and Nottinghamshire Fire and Rescue Authority) are treated as either debtors or creditors depending upon</w:t>
      </w:r>
      <w:r>
        <w:rPr>
          <w:color w:val="231F20"/>
          <w:spacing w:val="-5"/>
        </w:rPr>
        <w:t> </w:t>
      </w:r>
      <w:r>
        <w:rPr>
          <w:color w:val="231F20"/>
        </w:rPr>
        <w:t>the</w:t>
      </w:r>
      <w:r>
        <w:rPr>
          <w:color w:val="231F20"/>
          <w:spacing w:val="-5"/>
        </w:rPr>
        <w:t> </w:t>
      </w:r>
      <w:r>
        <w:rPr>
          <w:color w:val="231F20"/>
        </w:rPr>
        <w:t>respective</w:t>
      </w:r>
      <w:r>
        <w:rPr>
          <w:color w:val="231F20"/>
          <w:spacing w:val="-5"/>
        </w:rPr>
        <w:t> </w:t>
      </w:r>
      <w:r>
        <w:rPr>
          <w:color w:val="231F20"/>
        </w:rPr>
        <w:t>share</w:t>
      </w:r>
      <w:r>
        <w:rPr>
          <w:color w:val="231F20"/>
          <w:spacing w:val="-6"/>
        </w:rPr>
        <w:t> </w:t>
      </w:r>
      <w:r>
        <w:rPr>
          <w:color w:val="231F20"/>
        </w:rPr>
        <w:t>of</w:t>
      </w:r>
      <w:r>
        <w:rPr>
          <w:color w:val="231F20"/>
          <w:spacing w:val="-5"/>
        </w:rPr>
        <w:t> </w:t>
      </w:r>
      <w:r>
        <w:rPr>
          <w:color w:val="231F20"/>
        </w:rPr>
        <w:t>the</w:t>
      </w:r>
      <w:r>
        <w:rPr>
          <w:color w:val="231F20"/>
          <w:spacing w:val="-5"/>
        </w:rPr>
        <w:t> </w:t>
      </w:r>
      <w:r>
        <w:rPr>
          <w:color w:val="231F20"/>
        </w:rPr>
        <w:t>Collection</w:t>
      </w:r>
      <w:r>
        <w:rPr>
          <w:color w:val="231F20"/>
          <w:spacing w:val="-6"/>
        </w:rPr>
        <w:t> </w:t>
      </w:r>
      <w:r>
        <w:rPr>
          <w:color w:val="231F20"/>
        </w:rPr>
        <w:t>Fund attributable to these bodies at 31st March.</w:t>
      </w:r>
    </w:p>
    <w:p>
      <w:pPr>
        <w:pStyle w:val="Heading3"/>
        <w:numPr>
          <w:ilvl w:val="0"/>
          <w:numId w:val="11"/>
        </w:numPr>
        <w:tabs>
          <w:tab w:pos="979" w:val="left" w:leader="none"/>
        </w:tabs>
        <w:spacing w:line="310" w:lineRule="exact" w:before="284" w:after="0"/>
        <w:ind w:left="978" w:right="0" w:hanging="413"/>
        <w:jc w:val="left"/>
      </w:pPr>
      <w:r>
        <w:rPr>
          <w:color w:val="3B5673"/>
        </w:rPr>
        <w:t>FAIR</w:t>
      </w:r>
      <w:r>
        <w:rPr>
          <w:color w:val="3B5673"/>
          <w:spacing w:val="21"/>
        </w:rPr>
        <w:t> </w:t>
      </w:r>
      <w:r>
        <w:rPr>
          <w:color w:val="3B5673"/>
        </w:rPr>
        <w:t>VALUE</w:t>
      </w:r>
      <w:r>
        <w:rPr>
          <w:color w:val="3B5673"/>
          <w:spacing w:val="21"/>
        </w:rPr>
        <w:t> </w:t>
      </w:r>
      <w:r>
        <w:rPr>
          <w:color w:val="3B5673"/>
          <w:spacing w:val="-2"/>
        </w:rPr>
        <w:t>MEASUREMENT</w:t>
      </w:r>
    </w:p>
    <w:p>
      <w:pPr>
        <w:pStyle w:val="BodyText"/>
        <w:spacing w:line="225" w:lineRule="auto" w:before="6"/>
        <w:ind w:left="566" w:right="9"/>
      </w:pPr>
      <w:r>
        <w:rPr>
          <w:color w:val="231F20"/>
        </w:rPr>
        <w:t>The</w:t>
      </w:r>
      <w:r>
        <w:rPr>
          <w:color w:val="231F20"/>
          <w:spacing w:val="-5"/>
        </w:rPr>
        <w:t> </w:t>
      </w:r>
      <w:r>
        <w:rPr>
          <w:color w:val="231F20"/>
        </w:rPr>
        <w:t>Council</w:t>
      </w:r>
      <w:r>
        <w:rPr>
          <w:color w:val="231F20"/>
          <w:spacing w:val="-6"/>
        </w:rPr>
        <w:t> </w:t>
      </w:r>
      <w:r>
        <w:rPr>
          <w:color w:val="231F20"/>
        </w:rPr>
        <w:t>measures</w:t>
      </w:r>
      <w:r>
        <w:rPr>
          <w:color w:val="231F20"/>
          <w:spacing w:val="-6"/>
        </w:rPr>
        <w:t> </w:t>
      </w:r>
      <w:r>
        <w:rPr>
          <w:color w:val="231F20"/>
        </w:rPr>
        <w:t>some</w:t>
      </w:r>
      <w:r>
        <w:rPr>
          <w:color w:val="231F20"/>
          <w:spacing w:val="-6"/>
        </w:rPr>
        <w:t> </w:t>
      </w:r>
      <w:r>
        <w:rPr>
          <w:color w:val="231F20"/>
        </w:rPr>
        <w:t>of</w:t>
      </w:r>
      <w:r>
        <w:rPr>
          <w:color w:val="231F20"/>
          <w:spacing w:val="-5"/>
        </w:rPr>
        <w:t> </w:t>
      </w:r>
      <w:r>
        <w:rPr>
          <w:color w:val="231F20"/>
        </w:rPr>
        <w:t>its</w:t>
      </w:r>
      <w:r>
        <w:rPr>
          <w:color w:val="231F20"/>
          <w:spacing w:val="-6"/>
        </w:rPr>
        <w:t> </w:t>
      </w:r>
      <w:r>
        <w:rPr>
          <w:color w:val="231F20"/>
        </w:rPr>
        <w:t>non-</w:t>
      </w:r>
      <w:r>
        <w:rPr>
          <w:color w:val="231F20"/>
          <w:spacing w:val="-5"/>
        </w:rPr>
        <w:t> </w:t>
      </w:r>
      <w:r>
        <w:rPr>
          <w:color w:val="231F20"/>
        </w:rPr>
        <w:t>financial assets such as investment properties and potentially some of its financial instruments</w:t>
      </w:r>
    </w:p>
    <w:p>
      <w:pPr>
        <w:pStyle w:val="BodyText"/>
        <w:spacing w:line="225" w:lineRule="auto" w:before="115"/>
        <w:ind w:left="265" w:right="900"/>
      </w:pPr>
      <w:r>
        <w:rPr/>
        <w:br w:type="column"/>
      </w:r>
      <w:r>
        <w:rPr>
          <w:color w:val="231F20"/>
        </w:rPr>
        <w:t>at fair value at each reporting date. Fair value is the price that would be received to sell an asset</w:t>
      </w:r>
      <w:r>
        <w:rPr>
          <w:color w:val="231F20"/>
          <w:spacing w:val="-2"/>
        </w:rPr>
        <w:t> </w:t>
      </w:r>
      <w:r>
        <w:rPr>
          <w:color w:val="231F20"/>
        </w:rPr>
        <w:t>or</w:t>
      </w:r>
      <w:r>
        <w:rPr>
          <w:color w:val="231F20"/>
          <w:spacing w:val="-2"/>
        </w:rPr>
        <w:t> </w:t>
      </w:r>
      <w:r>
        <w:rPr>
          <w:color w:val="231F20"/>
        </w:rPr>
        <w:t>paid</w:t>
      </w:r>
      <w:r>
        <w:rPr>
          <w:color w:val="231F20"/>
          <w:spacing w:val="-2"/>
        </w:rPr>
        <w:t> </w:t>
      </w:r>
      <w:r>
        <w:rPr>
          <w:color w:val="231F20"/>
        </w:rPr>
        <w:t>to</w:t>
      </w:r>
      <w:r>
        <w:rPr>
          <w:color w:val="231F20"/>
          <w:spacing w:val="-2"/>
        </w:rPr>
        <w:t> </w:t>
      </w:r>
      <w:r>
        <w:rPr>
          <w:color w:val="231F20"/>
        </w:rPr>
        <w:t>transfer</w:t>
      </w:r>
      <w:r>
        <w:rPr>
          <w:color w:val="231F20"/>
          <w:spacing w:val="-2"/>
        </w:rPr>
        <w:t> </w:t>
      </w:r>
      <w:r>
        <w:rPr>
          <w:color w:val="231F20"/>
        </w:rPr>
        <w:t>a</w:t>
      </w:r>
      <w:r>
        <w:rPr>
          <w:color w:val="231F20"/>
          <w:spacing w:val="-2"/>
        </w:rPr>
        <w:t> </w:t>
      </w:r>
      <w:r>
        <w:rPr>
          <w:color w:val="231F20"/>
        </w:rPr>
        <w:t>liability</w:t>
      </w:r>
      <w:r>
        <w:rPr>
          <w:color w:val="231F20"/>
          <w:spacing w:val="-3"/>
        </w:rPr>
        <w:t> </w:t>
      </w:r>
      <w:r>
        <w:rPr>
          <w:color w:val="231F20"/>
        </w:rPr>
        <w:t>in</w:t>
      </w:r>
      <w:r>
        <w:rPr>
          <w:color w:val="231F20"/>
          <w:spacing w:val="-3"/>
        </w:rPr>
        <w:t> </w:t>
      </w:r>
      <w:r>
        <w:rPr>
          <w:color w:val="231F20"/>
        </w:rPr>
        <w:t>an</w:t>
      </w:r>
      <w:r>
        <w:rPr>
          <w:color w:val="231F20"/>
          <w:spacing w:val="-2"/>
        </w:rPr>
        <w:t> </w:t>
      </w:r>
      <w:r>
        <w:rPr>
          <w:color w:val="231F20"/>
        </w:rPr>
        <w:t>orderly transaction</w:t>
      </w:r>
      <w:r>
        <w:rPr>
          <w:color w:val="231F20"/>
          <w:spacing w:val="-1"/>
        </w:rPr>
        <w:t> </w:t>
      </w:r>
      <w:r>
        <w:rPr>
          <w:color w:val="231F20"/>
        </w:rPr>
        <w:t>between</w:t>
      </w:r>
      <w:r>
        <w:rPr>
          <w:color w:val="231F20"/>
          <w:spacing w:val="-1"/>
        </w:rPr>
        <w:t> </w:t>
      </w:r>
      <w:r>
        <w:rPr>
          <w:color w:val="231F20"/>
        </w:rPr>
        <w:t>market</w:t>
      </w:r>
      <w:r>
        <w:rPr>
          <w:color w:val="231F20"/>
          <w:spacing w:val="-2"/>
        </w:rPr>
        <w:t> </w:t>
      </w:r>
      <w:r>
        <w:rPr>
          <w:color w:val="231F20"/>
        </w:rPr>
        <w:t>participants</w:t>
      </w:r>
      <w:r>
        <w:rPr>
          <w:color w:val="231F20"/>
          <w:spacing w:val="-1"/>
        </w:rPr>
        <w:t> </w:t>
      </w:r>
      <w:r>
        <w:rPr>
          <w:color w:val="231F20"/>
        </w:rPr>
        <w:t>at</w:t>
      </w:r>
      <w:r>
        <w:rPr>
          <w:color w:val="231F20"/>
          <w:spacing w:val="-1"/>
        </w:rPr>
        <w:t> </w:t>
      </w:r>
      <w:r>
        <w:rPr>
          <w:color w:val="231F20"/>
          <w:spacing w:val="-5"/>
        </w:rPr>
        <w:t>the</w:t>
      </w:r>
    </w:p>
    <w:p>
      <w:pPr>
        <w:pStyle w:val="BodyText"/>
        <w:spacing w:line="225" w:lineRule="auto"/>
        <w:ind w:left="265" w:right="802"/>
        <w:jc w:val="both"/>
      </w:pPr>
      <w:r>
        <w:rPr>
          <w:color w:val="231F20"/>
        </w:rPr>
        <w:t>measurement</w:t>
      </w:r>
      <w:r>
        <w:rPr>
          <w:color w:val="231F20"/>
          <w:spacing w:val="-8"/>
        </w:rPr>
        <w:t> </w:t>
      </w:r>
      <w:r>
        <w:rPr>
          <w:color w:val="231F20"/>
        </w:rPr>
        <w:t>date.</w:t>
      </w:r>
      <w:r>
        <w:rPr>
          <w:color w:val="231F20"/>
          <w:spacing w:val="-8"/>
        </w:rPr>
        <w:t> </w:t>
      </w:r>
      <w:r>
        <w:rPr>
          <w:color w:val="231F20"/>
        </w:rPr>
        <w:t>The</w:t>
      </w:r>
      <w:r>
        <w:rPr>
          <w:color w:val="231F20"/>
          <w:spacing w:val="-8"/>
        </w:rPr>
        <w:t> </w:t>
      </w:r>
      <w:r>
        <w:rPr>
          <w:color w:val="231F20"/>
        </w:rPr>
        <w:t>fair</w:t>
      </w:r>
      <w:r>
        <w:rPr>
          <w:color w:val="231F20"/>
          <w:spacing w:val="-8"/>
        </w:rPr>
        <w:t> </w:t>
      </w:r>
      <w:r>
        <w:rPr>
          <w:color w:val="231F20"/>
        </w:rPr>
        <w:t>value</w:t>
      </w:r>
      <w:r>
        <w:rPr>
          <w:color w:val="231F20"/>
          <w:spacing w:val="-8"/>
        </w:rPr>
        <w:t> </w:t>
      </w:r>
      <w:r>
        <w:rPr>
          <w:color w:val="231F20"/>
        </w:rPr>
        <w:t>measurement assumes</w:t>
      </w:r>
      <w:r>
        <w:rPr>
          <w:color w:val="231F20"/>
          <w:spacing w:val="-4"/>
        </w:rPr>
        <w:t> </w:t>
      </w:r>
      <w:r>
        <w:rPr>
          <w:color w:val="231F20"/>
        </w:rPr>
        <w:t>that</w:t>
      </w:r>
      <w:r>
        <w:rPr>
          <w:color w:val="231F20"/>
          <w:spacing w:val="-4"/>
        </w:rPr>
        <w:t> </w:t>
      </w:r>
      <w:r>
        <w:rPr>
          <w:color w:val="231F20"/>
        </w:rPr>
        <w:t>the</w:t>
      </w:r>
      <w:r>
        <w:rPr>
          <w:color w:val="231F20"/>
          <w:spacing w:val="-4"/>
        </w:rPr>
        <w:t> </w:t>
      </w:r>
      <w:r>
        <w:rPr>
          <w:color w:val="231F20"/>
        </w:rPr>
        <w:t>transaction</w:t>
      </w:r>
      <w:r>
        <w:rPr>
          <w:color w:val="231F20"/>
          <w:spacing w:val="-4"/>
        </w:rPr>
        <w:t> </w:t>
      </w:r>
      <w:r>
        <w:rPr>
          <w:color w:val="231F20"/>
        </w:rPr>
        <w:t>to</w:t>
      </w:r>
      <w:r>
        <w:rPr>
          <w:color w:val="231F20"/>
          <w:spacing w:val="-4"/>
        </w:rPr>
        <w:t> </w:t>
      </w:r>
      <w:r>
        <w:rPr>
          <w:color w:val="231F20"/>
        </w:rPr>
        <w:t>sell</w:t>
      </w:r>
      <w:r>
        <w:rPr>
          <w:color w:val="231F20"/>
          <w:spacing w:val="-4"/>
        </w:rPr>
        <w:t> </w:t>
      </w:r>
      <w:r>
        <w:rPr>
          <w:color w:val="231F20"/>
        </w:rPr>
        <w:t>the</w:t>
      </w:r>
      <w:r>
        <w:rPr>
          <w:color w:val="231F20"/>
          <w:spacing w:val="-4"/>
        </w:rPr>
        <w:t> </w:t>
      </w:r>
      <w:r>
        <w:rPr>
          <w:color w:val="231F20"/>
        </w:rPr>
        <w:t>asset</w:t>
      </w:r>
      <w:r>
        <w:rPr>
          <w:color w:val="231F20"/>
          <w:spacing w:val="-4"/>
        </w:rPr>
        <w:t> </w:t>
      </w:r>
      <w:r>
        <w:rPr>
          <w:color w:val="231F20"/>
        </w:rPr>
        <w:t>or transfer the liability takes place either:</w:t>
      </w:r>
    </w:p>
    <w:p>
      <w:pPr>
        <w:pStyle w:val="ListParagraph"/>
        <w:numPr>
          <w:ilvl w:val="1"/>
          <w:numId w:val="17"/>
        </w:numPr>
        <w:tabs>
          <w:tab w:pos="696" w:val="left" w:leader="none"/>
        </w:tabs>
        <w:spacing w:line="310" w:lineRule="exact" w:before="284" w:after="0"/>
        <w:ind w:left="695" w:right="0" w:hanging="261"/>
        <w:jc w:val="both"/>
        <w:rPr>
          <w:sz w:val="24"/>
        </w:rPr>
      </w:pPr>
      <w:r>
        <w:rPr>
          <w:color w:val="231F20"/>
          <w:sz w:val="24"/>
        </w:rPr>
        <w:t>in</w:t>
      </w:r>
      <w:r>
        <w:rPr>
          <w:color w:val="231F20"/>
          <w:spacing w:val="-2"/>
          <w:sz w:val="24"/>
        </w:rPr>
        <w:t> </w:t>
      </w:r>
      <w:r>
        <w:rPr>
          <w:color w:val="231F20"/>
          <w:sz w:val="24"/>
        </w:rPr>
        <w:t>the</w:t>
      </w:r>
      <w:r>
        <w:rPr>
          <w:color w:val="231F20"/>
          <w:spacing w:val="-1"/>
          <w:sz w:val="24"/>
        </w:rPr>
        <w:t> </w:t>
      </w:r>
      <w:r>
        <w:rPr>
          <w:color w:val="231F20"/>
          <w:sz w:val="24"/>
        </w:rPr>
        <w:t>principal</w:t>
      </w:r>
      <w:r>
        <w:rPr>
          <w:color w:val="231F20"/>
          <w:spacing w:val="-1"/>
          <w:sz w:val="24"/>
        </w:rPr>
        <w:t> </w:t>
      </w:r>
      <w:r>
        <w:rPr>
          <w:color w:val="231F20"/>
          <w:sz w:val="24"/>
        </w:rPr>
        <w:t>market</w:t>
      </w:r>
      <w:r>
        <w:rPr>
          <w:color w:val="231F20"/>
          <w:spacing w:val="-2"/>
          <w:sz w:val="24"/>
        </w:rPr>
        <w:t> </w:t>
      </w:r>
      <w:r>
        <w:rPr>
          <w:color w:val="231F20"/>
          <w:sz w:val="24"/>
        </w:rPr>
        <w:t>for</w:t>
      </w:r>
      <w:r>
        <w:rPr>
          <w:color w:val="231F20"/>
          <w:spacing w:val="-1"/>
          <w:sz w:val="24"/>
        </w:rPr>
        <w:t> </w:t>
      </w:r>
      <w:r>
        <w:rPr>
          <w:color w:val="231F20"/>
          <w:sz w:val="24"/>
        </w:rPr>
        <w:t>the</w:t>
      </w:r>
      <w:r>
        <w:rPr>
          <w:color w:val="231F20"/>
          <w:spacing w:val="-1"/>
          <w:sz w:val="24"/>
        </w:rPr>
        <w:t> </w:t>
      </w:r>
      <w:r>
        <w:rPr>
          <w:color w:val="231F20"/>
          <w:sz w:val="24"/>
        </w:rPr>
        <w:t>asset </w:t>
      </w:r>
      <w:r>
        <w:rPr>
          <w:color w:val="231F20"/>
          <w:spacing w:val="-5"/>
          <w:sz w:val="24"/>
        </w:rPr>
        <w:t>or</w:t>
      </w:r>
    </w:p>
    <w:p>
      <w:pPr>
        <w:pStyle w:val="BodyText"/>
        <w:spacing w:line="310" w:lineRule="exact"/>
        <w:ind w:left="695"/>
        <w:jc w:val="both"/>
      </w:pPr>
      <w:r>
        <w:rPr>
          <w:color w:val="231F20"/>
        </w:rPr>
        <w:t>liability,</w:t>
      </w:r>
      <w:r>
        <w:rPr>
          <w:color w:val="231F20"/>
          <w:spacing w:val="-10"/>
        </w:rPr>
        <w:t> </w:t>
      </w:r>
      <w:r>
        <w:rPr>
          <w:color w:val="231F20"/>
          <w:spacing w:val="-5"/>
        </w:rPr>
        <w:t>or</w:t>
      </w:r>
    </w:p>
    <w:p>
      <w:pPr>
        <w:pStyle w:val="ListParagraph"/>
        <w:numPr>
          <w:ilvl w:val="1"/>
          <w:numId w:val="17"/>
        </w:numPr>
        <w:tabs>
          <w:tab w:pos="715" w:val="left" w:leader="none"/>
        </w:tabs>
        <w:spacing w:line="225" w:lineRule="auto" w:before="54" w:after="0"/>
        <w:ind w:left="714" w:right="836" w:hanging="280"/>
        <w:jc w:val="both"/>
        <w:rPr>
          <w:sz w:val="24"/>
        </w:rPr>
      </w:pPr>
      <w:r>
        <w:rPr>
          <w:color w:val="231F20"/>
          <w:sz w:val="24"/>
        </w:rPr>
        <w:t>in the absence of a principal market, in the most</w:t>
      </w:r>
      <w:r>
        <w:rPr>
          <w:color w:val="231F20"/>
          <w:spacing w:val="-6"/>
          <w:sz w:val="24"/>
        </w:rPr>
        <w:t> </w:t>
      </w:r>
      <w:r>
        <w:rPr>
          <w:color w:val="231F20"/>
          <w:sz w:val="24"/>
        </w:rPr>
        <w:t>advantageous</w:t>
      </w:r>
      <w:r>
        <w:rPr>
          <w:color w:val="231F20"/>
          <w:spacing w:val="-6"/>
          <w:sz w:val="24"/>
        </w:rPr>
        <w:t> </w:t>
      </w:r>
      <w:r>
        <w:rPr>
          <w:color w:val="231F20"/>
          <w:sz w:val="24"/>
        </w:rPr>
        <w:t>market</w:t>
      </w:r>
      <w:r>
        <w:rPr>
          <w:color w:val="231F20"/>
          <w:spacing w:val="-6"/>
          <w:sz w:val="24"/>
        </w:rPr>
        <w:t> </w:t>
      </w:r>
      <w:r>
        <w:rPr>
          <w:color w:val="231F20"/>
          <w:sz w:val="24"/>
        </w:rPr>
        <w:t>for</w:t>
      </w:r>
      <w:r>
        <w:rPr>
          <w:color w:val="231F20"/>
          <w:spacing w:val="-6"/>
          <w:sz w:val="24"/>
        </w:rPr>
        <w:t> </w:t>
      </w:r>
      <w:r>
        <w:rPr>
          <w:color w:val="231F20"/>
          <w:sz w:val="24"/>
        </w:rPr>
        <w:t>the</w:t>
      </w:r>
      <w:r>
        <w:rPr>
          <w:color w:val="231F20"/>
          <w:spacing w:val="-6"/>
          <w:sz w:val="24"/>
        </w:rPr>
        <w:t> </w:t>
      </w:r>
      <w:r>
        <w:rPr>
          <w:color w:val="231F20"/>
          <w:sz w:val="24"/>
        </w:rPr>
        <w:t>asset</w:t>
      </w:r>
      <w:r>
        <w:rPr>
          <w:color w:val="231F20"/>
          <w:spacing w:val="-6"/>
          <w:sz w:val="24"/>
        </w:rPr>
        <w:t> </w:t>
      </w:r>
      <w:r>
        <w:rPr>
          <w:color w:val="231F20"/>
          <w:sz w:val="24"/>
        </w:rPr>
        <w:t>or </w:t>
      </w:r>
      <w:r>
        <w:rPr>
          <w:color w:val="231F20"/>
          <w:spacing w:val="-2"/>
          <w:sz w:val="24"/>
        </w:rPr>
        <w:t>liability.</w:t>
      </w:r>
    </w:p>
    <w:p>
      <w:pPr>
        <w:pStyle w:val="BodyText"/>
        <w:spacing w:before="10"/>
        <w:rPr>
          <w:sz w:val="26"/>
        </w:rPr>
      </w:pPr>
    </w:p>
    <w:p>
      <w:pPr>
        <w:pStyle w:val="BodyText"/>
        <w:spacing w:line="225" w:lineRule="auto"/>
        <w:ind w:left="265" w:right="687"/>
      </w:pPr>
      <w:r>
        <w:rPr/>
        <w:pict>
          <v:group style="position:absolute;margin-left:578.504028pt;margin-top:55.640465pt;width:16.8pt;height:192.8pt;mso-position-horizontal-relative:page;mso-position-vertical-relative:paragraph;z-index:15771648" id="docshapegroup363" coordorigin="11570,1113" coordsize="336,3856">
            <v:rect style="position:absolute;left:11570;top:4004;width:336;height:964" id="docshape364" filled="true" fillcolor="#f15d6b" stroked="false">
              <v:fill type="solid"/>
            </v:rect>
            <v:rect style="position:absolute;left:11570;top:3040;width:336;height:964" id="docshape365" filled="true" fillcolor="#fbac42" stroked="false">
              <v:fill type="solid"/>
            </v:rect>
            <v:rect style="position:absolute;left:11570;top:2076;width:336;height:964" id="docshape366" filled="true" fillcolor="#b78fc1" stroked="false">
              <v:fill type="solid"/>
            </v:rect>
            <v:rect style="position:absolute;left:11570;top:1112;width:336;height:964" id="docshape367" filled="true" fillcolor="#378372" stroked="false">
              <v:fill type="solid"/>
            </v:rect>
            <w10:wrap type="none"/>
          </v:group>
        </w:pict>
      </w:r>
      <w:r>
        <w:rPr>
          <w:color w:val="231F20"/>
        </w:rPr>
        <w:t>The Council measures the fair value of an asset or liability using the assumptions that market participants</w:t>
      </w:r>
      <w:r>
        <w:rPr>
          <w:color w:val="231F20"/>
          <w:spacing w:val="-5"/>
        </w:rPr>
        <w:t> </w:t>
      </w:r>
      <w:r>
        <w:rPr>
          <w:color w:val="231F20"/>
        </w:rPr>
        <w:t>would</w:t>
      </w:r>
      <w:r>
        <w:rPr>
          <w:color w:val="231F20"/>
          <w:spacing w:val="-5"/>
        </w:rPr>
        <w:t> </w:t>
      </w:r>
      <w:r>
        <w:rPr>
          <w:color w:val="231F20"/>
        </w:rPr>
        <w:t>use</w:t>
      </w:r>
      <w:r>
        <w:rPr>
          <w:color w:val="231F20"/>
          <w:spacing w:val="-5"/>
        </w:rPr>
        <w:t> </w:t>
      </w:r>
      <w:r>
        <w:rPr>
          <w:color w:val="231F20"/>
        </w:rPr>
        <w:t>when</w:t>
      </w:r>
      <w:r>
        <w:rPr>
          <w:color w:val="231F20"/>
          <w:spacing w:val="-5"/>
        </w:rPr>
        <w:t> </w:t>
      </w:r>
      <w:r>
        <w:rPr>
          <w:color w:val="231F20"/>
        </w:rPr>
        <w:t>pricing</w:t>
      </w:r>
      <w:r>
        <w:rPr>
          <w:color w:val="231F20"/>
          <w:spacing w:val="-5"/>
        </w:rPr>
        <w:t> </w:t>
      </w:r>
      <w:r>
        <w:rPr>
          <w:color w:val="231F20"/>
        </w:rPr>
        <w:t>the</w:t>
      </w:r>
      <w:r>
        <w:rPr>
          <w:color w:val="231F20"/>
          <w:spacing w:val="-5"/>
        </w:rPr>
        <w:t> </w:t>
      </w:r>
      <w:r>
        <w:rPr>
          <w:color w:val="231F20"/>
        </w:rPr>
        <w:t>asset</w:t>
      </w:r>
      <w:r>
        <w:rPr>
          <w:color w:val="231F20"/>
          <w:spacing w:val="-5"/>
        </w:rPr>
        <w:t> </w:t>
      </w:r>
      <w:r>
        <w:rPr>
          <w:color w:val="231F20"/>
        </w:rPr>
        <w:t>or liability,</w:t>
      </w:r>
      <w:r>
        <w:rPr>
          <w:color w:val="231F20"/>
          <w:spacing w:val="-6"/>
        </w:rPr>
        <w:t> </w:t>
      </w:r>
      <w:r>
        <w:rPr>
          <w:color w:val="231F20"/>
        </w:rPr>
        <w:t>assuming</w:t>
      </w:r>
      <w:r>
        <w:rPr>
          <w:color w:val="231F20"/>
          <w:spacing w:val="-5"/>
        </w:rPr>
        <w:t> </w:t>
      </w:r>
      <w:r>
        <w:rPr>
          <w:color w:val="231F20"/>
        </w:rPr>
        <w:t>that</w:t>
      </w:r>
      <w:r>
        <w:rPr>
          <w:color w:val="231F20"/>
          <w:spacing w:val="-5"/>
        </w:rPr>
        <w:t> </w:t>
      </w:r>
      <w:r>
        <w:rPr>
          <w:color w:val="231F20"/>
        </w:rPr>
        <w:t>market</w:t>
      </w:r>
      <w:r>
        <w:rPr>
          <w:color w:val="231F20"/>
          <w:spacing w:val="-6"/>
        </w:rPr>
        <w:t> </w:t>
      </w:r>
      <w:r>
        <w:rPr>
          <w:color w:val="231F20"/>
        </w:rPr>
        <w:t>participants</w:t>
      </w:r>
      <w:r>
        <w:rPr>
          <w:color w:val="231F20"/>
          <w:spacing w:val="-5"/>
        </w:rPr>
        <w:t> </w:t>
      </w:r>
      <w:r>
        <w:rPr>
          <w:color w:val="231F20"/>
        </w:rPr>
        <w:t>act</w:t>
      </w:r>
      <w:r>
        <w:rPr>
          <w:color w:val="231F20"/>
          <w:spacing w:val="-5"/>
        </w:rPr>
        <w:t> </w:t>
      </w:r>
      <w:r>
        <w:rPr>
          <w:color w:val="231F20"/>
        </w:rPr>
        <w:t>in their economic best interest.</w:t>
      </w:r>
    </w:p>
    <w:p>
      <w:pPr>
        <w:pStyle w:val="BodyText"/>
        <w:spacing w:before="7"/>
        <w:rPr>
          <w:sz w:val="22"/>
        </w:rPr>
      </w:pPr>
    </w:p>
    <w:p>
      <w:pPr>
        <w:pStyle w:val="BodyText"/>
        <w:spacing w:line="225" w:lineRule="auto"/>
        <w:ind w:left="265" w:right="626"/>
      </w:pPr>
      <w:r>
        <w:rPr>
          <w:color w:val="231F20"/>
        </w:rPr>
        <w:t>When measuring the fair value of a non-financial asset, the Council takes into account a market participant’s ability to generate economic benefits</w:t>
      </w:r>
      <w:r>
        <w:rPr>
          <w:color w:val="231F20"/>
          <w:spacing w:val="-4"/>
        </w:rPr>
        <w:t> </w:t>
      </w:r>
      <w:r>
        <w:rPr>
          <w:color w:val="231F20"/>
        </w:rPr>
        <w:t>by</w:t>
      </w:r>
      <w:r>
        <w:rPr>
          <w:color w:val="231F20"/>
          <w:spacing w:val="-4"/>
        </w:rPr>
        <w:t> </w:t>
      </w:r>
      <w:r>
        <w:rPr>
          <w:color w:val="231F20"/>
        </w:rPr>
        <w:t>using</w:t>
      </w:r>
      <w:r>
        <w:rPr>
          <w:color w:val="231F20"/>
          <w:spacing w:val="-4"/>
        </w:rPr>
        <w:t> </w:t>
      </w:r>
      <w:r>
        <w:rPr>
          <w:color w:val="231F20"/>
        </w:rPr>
        <w:t>the</w:t>
      </w:r>
      <w:r>
        <w:rPr>
          <w:color w:val="231F20"/>
          <w:spacing w:val="-4"/>
        </w:rPr>
        <w:t> </w:t>
      </w:r>
      <w:r>
        <w:rPr>
          <w:color w:val="231F20"/>
        </w:rPr>
        <w:t>asset</w:t>
      </w:r>
      <w:r>
        <w:rPr>
          <w:color w:val="231F20"/>
          <w:spacing w:val="-4"/>
        </w:rPr>
        <w:t> </w:t>
      </w:r>
      <w:r>
        <w:rPr>
          <w:color w:val="231F20"/>
        </w:rPr>
        <w:t>in</w:t>
      </w:r>
      <w:r>
        <w:rPr>
          <w:color w:val="231F20"/>
          <w:spacing w:val="-5"/>
        </w:rPr>
        <w:t> </w:t>
      </w:r>
      <w:r>
        <w:rPr>
          <w:color w:val="231F20"/>
        </w:rPr>
        <w:t>its</w:t>
      </w:r>
      <w:r>
        <w:rPr>
          <w:color w:val="231F20"/>
          <w:spacing w:val="-5"/>
        </w:rPr>
        <w:t> </w:t>
      </w:r>
      <w:r>
        <w:rPr>
          <w:color w:val="231F20"/>
        </w:rPr>
        <w:t>highest</w:t>
      </w:r>
      <w:r>
        <w:rPr>
          <w:color w:val="231F20"/>
          <w:spacing w:val="-4"/>
        </w:rPr>
        <w:t> </w:t>
      </w:r>
      <w:r>
        <w:rPr>
          <w:color w:val="231F20"/>
        </w:rPr>
        <w:t>and</w:t>
      </w:r>
      <w:r>
        <w:rPr>
          <w:color w:val="231F20"/>
          <w:spacing w:val="-4"/>
        </w:rPr>
        <w:t> </w:t>
      </w:r>
      <w:r>
        <w:rPr>
          <w:color w:val="231F20"/>
        </w:rPr>
        <w:t>best use or by selling it to another market participant that would use the asset in its highest and best </w:t>
      </w:r>
      <w:r>
        <w:rPr>
          <w:color w:val="231F20"/>
          <w:spacing w:val="-4"/>
        </w:rPr>
        <w:t>use.</w:t>
      </w:r>
    </w:p>
    <w:p>
      <w:pPr>
        <w:pStyle w:val="BodyText"/>
        <w:spacing w:before="7"/>
        <w:rPr>
          <w:sz w:val="22"/>
        </w:rPr>
      </w:pPr>
    </w:p>
    <w:p>
      <w:pPr>
        <w:pStyle w:val="BodyText"/>
        <w:spacing w:line="225" w:lineRule="auto"/>
        <w:ind w:left="265" w:right="687"/>
      </w:pPr>
      <w:r>
        <w:rPr>
          <w:color w:val="231F20"/>
        </w:rPr>
        <w:t>The Council uses valuation techniques that are appropriate in the circumstances and for which sufficient</w:t>
      </w:r>
      <w:r>
        <w:rPr>
          <w:color w:val="231F20"/>
          <w:spacing w:val="-5"/>
        </w:rPr>
        <w:t> </w:t>
      </w:r>
      <w:r>
        <w:rPr>
          <w:color w:val="231F20"/>
        </w:rPr>
        <w:t>data</w:t>
      </w:r>
      <w:r>
        <w:rPr>
          <w:color w:val="231F20"/>
          <w:spacing w:val="-4"/>
        </w:rPr>
        <w:t> </w:t>
      </w:r>
      <w:r>
        <w:rPr>
          <w:color w:val="231F20"/>
        </w:rPr>
        <w:t>is</w:t>
      </w:r>
      <w:r>
        <w:rPr>
          <w:color w:val="231F20"/>
          <w:spacing w:val="-5"/>
        </w:rPr>
        <w:t> </w:t>
      </w:r>
      <w:r>
        <w:rPr>
          <w:color w:val="231F20"/>
        </w:rPr>
        <w:t>available,</w:t>
      </w:r>
      <w:r>
        <w:rPr>
          <w:color w:val="231F20"/>
          <w:spacing w:val="-4"/>
        </w:rPr>
        <w:t> </w:t>
      </w:r>
      <w:r>
        <w:rPr>
          <w:color w:val="231F20"/>
        </w:rPr>
        <w:t>maximising</w:t>
      </w:r>
      <w:r>
        <w:rPr>
          <w:color w:val="231F20"/>
          <w:spacing w:val="-5"/>
        </w:rPr>
        <w:t> </w:t>
      </w:r>
      <w:r>
        <w:rPr>
          <w:color w:val="231F20"/>
        </w:rPr>
        <w:t>the</w:t>
      </w:r>
      <w:r>
        <w:rPr>
          <w:color w:val="231F20"/>
          <w:spacing w:val="-4"/>
        </w:rPr>
        <w:t> </w:t>
      </w:r>
      <w:r>
        <w:rPr>
          <w:color w:val="231F20"/>
        </w:rPr>
        <w:t>use</w:t>
      </w:r>
      <w:r>
        <w:rPr>
          <w:color w:val="231F20"/>
          <w:spacing w:val="-4"/>
        </w:rPr>
        <w:t> </w:t>
      </w:r>
      <w:r>
        <w:rPr>
          <w:color w:val="231F20"/>
        </w:rPr>
        <w:t>of relevant observable inputs and minimising the use of unobservable inputs.</w:t>
      </w:r>
    </w:p>
    <w:p>
      <w:pPr>
        <w:pStyle w:val="BodyText"/>
        <w:spacing w:line="310" w:lineRule="exact" w:before="284"/>
        <w:ind w:left="265"/>
      </w:pPr>
      <w:r>
        <w:rPr>
          <w:color w:val="231F20"/>
        </w:rPr>
        <w:t>Inputs</w:t>
      </w:r>
      <w:r>
        <w:rPr>
          <w:color w:val="231F20"/>
          <w:spacing w:val="-2"/>
        </w:rPr>
        <w:t> </w:t>
      </w:r>
      <w:r>
        <w:rPr>
          <w:color w:val="231F20"/>
        </w:rPr>
        <w:t>to</w:t>
      </w:r>
      <w:r>
        <w:rPr>
          <w:color w:val="231F20"/>
          <w:spacing w:val="-1"/>
        </w:rPr>
        <w:t> </w:t>
      </w:r>
      <w:r>
        <w:rPr>
          <w:color w:val="231F20"/>
        </w:rPr>
        <w:t>the</w:t>
      </w:r>
      <w:r>
        <w:rPr>
          <w:color w:val="231F20"/>
          <w:spacing w:val="-1"/>
        </w:rPr>
        <w:t> </w:t>
      </w:r>
      <w:r>
        <w:rPr>
          <w:color w:val="231F20"/>
        </w:rPr>
        <w:t>valuation</w:t>
      </w:r>
      <w:r>
        <w:rPr>
          <w:color w:val="231F20"/>
          <w:spacing w:val="-1"/>
        </w:rPr>
        <w:t> </w:t>
      </w:r>
      <w:r>
        <w:rPr>
          <w:color w:val="231F20"/>
        </w:rPr>
        <w:t>techniques</w:t>
      </w:r>
      <w:r>
        <w:rPr>
          <w:color w:val="231F20"/>
          <w:spacing w:val="-2"/>
        </w:rPr>
        <w:t> </w:t>
      </w:r>
      <w:r>
        <w:rPr>
          <w:color w:val="231F20"/>
        </w:rPr>
        <w:t>in</w:t>
      </w:r>
      <w:r>
        <w:rPr>
          <w:color w:val="231F20"/>
          <w:spacing w:val="-1"/>
        </w:rPr>
        <w:t> </w:t>
      </w:r>
      <w:r>
        <w:rPr>
          <w:color w:val="231F20"/>
          <w:spacing w:val="-2"/>
        </w:rPr>
        <w:t>respect</w:t>
      </w:r>
    </w:p>
    <w:p>
      <w:pPr>
        <w:pStyle w:val="BodyText"/>
        <w:spacing w:line="225" w:lineRule="auto" w:before="6"/>
        <w:ind w:left="265" w:right="687"/>
      </w:pPr>
      <w:r>
        <w:rPr>
          <w:color w:val="231F20"/>
        </w:rPr>
        <w:t>of assets and liabilities for which fair value is measured</w:t>
      </w:r>
      <w:r>
        <w:rPr>
          <w:color w:val="231F20"/>
          <w:spacing w:val="-6"/>
        </w:rPr>
        <w:t> </w:t>
      </w:r>
      <w:r>
        <w:rPr>
          <w:color w:val="231F20"/>
        </w:rPr>
        <w:t>or</w:t>
      </w:r>
      <w:r>
        <w:rPr>
          <w:color w:val="231F20"/>
          <w:spacing w:val="-5"/>
        </w:rPr>
        <w:t> </w:t>
      </w:r>
      <w:r>
        <w:rPr>
          <w:color w:val="231F20"/>
        </w:rPr>
        <w:t>disclosed</w:t>
      </w:r>
      <w:r>
        <w:rPr>
          <w:color w:val="231F20"/>
          <w:spacing w:val="-5"/>
        </w:rPr>
        <w:t> </w:t>
      </w:r>
      <w:r>
        <w:rPr>
          <w:color w:val="231F20"/>
        </w:rPr>
        <w:t>in</w:t>
      </w:r>
      <w:r>
        <w:rPr>
          <w:color w:val="231F20"/>
          <w:spacing w:val="-6"/>
        </w:rPr>
        <w:t> </w:t>
      </w:r>
      <w:r>
        <w:rPr>
          <w:color w:val="231F20"/>
        </w:rPr>
        <w:t>the</w:t>
      </w:r>
      <w:r>
        <w:rPr>
          <w:color w:val="231F20"/>
          <w:spacing w:val="-5"/>
        </w:rPr>
        <w:t> </w:t>
      </w:r>
      <w:r>
        <w:rPr>
          <w:color w:val="231F20"/>
        </w:rPr>
        <w:t>Council’s</w:t>
      </w:r>
      <w:r>
        <w:rPr>
          <w:color w:val="231F20"/>
          <w:spacing w:val="-6"/>
        </w:rPr>
        <w:t> </w:t>
      </w:r>
      <w:r>
        <w:rPr>
          <w:color w:val="231F20"/>
        </w:rPr>
        <w:t>financial statements</w:t>
      </w:r>
      <w:r>
        <w:rPr>
          <w:color w:val="231F20"/>
          <w:spacing w:val="-7"/>
        </w:rPr>
        <w:t> </w:t>
      </w:r>
      <w:r>
        <w:rPr>
          <w:color w:val="231F20"/>
        </w:rPr>
        <w:t>are</w:t>
      </w:r>
      <w:r>
        <w:rPr>
          <w:color w:val="231F20"/>
          <w:spacing w:val="-6"/>
        </w:rPr>
        <w:t> </w:t>
      </w:r>
      <w:r>
        <w:rPr>
          <w:color w:val="231F20"/>
        </w:rPr>
        <w:t>categorised</w:t>
      </w:r>
      <w:r>
        <w:rPr>
          <w:color w:val="231F20"/>
          <w:spacing w:val="-6"/>
        </w:rPr>
        <w:t> </w:t>
      </w:r>
      <w:r>
        <w:rPr>
          <w:color w:val="231F20"/>
        </w:rPr>
        <w:t>within</w:t>
      </w:r>
      <w:r>
        <w:rPr>
          <w:color w:val="231F20"/>
          <w:spacing w:val="-6"/>
        </w:rPr>
        <w:t> </w:t>
      </w:r>
      <w:r>
        <w:rPr>
          <w:color w:val="231F20"/>
        </w:rPr>
        <w:t>the</w:t>
      </w:r>
      <w:r>
        <w:rPr>
          <w:color w:val="231F20"/>
          <w:spacing w:val="-6"/>
        </w:rPr>
        <w:t> </w:t>
      </w:r>
      <w:r>
        <w:rPr>
          <w:color w:val="231F20"/>
        </w:rPr>
        <w:t>fair</w:t>
      </w:r>
      <w:r>
        <w:rPr>
          <w:color w:val="231F20"/>
          <w:spacing w:val="-6"/>
        </w:rPr>
        <w:t> </w:t>
      </w:r>
      <w:r>
        <w:rPr>
          <w:color w:val="231F20"/>
        </w:rPr>
        <w:t>value hierarchy, as follows:</w:t>
      </w:r>
    </w:p>
    <w:p>
      <w:pPr>
        <w:pStyle w:val="BodyText"/>
        <w:spacing w:before="7"/>
        <w:rPr>
          <w:sz w:val="22"/>
        </w:rPr>
      </w:pPr>
    </w:p>
    <w:p>
      <w:pPr>
        <w:pStyle w:val="ListParagraph"/>
        <w:numPr>
          <w:ilvl w:val="0"/>
          <w:numId w:val="19"/>
        </w:numPr>
        <w:tabs>
          <w:tab w:pos="436" w:val="left" w:leader="none"/>
        </w:tabs>
        <w:spacing w:line="225" w:lineRule="auto" w:before="0" w:after="0"/>
        <w:ind w:left="435" w:right="631" w:hanging="171"/>
        <w:jc w:val="left"/>
        <w:rPr>
          <w:sz w:val="24"/>
        </w:rPr>
      </w:pPr>
      <w:r>
        <w:rPr>
          <w:color w:val="231F20"/>
          <w:sz w:val="24"/>
        </w:rPr>
        <w:t>Level 1 – quoted prices (unadjusted) in active markets</w:t>
      </w:r>
      <w:r>
        <w:rPr>
          <w:color w:val="231F20"/>
          <w:spacing w:val="-6"/>
          <w:sz w:val="24"/>
        </w:rPr>
        <w:t> </w:t>
      </w:r>
      <w:r>
        <w:rPr>
          <w:color w:val="231F20"/>
          <w:sz w:val="24"/>
        </w:rPr>
        <w:t>for</w:t>
      </w:r>
      <w:r>
        <w:rPr>
          <w:color w:val="231F20"/>
          <w:spacing w:val="-5"/>
          <w:sz w:val="24"/>
        </w:rPr>
        <w:t> </w:t>
      </w:r>
      <w:r>
        <w:rPr>
          <w:color w:val="231F20"/>
          <w:sz w:val="24"/>
        </w:rPr>
        <w:t>identical</w:t>
      </w:r>
      <w:r>
        <w:rPr>
          <w:color w:val="231F20"/>
          <w:spacing w:val="-6"/>
          <w:sz w:val="24"/>
        </w:rPr>
        <w:t> </w:t>
      </w:r>
      <w:r>
        <w:rPr>
          <w:color w:val="231F20"/>
          <w:sz w:val="24"/>
        </w:rPr>
        <w:t>assets</w:t>
      </w:r>
      <w:r>
        <w:rPr>
          <w:color w:val="231F20"/>
          <w:spacing w:val="-5"/>
          <w:sz w:val="24"/>
        </w:rPr>
        <w:t> </w:t>
      </w:r>
      <w:r>
        <w:rPr>
          <w:color w:val="231F20"/>
          <w:sz w:val="24"/>
        </w:rPr>
        <w:t>or</w:t>
      </w:r>
      <w:r>
        <w:rPr>
          <w:color w:val="231F20"/>
          <w:spacing w:val="-5"/>
          <w:sz w:val="24"/>
        </w:rPr>
        <w:t> </w:t>
      </w:r>
      <w:r>
        <w:rPr>
          <w:color w:val="231F20"/>
          <w:sz w:val="24"/>
        </w:rPr>
        <w:t>liabilities</w:t>
      </w:r>
      <w:r>
        <w:rPr>
          <w:color w:val="231F20"/>
          <w:spacing w:val="-6"/>
          <w:sz w:val="24"/>
        </w:rPr>
        <w:t> </w:t>
      </w:r>
      <w:r>
        <w:rPr>
          <w:color w:val="231F20"/>
          <w:sz w:val="24"/>
        </w:rPr>
        <w:t>that</w:t>
      </w:r>
      <w:r>
        <w:rPr>
          <w:color w:val="231F20"/>
          <w:spacing w:val="-5"/>
          <w:sz w:val="24"/>
        </w:rPr>
        <w:t> </w:t>
      </w:r>
      <w:r>
        <w:rPr>
          <w:color w:val="231F20"/>
          <w:sz w:val="24"/>
        </w:rPr>
        <w:t>the Council can access at the measurement date</w:t>
      </w:r>
    </w:p>
    <w:p>
      <w:pPr>
        <w:pStyle w:val="ListParagraph"/>
        <w:numPr>
          <w:ilvl w:val="0"/>
          <w:numId w:val="19"/>
        </w:numPr>
        <w:tabs>
          <w:tab w:pos="436" w:val="left" w:leader="none"/>
        </w:tabs>
        <w:spacing w:line="225" w:lineRule="auto" w:before="57" w:after="0"/>
        <w:ind w:left="435" w:right="723" w:hanging="171"/>
        <w:jc w:val="left"/>
        <w:rPr>
          <w:sz w:val="24"/>
        </w:rPr>
      </w:pPr>
      <w:r>
        <w:rPr>
          <w:color w:val="231F20"/>
          <w:sz w:val="24"/>
        </w:rPr>
        <w:t>Level 2 – inputs other than quoted prices included within Level 1 that are observable for the</w:t>
      </w:r>
      <w:r>
        <w:rPr>
          <w:color w:val="231F20"/>
          <w:spacing w:val="-5"/>
          <w:sz w:val="24"/>
        </w:rPr>
        <w:t> </w:t>
      </w:r>
      <w:r>
        <w:rPr>
          <w:color w:val="231F20"/>
          <w:sz w:val="24"/>
        </w:rPr>
        <w:t>asset</w:t>
      </w:r>
      <w:r>
        <w:rPr>
          <w:color w:val="231F20"/>
          <w:spacing w:val="-5"/>
          <w:sz w:val="24"/>
        </w:rPr>
        <w:t> </w:t>
      </w:r>
      <w:r>
        <w:rPr>
          <w:color w:val="231F20"/>
          <w:sz w:val="24"/>
        </w:rPr>
        <w:t>or</w:t>
      </w:r>
      <w:r>
        <w:rPr>
          <w:color w:val="231F20"/>
          <w:spacing w:val="-5"/>
          <w:sz w:val="24"/>
        </w:rPr>
        <w:t> </w:t>
      </w:r>
      <w:r>
        <w:rPr>
          <w:color w:val="231F20"/>
          <w:sz w:val="24"/>
        </w:rPr>
        <w:t>liability,</w:t>
      </w:r>
      <w:r>
        <w:rPr>
          <w:color w:val="231F20"/>
          <w:spacing w:val="-6"/>
          <w:sz w:val="24"/>
        </w:rPr>
        <w:t> </w:t>
      </w:r>
      <w:r>
        <w:rPr>
          <w:color w:val="231F20"/>
          <w:sz w:val="24"/>
        </w:rPr>
        <w:t>either</w:t>
      </w:r>
      <w:r>
        <w:rPr>
          <w:color w:val="231F20"/>
          <w:spacing w:val="-5"/>
          <w:sz w:val="24"/>
        </w:rPr>
        <w:t> </w:t>
      </w:r>
      <w:r>
        <w:rPr>
          <w:color w:val="231F20"/>
          <w:sz w:val="24"/>
        </w:rPr>
        <w:t>directly</w:t>
      </w:r>
      <w:r>
        <w:rPr>
          <w:color w:val="231F20"/>
          <w:spacing w:val="-5"/>
          <w:sz w:val="24"/>
        </w:rPr>
        <w:t> </w:t>
      </w:r>
      <w:r>
        <w:rPr>
          <w:color w:val="231F20"/>
          <w:sz w:val="24"/>
        </w:rPr>
        <w:t>or</w:t>
      </w:r>
      <w:r>
        <w:rPr>
          <w:color w:val="231F20"/>
          <w:spacing w:val="-5"/>
          <w:sz w:val="24"/>
        </w:rPr>
        <w:t> </w:t>
      </w:r>
      <w:r>
        <w:rPr>
          <w:color w:val="231F20"/>
          <w:sz w:val="24"/>
        </w:rPr>
        <w:t>indirectly</w:t>
      </w:r>
    </w:p>
    <w:p>
      <w:pPr>
        <w:pStyle w:val="ListParagraph"/>
        <w:numPr>
          <w:ilvl w:val="0"/>
          <w:numId w:val="19"/>
        </w:numPr>
        <w:tabs>
          <w:tab w:pos="436" w:val="left" w:leader="none"/>
        </w:tabs>
        <w:spacing w:line="225" w:lineRule="auto" w:before="56" w:after="0"/>
        <w:ind w:left="435" w:right="871" w:hanging="171"/>
        <w:jc w:val="left"/>
        <w:rPr>
          <w:sz w:val="24"/>
        </w:rPr>
      </w:pPr>
      <w:r>
        <w:rPr>
          <w:color w:val="231F20"/>
          <w:sz w:val="24"/>
        </w:rPr>
        <w:t>Level</w:t>
      </w:r>
      <w:r>
        <w:rPr>
          <w:color w:val="231F20"/>
          <w:spacing w:val="-4"/>
          <w:sz w:val="24"/>
        </w:rPr>
        <w:t> </w:t>
      </w:r>
      <w:r>
        <w:rPr>
          <w:color w:val="231F20"/>
          <w:sz w:val="24"/>
        </w:rPr>
        <w:t>3</w:t>
      </w:r>
      <w:r>
        <w:rPr>
          <w:color w:val="231F20"/>
          <w:spacing w:val="-5"/>
          <w:sz w:val="24"/>
        </w:rPr>
        <w:t> </w:t>
      </w:r>
      <w:r>
        <w:rPr>
          <w:color w:val="231F20"/>
          <w:sz w:val="24"/>
        </w:rPr>
        <w:t>–</w:t>
      </w:r>
      <w:r>
        <w:rPr>
          <w:color w:val="231F20"/>
          <w:spacing w:val="-4"/>
          <w:sz w:val="24"/>
        </w:rPr>
        <w:t> </w:t>
      </w:r>
      <w:r>
        <w:rPr>
          <w:color w:val="231F20"/>
          <w:sz w:val="24"/>
        </w:rPr>
        <w:t>unobservable</w:t>
      </w:r>
      <w:r>
        <w:rPr>
          <w:color w:val="231F20"/>
          <w:spacing w:val="-4"/>
          <w:sz w:val="24"/>
        </w:rPr>
        <w:t> </w:t>
      </w:r>
      <w:r>
        <w:rPr>
          <w:color w:val="231F20"/>
          <w:sz w:val="24"/>
        </w:rPr>
        <w:t>inputs</w:t>
      </w:r>
      <w:r>
        <w:rPr>
          <w:color w:val="231F20"/>
          <w:spacing w:val="-5"/>
          <w:sz w:val="24"/>
        </w:rPr>
        <w:t> </w:t>
      </w:r>
      <w:r>
        <w:rPr>
          <w:color w:val="231F20"/>
          <w:sz w:val="24"/>
        </w:rPr>
        <w:t>for</w:t>
      </w:r>
      <w:r>
        <w:rPr>
          <w:color w:val="231F20"/>
          <w:spacing w:val="-4"/>
          <w:sz w:val="24"/>
        </w:rPr>
        <w:t> </w:t>
      </w:r>
      <w:r>
        <w:rPr>
          <w:color w:val="231F20"/>
          <w:sz w:val="24"/>
        </w:rPr>
        <w:t>the</w:t>
      </w:r>
      <w:r>
        <w:rPr>
          <w:color w:val="231F20"/>
          <w:spacing w:val="-4"/>
          <w:sz w:val="24"/>
        </w:rPr>
        <w:t> </w:t>
      </w:r>
      <w:r>
        <w:rPr>
          <w:color w:val="231F20"/>
          <w:sz w:val="24"/>
        </w:rPr>
        <w:t>asset</w:t>
      </w:r>
      <w:r>
        <w:rPr>
          <w:color w:val="231F20"/>
          <w:spacing w:val="-4"/>
          <w:sz w:val="24"/>
        </w:rPr>
        <w:t> </w:t>
      </w:r>
      <w:r>
        <w:rPr>
          <w:color w:val="231F20"/>
          <w:sz w:val="24"/>
        </w:rPr>
        <w:t>or </w:t>
      </w:r>
      <w:r>
        <w:rPr>
          <w:color w:val="231F20"/>
          <w:spacing w:val="-2"/>
          <w:sz w:val="24"/>
        </w:rPr>
        <w:t>liability.</w:t>
      </w:r>
    </w:p>
    <w:sectPr>
      <w:type w:val="continuous"/>
      <w:pgSz w:w="11910" w:h="16840"/>
      <w:pgMar w:header="377" w:footer="367" w:top="260" w:bottom="0" w:left="0" w:right="0"/>
      <w:cols w:num="2" w:equalWidth="0">
        <w:col w:w="5765" w:space="40"/>
        <w:col w:w="6105"/>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Poppins ExtraBold">
    <w:altName w:val="Poppins ExtraBold"/>
    <w:charset w:val="0"/>
    <w:family w:val="modern"/>
    <w:pitch w:val="variable"/>
  </w:font>
  <w:font w:name="Segoe UI Semibold">
    <w:altName w:val="Segoe UI Semibold"/>
    <w:charset w:val="0"/>
    <w:family w:val="swiss"/>
    <w:pitch w:val="variable"/>
  </w:font>
  <w:font w:name="Segoe UI Black">
    <w:altName w:val="Segoe UI Black"/>
    <w:charset w:val="0"/>
    <w:family w:val="swiss"/>
    <w:pitch w:val="variable"/>
  </w:font>
  <w:font w:name="Segoe UI">
    <w:altName w:val="Segoe UI"/>
    <w:charset w:val="0"/>
    <w:family w:val="swiss"/>
    <w:pitch w:val="variable"/>
  </w:font>
  <w:font w:name="Poppins">
    <w:altName w:val="Poppins"/>
    <w:charset w:val="0"/>
    <w:family w:val="modern"/>
    <w:pitch w:val="variable"/>
  </w:font>
  <w:font w:name="Open Sans Light">
    <w:altName w:val="Open Sans Light"/>
    <w:charset w:val="0"/>
    <w:family w:val="swiss"/>
    <w:pitch w:val="variable"/>
  </w:font>
  <w:font w:name="Segoe UI Light">
    <w:altName w:val="Segoe UI Light"/>
    <w:charset w:val="0"/>
    <w:family w:val="swiss"/>
    <w:pitch w:val="variable"/>
  </w:font>
  <w:font w:name="Arial">
    <w:altName w:val="Aria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13.544006pt;width:595.276pt;height:28.346pt;mso-position-horizontal-relative:page;mso-position-vertical-relative:page;z-index:-16883712" id="docshape2" filled="true" fillcolor="#5d6b86" stroked="false">
          <v:fill type="solid"/>
          <w10:wrap type="none"/>
        </v:rect>
      </w:pict>
    </w:r>
    <w:r>
      <w:rPr/>
      <w:pict>
        <v:shape style="position:absolute;margin-left:272.548401pt;margin-top:816.178589pt;width:269.55pt;height:19pt;mso-position-horizontal-relative:page;mso-position-vertical-relative:page;z-index:-16883200" type="#_x0000_t202" id="docshape3" filled="false" stroked="false">
          <v:textbox inset="0,0,0,0">
            <w:txbxContent>
              <w:p>
                <w:pPr>
                  <w:spacing w:before="23"/>
                  <w:ind w:left="20" w:right="0" w:firstLine="0"/>
                  <w:jc w:val="left"/>
                  <w:rPr>
                    <w:rFonts w:ascii="Segoe UI Semibold"/>
                    <w:b/>
                    <w:sz w:val="24"/>
                  </w:rPr>
                </w:pPr>
                <w:r>
                  <w:rPr>
                    <w:rFonts w:ascii="Segoe UI Black"/>
                    <w:b/>
                    <w:color w:val="FFFFFF"/>
                    <w:sz w:val="24"/>
                  </w:rPr>
                  <w:t>DRAFT</w:t>
                </w:r>
                <w:r>
                  <w:rPr>
                    <w:rFonts w:ascii="Segoe UI Black"/>
                    <w:b/>
                    <w:color w:val="FFFFFF"/>
                    <w:spacing w:val="-4"/>
                    <w:sz w:val="24"/>
                  </w:rPr>
                  <w:t> </w:t>
                </w:r>
                <w:r>
                  <w:rPr>
                    <w:rFonts w:ascii="Segoe UI Black"/>
                    <w:b/>
                    <w:color w:val="FFFFFF"/>
                    <w:sz w:val="24"/>
                  </w:rPr>
                  <w:t>STATEMENT</w:t>
                </w:r>
                <w:r>
                  <w:rPr>
                    <w:rFonts w:ascii="Segoe UI Black"/>
                    <w:b/>
                    <w:color w:val="FFFFFF"/>
                    <w:spacing w:val="-1"/>
                    <w:sz w:val="24"/>
                  </w:rPr>
                  <w:t> </w:t>
                </w:r>
                <w:r>
                  <w:rPr>
                    <w:rFonts w:ascii="Segoe UI Black"/>
                    <w:b/>
                    <w:color w:val="FFFFFF"/>
                    <w:sz w:val="24"/>
                  </w:rPr>
                  <w:t>OF</w:t>
                </w:r>
                <w:r>
                  <w:rPr>
                    <w:rFonts w:ascii="Segoe UI Black"/>
                    <w:b/>
                    <w:color w:val="FFFFFF"/>
                    <w:spacing w:val="-2"/>
                    <w:sz w:val="24"/>
                  </w:rPr>
                  <w:t> </w:t>
                </w:r>
                <w:r>
                  <w:rPr>
                    <w:rFonts w:ascii="Segoe UI Black"/>
                    <w:b/>
                    <w:color w:val="FFFFFF"/>
                    <w:sz w:val="24"/>
                  </w:rPr>
                  <w:t>ACCOUNTS</w:t>
                </w:r>
                <w:r>
                  <w:rPr>
                    <w:rFonts w:ascii="Segoe UI Black"/>
                    <w:b/>
                    <w:color w:val="FFFFFF"/>
                    <w:spacing w:val="-3"/>
                    <w:sz w:val="24"/>
                  </w:rPr>
                  <w:t> </w:t>
                </w:r>
                <w:r>
                  <w:rPr>
                    <w:rFonts w:ascii="Segoe UI Semibold"/>
                    <w:b/>
                    <w:color w:val="FFFFFF"/>
                    <w:sz w:val="24"/>
                  </w:rPr>
                  <w:t>2022</w:t>
                </w:r>
                <w:r>
                  <w:rPr>
                    <w:rFonts w:ascii="Segoe UI Semibold"/>
                    <w:b/>
                    <w:color w:val="FFFFFF"/>
                    <w:position w:val="1"/>
                    <w:sz w:val="24"/>
                  </w:rPr>
                  <w:t>-</w:t>
                </w:r>
                <w:r>
                  <w:rPr>
                    <w:rFonts w:ascii="Segoe UI Semibold"/>
                    <w:b/>
                    <w:color w:val="FFFFFF"/>
                    <w:spacing w:val="-4"/>
                    <w:sz w:val="24"/>
                  </w:rPr>
                  <w:t>2023</w:t>
                </w:r>
              </w:p>
            </w:txbxContent>
          </v:textbox>
          <w10:wrap type="none"/>
        </v:shape>
      </w:pict>
    </w:r>
    <w:r>
      <w:rPr/>
      <w:pict>
        <v:shape style="position:absolute;margin-left:553.110229pt;margin-top:820.618958pt;width:13.85pt;height:14pt;mso-position-horizontal-relative:page;mso-position-vertical-relative:page;z-index:-16882688" type="#_x0000_t202" id="docshape4" filled="false" stroked="false">
          <v:textbox inset="0,0,0,0">
            <w:txbxContent>
              <w:p>
                <w:pPr>
                  <w:spacing w:line="280" w:lineRule="exact" w:before="0"/>
                  <w:ind w:left="60" w:right="0" w:firstLine="0"/>
                  <w:jc w:val="left"/>
                  <w:rPr>
                    <w:rFonts w:ascii="Poppins ExtraBold"/>
                    <w:b/>
                    <w:sz w:val="24"/>
                  </w:rPr>
                </w:pPr>
                <w:r>
                  <w:rPr>
                    <w:rFonts w:ascii="Poppins ExtraBold"/>
                    <w:b/>
                    <w:color w:val="FFFFFF"/>
                    <w:sz w:val="24"/>
                  </w:rPr>
                  <w:fldChar w:fldCharType="begin"/>
                </w:r>
                <w:r>
                  <w:rPr>
                    <w:rFonts w:ascii="Poppins ExtraBold"/>
                    <w:b/>
                    <w:color w:val="FFFFFF"/>
                    <w:sz w:val="24"/>
                  </w:rPr>
                  <w:instrText> PAGE </w:instrText>
                </w:r>
                <w:r>
                  <w:rPr>
                    <w:rFonts w:ascii="Poppins ExtraBold"/>
                    <w:b/>
                    <w:color w:val="FFFFFF"/>
                    <w:sz w:val="24"/>
                  </w:rPr>
                  <w:fldChar w:fldCharType="separate"/>
                </w:r>
                <w:r>
                  <w:rPr>
                    <w:rFonts w:ascii="Poppins ExtraBold"/>
                    <w:b/>
                    <w:color w:val="FFFFFF"/>
                    <w:sz w:val="24"/>
                  </w:rPr>
                  <w:t>2</w:t>
                </w:r>
                <w:r>
                  <w:rPr>
                    <w:rFonts w:ascii="Poppins ExtraBold"/>
                    <w:b/>
                    <w:color w:val="FFFFFF"/>
                    <w:sz w:val="24"/>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13.544006pt;width:595.276pt;height:28.346pt;mso-position-horizontal-relative:page;mso-position-vertical-relative:page;z-index:-16881664" id="docshape23" filled="true" fillcolor="#5d6b86" stroked="false">
          <v:fill type="solid"/>
          <w10:wrap type="none"/>
        </v:rect>
      </w:pict>
    </w:r>
    <w:r>
      <w:rPr/>
      <w:pict>
        <v:shape style="position:absolute;margin-left:272.548401pt;margin-top:816.178589pt;width:269.55pt;height:19pt;mso-position-horizontal-relative:page;mso-position-vertical-relative:page;z-index:-16881152" type="#_x0000_t202" id="docshape24" filled="false" stroked="false">
          <v:textbox inset="0,0,0,0">
            <w:txbxContent>
              <w:p>
                <w:pPr>
                  <w:spacing w:before="23"/>
                  <w:ind w:left="20" w:right="0" w:firstLine="0"/>
                  <w:jc w:val="left"/>
                  <w:rPr>
                    <w:rFonts w:ascii="Segoe UI Semibold"/>
                    <w:b/>
                    <w:sz w:val="24"/>
                  </w:rPr>
                </w:pPr>
                <w:r>
                  <w:rPr>
                    <w:rFonts w:ascii="Segoe UI Black"/>
                    <w:b/>
                    <w:color w:val="FFFFFF"/>
                    <w:sz w:val="24"/>
                  </w:rPr>
                  <w:t>DRAFT</w:t>
                </w:r>
                <w:r>
                  <w:rPr>
                    <w:rFonts w:ascii="Segoe UI Black"/>
                    <w:b/>
                    <w:color w:val="FFFFFF"/>
                    <w:spacing w:val="-4"/>
                    <w:sz w:val="24"/>
                  </w:rPr>
                  <w:t> </w:t>
                </w:r>
                <w:r>
                  <w:rPr>
                    <w:rFonts w:ascii="Segoe UI Black"/>
                    <w:b/>
                    <w:color w:val="FFFFFF"/>
                    <w:sz w:val="24"/>
                  </w:rPr>
                  <w:t>STATEMENT</w:t>
                </w:r>
                <w:r>
                  <w:rPr>
                    <w:rFonts w:ascii="Segoe UI Black"/>
                    <w:b/>
                    <w:color w:val="FFFFFF"/>
                    <w:spacing w:val="-1"/>
                    <w:sz w:val="24"/>
                  </w:rPr>
                  <w:t> </w:t>
                </w:r>
                <w:r>
                  <w:rPr>
                    <w:rFonts w:ascii="Segoe UI Black"/>
                    <w:b/>
                    <w:color w:val="FFFFFF"/>
                    <w:sz w:val="24"/>
                  </w:rPr>
                  <w:t>OF</w:t>
                </w:r>
                <w:r>
                  <w:rPr>
                    <w:rFonts w:ascii="Segoe UI Black"/>
                    <w:b/>
                    <w:color w:val="FFFFFF"/>
                    <w:spacing w:val="-2"/>
                    <w:sz w:val="24"/>
                  </w:rPr>
                  <w:t> </w:t>
                </w:r>
                <w:r>
                  <w:rPr>
                    <w:rFonts w:ascii="Segoe UI Black"/>
                    <w:b/>
                    <w:color w:val="FFFFFF"/>
                    <w:sz w:val="24"/>
                  </w:rPr>
                  <w:t>ACCOUNTS</w:t>
                </w:r>
                <w:r>
                  <w:rPr>
                    <w:rFonts w:ascii="Segoe UI Black"/>
                    <w:b/>
                    <w:color w:val="FFFFFF"/>
                    <w:spacing w:val="-3"/>
                    <w:sz w:val="24"/>
                  </w:rPr>
                  <w:t> </w:t>
                </w:r>
                <w:r>
                  <w:rPr>
                    <w:rFonts w:ascii="Segoe UI Semibold"/>
                    <w:b/>
                    <w:color w:val="FFFFFF"/>
                    <w:sz w:val="24"/>
                  </w:rPr>
                  <w:t>2022</w:t>
                </w:r>
                <w:r>
                  <w:rPr>
                    <w:rFonts w:ascii="Segoe UI Semibold"/>
                    <w:b/>
                    <w:color w:val="FFFFFF"/>
                    <w:position w:val="1"/>
                    <w:sz w:val="24"/>
                  </w:rPr>
                  <w:t>-</w:t>
                </w:r>
                <w:r>
                  <w:rPr>
                    <w:rFonts w:ascii="Segoe UI Semibold"/>
                    <w:b/>
                    <w:color w:val="FFFFFF"/>
                    <w:spacing w:val="-4"/>
                    <w:sz w:val="24"/>
                  </w:rPr>
                  <w:t>2023</w:t>
                </w:r>
              </w:p>
            </w:txbxContent>
          </v:textbox>
          <w10:wrap type="none"/>
        </v:shape>
      </w:pict>
    </w:r>
    <w:r>
      <w:rPr/>
      <w:pict>
        <v:shape style="position:absolute;margin-left:553.110229pt;margin-top:820.618958pt;width:15.3pt;height:14pt;mso-position-horizontal-relative:page;mso-position-vertical-relative:page;z-index:-16880640" type="#_x0000_t202" id="docshape25" filled="false" stroked="false">
          <v:textbox inset="0,0,0,0">
            <w:txbxContent>
              <w:p>
                <w:pPr>
                  <w:spacing w:line="280" w:lineRule="exact" w:before="0"/>
                  <w:ind w:left="60" w:right="0" w:firstLine="0"/>
                  <w:jc w:val="left"/>
                  <w:rPr>
                    <w:rFonts w:ascii="Poppins ExtraBold"/>
                    <w:b/>
                    <w:sz w:val="24"/>
                  </w:rPr>
                </w:pPr>
                <w:r>
                  <w:rPr>
                    <w:rFonts w:ascii="Poppins ExtraBold"/>
                    <w:b/>
                    <w:color w:val="FFFFFF"/>
                    <w:sz w:val="24"/>
                  </w:rPr>
                  <w:fldChar w:fldCharType="begin"/>
                </w:r>
                <w:r>
                  <w:rPr>
                    <w:rFonts w:ascii="Poppins ExtraBold"/>
                    <w:b/>
                    <w:color w:val="FFFFFF"/>
                    <w:sz w:val="24"/>
                  </w:rPr>
                  <w:instrText> PAGE </w:instrText>
                </w:r>
                <w:r>
                  <w:rPr>
                    <w:rFonts w:ascii="Poppins ExtraBold"/>
                    <w:b/>
                    <w:color w:val="FFFFFF"/>
                    <w:sz w:val="24"/>
                  </w:rPr>
                  <w:fldChar w:fldCharType="separate"/>
                </w:r>
                <w:r>
                  <w:rPr>
                    <w:rFonts w:ascii="Poppins ExtraBold"/>
                    <w:b/>
                    <w:color w:val="FFFFFF"/>
                    <w:sz w:val="24"/>
                  </w:rPr>
                  <w:t>4</w:t>
                </w:r>
                <w:r>
                  <w:rPr>
                    <w:rFonts w:ascii="Poppins ExtraBold"/>
                    <w:b/>
                    <w:color w:val="FFFFFF"/>
                    <w:sz w:val="24"/>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13.544006pt;width:595.276pt;height:28.346pt;mso-position-horizontal-relative:page;mso-position-vertical-relative:page;z-index:-16879104" id="docshape36" filled="true" fillcolor="#5d6b86" stroked="false">
          <v:fill type="solid"/>
          <w10:wrap type="none"/>
        </v:rect>
      </w:pict>
    </w:r>
    <w:r>
      <w:rPr/>
      <w:pict>
        <v:shape style="position:absolute;margin-left:272.548401pt;margin-top:816.178589pt;width:269.55pt;height:19pt;mso-position-horizontal-relative:page;mso-position-vertical-relative:page;z-index:-16878592" type="#_x0000_t202" id="docshape37" filled="false" stroked="false">
          <v:textbox inset="0,0,0,0">
            <w:txbxContent>
              <w:p>
                <w:pPr>
                  <w:spacing w:before="23"/>
                  <w:ind w:left="20" w:right="0" w:firstLine="0"/>
                  <w:jc w:val="left"/>
                  <w:rPr>
                    <w:rFonts w:ascii="Segoe UI Semibold"/>
                    <w:b/>
                    <w:sz w:val="24"/>
                  </w:rPr>
                </w:pPr>
                <w:r>
                  <w:rPr>
                    <w:rFonts w:ascii="Segoe UI Black"/>
                    <w:b/>
                    <w:color w:val="FFFFFF"/>
                    <w:sz w:val="24"/>
                  </w:rPr>
                  <w:t>DRAFT</w:t>
                </w:r>
                <w:r>
                  <w:rPr>
                    <w:rFonts w:ascii="Segoe UI Black"/>
                    <w:b/>
                    <w:color w:val="FFFFFF"/>
                    <w:spacing w:val="-4"/>
                    <w:sz w:val="24"/>
                  </w:rPr>
                  <w:t> </w:t>
                </w:r>
                <w:r>
                  <w:rPr>
                    <w:rFonts w:ascii="Segoe UI Black"/>
                    <w:b/>
                    <w:color w:val="FFFFFF"/>
                    <w:sz w:val="24"/>
                  </w:rPr>
                  <w:t>STATEMENT</w:t>
                </w:r>
                <w:r>
                  <w:rPr>
                    <w:rFonts w:ascii="Segoe UI Black"/>
                    <w:b/>
                    <w:color w:val="FFFFFF"/>
                    <w:spacing w:val="-1"/>
                    <w:sz w:val="24"/>
                  </w:rPr>
                  <w:t> </w:t>
                </w:r>
                <w:r>
                  <w:rPr>
                    <w:rFonts w:ascii="Segoe UI Black"/>
                    <w:b/>
                    <w:color w:val="FFFFFF"/>
                    <w:sz w:val="24"/>
                  </w:rPr>
                  <w:t>OF</w:t>
                </w:r>
                <w:r>
                  <w:rPr>
                    <w:rFonts w:ascii="Segoe UI Black"/>
                    <w:b/>
                    <w:color w:val="FFFFFF"/>
                    <w:spacing w:val="-2"/>
                    <w:sz w:val="24"/>
                  </w:rPr>
                  <w:t> </w:t>
                </w:r>
                <w:r>
                  <w:rPr>
                    <w:rFonts w:ascii="Segoe UI Black"/>
                    <w:b/>
                    <w:color w:val="FFFFFF"/>
                    <w:sz w:val="24"/>
                  </w:rPr>
                  <w:t>ACCOUNTS</w:t>
                </w:r>
                <w:r>
                  <w:rPr>
                    <w:rFonts w:ascii="Segoe UI Black"/>
                    <w:b/>
                    <w:color w:val="FFFFFF"/>
                    <w:spacing w:val="-3"/>
                    <w:sz w:val="24"/>
                  </w:rPr>
                  <w:t> </w:t>
                </w:r>
                <w:r>
                  <w:rPr>
                    <w:rFonts w:ascii="Segoe UI Semibold"/>
                    <w:b/>
                    <w:color w:val="FFFFFF"/>
                    <w:sz w:val="24"/>
                  </w:rPr>
                  <w:t>2022</w:t>
                </w:r>
                <w:r>
                  <w:rPr>
                    <w:rFonts w:ascii="Segoe UI Semibold"/>
                    <w:b/>
                    <w:color w:val="FFFFFF"/>
                    <w:position w:val="1"/>
                    <w:sz w:val="24"/>
                  </w:rPr>
                  <w:t>-</w:t>
                </w:r>
                <w:r>
                  <w:rPr>
                    <w:rFonts w:ascii="Segoe UI Semibold"/>
                    <w:b/>
                    <w:color w:val="FFFFFF"/>
                    <w:spacing w:val="-4"/>
                    <w:sz w:val="24"/>
                  </w:rPr>
                  <w:t>2023</w:t>
                </w:r>
              </w:p>
            </w:txbxContent>
          </v:textbox>
          <w10:wrap type="none"/>
        </v:shape>
      </w:pict>
    </w:r>
    <w:r>
      <w:rPr/>
      <w:pict>
        <v:shape style="position:absolute;margin-left:553.110229pt;margin-top:820.618958pt;width:14.9pt;height:14pt;mso-position-horizontal-relative:page;mso-position-vertical-relative:page;z-index:-16878080" type="#_x0000_t202" id="docshape38" filled="false" stroked="false">
          <v:textbox inset="0,0,0,0">
            <w:txbxContent>
              <w:p>
                <w:pPr>
                  <w:spacing w:line="280" w:lineRule="exact" w:before="0"/>
                  <w:ind w:left="60" w:right="0" w:firstLine="0"/>
                  <w:jc w:val="left"/>
                  <w:rPr>
                    <w:rFonts w:ascii="Poppins ExtraBold"/>
                    <w:b/>
                    <w:sz w:val="24"/>
                  </w:rPr>
                </w:pPr>
                <w:r>
                  <w:rPr>
                    <w:rFonts w:ascii="Poppins ExtraBold"/>
                    <w:b/>
                    <w:color w:val="FFFFFF"/>
                    <w:sz w:val="24"/>
                  </w:rPr>
                  <w:fldChar w:fldCharType="begin"/>
                </w:r>
                <w:r>
                  <w:rPr>
                    <w:rFonts w:ascii="Poppins ExtraBold"/>
                    <w:b/>
                    <w:color w:val="FFFFFF"/>
                    <w:sz w:val="24"/>
                  </w:rPr>
                  <w:instrText> PAGE </w:instrText>
                </w:r>
                <w:r>
                  <w:rPr>
                    <w:rFonts w:ascii="Poppins ExtraBold"/>
                    <w:b/>
                    <w:color w:val="FFFFFF"/>
                    <w:sz w:val="24"/>
                  </w:rPr>
                  <w:fldChar w:fldCharType="separate"/>
                </w:r>
                <w:r>
                  <w:rPr>
                    <w:rFonts w:ascii="Poppins ExtraBold"/>
                    <w:b/>
                    <w:color w:val="FFFFFF"/>
                    <w:sz w:val="24"/>
                  </w:rPr>
                  <w:t>5</w:t>
                </w:r>
                <w:r>
                  <w:rPr>
                    <w:rFonts w:ascii="Poppins ExtraBold"/>
                    <w:b/>
                    <w:color w:val="FFFFFF"/>
                    <w:sz w:val="24"/>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13.544006pt;width:595.276pt;height:28.346pt;mso-position-horizontal-relative:page;mso-position-vertical-relative:page;z-index:-16876544" id="docshape48" filled="true" fillcolor="#5d6b86" stroked="false">
          <v:fill type="solid"/>
          <w10:wrap type="none"/>
        </v:rect>
      </w:pict>
    </w:r>
    <w:r>
      <w:rPr/>
      <w:pict>
        <v:shape style="position:absolute;margin-left:272.548401pt;margin-top:816.178589pt;width:269.55pt;height:19pt;mso-position-horizontal-relative:page;mso-position-vertical-relative:page;z-index:-16876032" type="#_x0000_t202" id="docshape49" filled="false" stroked="false">
          <v:textbox inset="0,0,0,0">
            <w:txbxContent>
              <w:p>
                <w:pPr>
                  <w:spacing w:before="23"/>
                  <w:ind w:left="20" w:right="0" w:firstLine="0"/>
                  <w:jc w:val="left"/>
                  <w:rPr>
                    <w:rFonts w:ascii="Segoe UI Semibold"/>
                    <w:b/>
                    <w:sz w:val="24"/>
                  </w:rPr>
                </w:pPr>
                <w:r>
                  <w:rPr>
                    <w:rFonts w:ascii="Segoe UI Black"/>
                    <w:b/>
                    <w:color w:val="FFFFFF"/>
                    <w:sz w:val="24"/>
                  </w:rPr>
                  <w:t>DRAFT</w:t>
                </w:r>
                <w:r>
                  <w:rPr>
                    <w:rFonts w:ascii="Segoe UI Black"/>
                    <w:b/>
                    <w:color w:val="FFFFFF"/>
                    <w:spacing w:val="-4"/>
                    <w:sz w:val="24"/>
                  </w:rPr>
                  <w:t> </w:t>
                </w:r>
                <w:r>
                  <w:rPr>
                    <w:rFonts w:ascii="Segoe UI Black"/>
                    <w:b/>
                    <w:color w:val="FFFFFF"/>
                    <w:sz w:val="24"/>
                  </w:rPr>
                  <w:t>STATEMENT</w:t>
                </w:r>
                <w:r>
                  <w:rPr>
                    <w:rFonts w:ascii="Segoe UI Black"/>
                    <w:b/>
                    <w:color w:val="FFFFFF"/>
                    <w:spacing w:val="-1"/>
                    <w:sz w:val="24"/>
                  </w:rPr>
                  <w:t> </w:t>
                </w:r>
                <w:r>
                  <w:rPr>
                    <w:rFonts w:ascii="Segoe UI Black"/>
                    <w:b/>
                    <w:color w:val="FFFFFF"/>
                    <w:sz w:val="24"/>
                  </w:rPr>
                  <w:t>OF</w:t>
                </w:r>
                <w:r>
                  <w:rPr>
                    <w:rFonts w:ascii="Segoe UI Black"/>
                    <w:b/>
                    <w:color w:val="FFFFFF"/>
                    <w:spacing w:val="-2"/>
                    <w:sz w:val="24"/>
                  </w:rPr>
                  <w:t> </w:t>
                </w:r>
                <w:r>
                  <w:rPr>
                    <w:rFonts w:ascii="Segoe UI Black"/>
                    <w:b/>
                    <w:color w:val="FFFFFF"/>
                    <w:sz w:val="24"/>
                  </w:rPr>
                  <w:t>ACCOUNTS</w:t>
                </w:r>
                <w:r>
                  <w:rPr>
                    <w:rFonts w:ascii="Segoe UI Black"/>
                    <w:b/>
                    <w:color w:val="FFFFFF"/>
                    <w:spacing w:val="-3"/>
                    <w:sz w:val="24"/>
                  </w:rPr>
                  <w:t> </w:t>
                </w:r>
                <w:r>
                  <w:rPr>
                    <w:rFonts w:ascii="Segoe UI Semibold"/>
                    <w:b/>
                    <w:color w:val="FFFFFF"/>
                    <w:sz w:val="24"/>
                  </w:rPr>
                  <w:t>2022</w:t>
                </w:r>
                <w:r>
                  <w:rPr>
                    <w:rFonts w:ascii="Segoe UI Semibold"/>
                    <w:b/>
                    <w:color w:val="FFFFFF"/>
                    <w:position w:val="1"/>
                    <w:sz w:val="24"/>
                  </w:rPr>
                  <w:t>-</w:t>
                </w:r>
                <w:r>
                  <w:rPr>
                    <w:rFonts w:ascii="Segoe UI Semibold"/>
                    <w:b/>
                    <w:color w:val="FFFFFF"/>
                    <w:spacing w:val="-4"/>
                    <w:sz w:val="24"/>
                  </w:rPr>
                  <w:t>2023</w:t>
                </w:r>
              </w:p>
            </w:txbxContent>
          </v:textbox>
          <w10:wrap type="none"/>
        </v:shape>
      </w:pict>
    </w:r>
    <w:r>
      <w:rPr/>
      <w:pict>
        <v:shape style="position:absolute;margin-left:553.110229pt;margin-top:820.618958pt;width:14.65pt;height:14pt;mso-position-horizontal-relative:page;mso-position-vertical-relative:page;z-index:-16875520" type="#_x0000_t202" id="docshape50" filled="false" stroked="false">
          <v:textbox inset="0,0,0,0">
            <w:txbxContent>
              <w:p>
                <w:pPr>
                  <w:spacing w:line="280" w:lineRule="exact" w:before="0"/>
                  <w:ind w:left="60" w:right="0" w:firstLine="0"/>
                  <w:jc w:val="left"/>
                  <w:rPr>
                    <w:rFonts w:ascii="Poppins ExtraBold"/>
                    <w:b/>
                    <w:sz w:val="24"/>
                  </w:rPr>
                </w:pPr>
                <w:r>
                  <w:rPr>
                    <w:rFonts w:ascii="Poppins ExtraBold"/>
                    <w:b/>
                    <w:color w:val="FFFFFF"/>
                    <w:sz w:val="24"/>
                  </w:rPr>
                  <w:fldChar w:fldCharType="begin"/>
                </w:r>
                <w:r>
                  <w:rPr>
                    <w:rFonts w:ascii="Poppins ExtraBold"/>
                    <w:b/>
                    <w:color w:val="FFFFFF"/>
                    <w:sz w:val="24"/>
                  </w:rPr>
                  <w:instrText> PAGE </w:instrText>
                </w:r>
                <w:r>
                  <w:rPr>
                    <w:rFonts w:ascii="Poppins ExtraBold"/>
                    <w:b/>
                    <w:color w:val="FFFFFF"/>
                    <w:sz w:val="24"/>
                  </w:rPr>
                  <w:fldChar w:fldCharType="separate"/>
                </w:r>
                <w:r>
                  <w:rPr>
                    <w:rFonts w:ascii="Poppins ExtraBold"/>
                    <w:b/>
                    <w:color w:val="FFFFFF"/>
                    <w:sz w:val="24"/>
                  </w:rPr>
                  <w:t>6</w:t>
                </w:r>
                <w:r>
                  <w:rPr>
                    <w:rFonts w:ascii="Poppins ExtraBold"/>
                    <w:b/>
                    <w:color w:val="FFFFFF"/>
                    <w:sz w:val="24"/>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13.544006pt;width:595.276pt;height:28.346pt;mso-position-horizontal-relative:page;mso-position-vertical-relative:page;z-index:-16874496" id="docshape60" filled="true" fillcolor="#5d6b86" stroked="false">
          <v:fill type="solid"/>
          <w10:wrap type="none"/>
        </v:rect>
      </w:pict>
    </w:r>
    <w:r>
      <w:rPr/>
      <w:pict>
        <v:shape style="position:absolute;margin-left:272.548401pt;margin-top:816.178589pt;width:269.55pt;height:19pt;mso-position-horizontal-relative:page;mso-position-vertical-relative:page;z-index:-16873984" type="#_x0000_t202" id="docshape61" filled="false" stroked="false">
          <v:textbox inset="0,0,0,0">
            <w:txbxContent>
              <w:p>
                <w:pPr>
                  <w:spacing w:before="23"/>
                  <w:ind w:left="20" w:right="0" w:firstLine="0"/>
                  <w:jc w:val="left"/>
                  <w:rPr>
                    <w:rFonts w:ascii="Segoe UI Semibold"/>
                    <w:b/>
                    <w:sz w:val="24"/>
                  </w:rPr>
                </w:pPr>
                <w:r>
                  <w:rPr>
                    <w:rFonts w:ascii="Segoe UI Black"/>
                    <w:b/>
                    <w:color w:val="FFFFFF"/>
                    <w:sz w:val="24"/>
                  </w:rPr>
                  <w:t>DRAFT</w:t>
                </w:r>
                <w:r>
                  <w:rPr>
                    <w:rFonts w:ascii="Segoe UI Black"/>
                    <w:b/>
                    <w:color w:val="FFFFFF"/>
                    <w:spacing w:val="-4"/>
                    <w:sz w:val="24"/>
                  </w:rPr>
                  <w:t> </w:t>
                </w:r>
                <w:r>
                  <w:rPr>
                    <w:rFonts w:ascii="Segoe UI Black"/>
                    <w:b/>
                    <w:color w:val="FFFFFF"/>
                    <w:sz w:val="24"/>
                  </w:rPr>
                  <w:t>STATEMENT</w:t>
                </w:r>
                <w:r>
                  <w:rPr>
                    <w:rFonts w:ascii="Segoe UI Black"/>
                    <w:b/>
                    <w:color w:val="FFFFFF"/>
                    <w:spacing w:val="-1"/>
                    <w:sz w:val="24"/>
                  </w:rPr>
                  <w:t> </w:t>
                </w:r>
                <w:r>
                  <w:rPr>
                    <w:rFonts w:ascii="Segoe UI Black"/>
                    <w:b/>
                    <w:color w:val="FFFFFF"/>
                    <w:sz w:val="24"/>
                  </w:rPr>
                  <w:t>OF</w:t>
                </w:r>
                <w:r>
                  <w:rPr>
                    <w:rFonts w:ascii="Segoe UI Black"/>
                    <w:b/>
                    <w:color w:val="FFFFFF"/>
                    <w:spacing w:val="-2"/>
                    <w:sz w:val="24"/>
                  </w:rPr>
                  <w:t> </w:t>
                </w:r>
                <w:r>
                  <w:rPr>
                    <w:rFonts w:ascii="Segoe UI Black"/>
                    <w:b/>
                    <w:color w:val="FFFFFF"/>
                    <w:sz w:val="24"/>
                  </w:rPr>
                  <w:t>ACCOUNTS</w:t>
                </w:r>
                <w:r>
                  <w:rPr>
                    <w:rFonts w:ascii="Segoe UI Black"/>
                    <w:b/>
                    <w:color w:val="FFFFFF"/>
                    <w:spacing w:val="-3"/>
                    <w:sz w:val="24"/>
                  </w:rPr>
                  <w:t> </w:t>
                </w:r>
                <w:r>
                  <w:rPr>
                    <w:rFonts w:ascii="Segoe UI Semibold"/>
                    <w:b/>
                    <w:color w:val="FFFFFF"/>
                    <w:sz w:val="24"/>
                  </w:rPr>
                  <w:t>2022</w:t>
                </w:r>
                <w:r>
                  <w:rPr>
                    <w:rFonts w:ascii="Segoe UI Semibold"/>
                    <w:b/>
                    <w:color w:val="FFFFFF"/>
                    <w:position w:val="1"/>
                    <w:sz w:val="24"/>
                  </w:rPr>
                  <w:t>-</w:t>
                </w:r>
                <w:r>
                  <w:rPr>
                    <w:rFonts w:ascii="Segoe UI Semibold"/>
                    <w:b/>
                    <w:color w:val="FFFFFF"/>
                    <w:spacing w:val="-4"/>
                    <w:sz w:val="24"/>
                  </w:rPr>
                  <w:t>2023</w:t>
                </w:r>
              </w:p>
            </w:txbxContent>
          </v:textbox>
          <w10:wrap type="none"/>
        </v:shape>
      </w:pict>
    </w:r>
    <w:r>
      <w:rPr/>
      <w:pict>
        <v:shape style="position:absolute;margin-left:553.110229pt;margin-top:820.618958pt;width:14.85pt;height:14pt;mso-position-horizontal-relative:page;mso-position-vertical-relative:page;z-index:-16873472" type="#_x0000_t202" id="docshape62" filled="false" stroked="false">
          <v:textbox inset="0,0,0,0">
            <w:txbxContent>
              <w:p>
                <w:pPr>
                  <w:spacing w:line="280" w:lineRule="exact" w:before="0"/>
                  <w:ind w:left="60" w:right="0" w:firstLine="0"/>
                  <w:jc w:val="left"/>
                  <w:rPr>
                    <w:rFonts w:ascii="Poppins ExtraBold"/>
                    <w:b/>
                    <w:sz w:val="24"/>
                  </w:rPr>
                </w:pPr>
                <w:r>
                  <w:rPr>
                    <w:rFonts w:ascii="Poppins ExtraBold"/>
                    <w:b/>
                    <w:color w:val="FFFFFF"/>
                    <w:sz w:val="24"/>
                  </w:rPr>
                  <w:fldChar w:fldCharType="begin"/>
                </w:r>
                <w:r>
                  <w:rPr>
                    <w:rFonts w:ascii="Poppins ExtraBold"/>
                    <w:b/>
                    <w:color w:val="FFFFFF"/>
                    <w:sz w:val="24"/>
                  </w:rPr>
                  <w:instrText> PAGE </w:instrText>
                </w:r>
                <w:r>
                  <w:rPr>
                    <w:rFonts w:ascii="Poppins ExtraBold"/>
                    <w:b/>
                    <w:color w:val="FFFFFF"/>
                    <w:sz w:val="24"/>
                  </w:rPr>
                  <w:fldChar w:fldCharType="separate"/>
                </w:r>
                <w:r>
                  <w:rPr>
                    <w:rFonts w:ascii="Poppins ExtraBold"/>
                    <w:b/>
                    <w:color w:val="FFFFFF"/>
                    <w:sz w:val="24"/>
                  </w:rPr>
                  <w:t>8</w:t>
                </w:r>
                <w:r>
                  <w:rPr>
                    <w:rFonts w:ascii="Poppins ExtraBold"/>
                    <w:b/>
                    <w:color w:val="FFFFFF"/>
                    <w:sz w:val="24"/>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13.544006pt;width:595.276pt;height:28.346pt;mso-position-horizontal-relative:page;mso-position-vertical-relative:page;z-index:-16872448" id="docshape83" filled="true" fillcolor="#5d6b86" stroked="false">
          <v:fill type="solid"/>
          <w10:wrap type="none"/>
        </v:rect>
      </w:pict>
    </w:r>
    <w:r>
      <w:rPr/>
      <w:pict>
        <v:shape style="position:absolute;margin-left:272.548401pt;margin-top:816.178589pt;width:269.55pt;height:19pt;mso-position-horizontal-relative:page;mso-position-vertical-relative:page;z-index:-16871936" type="#_x0000_t202" id="docshape84" filled="false" stroked="false">
          <v:textbox inset="0,0,0,0">
            <w:txbxContent>
              <w:p>
                <w:pPr>
                  <w:spacing w:before="23"/>
                  <w:ind w:left="20" w:right="0" w:firstLine="0"/>
                  <w:jc w:val="left"/>
                  <w:rPr>
                    <w:rFonts w:ascii="Segoe UI Semibold"/>
                    <w:b/>
                    <w:sz w:val="24"/>
                  </w:rPr>
                </w:pPr>
                <w:r>
                  <w:rPr>
                    <w:rFonts w:ascii="Segoe UI Black"/>
                    <w:b/>
                    <w:color w:val="FFFFFF"/>
                    <w:sz w:val="24"/>
                  </w:rPr>
                  <w:t>DRAFT</w:t>
                </w:r>
                <w:r>
                  <w:rPr>
                    <w:rFonts w:ascii="Segoe UI Black"/>
                    <w:b/>
                    <w:color w:val="FFFFFF"/>
                    <w:spacing w:val="-4"/>
                    <w:sz w:val="24"/>
                  </w:rPr>
                  <w:t> </w:t>
                </w:r>
                <w:r>
                  <w:rPr>
                    <w:rFonts w:ascii="Segoe UI Black"/>
                    <w:b/>
                    <w:color w:val="FFFFFF"/>
                    <w:sz w:val="24"/>
                  </w:rPr>
                  <w:t>STATEMENT</w:t>
                </w:r>
                <w:r>
                  <w:rPr>
                    <w:rFonts w:ascii="Segoe UI Black"/>
                    <w:b/>
                    <w:color w:val="FFFFFF"/>
                    <w:spacing w:val="-1"/>
                    <w:sz w:val="24"/>
                  </w:rPr>
                  <w:t> </w:t>
                </w:r>
                <w:r>
                  <w:rPr>
                    <w:rFonts w:ascii="Segoe UI Black"/>
                    <w:b/>
                    <w:color w:val="FFFFFF"/>
                    <w:sz w:val="24"/>
                  </w:rPr>
                  <w:t>OF</w:t>
                </w:r>
                <w:r>
                  <w:rPr>
                    <w:rFonts w:ascii="Segoe UI Black"/>
                    <w:b/>
                    <w:color w:val="FFFFFF"/>
                    <w:spacing w:val="-2"/>
                    <w:sz w:val="24"/>
                  </w:rPr>
                  <w:t> </w:t>
                </w:r>
                <w:r>
                  <w:rPr>
                    <w:rFonts w:ascii="Segoe UI Black"/>
                    <w:b/>
                    <w:color w:val="FFFFFF"/>
                    <w:sz w:val="24"/>
                  </w:rPr>
                  <w:t>ACCOUNTS</w:t>
                </w:r>
                <w:r>
                  <w:rPr>
                    <w:rFonts w:ascii="Segoe UI Black"/>
                    <w:b/>
                    <w:color w:val="FFFFFF"/>
                    <w:spacing w:val="-3"/>
                    <w:sz w:val="24"/>
                  </w:rPr>
                  <w:t> </w:t>
                </w:r>
                <w:r>
                  <w:rPr>
                    <w:rFonts w:ascii="Segoe UI Semibold"/>
                    <w:b/>
                    <w:color w:val="FFFFFF"/>
                    <w:sz w:val="24"/>
                  </w:rPr>
                  <w:t>2022</w:t>
                </w:r>
                <w:r>
                  <w:rPr>
                    <w:rFonts w:ascii="Segoe UI Semibold"/>
                    <w:b/>
                    <w:color w:val="FFFFFF"/>
                    <w:position w:val="1"/>
                    <w:sz w:val="24"/>
                  </w:rPr>
                  <w:t>-</w:t>
                </w:r>
                <w:r>
                  <w:rPr>
                    <w:rFonts w:ascii="Segoe UI Semibold"/>
                    <w:b/>
                    <w:color w:val="FFFFFF"/>
                    <w:spacing w:val="-4"/>
                    <w:sz w:val="24"/>
                  </w:rPr>
                  <w:t>2023</w:t>
                </w:r>
              </w:p>
            </w:txbxContent>
          </v:textbox>
          <w10:wrap type="none"/>
        </v:shape>
      </w:pict>
    </w:r>
    <w:r>
      <w:rPr/>
      <w:pict>
        <v:shape style="position:absolute;margin-left:553.110229pt;margin-top:820.618958pt;width:24.35pt;height:14pt;mso-position-horizontal-relative:page;mso-position-vertical-relative:page;z-index:-16871424" type="#_x0000_t202" id="docshape85" filled="false" stroked="false">
          <v:textbox inset="0,0,0,0">
            <w:txbxContent>
              <w:p>
                <w:pPr>
                  <w:spacing w:line="280" w:lineRule="exact" w:before="0"/>
                  <w:ind w:left="60" w:right="0" w:firstLine="0"/>
                  <w:jc w:val="left"/>
                  <w:rPr>
                    <w:rFonts w:ascii="Poppins ExtraBold"/>
                    <w:b/>
                    <w:sz w:val="24"/>
                  </w:rPr>
                </w:pPr>
                <w:r>
                  <w:rPr>
                    <w:rFonts w:ascii="Poppins ExtraBold"/>
                    <w:b/>
                    <w:color w:val="FFFFFF"/>
                    <w:spacing w:val="-5"/>
                    <w:sz w:val="24"/>
                  </w:rPr>
                  <w:fldChar w:fldCharType="begin"/>
                </w:r>
                <w:r>
                  <w:rPr>
                    <w:rFonts w:ascii="Poppins ExtraBold"/>
                    <w:b/>
                    <w:color w:val="FFFFFF"/>
                    <w:spacing w:val="-5"/>
                    <w:sz w:val="24"/>
                  </w:rPr>
                  <w:instrText> PAGE </w:instrText>
                </w:r>
                <w:r>
                  <w:rPr>
                    <w:rFonts w:ascii="Poppins ExtraBold"/>
                    <w:b/>
                    <w:color w:val="FFFFFF"/>
                    <w:spacing w:val="-5"/>
                    <w:sz w:val="24"/>
                  </w:rPr>
                  <w:fldChar w:fldCharType="separate"/>
                </w:r>
                <w:r>
                  <w:rPr>
                    <w:rFonts w:ascii="Poppins ExtraBold"/>
                    <w:b/>
                    <w:color w:val="FFFFFF"/>
                    <w:spacing w:val="-5"/>
                    <w:sz w:val="24"/>
                  </w:rPr>
                  <w:t>10</w:t>
                </w:r>
                <w:r>
                  <w:rPr>
                    <w:rFonts w:ascii="Poppins ExtraBold"/>
                    <w:b/>
                    <w:color w:val="FFFFFF"/>
                    <w:spacing w:val="-5"/>
                    <w:sz w:val="24"/>
                  </w:rPr>
                  <w:fldChar w:fldCharType="end"/>
                </w:r>
                <w:r>
                  <w:rPr>
                    <w:rFonts w:ascii="Poppins ExtraBold"/>
                    <w:b/>
                    <w:color w:val="FFFFFF"/>
                    <w:spacing w:val="-5"/>
                    <w:sz w:val="24"/>
                  </w:rPr>
                  <w:t> </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813.544006pt;width:595.276pt;height:28.346pt;mso-position-horizontal-relative:page;mso-position-vertical-relative:page;z-index:-16869888" id="docshape123" filled="true" fillcolor="#5d6b86" stroked="false">
          <v:fill type="solid"/>
          <w10:wrap type="none"/>
        </v:rect>
      </w:pict>
    </w:r>
    <w:r>
      <w:rPr/>
      <w:pict>
        <v:shape style="position:absolute;margin-left:272.548401pt;margin-top:816.178589pt;width:269.55pt;height:19pt;mso-position-horizontal-relative:page;mso-position-vertical-relative:page;z-index:-16869376" type="#_x0000_t202" id="docshape124" filled="false" stroked="false">
          <v:textbox inset="0,0,0,0">
            <w:txbxContent>
              <w:p>
                <w:pPr>
                  <w:spacing w:before="23"/>
                  <w:ind w:left="20" w:right="0" w:firstLine="0"/>
                  <w:jc w:val="left"/>
                  <w:rPr>
                    <w:rFonts w:ascii="Segoe UI Semibold"/>
                    <w:b/>
                    <w:sz w:val="24"/>
                  </w:rPr>
                </w:pPr>
                <w:r>
                  <w:rPr>
                    <w:rFonts w:ascii="Segoe UI Black"/>
                    <w:b/>
                    <w:color w:val="FFFFFF"/>
                    <w:sz w:val="24"/>
                  </w:rPr>
                  <w:t>DRAFT</w:t>
                </w:r>
                <w:r>
                  <w:rPr>
                    <w:rFonts w:ascii="Segoe UI Black"/>
                    <w:b/>
                    <w:color w:val="FFFFFF"/>
                    <w:spacing w:val="-4"/>
                    <w:sz w:val="24"/>
                  </w:rPr>
                  <w:t> </w:t>
                </w:r>
                <w:r>
                  <w:rPr>
                    <w:rFonts w:ascii="Segoe UI Black"/>
                    <w:b/>
                    <w:color w:val="FFFFFF"/>
                    <w:sz w:val="24"/>
                  </w:rPr>
                  <w:t>STATEMENT</w:t>
                </w:r>
                <w:r>
                  <w:rPr>
                    <w:rFonts w:ascii="Segoe UI Black"/>
                    <w:b/>
                    <w:color w:val="FFFFFF"/>
                    <w:spacing w:val="-1"/>
                    <w:sz w:val="24"/>
                  </w:rPr>
                  <w:t> </w:t>
                </w:r>
                <w:r>
                  <w:rPr>
                    <w:rFonts w:ascii="Segoe UI Black"/>
                    <w:b/>
                    <w:color w:val="FFFFFF"/>
                    <w:sz w:val="24"/>
                  </w:rPr>
                  <w:t>OF</w:t>
                </w:r>
                <w:r>
                  <w:rPr>
                    <w:rFonts w:ascii="Segoe UI Black"/>
                    <w:b/>
                    <w:color w:val="FFFFFF"/>
                    <w:spacing w:val="-2"/>
                    <w:sz w:val="24"/>
                  </w:rPr>
                  <w:t> </w:t>
                </w:r>
                <w:r>
                  <w:rPr>
                    <w:rFonts w:ascii="Segoe UI Black"/>
                    <w:b/>
                    <w:color w:val="FFFFFF"/>
                    <w:sz w:val="24"/>
                  </w:rPr>
                  <w:t>ACCOUNTS</w:t>
                </w:r>
                <w:r>
                  <w:rPr>
                    <w:rFonts w:ascii="Segoe UI Black"/>
                    <w:b/>
                    <w:color w:val="FFFFFF"/>
                    <w:spacing w:val="-3"/>
                    <w:sz w:val="24"/>
                  </w:rPr>
                  <w:t> </w:t>
                </w:r>
                <w:r>
                  <w:rPr>
                    <w:rFonts w:ascii="Segoe UI Semibold"/>
                    <w:b/>
                    <w:color w:val="FFFFFF"/>
                    <w:sz w:val="24"/>
                  </w:rPr>
                  <w:t>2022</w:t>
                </w:r>
                <w:r>
                  <w:rPr>
                    <w:rFonts w:ascii="Segoe UI Semibold"/>
                    <w:b/>
                    <w:color w:val="FFFFFF"/>
                    <w:position w:val="1"/>
                    <w:sz w:val="24"/>
                  </w:rPr>
                  <w:t>-</w:t>
                </w:r>
                <w:r>
                  <w:rPr>
                    <w:rFonts w:ascii="Segoe UI Semibold"/>
                    <w:b/>
                    <w:color w:val="FFFFFF"/>
                    <w:spacing w:val="-4"/>
                    <w:sz w:val="24"/>
                  </w:rPr>
                  <w:t>2023</w:t>
                </w:r>
              </w:p>
            </w:txbxContent>
          </v:textbox>
          <w10:wrap type="none"/>
        </v:shape>
      </w:pict>
    </w:r>
    <w:r>
      <w:rPr/>
      <w:pict>
        <v:shape style="position:absolute;margin-left:553.110229pt;margin-top:820.618958pt;width:25.75pt;height:14pt;mso-position-horizontal-relative:page;mso-position-vertical-relative:page;z-index:-16868864" type="#_x0000_t202" id="docshape125" filled="false" stroked="false">
          <v:textbox inset="0,0,0,0">
            <w:txbxContent>
              <w:p>
                <w:pPr>
                  <w:spacing w:line="280" w:lineRule="exact" w:before="0"/>
                  <w:ind w:left="60" w:right="0" w:firstLine="0"/>
                  <w:jc w:val="left"/>
                  <w:rPr>
                    <w:rFonts w:ascii="Poppins ExtraBold"/>
                    <w:b/>
                    <w:sz w:val="24"/>
                  </w:rPr>
                </w:pPr>
                <w:r>
                  <w:rPr>
                    <w:rFonts w:ascii="Poppins ExtraBold"/>
                    <w:b/>
                    <w:color w:val="FFFFFF"/>
                    <w:spacing w:val="-5"/>
                    <w:sz w:val="24"/>
                  </w:rPr>
                  <w:fldChar w:fldCharType="begin"/>
                </w:r>
                <w:r>
                  <w:rPr>
                    <w:rFonts w:ascii="Poppins ExtraBold"/>
                    <w:b/>
                    <w:color w:val="FFFFFF"/>
                    <w:spacing w:val="-5"/>
                    <w:sz w:val="24"/>
                  </w:rPr>
                  <w:instrText> PAGE </w:instrText>
                </w:r>
                <w:r>
                  <w:rPr>
                    <w:rFonts w:ascii="Poppins ExtraBold"/>
                    <w:b/>
                    <w:color w:val="FFFFFF"/>
                    <w:spacing w:val="-5"/>
                    <w:sz w:val="24"/>
                  </w:rPr>
                  <w:fldChar w:fldCharType="separate"/>
                </w:r>
                <w:r>
                  <w:rPr>
                    <w:rFonts w:ascii="Poppins ExtraBold"/>
                    <w:b/>
                    <w:color w:val="FFFFFF"/>
                    <w:spacing w:val="-5"/>
                    <w:sz w:val="24"/>
                  </w:rPr>
                  <w:t>20</w:t>
                </w:r>
                <w:r>
                  <w:rPr>
                    <w:rFonts w:ascii="Poppins ExtraBold"/>
                    <w:b/>
                    <w:color w:val="FFFFFF"/>
                    <w:spacing w:val="-5"/>
                    <w:sz w:val="24"/>
                  </w:rPr>
                  <w:fldChar w:fldCharType="end"/>
                </w:r>
                <w:r>
                  <w:rPr>
                    <w:rFonts w:ascii="Poppins ExtraBold"/>
                    <w:b/>
                    <w:color w:val="FFFFFF"/>
                    <w:spacing w:val="-5"/>
                    <w:sz w:val="24"/>
                  </w:rPr>
                  <w:t> </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884224" from="14.9232pt,28.596714pt" to="580.3522pt,28.596714pt" stroked="true" strokeweight=".5pt" strokecolor="#58595b">
          <v:stroke dashstyle="solid"/>
          <w10:wrap type="none"/>
        </v:lin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882176" from="14.9232pt,28.596714pt" to="580.3522pt,28.596714pt" stroked="true" strokeweight=".5pt" strokecolor="#58595b">
          <v:stroke dashstyle="solid"/>
          <w10:wrap type="none"/>
        </v:lin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880128" from="14.9232pt,28.596714pt" to="580.3522pt,28.596714pt" stroked="true" strokeweight=".5pt" strokecolor="#58595b">
          <v:stroke dashstyle="solid"/>
          <w10:wrap type="none"/>
        </v:line>
      </w:pict>
    </w:r>
    <w:r>
      <w:rPr/>
      <w:pict>
        <v:shape style="position:absolute;margin-left:27.913401pt;margin-top:45.16087pt;width:310.45pt;height:41.95pt;mso-position-horizontal-relative:page;mso-position-vertical-relative:page;z-index:-16879616" type="#_x0000_t202" id="docshape35" filled="false" stroked="false">
          <v:textbox inset="0,0,0,0">
            <w:txbxContent>
              <w:p>
                <w:pPr>
                  <w:spacing w:before="20"/>
                  <w:ind w:left="20" w:right="0" w:firstLine="0"/>
                  <w:jc w:val="left"/>
                  <w:rPr>
                    <w:sz w:val="60"/>
                  </w:rPr>
                </w:pPr>
                <w:r>
                  <w:rPr>
                    <w:b/>
                    <w:color w:val="3B5673"/>
                    <w:sz w:val="60"/>
                  </w:rPr>
                  <w:t>3.</w:t>
                </w:r>
                <w:r>
                  <w:rPr>
                    <w:b/>
                    <w:color w:val="3B5673"/>
                    <w:spacing w:val="12"/>
                    <w:sz w:val="60"/>
                  </w:rPr>
                  <w:t> </w:t>
                </w:r>
                <w:r>
                  <w:rPr>
                    <w:color w:val="3B5673"/>
                    <w:spacing w:val="18"/>
                    <w:sz w:val="60"/>
                  </w:rPr>
                  <w:t>INTRODUCTION</w:t>
                </w:r>
                <w:r>
                  <w:rPr>
                    <w:color w:val="3B5673"/>
                    <w:spacing w:val="24"/>
                    <w:sz w:val="60"/>
                  </w:rPr>
                  <w:t> </w:t>
                </w:r>
                <w:r>
                  <w:rPr>
                    <w:color w:val="3B5673"/>
                    <w:spacing w:val="-5"/>
                    <w:sz w:val="60"/>
                  </w:rPr>
                  <w:t>TO</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877568" from="14.9232pt,28.596714pt" to="580.3522pt,28.596714pt" stroked="true" strokeweight=".5pt" strokecolor="#58595b">
          <v:stroke dashstyle="solid"/>
          <w10:wrap type="none"/>
        </v:line>
      </w:pict>
    </w:r>
    <w:r>
      <w:rPr/>
      <w:pict>
        <v:shape style="position:absolute;margin-left:27.2047pt;margin-top:75.704269pt;width:310.45pt;height:41.95pt;mso-position-horizontal-relative:page;mso-position-vertical-relative:page;z-index:-16877056" type="#_x0000_t202" id="docshape47" filled="false" stroked="false">
          <v:textbox inset="0,0,0,0">
            <w:txbxContent>
              <w:p>
                <w:pPr>
                  <w:spacing w:before="20"/>
                  <w:ind w:left="20" w:right="0" w:firstLine="0"/>
                  <w:jc w:val="left"/>
                  <w:rPr>
                    <w:sz w:val="60"/>
                  </w:rPr>
                </w:pPr>
                <w:r>
                  <w:rPr>
                    <w:b/>
                    <w:color w:val="3B5673"/>
                    <w:sz w:val="60"/>
                  </w:rPr>
                  <w:t>4.</w:t>
                </w:r>
                <w:r>
                  <w:rPr>
                    <w:b/>
                    <w:color w:val="3B5673"/>
                    <w:spacing w:val="12"/>
                    <w:sz w:val="60"/>
                  </w:rPr>
                  <w:t> </w:t>
                </w:r>
                <w:r>
                  <w:rPr>
                    <w:color w:val="3B5673"/>
                    <w:spacing w:val="18"/>
                    <w:sz w:val="60"/>
                  </w:rPr>
                  <w:t>INTRODUCTION</w:t>
                </w:r>
                <w:r>
                  <w:rPr>
                    <w:color w:val="3B5673"/>
                    <w:spacing w:val="24"/>
                    <w:sz w:val="60"/>
                  </w:rPr>
                  <w:t> </w:t>
                </w:r>
                <w:r>
                  <w:rPr>
                    <w:color w:val="3B5673"/>
                    <w:spacing w:val="-5"/>
                    <w:sz w:val="60"/>
                  </w:rPr>
                  <w:t>TO</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875008" from="14.9232pt,28.596714pt" to="580.3522pt,28.596714pt" stroked="true" strokeweight=".5pt" strokecolor="#58595b">
          <v:stroke dashstyle="solid"/>
          <w10:wrap type="none"/>
        </v:lin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872960" from="14.9232pt,28.596714pt" to="580.3522pt,28.596714pt" stroked="true" strokeweight=".5pt" strokecolor="#58595b">
          <v:stroke dashstyle="solid"/>
          <w10:wrap type="none"/>
        </v:lin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870912" from="14.9232pt,28.596714pt" to="580.3522pt,28.596714pt" stroked="true" strokeweight=".5pt" strokecolor="#58595b">
          <v:stroke dashstyle="solid"/>
          <w10:wrap type="none"/>
        </v:lin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870400" from="14.9232pt,28.596714pt" to="580.3522pt,28.596714pt" stroked="true" strokeweight=".5pt" strokecolor="#58595b">
          <v:stroke dashstyle="solid"/>
          <w10:wrap type="none"/>
        </v:lin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8">
    <w:multiLevelType w:val="hybridMultilevel"/>
    <w:lvl w:ilvl="0">
      <w:start w:val="0"/>
      <w:numFmt w:val="bullet"/>
      <w:lvlText w:val="•"/>
      <w:lvlJc w:val="left"/>
      <w:pPr>
        <w:ind w:left="435" w:hanging="171"/>
      </w:pPr>
      <w:rPr>
        <w:rFonts w:hint="default" w:ascii="Segoe UI" w:hAnsi="Segoe UI" w:eastAsia="Segoe UI" w:cs="Segoe UI"/>
        <w:b w:val="0"/>
        <w:bCs w:val="0"/>
        <w:i w:val="0"/>
        <w:iCs w:val="0"/>
        <w:color w:val="231F20"/>
        <w:w w:val="100"/>
        <w:sz w:val="24"/>
        <w:szCs w:val="24"/>
        <w:lang w:val="en-US" w:eastAsia="en-US" w:bidi="ar-SA"/>
      </w:rPr>
    </w:lvl>
    <w:lvl w:ilvl="1">
      <w:start w:val="0"/>
      <w:numFmt w:val="bullet"/>
      <w:lvlText w:val="•"/>
      <w:lvlJc w:val="left"/>
      <w:pPr>
        <w:ind w:left="1006" w:hanging="171"/>
      </w:pPr>
      <w:rPr>
        <w:rFonts w:hint="default"/>
        <w:lang w:val="en-US" w:eastAsia="en-US" w:bidi="ar-SA"/>
      </w:rPr>
    </w:lvl>
    <w:lvl w:ilvl="2">
      <w:start w:val="0"/>
      <w:numFmt w:val="bullet"/>
      <w:lvlText w:val="•"/>
      <w:lvlJc w:val="left"/>
      <w:pPr>
        <w:ind w:left="1572" w:hanging="171"/>
      </w:pPr>
      <w:rPr>
        <w:rFonts w:hint="default"/>
        <w:lang w:val="en-US" w:eastAsia="en-US" w:bidi="ar-SA"/>
      </w:rPr>
    </w:lvl>
    <w:lvl w:ilvl="3">
      <w:start w:val="0"/>
      <w:numFmt w:val="bullet"/>
      <w:lvlText w:val="•"/>
      <w:lvlJc w:val="left"/>
      <w:pPr>
        <w:ind w:left="2138" w:hanging="171"/>
      </w:pPr>
      <w:rPr>
        <w:rFonts w:hint="default"/>
        <w:lang w:val="en-US" w:eastAsia="en-US" w:bidi="ar-SA"/>
      </w:rPr>
    </w:lvl>
    <w:lvl w:ilvl="4">
      <w:start w:val="0"/>
      <w:numFmt w:val="bullet"/>
      <w:lvlText w:val="•"/>
      <w:lvlJc w:val="left"/>
      <w:pPr>
        <w:ind w:left="2704" w:hanging="171"/>
      </w:pPr>
      <w:rPr>
        <w:rFonts w:hint="default"/>
        <w:lang w:val="en-US" w:eastAsia="en-US" w:bidi="ar-SA"/>
      </w:rPr>
    </w:lvl>
    <w:lvl w:ilvl="5">
      <w:start w:val="0"/>
      <w:numFmt w:val="bullet"/>
      <w:lvlText w:val="•"/>
      <w:lvlJc w:val="left"/>
      <w:pPr>
        <w:ind w:left="3270" w:hanging="171"/>
      </w:pPr>
      <w:rPr>
        <w:rFonts w:hint="default"/>
        <w:lang w:val="en-US" w:eastAsia="en-US" w:bidi="ar-SA"/>
      </w:rPr>
    </w:lvl>
    <w:lvl w:ilvl="6">
      <w:start w:val="0"/>
      <w:numFmt w:val="bullet"/>
      <w:lvlText w:val="•"/>
      <w:lvlJc w:val="left"/>
      <w:pPr>
        <w:ind w:left="3836" w:hanging="171"/>
      </w:pPr>
      <w:rPr>
        <w:rFonts w:hint="default"/>
        <w:lang w:val="en-US" w:eastAsia="en-US" w:bidi="ar-SA"/>
      </w:rPr>
    </w:lvl>
    <w:lvl w:ilvl="7">
      <w:start w:val="0"/>
      <w:numFmt w:val="bullet"/>
      <w:lvlText w:val="•"/>
      <w:lvlJc w:val="left"/>
      <w:pPr>
        <w:ind w:left="4402" w:hanging="171"/>
      </w:pPr>
      <w:rPr>
        <w:rFonts w:hint="default"/>
        <w:lang w:val="en-US" w:eastAsia="en-US" w:bidi="ar-SA"/>
      </w:rPr>
    </w:lvl>
    <w:lvl w:ilvl="8">
      <w:start w:val="0"/>
      <w:numFmt w:val="bullet"/>
      <w:lvlText w:val="•"/>
      <w:lvlJc w:val="left"/>
      <w:pPr>
        <w:ind w:left="4968" w:hanging="171"/>
      </w:pPr>
      <w:rPr>
        <w:rFonts w:hint="default"/>
        <w:lang w:val="en-US" w:eastAsia="en-US" w:bidi="ar-SA"/>
      </w:rPr>
    </w:lvl>
  </w:abstractNum>
  <w:abstractNum w:abstractNumId="17">
    <w:multiLevelType w:val="hybridMultilevel"/>
    <w:lvl w:ilvl="0">
      <w:start w:val="1"/>
      <w:numFmt w:val="lowerRoman"/>
      <w:lvlText w:val="%1)"/>
      <w:lvlJc w:val="left"/>
      <w:pPr>
        <w:ind w:left="789" w:hanging="223"/>
        <w:jc w:val="left"/>
      </w:pPr>
      <w:rPr>
        <w:rFonts w:hint="default" w:ascii="Segoe UI" w:hAnsi="Segoe UI" w:eastAsia="Segoe UI" w:cs="Segoe UI"/>
        <w:b/>
        <w:bCs/>
        <w:i w:val="0"/>
        <w:iCs w:val="0"/>
        <w:color w:val="3B5673"/>
        <w:spacing w:val="-1"/>
        <w:w w:val="100"/>
        <w:sz w:val="24"/>
        <w:szCs w:val="24"/>
        <w:lang w:val="en-US" w:eastAsia="en-US" w:bidi="ar-SA"/>
      </w:rPr>
    </w:lvl>
    <w:lvl w:ilvl="1">
      <w:start w:val="0"/>
      <w:numFmt w:val="bullet"/>
      <w:lvlText w:val="•"/>
      <w:lvlJc w:val="left"/>
      <w:pPr>
        <w:ind w:left="1278" w:hanging="223"/>
      </w:pPr>
      <w:rPr>
        <w:rFonts w:hint="default"/>
        <w:lang w:val="en-US" w:eastAsia="en-US" w:bidi="ar-SA"/>
      </w:rPr>
    </w:lvl>
    <w:lvl w:ilvl="2">
      <w:start w:val="0"/>
      <w:numFmt w:val="bullet"/>
      <w:lvlText w:val="•"/>
      <w:lvlJc w:val="left"/>
      <w:pPr>
        <w:ind w:left="1776" w:hanging="223"/>
      </w:pPr>
      <w:rPr>
        <w:rFonts w:hint="default"/>
        <w:lang w:val="en-US" w:eastAsia="en-US" w:bidi="ar-SA"/>
      </w:rPr>
    </w:lvl>
    <w:lvl w:ilvl="3">
      <w:start w:val="0"/>
      <w:numFmt w:val="bullet"/>
      <w:lvlText w:val="•"/>
      <w:lvlJc w:val="left"/>
      <w:pPr>
        <w:ind w:left="2275" w:hanging="223"/>
      </w:pPr>
      <w:rPr>
        <w:rFonts w:hint="default"/>
        <w:lang w:val="en-US" w:eastAsia="en-US" w:bidi="ar-SA"/>
      </w:rPr>
    </w:lvl>
    <w:lvl w:ilvl="4">
      <w:start w:val="0"/>
      <w:numFmt w:val="bullet"/>
      <w:lvlText w:val="•"/>
      <w:lvlJc w:val="left"/>
      <w:pPr>
        <w:ind w:left="2773" w:hanging="223"/>
      </w:pPr>
      <w:rPr>
        <w:rFonts w:hint="default"/>
        <w:lang w:val="en-US" w:eastAsia="en-US" w:bidi="ar-SA"/>
      </w:rPr>
    </w:lvl>
    <w:lvl w:ilvl="5">
      <w:start w:val="0"/>
      <w:numFmt w:val="bullet"/>
      <w:lvlText w:val="•"/>
      <w:lvlJc w:val="left"/>
      <w:pPr>
        <w:ind w:left="3272" w:hanging="223"/>
      </w:pPr>
      <w:rPr>
        <w:rFonts w:hint="default"/>
        <w:lang w:val="en-US" w:eastAsia="en-US" w:bidi="ar-SA"/>
      </w:rPr>
    </w:lvl>
    <w:lvl w:ilvl="6">
      <w:start w:val="0"/>
      <w:numFmt w:val="bullet"/>
      <w:lvlText w:val="•"/>
      <w:lvlJc w:val="left"/>
      <w:pPr>
        <w:ind w:left="3770" w:hanging="223"/>
      </w:pPr>
      <w:rPr>
        <w:rFonts w:hint="default"/>
        <w:lang w:val="en-US" w:eastAsia="en-US" w:bidi="ar-SA"/>
      </w:rPr>
    </w:lvl>
    <w:lvl w:ilvl="7">
      <w:start w:val="0"/>
      <w:numFmt w:val="bullet"/>
      <w:lvlText w:val="•"/>
      <w:lvlJc w:val="left"/>
      <w:pPr>
        <w:ind w:left="4269" w:hanging="223"/>
      </w:pPr>
      <w:rPr>
        <w:rFonts w:hint="default"/>
        <w:lang w:val="en-US" w:eastAsia="en-US" w:bidi="ar-SA"/>
      </w:rPr>
    </w:lvl>
    <w:lvl w:ilvl="8">
      <w:start w:val="0"/>
      <w:numFmt w:val="bullet"/>
      <w:lvlText w:val="•"/>
      <w:lvlJc w:val="left"/>
      <w:pPr>
        <w:ind w:left="4767" w:hanging="223"/>
      </w:pPr>
      <w:rPr>
        <w:rFonts w:hint="default"/>
        <w:lang w:val="en-US" w:eastAsia="en-US" w:bidi="ar-SA"/>
      </w:rPr>
    </w:lvl>
  </w:abstractNum>
  <w:abstractNum w:abstractNumId="16">
    <w:multiLevelType w:val="hybridMultilevel"/>
    <w:lvl w:ilvl="0">
      <w:start w:val="1"/>
      <w:numFmt w:val="lowerLetter"/>
      <w:lvlText w:val="%1."/>
      <w:lvlJc w:val="left"/>
      <w:pPr>
        <w:ind w:left="827" w:hanging="261"/>
        <w:jc w:val="right"/>
      </w:pPr>
      <w:rPr>
        <w:rFonts w:hint="default" w:ascii="Segoe UI" w:hAnsi="Segoe UI" w:eastAsia="Segoe UI" w:cs="Segoe UI"/>
        <w:b/>
        <w:bCs/>
        <w:i w:val="0"/>
        <w:iCs w:val="0"/>
        <w:color w:val="3B5673"/>
        <w:spacing w:val="-1"/>
        <w:w w:val="100"/>
        <w:sz w:val="24"/>
        <w:szCs w:val="24"/>
        <w:lang w:val="en-US" w:eastAsia="en-US" w:bidi="ar-SA"/>
      </w:rPr>
    </w:lvl>
    <w:lvl w:ilvl="1">
      <w:start w:val="1"/>
      <w:numFmt w:val="lowerLetter"/>
      <w:lvlText w:val="%2)"/>
      <w:lvlJc w:val="left"/>
      <w:pPr>
        <w:ind w:left="695" w:hanging="261"/>
        <w:jc w:val="left"/>
      </w:pPr>
      <w:rPr>
        <w:rFonts w:hint="default" w:ascii="Segoe UI" w:hAnsi="Segoe UI" w:eastAsia="Segoe UI" w:cs="Segoe UI"/>
        <w:b w:val="0"/>
        <w:bCs w:val="0"/>
        <w:i w:val="0"/>
        <w:iCs w:val="0"/>
        <w:color w:val="231F20"/>
        <w:w w:val="100"/>
        <w:sz w:val="24"/>
        <w:szCs w:val="24"/>
        <w:lang w:val="en-US" w:eastAsia="en-US" w:bidi="ar-SA"/>
      </w:rPr>
    </w:lvl>
    <w:lvl w:ilvl="2">
      <w:start w:val="0"/>
      <w:numFmt w:val="bullet"/>
      <w:lvlText w:val="•"/>
      <w:lvlJc w:val="left"/>
      <w:pPr>
        <w:ind w:left="723" w:hanging="261"/>
      </w:pPr>
      <w:rPr>
        <w:rFonts w:hint="default"/>
        <w:lang w:val="en-US" w:eastAsia="en-US" w:bidi="ar-SA"/>
      </w:rPr>
    </w:lvl>
    <w:lvl w:ilvl="3">
      <w:start w:val="0"/>
      <w:numFmt w:val="bullet"/>
      <w:lvlText w:val="•"/>
      <w:lvlJc w:val="left"/>
      <w:pPr>
        <w:ind w:left="627" w:hanging="261"/>
      </w:pPr>
      <w:rPr>
        <w:rFonts w:hint="default"/>
        <w:lang w:val="en-US" w:eastAsia="en-US" w:bidi="ar-SA"/>
      </w:rPr>
    </w:lvl>
    <w:lvl w:ilvl="4">
      <w:start w:val="0"/>
      <w:numFmt w:val="bullet"/>
      <w:lvlText w:val="•"/>
      <w:lvlJc w:val="left"/>
      <w:pPr>
        <w:ind w:left="530" w:hanging="261"/>
      </w:pPr>
      <w:rPr>
        <w:rFonts w:hint="default"/>
        <w:lang w:val="en-US" w:eastAsia="en-US" w:bidi="ar-SA"/>
      </w:rPr>
    </w:lvl>
    <w:lvl w:ilvl="5">
      <w:start w:val="0"/>
      <w:numFmt w:val="bullet"/>
      <w:lvlText w:val="•"/>
      <w:lvlJc w:val="left"/>
      <w:pPr>
        <w:ind w:left="434" w:hanging="261"/>
      </w:pPr>
      <w:rPr>
        <w:rFonts w:hint="default"/>
        <w:lang w:val="en-US" w:eastAsia="en-US" w:bidi="ar-SA"/>
      </w:rPr>
    </w:lvl>
    <w:lvl w:ilvl="6">
      <w:start w:val="0"/>
      <w:numFmt w:val="bullet"/>
      <w:lvlText w:val="•"/>
      <w:lvlJc w:val="left"/>
      <w:pPr>
        <w:ind w:left="337" w:hanging="261"/>
      </w:pPr>
      <w:rPr>
        <w:rFonts w:hint="default"/>
        <w:lang w:val="en-US" w:eastAsia="en-US" w:bidi="ar-SA"/>
      </w:rPr>
    </w:lvl>
    <w:lvl w:ilvl="7">
      <w:start w:val="0"/>
      <w:numFmt w:val="bullet"/>
      <w:lvlText w:val="•"/>
      <w:lvlJc w:val="left"/>
      <w:pPr>
        <w:ind w:left="241" w:hanging="261"/>
      </w:pPr>
      <w:rPr>
        <w:rFonts w:hint="default"/>
        <w:lang w:val="en-US" w:eastAsia="en-US" w:bidi="ar-SA"/>
      </w:rPr>
    </w:lvl>
    <w:lvl w:ilvl="8">
      <w:start w:val="0"/>
      <w:numFmt w:val="bullet"/>
      <w:lvlText w:val="•"/>
      <w:lvlJc w:val="left"/>
      <w:pPr>
        <w:ind w:left="144" w:hanging="261"/>
      </w:pPr>
      <w:rPr>
        <w:rFonts w:hint="default"/>
        <w:lang w:val="en-US" w:eastAsia="en-US" w:bidi="ar-SA"/>
      </w:rPr>
    </w:lvl>
  </w:abstractNum>
  <w:abstractNum w:abstractNumId="15">
    <w:multiLevelType w:val="hybridMultilevel"/>
    <w:lvl w:ilvl="0">
      <w:start w:val="0"/>
      <w:numFmt w:val="bullet"/>
      <w:lvlText w:val="•"/>
      <w:lvlJc w:val="left"/>
      <w:pPr>
        <w:ind w:left="437" w:hanging="171"/>
      </w:pPr>
      <w:rPr>
        <w:rFonts w:hint="default" w:ascii="Segoe UI" w:hAnsi="Segoe UI" w:eastAsia="Segoe UI" w:cs="Segoe UI"/>
        <w:b w:val="0"/>
        <w:bCs w:val="0"/>
        <w:i w:val="0"/>
        <w:iCs w:val="0"/>
        <w:color w:val="231F20"/>
        <w:w w:val="100"/>
        <w:sz w:val="24"/>
        <w:szCs w:val="24"/>
        <w:lang w:val="en-US" w:eastAsia="en-US" w:bidi="ar-SA"/>
      </w:rPr>
    </w:lvl>
    <w:lvl w:ilvl="1">
      <w:start w:val="0"/>
      <w:numFmt w:val="bullet"/>
      <w:lvlText w:val="•"/>
      <w:lvlJc w:val="left"/>
      <w:pPr>
        <w:ind w:left="1003" w:hanging="171"/>
      </w:pPr>
      <w:rPr>
        <w:rFonts w:hint="default"/>
        <w:lang w:val="en-US" w:eastAsia="en-US" w:bidi="ar-SA"/>
      </w:rPr>
    </w:lvl>
    <w:lvl w:ilvl="2">
      <w:start w:val="0"/>
      <w:numFmt w:val="bullet"/>
      <w:lvlText w:val="•"/>
      <w:lvlJc w:val="left"/>
      <w:pPr>
        <w:ind w:left="1567" w:hanging="171"/>
      </w:pPr>
      <w:rPr>
        <w:rFonts w:hint="default"/>
        <w:lang w:val="en-US" w:eastAsia="en-US" w:bidi="ar-SA"/>
      </w:rPr>
    </w:lvl>
    <w:lvl w:ilvl="3">
      <w:start w:val="0"/>
      <w:numFmt w:val="bullet"/>
      <w:lvlText w:val="•"/>
      <w:lvlJc w:val="left"/>
      <w:pPr>
        <w:ind w:left="2131" w:hanging="171"/>
      </w:pPr>
      <w:rPr>
        <w:rFonts w:hint="default"/>
        <w:lang w:val="en-US" w:eastAsia="en-US" w:bidi="ar-SA"/>
      </w:rPr>
    </w:lvl>
    <w:lvl w:ilvl="4">
      <w:start w:val="0"/>
      <w:numFmt w:val="bullet"/>
      <w:lvlText w:val="•"/>
      <w:lvlJc w:val="left"/>
      <w:pPr>
        <w:ind w:left="2695" w:hanging="171"/>
      </w:pPr>
      <w:rPr>
        <w:rFonts w:hint="default"/>
        <w:lang w:val="en-US" w:eastAsia="en-US" w:bidi="ar-SA"/>
      </w:rPr>
    </w:lvl>
    <w:lvl w:ilvl="5">
      <w:start w:val="0"/>
      <w:numFmt w:val="bullet"/>
      <w:lvlText w:val="•"/>
      <w:lvlJc w:val="left"/>
      <w:pPr>
        <w:ind w:left="3259" w:hanging="171"/>
      </w:pPr>
      <w:rPr>
        <w:rFonts w:hint="default"/>
        <w:lang w:val="en-US" w:eastAsia="en-US" w:bidi="ar-SA"/>
      </w:rPr>
    </w:lvl>
    <w:lvl w:ilvl="6">
      <w:start w:val="0"/>
      <w:numFmt w:val="bullet"/>
      <w:lvlText w:val="•"/>
      <w:lvlJc w:val="left"/>
      <w:pPr>
        <w:ind w:left="3822" w:hanging="171"/>
      </w:pPr>
      <w:rPr>
        <w:rFonts w:hint="default"/>
        <w:lang w:val="en-US" w:eastAsia="en-US" w:bidi="ar-SA"/>
      </w:rPr>
    </w:lvl>
    <w:lvl w:ilvl="7">
      <w:start w:val="0"/>
      <w:numFmt w:val="bullet"/>
      <w:lvlText w:val="•"/>
      <w:lvlJc w:val="left"/>
      <w:pPr>
        <w:ind w:left="4386" w:hanging="171"/>
      </w:pPr>
      <w:rPr>
        <w:rFonts w:hint="default"/>
        <w:lang w:val="en-US" w:eastAsia="en-US" w:bidi="ar-SA"/>
      </w:rPr>
    </w:lvl>
    <w:lvl w:ilvl="8">
      <w:start w:val="0"/>
      <w:numFmt w:val="bullet"/>
      <w:lvlText w:val="•"/>
      <w:lvlJc w:val="left"/>
      <w:pPr>
        <w:ind w:left="4950" w:hanging="171"/>
      </w:pPr>
      <w:rPr>
        <w:rFonts w:hint="default"/>
        <w:lang w:val="en-US" w:eastAsia="en-US" w:bidi="ar-SA"/>
      </w:rPr>
    </w:lvl>
  </w:abstractNum>
  <w:abstractNum w:abstractNumId="14">
    <w:multiLevelType w:val="hybridMultilevel"/>
    <w:lvl w:ilvl="0">
      <w:start w:val="1"/>
      <w:numFmt w:val="lowerLetter"/>
      <w:lvlText w:val="%1."/>
      <w:lvlJc w:val="left"/>
      <w:pPr>
        <w:ind w:left="244" w:hanging="196"/>
        <w:jc w:val="right"/>
      </w:pPr>
      <w:rPr>
        <w:rFonts w:hint="default" w:ascii="Segoe UI" w:hAnsi="Segoe UI" w:eastAsia="Segoe UI" w:cs="Segoe UI"/>
        <w:b/>
        <w:bCs/>
        <w:i w:val="0"/>
        <w:iCs w:val="0"/>
        <w:color w:val="3B5673"/>
        <w:spacing w:val="-1"/>
        <w:w w:val="100"/>
        <w:sz w:val="22"/>
        <w:szCs w:val="22"/>
        <w:lang w:val="en-US" w:eastAsia="en-US" w:bidi="ar-SA"/>
      </w:rPr>
    </w:lvl>
    <w:lvl w:ilvl="1">
      <w:start w:val="0"/>
      <w:numFmt w:val="bullet"/>
      <w:lvlText w:val="•"/>
      <w:lvlJc w:val="left"/>
      <w:pPr>
        <w:ind w:left="821" w:hanging="196"/>
      </w:pPr>
      <w:rPr>
        <w:rFonts w:hint="default"/>
        <w:lang w:val="en-US" w:eastAsia="en-US" w:bidi="ar-SA"/>
      </w:rPr>
    </w:lvl>
    <w:lvl w:ilvl="2">
      <w:start w:val="0"/>
      <w:numFmt w:val="bullet"/>
      <w:lvlText w:val="•"/>
      <w:lvlJc w:val="left"/>
      <w:pPr>
        <w:ind w:left="1403" w:hanging="196"/>
      </w:pPr>
      <w:rPr>
        <w:rFonts w:hint="default"/>
        <w:lang w:val="en-US" w:eastAsia="en-US" w:bidi="ar-SA"/>
      </w:rPr>
    </w:lvl>
    <w:lvl w:ilvl="3">
      <w:start w:val="0"/>
      <w:numFmt w:val="bullet"/>
      <w:lvlText w:val="•"/>
      <w:lvlJc w:val="left"/>
      <w:pPr>
        <w:ind w:left="1984" w:hanging="196"/>
      </w:pPr>
      <w:rPr>
        <w:rFonts w:hint="default"/>
        <w:lang w:val="en-US" w:eastAsia="en-US" w:bidi="ar-SA"/>
      </w:rPr>
    </w:lvl>
    <w:lvl w:ilvl="4">
      <w:start w:val="0"/>
      <w:numFmt w:val="bullet"/>
      <w:lvlText w:val="•"/>
      <w:lvlJc w:val="left"/>
      <w:pPr>
        <w:ind w:left="2566" w:hanging="196"/>
      </w:pPr>
      <w:rPr>
        <w:rFonts w:hint="default"/>
        <w:lang w:val="en-US" w:eastAsia="en-US" w:bidi="ar-SA"/>
      </w:rPr>
    </w:lvl>
    <w:lvl w:ilvl="5">
      <w:start w:val="0"/>
      <w:numFmt w:val="bullet"/>
      <w:lvlText w:val="•"/>
      <w:lvlJc w:val="left"/>
      <w:pPr>
        <w:ind w:left="3148" w:hanging="196"/>
      </w:pPr>
      <w:rPr>
        <w:rFonts w:hint="default"/>
        <w:lang w:val="en-US" w:eastAsia="en-US" w:bidi="ar-SA"/>
      </w:rPr>
    </w:lvl>
    <w:lvl w:ilvl="6">
      <w:start w:val="0"/>
      <w:numFmt w:val="bullet"/>
      <w:lvlText w:val="•"/>
      <w:lvlJc w:val="left"/>
      <w:pPr>
        <w:ind w:left="3729" w:hanging="196"/>
      </w:pPr>
      <w:rPr>
        <w:rFonts w:hint="default"/>
        <w:lang w:val="en-US" w:eastAsia="en-US" w:bidi="ar-SA"/>
      </w:rPr>
    </w:lvl>
    <w:lvl w:ilvl="7">
      <w:start w:val="0"/>
      <w:numFmt w:val="bullet"/>
      <w:lvlText w:val="•"/>
      <w:lvlJc w:val="left"/>
      <w:pPr>
        <w:ind w:left="4311" w:hanging="196"/>
      </w:pPr>
      <w:rPr>
        <w:rFonts w:hint="default"/>
        <w:lang w:val="en-US" w:eastAsia="en-US" w:bidi="ar-SA"/>
      </w:rPr>
    </w:lvl>
    <w:lvl w:ilvl="8">
      <w:start w:val="0"/>
      <w:numFmt w:val="bullet"/>
      <w:lvlText w:val="•"/>
      <w:lvlJc w:val="left"/>
      <w:pPr>
        <w:ind w:left="4892" w:hanging="196"/>
      </w:pPr>
      <w:rPr>
        <w:rFonts w:hint="default"/>
        <w:lang w:val="en-US" w:eastAsia="en-US" w:bidi="ar-SA"/>
      </w:rPr>
    </w:lvl>
  </w:abstractNum>
  <w:abstractNum w:abstractNumId="13">
    <w:multiLevelType w:val="hybridMultilevel"/>
    <w:lvl w:ilvl="0">
      <w:start w:val="1"/>
      <w:numFmt w:val="lowerLetter"/>
      <w:lvlText w:val="%1."/>
      <w:lvlJc w:val="left"/>
      <w:pPr>
        <w:ind w:left="827" w:hanging="261"/>
        <w:jc w:val="right"/>
      </w:pPr>
      <w:rPr>
        <w:rFonts w:hint="default" w:ascii="Segoe UI" w:hAnsi="Segoe UI" w:eastAsia="Segoe UI" w:cs="Segoe UI"/>
        <w:b/>
        <w:bCs/>
        <w:i w:val="0"/>
        <w:iCs w:val="0"/>
        <w:color w:val="3B5673"/>
        <w:spacing w:val="-1"/>
        <w:w w:val="100"/>
        <w:sz w:val="24"/>
        <w:szCs w:val="24"/>
        <w:lang w:val="en-US" w:eastAsia="en-US" w:bidi="ar-SA"/>
      </w:rPr>
    </w:lvl>
    <w:lvl w:ilvl="1">
      <w:start w:val="0"/>
      <w:numFmt w:val="bullet"/>
      <w:lvlText w:val="•"/>
      <w:lvlJc w:val="left"/>
      <w:pPr>
        <w:ind w:left="1317" w:hanging="261"/>
      </w:pPr>
      <w:rPr>
        <w:rFonts w:hint="default"/>
        <w:lang w:val="en-US" w:eastAsia="en-US" w:bidi="ar-SA"/>
      </w:rPr>
    </w:lvl>
    <w:lvl w:ilvl="2">
      <w:start w:val="0"/>
      <w:numFmt w:val="bullet"/>
      <w:lvlText w:val="•"/>
      <w:lvlJc w:val="left"/>
      <w:pPr>
        <w:ind w:left="1814" w:hanging="261"/>
      </w:pPr>
      <w:rPr>
        <w:rFonts w:hint="default"/>
        <w:lang w:val="en-US" w:eastAsia="en-US" w:bidi="ar-SA"/>
      </w:rPr>
    </w:lvl>
    <w:lvl w:ilvl="3">
      <w:start w:val="0"/>
      <w:numFmt w:val="bullet"/>
      <w:lvlText w:val="•"/>
      <w:lvlJc w:val="left"/>
      <w:pPr>
        <w:ind w:left="2312" w:hanging="261"/>
      </w:pPr>
      <w:rPr>
        <w:rFonts w:hint="default"/>
        <w:lang w:val="en-US" w:eastAsia="en-US" w:bidi="ar-SA"/>
      </w:rPr>
    </w:lvl>
    <w:lvl w:ilvl="4">
      <w:start w:val="0"/>
      <w:numFmt w:val="bullet"/>
      <w:lvlText w:val="•"/>
      <w:lvlJc w:val="left"/>
      <w:pPr>
        <w:ind w:left="2809" w:hanging="261"/>
      </w:pPr>
      <w:rPr>
        <w:rFonts w:hint="default"/>
        <w:lang w:val="en-US" w:eastAsia="en-US" w:bidi="ar-SA"/>
      </w:rPr>
    </w:lvl>
    <w:lvl w:ilvl="5">
      <w:start w:val="0"/>
      <w:numFmt w:val="bullet"/>
      <w:lvlText w:val="•"/>
      <w:lvlJc w:val="left"/>
      <w:pPr>
        <w:ind w:left="3307" w:hanging="261"/>
      </w:pPr>
      <w:rPr>
        <w:rFonts w:hint="default"/>
        <w:lang w:val="en-US" w:eastAsia="en-US" w:bidi="ar-SA"/>
      </w:rPr>
    </w:lvl>
    <w:lvl w:ilvl="6">
      <w:start w:val="0"/>
      <w:numFmt w:val="bullet"/>
      <w:lvlText w:val="•"/>
      <w:lvlJc w:val="left"/>
      <w:pPr>
        <w:ind w:left="3804" w:hanging="261"/>
      </w:pPr>
      <w:rPr>
        <w:rFonts w:hint="default"/>
        <w:lang w:val="en-US" w:eastAsia="en-US" w:bidi="ar-SA"/>
      </w:rPr>
    </w:lvl>
    <w:lvl w:ilvl="7">
      <w:start w:val="0"/>
      <w:numFmt w:val="bullet"/>
      <w:lvlText w:val="•"/>
      <w:lvlJc w:val="left"/>
      <w:pPr>
        <w:ind w:left="4302" w:hanging="261"/>
      </w:pPr>
      <w:rPr>
        <w:rFonts w:hint="default"/>
        <w:lang w:val="en-US" w:eastAsia="en-US" w:bidi="ar-SA"/>
      </w:rPr>
    </w:lvl>
    <w:lvl w:ilvl="8">
      <w:start w:val="0"/>
      <w:numFmt w:val="bullet"/>
      <w:lvlText w:val="•"/>
      <w:lvlJc w:val="left"/>
      <w:pPr>
        <w:ind w:left="4799" w:hanging="261"/>
      </w:pPr>
      <w:rPr>
        <w:rFonts w:hint="default"/>
        <w:lang w:val="en-US" w:eastAsia="en-US" w:bidi="ar-SA"/>
      </w:rPr>
    </w:lvl>
  </w:abstractNum>
  <w:abstractNum w:abstractNumId="12">
    <w:multiLevelType w:val="hybridMultilevel"/>
    <w:lvl w:ilvl="0">
      <w:start w:val="1"/>
      <w:numFmt w:val="lowerLetter"/>
      <w:lvlText w:val="%1."/>
      <w:lvlJc w:val="left"/>
      <w:pPr>
        <w:ind w:left="566" w:hanging="261"/>
        <w:jc w:val="right"/>
      </w:pPr>
      <w:rPr>
        <w:rFonts w:hint="default" w:ascii="Segoe UI" w:hAnsi="Segoe UI" w:eastAsia="Segoe UI" w:cs="Segoe UI"/>
        <w:b/>
        <w:bCs/>
        <w:i w:val="0"/>
        <w:iCs w:val="0"/>
        <w:color w:val="3B5673"/>
        <w:spacing w:val="-1"/>
        <w:w w:val="100"/>
        <w:sz w:val="24"/>
        <w:szCs w:val="24"/>
        <w:lang w:val="en-US" w:eastAsia="en-US" w:bidi="ar-SA"/>
      </w:rPr>
    </w:lvl>
    <w:lvl w:ilvl="1">
      <w:start w:val="0"/>
      <w:numFmt w:val="bullet"/>
      <w:lvlText w:val="•"/>
      <w:lvlJc w:val="left"/>
      <w:pPr>
        <w:ind w:left="1082" w:hanging="261"/>
      </w:pPr>
      <w:rPr>
        <w:rFonts w:hint="default"/>
        <w:lang w:val="en-US" w:eastAsia="en-US" w:bidi="ar-SA"/>
      </w:rPr>
    </w:lvl>
    <w:lvl w:ilvl="2">
      <w:start w:val="0"/>
      <w:numFmt w:val="bullet"/>
      <w:lvlText w:val="•"/>
      <w:lvlJc w:val="left"/>
      <w:pPr>
        <w:ind w:left="1605" w:hanging="261"/>
      </w:pPr>
      <w:rPr>
        <w:rFonts w:hint="default"/>
        <w:lang w:val="en-US" w:eastAsia="en-US" w:bidi="ar-SA"/>
      </w:rPr>
    </w:lvl>
    <w:lvl w:ilvl="3">
      <w:start w:val="0"/>
      <w:numFmt w:val="bullet"/>
      <w:lvlText w:val="•"/>
      <w:lvlJc w:val="left"/>
      <w:pPr>
        <w:ind w:left="2128" w:hanging="261"/>
      </w:pPr>
      <w:rPr>
        <w:rFonts w:hint="default"/>
        <w:lang w:val="en-US" w:eastAsia="en-US" w:bidi="ar-SA"/>
      </w:rPr>
    </w:lvl>
    <w:lvl w:ilvl="4">
      <w:start w:val="0"/>
      <w:numFmt w:val="bullet"/>
      <w:lvlText w:val="•"/>
      <w:lvlJc w:val="left"/>
      <w:pPr>
        <w:ind w:left="2650" w:hanging="261"/>
      </w:pPr>
      <w:rPr>
        <w:rFonts w:hint="default"/>
        <w:lang w:val="en-US" w:eastAsia="en-US" w:bidi="ar-SA"/>
      </w:rPr>
    </w:lvl>
    <w:lvl w:ilvl="5">
      <w:start w:val="0"/>
      <w:numFmt w:val="bullet"/>
      <w:lvlText w:val="•"/>
      <w:lvlJc w:val="left"/>
      <w:pPr>
        <w:ind w:left="3173" w:hanging="261"/>
      </w:pPr>
      <w:rPr>
        <w:rFonts w:hint="default"/>
        <w:lang w:val="en-US" w:eastAsia="en-US" w:bidi="ar-SA"/>
      </w:rPr>
    </w:lvl>
    <w:lvl w:ilvl="6">
      <w:start w:val="0"/>
      <w:numFmt w:val="bullet"/>
      <w:lvlText w:val="•"/>
      <w:lvlJc w:val="left"/>
      <w:pPr>
        <w:ind w:left="3696" w:hanging="261"/>
      </w:pPr>
      <w:rPr>
        <w:rFonts w:hint="default"/>
        <w:lang w:val="en-US" w:eastAsia="en-US" w:bidi="ar-SA"/>
      </w:rPr>
    </w:lvl>
    <w:lvl w:ilvl="7">
      <w:start w:val="0"/>
      <w:numFmt w:val="bullet"/>
      <w:lvlText w:val="•"/>
      <w:lvlJc w:val="left"/>
      <w:pPr>
        <w:ind w:left="4219" w:hanging="261"/>
      </w:pPr>
      <w:rPr>
        <w:rFonts w:hint="default"/>
        <w:lang w:val="en-US" w:eastAsia="en-US" w:bidi="ar-SA"/>
      </w:rPr>
    </w:lvl>
    <w:lvl w:ilvl="8">
      <w:start w:val="0"/>
      <w:numFmt w:val="bullet"/>
      <w:lvlText w:val="•"/>
      <w:lvlJc w:val="left"/>
      <w:pPr>
        <w:ind w:left="4741" w:hanging="261"/>
      </w:pPr>
      <w:rPr>
        <w:rFonts w:hint="default"/>
        <w:lang w:val="en-US" w:eastAsia="en-US" w:bidi="ar-SA"/>
      </w:rPr>
    </w:lvl>
  </w:abstractNum>
  <w:abstractNum w:abstractNumId="11">
    <w:multiLevelType w:val="hybridMultilevel"/>
    <w:lvl w:ilvl="0">
      <w:start w:val="0"/>
      <w:numFmt w:val="bullet"/>
      <w:lvlText w:val="•"/>
      <w:lvlJc w:val="left"/>
      <w:pPr>
        <w:ind w:left="412" w:hanging="171"/>
      </w:pPr>
      <w:rPr>
        <w:rFonts w:hint="default" w:ascii="Segoe UI" w:hAnsi="Segoe UI" w:eastAsia="Segoe UI" w:cs="Segoe UI"/>
        <w:b w:val="0"/>
        <w:bCs w:val="0"/>
        <w:i w:val="0"/>
        <w:iCs w:val="0"/>
        <w:color w:val="231F20"/>
        <w:w w:val="100"/>
        <w:sz w:val="24"/>
        <w:szCs w:val="24"/>
        <w:lang w:val="en-US" w:eastAsia="en-US" w:bidi="ar-SA"/>
      </w:rPr>
    </w:lvl>
    <w:lvl w:ilvl="1">
      <w:start w:val="0"/>
      <w:numFmt w:val="bullet"/>
      <w:lvlText w:val="•"/>
      <w:lvlJc w:val="left"/>
      <w:pPr>
        <w:ind w:left="983" w:hanging="171"/>
      </w:pPr>
      <w:rPr>
        <w:rFonts w:hint="default"/>
        <w:lang w:val="en-US" w:eastAsia="en-US" w:bidi="ar-SA"/>
      </w:rPr>
    </w:lvl>
    <w:lvl w:ilvl="2">
      <w:start w:val="0"/>
      <w:numFmt w:val="bullet"/>
      <w:lvlText w:val="•"/>
      <w:lvlJc w:val="left"/>
      <w:pPr>
        <w:ind w:left="1546" w:hanging="171"/>
      </w:pPr>
      <w:rPr>
        <w:rFonts w:hint="default"/>
        <w:lang w:val="en-US" w:eastAsia="en-US" w:bidi="ar-SA"/>
      </w:rPr>
    </w:lvl>
    <w:lvl w:ilvl="3">
      <w:start w:val="0"/>
      <w:numFmt w:val="bullet"/>
      <w:lvlText w:val="•"/>
      <w:lvlJc w:val="left"/>
      <w:pPr>
        <w:ind w:left="2110" w:hanging="171"/>
      </w:pPr>
      <w:rPr>
        <w:rFonts w:hint="default"/>
        <w:lang w:val="en-US" w:eastAsia="en-US" w:bidi="ar-SA"/>
      </w:rPr>
    </w:lvl>
    <w:lvl w:ilvl="4">
      <w:start w:val="0"/>
      <w:numFmt w:val="bullet"/>
      <w:lvlText w:val="•"/>
      <w:lvlJc w:val="left"/>
      <w:pPr>
        <w:ind w:left="2673" w:hanging="171"/>
      </w:pPr>
      <w:rPr>
        <w:rFonts w:hint="default"/>
        <w:lang w:val="en-US" w:eastAsia="en-US" w:bidi="ar-SA"/>
      </w:rPr>
    </w:lvl>
    <w:lvl w:ilvl="5">
      <w:start w:val="0"/>
      <w:numFmt w:val="bullet"/>
      <w:lvlText w:val="•"/>
      <w:lvlJc w:val="left"/>
      <w:pPr>
        <w:ind w:left="3237" w:hanging="171"/>
      </w:pPr>
      <w:rPr>
        <w:rFonts w:hint="default"/>
        <w:lang w:val="en-US" w:eastAsia="en-US" w:bidi="ar-SA"/>
      </w:rPr>
    </w:lvl>
    <w:lvl w:ilvl="6">
      <w:start w:val="0"/>
      <w:numFmt w:val="bullet"/>
      <w:lvlText w:val="•"/>
      <w:lvlJc w:val="left"/>
      <w:pPr>
        <w:ind w:left="3800" w:hanging="171"/>
      </w:pPr>
      <w:rPr>
        <w:rFonts w:hint="default"/>
        <w:lang w:val="en-US" w:eastAsia="en-US" w:bidi="ar-SA"/>
      </w:rPr>
    </w:lvl>
    <w:lvl w:ilvl="7">
      <w:start w:val="0"/>
      <w:numFmt w:val="bullet"/>
      <w:lvlText w:val="•"/>
      <w:lvlJc w:val="left"/>
      <w:pPr>
        <w:ind w:left="4364" w:hanging="171"/>
      </w:pPr>
      <w:rPr>
        <w:rFonts w:hint="default"/>
        <w:lang w:val="en-US" w:eastAsia="en-US" w:bidi="ar-SA"/>
      </w:rPr>
    </w:lvl>
    <w:lvl w:ilvl="8">
      <w:start w:val="0"/>
      <w:numFmt w:val="bullet"/>
      <w:lvlText w:val="•"/>
      <w:lvlJc w:val="left"/>
      <w:pPr>
        <w:ind w:left="4927" w:hanging="171"/>
      </w:pPr>
      <w:rPr>
        <w:rFonts w:hint="default"/>
        <w:lang w:val="en-US" w:eastAsia="en-US" w:bidi="ar-SA"/>
      </w:rPr>
    </w:lvl>
  </w:abstractNum>
  <w:abstractNum w:abstractNumId="10">
    <w:multiLevelType w:val="hybridMultilevel"/>
    <w:lvl w:ilvl="0">
      <w:start w:val="1"/>
      <w:numFmt w:val="decimal"/>
      <w:lvlText w:val="%1."/>
      <w:lvlJc w:val="left"/>
      <w:pPr>
        <w:ind w:left="837" w:hanging="274"/>
        <w:jc w:val="right"/>
      </w:pPr>
      <w:rPr>
        <w:rFonts w:hint="default" w:ascii="Segoe UI" w:hAnsi="Segoe UI" w:eastAsia="Segoe UI" w:cs="Segoe UI"/>
        <w:b/>
        <w:bCs/>
        <w:i w:val="0"/>
        <w:iCs w:val="0"/>
        <w:color w:val="3B5673"/>
        <w:w w:val="100"/>
        <w:sz w:val="24"/>
        <w:szCs w:val="24"/>
        <w:lang w:val="en-US" w:eastAsia="en-US" w:bidi="ar-SA"/>
      </w:rPr>
    </w:lvl>
    <w:lvl w:ilvl="1">
      <w:start w:val="0"/>
      <w:numFmt w:val="bullet"/>
      <w:lvlText w:val="•"/>
      <w:lvlJc w:val="left"/>
      <w:pPr>
        <w:ind w:left="734" w:hanging="171"/>
      </w:pPr>
      <w:rPr>
        <w:rFonts w:hint="default" w:ascii="Segoe UI" w:hAnsi="Segoe UI" w:eastAsia="Segoe UI" w:cs="Segoe UI"/>
        <w:b w:val="0"/>
        <w:bCs w:val="0"/>
        <w:i w:val="0"/>
        <w:iCs w:val="0"/>
        <w:color w:val="231F20"/>
        <w:w w:val="100"/>
        <w:sz w:val="24"/>
        <w:szCs w:val="24"/>
        <w:lang w:val="en-US" w:eastAsia="en-US" w:bidi="ar-SA"/>
      </w:rPr>
    </w:lvl>
    <w:lvl w:ilvl="2">
      <w:start w:val="1"/>
      <w:numFmt w:val="lowerLetter"/>
      <w:lvlText w:val="%3)"/>
      <w:lvlJc w:val="left"/>
      <w:pPr>
        <w:ind w:left="747" w:hanging="310"/>
        <w:jc w:val="left"/>
      </w:pPr>
      <w:rPr>
        <w:rFonts w:hint="default" w:ascii="Segoe UI" w:hAnsi="Segoe UI" w:eastAsia="Segoe UI" w:cs="Segoe UI"/>
        <w:b w:val="0"/>
        <w:bCs w:val="0"/>
        <w:i w:val="0"/>
        <w:iCs w:val="0"/>
        <w:color w:val="231F20"/>
        <w:w w:val="100"/>
        <w:sz w:val="24"/>
        <w:szCs w:val="24"/>
        <w:lang w:val="en-US" w:eastAsia="en-US" w:bidi="ar-SA"/>
      </w:rPr>
    </w:lvl>
    <w:lvl w:ilvl="3">
      <w:start w:val="0"/>
      <w:numFmt w:val="bullet"/>
      <w:lvlText w:val="•"/>
      <w:lvlJc w:val="left"/>
      <w:pPr>
        <w:ind w:left="737" w:hanging="171"/>
      </w:pPr>
      <w:rPr>
        <w:rFonts w:hint="default" w:ascii="Segoe UI" w:hAnsi="Segoe UI" w:eastAsia="Segoe UI" w:cs="Segoe UI"/>
        <w:b w:val="0"/>
        <w:bCs w:val="0"/>
        <w:i w:val="0"/>
        <w:iCs w:val="0"/>
        <w:color w:val="231F20"/>
        <w:w w:val="100"/>
        <w:sz w:val="24"/>
        <w:szCs w:val="24"/>
        <w:lang w:val="en-US" w:eastAsia="en-US" w:bidi="ar-SA"/>
      </w:rPr>
    </w:lvl>
    <w:lvl w:ilvl="4">
      <w:start w:val="1"/>
      <w:numFmt w:val="lowerLetter"/>
      <w:lvlText w:val="%5)"/>
      <w:lvlJc w:val="left"/>
      <w:pPr>
        <w:ind w:left="1046" w:hanging="310"/>
        <w:jc w:val="left"/>
      </w:pPr>
      <w:rPr>
        <w:rFonts w:hint="default" w:ascii="Segoe UI" w:hAnsi="Segoe UI" w:eastAsia="Segoe UI" w:cs="Segoe UI"/>
        <w:b w:val="0"/>
        <w:bCs w:val="0"/>
        <w:i w:val="0"/>
        <w:iCs w:val="0"/>
        <w:color w:val="231F20"/>
        <w:w w:val="100"/>
        <w:sz w:val="24"/>
        <w:szCs w:val="24"/>
        <w:lang w:val="en-US" w:eastAsia="en-US" w:bidi="ar-SA"/>
      </w:rPr>
    </w:lvl>
    <w:lvl w:ilvl="5">
      <w:start w:val="0"/>
      <w:numFmt w:val="bullet"/>
      <w:lvlText w:val="•"/>
      <w:lvlJc w:val="left"/>
      <w:pPr>
        <w:ind w:left="1190" w:hanging="171"/>
      </w:pPr>
      <w:rPr>
        <w:rFonts w:hint="default" w:ascii="Segoe UI" w:hAnsi="Segoe UI" w:eastAsia="Segoe UI" w:cs="Segoe UI"/>
        <w:b w:val="0"/>
        <w:bCs w:val="0"/>
        <w:i w:val="0"/>
        <w:iCs w:val="0"/>
        <w:color w:val="231F20"/>
        <w:w w:val="100"/>
        <w:sz w:val="24"/>
        <w:szCs w:val="24"/>
        <w:lang w:val="en-US" w:eastAsia="en-US" w:bidi="ar-SA"/>
      </w:rPr>
    </w:lvl>
    <w:lvl w:ilvl="6">
      <w:start w:val="0"/>
      <w:numFmt w:val="bullet"/>
      <w:lvlText w:val="•"/>
      <w:lvlJc w:val="left"/>
      <w:pPr>
        <w:ind w:left="786" w:hanging="171"/>
      </w:pPr>
      <w:rPr>
        <w:rFonts w:hint="default"/>
        <w:lang w:val="en-US" w:eastAsia="en-US" w:bidi="ar-SA"/>
      </w:rPr>
    </w:lvl>
    <w:lvl w:ilvl="7">
      <w:start w:val="0"/>
      <w:numFmt w:val="bullet"/>
      <w:lvlText w:val="•"/>
      <w:lvlJc w:val="left"/>
      <w:pPr>
        <w:ind w:left="579" w:hanging="171"/>
      </w:pPr>
      <w:rPr>
        <w:rFonts w:hint="default"/>
        <w:lang w:val="en-US" w:eastAsia="en-US" w:bidi="ar-SA"/>
      </w:rPr>
    </w:lvl>
    <w:lvl w:ilvl="8">
      <w:start w:val="0"/>
      <w:numFmt w:val="bullet"/>
      <w:lvlText w:val="•"/>
      <w:lvlJc w:val="left"/>
      <w:pPr>
        <w:ind w:left="373" w:hanging="171"/>
      </w:pPr>
      <w:rPr>
        <w:rFonts w:hint="default"/>
        <w:lang w:val="en-US" w:eastAsia="en-US" w:bidi="ar-SA"/>
      </w:rPr>
    </w:lvl>
  </w:abstractNum>
  <w:abstractNum w:abstractNumId="9">
    <w:multiLevelType w:val="hybridMultilevel"/>
    <w:lvl w:ilvl="0">
      <w:start w:val="0"/>
      <w:numFmt w:val="bullet"/>
      <w:lvlText w:val="•"/>
      <w:lvlJc w:val="left"/>
      <w:pPr>
        <w:ind w:left="737" w:hanging="171"/>
      </w:pPr>
      <w:rPr>
        <w:rFonts w:hint="default" w:ascii="Segoe UI" w:hAnsi="Segoe UI" w:eastAsia="Segoe UI" w:cs="Segoe UI"/>
        <w:b w:val="0"/>
        <w:bCs w:val="0"/>
        <w:i w:val="0"/>
        <w:iCs w:val="0"/>
        <w:color w:val="231F20"/>
        <w:w w:val="100"/>
        <w:sz w:val="24"/>
        <w:szCs w:val="24"/>
        <w:lang w:val="en-US" w:eastAsia="en-US" w:bidi="ar-SA"/>
      </w:rPr>
    </w:lvl>
    <w:lvl w:ilvl="1">
      <w:start w:val="0"/>
      <w:numFmt w:val="bullet"/>
      <w:lvlText w:val="•"/>
      <w:lvlJc w:val="left"/>
      <w:pPr>
        <w:ind w:left="1856" w:hanging="171"/>
      </w:pPr>
      <w:rPr>
        <w:rFonts w:hint="default"/>
        <w:lang w:val="en-US" w:eastAsia="en-US" w:bidi="ar-SA"/>
      </w:rPr>
    </w:lvl>
    <w:lvl w:ilvl="2">
      <w:start w:val="0"/>
      <w:numFmt w:val="bullet"/>
      <w:lvlText w:val="•"/>
      <w:lvlJc w:val="left"/>
      <w:pPr>
        <w:ind w:left="2973" w:hanging="171"/>
      </w:pPr>
      <w:rPr>
        <w:rFonts w:hint="default"/>
        <w:lang w:val="en-US" w:eastAsia="en-US" w:bidi="ar-SA"/>
      </w:rPr>
    </w:lvl>
    <w:lvl w:ilvl="3">
      <w:start w:val="0"/>
      <w:numFmt w:val="bullet"/>
      <w:lvlText w:val="•"/>
      <w:lvlJc w:val="left"/>
      <w:pPr>
        <w:ind w:left="4089" w:hanging="171"/>
      </w:pPr>
      <w:rPr>
        <w:rFonts w:hint="default"/>
        <w:lang w:val="en-US" w:eastAsia="en-US" w:bidi="ar-SA"/>
      </w:rPr>
    </w:lvl>
    <w:lvl w:ilvl="4">
      <w:start w:val="0"/>
      <w:numFmt w:val="bullet"/>
      <w:lvlText w:val="•"/>
      <w:lvlJc w:val="left"/>
      <w:pPr>
        <w:ind w:left="5206" w:hanging="171"/>
      </w:pPr>
      <w:rPr>
        <w:rFonts w:hint="default"/>
        <w:lang w:val="en-US" w:eastAsia="en-US" w:bidi="ar-SA"/>
      </w:rPr>
    </w:lvl>
    <w:lvl w:ilvl="5">
      <w:start w:val="0"/>
      <w:numFmt w:val="bullet"/>
      <w:lvlText w:val="•"/>
      <w:lvlJc w:val="left"/>
      <w:pPr>
        <w:ind w:left="6322" w:hanging="171"/>
      </w:pPr>
      <w:rPr>
        <w:rFonts w:hint="default"/>
        <w:lang w:val="en-US" w:eastAsia="en-US" w:bidi="ar-SA"/>
      </w:rPr>
    </w:lvl>
    <w:lvl w:ilvl="6">
      <w:start w:val="0"/>
      <w:numFmt w:val="bullet"/>
      <w:lvlText w:val="•"/>
      <w:lvlJc w:val="left"/>
      <w:pPr>
        <w:ind w:left="7439" w:hanging="171"/>
      </w:pPr>
      <w:rPr>
        <w:rFonts w:hint="default"/>
        <w:lang w:val="en-US" w:eastAsia="en-US" w:bidi="ar-SA"/>
      </w:rPr>
    </w:lvl>
    <w:lvl w:ilvl="7">
      <w:start w:val="0"/>
      <w:numFmt w:val="bullet"/>
      <w:lvlText w:val="•"/>
      <w:lvlJc w:val="left"/>
      <w:pPr>
        <w:ind w:left="8555" w:hanging="171"/>
      </w:pPr>
      <w:rPr>
        <w:rFonts w:hint="default"/>
        <w:lang w:val="en-US" w:eastAsia="en-US" w:bidi="ar-SA"/>
      </w:rPr>
    </w:lvl>
    <w:lvl w:ilvl="8">
      <w:start w:val="0"/>
      <w:numFmt w:val="bullet"/>
      <w:lvlText w:val="•"/>
      <w:lvlJc w:val="left"/>
      <w:pPr>
        <w:ind w:left="9672" w:hanging="171"/>
      </w:pPr>
      <w:rPr>
        <w:rFonts w:hint="default"/>
        <w:lang w:val="en-US" w:eastAsia="en-US" w:bidi="ar-SA"/>
      </w:rPr>
    </w:lvl>
  </w:abstractNum>
  <w:abstractNum w:abstractNumId="8">
    <w:multiLevelType w:val="hybridMultilevel"/>
    <w:lvl w:ilvl="0">
      <w:start w:val="0"/>
      <w:numFmt w:val="bullet"/>
      <w:lvlText w:val="•"/>
      <w:lvlJc w:val="left"/>
      <w:pPr>
        <w:ind w:left="3061" w:hanging="171"/>
      </w:pPr>
      <w:rPr>
        <w:rFonts w:hint="default" w:ascii="Segoe UI" w:hAnsi="Segoe UI" w:eastAsia="Segoe UI" w:cs="Segoe UI"/>
        <w:b w:val="0"/>
        <w:bCs w:val="0"/>
        <w:i w:val="0"/>
        <w:iCs w:val="0"/>
        <w:color w:val="231F20"/>
        <w:w w:val="100"/>
        <w:sz w:val="24"/>
        <w:szCs w:val="24"/>
        <w:lang w:val="en-US" w:eastAsia="en-US" w:bidi="ar-SA"/>
      </w:rPr>
    </w:lvl>
    <w:lvl w:ilvl="1">
      <w:start w:val="0"/>
      <w:numFmt w:val="bullet"/>
      <w:lvlText w:val="•"/>
      <w:lvlJc w:val="left"/>
      <w:pPr>
        <w:ind w:left="3944" w:hanging="171"/>
      </w:pPr>
      <w:rPr>
        <w:rFonts w:hint="default"/>
        <w:lang w:val="en-US" w:eastAsia="en-US" w:bidi="ar-SA"/>
      </w:rPr>
    </w:lvl>
    <w:lvl w:ilvl="2">
      <w:start w:val="0"/>
      <w:numFmt w:val="bullet"/>
      <w:lvlText w:val="•"/>
      <w:lvlJc w:val="left"/>
      <w:pPr>
        <w:ind w:left="4829" w:hanging="171"/>
      </w:pPr>
      <w:rPr>
        <w:rFonts w:hint="default"/>
        <w:lang w:val="en-US" w:eastAsia="en-US" w:bidi="ar-SA"/>
      </w:rPr>
    </w:lvl>
    <w:lvl w:ilvl="3">
      <w:start w:val="0"/>
      <w:numFmt w:val="bullet"/>
      <w:lvlText w:val="•"/>
      <w:lvlJc w:val="left"/>
      <w:pPr>
        <w:ind w:left="5713" w:hanging="171"/>
      </w:pPr>
      <w:rPr>
        <w:rFonts w:hint="default"/>
        <w:lang w:val="en-US" w:eastAsia="en-US" w:bidi="ar-SA"/>
      </w:rPr>
    </w:lvl>
    <w:lvl w:ilvl="4">
      <w:start w:val="0"/>
      <w:numFmt w:val="bullet"/>
      <w:lvlText w:val="•"/>
      <w:lvlJc w:val="left"/>
      <w:pPr>
        <w:ind w:left="6598" w:hanging="171"/>
      </w:pPr>
      <w:rPr>
        <w:rFonts w:hint="default"/>
        <w:lang w:val="en-US" w:eastAsia="en-US" w:bidi="ar-SA"/>
      </w:rPr>
    </w:lvl>
    <w:lvl w:ilvl="5">
      <w:start w:val="0"/>
      <w:numFmt w:val="bullet"/>
      <w:lvlText w:val="•"/>
      <w:lvlJc w:val="left"/>
      <w:pPr>
        <w:ind w:left="7482" w:hanging="171"/>
      </w:pPr>
      <w:rPr>
        <w:rFonts w:hint="default"/>
        <w:lang w:val="en-US" w:eastAsia="en-US" w:bidi="ar-SA"/>
      </w:rPr>
    </w:lvl>
    <w:lvl w:ilvl="6">
      <w:start w:val="0"/>
      <w:numFmt w:val="bullet"/>
      <w:lvlText w:val="•"/>
      <w:lvlJc w:val="left"/>
      <w:pPr>
        <w:ind w:left="8367" w:hanging="171"/>
      </w:pPr>
      <w:rPr>
        <w:rFonts w:hint="default"/>
        <w:lang w:val="en-US" w:eastAsia="en-US" w:bidi="ar-SA"/>
      </w:rPr>
    </w:lvl>
    <w:lvl w:ilvl="7">
      <w:start w:val="0"/>
      <w:numFmt w:val="bullet"/>
      <w:lvlText w:val="•"/>
      <w:lvlJc w:val="left"/>
      <w:pPr>
        <w:ind w:left="9251" w:hanging="171"/>
      </w:pPr>
      <w:rPr>
        <w:rFonts w:hint="default"/>
        <w:lang w:val="en-US" w:eastAsia="en-US" w:bidi="ar-SA"/>
      </w:rPr>
    </w:lvl>
    <w:lvl w:ilvl="8">
      <w:start w:val="0"/>
      <w:numFmt w:val="bullet"/>
      <w:lvlText w:val="•"/>
      <w:lvlJc w:val="left"/>
      <w:pPr>
        <w:ind w:left="10136" w:hanging="171"/>
      </w:pPr>
      <w:rPr>
        <w:rFonts w:hint="default"/>
        <w:lang w:val="en-US" w:eastAsia="en-US" w:bidi="ar-SA"/>
      </w:rPr>
    </w:lvl>
  </w:abstractNum>
  <w:abstractNum w:abstractNumId="7">
    <w:multiLevelType w:val="hybridMultilevel"/>
    <w:lvl w:ilvl="0">
      <w:start w:val="0"/>
      <w:numFmt w:val="bullet"/>
      <w:lvlText w:val="•"/>
      <w:lvlJc w:val="left"/>
      <w:pPr>
        <w:ind w:left="737" w:hanging="171"/>
      </w:pPr>
      <w:rPr>
        <w:rFonts w:hint="default" w:ascii="Segoe UI" w:hAnsi="Segoe UI" w:eastAsia="Segoe UI" w:cs="Segoe UI"/>
        <w:b w:val="0"/>
        <w:bCs w:val="0"/>
        <w:i w:val="0"/>
        <w:iCs w:val="0"/>
        <w:color w:val="231F20"/>
        <w:w w:val="100"/>
        <w:sz w:val="24"/>
        <w:szCs w:val="24"/>
        <w:lang w:val="en-US" w:eastAsia="en-US" w:bidi="ar-SA"/>
      </w:rPr>
    </w:lvl>
    <w:lvl w:ilvl="1">
      <w:start w:val="0"/>
      <w:numFmt w:val="bullet"/>
      <w:lvlText w:val="•"/>
      <w:lvlJc w:val="left"/>
      <w:pPr>
        <w:ind w:left="737" w:hanging="171"/>
      </w:pPr>
      <w:rPr>
        <w:rFonts w:hint="default" w:ascii="Segoe UI" w:hAnsi="Segoe UI" w:eastAsia="Segoe UI" w:cs="Segoe UI"/>
        <w:b w:val="0"/>
        <w:bCs w:val="0"/>
        <w:i w:val="0"/>
        <w:iCs w:val="0"/>
        <w:color w:val="231F20"/>
        <w:w w:val="100"/>
        <w:sz w:val="24"/>
        <w:szCs w:val="24"/>
        <w:lang w:val="en-US" w:eastAsia="en-US" w:bidi="ar-SA"/>
      </w:rPr>
    </w:lvl>
    <w:lvl w:ilvl="2">
      <w:start w:val="0"/>
      <w:numFmt w:val="bullet"/>
      <w:lvlText w:val="•"/>
      <w:lvlJc w:val="left"/>
      <w:pPr>
        <w:ind w:left="6076" w:hanging="171"/>
      </w:pPr>
      <w:rPr>
        <w:rFonts w:hint="default"/>
        <w:lang w:val="en-US" w:eastAsia="en-US" w:bidi="ar-SA"/>
      </w:rPr>
    </w:lvl>
    <w:lvl w:ilvl="3">
      <w:start w:val="0"/>
      <w:numFmt w:val="bullet"/>
      <w:lvlText w:val="•"/>
      <w:lvlJc w:val="left"/>
      <w:pPr>
        <w:ind w:left="6033" w:hanging="171"/>
      </w:pPr>
      <w:rPr>
        <w:rFonts w:hint="default"/>
        <w:lang w:val="en-US" w:eastAsia="en-US" w:bidi="ar-SA"/>
      </w:rPr>
    </w:lvl>
    <w:lvl w:ilvl="4">
      <w:start w:val="0"/>
      <w:numFmt w:val="bullet"/>
      <w:lvlText w:val="•"/>
      <w:lvlJc w:val="left"/>
      <w:pPr>
        <w:ind w:left="5990" w:hanging="171"/>
      </w:pPr>
      <w:rPr>
        <w:rFonts w:hint="default"/>
        <w:lang w:val="en-US" w:eastAsia="en-US" w:bidi="ar-SA"/>
      </w:rPr>
    </w:lvl>
    <w:lvl w:ilvl="5">
      <w:start w:val="0"/>
      <w:numFmt w:val="bullet"/>
      <w:lvlText w:val="•"/>
      <w:lvlJc w:val="left"/>
      <w:pPr>
        <w:ind w:left="5947" w:hanging="171"/>
      </w:pPr>
      <w:rPr>
        <w:rFonts w:hint="default"/>
        <w:lang w:val="en-US" w:eastAsia="en-US" w:bidi="ar-SA"/>
      </w:rPr>
    </w:lvl>
    <w:lvl w:ilvl="6">
      <w:start w:val="0"/>
      <w:numFmt w:val="bullet"/>
      <w:lvlText w:val="•"/>
      <w:lvlJc w:val="left"/>
      <w:pPr>
        <w:ind w:left="5904" w:hanging="171"/>
      </w:pPr>
      <w:rPr>
        <w:rFonts w:hint="default"/>
        <w:lang w:val="en-US" w:eastAsia="en-US" w:bidi="ar-SA"/>
      </w:rPr>
    </w:lvl>
    <w:lvl w:ilvl="7">
      <w:start w:val="0"/>
      <w:numFmt w:val="bullet"/>
      <w:lvlText w:val="•"/>
      <w:lvlJc w:val="left"/>
      <w:pPr>
        <w:ind w:left="5861" w:hanging="171"/>
      </w:pPr>
      <w:rPr>
        <w:rFonts w:hint="default"/>
        <w:lang w:val="en-US" w:eastAsia="en-US" w:bidi="ar-SA"/>
      </w:rPr>
    </w:lvl>
    <w:lvl w:ilvl="8">
      <w:start w:val="0"/>
      <w:numFmt w:val="bullet"/>
      <w:lvlText w:val="•"/>
      <w:lvlJc w:val="left"/>
      <w:pPr>
        <w:ind w:left="5818" w:hanging="171"/>
      </w:pPr>
      <w:rPr>
        <w:rFonts w:hint="default"/>
        <w:lang w:val="en-US" w:eastAsia="en-US" w:bidi="ar-SA"/>
      </w:rPr>
    </w:lvl>
  </w:abstractNum>
  <w:abstractNum w:abstractNumId="6">
    <w:multiLevelType w:val="hybridMultilevel"/>
    <w:lvl w:ilvl="0">
      <w:start w:val="0"/>
      <w:numFmt w:val="bullet"/>
      <w:lvlText w:val="•"/>
      <w:lvlJc w:val="left"/>
      <w:pPr>
        <w:ind w:left="170" w:hanging="171"/>
      </w:pPr>
      <w:rPr>
        <w:rFonts w:hint="default" w:ascii="Segoe UI" w:hAnsi="Segoe UI" w:eastAsia="Segoe UI" w:cs="Segoe UI"/>
        <w:b w:val="0"/>
        <w:bCs w:val="0"/>
        <w:i w:val="0"/>
        <w:iCs w:val="0"/>
        <w:color w:val="231F20"/>
        <w:w w:val="100"/>
        <w:sz w:val="24"/>
        <w:szCs w:val="24"/>
        <w:lang w:val="en-US" w:eastAsia="en-US" w:bidi="ar-SA"/>
      </w:rPr>
    </w:lvl>
    <w:lvl w:ilvl="1">
      <w:start w:val="0"/>
      <w:numFmt w:val="bullet"/>
      <w:lvlText w:val="•"/>
      <w:lvlJc w:val="left"/>
      <w:pPr>
        <w:ind w:left="743" w:hanging="171"/>
      </w:pPr>
      <w:rPr>
        <w:rFonts w:hint="default"/>
        <w:lang w:val="en-US" w:eastAsia="en-US" w:bidi="ar-SA"/>
      </w:rPr>
    </w:lvl>
    <w:lvl w:ilvl="2">
      <w:start w:val="0"/>
      <w:numFmt w:val="bullet"/>
      <w:lvlText w:val="•"/>
      <w:lvlJc w:val="left"/>
      <w:pPr>
        <w:ind w:left="1306" w:hanging="171"/>
      </w:pPr>
      <w:rPr>
        <w:rFonts w:hint="default"/>
        <w:lang w:val="en-US" w:eastAsia="en-US" w:bidi="ar-SA"/>
      </w:rPr>
    </w:lvl>
    <w:lvl w:ilvl="3">
      <w:start w:val="0"/>
      <w:numFmt w:val="bullet"/>
      <w:lvlText w:val="•"/>
      <w:lvlJc w:val="left"/>
      <w:pPr>
        <w:ind w:left="1869" w:hanging="171"/>
      </w:pPr>
      <w:rPr>
        <w:rFonts w:hint="default"/>
        <w:lang w:val="en-US" w:eastAsia="en-US" w:bidi="ar-SA"/>
      </w:rPr>
    </w:lvl>
    <w:lvl w:ilvl="4">
      <w:start w:val="0"/>
      <w:numFmt w:val="bullet"/>
      <w:lvlText w:val="•"/>
      <w:lvlJc w:val="left"/>
      <w:pPr>
        <w:ind w:left="2432" w:hanging="171"/>
      </w:pPr>
      <w:rPr>
        <w:rFonts w:hint="default"/>
        <w:lang w:val="en-US" w:eastAsia="en-US" w:bidi="ar-SA"/>
      </w:rPr>
    </w:lvl>
    <w:lvl w:ilvl="5">
      <w:start w:val="0"/>
      <w:numFmt w:val="bullet"/>
      <w:lvlText w:val="•"/>
      <w:lvlJc w:val="left"/>
      <w:pPr>
        <w:ind w:left="2995" w:hanging="171"/>
      </w:pPr>
      <w:rPr>
        <w:rFonts w:hint="default"/>
        <w:lang w:val="en-US" w:eastAsia="en-US" w:bidi="ar-SA"/>
      </w:rPr>
    </w:lvl>
    <w:lvl w:ilvl="6">
      <w:start w:val="0"/>
      <w:numFmt w:val="bullet"/>
      <w:lvlText w:val="•"/>
      <w:lvlJc w:val="left"/>
      <w:pPr>
        <w:ind w:left="3558" w:hanging="171"/>
      </w:pPr>
      <w:rPr>
        <w:rFonts w:hint="default"/>
        <w:lang w:val="en-US" w:eastAsia="en-US" w:bidi="ar-SA"/>
      </w:rPr>
    </w:lvl>
    <w:lvl w:ilvl="7">
      <w:start w:val="0"/>
      <w:numFmt w:val="bullet"/>
      <w:lvlText w:val="•"/>
      <w:lvlJc w:val="left"/>
      <w:pPr>
        <w:ind w:left="4121" w:hanging="171"/>
      </w:pPr>
      <w:rPr>
        <w:rFonts w:hint="default"/>
        <w:lang w:val="en-US" w:eastAsia="en-US" w:bidi="ar-SA"/>
      </w:rPr>
    </w:lvl>
    <w:lvl w:ilvl="8">
      <w:start w:val="0"/>
      <w:numFmt w:val="bullet"/>
      <w:lvlText w:val="•"/>
      <w:lvlJc w:val="left"/>
      <w:pPr>
        <w:ind w:left="4684" w:hanging="171"/>
      </w:pPr>
      <w:rPr>
        <w:rFonts w:hint="default"/>
        <w:lang w:val="en-US" w:eastAsia="en-US" w:bidi="ar-SA"/>
      </w:rPr>
    </w:lvl>
  </w:abstractNum>
  <w:abstractNum w:abstractNumId="5">
    <w:multiLevelType w:val="hybridMultilevel"/>
    <w:lvl w:ilvl="0">
      <w:start w:val="0"/>
      <w:numFmt w:val="bullet"/>
      <w:lvlText w:val="•"/>
      <w:lvlJc w:val="left"/>
      <w:pPr>
        <w:ind w:left="432" w:hanging="171"/>
      </w:pPr>
      <w:rPr>
        <w:rFonts w:hint="default" w:ascii="Segoe UI" w:hAnsi="Segoe UI" w:eastAsia="Segoe UI" w:cs="Segoe UI"/>
        <w:b w:val="0"/>
        <w:bCs w:val="0"/>
        <w:i w:val="0"/>
        <w:iCs w:val="0"/>
        <w:color w:val="231F20"/>
        <w:w w:val="100"/>
        <w:sz w:val="24"/>
        <w:szCs w:val="24"/>
        <w:lang w:val="en-US" w:eastAsia="en-US" w:bidi="ar-SA"/>
      </w:rPr>
    </w:lvl>
    <w:lvl w:ilvl="1">
      <w:start w:val="0"/>
      <w:numFmt w:val="bullet"/>
      <w:lvlText w:val="•"/>
      <w:lvlJc w:val="left"/>
      <w:pPr>
        <w:ind w:left="4932" w:hanging="171"/>
      </w:pPr>
      <w:rPr>
        <w:rFonts w:hint="default" w:ascii="Segoe UI" w:hAnsi="Segoe UI" w:eastAsia="Segoe UI" w:cs="Segoe UI"/>
        <w:b w:val="0"/>
        <w:bCs w:val="0"/>
        <w:i w:val="0"/>
        <w:iCs w:val="0"/>
        <w:color w:val="231F20"/>
        <w:w w:val="100"/>
        <w:sz w:val="24"/>
        <w:szCs w:val="24"/>
        <w:lang w:val="en-US" w:eastAsia="en-US" w:bidi="ar-SA"/>
      </w:rPr>
    </w:lvl>
    <w:lvl w:ilvl="2">
      <w:start w:val="0"/>
      <w:numFmt w:val="bullet"/>
      <w:lvlText w:val="•"/>
      <w:lvlJc w:val="left"/>
      <w:pPr>
        <w:ind w:left="5065" w:hanging="171"/>
      </w:pPr>
      <w:rPr>
        <w:rFonts w:hint="default"/>
        <w:lang w:val="en-US" w:eastAsia="en-US" w:bidi="ar-SA"/>
      </w:rPr>
    </w:lvl>
    <w:lvl w:ilvl="3">
      <w:start w:val="0"/>
      <w:numFmt w:val="bullet"/>
      <w:lvlText w:val="•"/>
      <w:lvlJc w:val="left"/>
      <w:pPr>
        <w:ind w:left="5191" w:hanging="171"/>
      </w:pPr>
      <w:rPr>
        <w:rFonts w:hint="default"/>
        <w:lang w:val="en-US" w:eastAsia="en-US" w:bidi="ar-SA"/>
      </w:rPr>
    </w:lvl>
    <w:lvl w:ilvl="4">
      <w:start w:val="0"/>
      <w:numFmt w:val="bullet"/>
      <w:lvlText w:val="•"/>
      <w:lvlJc w:val="left"/>
      <w:pPr>
        <w:ind w:left="5317" w:hanging="171"/>
      </w:pPr>
      <w:rPr>
        <w:rFonts w:hint="default"/>
        <w:lang w:val="en-US" w:eastAsia="en-US" w:bidi="ar-SA"/>
      </w:rPr>
    </w:lvl>
    <w:lvl w:ilvl="5">
      <w:start w:val="0"/>
      <w:numFmt w:val="bullet"/>
      <w:lvlText w:val="•"/>
      <w:lvlJc w:val="left"/>
      <w:pPr>
        <w:ind w:left="5443" w:hanging="171"/>
      </w:pPr>
      <w:rPr>
        <w:rFonts w:hint="default"/>
        <w:lang w:val="en-US" w:eastAsia="en-US" w:bidi="ar-SA"/>
      </w:rPr>
    </w:lvl>
    <w:lvl w:ilvl="6">
      <w:start w:val="0"/>
      <w:numFmt w:val="bullet"/>
      <w:lvlText w:val="•"/>
      <w:lvlJc w:val="left"/>
      <w:pPr>
        <w:ind w:left="5569" w:hanging="171"/>
      </w:pPr>
      <w:rPr>
        <w:rFonts w:hint="default"/>
        <w:lang w:val="en-US" w:eastAsia="en-US" w:bidi="ar-SA"/>
      </w:rPr>
    </w:lvl>
    <w:lvl w:ilvl="7">
      <w:start w:val="0"/>
      <w:numFmt w:val="bullet"/>
      <w:lvlText w:val="•"/>
      <w:lvlJc w:val="left"/>
      <w:pPr>
        <w:ind w:left="5695" w:hanging="171"/>
      </w:pPr>
      <w:rPr>
        <w:rFonts w:hint="default"/>
        <w:lang w:val="en-US" w:eastAsia="en-US" w:bidi="ar-SA"/>
      </w:rPr>
    </w:lvl>
    <w:lvl w:ilvl="8">
      <w:start w:val="0"/>
      <w:numFmt w:val="bullet"/>
      <w:lvlText w:val="•"/>
      <w:lvlJc w:val="left"/>
      <w:pPr>
        <w:ind w:left="5821" w:hanging="171"/>
      </w:pPr>
      <w:rPr>
        <w:rFonts w:hint="default"/>
        <w:lang w:val="en-US" w:eastAsia="en-US" w:bidi="ar-SA"/>
      </w:rPr>
    </w:lvl>
  </w:abstractNum>
  <w:abstractNum w:abstractNumId="4">
    <w:multiLevelType w:val="hybridMultilevel"/>
    <w:lvl w:ilvl="0">
      <w:start w:val="1"/>
      <w:numFmt w:val="lowerLetter"/>
      <w:lvlText w:val="%1."/>
      <w:lvlJc w:val="left"/>
      <w:pPr>
        <w:ind w:left="586" w:hanging="360"/>
        <w:jc w:val="left"/>
      </w:pPr>
      <w:rPr>
        <w:rFonts w:hint="default" w:ascii="Segoe UI" w:hAnsi="Segoe UI" w:eastAsia="Segoe UI" w:cs="Segoe UI"/>
        <w:b w:val="0"/>
        <w:bCs w:val="0"/>
        <w:i w:val="0"/>
        <w:iCs w:val="0"/>
        <w:color w:val="FFFFFF"/>
        <w:w w:val="100"/>
        <w:sz w:val="24"/>
        <w:szCs w:val="24"/>
        <w:lang w:val="en-US" w:eastAsia="en-US" w:bidi="ar-SA"/>
      </w:rPr>
    </w:lvl>
    <w:lvl w:ilvl="1">
      <w:start w:val="0"/>
      <w:numFmt w:val="bullet"/>
      <w:lvlText w:val="•"/>
      <w:lvlJc w:val="left"/>
      <w:pPr>
        <w:ind w:left="1032" w:hanging="360"/>
      </w:pPr>
      <w:rPr>
        <w:rFonts w:hint="default"/>
        <w:lang w:val="en-US" w:eastAsia="en-US" w:bidi="ar-SA"/>
      </w:rPr>
    </w:lvl>
    <w:lvl w:ilvl="2">
      <w:start w:val="0"/>
      <w:numFmt w:val="bullet"/>
      <w:lvlText w:val="•"/>
      <w:lvlJc w:val="left"/>
      <w:pPr>
        <w:ind w:left="1484" w:hanging="360"/>
      </w:pPr>
      <w:rPr>
        <w:rFonts w:hint="default"/>
        <w:lang w:val="en-US" w:eastAsia="en-US" w:bidi="ar-SA"/>
      </w:rPr>
    </w:lvl>
    <w:lvl w:ilvl="3">
      <w:start w:val="0"/>
      <w:numFmt w:val="bullet"/>
      <w:lvlText w:val="•"/>
      <w:lvlJc w:val="left"/>
      <w:pPr>
        <w:ind w:left="193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41" w:hanging="360"/>
      </w:pPr>
      <w:rPr>
        <w:rFonts w:hint="default"/>
        <w:lang w:val="en-US" w:eastAsia="en-US" w:bidi="ar-SA"/>
      </w:rPr>
    </w:lvl>
    <w:lvl w:ilvl="6">
      <w:start w:val="0"/>
      <w:numFmt w:val="bullet"/>
      <w:lvlText w:val="•"/>
      <w:lvlJc w:val="left"/>
      <w:pPr>
        <w:ind w:left="3293" w:hanging="360"/>
      </w:pPr>
      <w:rPr>
        <w:rFonts w:hint="default"/>
        <w:lang w:val="en-US" w:eastAsia="en-US" w:bidi="ar-SA"/>
      </w:rPr>
    </w:lvl>
    <w:lvl w:ilvl="7">
      <w:start w:val="0"/>
      <w:numFmt w:val="bullet"/>
      <w:lvlText w:val="•"/>
      <w:lvlJc w:val="left"/>
      <w:pPr>
        <w:ind w:left="3745" w:hanging="360"/>
      </w:pPr>
      <w:rPr>
        <w:rFonts w:hint="default"/>
        <w:lang w:val="en-US" w:eastAsia="en-US" w:bidi="ar-SA"/>
      </w:rPr>
    </w:lvl>
    <w:lvl w:ilvl="8">
      <w:start w:val="0"/>
      <w:numFmt w:val="bullet"/>
      <w:lvlText w:val="•"/>
      <w:lvlJc w:val="left"/>
      <w:pPr>
        <w:ind w:left="4197" w:hanging="360"/>
      </w:pPr>
      <w:rPr>
        <w:rFonts w:hint="default"/>
        <w:lang w:val="en-US" w:eastAsia="en-US" w:bidi="ar-SA"/>
      </w:rPr>
    </w:lvl>
  </w:abstractNum>
  <w:abstractNum w:abstractNumId="3">
    <w:multiLevelType w:val="hybridMultilevel"/>
    <w:lvl w:ilvl="0">
      <w:start w:val="1"/>
      <w:numFmt w:val="lowerLetter"/>
      <w:lvlText w:val="%1."/>
      <w:lvlJc w:val="left"/>
      <w:pPr>
        <w:ind w:left="586" w:hanging="360"/>
        <w:jc w:val="left"/>
      </w:pPr>
      <w:rPr>
        <w:rFonts w:hint="default" w:ascii="Segoe UI" w:hAnsi="Segoe UI" w:eastAsia="Segoe UI" w:cs="Segoe UI"/>
        <w:b w:val="0"/>
        <w:bCs w:val="0"/>
        <w:i w:val="0"/>
        <w:iCs w:val="0"/>
        <w:color w:val="FFFFFF"/>
        <w:w w:val="100"/>
        <w:sz w:val="24"/>
        <w:szCs w:val="24"/>
        <w:lang w:val="en-US" w:eastAsia="en-US" w:bidi="ar-SA"/>
      </w:rPr>
    </w:lvl>
    <w:lvl w:ilvl="1">
      <w:start w:val="0"/>
      <w:numFmt w:val="bullet"/>
      <w:lvlText w:val="•"/>
      <w:lvlJc w:val="left"/>
      <w:pPr>
        <w:ind w:left="1032" w:hanging="360"/>
      </w:pPr>
      <w:rPr>
        <w:rFonts w:hint="default"/>
        <w:lang w:val="en-US" w:eastAsia="en-US" w:bidi="ar-SA"/>
      </w:rPr>
    </w:lvl>
    <w:lvl w:ilvl="2">
      <w:start w:val="0"/>
      <w:numFmt w:val="bullet"/>
      <w:lvlText w:val="•"/>
      <w:lvlJc w:val="left"/>
      <w:pPr>
        <w:ind w:left="1484" w:hanging="360"/>
      </w:pPr>
      <w:rPr>
        <w:rFonts w:hint="default"/>
        <w:lang w:val="en-US" w:eastAsia="en-US" w:bidi="ar-SA"/>
      </w:rPr>
    </w:lvl>
    <w:lvl w:ilvl="3">
      <w:start w:val="0"/>
      <w:numFmt w:val="bullet"/>
      <w:lvlText w:val="•"/>
      <w:lvlJc w:val="left"/>
      <w:pPr>
        <w:ind w:left="193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41" w:hanging="360"/>
      </w:pPr>
      <w:rPr>
        <w:rFonts w:hint="default"/>
        <w:lang w:val="en-US" w:eastAsia="en-US" w:bidi="ar-SA"/>
      </w:rPr>
    </w:lvl>
    <w:lvl w:ilvl="6">
      <w:start w:val="0"/>
      <w:numFmt w:val="bullet"/>
      <w:lvlText w:val="•"/>
      <w:lvlJc w:val="left"/>
      <w:pPr>
        <w:ind w:left="3293" w:hanging="360"/>
      </w:pPr>
      <w:rPr>
        <w:rFonts w:hint="default"/>
        <w:lang w:val="en-US" w:eastAsia="en-US" w:bidi="ar-SA"/>
      </w:rPr>
    </w:lvl>
    <w:lvl w:ilvl="7">
      <w:start w:val="0"/>
      <w:numFmt w:val="bullet"/>
      <w:lvlText w:val="•"/>
      <w:lvlJc w:val="left"/>
      <w:pPr>
        <w:ind w:left="3745" w:hanging="360"/>
      </w:pPr>
      <w:rPr>
        <w:rFonts w:hint="default"/>
        <w:lang w:val="en-US" w:eastAsia="en-US" w:bidi="ar-SA"/>
      </w:rPr>
    </w:lvl>
    <w:lvl w:ilvl="8">
      <w:start w:val="0"/>
      <w:numFmt w:val="bullet"/>
      <w:lvlText w:val="•"/>
      <w:lvlJc w:val="left"/>
      <w:pPr>
        <w:ind w:left="4197" w:hanging="360"/>
      </w:pPr>
      <w:rPr>
        <w:rFonts w:hint="default"/>
        <w:lang w:val="en-US" w:eastAsia="en-US" w:bidi="ar-SA"/>
      </w:rPr>
    </w:lvl>
  </w:abstractNum>
  <w:abstractNum w:abstractNumId="2">
    <w:multiLevelType w:val="hybridMultilevel"/>
    <w:lvl w:ilvl="0">
      <w:start w:val="5"/>
      <w:numFmt w:val="decimal"/>
      <w:lvlText w:val="%1."/>
      <w:lvlJc w:val="left"/>
      <w:pPr>
        <w:ind w:left="1247" w:hanging="684"/>
        <w:jc w:val="left"/>
      </w:pPr>
      <w:rPr>
        <w:rFonts w:hint="default" w:ascii="Segoe UI" w:hAnsi="Segoe UI" w:eastAsia="Segoe UI" w:cs="Segoe UI"/>
        <w:b/>
        <w:bCs/>
        <w:i w:val="0"/>
        <w:iCs w:val="0"/>
        <w:color w:val="3B5673"/>
        <w:spacing w:val="-1"/>
        <w:w w:val="100"/>
        <w:sz w:val="60"/>
        <w:szCs w:val="60"/>
        <w:lang w:val="en-US" w:eastAsia="en-US" w:bidi="ar-SA"/>
      </w:rPr>
    </w:lvl>
    <w:lvl w:ilvl="1">
      <w:start w:val="0"/>
      <w:numFmt w:val="bullet"/>
      <w:lvlText w:val="•"/>
      <w:lvlJc w:val="left"/>
      <w:pPr>
        <w:ind w:left="737" w:hanging="171"/>
      </w:pPr>
      <w:rPr>
        <w:rFonts w:hint="default" w:ascii="Segoe UI" w:hAnsi="Segoe UI" w:eastAsia="Segoe UI" w:cs="Segoe UI"/>
        <w:b w:val="0"/>
        <w:bCs w:val="0"/>
        <w:i w:val="0"/>
        <w:iCs w:val="0"/>
        <w:color w:val="231F20"/>
        <w:w w:val="100"/>
        <w:sz w:val="24"/>
        <w:szCs w:val="24"/>
        <w:lang w:val="en-US" w:eastAsia="en-US" w:bidi="ar-SA"/>
      </w:rPr>
    </w:lvl>
    <w:lvl w:ilvl="2">
      <w:start w:val="0"/>
      <w:numFmt w:val="bullet"/>
      <w:lvlText w:val="•"/>
      <w:lvlJc w:val="left"/>
      <w:pPr>
        <w:ind w:left="1745" w:hanging="171"/>
      </w:pPr>
      <w:rPr>
        <w:rFonts w:hint="default"/>
        <w:lang w:val="en-US" w:eastAsia="en-US" w:bidi="ar-SA"/>
      </w:rPr>
    </w:lvl>
    <w:lvl w:ilvl="3">
      <w:start w:val="0"/>
      <w:numFmt w:val="bullet"/>
      <w:lvlText w:val="•"/>
      <w:lvlJc w:val="left"/>
      <w:pPr>
        <w:ind w:left="2251" w:hanging="171"/>
      </w:pPr>
      <w:rPr>
        <w:rFonts w:hint="default"/>
        <w:lang w:val="en-US" w:eastAsia="en-US" w:bidi="ar-SA"/>
      </w:rPr>
    </w:lvl>
    <w:lvl w:ilvl="4">
      <w:start w:val="0"/>
      <w:numFmt w:val="bullet"/>
      <w:lvlText w:val="•"/>
      <w:lvlJc w:val="left"/>
      <w:pPr>
        <w:ind w:left="2757" w:hanging="171"/>
      </w:pPr>
      <w:rPr>
        <w:rFonts w:hint="default"/>
        <w:lang w:val="en-US" w:eastAsia="en-US" w:bidi="ar-SA"/>
      </w:rPr>
    </w:lvl>
    <w:lvl w:ilvl="5">
      <w:start w:val="0"/>
      <w:numFmt w:val="bullet"/>
      <w:lvlText w:val="•"/>
      <w:lvlJc w:val="left"/>
      <w:pPr>
        <w:ind w:left="3263" w:hanging="171"/>
      </w:pPr>
      <w:rPr>
        <w:rFonts w:hint="default"/>
        <w:lang w:val="en-US" w:eastAsia="en-US" w:bidi="ar-SA"/>
      </w:rPr>
    </w:lvl>
    <w:lvl w:ilvl="6">
      <w:start w:val="0"/>
      <w:numFmt w:val="bullet"/>
      <w:lvlText w:val="•"/>
      <w:lvlJc w:val="left"/>
      <w:pPr>
        <w:ind w:left="3769" w:hanging="171"/>
      </w:pPr>
      <w:rPr>
        <w:rFonts w:hint="default"/>
        <w:lang w:val="en-US" w:eastAsia="en-US" w:bidi="ar-SA"/>
      </w:rPr>
    </w:lvl>
    <w:lvl w:ilvl="7">
      <w:start w:val="0"/>
      <w:numFmt w:val="bullet"/>
      <w:lvlText w:val="•"/>
      <w:lvlJc w:val="left"/>
      <w:pPr>
        <w:ind w:left="4274" w:hanging="171"/>
      </w:pPr>
      <w:rPr>
        <w:rFonts w:hint="default"/>
        <w:lang w:val="en-US" w:eastAsia="en-US" w:bidi="ar-SA"/>
      </w:rPr>
    </w:lvl>
    <w:lvl w:ilvl="8">
      <w:start w:val="0"/>
      <w:numFmt w:val="bullet"/>
      <w:lvlText w:val="•"/>
      <w:lvlJc w:val="left"/>
      <w:pPr>
        <w:ind w:left="4780" w:hanging="171"/>
      </w:pPr>
      <w:rPr>
        <w:rFonts w:hint="default"/>
        <w:lang w:val="en-US" w:eastAsia="en-US" w:bidi="ar-SA"/>
      </w:rPr>
    </w:lvl>
  </w:abstractNum>
  <w:abstractNum w:abstractNumId="1">
    <w:multiLevelType w:val="hybridMultilevel"/>
    <w:lvl w:ilvl="0">
      <w:start w:val="0"/>
      <w:numFmt w:val="bullet"/>
      <w:lvlText w:val="–"/>
      <w:lvlJc w:val="left"/>
      <w:pPr>
        <w:ind w:left="467" w:hanging="186"/>
      </w:pPr>
      <w:rPr>
        <w:rFonts w:hint="default" w:ascii="Segoe UI" w:hAnsi="Segoe UI" w:eastAsia="Segoe UI" w:cs="Segoe UI"/>
        <w:b w:val="0"/>
        <w:bCs w:val="0"/>
        <w:i w:val="0"/>
        <w:iCs w:val="0"/>
        <w:color w:val="231F20"/>
        <w:w w:val="100"/>
        <w:sz w:val="24"/>
        <w:szCs w:val="24"/>
        <w:lang w:val="en-US" w:eastAsia="en-US" w:bidi="ar-SA"/>
      </w:rPr>
    </w:lvl>
    <w:lvl w:ilvl="1">
      <w:start w:val="0"/>
      <w:numFmt w:val="bullet"/>
      <w:lvlText w:val="•"/>
      <w:lvlJc w:val="left"/>
      <w:pPr>
        <w:ind w:left="737" w:hanging="171"/>
      </w:pPr>
      <w:rPr>
        <w:rFonts w:hint="default" w:ascii="Segoe UI" w:hAnsi="Segoe UI" w:eastAsia="Segoe UI" w:cs="Segoe UI"/>
        <w:b w:val="0"/>
        <w:bCs w:val="0"/>
        <w:i w:val="0"/>
        <w:iCs w:val="0"/>
        <w:color w:val="231F20"/>
        <w:w w:val="100"/>
        <w:sz w:val="24"/>
        <w:szCs w:val="24"/>
        <w:lang w:val="en-US" w:eastAsia="en-US" w:bidi="ar-SA"/>
      </w:rPr>
    </w:lvl>
    <w:lvl w:ilvl="2">
      <w:start w:val="0"/>
      <w:numFmt w:val="bullet"/>
      <w:lvlText w:val="•"/>
      <w:lvlJc w:val="left"/>
      <w:pPr>
        <w:ind w:left="656" w:hanging="171"/>
      </w:pPr>
      <w:rPr>
        <w:rFonts w:hint="default"/>
        <w:lang w:val="en-US" w:eastAsia="en-US" w:bidi="ar-SA"/>
      </w:rPr>
    </w:lvl>
    <w:lvl w:ilvl="3">
      <w:start w:val="0"/>
      <w:numFmt w:val="bullet"/>
      <w:lvlText w:val="•"/>
      <w:lvlJc w:val="left"/>
      <w:pPr>
        <w:ind w:left="573" w:hanging="171"/>
      </w:pPr>
      <w:rPr>
        <w:rFonts w:hint="default"/>
        <w:lang w:val="en-US" w:eastAsia="en-US" w:bidi="ar-SA"/>
      </w:rPr>
    </w:lvl>
    <w:lvl w:ilvl="4">
      <w:start w:val="0"/>
      <w:numFmt w:val="bullet"/>
      <w:lvlText w:val="•"/>
      <w:lvlJc w:val="left"/>
      <w:pPr>
        <w:ind w:left="490" w:hanging="171"/>
      </w:pPr>
      <w:rPr>
        <w:rFonts w:hint="default"/>
        <w:lang w:val="en-US" w:eastAsia="en-US" w:bidi="ar-SA"/>
      </w:rPr>
    </w:lvl>
    <w:lvl w:ilvl="5">
      <w:start w:val="0"/>
      <w:numFmt w:val="bullet"/>
      <w:lvlText w:val="•"/>
      <w:lvlJc w:val="left"/>
      <w:pPr>
        <w:ind w:left="407" w:hanging="171"/>
      </w:pPr>
      <w:rPr>
        <w:rFonts w:hint="default"/>
        <w:lang w:val="en-US" w:eastAsia="en-US" w:bidi="ar-SA"/>
      </w:rPr>
    </w:lvl>
    <w:lvl w:ilvl="6">
      <w:start w:val="0"/>
      <w:numFmt w:val="bullet"/>
      <w:lvlText w:val="•"/>
      <w:lvlJc w:val="left"/>
      <w:pPr>
        <w:ind w:left="324" w:hanging="171"/>
      </w:pPr>
      <w:rPr>
        <w:rFonts w:hint="default"/>
        <w:lang w:val="en-US" w:eastAsia="en-US" w:bidi="ar-SA"/>
      </w:rPr>
    </w:lvl>
    <w:lvl w:ilvl="7">
      <w:start w:val="0"/>
      <w:numFmt w:val="bullet"/>
      <w:lvlText w:val="•"/>
      <w:lvlJc w:val="left"/>
      <w:pPr>
        <w:ind w:left="241" w:hanging="171"/>
      </w:pPr>
      <w:rPr>
        <w:rFonts w:hint="default"/>
        <w:lang w:val="en-US" w:eastAsia="en-US" w:bidi="ar-SA"/>
      </w:rPr>
    </w:lvl>
    <w:lvl w:ilvl="8">
      <w:start w:val="0"/>
      <w:numFmt w:val="bullet"/>
      <w:lvlText w:val="•"/>
      <w:lvlJc w:val="left"/>
      <w:pPr>
        <w:ind w:left="158" w:hanging="171"/>
      </w:pPr>
      <w:rPr>
        <w:rFonts w:hint="default"/>
        <w:lang w:val="en-US" w:eastAsia="en-US" w:bidi="ar-SA"/>
      </w:rPr>
    </w:lvl>
  </w:abstractNum>
  <w:abstractNum w:abstractNumId="0">
    <w:multiLevelType w:val="hybridMultilevel"/>
    <w:lvl w:ilvl="0">
      <w:start w:val="1"/>
      <w:numFmt w:val="decimal"/>
      <w:lvlText w:val="%1."/>
      <w:lvlJc w:val="left"/>
      <w:pPr>
        <w:ind w:left="1048" w:hanging="482"/>
        <w:jc w:val="left"/>
      </w:pPr>
      <w:rPr>
        <w:rFonts w:hint="default" w:ascii="Segoe UI" w:hAnsi="Segoe UI" w:eastAsia="Segoe UI" w:cs="Segoe UI"/>
        <w:b/>
        <w:bCs/>
        <w:i w:val="0"/>
        <w:iCs w:val="0"/>
        <w:color w:val="231F20"/>
        <w:spacing w:val="-1"/>
        <w:w w:val="100"/>
        <w:sz w:val="24"/>
        <w:szCs w:val="24"/>
        <w:lang w:val="en-US" w:eastAsia="en-US" w:bidi="ar-SA"/>
      </w:rPr>
    </w:lvl>
    <w:lvl w:ilvl="1">
      <w:start w:val="0"/>
      <w:numFmt w:val="bullet"/>
      <w:lvlText w:val="•"/>
      <w:lvlJc w:val="left"/>
      <w:pPr>
        <w:ind w:left="2126" w:hanging="482"/>
      </w:pPr>
      <w:rPr>
        <w:rFonts w:hint="default"/>
        <w:lang w:val="en-US" w:eastAsia="en-US" w:bidi="ar-SA"/>
      </w:rPr>
    </w:lvl>
    <w:lvl w:ilvl="2">
      <w:start w:val="0"/>
      <w:numFmt w:val="bullet"/>
      <w:lvlText w:val="•"/>
      <w:lvlJc w:val="left"/>
      <w:pPr>
        <w:ind w:left="3213" w:hanging="482"/>
      </w:pPr>
      <w:rPr>
        <w:rFonts w:hint="default"/>
        <w:lang w:val="en-US" w:eastAsia="en-US" w:bidi="ar-SA"/>
      </w:rPr>
    </w:lvl>
    <w:lvl w:ilvl="3">
      <w:start w:val="0"/>
      <w:numFmt w:val="bullet"/>
      <w:lvlText w:val="•"/>
      <w:lvlJc w:val="left"/>
      <w:pPr>
        <w:ind w:left="4299" w:hanging="482"/>
      </w:pPr>
      <w:rPr>
        <w:rFonts w:hint="default"/>
        <w:lang w:val="en-US" w:eastAsia="en-US" w:bidi="ar-SA"/>
      </w:rPr>
    </w:lvl>
    <w:lvl w:ilvl="4">
      <w:start w:val="0"/>
      <w:numFmt w:val="bullet"/>
      <w:lvlText w:val="•"/>
      <w:lvlJc w:val="left"/>
      <w:pPr>
        <w:ind w:left="5386" w:hanging="482"/>
      </w:pPr>
      <w:rPr>
        <w:rFonts w:hint="default"/>
        <w:lang w:val="en-US" w:eastAsia="en-US" w:bidi="ar-SA"/>
      </w:rPr>
    </w:lvl>
    <w:lvl w:ilvl="5">
      <w:start w:val="0"/>
      <w:numFmt w:val="bullet"/>
      <w:lvlText w:val="•"/>
      <w:lvlJc w:val="left"/>
      <w:pPr>
        <w:ind w:left="6472" w:hanging="482"/>
      </w:pPr>
      <w:rPr>
        <w:rFonts w:hint="default"/>
        <w:lang w:val="en-US" w:eastAsia="en-US" w:bidi="ar-SA"/>
      </w:rPr>
    </w:lvl>
    <w:lvl w:ilvl="6">
      <w:start w:val="0"/>
      <w:numFmt w:val="bullet"/>
      <w:lvlText w:val="•"/>
      <w:lvlJc w:val="left"/>
      <w:pPr>
        <w:ind w:left="7559" w:hanging="482"/>
      </w:pPr>
      <w:rPr>
        <w:rFonts w:hint="default"/>
        <w:lang w:val="en-US" w:eastAsia="en-US" w:bidi="ar-SA"/>
      </w:rPr>
    </w:lvl>
    <w:lvl w:ilvl="7">
      <w:start w:val="0"/>
      <w:numFmt w:val="bullet"/>
      <w:lvlText w:val="•"/>
      <w:lvlJc w:val="left"/>
      <w:pPr>
        <w:ind w:left="8645" w:hanging="482"/>
      </w:pPr>
      <w:rPr>
        <w:rFonts w:hint="default"/>
        <w:lang w:val="en-US" w:eastAsia="en-US" w:bidi="ar-SA"/>
      </w:rPr>
    </w:lvl>
    <w:lvl w:ilvl="8">
      <w:start w:val="0"/>
      <w:numFmt w:val="bullet"/>
      <w:lvlText w:val="•"/>
      <w:lvlJc w:val="left"/>
      <w:pPr>
        <w:ind w:left="9732" w:hanging="482"/>
      </w:pPr>
      <w:rPr>
        <w:rFonts w:hint="default"/>
        <w:lang w:val="en-US" w:eastAsia="en-US" w:bidi="ar-SA"/>
      </w:rPr>
    </w:lvl>
  </w:abstract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Segoe UI" w:hAnsi="Segoe UI" w:eastAsia="Segoe UI" w:cs="Segoe UI"/>
      <w:lang w:val="en-US" w:eastAsia="en-US" w:bidi="ar-SA"/>
    </w:rPr>
  </w:style>
  <w:style w:styleId="BodyText" w:type="paragraph">
    <w:name w:val="Body Text"/>
    <w:basedOn w:val="Normal"/>
    <w:uiPriority w:val="1"/>
    <w:qFormat/>
    <w:pPr/>
    <w:rPr>
      <w:rFonts w:ascii="Segoe UI" w:hAnsi="Segoe UI" w:eastAsia="Segoe UI" w:cs="Segoe UI"/>
      <w:sz w:val="24"/>
      <w:szCs w:val="24"/>
      <w:lang w:val="en-US" w:eastAsia="en-US" w:bidi="ar-SA"/>
    </w:rPr>
  </w:style>
  <w:style w:styleId="Heading1" w:type="paragraph">
    <w:name w:val="Heading 1"/>
    <w:basedOn w:val="Normal"/>
    <w:uiPriority w:val="1"/>
    <w:qFormat/>
    <w:pPr>
      <w:spacing w:line="699" w:lineRule="exact"/>
      <w:outlineLvl w:val="1"/>
    </w:pPr>
    <w:rPr>
      <w:rFonts w:ascii="Segoe UI" w:hAnsi="Segoe UI" w:eastAsia="Segoe UI" w:cs="Segoe UI"/>
      <w:b/>
      <w:bCs/>
      <w:sz w:val="60"/>
      <w:szCs w:val="60"/>
      <w:lang w:val="en-US" w:eastAsia="en-US" w:bidi="ar-SA"/>
    </w:rPr>
  </w:style>
  <w:style w:styleId="Heading2" w:type="paragraph">
    <w:name w:val="Heading 2"/>
    <w:basedOn w:val="Normal"/>
    <w:uiPriority w:val="1"/>
    <w:qFormat/>
    <w:pPr>
      <w:spacing w:before="100"/>
      <w:ind w:left="1247"/>
      <w:outlineLvl w:val="2"/>
    </w:pPr>
    <w:rPr>
      <w:rFonts w:ascii="Segoe UI" w:hAnsi="Segoe UI" w:eastAsia="Segoe UI" w:cs="Segoe UI"/>
      <w:sz w:val="60"/>
      <w:szCs w:val="60"/>
      <w:lang w:val="en-US" w:eastAsia="en-US" w:bidi="ar-SA"/>
    </w:rPr>
  </w:style>
  <w:style w:styleId="Heading3" w:type="paragraph">
    <w:name w:val="Heading 3"/>
    <w:basedOn w:val="Normal"/>
    <w:uiPriority w:val="1"/>
    <w:qFormat/>
    <w:pPr>
      <w:spacing w:before="100" w:line="310" w:lineRule="exact"/>
      <w:ind w:left="571"/>
      <w:outlineLvl w:val="3"/>
    </w:pPr>
    <w:rPr>
      <w:rFonts w:ascii="Segoe UI" w:hAnsi="Segoe UI" w:eastAsia="Segoe UI" w:cs="Segoe UI"/>
      <w:b/>
      <w:bCs/>
      <w:sz w:val="24"/>
      <w:szCs w:val="24"/>
      <w:lang w:val="en-US" w:eastAsia="en-US" w:bidi="ar-SA"/>
    </w:rPr>
  </w:style>
  <w:style w:styleId="Heading4" w:type="paragraph">
    <w:name w:val="Heading 4"/>
    <w:basedOn w:val="Normal"/>
    <w:uiPriority w:val="1"/>
    <w:qFormat/>
    <w:pPr>
      <w:spacing w:line="310" w:lineRule="exact"/>
      <w:ind w:left="566"/>
      <w:outlineLvl w:val="4"/>
    </w:pPr>
    <w:rPr>
      <w:rFonts w:ascii="Segoe UI" w:hAnsi="Segoe UI" w:eastAsia="Segoe UI" w:cs="Segoe UI"/>
      <w:b/>
      <w:bCs/>
      <w:sz w:val="24"/>
      <w:szCs w:val="24"/>
      <w:lang w:val="en-US" w:eastAsia="en-US" w:bidi="ar-SA"/>
    </w:rPr>
  </w:style>
  <w:style w:styleId="ListParagraph" w:type="paragraph">
    <w:name w:val="List Paragraph"/>
    <w:basedOn w:val="Normal"/>
    <w:uiPriority w:val="1"/>
    <w:qFormat/>
    <w:pPr>
      <w:spacing w:before="94"/>
      <w:ind w:left="1048" w:hanging="171"/>
    </w:pPr>
    <w:rPr>
      <w:rFonts w:ascii="Segoe UI" w:hAnsi="Segoe UI" w:eastAsia="Segoe UI" w:cs="Segoe UI"/>
      <w:lang w:val="en-US" w:eastAsia="en-US" w:bidi="ar-SA"/>
    </w:rPr>
  </w:style>
  <w:style w:styleId="TableParagraph" w:type="paragraph">
    <w:name w:val="Table Paragraph"/>
    <w:basedOn w:val="Normal"/>
    <w:uiPriority w:val="1"/>
    <w:qFormat/>
    <w:pPr>
      <w:spacing w:line="305" w:lineRule="exact"/>
    </w:pPr>
    <w:rPr>
      <w:rFonts w:ascii="Segoe UI" w:hAnsi="Segoe UI" w:eastAsia="Segoe UI" w:cs="Segoe U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header" Target="header2.xml"/><Relationship Id="rId14" Type="http://schemas.openxmlformats.org/officeDocument/2006/relationships/footer" Target="footer2.xml"/><Relationship Id="rId15" Type="http://schemas.openxmlformats.org/officeDocument/2006/relationships/image" Target="media/image7.png"/><Relationship Id="rId16" Type="http://schemas.openxmlformats.org/officeDocument/2006/relationships/header" Target="header3.xml"/><Relationship Id="rId17" Type="http://schemas.openxmlformats.org/officeDocument/2006/relationships/footer" Target="footer3.xml"/><Relationship Id="rId18" Type="http://schemas.openxmlformats.org/officeDocument/2006/relationships/image" Target="media/image8.jpeg"/><Relationship Id="rId19" Type="http://schemas.openxmlformats.org/officeDocument/2006/relationships/image" Target="media/image9.png"/><Relationship Id="rId20" Type="http://schemas.openxmlformats.org/officeDocument/2006/relationships/header" Target="header4.xml"/><Relationship Id="rId21" Type="http://schemas.openxmlformats.org/officeDocument/2006/relationships/footer" Target="footer4.xml"/><Relationship Id="rId22" Type="http://schemas.openxmlformats.org/officeDocument/2006/relationships/header" Target="header5.xml"/><Relationship Id="rId23" Type="http://schemas.openxmlformats.org/officeDocument/2006/relationships/footer" Target="footer5.xml"/><Relationship Id="rId24" Type="http://schemas.openxmlformats.org/officeDocument/2006/relationships/image" Target="media/image10.png"/><Relationship Id="rId25" Type="http://schemas.openxmlformats.org/officeDocument/2006/relationships/header" Target="header6.xml"/><Relationship Id="rId26" Type="http://schemas.openxmlformats.org/officeDocument/2006/relationships/footer" Target="footer6.xml"/><Relationship Id="rId27" Type="http://schemas.openxmlformats.org/officeDocument/2006/relationships/image" Target="media/image11.jpeg"/><Relationship Id="rId28" Type="http://schemas.openxmlformats.org/officeDocument/2006/relationships/image" Target="media/image12.jpeg"/><Relationship Id="rId29" Type="http://schemas.openxmlformats.org/officeDocument/2006/relationships/header" Target="header7.xml"/><Relationship Id="rId30" Type="http://schemas.openxmlformats.org/officeDocument/2006/relationships/footer" Target="footer7.xml"/><Relationship Id="rId31" Type="http://schemas.openxmlformats.org/officeDocument/2006/relationships/image" Target="media/image13.jpeg"/><Relationship Id="rId32" Type="http://schemas.openxmlformats.org/officeDocument/2006/relationships/image" Target="media/image14.jpeg"/><Relationship Id="rId33" Type="http://schemas.openxmlformats.org/officeDocument/2006/relationships/image" Target="media/image15.jpeg"/><Relationship Id="rId34" Type="http://schemas.openxmlformats.org/officeDocument/2006/relationships/image" Target="media/image16.jpeg"/><Relationship Id="rId35" Type="http://schemas.openxmlformats.org/officeDocument/2006/relationships/header" Target="header8.xml"/><Relationship Id="rId36" Type="http://schemas.openxmlformats.org/officeDocument/2006/relationships/footer" Target="footer8.xml"/><Relationship Id="rId37" Type="http://schemas.openxmlformats.org/officeDocument/2006/relationships/image" Target="media/image17.jpeg"/><Relationship Id="rId38" Type="http://schemas.openxmlformats.org/officeDocument/2006/relationships/header" Target="header9.xml"/><Relationship Id="rId39" Type="http://schemas.openxmlformats.org/officeDocument/2006/relationships/footer" Target="footer9.xml"/><Relationship Id="rId40" Type="http://schemas.openxmlformats.org/officeDocument/2006/relationships/image" Target="media/image18.jpeg"/><Relationship Id="rId41" Type="http://schemas.openxmlformats.org/officeDocument/2006/relationships/image" Target="media/image19.png"/><Relationship Id="rId42" Type="http://schemas.openxmlformats.org/officeDocument/2006/relationships/image" Target="media/image20.png"/><Relationship Id="rId43" Type="http://schemas.openxmlformats.org/officeDocument/2006/relationships/image" Target="media/image21.png"/><Relationship Id="rId44" Type="http://schemas.openxmlformats.org/officeDocument/2006/relationships/image" Target="media/image22.png"/><Relationship Id="rId45" Type="http://schemas.openxmlformats.org/officeDocument/2006/relationships/image" Target="media/image23.png"/><Relationship Id="rId46" Type="http://schemas.openxmlformats.org/officeDocument/2006/relationships/image" Target="media/image24.png"/><Relationship Id="rId47" Type="http://schemas.openxmlformats.org/officeDocument/2006/relationships/image" Target="media/image25.png"/><Relationship Id="rId48" Type="http://schemas.openxmlformats.org/officeDocument/2006/relationships/image" Target="media/image26.png"/><Relationship Id="rId49" Type="http://schemas.openxmlformats.org/officeDocument/2006/relationships/image" Target="media/image27.png"/><Relationship Id="rId50" Type="http://schemas.openxmlformats.org/officeDocument/2006/relationships/image" Target="media/image28.png"/><Relationship Id="rId51" Type="http://schemas.openxmlformats.org/officeDocument/2006/relationships/image" Target="media/image29.png"/><Relationship Id="rId52" Type="http://schemas.openxmlformats.org/officeDocument/2006/relationships/image" Target="media/image30.png"/><Relationship Id="rId53" Type="http://schemas.openxmlformats.org/officeDocument/2006/relationships/image" Target="media/image31.png"/><Relationship Id="rId54" Type="http://schemas.openxmlformats.org/officeDocument/2006/relationships/image" Target="media/image32.png"/><Relationship Id="rId55" Type="http://schemas.openxmlformats.org/officeDocument/2006/relationships/image" Target="media/image33.png"/><Relationship Id="rId56" Type="http://schemas.openxmlformats.org/officeDocument/2006/relationships/image" Target="media/image34.png"/><Relationship Id="rId57" Type="http://schemas.openxmlformats.org/officeDocument/2006/relationships/image" Target="media/image35.png"/><Relationship Id="rId58" Type="http://schemas.openxmlformats.org/officeDocument/2006/relationships/image" Target="media/image36.png"/><Relationship Id="rId59" Type="http://schemas.openxmlformats.org/officeDocument/2006/relationships/image" Target="media/image37.png"/><Relationship Id="rId60" Type="http://schemas.openxmlformats.org/officeDocument/2006/relationships/image" Target="media/image38.png"/><Relationship Id="rId61" Type="http://schemas.openxmlformats.org/officeDocument/2006/relationships/image" Target="media/image39.jpeg"/><Relationship Id="rId62" Type="http://schemas.openxmlformats.org/officeDocument/2006/relationships/image" Target="media/image40.jpeg"/><Relationship Id="rId63" Type="http://schemas.openxmlformats.org/officeDocument/2006/relationships/image" Target="media/image41.jpeg"/><Relationship Id="rId64" Type="http://schemas.openxmlformats.org/officeDocument/2006/relationships/hyperlink" Target="mailto:pete.hudson@ashfield.gov.uk" TargetMode="External"/><Relationship Id="rId6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2023-05-31T13:50:44Z</dcterms:created>
  <dcterms:modified xsi:type="dcterms:W3CDTF">2023-05-31T13:50:44Z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2023-05-31T00:00:00Z</vt:filetime>
  </property>
  <property fmtid="{D5CDD505-2E9C-101B-9397-08002B2CF9AE}" pid="3" name="Creator">
    <vt:lpwstr>Adobe InDesign 18.2 (Windows)</vt:lpwstr>
  </property>
  <property fmtid="{D5CDD505-2E9C-101B-9397-08002B2CF9AE}" pid="4" name="LastSaved">
    <vt:filetime>2023-05-31T00:00:00Z</vt:filetime>
  </property>
  <property fmtid="{D5CDD505-2E9C-101B-9397-08002B2CF9AE}" pid="5" name="Producer">
    <vt:lpwstr>Adobe PDF Library 17.0</vt:lpwstr>
  </property>
</Properties>
</file>