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15B8" w14:textId="77777777" w:rsidR="00AD0FD2" w:rsidRPr="00206074" w:rsidRDefault="00AD0FD2" w:rsidP="00AD0FD2">
      <w:pPr>
        <w:jc w:val="left"/>
        <w:rPr>
          <w:b/>
          <w:bCs/>
        </w:rPr>
      </w:pPr>
      <w:r w:rsidRPr="00206074">
        <w:rPr>
          <w:b/>
          <w:bCs/>
        </w:rPr>
        <w:t>Ashfield District Council</w:t>
      </w:r>
      <w:r>
        <w:rPr>
          <w:b/>
          <w:bCs/>
        </w:rPr>
        <w:t>: L</w:t>
      </w:r>
      <w:r w:rsidRPr="00206074">
        <w:rPr>
          <w:b/>
          <w:bCs/>
        </w:rPr>
        <w:t xml:space="preserve">ocal Plan examination </w:t>
      </w:r>
    </w:p>
    <w:p w14:paraId="0AA570CF" w14:textId="10D833A1" w:rsidR="007E7F21" w:rsidRPr="00AD0FD2" w:rsidRDefault="00AD0FD2" w:rsidP="007C6E33">
      <w:pPr>
        <w:pStyle w:val="Title"/>
        <w:rPr>
          <w:kern w:val="0"/>
          <w:sz w:val="24"/>
          <w:szCs w:val="22"/>
          <w14:ligatures w14:val="none"/>
        </w:rPr>
      </w:pPr>
      <w:r>
        <w:rPr>
          <w:kern w:val="0"/>
          <w:sz w:val="24"/>
          <w:szCs w:val="22"/>
          <w14:ligatures w14:val="none"/>
        </w:rPr>
        <w:t xml:space="preserve">AP 19 - </w:t>
      </w:r>
      <w:r w:rsidR="007E7F21" w:rsidRPr="00AD0FD2">
        <w:rPr>
          <w:kern w:val="0"/>
          <w:sz w:val="24"/>
          <w:szCs w:val="22"/>
          <w14:ligatures w14:val="none"/>
        </w:rPr>
        <w:t xml:space="preserve">Justification for </w:t>
      </w:r>
      <w:r w:rsidR="00B61888" w:rsidRPr="00AD0FD2">
        <w:rPr>
          <w:kern w:val="0"/>
          <w:sz w:val="24"/>
          <w:szCs w:val="22"/>
          <w14:ligatures w14:val="none"/>
        </w:rPr>
        <w:t xml:space="preserve">Dispersed development with a </w:t>
      </w:r>
      <w:r w:rsidR="00FD0024" w:rsidRPr="00AD0FD2">
        <w:rPr>
          <w:kern w:val="0"/>
          <w:sz w:val="24"/>
          <w:szCs w:val="22"/>
          <w14:ligatures w14:val="none"/>
        </w:rPr>
        <w:t>500-dwelling</w:t>
      </w:r>
      <w:r w:rsidR="00B61888" w:rsidRPr="00AD0FD2">
        <w:rPr>
          <w:kern w:val="0"/>
          <w:sz w:val="24"/>
          <w:szCs w:val="22"/>
          <w14:ligatures w14:val="none"/>
        </w:rPr>
        <w:t xml:space="preserve"> cap </w:t>
      </w:r>
    </w:p>
    <w:p w14:paraId="125B6BC4" w14:textId="77777777" w:rsidR="00A82E1B" w:rsidRDefault="00A82E1B" w:rsidP="007E7F21">
      <w:pPr>
        <w:jc w:val="left"/>
      </w:pPr>
    </w:p>
    <w:p w14:paraId="78199094" w14:textId="7D7526B8" w:rsidR="007C6E33" w:rsidRPr="00A35D4D" w:rsidRDefault="00B1347C" w:rsidP="007E7F21">
      <w:pPr>
        <w:jc w:val="left"/>
        <w:rPr>
          <w:kern w:val="2"/>
          <w14:ligatures w14:val="standardContextual"/>
        </w:rPr>
      </w:pPr>
      <w:r w:rsidRPr="00A35D4D">
        <w:t xml:space="preserve">Applying the Council’s agreed Spatial Strategy will deliver distributed and proportionate growth which meets the future housing needs of the District to 2040.  It reflects an approach which seeks to maintain the effectiveness of the Nottingham-Derby Green Belt whilst enabling growth in the most sustainable locations.  </w:t>
      </w:r>
    </w:p>
    <w:p w14:paraId="07E56562" w14:textId="5BE76031" w:rsidR="007E7F21" w:rsidRPr="007E7F21" w:rsidRDefault="00FD0024" w:rsidP="007E7F21">
      <w:pPr>
        <w:jc w:val="left"/>
        <w:rPr>
          <w:kern w:val="2"/>
          <w14:ligatures w14:val="standardContextual"/>
        </w:rPr>
      </w:pPr>
      <w:r>
        <w:rPr>
          <w:kern w:val="2"/>
          <w14:ligatures w14:val="standardContextual"/>
        </w:rPr>
        <w:t xml:space="preserve">As discussed at the hearing sessions, </w:t>
      </w:r>
      <w:r w:rsidR="00AB3965">
        <w:rPr>
          <w:kern w:val="2"/>
          <w14:ligatures w14:val="standardContextual"/>
        </w:rPr>
        <w:t>s</w:t>
      </w:r>
      <w:r w:rsidRPr="007E7F21">
        <w:rPr>
          <w:kern w:val="2"/>
          <w14:ligatures w14:val="standardContextual"/>
        </w:rPr>
        <w:t>mall to moderate size site</w:t>
      </w:r>
      <w:r w:rsidRPr="007E7F21">
        <w:rPr>
          <w:color w:val="FF0000"/>
          <w:kern w:val="2"/>
          <w14:ligatures w14:val="standardContextual"/>
        </w:rPr>
        <w:t xml:space="preserve"> </w:t>
      </w:r>
      <w:r w:rsidRPr="007E7F21">
        <w:rPr>
          <w:color w:val="000000" w:themeColor="text1"/>
          <w:kern w:val="2"/>
          <w14:ligatures w14:val="standardContextual"/>
        </w:rPr>
        <w:t xml:space="preserve">allocations </w:t>
      </w:r>
      <w:r w:rsidR="00A35D4D">
        <w:rPr>
          <w:color w:val="000000" w:themeColor="text1"/>
          <w:kern w:val="2"/>
          <w14:ligatures w14:val="standardContextual"/>
        </w:rPr>
        <w:t xml:space="preserve">will </w:t>
      </w:r>
      <w:r w:rsidR="007E7F21" w:rsidRPr="007E7F21">
        <w:rPr>
          <w:color w:val="000000" w:themeColor="text1"/>
          <w:kern w:val="2"/>
          <w14:ligatures w14:val="standardContextual"/>
        </w:rPr>
        <w:t xml:space="preserve">facilitate the </w:t>
      </w:r>
      <w:r w:rsidR="007E7F21" w:rsidRPr="007E7F21">
        <w:rPr>
          <w:kern w:val="2"/>
          <w14:ligatures w14:val="standardContextual"/>
        </w:rPr>
        <w:t xml:space="preserve">distribution of development to existing settlements across Ashfield District </w:t>
      </w:r>
      <w:r>
        <w:rPr>
          <w:kern w:val="2"/>
          <w14:ligatures w14:val="standardContextual"/>
        </w:rPr>
        <w:t>and will</w:t>
      </w:r>
      <w:r w:rsidR="007E7F21" w:rsidRPr="007E7F21">
        <w:rPr>
          <w:kern w:val="2"/>
          <w14:ligatures w14:val="standardContextual"/>
        </w:rPr>
        <w:t>:</w:t>
      </w:r>
    </w:p>
    <w:p w14:paraId="066F0C37" w14:textId="6A0ECCA8" w:rsidR="007E7F21" w:rsidRDefault="007E7F21" w:rsidP="007E7F21">
      <w:pPr>
        <w:numPr>
          <w:ilvl w:val="0"/>
          <w:numId w:val="2"/>
        </w:numPr>
        <w:contextualSpacing/>
        <w:jc w:val="left"/>
        <w:rPr>
          <w:kern w:val="2"/>
          <w14:ligatures w14:val="standardContextual"/>
        </w:rPr>
      </w:pPr>
      <w:r w:rsidRPr="007E7F21">
        <w:rPr>
          <w:kern w:val="2"/>
          <w14:ligatures w14:val="standardContextual"/>
        </w:rPr>
        <w:t>meet local needs (BP.01 para 2.21</w:t>
      </w:r>
      <w:proofErr w:type="gramStart"/>
      <w:r w:rsidRPr="007E7F21">
        <w:rPr>
          <w:kern w:val="2"/>
          <w14:ligatures w14:val="standardContextual"/>
        </w:rPr>
        <w:t>)</w:t>
      </w:r>
      <w:r w:rsidR="00B1347C">
        <w:rPr>
          <w:kern w:val="2"/>
          <w14:ligatures w14:val="standardContextual"/>
        </w:rPr>
        <w:t>;</w:t>
      </w:r>
      <w:proofErr w:type="gramEnd"/>
    </w:p>
    <w:p w14:paraId="450677E5" w14:textId="7B11A86F" w:rsidR="00C04D6C" w:rsidRPr="00453169" w:rsidRDefault="00C04D6C" w:rsidP="007E7F21">
      <w:pPr>
        <w:numPr>
          <w:ilvl w:val="0"/>
          <w:numId w:val="2"/>
        </w:numPr>
        <w:contextualSpacing/>
        <w:jc w:val="left"/>
        <w:rPr>
          <w:kern w:val="2"/>
          <w14:ligatures w14:val="standardContextual"/>
        </w:rPr>
      </w:pPr>
      <w:r w:rsidRPr="00453169">
        <w:rPr>
          <w:kern w:val="2"/>
          <w14:ligatures w14:val="standardContextual"/>
        </w:rPr>
        <w:t>support existing services and community facilities;</w:t>
      </w:r>
    </w:p>
    <w:p w14:paraId="6D344284" w14:textId="54CE3933" w:rsidR="007E7F21" w:rsidRPr="007E7F21" w:rsidRDefault="007E7F21" w:rsidP="007E7F21">
      <w:pPr>
        <w:numPr>
          <w:ilvl w:val="0"/>
          <w:numId w:val="2"/>
        </w:numPr>
        <w:contextualSpacing/>
        <w:jc w:val="left"/>
        <w:rPr>
          <w:kern w:val="2"/>
          <w14:ligatures w14:val="standardContextual"/>
        </w:rPr>
      </w:pPr>
      <w:r w:rsidRPr="007E7F21">
        <w:rPr>
          <w:kern w:val="2"/>
          <w14:ligatures w14:val="standardContextual"/>
        </w:rPr>
        <w:t>provide infrastructure to support the sustainability of settlements</w:t>
      </w:r>
      <w:r w:rsidR="00B1347C">
        <w:rPr>
          <w:kern w:val="2"/>
          <w14:ligatures w14:val="standardContextual"/>
        </w:rPr>
        <w:t>;</w:t>
      </w:r>
    </w:p>
    <w:p w14:paraId="08E8A610" w14:textId="06753026" w:rsidR="007E7F21" w:rsidRPr="007E7F21" w:rsidRDefault="007E7F21" w:rsidP="007E7F21">
      <w:pPr>
        <w:numPr>
          <w:ilvl w:val="0"/>
          <w:numId w:val="2"/>
        </w:numPr>
        <w:contextualSpacing/>
        <w:jc w:val="left"/>
        <w:rPr>
          <w:kern w:val="2"/>
          <w14:ligatures w14:val="standardContextual"/>
        </w:rPr>
      </w:pPr>
      <w:r w:rsidRPr="007E7F21">
        <w:rPr>
          <w:kern w:val="2"/>
          <w14:ligatures w14:val="standardContextual"/>
        </w:rPr>
        <w:t>avoid disproportionate growth in any one area. (BP.01 para 2.26</w:t>
      </w:r>
      <w:proofErr w:type="gramStart"/>
      <w:r w:rsidRPr="007E7F21">
        <w:rPr>
          <w:kern w:val="2"/>
          <w14:ligatures w14:val="standardContextual"/>
        </w:rPr>
        <w:t>)</w:t>
      </w:r>
      <w:r w:rsidR="00B1347C">
        <w:rPr>
          <w:kern w:val="2"/>
          <w14:ligatures w14:val="standardContextual"/>
        </w:rPr>
        <w:t>;</w:t>
      </w:r>
      <w:proofErr w:type="gramEnd"/>
    </w:p>
    <w:p w14:paraId="60375AB3" w14:textId="6FF2DB01" w:rsidR="007E7F21" w:rsidRDefault="007E7F21" w:rsidP="007E7F21">
      <w:pPr>
        <w:numPr>
          <w:ilvl w:val="0"/>
          <w:numId w:val="2"/>
        </w:numPr>
        <w:contextualSpacing/>
        <w:rPr>
          <w:kern w:val="2"/>
          <w14:ligatures w14:val="standardContextual"/>
        </w:rPr>
      </w:pPr>
      <w:r w:rsidRPr="007E7F21">
        <w:rPr>
          <w:kern w:val="2"/>
          <w14:ligatures w14:val="standardContextual"/>
        </w:rPr>
        <w:t>ensure an integrated approach to considering the location of housing in relation to economic uses and community facilities and services. (Para 93 of the NPPF)</w:t>
      </w:r>
      <w:r w:rsidR="004162AE">
        <w:rPr>
          <w:kern w:val="2"/>
          <w14:ligatures w14:val="standardContextual"/>
        </w:rPr>
        <w:t>.</w:t>
      </w:r>
    </w:p>
    <w:p w14:paraId="428D9EB9" w14:textId="77777777" w:rsidR="00B1347C" w:rsidRDefault="00B1347C" w:rsidP="00B1347C">
      <w:pPr>
        <w:contextualSpacing/>
        <w:rPr>
          <w:kern w:val="2"/>
          <w14:ligatures w14:val="standardContextual"/>
        </w:rPr>
      </w:pPr>
    </w:p>
    <w:p w14:paraId="07D65464" w14:textId="65B3C4AE" w:rsidR="00B1347C" w:rsidRPr="007E7F21" w:rsidRDefault="00B1347C" w:rsidP="00B1347C">
      <w:pPr>
        <w:contextualSpacing/>
        <w:jc w:val="left"/>
        <w:rPr>
          <w:kern w:val="2"/>
          <w14:ligatures w14:val="standardContextual"/>
        </w:rPr>
      </w:pPr>
      <w:r w:rsidRPr="00A35D4D">
        <w:rPr>
          <w:kern w:val="2"/>
          <w14:ligatures w14:val="standardContextual"/>
        </w:rPr>
        <w:t xml:space="preserve">The Council’s response to Qu. 3.1.1 [HS 3.1a] demonstrates that </w:t>
      </w:r>
      <w:r w:rsidRPr="00A35D4D">
        <w:t xml:space="preserve">future housing development remains consistent with the settlement hierarchy. In addition, despite the slightly higher planned growth in the north of the District, it is considered that </w:t>
      </w:r>
      <w:r w:rsidR="00A35D4D">
        <w:t>the level of proposed housing</w:t>
      </w:r>
      <w:r w:rsidRPr="00A35D4D">
        <w:t xml:space="preserve"> remains broadly comparable with the distribution of the existing population across the District</w:t>
      </w:r>
      <w:r w:rsidR="00A35D4D">
        <w:t>,</w:t>
      </w:r>
      <w:r w:rsidRPr="00A35D4D">
        <w:t xml:space="preserve"> and at a scale which is appropriate to existing settlements.</w:t>
      </w:r>
    </w:p>
    <w:p w14:paraId="772B5EA7" w14:textId="77777777" w:rsidR="00FD0024" w:rsidRDefault="00FD0024" w:rsidP="00B1347C">
      <w:pPr>
        <w:spacing w:after="0" w:line="240" w:lineRule="auto"/>
        <w:jc w:val="left"/>
        <w:rPr>
          <w:kern w:val="2"/>
          <w14:ligatures w14:val="standardContextual"/>
        </w:rPr>
      </w:pPr>
    </w:p>
    <w:p w14:paraId="4C3ED865" w14:textId="342D1146" w:rsidR="00EE5337" w:rsidRDefault="00B1347C" w:rsidP="00B1347C">
      <w:pPr>
        <w:spacing w:after="0" w:line="240" w:lineRule="auto"/>
        <w:jc w:val="left"/>
        <w:rPr>
          <w:kern w:val="2"/>
          <w14:ligatures w14:val="standardContextual"/>
        </w:rPr>
      </w:pPr>
      <w:r>
        <w:rPr>
          <w:kern w:val="2"/>
          <w14:ligatures w14:val="standardContextual"/>
        </w:rPr>
        <w:t>In d</w:t>
      </w:r>
      <w:r w:rsidR="007E7F21" w:rsidRPr="007E7F21">
        <w:rPr>
          <w:kern w:val="2"/>
          <w14:ligatures w14:val="standardContextual"/>
        </w:rPr>
        <w:t xml:space="preserve">istributing </w:t>
      </w:r>
      <w:r>
        <w:rPr>
          <w:kern w:val="2"/>
          <w14:ligatures w14:val="standardContextual"/>
        </w:rPr>
        <w:t xml:space="preserve">future </w:t>
      </w:r>
      <w:r w:rsidR="007E7F21" w:rsidRPr="007E7F21">
        <w:rPr>
          <w:kern w:val="2"/>
          <w14:ligatures w14:val="standardContextual"/>
        </w:rPr>
        <w:t>housing</w:t>
      </w:r>
      <w:r>
        <w:rPr>
          <w:kern w:val="2"/>
          <w14:ligatures w14:val="standardContextual"/>
        </w:rPr>
        <w:t xml:space="preserve"> </w:t>
      </w:r>
      <w:r w:rsidR="00A35D4D">
        <w:rPr>
          <w:kern w:val="2"/>
          <w14:ligatures w14:val="standardContextual"/>
        </w:rPr>
        <w:t>development</w:t>
      </w:r>
      <w:r w:rsidR="007E7F21" w:rsidRPr="007E7F21">
        <w:rPr>
          <w:kern w:val="2"/>
          <w14:ligatures w14:val="standardContextual"/>
        </w:rPr>
        <w:t xml:space="preserve"> over a large number of small </w:t>
      </w:r>
      <w:r w:rsidR="00AB3965">
        <w:rPr>
          <w:kern w:val="2"/>
          <w14:ligatures w14:val="standardContextual"/>
        </w:rPr>
        <w:t xml:space="preserve">to moderate </w:t>
      </w:r>
      <w:r w:rsidR="007E7F21" w:rsidRPr="007E7F21">
        <w:rPr>
          <w:kern w:val="2"/>
          <w14:ligatures w14:val="standardContextual"/>
        </w:rPr>
        <w:t>sites</w:t>
      </w:r>
      <w:r>
        <w:rPr>
          <w:kern w:val="2"/>
          <w14:ligatures w14:val="standardContextual"/>
        </w:rPr>
        <w:t xml:space="preserve">, </w:t>
      </w:r>
      <w:r w:rsidR="00EE5337">
        <w:rPr>
          <w:kern w:val="2"/>
          <w14:ligatures w14:val="standardContextual"/>
        </w:rPr>
        <w:t xml:space="preserve">as opposed to focussing on few strategic sized sites, </w:t>
      </w:r>
      <w:r>
        <w:rPr>
          <w:kern w:val="2"/>
          <w14:ligatures w14:val="standardContextual"/>
        </w:rPr>
        <w:t>the Council are</w:t>
      </w:r>
      <w:r w:rsidR="007E7F21" w:rsidRPr="007E7F21">
        <w:rPr>
          <w:kern w:val="2"/>
          <w14:ligatures w14:val="standardContextual"/>
        </w:rPr>
        <w:t xml:space="preserve">: </w:t>
      </w:r>
    </w:p>
    <w:p w14:paraId="6C96CA57" w14:textId="678DF6B8" w:rsidR="007E7F21" w:rsidRPr="007E7F21" w:rsidRDefault="007E7F21" w:rsidP="00B1347C">
      <w:pPr>
        <w:spacing w:after="0" w:line="240" w:lineRule="auto"/>
        <w:jc w:val="left"/>
        <w:rPr>
          <w:strike/>
          <w:kern w:val="2"/>
          <w14:ligatures w14:val="standardContextual"/>
        </w:rPr>
      </w:pPr>
      <w:r w:rsidRPr="007E7F21">
        <w:rPr>
          <w:strike/>
          <w:kern w:val="2"/>
          <w14:ligatures w14:val="standardContextual"/>
        </w:rPr>
        <w:t xml:space="preserve"> </w:t>
      </w:r>
    </w:p>
    <w:p w14:paraId="6FDD6DFA" w14:textId="5D44B6F3" w:rsidR="007E7F21" w:rsidRPr="007E7F21" w:rsidRDefault="007E7F21" w:rsidP="007E7F21">
      <w:pPr>
        <w:numPr>
          <w:ilvl w:val="0"/>
          <w:numId w:val="3"/>
        </w:numPr>
        <w:contextualSpacing/>
        <w:jc w:val="left"/>
        <w:rPr>
          <w:kern w:val="2"/>
          <w14:ligatures w14:val="standardContextual"/>
        </w:rPr>
      </w:pPr>
      <w:r w:rsidRPr="007E7F21">
        <w:rPr>
          <w:kern w:val="2"/>
          <w14:ligatures w14:val="standardContextual"/>
        </w:rPr>
        <w:t>minimis</w:t>
      </w:r>
      <w:r w:rsidR="00B1347C">
        <w:rPr>
          <w:kern w:val="2"/>
          <w14:ligatures w14:val="standardContextual"/>
        </w:rPr>
        <w:t>ing</w:t>
      </w:r>
      <w:r w:rsidRPr="007E7F21">
        <w:rPr>
          <w:kern w:val="2"/>
          <w14:ligatures w14:val="standardContextual"/>
        </w:rPr>
        <w:t xml:space="preserve"> the risk of slow or non-delivery due to unforeseen circumstances stalling any particular site</w:t>
      </w:r>
      <w:r w:rsidR="00B1347C">
        <w:rPr>
          <w:kern w:val="2"/>
          <w14:ligatures w14:val="standardContextual"/>
        </w:rPr>
        <w:t>; and</w:t>
      </w:r>
    </w:p>
    <w:p w14:paraId="2CB5DC4F" w14:textId="55E3EC96" w:rsidR="00094227" w:rsidRPr="00094227" w:rsidRDefault="007E7F21" w:rsidP="00094227">
      <w:pPr>
        <w:numPr>
          <w:ilvl w:val="0"/>
          <w:numId w:val="1"/>
        </w:numPr>
        <w:contextualSpacing/>
        <w:jc w:val="left"/>
        <w:rPr>
          <w:kern w:val="2"/>
          <w14:ligatures w14:val="standardContextual"/>
        </w:rPr>
      </w:pPr>
      <w:r w:rsidRPr="00094227">
        <w:rPr>
          <w:kern w:val="2"/>
          <w14:ligatures w14:val="standardContextual"/>
        </w:rPr>
        <w:t>enabl</w:t>
      </w:r>
      <w:r w:rsidR="00B1347C" w:rsidRPr="00094227">
        <w:rPr>
          <w:kern w:val="2"/>
          <w14:ligatures w14:val="standardContextual"/>
        </w:rPr>
        <w:t>ing</w:t>
      </w:r>
      <w:r w:rsidRPr="00094227">
        <w:rPr>
          <w:kern w:val="2"/>
          <w14:ligatures w14:val="standardContextual"/>
        </w:rPr>
        <w:t xml:space="preserve"> delivery within a timely manner to meet annual requirements, right from the start of the Local Plan period.  </w:t>
      </w:r>
      <w:r w:rsidR="00FD0024" w:rsidRPr="00FD0024">
        <w:rPr>
          <w:kern w:val="2"/>
          <w14:ligatures w14:val="standardContextual"/>
        </w:rPr>
        <w:t xml:space="preserve">The Council’s </w:t>
      </w:r>
      <w:r w:rsidRPr="00FD0024">
        <w:rPr>
          <w:kern w:val="2"/>
          <w14:ligatures w14:val="standardContextual"/>
        </w:rPr>
        <w:t xml:space="preserve">experience of large sites is that they can have viability issues / </w:t>
      </w:r>
      <w:r w:rsidR="00FD0024">
        <w:rPr>
          <w:kern w:val="2"/>
          <w14:ligatures w14:val="standardContextual"/>
        </w:rPr>
        <w:t xml:space="preserve">be </w:t>
      </w:r>
      <w:r w:rsidRPr="00FD0024">
        <w:rPr>
          <w:kern w:val="2"/>
          <w14:ligatures w14:val="standardContextual"/>
        </w:rPr>
        <w:t>more difficult to deliver.</w:t>
      </w:r>
      <w:r w:rsidR="00094227" w:rsidRPr="00094227">
        <w:t xml:space="preserve"> </w:t>
      </w:r>
    </w:p>
    <w:p w14:paraId="1CD11220" w14:textId="513A8038" w:rsidR="007E7F21" w:rsidRPr="00FD0024" w:rsidRDefault="00094227" w:rsidP="00094227">
      <w:pPr>
        <w:numPr>
          <w:ilvl w:val="0"/>
          <w:numId w:val="1"/>
        </w:numPr>
        <w:contextualSpacing/>
        <w:jc w:val="left"/>
        <w:rPr>
          <w:kern w:val="2"/>
          <w14:ligatures w14:val="standardContextual"/>
        </w:rPr>
      </w:pPr>
      <w:r w:rsidRPr="00FD0024">
        <w:t xml:space="preserve">Supporting opportunities for </w:t>
      </w:r>
      <w:r w:rsidRPr="00FD0024">
        <w:rPr>
          <w:kern w:val="2"/>
          <w14:ligatures w14:val="standardContextual"/>
        </w:rPr>
        <w:t>SMEs (small and medium-sized enterprises), as small to medium sized sites are primarily built out by SME housebuilders and tend to be built out more quickly – in this respect, the current Government consultation on the Draft NPPF proposes greater emphasis on providing future housing development on sites with a yield less than 50 dwellings.</w:t>
      </w:r>
    </w:p>
    <w:p w14:paraId="6CF2705C" w14:textId="77777777" w:rsidR="004162AE" w:rsidRDefault="004162AE" w:rsidP="007E7F21">
      <w:pPr>
        <w:jc w:val="left"/>
        <w:rPr>
          <w:kern w:val="2"/>
          <w14:ligatures w14:val="standardContextual"/>
        </w:rPr>
      </w:pPr>
    </w:p>
    <w:p w14:paraId="1BB1044F" w14:textId="4780F7BE" w:rsidR="007E7F21" w:rsidRPr="007E7F21" w:rsidRDefault="007E7F21" w:rsidP="007E7F21">
      <w:pPr>
        <w:jc w:val="left"/>
        <w:rPr>
          <w:kern w:val="2"/>
          <w14:ligatures w14:val="standardContextual"/>
        </w:rPr>
      </w:pPr>
      <w:r w:rsidRPr="007E7F21">
        <w:rPr>
          <w:kern w:val="2"/>
          <w14:ligatures w14:val="standardContextual"/>
        </w:rPr>
        <w:t xml:space="preserve">Small to moderate sized sites are widely acknowledged to deliver earlier than their larger counterparts. Indeed, Lichfield’s study </w:t>
      </w:r>
      <w:hyperlink r:id="rId5" w:history="1">
        <w:r w:rsidRPr="007E7F21">
          <w:rPr>
            <w:color w:val="467886"/>
            <w:kern w:val="2"/>
            <w:u w:val="single"/>
            <w14:ligatures w14:val="standardContextual"/>
          </w:rPr>
          <w:t>‘Start to Finish’ Second Edition 2020</w:t>
        </w:r>
      </w:hyperlink>
      <w:r w:rsidRPr="007E7F21">
        <w:rPr>
          <w:kern w:val="2"/>
          <w14:ligatures w14:val="standardContextual"/>
        </w:rPr>
        <w:t xml:space="preserve"> identifies that:</w:t>
      </w:r>
    </w:p>
    <w:p w14:paraId="70FF0464" w14:textId="77777777" w:rsidR="007E7F21" w:rsidRPr="007E7F21" w:rsidRDefault="007E7F21" w:rsidP="007E7F21">
      <w:pPr>
        <w:ind w:left="720"/>
        <w:jc w:val="left"/>
        <w:rPr>
          <w:i/>
          <w:iCs/>
          <w:kern w:val="2"/>
          <w14:ligatures w14:val="standardContextual"/>
        </w:rPr>
      </w:pPr>
      <w:r w:rsidRPr="007E7F21">
        <w:rPr>
          <w:i/>
          <w:iCs/>
          <w:kern w:val="2"/>
          <w14:ligatures w14:val="standardContextual"/>
        </w:rPr>
        <w:t xml:space="preserve">“Only sites of fewer than 499 dwellings are on average likely to deliver </w:t>
      </w:r>
      <w:r w:rsidRPr="007E7F21">
        <w:rPr>
          <w:i/>
          <w:iCs/>
          <w:kern w:val="2"/>
          <w:u w:val="single"/>
          <w14:ligatures w14:val="standardContextual"/>
        </w:rPr>
        <w:t>any</w:t>
      </w:r>
      <w:r w:rsidRPr="007E7F21">
        <w:rPr>
          <w:i/>
          <w:iCs/>
          <w:kern w:val="2"/>
          <w14:ligatures w14:val="standardContextual"/>
        </w:rPr>
        <w:t xml:space="preserve"> homes within an immediate five-year period”. </w:t>
      </w:r>
    </w:p>
    <w:p w14:paraId="02586B4A" w14:textId="77777777" w:rsidR="007E7F21" w:rsidRPr="007E7F21" w:rsidRDefault="007E7F21" w:rsidP="007E7F21">
      <w:pPr>
        <w:jc w:val="left"/>
        <w:rPr>
          <w:kern w:val="2"/>
          <w14:ligatures w14:val="standardContextual"/>
        </w:rPr>
      </w:pPr>
      <w:r w:rsidRPr="007E7F21">
        <w:rPr>
          <w:kern w:val="2"/>
          <w14:ligatures w14:val="standardContextual"/>
        </w:rPr>
        <w:t xml:space="preserve">The updated </w:t>
      </w:r>
      <w:hyperlink r:id="rId6" w:history="1">
        <w:r w:rsidRPr="007E7F21">
          <w:rPr>
            <w:color w:val="467886"/>
            <w:kern w:val="2"/>
            <w:u w:val="single"/>
            <w14:ligatures w14:val="standardContextual"/>
          </w:rPr>
          <w:t>Third Edition report 2024</w:t>
        </w:r>
      </w:hyperlink>
      <w:r w:rsidRPr="007E7F21">
        <w:rPr>
          <w:kern w:val="2"/>
          <w14:ligatures w14:val="standardContextual"/>
        </w:rPr>
        <w:t xml:space="preserve"> states this remains the case and the average lead-in time for sites over 500 dwellings will lie outside an immediate five-year period for land supply calculations. </w:t>
      </w:r>
    </w:p>
    <w:p w14:paraId="1518AC35" w14:textId="77777777" w:rsidR="007E7F21" w:rsidRPr="007E7F21" w:rsidRDefault="007E7F21" w:rsidP="007E7F21">
      <w:pPr>
        <w:jc w:val="left"/>
        <w:rPr>
          <w:kern w:val="2"/>
          <w14:ligatures w14:val="standardContextual"/>
        </w:rPr>
      </w:pPr>
      <w:r w:rsidRPr="007E7F21">
        <w:rPr>
          <w:kern w:val="2"/>
          <w14:ligatures w14:val="standardContextual"/>
        </w:rPr>
        <w:lastRenderedPageBreak/>
        <w:t xml:space="preserve">The report also notes that sites over 500 dwellings on average take longer to secure planning permission than smaller sites. The </w:t>
      </w:r>
      <w:hyperlink r:id="rId7" w:history="1">
        <w:r w:rsidRPr="007E7F21">
          <w:rPr>
            <w:color w:val="467886"/>
            <w:kern w:val="2"/>
            <w:u w:val="single"/>
            <w14:ligatures w14:val="standardContextual"/>
          </w:rPr>
          <w:t>‘How long is a piece of string?’</w:t>
        </w:r>
      </w:hyperlink>
      <w:r w:rsidRPr="007E7F21">
        <w:rPr>
          <w:kern w:val="2"/>
          <w14:ligatures w14:val="standardContextual"/>
        </w:rPr>
        <w:t xml:space="preserve"> report by Lichfields found that:</w:t>
      </w:r>
    </w:p>
    <w:p w14:paraId="6E933B2E" w14:textId="77777777" w:rsidR="007E7F21" w:rsidRPr="007E7F21" w:rsidRDefault="007E7F21" w:rsidP="007E7F21">
      <w:pPr>
        <w:jc w:val="left"/>
        <w:rPr>
          <w:kern w:val="2"/>
          <w14:ligatures w14:val="standardContextual"/>
        </w:rPr>
      </w:pPr>
      <w:r w:rsidRPr="007E7F21">
        <w:rPr>
          <w:i/>
          <w:iCs/>
          <w:kern w:val="2"/>
          <w14:ligatures w14:val="standardContextual"/>
        </w:rPr>
        <w:t>‘’Over the course of a decade, average timescales for determining a major outline application have increased by a year and four months, while the volume of decisions is a third of what it was.</w:t>
      </w:r>
      <w:r w:rsidRPr="007E7F21">
        <w:rPr>
          <w:kern w:val="2"/>
          <w14:ligatures w14:val="standardContextual"/>
        </w:rPr>
        <w:t xml:space="preserve"> </w:t>
      </w:r>
      <w:r w:rsidRPr="007E7F21">
        <w:rPr>
          <w:i/>
          <w:iCs/>
          <w:kern w:val="2"/>
          <w14:ligatures w14:val="standardContextual"/>
        </w:rPr>
        <w:t>The number of submitted applications has fallen by three quarters and in 2024 averaged just two per LPA.’’</w:t>
      </w:r>
    </w:p>
    <w:p w14:paraId="215240F5" w14:textId="27AAA20C" w:rsidR="007E7F21" w:rsidRPr="007E7F21" w:rsidRDefault="007E7F21" w:rsidP="007E7F21">
      <w:pPr>
        <w:jc w:val="left"/>
        <w:rPr>
          <w:kern w:val="2"/>
          <w14:ligatures w14:val="standardContextual"/>
        </w:rPr>
      </w:pPr>
      <w:r w:rsidRPr="007E7F21">
        <w:rPr>
          <w:kern w:val="2"/>
          <w14:ligatures w14:val="standardContextual"/>
        </w:rPr>
        <w:t xml:space="preserve">This </w:t>
      </w:r>
      <w:r w:rsidR="00FD0024">
        <w:rPr>
          <w:kern w:val="2"/>
          <w14:ligatures w14:val="standardContextual"/>
        </w:rPr>
        <w:t xml:space="preserve">conclusion </w:t>
      </w:r>
      <w:r w:rsidRPr="007E7F21">
        <w:rPr>
          <w:kern w:val="2"/>
          <w14:ligatures w14:val="standardContextual"/>
        </w:rPr>
        <w:t>helps to avoid some of the issues with relying on a smaller number of larger sites, which may experience significant delays due to a combination of factors.</w:t>
      </w:r>
    </w:p>
    <w:p w14:paraId="6B92CA8C" w14:textId="3916E80D" w:rsidR="007E7F21" w:rsidRPr="007E7F21" w:rsidRDefault="007E7F21" w:rsidP="007E7F21">
      <w:pPr>
        <w:jc w:val="left"/>
        <w:rPr>
          <w:kern w:val="2"/>
          <w14:ligatures w14:val="standardContextual"/>
        </w:rPr>
      </w:pPr>
      <w:r w:rsidRPr="007E7F21">
        <w:rPr>
          <w:kern w:val="2"/>
          <w14:ligatures w14:val="standardContextual"/>
        </w:rPr>
        <w:t xml:space="preserve">With this in mind, it is clear </w:t>
      </w:r>
      <w:r w:rsidR="00FA56BE" w:rsidRPr="007E7F21">
        <w:rPr>
          <w:kern w:val="2"/>
          <w14:ligatures w14:val="standardContextual"/>
        </w:rPr>
        <w:t>focussing</w:t>
      </w:r>
      <w:r w:rsidRPr="007E7F21">
        <w:rPr>
          <w:kern w:val="2"/>
          <w14:ligatures w14:val="standardContextual"/>
        </w:rPr>
        <w:t xml:space="preserve"> development on small to moderate site allocations will front load the development opportunities within the Local Plan period. The rationale for this is based on providing a wide choice of sites in the shorter term to kick start housebuilding, as remains the Government’s aim. Lichfield’s report ‘Taking Stock’ 2021 set out that:</w:t>
      </w:r>
    </w:p>
    <w:p w14:paraId="79714B00" w14:textId="77777777" w:rsidR="007E7F21" w:rsidRPr="007E7F21" w:rsidRDefault="007E7F21" w:rsidP="007E7F21">
      <w:pPr>
        <w:ind w:left="426"/>
        <w:jc w:val="left"/>
        <w:rPr>
          <w:i/>
          <w:iCs/>
          <w:kern w:val="2"/>
          <w14:ligatures w14:val="standardContextual"/>
        </w:rPr>
      </w:pPr>
      <w:r w:rsidRPr="007E7F21">
        <w:rPr>
          <w:i/>
          <w:iCs/>
          <w:kern w:val="2"/>
          <w14:ligatures w14:val="standardContextual"/>
        </w:rPr>
        <w:t>“a rapid step change is needed in the short term in order for 300,000 homes a year to be delivered by the mid-2020s and therefore there is a need to take into account how quickly permissions translate into completions”</w:t>
      </w:r>
    </w:p>
    <w:p w14:paraId="0F6AAD0F" w14:textId="46535DA9" w:rsidR="00C741A8" w:rsidRPr="00153D3C" w:rsidRDefault="00666CEA" w:rsidP="00C741A8">
      <w:pPr>
        <w:jc w:val="left"/>
        <w:rPr>
          <w:kern w:val="2"/>
          <w14:ligatures w14:val="standardContextual"/>
        </w:rPr>
      </w:pPr>
      <w:r w:rsidRPr="00153D3C">
        <w:rPr>
          <w:kern w:val="2"/>
          <w14:ligatures w14:val="standardContextual"/>
        </w:rPr>
        <w:t xml:space="preserve">At the point of progressing the emerging Local Plan through to submission stage, the Council’s approach was supported by </w:t>
      </w:r>
      <w:r w:rsidR="007E7F21" w:rsidRPr="00153D3C">
        <w:rPr>
          <w:kern w:val="2"/>
          <w14:ligatures w14:val="standardContextual"/>
        </w:rPr>
        <w:t xml:space="preserve">Section 4 of </w:t>
      </w:r>
      <w:r w:rsidRPr="00153D3C">
        <w:rPr>
          <w:kern w:val="2"/>
          <w14:ligatures w14:val="standardContextual"/>
        </w:rPr>
        <w:t>Litchfield’s</w:t>
      </w:r>
      <w:r w:rsidR="007E7F21" w:rsidRPr="00153D3C">
        <w:rPr>
          <w:kern w:val="2"/>
          <w14:ligatures w14:val="standardContextual"/>
        </w:rPr>
        <w:t xml:space="preserve"> ‘Start to Finish’ </w:t>
      </w:r>
      <w:r w:rsidRPr="00153D3C">
        <w:rPr>
          <w:kern w:val="2"/>
          <w14:ligatures w14:val="standardContextual"/>
        </w:rPr>
        <w:t xml:space="preserve">2020 </w:t>
      </w:r>
      <w:r w:rsidR="007E7F21" w:rsidRPr="00153D3C">
        <w:rPr>
          <w:kern w:val="2"/>
          <w14:ligatures w14:val="standardContextual"/>
        </w:rPr>
        <w:t>report</w:t>
      </w:r>
      <w:r w:rsidRPr="00153D3C">
        <w:rPr>
          <w:kern w:val="2"/>
          <w14:ligatures w14:val="standardContextual"/>
        </w:rPr>
        <w:t xml:space="preserve">. This </w:t>
      </w:r>
      <w:r w:rsidR="007E7F21" w:rsidRPr="00153D3C">
        <w:rPr>
          <w:kern w:val="2"/>
          <w14:ligatures w14:val="standardContextual"/>
        </w:rPr>
        <w:t>analysed build out rates across a range of sites of varying size, finding average rates of 55 dwellings per annum (dpa) for sites between 100-499 dwellings, and 68 dpa for sites of 500-999 dwellings. Although the outcomes are not locally specific to Ashfield, they d</w:t>
      </w:r>
      <w:r w:rsidR="00153D3C">
        <w:rPr>
          <w:kern w:val="2"/>
          <w14:ligatures w14:val="standardContextual"/>
        </w:rPr>
        <w:t>id</w:t>
      </w:r>
      <w:r w:rsidR="007E7F21" w:rsidRPr="00153D3C">
        <w:rPr>
          <w:kern w:val="2"/>
          <w14:ligatures w14:val="standardContextual"/>
        </w:rPr>
        <w:t xml:space="preserve"> demonstrate the influence of site size on delivery. </w:t>
      </w:r>
      <w:r w:rsidR="00661E0F" w:rsidRPr="00153D3C">
        <w:rPr>
          <w:kern w:val="2"/>
          <w14:ligatures w14:val="standardContextual"/>
        </w:rPr>
        <w:t>T</w:t>
      </w:r>
      <w:r w:rsidR="007E7F21" w:rsidRPr="00153D3C">
        <w:rPr>
          <w:kern w:val="2"/>
          <w14:ligatures w14:val="standardContextual"/>
        </w:rPr>
        <w:t xml:space="preserve">his data </w:t>
      </w:r>
      <w:r w:rsidR="00661E0F" w:rsidRPr="00153D3C">
        <w:rPr>
          <w:kern w:val="2"/>
          <w14:ligatures w14:val="standardContextual"/>
        </w:rPr>
        <w:t xml:space="preserve">can be applied </w:t>
      </w:r>
      <w:r w:rsidR="007E7F21" w:rsidRPr="00153D3C">
        <w:rPr>
          <w:kern w:val="2"/>
          <w14:ligatures w14:val="standardContextual"/>
        </w:rPr>
        <w:t xml:space="preserve">very </w:t>
      </w:r>
      <w:r w:rsidR="00661E0F" w:rsidRPr="00153D3C">
        <w:rPr>
          <w:kern w:val="2"/>
          <w14:ligatures w14:val="standardContextual"/>
        </w:rPr>
        <w:t>broadly</w:t>
      </w:r>
      <w:r w:rsidR="007E7F21" w:rsidRPr="00153D3C">
        <w:rPr>
          <w:kern w:val="2"/>
          <w14:ligatures w14:val="standardContextual"/>
        </w:rPr>
        <w:t xml:space="preserve"> to a hypothetical situation for instance:</w:t>
      </w:r>
    </w:p>
    <w:p w14:paraId="50377E9A" w14:textId="4BF3806D" w:rsidR="007E7F21" w:rsidRPr="00153D3C" w:rsidRDefault="00C741A8" w:rsidP="00C741A8">
      <w:pPr>
        <w:ind w:firstLine="426"/>
        <w:jc w:val="left"/>
        <w:rPr>
          <w:kern w:val="2"/>
          <w14:ligatures w14:val="standardContextual"/>
        </w:rPr>
      </w:pPr>
      <w:r w:rsidRPr="00153D3C">
        <w:rPr>
          <w:kern w:val="2"/>
          <w14:ligatures w14:val="standardContextual"/>
        </w:rPr>
        <w:t>A</w:t>
      </w:r>
      <w:r w:rsidR="007E7F21" w:rsidRPr="00153D3C">
        <w:rPr>
          <w:kern w:val="2"/>
          <w14:ligatures w14:val="standardContextual"/>
        </w:rPr>
        <w:t>n overall need for 5,000 new homes</w:t>
      </w:r>
      <w:r w:rsidRPr="00153D3C">
        <w:rPr>
          <w:kern w:val="2"/>
          <w14:ligatures w14:val="standardContextual"/>
        </w:rPr>
        <w:t>,</w:t>
      </w:r>
      <w:r w:rsidR="007E7F21" w:rsidRPr="00153D3C">
        <w:rPr>
          <w:kern w:val="2"/>
          <w14:ligatures w14:val="standardContextual"/>
        </w:rPr>
        <w:t xml:space="preserve"> delivered as follows:</w:t>
      </w:r>
    </w:p>
    <w:tbl>
      <w:tblPr>
        <w:tblStyle w:val="TableGrid"/>
        <w:tblW w:w="0" w:type="auto"/>
        <w:tblInd w:w="426" w:type="dxa"/>
        <w:tblLook w:val="04A0" w:firstRow="1" w:lastRow="0" w:firstColumn="1" w:lastColumn="0" w:noHBand="0" w:noVBand="1"/>
      </w:tblPr>
      <w:tblGrid>
        <w:gridCol w:w="2121"/>
        <w:gridCol w:w="2268"/>
        <w:gridCol w:w="2126"/>
        <w:gridCol w:w="2801"/>
      </w:tblGrid>
      <w:tr w:rsidR="007E7F21" w:rsidRPr="00153D3C" w14:paraId="6709225B" w14:textId="77777777" w:rsidTr="00475028">
        <w:tc>
          <w:tcPr>
            <w:tcW w:w="2121" w:type="dxa"/>
            <w:shd w:val="clear" w:color="auto" w:fill="D9D9D9" w:themeFill="background1" w:themeFillShade="D9"/>
          </w:tcPr>
          <w:p w14:paraId="7C00BFB2" w14:textId="77777777" w:rsidR="007E7F21" w:rsidRPr="00153D3C" w:rsidRDefault="007E7F21" w:rsidP="007E7F21">
            <w:pPr>
              <w:jc w:val="left"/>
              <w:rPr>
                <w:kern w:val="2"/>
                <w14:ligatures w14:val="standardContextual"/>
              </w:rPr>
            </w:pPr>
            <w:r w:rsidRPr="00153D3C">
              <w:rPr>
                <w:kern w:val="2"/>
                <w14:ligatures w14:val="standardContextual"/>
              </w:rPr>
              <w:t>Site Size</w:t>
            </w:r>
          </w:p>
        </w:tc>
        <w:tc>
          <w:tcPr>
            <w:tcW w:w="2268" w:type="dxa"/>
            <w:shd w:val="clear" w:color="auto" w:fill="D9D9D9" w:themeFill="background1" w:themeFillShade="D9"/>
          </w:tcPr>
          <w:p w14:paraId="43C70321" w14:textId="77777777" w:rsidR="007E7F21" w:rsidRPr="00153D3C" w:rsidRDefault="007E7F21" w:rsidP="007E7F21">
            <w:pPr>
              <w:jc w:val="left"/>
              <w:rPr>
                <w:kern w:val="2"/>
                <w14:ligatures w14:val="standardContextual"/>
              </w:rPr>
            </w:pPr>
            <w:r w:rsidRPr="00153D3C">
              <w:rPr>
                <w:kern w:val="2"/>
                <w14:ligatures w14:val="standardContextual"/>
              </w:rPr>
              <w:t>Number of sites required to deliver need</w:t>
            </w:r>
          </w:p>
        </w:tc>
        <w:tc>
          <w:tcPr>
            <w:tcW w:w="2126" w:type="dxa"/>
            <w:shd w:val="clear" w:color="auto" w:fill="D9D9D9" w:themeFill="background1" w:themeFillShade="D9"/>
          </w:tcPr>
          <w:p w14:paraId="44CFDF61" w14:textId="77777777" w:rsidR="007E7F21" w:rsidRPr="00153D3C" w:rsidRDefault="007E7F21" w:rsidP="007E7F21">
            <w:pPr>
              <w:jc w:val="left"/>
              <w:rPr>
                <w:kern w:val="2"/>
                <w14:ligatures w14:val="standardContextual"/>
              </w:rPr>
            </w:pPr>
            <w:r w:rsidRPr="00153D3C">
              <w:rPr>
                <w:kern w:val="2"/>
                <w14:ligatures w14:val="standardContextual"/>
              </w:rPr>
              <w:t>x Average build-out rate (Litchfield)</w:t>
            </w:r>
          </w:p>
        </w:tc>
        <w:tc>
          <w:tcPr>
            <w:tcW w:w="2801" w:type="dxa"/>
            <w:shd w:val="clear" w:color="auto" w:fill="D9D9D9" w:themeFill="background1" w:themeFillShade="D9"/>
          </w:tcPr>
          <w:p w14:paraId="75B976A2" w14:textId="77777777" w:rsidR="007E7F21" w:rsidRPr="00153D3C" w:rsidRDefault="007E7F21" w:rsidP="007E7F21">
            <w:pPr>
              <w:jc w:val="left"/>
              <w:rPr>
                <w:kern w:val="2"/>
                <w14:ligatures w14:val="standardContextual"/>
              </w:rPr>
            </w:pPr>
            <w:r w:rsidRPr="00153D3C">
              <w:rPr>
                <w:kern w:val="2"/>
                <w14:ligatures w14:val="standardContextual"/>
              </w:rPr>
              <w:t>Total Delivery per annum</w:t>
            </w:r>
          </w:p>
        </w:tc>
      </w:tr>
      <w:tr w:rsidR="007E7F21" w:rsidRPr="00153D3C" w14:paraId="0DCCF9B5" w14:textId="77777777" w:rsidTr="00475028">
        <w:trPr>
          <w:trHeight w:val="537"/>
        </w:trPr>
        <w:tc>
          <w:tcPr>
            <w:tcW w:w="2121" w:type="dxa"/>
          </w:tcPr>
          <w:p w14:paraId="6477E07D" w14:textId="77777777" w:rsidR="007E7F21" w:rsidRPr="00153D3C" w:rsidRDefault="007E7F21" w:rsidP="007E7F21">
            <w:pPr>
              <w:jc w:val="left"/>
              <w:rPr>
                <w:kern w:val="2"/>
                <w14:ligatures w14:val="standardContextual"/>
              </w:rPr>
            </w:pPr>
            <w:r w:rsidRPr="00153D3C">
              <w:rPr>
                <w:kern w:val="2"/>
                <w14:ligatures w14:val="standardContextual"/>
              </w:rPr>
              <w:t>100 dwellings</w:t>
            </w:r>
          </w:p>
        </w:tc>
        <w:tc>
          <w:tcPr>
            <w:tcW w:w="2268" w:type="dxa"/>
          </w:tcPr>
          <w:p w14:paraId="65EBF6AC" w14:textId="77777777" w:rsidR="007E7F21" w:rsidRPr="00153D3C" w:rsidRDefault="007E7F21" w:rsidP="007E7F21">
            <w:pPr>
              <w:jc w:val="left"/>
              <w:rPr>
                <w:kern w:val="2"/>
                <w14:ligatures w14:val="standardContextual"/>
              </w:rPr>
            </w:pPr>
            <w:r w:rsidRPr="00153D3C">
              <w:rPr>
                <w:kern w:val="2"/>
                <w14:ligatures w14:val="standardContextual"/>
              </w:rPr>
              <w:t>50</w:t>
            </w:r>
          </w:p>
        </w:tc>
        <w:tc>
          <w:tcPr>
            <w:tcW w:w="2126" w:type="dxa"/>
          </w:tcPr>
          <w:p w14:paraId="28630777" w14:textId="77777777" w:rsidR="007E7F21" w:rsidRPr="00153D3C" w:rsidRDefault="007E7F21" w:rsidP="007E7F21">
            <w:pPr>
              <w:jc w:val="left"/>
              <w:rPr>
                <w:kern w:val="2"/>
                <w14:ligatures w14:val="standardContextual"/>
              </w:rPr>
            </w:pPr>
            <w:r w:rsidRPr="00153D3C">
              <w:rPr>
                <w:kern w:val="2"/>
                <w14:ligatures w14:val="standardContextual"/>
              </w:rPr>
              <w:t>55 dpa</w:t>
            </w:r>
          </w:p>
        </w:tc>
        <w:tc>
          <w:tcPr>
            <w:tcW w:w="2801" w:type="dxa"/>
          </w:tcPr>
          <w:p w14:paraId="7A22380B" w14:textId="77777777" w:rsidR="007E7F21" w:rsidRPr="00153D3C" w:rsidRDefault="007E7F21" w:rsidP="007E7F21">
            <w:pPr>
              <w:jc w:val="left"/>
              <w:rPr>
                <w:kern w:val="2"/>
                <w14:ligatures w14:val="standardContextual"/>
              </w:rPr>
            </w:pPr>
            <w:r w:rsidRPr="00153D3C">
              <w:rPr>
                <w:kern w:val="2"/>
                <w14:ligatures w14:val="standardContextual"/>
              </w:rPr>
              <w:t>2750 dpa</w:t>
            </w:r>
          </w:p>
        </w:tc>
      </w:tr>
      <w:tr w:rsidR="007E7F21" w:rsidRPr="00153D3C" w14:paraId="376984F1" w14:textId="77777777" w:rsidTr="00475028">
        <w:tc>
          <w:tcPr>
            <w:tcW w:w="2121" w:type="dxa"/>
          </w:tcPr>
          <w:p w14:paraId="0B94440A" w14:textId="77777777" w:rsidR="007E7F21" w:rsidRPr="00153D3C" w:rsidRDefault="007E7F21" w:rsidP="007E7F21">
            <w:pPr>
              <w:jc w:val="left"/>
              <w:rPr>
                <w:kern w:val="2"/>
                <w14:ligatures w14:val="standardContextual"/>
              </w:rPr>
            </w:pPr>
            <w:r w:rsidRPr="00153D3C">
              <w:rPr>
                <w:kern w:val="2"/>
                <w14:ligatures w14:val="standardContextual"/>
              </w:rPr>
              <w:t>500 dwellings</w:t>
            </w:r>
          </w:p>
        </w:tc>
        <w:tc>
          <w:tcPr>
            <w:tcW w:w="2268" w:type="dxa"/>
          </w:tcPr>
          <w:p w14:paraId="5202D859" w14:textId="77777777" w:rsidR="007E7F21" w:rsidRPr="00153D3C" w:rsidRDefault="007E7F21" w:rsidP="007E7F21">
            <w:pPr>
              <w:jc w:val="left"/>
              <w:rPr>
                <w:kern w:val="2"/>
                <w14:ligatures w14:val="standardContextual"/>
              </w:rPr>
            </w:pPr>
            <w:r w:rsidRPr="00153D3C">
              <w:rPr>
                <w:kern w:val="2"/>
                <w14:ligatures w14:val="standardContextual"/>
              </w:rPr>
              <w:t xml:space="preserve">10 </w:t>
            </w:r>
          </w:p>
        </w:tc>
        <w:tc>
          <w:tcPr>
            <w:tcW w:w="2126" w:type="dxa"/>
          </w:tcPr>
          <w:p w14:paraId="5232A852" w14:textId="77777777" w:rsidR="007E7F21" w:rsidRPr="00153D3C" w:rsidRDefault="007E7F21" w:rsidP="007E7F21">
            <w:pPr>
              <w:jc w:val="left"/>
              <w:rPr>
                <w:kern w:val="2"/>
                <w14:ligatures w14:val="standardContextual"/>
              </w:rPr>
            </w:pPr>
            <w:r w:rsidRPr="00153D3C">
              <w:rPr>
                <w:kern w:val="2"/>
                <w14:ligatures w14:val="standardContextual"/>
              </w:rPr>
              <w:t>68 dpa</w:t>
            </w:r>
          </w:p>
          <w:p w14:paraId="7C703165" w14:textId="77777777" w:rsidR="007E7F21" w:rsidRPr="00153D3C" w:rsidRDefault="007E7F21" w:rsidP="007E7F21">
            <w:pPr>
              <w:jc w:val="left"/>
              <w:rPr>
                <w:kern w:val="2"/>
                <w14:ligatures w14:val="standardContextual"/>
              </w:rPr>
            </w:pPr>
          </w:p>
        </w:tc>
        <w:tc>
          <w:tcPr>
            <w:tcW w:w="2801" w:type="dxa"/>
          </w:tcPr>
          <w:p w14:paraId="7723E733" w14:textId="77777777" w:rsidR="007E7F21" w:rsidRPr="00153D3C" w:rsidRDefault="007E7F21" w:rsidP="007E7F21">
            <w:pPr>
              <w:jc w:val="left"/>
              <w:rPr>
                <w:kern w:val="2"/>
                <w14:ligatures w14:val="standardContextual"/>
              </w:rPr>
            </w:pPr>
            <w:r w:rsidRPr="00153D3C">
              <w:rPr>
                <w:kern w:val="2"/>
                <w14:ligatures w14:val="standardContextual"/>
              </w:rPr>
              <w:t>680 dpa</w:t>
            </w:r>
          </w:p>
        </w:tc>
      </w:tr>
    </w:tbl>
    <w:p w14:paraId="661DDD4D" w14:textId="77777777" w:rsidR="007E7F21" w:rsidRPr="00153D3C" w:rsidRDefault="007E7F21" w:rsidP="007E7F21">
      <w:pPr>
        <w:jc w:val="left"/>
        <w:rPr>
          <w:kern w:val="2"/>
          <w14:ligatures w14:val="standardContextual"/>
        </w:rPr>
      </w:pPr>
    </w:p>
    <w:p w14:paraId="22BFC551" w14:textId="170B25B3" w:rsidR="007E7F21" w:rsidRPr="007E7F21" w:rsidRDefault="00661E0F" w:rsidP="007E7F21">
      <w:pPr>
        <w:jc w:val="left"/>
        <w:rPr>
          <w:kern w:val="2"/>
          <w14:ligatures w14:val="standardContextual"/>
        </w:rPr>
      </w:pPr>
      <w:r w:rsidRPr="00153D3C">
        <w:rPr>
          <w:kern w:val="2"/>
          <w14:ligatures w14:val="standardContextual"/>
        </w:rPr>
        <w:t>Noting that the above table is a very wide interpretation o</w:t>
      </w:r>
      <w:r w:rsidR="007E7F21" w:rsidRPr="00153D3C">
        <w:rPr>
          <w:kern w:val="2"/>
          <w14:ligatures w14:val="standardContextual"/>
        </w:rPr>
        <w:t>n applying the average build out rates across sites, and in reality, not all sites would come forward at the same point in time</w:t>
      </w:r>
      <w:r w:rsidR="00153D3C">
        <w:rPr>
          <w:kern w:val="2"/>
          <w14:ligatures w14:val="standardContextual"/>
        </w:rPr>
        <w:t>,</w:t>
      </w:r>
      <w:r w:rsidR="007E7F21" w:rsidRPr="00153D3C">
        <w:rPr>
          <w:kern w:val="2"/>
          <w14:ligatures w14:val="standardContextual"/>
        </w:rPr>
        <w:t xml:space="preserve"> it does demonstrate the effect that site size can have on the speed of delivery.</w:t>
      </w:r>
      <w:r w:rsidR="007E7F21" w:rsidRPr="007E7F21">
        <w:rPr>
          <w:kern w:val="2"/>
          <w14:ligatures w14:val="standardContextual"/>
        </w:rPr>
        <w:t xml:space="preserve"> </w:t>
      </w:r>
    </w:p>
    <w:p w14:paraId="32016EF2" w14:textId="77777777" w:rsidR="007E7F21" w:rsidRPr="007E7F21" w:rsidRDefault="007E7F21" w:rsidP="007E7F21">
      <w:pPr>
        <w:jc w:val="left"/>
        <w:rPr>
          <w:kern w:val="2"/>
          <w14:ligatures w14:val="standardContextual"/>
        </w:rPr>
      </w:pPr>
      <w:r w:rsidRPr="007E7F21">
        <w:rPr>
          <w:kern w:val="2"/>
          <w14:ligatures w14:val="standardContextual"/>
        </w:rPr>
        <w:t xml:space="preserve">This is key to supporting the Government’s aim of reaching 300,000 new homes per year which is currently behind target. </w:t>
      </w:r>
      <w:hyperlink r:id="rId8" w:history="1">
        <w:r w:rsidRPr="007E7F21">
          <w:rPr>
            <w:color w:val="467886"/>
            <w:kern w:val="2"/>
            <w:u w:val="single"/>
            <w14:ligatures w14:val="standardContextual"/>
          </w:rPr>
          <w:t>Savills’ Land Matters Report 2024</w:t>
        </w:r>
      </w:hyperlink>
      <w:r w:rsidRPr="007E7F21">
        <w:rPr>
          <w:kern w:val="2"/>
          <w14:ligatures w14:val="standardContextual"/>
        </w:rPr>
        <w:t xml:space="preserve"> concluded that to significantly boost the housing supply in England and achieve the Government’s aim of 1.5 million homes, 1 million of these would need to come from sites of less than 250 plots. The report went on to recommend that:</w:t>
      </w:r>
    </w:p>
    <w:p w14:paraId="7C0A0E6E" w14:textId="77777777" w:rsidR="007E7F21" w:rsidRPr="007E7F21" w:rsidRDefault="007E7F21" w:rsidP="007E7F21">
      <w:pPr>
        <w:jc w:val="left"/>
        <w:rPr>
          <w:kern w:val="2"/>
          <w14:ligatures w14:val="standardContextual"/>
        </w:rPr>
      </w:pPr>
      <w:r w:rsidRPr="007E7F21">
        <w:rPr>
          <w:i/>
          <w:iCs/>
          <w:kern w:val="2"/>
          <w14:ligatures w14:val="standardContextual"/>
        </w:rPr>
        <w:t xml:space="preserve">‘’Local planning authorities should be actively creating opportunities for smaller housebuilders in their areas through the allocation of smaller sites. This would boost </w:t>
      </w:r>
      <w:r w:rsidRPr="007E7F21">
        <w:rPr>
          <w:i/>
          <w:iCs/>
          <w:kern w:val="2"/>
          <w14:ligatures w14:val="standardContextual"/>
        </w:rPr>
        <w:lastRenderedPageBreak/>
        <w:t>housing delivery, start to reverse the decline in smaller builders (regional housebuilders, SMEs and new entrants), and increase competition in the housebuilding sector.’’</w:t>
      </w:r>
    </w:p>
    <w:p w14:paraId="0BBA07D9" w14:textId="16237647" w:rsidR="007E7F21" w:rsidRPr="007E7F21" w:rsidRDefault="007E7F21" w:rsidP="007E7F21">
      <w:pPr>
        <w:jc w:val="left"/>
        <w:rPr>
          <w:b/>
          <w:bCs/>
          <w:kern w:val="2"/>
          <w14:ligatures w14:val="standardContextual"/>
        </w:rPr>
      </w:pPr>
      <w:r w:rsidRPr="007E7F21">
        <w:rPr>
          <w:kern w:val="2"/>
          <w14:ligatures w14:val="standardContextual"/>
        </w:rPr>
        <w:t>The approach on supporting small sites</w:t>
      </w:r>
      <w:r w:rsidR="00666CEA">
        <w:rPr>
          <w:kern w:val="2"/>
          <w14:ligatures w14:val="standardContextual"/>
        </w:rPr>
        <w:t xml:space="preserve"> is also</w:t>
      </w:r>
      <w:r w:rsidRPr="007E7F21">
        <w:rPr>
          <w:kern w:val="2"/>
          <w14:ligatures w14:val="standardContextual"/>
        </w:rPr>
        <w:t xml:space="preserve"> in line with government aims as set out in the working paper </w:t>
      </w:r>
      <w:hyperlink r:id="rId9" w:history="1">
        <w:r w:rsidRPr="007E7F21">
          <w:rPr>
            <w:color w:val="467886"/>
            <w:kern w:val="2"/>
            <w:u w:val="single"/>
            <w14:ligatures w14:val="standardContextual"/>
          </w:rPr>
          <w:t>Speeding Up Build Out (May 2025),</w:t>
        </w:r>
      </w:hyperlink>
      <w:r w:rsidRPr="007E7F21">
        <w:rPr>
          <w:kern w:val="2"/>
          <w14:ligatures w14:val="standardContextual"/>
        </w:rPr>
        <w:t xml:space="preserve"> which outlines the benefits of utilising small sites and encourages LPA’s to support their delivery.</w:t>
      </w:r>
    </w:p>
    <w:p w14:paraId="4DCBECFC" w14:textId="77777777" w:rsidR="00733ABD" w:rsidRDefault="00733ABD"/>
    <w:sectPr w:rsidR="00733ABD" w:rsidSect="00BD4241">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30578"/>
    <w:multiLevelType w:val="hybridMultilevel"/>
    <w:tmpl w:val="A462F0F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10944D5"/>
    <w:multiLevelType w:val="hybridMultilevel"/>
    <w:tmpl w:val="B052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7F4605"/>
    <w:multiLevelType w:val="hybridMultilevel"/>
    <w:tmpl w:val="722EC3A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3711778">
    <w:abstractNumId w:val="1"/>
  </w:num>
  <w:num w:numId="2" w16cid:durableId="1589076542">
    <w:abstractNumId w:val="2"/>
  </w:num>
  <w:num w:numId="3" w16cid:durableId="15796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21"/>
    <w:rsid w:val="00002EF7"/>
    <w:rsid w:val="00094227"/>
    <w:rsid w:val="00153D3C"/>
    <w:rsid w:val="001C19A9"/>
    <w:rsid w:val="00256533"/>
    <w:rsid w:val="003B7E49"/>
    <w:rsid w:val="004162AE"/>
    <w:rsid w:val="00453169"/>
    <w:rsid w:val="004A4E26"/>
    <w:rsid w:val="004E2C9F"/>
    <w:rsid w:val="00512776"/>
    <w:rsid w:val="006000CE"/>
    <w:rsid w:val="00661E0F"/>
    <w:rsid w:val="00666CEA"/>
    <w:rsid w:val="006B37C5"/>
    <w:rsid w:val="00733ABD"/>
    <w:rsid w:val="007839B3"/>
    <w:rsid w:val="007C6E33"/>
    <w:rsid w:val="007E6998"/>
    <w:rsid w:val="007E7F21"/>
    <w:rsid w:val="009145AC"/>
    <w:rsid w:val="00946AC7"/>
    <w:rsid w:val="009F39EA"/>
    <w:rsid w:val="00A35D4D"/>
    <w:rsid w:val="00A5346B"/>
    <w:rsid w:val="00A82E1B"/>
    <w:rsid w:val="00AB3965"/>
    <w:rsid w:val="00AB43F2"/>
    <w:rsid w:val="00AD0FD2"/>
    <w:rsid w:val="00B1347C"/>
    <w:rsid w:val="00B34457"/>
    <w:rsid w:val="00B61888"/>
    <w:rsid w:val="00BD4241"/>
    <w:rsid w:val="00C04D6C"/>
    <w:rsid w:val="00C67FA9"/>
    <w:rsid w:val="00C741A8"/>
    <w:rsid w:val="00D13408"/>
    <w:rsid w:val="00DB2132"/>
    <w:rsid w:val="00EE5337"/>
    <w:rsid w:val="00F12388"/>
    <w:rsid w:val="00FA56BE"/>
    <w:rsid w:val="00FD0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CE80"/>
  <w15:chartTrackingRefBased/>
  <w15:docId w15:val="{16B0053D-05D7-43ED-8C4A-C8AE8D1B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41"/>
    <w:rPr>
      <w:rFonts w:ascii="Arial" w:hAnsi="Arial"/>
      <w:kern w:val="0"/>
      <w:sz w:val="24"/>
      <w14:ligatures w14:val="none"/>
    </w:rPr>
  </w:style>
  <w:style w:type="paragraph" w:styleId="Heading1">
    <w:name w:val="heading 1"/>
    <w:basedOn w:val="Normal"/>
    <w:next w:val="Normal"/>
    <w:link w:val="Heading1Char"/>
    <w:uiPriority w:val="9"/>
    <w:qFormat/>
    <w:rsid w:val="00BD4241"/>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BD4241"/>
    <w:pPr>
      <w:keepNext/>
      <w:keepLines/>
      <w:spacing w:before="120"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7E7F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7E7F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7E7F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41"/>
    <w:rPr>
      <w:rFonts w:ascii="Arial" w:eastAsiaTheme="majorEastAsia" w:hAnsi="Arial" w:cstheme="majorBidi"/>
      <w:b/>
      <w:bCs/>
      <w:caps/>
      <w:spacing w:val="4"/>
      <w:sz w:val="28"/>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7C6E33"/>
    <w:pPr>
      <w:jc w:val="left"/>
    </w:pPr>
    <w:rPr>
      <w:b/>
      <w:bCs/>
      <w:kern w:val="2"/>
      <w:sz w:val="28"/>
      <w:szCs w:val="28"/>
      <w14:ligatures w14:val="standardContextual"/>
    </w:rPr>
  </w:style>
  <w:style w:type="character" w:customStyle="1" w:styleId="TitleChar">
    <w:name w:val="Title Char"/>
    <w:basedOn w:val="DefaultParagraphFont"/>
    <w:link w:val="Title"/>
    <w:uiPriority w:val="10"/>
    <w:rsid w:val="007C6E33"/>
    <w:rPr>
      <w:rFonts w:ascii="Arial" w:hAnsi="Arial"/>
      <w:b/>
      <w:bCs/>
      <w:sz w:val="28"/>
      <w:szCs w:val="2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7E7F21"/>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7E7F21"/>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7E7F21"/>
    <w:rPr>
      <w:rFonts w:eastAsiaTheme="majorEastAsia" w:cstheme="majorBidi"/>
      <w:color w:val="272727" w:themeColor="text1" w:themeTint="D8"/>
      <w:kern w:val="0"/>
      <w:sz w:val="24"/>
      <w14:ligatures w14:val="none"/>
    </w:rPr>
  </w:style>
  <w:style w:type="table" w:styleId="TableGrid">
    <w:name w:val="Table Grid"/>
    <w:basedOn w:val="TableNormal"/>
    <w:uiPriority w:val="39"/>
    <w:rsid w:val="007E7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347C"/>
    <w:rPr>
      <w:sz w:val="16"/>
      <w:szCs w:val="16"/>
    </w:rPr>
  </w:style>
  <w:style w:type="paragraph" w:styleId="CommentText">
    <w:name w:val="annotation text"/>
    <w:basedOn w:val="Normal"/>
    <w:link w:val="CommentTextChar"/>
    <w:uiPriority w:val="99"/>
    <w:unhideWhenUsed/>
    <w:rsid w:val="00B1347C"/>
    <w:pPr>
      <w:spacing w:line="240" w:lineRule="auto"/>
    </w:pPr>
    <w:rPr>
      <w:sz w:val="20"/>
      <w:szCs w:val="20"/>
    </w:rPr>
  </w:style>
  <w:style w:type="character" w:customStyle="1" w:styleId="CommentTextChar">
    <w:name w:val="Comment Text Char"/>
    <w:basedOn w:val="DefaultParagraphFont"/>
    <w:link w:val="CommentText"/>
    <w:uiPriority w:val="99"/>
    <w:rsid w:val="00B1347C"/>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1347C"/>
    <w:rPr>
      <w:b/>
      <w:bCs/>
    </w:rPr>
  </w:style>
  <w:style w:type="character" w:customStyle="1" w:styleId="CommentSubjectChar">
    <w:name w:val="Comment Subject Char"/>
    <w:basedOn w:val="CommentTextChar"/>
    <w:link w:val="CommentSubject"/>
    <w:uiPriority w:val="99"/>
    <w:semiHidden/>
    <w:rsid w:val="00B1347C"/>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vills.co.uk/blog/article/369647/residential-property/delivering-1.5-million-homes--understanding-the-development-pipeline.aspx" TargetMode="External"/><Relationship Id="rId3" Type="http://schemas.openxmlformats.org/officeDocument/2006/relationships/settings" Target="settings.xml"/><Relationship Id="rId7" Type="http://schemas.openxmlformats.org/officeDocument/2006/relationships/hyperlink" Target="https://lichfields.uk/content/insights/how-long-is-a-piece-of-st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chfields.uk/content/insights/start-to-finish-3" TargetMode="External"/><Relationship Id="rId11" Type="http://schemas.openxmlformats.org/officeDocument/2006/relationships/theme" Target="theme/theme1.xml"/><Relationship Id="rId5" Type="http://schemas.openxmlformats.org/officeDocument/2006/relationships/hyperlink" Target="https://lichfields.uk/content/insights/start-to-finis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planning-reform-working-paper-speeding-up-build-out/planning-reform-working-paper-speeding-up-build-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976</Words>
  <Characters>5178</Characters>
  <Application>Microsoft Office Word</Application>
  <DocSecurity>0</DocSecurity>
  <Lines>101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Lisa.Furness</dc:creator>
  <cp:keywords/>
  <dc:description/>
  <cp:lastModifiedBy>Darius.Walker</cp:lastModifiedBy>
  <cp:revision>4</cp:revision>
  <cp:lastPrinted>2026-01-21T08:49:00Z</cp:lastPrinted>
  <dcterms:created xsi:type="dcterms:W3CDTF">2026-01-22T08:53:00Z</dcterms:created>
  <dcterms:modified xsi:type="dcterms:W3CDTF">2026-01-22T09:04:00Z</dcterms:modified>
</cp:coreProperties>
</file>