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BDE9" w14:textId="4AB5DDA1" w:rsidR="00841163" w:rsidRDefault="00841163" w:rsidP="00841163">
      <w:pPr>
        <w:pStyle w:val="Heading1"/>
        <w:rPr>
          <w:rFonts w:eastAsia="Times New Roman"/>
        </w:rPr>
      </w:pPr>
      <w:r w:rsidRPr="004657DE">
        <w:rPr>
          <w:rFonts w:eastAsia="Times New Roman"/>
        </w:rPr>
        <w:t>2.3</w:t>
      </w:r>
      <w:r w:rsidRPr="004657DE">
        <w:rPr>
          <w:rFonts w:eastAsia="Times New Roman"/>
        </w:rPr>
        <w:tab/>
        <w:t>Breakdown of stage one complaints/service requests by service area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41"/>
        <w:gridCol w:w="1842"/>
        <w:gridCol w:w="2125"/>
        <w:gridCol w:w="2276"/>
        <w:gridCol w:w="1836"/>
        <w:gridCol w:w="2040"/>
        <w:gridCol w:w="2034"/>
      </w:tblGrid>
      <w:tr w:rsidR="00841163" w14:paraId="56BE5FAE" w14:textId="77777777" w:rsidTr="00841163">
        <w:trPr>
          <w:trHeight w:val="1300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CFD78C" w14:textId="77777777" w:rsidR="00841163" w:rsidRPr="00C83A46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Service Area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8CE774" w14:textId="77777777" w:rsidR="00841163" w:rsidRPr="00C83A46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Number received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692E0" w14:textId="08D5C935" w:rsidR="00841163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Total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</w:t>
            </w: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ays taken from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a</w:t>
            </w: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ck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nowledge</w:t>
            </w: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to res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ponse</w:t>
            </w:r>
          </w:p>
          <w:p w14:paraId="7E9845EC" w14:textId="5EEB4799" w:rsidR="00841163" w:rsidRPr="00C83A46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(target – 10 working days)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71BB05" w14:textId="4DE39488" w:rsidR="00841163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Average time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taken from</w:t>
            </w: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receipt to response</w:t>
            </w:r>
          </w:p>
          <w:p w14:paraId="32BF6772" w14:textId="79DD4A21" w:rsidR="00841163" w:rsidRPr="00C83A46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(total target - 15 working days)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F04BDD" w14:textId="21F8C005" w:rsidR="00841163" w:rsidRPr="00C83A46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Percent</w:t>
            </w: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responded to within target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B5A1D" w14:textId="7BF48BC8" w:rsidR="00841163" w:rsidRPr="00C83A46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Upheld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or </w:t>
            </w: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part upheld complaints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6276A0" w14:textId="6CFDA775" w:rsidR="00841163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Number of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</w:t>
            </w:r>
            <w:r w:rsidRPr="00C83A4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ervice requests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through complaint channels </w:t>
            </w:r>
          </w:p>
          <w:p w14:paraId="36DCFC0D" w14:textId="11081525" w:rsidR="00841163" w:rsidRPr="00C83A46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(Not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omplaints)</w:t>
            </w:r>
          </w:p>
        </w:tc>
      </w:tr>
      <w:tr w:rsidR="00841163" w14:paraId="5B033DC7" w14:textId="77777777" w:rsidTr="00841163">
        <w:trPr>
          <w:trHeight w:val="454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71B2" w14:textId="77777777" w:rsidR="00841163" w:rsidRPr="0087458A" w:rsidRDefault="00841163" w:rsidP="0084116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87458A">
              <w:rPr>
                <w:rFonts w:cs="Arial"/>
                <w:szCs w:val="24"/>
              </w:rPr>
              <w:t>Assets</w:t>
            </w:r>
            <w:r>
              <w:rPr>
                <w:rFonts w:cs="Arial"/>
                <w:szCs w:val="24"/>
              </w:rPr>
              <w:t xml:space="preserve"> (Major Works)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B18D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39AD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67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7850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11.2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866F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83.33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FCFB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30CE9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1</w:t>
            </w:r>
          </w:p>
        </w:tc>
      </w:tr>
      <w:tr w:rsidR="00841163" w14:paraId="5369CD5C" w14:textId="77777777" w:rsidTr="00841163">
        <w:trPr>
          <w:trHeight w:val="454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F427" w14:textId="77777777" w:rsidR="00841163" w:rsidRPr="0087458A" w:rsidRDefault="00841163" w:rsidP="0084116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Community Safety Team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557C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3D4E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95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A936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19.0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4839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20.00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70BF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3884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0</w:t>
            </w:r>
          </w:p>
        </w:tc>
      </w:tr>
      <w:tr w:rsidR="00841163" w14:paraId="5277AE59" w14:textId="77777777" w:rsidTr="00841163">
        <w:trPr>
          <w:trHeight w:val="454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1F1C" w14:textId="77777777" w:rsidR="00841163" w:rsidRPr="0087458A" w:rsidRDefault="00841163" w:rsidP="0084116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cs="Arial"/>
                <w:szCs w:val="24"/>
              </w:rPr>
              <w:t xml:space="preserve">Housing Management 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4318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24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0EC54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360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08B1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15.0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2E4B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83.33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AB5E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18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10DC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12</w:t>
            </w:r>
          </w:p>
        </w:tc>
      </w:tr>
      <w:tr w:rsidR="00841163" w14:paraId="5D958305" w14:textId="77777777" w:rsidTr="00841163">
        <w:trPr>
          <w:trHeight w:val="454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71DC" w14:textId="77777777" w:rsidR="00841163" w:rsidRPr="0087458A" w:rsidRDefault="00841163" w:rsidP="0084116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cs="Arial"/>
                <w:szCs w:val="24"/>
              </w:rPr>
              <w:t>Lettings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E37B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C85C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83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7A17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11.9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AA30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71.43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A124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DAA3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4</w:t>
            </w:r>
          </w:p>
        </w:tc>
      </w:tr>
      <w:tr w:rsidR="00841163" w14:paraId="57511957" w14:textId="77777777" w:rsidTr="00841163">
        <w:trPr>
          <w:trHeight w:val="454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2E8F" w14:textId="2A2B3408" w:rsidR="00841163" w:rsidRPr="0087458A" w:rsidRDefault="00841163" w:rsidP="0084116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cs="Arial"/>
                <w:szCs w:val="24"/>
              </w:rPr>
              <w:t xml:space="preserve">Planned </w:t>
            </w:r>
            <w:r>
              <w:rPr>
                <w:rFonts w:cs="Arial"/>
                <w:szCs w:val="24"/>
              </w:rPr>
              <w:t>and</w:t>
            </w:r>
            <w:r>
              <w:rPr>
                <w:rFonts w:cs="Arial"/>
                <w:szCs w:val="24"/>
              </w:rPr>
              <w:t xml:space="preserve"> Cyclical 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F254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33D8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38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A935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9.5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1186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0F28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4453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3</w:t>
            </w:r>
          </w:p>
        </w:tc>
      </w:tr>
      <w:tr w:rsidR="00841163" w14:paraId="7D7C91A8" w14:textId="77777777" w:rsidTr="00841163">
        <w:trPr>
          <w:trHeight w:val="454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BBD" w14:textId="6BF08577" w:rsidR="00841163" w:rsidRPr="0087458A" w:rsidRDefault="00841163" w:rsidP="00841163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cs="Arial"/>
                <w:szCs w:val="24"/>
              </w:rPr>
              <w:t xml:space="preserve">Responsive Repairs </w:t>
            </w:r>
            <w:r>
              <w:rPr>
                <w:rFonts w:cs="Arial"/>
                <w:szCs w:val="24"/>
              </w:rPr>
              <w:t>and</w:t>
            </w:r>
            <w:r>
              <w:rPr>
                <w:rFonts w:cs="Arial"/>
                <w:szCs w:val="24"/>
              </w:rPr>
              <w:t xml:space="preserve"> Voids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77965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41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FB92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475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EEC1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11.6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0602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95.12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2E6E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18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092B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16</w:t>
            </w:r>
          </w:p>
        </w:tc>
      </w:tr>
      <w:tr w:rsidR="00841163" w14:paraId="72430BDB" w14:textId="77777777" w:rsidTr="00841163">
        <w:trPr>
          <w:trHeight w:val="454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CE79" w14:textId="77777777" w:rsidR="00841163" w:rsidRDefault="00841163" w:rsidP="00841163">
            <w:pPr>
              <w:spacing w:after="0"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Support Services 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B5EC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00E3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59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02B8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7.4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2928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B4FA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C5AA" w14:textId="77777777" w:rsidR="00841163" w:rsidRPr="0087458A" w:rsidRDefault="00841163" w:rsidP="008411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1</w:t>
            </w:r>
          </w:p>
        </w:tc>
      </w:tr>
      <w:tr w:rsidR="00841163" w14:paraId="5F796BC9" w14:textId="77777777" w:rsidTr="00841163">
        <w:trPr>
          <w:trHeight w:val="454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ACF91" w14:textId="77777777" w:rsidR="00841163" w:rsidRPr="00C83A46" w:rsidRDefault="00841163" w:rsidP="00841163">
            <w:pPr>
              <w:spacing w:after="0" w:line="240" w:lineRule="auto"/>
              <w:jc w:val="left"/>
              <w:rPr>
                <w:rFonts w:cs="Arial"/>
                <w:b/>
                <w:bCs/>
                <w:szCs w:val="24"/>
              </w:rPr>
            </w:pPr>
            <w:r w:rsidRPr="00C83A46">
              <w:rPr>
                <w:rFonts w:cs="Arial"/>
                <w:b/>
                <w:bCs/>
                <w:szCs w:val="24"/>
              </w:rPr>
              <w:t xml:space="preserve">Total 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99CA8" w14:textId="77777777" w:rsidR="00841163" w:rsidRPr="00C83A46" w:rsidRDefault="00841163" w:rsidP="0084116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95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BAE9A" w14:textId="77777777" w:rsidR="00841163" w:rsidRPr="00C83A46" w:rsidRDefault="00841163" w:rsidP="0084116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1177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60E0F" w14:textId="77777777" w:rsidR="00841163" w:rsidRPr="00C83A46" w:rsidRDefault="00841163" w:rsidP="0084116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12.4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60D32" w14:textId="77777777" w:rsidR="00841163" w:rsidRPr="00C83A46" w:rsidRDefault="00841163" w:rsidP="0084116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86.32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51667" w14:textId="77777777" w:rsidR="00841163" w:rsidRPr="00C83A46" w:rsidRDefault="00841163" w:rsidP="0084116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91BBA" w14:textId="77777777" w:rsidR="00841163" w:rsidRPr="00C83A46" w:rsidRDefault="00841163" w:rsidP="0084116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37</w:t>
            </w:r>
          </w:p>
        </w:tc>
      </w:tr>
    </w:tbl>
    <w:p w14:paraId="29D5ED20" w14:textId="713943DF" w:rsidR="00733ABD" w:rsidRDefault="00733ABD" w:rsidP="007A7C3A">
      <w:pPr>
        <w:jc w:val="left"/>
      </w:pPr>
    </w:p>
    <w:p w14:paraId="6BA3925D" w14:textId="215DBE1A" w:rsidR="00841163" w:rsidRPr="004657DE" w:rsidRDefault="00841163" w:rsidP="00841163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86</w:t>
      </w:r>
      <w:r>
        <w:rPr>
          <w:rFonts w:eastAsia="Times New Roman" w:cs="Arial"/>
          <w:szCs w:val="24"/>
        </w:rPr>
        <w:t xml:space="preserve"> percent</w:t>
      </w:r>
      <w:r>
        <w:rPr>
          <w:rFonts w:eastAsia="Times New Roman" w:cs="Arial"/>
          <w:szCs w:val="24"/>
        </w:rPr>
        <w:t xml:space="preserve"> of stage one complaints were responded to within Complaint Handling Code guidelines, which is a slight improvement on the previous financial year. 11 or 11.6</w:t>
      </w:r>
      <w:r>
        <w:rPr>
          <w:rFonts w:eastAsia="Times New Roman" w:cs="Arial"/>
          <w:szCs w:val="24"/>
        </w:rPr>
        <w:t xml:space="preserve"> percent</w:t>
      </w:r>
      <w:r>
        <w:rPr>
          <w:rFonts w:eastAsia="Times New Roman" w:cs="Arial"/>
          <w:szCs w:val="24"/>
        </w:rPr>
        <w:t xml:space="preserve"> of the stage one complaints received required an extension to the usual response deadline, as permitted within the Complaint Handling Code. </w:t>
      </w:r>
    </w:p>
    <w:p w14:paraId="7F9EFB1C" w14:textId="77777777" w:rsidR="007A7C3A" w:rsidRDefault="007A7C3A"/>
    <w:sectPr w:rsidR="007A7C3A" w:rsidSect="007A7C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A"/>
    <w:rsid w:val="004667B3"/>
    <w:rsid w:val="004E2CD9"/>
    <w:rsid w:val="00733ABD"/>
    <w:rsid w:val="007A7C3A"/>
    <w:rsid w:val="00836643"/>
    <w:rsid w:val="00841163"/>
    <w:rsid w:val="008574B6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A78"/>
  <w15:chartTrackingRefBased/>
  <w15:docId w15:val="{DE03D667-E9E6-445E-B038-D2759E6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C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7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7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7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A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A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 one - Complaints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2.3	Breakdown of stage one complaints/service requests by service area</dc:title>
  <dc:subject/>
  <dc:creator>Sharon.Simcox</dc:creator>
  <cp:keywords/>
  <dc:description/>
  <cp:lastModifiedBy>Sharon.Simcox</cp:lastModifiedBy>
  <cp:revision>2</cp:revision>
  <dcterms:created xsi:type="dcterms:W3CDTF">2025-09-18T08:46:00Z</dcterms:created>
  <dcterms:modified xsi:type="dcterms:W3CDTF">2025-09-18T08:46:00Z</dcterms:modified>
</cp:coreProperties>
</file>