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78B88" w14:textId="5A2F1622" w:rsidR="004F42C6" w:rsidRDefault="004F42C6" w:rsidP="00A2408B">
      <w:pPr>
        <w:pStyle w:val="Heading1"/>
      </w:pPr>
      <w:r>
        <w:rPr>
          <w:noProof/>
        </w:rPr>
        <w:drawing>
          <wp:inline distT="0" distB="0" distL="0" distR="0" wp14:anchorId="5B710A90" wp14:editId="705F6AD5">
            <wp:extent cx="2571750" cy="1062797"/>
            <wp:effectExtent l="0" t="0" r="0" b="4445"/>
            <wp:docPr id="769767686"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767686" name="Picture 1" descr="A black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1105" cy="1074928"/>
                    </a:xfrm>
                    <a:prstGeom prst="rect">
                      <a:avLst/>
                    </a:prstGeom>
                    <a:noFill/>
                  </pic:spPr>
                </pic:pic>
              </a:graphicData>
            </a:graphic>
          </wp:inline>
        </w:drawing>
      </w:r>
    </w:p>
    <w:p w14:paraId="1B425121" w14:textId="77777777" w:rsidR="004F42C6" w:rsidRDefault="004F42C6" w:rsidP="00A2408B">
      <w:pPr>
        <w:pStyle w:val="Heading1"/>
      </w:pPr>
    </w:p>
    <w:p w14:paraId="663CB249" w14:textId="77777777" w:rsidR="004F42C6" w:rsidRDefault="004F42C6" w:rsidP="00A2408B">
      <w:pPr>
        <w:pStyle w:val="Heading1"/>
      </w:pPr>
    </w:p>
    <w:p w14:paraId="4400D2B1" w14:textId="55A641F2" w:rsidR="008655AA" w:rsidRPr="00A2408B" w:rsidRDefault="008655AA" w:rsidP="00A2408B">
      <w:pPr>
        <w:pStyle w:val="Heading1"/>
      </w:pPr>
      <w:r w:rsidRPr="00A2408B">
        <w:t>Ashfield District Local Plan Examination</w:t>
      </w:r>
    </w:p>
    <w:p w14:paraId="15C3907B" w14:textId="6E9FA4BE" w:rsidR="00733ABD" w:rsidRPr="00A2408B" w:rsidRDefault="008655AA" w:rsidP="00A2408B">
      <w:pPr>
        <w:pStyle w:val="Heading1"/>
      </w:pPr>
      <w:r w:rsidRPr="00A2408B">
        <w:t>Matters, Issues and Questions identified by the Inspectors</w:t>
      </w:r>
      <w:r w:rsidRPr="00A2408B">
        <w:cr/>
      </w:r>
    </w:p>
    <w:p w14:paraId="3572868F" w14:textId="77777777" w:rsidR="008655AA" w:rsidRPr="00A2408B" w:rsidRDefault="008655AA" w:rsidP="00F44426"/>
    <w:p w14:paraId="0BCB4F01" w14:textId="77777777" w:rsidR="008655AA" w:rsidRPr="00A2408B" w:rsidRDefault="008655AA" w:rsidP="00F44426"/>
    <w:p w14:paraId="0FBA1F2D" w14:textId="05FECF10" w:rsidR="008655AA" w:rsidRPr="00A2408B" w:rsidRDefault="008655AA" w:rsidP="00A2408B">
      <w:pPr>
        <w:pStyle w:val="Heading1"/>
      </w:pPr>
      <w:r w:rsidRPr="00A2408B">
        <w:t>Matter</w:t>
      </w:r>
      <w:r w:rsidR="00E76EC3">
        <w:t xml:space="preserve"> 4</w:t>
      </w:r>
      <w:r w:rsidRPr="00A2408B">
        <w:t>:</w:t>
      </w:r>
    </w:p>
    <w:p w14:paraId="2B2B31FD" w14:textId="77777777" w:rsidR="008655AA" w:rsidRDefault="00E76EC3" w:rsidP="008655AA">
      <w:pPr>
        <w:rPr>
          <w:rFonts w:eastAsiaTheme="majorEastAsia" w:cstheme="majorBidi"/>
          <w:b/>
          <w:bCs/>
          <w:spacing w:val="4"/>
          <w:sz w:val="36"/>
          <w:szCs w:val="36"/>
        </w:rPr>
      </w:pPr>
      <w:r w:rsidRPr="00E76EC3">
        <w:rPr>
          <w:rFonts w:eastAsiaTheme="majorEastAsia" w:cstheme="majorBidi"/>
          <w:b/>
          <w:bCs/>
          <w:spacing w:val="4"/>
          <w:sz w:val="36"/>
          <w:szCs w:val="36"/>
        </w:rPr>
        <w:t>Economy, retail, and town centres</w:t>
      </w:r>
    </w:p>
    <w:p w14:paraId="1C7D7BD9" w14:textId="77777777" w:rsidR="004F42C6" w:rsidRDefault="004F42C6" w:rsidP="008655AA">
      <w:pPr>
        <w:rPr>
          <w:rFonts w:eastAsiaTheme="majorEastAsia" w:cstheme="majorBidi"/>
          <w:b/>
          <w:bCs/>
          <w:spacing w:val="4"/>
          <w:sz w:val="36"/>
          <w:szCs w:val="36"/>
        </w:rPr>
      </w:pPr>
    </w:p>
    <w:p w14:paraId="7BD968F3" w14:textId="77777777" w:rsidR="004F42C6" w:rsidRDefault="004F42C6" w:rsidP="008655AA">
      <w:pPr>
        <w:rPr>
          <w:rFonts w:eastAsiaTheme="majorEastAsia" w:cstheme="majorBidi"/>
          <w:b/>
          <w:bCs/>
          <w:spacing w:val="4"/>
          <w:sz w:val="36"/>
          <w:szCs w:val="36"/>
        </w:rPr>
      </w:pPr>
    </w:p>
    <w:p w14:paraId="27DF3ABA" w14:textId="77777777" w:rsidR="004F42C6" w:rsidRDefault="004F42C6" w:rsidP="008655AA">
      <w:pPr>
        <w:rPr>
          <w:rFonts w:eastAsiaTheme="majorEastAsia" w:cstheme="majorBidi"/>
          <w:b/>
          <w:bCs/>
          <w:spacing w:val="4"/>
          <w:sz w:val="36"/>
          <w:szCs w:val="36"/>
        </w:rPr>
      </w:pPr>
    </w:p>
    <w:p w14:paraId="64C24058" w14:textId="77777777" w:rsidR="004F42C6" w:rsidRDefault="004F42C6" w:rsidP="008655AA">
      <w:pPr>
        <w:rPr>
          <w:rFonts w:eastAsiaTheme="majorEastAsia" w:cstheme="majorBidi"/>
          <w:b/>
          <w:bCs/>
          <w:spacing w:val="4"/>
          <w:sz w:val="36"/>
          <w:szCs w:val="36"/>
        </w:rPr>
      </w:pPr>
    </w:p>
    <w:p w14:paraId="17EEEE09" w14:textId="77777777" w:rsidR="004F42C6" w:rsidRDefault="004F42C6" w:rsidP="008655AA">
      <w:pPr>
        <w:rPr>
          <w:rFonts w:eastAsiaTheme="majorEastAsia" w:cstheme="majorBidi"/>
          <w:b/>
          <w:bCs/>
          <w:spacing w:val="4"/>
          <w:sz w:val="36"/>
          <w:szCs w:val="36"/>
        </w:rPr>
      </w:pPr>
    </w:p>
    <w:p w14:paraId="5F4DEDC3" w14:textId="77777777" w:rsidR="004F42C6" w:rsidRDefault="004F42C6" w:rsidP="008655AA">
      <w:pPr>
        <w:rPr>
          <w:rFonts w:eastAsiaTheme="majorEastAsia" w:cstheme="majorBidi"/>
          <w:b/>
          <w:bCs/>
          <w:spacing w:val="4"/>
          <w:sz w:val="36"/>
          <w:szCs w:val="36"/>
        </w:rPr>
      </w:pPr>
    </w:p>
    <w:p w14:paraId="4A31EA57" w14:textId="77777777" w:rsidR="004F42C6" w:rsidRDefault="004F42C6" w:rsidP="008655AA">
      <w:pPr>
        <w:rPr>
          <w:rFonts w:eastAsiaTheme="majorEastAsia" w:cstheme="majorBidi"/>
          <w:b/>
          <w:bCs/>
          <w:spacing w:val="4"/>
          <w:sz w:val="36"/>
          <w:szCs w:val="36"/>
        </w:rPr>
      </w:pPr>
    </w:p>
    <w:p w14:paraId="3D30D867" w14:textId="37C32D1B" w:rsidR="004F42C6" w:rsidRDefault="004F42C6" w:rsidP="004F42C6">
      <w:pPr>
        <w:jc w:val="center"/>
        <w:sectPr w:rsidR="004F42C6" w:rsidSect="00A2408B">
          <w:pgSz w:w="11906" w:h="16838"/>
          <w:pgMar w:top="1440" w:right="2880" w:bottom="1440" w:left="2880"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r>
        <w:rPr>
          <w:rFonts w:eastAsiaTheme="majorEastAsia" w:cstheme="majorBidi"/>
          <w:b/>
          <w:bCs/>
          <w:spacing w:val="4"/>
          <w:sz w:val="36"/>
          <w:szCs w:val="36"/>
        </w:rPr>
        <w:t>December 2024</w:t>
      </w:r>
    </w:p>
    <w:p w14:paraId="46683FD4" w14:textId="77777777" w:rsidR="00D52C4F" w:rsidRPr="00B3397C" w:rsidRDefault="00D52C4F" w:rsidP="00D52C4F">
      <w:pPr>
        <w:spacing w:after="120"/>
        <w:rPr>
          <w:b/>
          <w:bCs/>
          <w:sz w:val="28"/>
          <w:szCs w:val="28"/>
        </w:rPr>
      </w:pPr>
      <w:r w:rsidRPr="00B3397C">
        <w:rPr>
          <w:b/>
          <w:bCs/>
          <w:sz w:val="28"/>
          <w:szCs w:val="28"/>
        </w:rPr>
        <w:lastRenderedPageBreak/>
        <w:t xml:space="preserve">Ashfield District Council’s response to Inspectors’ Document INS03 </w:t>
      </w:r>
    </w:p>
    <w:p w14:paraId="286592DD" w14:textId="77777777" w:rsidR="00D52C4F" w:rsidRDefault="00D52C4F" w:rsidP="00D52C4F">
      <w:pPr>
        <w:spacing w:after="120"/>
      </w:pPr>
    </w:p>
    <w:p w14:paraId="5BC002DF" w14:textId="77777777" w:rsidR="00D52C4F" w:rsidRDefault="00D52C4F" w:rsidP="00D52C4F">
      <w:pPr>
        <w:spacing w:after="120"/>
      </w:pPr>
      <w:r>
        <w:t xml:space="preserve">This document is Ashfield District Council’s response to the Matter, Issues and Questions (MIQs) identified for examination by Inspectors Mr. Philip Mileham and Mr Graham Wyatt, of the Planning Inspectorate, as published on the </w:t>
      </w:r>
      <w:proofErr w:type="gramStart"/>
      <w:r>
        <w:t>30th</w:t>
      </w:r>
      <w:proofErr w:type="gramEnd"/>
      <w:r>
        <w:t xml:space="preserve"> September 2024.  This is one of twelve separate papers produced to address the specific matters and issues identified on the front page.</w:t>
      </w:r>
    </w:p>
    <w:p w14:paraId="703B1600" w14:textId="77777777" w:rsidR="00D52C4F" w:rsidRDefault="00D52C4F" w:rsidP="00D52C4F">
      <w:pPr>
        <w:spacing w:after="120"/>
        <w:jc w:val="left"/>
      </w:pPr>
    </w:p>
    <w:p w14:paraId="25C7FAE8" w14:textId="77777777" w:rsidR="00D52C4F" w:rsidRDefault="00D52C4F" w:rsidP="00D52C4F">
      <w:pPr>
        <w:spacing w:after="120"/>
        <w:jc w:val="left"/>
      </w:pPr>
      <w:r>
        <w:t xml:space="preserve">Each response paper includes </w:t>
      </w:r>
      <w:proofErr w:type="gramStart"/>
      <w:r>
        <w:t>a number of</w:t>
      </w:r>
      <w:proofErr w:type="gramEnd"/>
      <w:r>
        <w:t xml:space="preserve"> references to specific evidence which has been relied upon in answering the MIQs. These reference numbers (shown as </w:t>
      </w:r>
      <w:r w:rsidRPr="0007232D">
        <w:rPr>
          <w:b/>
          <w:bCs/>
        </w:rPr>
        <w:t>[XXXX]</w:t>
      </w:r>
      <w:r>
        <w:t xml:space="preserve">) relate directly to the Examination Library website, where all evidence is published: </w:t>
      </w:r>
      <w:hyperlink r:id="rId9" w:history="1">
        <w:r w:rsidRPr="00AF25C4">
          <w:rPr>
            <w:rStyle w:val="Hyperlink"/>
          </w:rPr>
          <w:t>https://www.ashfield.gov.uk/local-plan-examination/examination-library/</w:t>
        </w:r>
      </w:hyperlink>
    </w:p>
    <w:p w14:paraId="03F16855" w14:textId="77777777" w:rsidR="00D52C4F" w:rsidRDefault="00D52C4F" w:rsidP="00D52C4F"/>
    <w:p w14:paraId="5F3C3462" w14:textId="77777777" w:rsidR="00D52C4F" w:rsidRDefault="00D52C4F" w:rsidP="00D52C4F">
      <w:r>
        <w:t xml:space="preserve">The Inspectors’ questions are shown below in </w:t>
      </w:r>
      <w:r w:rsidRPr="00222B10">
        <w:rPr>
          <w:b/>
          <w:bCs/>
          <w:i/>
          <w:iCs/>
        </w:rPr>
        <w:t>bold italics</w:t>
      </w:r>
      <w:r>
        <w:t xml:space="preserve">. </w:t>
      </w:r>
    </w:p>
    <w:p w14:paraId="23B27396" w14:textId="77777777" w:rsidR="00D52C4F" w:rsidRDefault="00D52C4F" w:rsidP="00D52C4F">
      <w:r>
        <w:t>The Council’s responses are shown in normal typeface below the Inspector’s questions.</w:t>
      </w:r>
    </w:p>
    <w:tbl>
      <w:tblPr>
        <w:tblStyle w:val="TableGrid"/>
        <w:tblW w:w="0" w:type="auto"/>
        <w:tblInd w:w="0" w:type="dxa"/>
        <w:tblLook w:val="04A0" w:firstRow="1" w:lastRow="0" w:firstColumn="1" w:lastColumn="0" w:noHBand="0" w:noVBand="1"/>
      </w:tblPr>
      <w:tblGrid>
        <w:gridCol w:w="9742"/>
      </w:tblGrid>
      <w:tr w:rsidR="00D52C4F" w14:paraId="2D2D1B36" w14:textId="77777777" w:rsidTr="0065202C">
        <w:trPr>
          <w:trHeight w:val="475"/>
        </w:trPr>
        <w:tc>
          <w:tcPr>
            <w:tcW w:w="9742" w:type="dxa"/>
            <w:shd w:val="clear" w:color="auto" w:fill="D9D9D9" w:themeFill="background1" w:themeFillShade="D9"/>
          </w:tcPr>
          <w:p w14:paraId="10090F1F" w14:textId="77777777" w:rsidR="00D52C4F" w:rsidRPr="007F0DDA" w:rsidRDefault="00D52C4F" w:rsidP="0065202C">
            <w:pPr>
              <w:spacing w:after="160"/>
              <w:jc w:val="center"/>
              <w:rPr>
                <w:sz w:val="16"/>
                <w:szCs w:val="16"/>
              </w:rPr>
            </w:pPr>
          </w:p>
          <w:p w14:paraId="4695D2A1" w14:textId="77777777" w:rsidR="00D52C4F" w:rsidRDefault="00D52C4F" w:rsidP="0065202C">
            <w:pPr>
              <w:spacing w:after="160"/>
              <w:jc w:val="center"/>
            </w:pPr>
            <w:r w:rsidRPr="0059588C">
              <w:t>Proposed Modifications</w:t>
            </w:r>
            <w:r>
              <w:t xml:space="preserve"> arising from the Inspectors’ MIQs are set out in grey tint boxes.</w:t>
            </w:r>
          </w:p>
          <w:p w14:paraId="7CBE576E" w14:textId="77777777" w:rsidR="00D52C4F" w:rsidRPr="007F0DDA" w:rsidRDefault="00D52C4F" w:rsidP="0065202C">
            <w:pPr>
              <w:spacing w:after="160"/>
              <w:jc w:val="center"/>
              <w:rPr>
                <w:sz w:val="16"/>
                <w:szCs w:val="16"/>
              </w:rPr>
            </w:pPr>
          </w:p>
        </w:tc>
      </w:tr>
    </w:tbl>
    <w:p w14:paraId="3FF1F96E" w14:textId="77777777" w:rsidR="002709B9" w:rsidRDefault="002709B9">
      <w:pPr>
        <w:rPr>
          <w:rFonts w:eastAsiaTheme="majorEastAsia" w:cstheme="majorBidi"/>
          <w:b/>
          <w:bCs/>
          <w:sz w:val="28"/>
          <w:szCs w:val="28"/>
        </w:rPr>
      </w:pPr>
      <w:r>
        <w:br w:type="page"/>
      </w:r>
    </w:p>
    <w:p w14:paraId="288E5C97" w14:textId="0C4EA3E3" w:rsidR="00E76EC3" w:rsidRDefault="00E76EC3" w:rsidP="00B71673">
      <w:pPr>
        <w:pStyle w:val="Heading2"/>
      </w:pPr>
      <w:r>
        <w:lastRenderedPageBreak/>
        <w:t>Issue</w:t>
      </w:r>
      <w:r w:rsidR="00B71673">
        <w:t xml:space="preserve">: </w:t>
      </w:r>
      <w:r>
        <w:t>Whether the Local Plan has been positively prepared and whether it is justified, effective and</w:t>
      </w:r>
      <w:r w:rsidR="00B71673">
        <w:t xml:space="preserve"> </w:t>
      </w:r>
      <w:r>
        <w:t>consistent with national policy in relation to the economy, retail, and town centres.</w:t>
      </w:r>
    </w:p>
    <w:p w14:paraId="5A853A5C" w14:textId="77777777" w:rsidR="00B71673" w:rsidRDefault="00B71673" w:rsidP="00E76EC3"/>
    <w:p w14:paraId="7F1C8B17" w14:textId="77777777" w:rsidR="002A269E" w:rsidRDefault="00E76EC3" w:rsidP="00B71673">
      <w:pPr>
        <w:pStyle w:val="Heading3"/>
      </w:pPr>
      <w:r>
        <w:t>Relevant policies</w:t>
      </w:r>
      <w:r w:rsidR="002A269E">
        <w:t>:</w:t>
      </w:r>
    </w:p>
    <w:p w14:paraId="2005A8CB" w14:textId="489C3B8D" w:rsidR="002A269E" w:rsidRPr="000117F6" w:rsidRDefault="00E76EC3" w:rsidP="00B71673">
      <w:pPr>
        <w:pStyle w:val="Heading3"/>
      </w:pPr>
      <w:r w:rsidRPr="000117F6">
        <w:t>S11</w:t>
      </w:r>
      <w:r w:rsidR="002C7664" w:rsidRPr="000117F6">
        <w:t xml:space="preserve"> - Vibrant Town Centres</w:t>
      </w:r>
    </w:p>
    <w:p w14:paraId="0E5B4214" w14:textId="4724D92C" w:rsidR="002A269E" w:rsidRPr="000117F6" w:rsidRDefault="00E76EC3" w:rsidP="00B71673">
      <w:pPr>
        <w:pStyle w:val="Heading3"/>
      </w:pPr>
      <w:r w:rsidRPr="000117F6">
        <w:t>SH1</w:t>
      </w:r>
      <w:r w:rsidR="002C7664" w:rsidRPr="000117F6">
        <w:t xml:space="preserve"> - </w:t>
      </w:r>
    </w:p>
    <w:p w14:paraId="16796C7E" w14:textId="77777777" w:rsidR="002A269E" w:rsidRPr="000117F6" w:rsidRDefault="00E76EC3" w:rsidP="00B71673">
      <w:pPr>
        <w:pStyle w:val="Heading3"/>
      </w:pPr>
      <w:r w:rsidRPr="000117F6">
        <w:t>SH2</w:t>
      </w:r>
    </w:p>
    <w:p w14:paraId="1F284EAF" w14:textId="77777777" w:rsidR="002A269E" w:rsidRPr="000117F6" w:rsidRDefault="00E76EC3" w:rsidP="00B71673">
      <w:pPr>
        <w:pStyle w:val="Heading3"/>
      </w:pPr>
      <w:r w:rsidRPr="000117F6">
        <w:t>SH3</w:t>
      </w:r>
    </w:p>
    <w:p w14:paraId="4A71BC96" w14:textId="77777777" w:rsidR="002A269E" w:rsidRPr="000117F6" w:rsidRDefault="00E76EC3" w:rsidP="00B71673">
      <w:pPr>
        <w:pStyle w:val="Heading3"/>
      </w:pPr>
      <w:r w:rsidRPr="000117F6">
        <w:t>EM1</w:t>
      </w:r>
    </w:p>
    <w:p w14:paraId="6676FDE5" w14:textId="77777777" w:rsidR="002A269E" w:rsidRPr="000117F6" w:rsidRDefault="002A269E" w:rsidP="00B71673">
      <w:pPr>
        <w:pStyle w:val="Heading3"/>
      </w:pPr>
      <w:r w:rsidRPr="000117F6">
        <w:t>EM2</w:t>
      </w:r>
    </w:p>
    <w:p w14:paraId="75B8687A" w14:textId="77777777" w:rsidR="002A269E" w:rsidRPr="000117F6" w:rsidRDefault="002A269E" w:rsidP="00B71673">
      <w:pPr>
        <w:pStyle w:val="Heading3"/>
      </w:pPr>
      <w:r w:rsidRPr="000117F6">
        <w:t>EM3</w:t>
      </w:r>
    </w:p>
    <w:p w14:paraId="45B9BFC5" w14:textId="77777777" w:rsidR="002A269E" w:rsidRPr="000117F6" w:rsidRDefault="002A269E" w:rsidP="00B71673">
      <w:pPr>
        <w:pStyle w:val="Heading3"/>
      </w:pPr>
      <w:r w:rsidRPr="000117F6">
        <w:t>EM4</w:t>
      </w:r>
    </w:p>
    <w:p w14:paraId="7882E45E" w14:textId="01FECD0D" w:rsidR="00E76EC3" w:rsidRDefault="00E76EC3" w:rsidP="00B71673">
      <w:pPr>
        <w:pStyle w:val="Heading3"/>
      </w:pPr>
      <w:r w:rsidRPr="000117F6">
        <w:t>EM5</w:t>
      </w:r>
    </w:p>
    <w:p w14:paraId="3002C6AF" w14:textId="77777777" w:rsidR="00B71673" w:rsidRDefault="00B71673" w:rsidP="00E76EC3"/>
    <w:p w14:paraId="57344618" w14:textId="758CE5C3" w:rsidR="00E76EC3" w:rsidRDefault="00E76EC3" w:rsidP="00B71673">
      <w:pPr>
        <w:pStyle w:val="Heading3"/>
      </w:pPr>
      <w:r>
        <w:t>Economy</w:t>
      </w:r>
    </w:p>
    <w:p w14:paraId="2C6A57B9" w14:textId="77777777" w:rsidR="00B71673" w:rsidRDefault="00B71673" w:rsidP="00E76EC3"/>
    <w:p w14:paraId="2E109979" w14:textId="07966E01" w:rsidR="00E76EC3" w:rsidRPr="002A269E" w:rsidRDefault="00E76EC3" w:rsidP="00E76EC3">
      <w:pPr>
        <w:rPr>
          <w:b/>
          <w:bCs/>
          <w:i/>
          <w:iCs/>
        </w:rPr>
      </w:pPr>
      <w:r w:rsidRPr="002A269E">
        <w:rPr>
          <w:b/>
          <w:bCs/>
          <w:i/>
          <w:iCs/>
        </w:rPr>
        <w:t>4.1 How has the amount of employment land identified in the plan been calculated and</w:t>
      </w:r>
      <w:r w:rsidR="002A269E">
        <w:rPr>
          <w:b/>
          <w:bCs/>
          <w:i/>
          <w:iCs/>
        </w:rPr>
        <w:t xml:space="preserve"> </w:t>
      </w:r>
      <w:r w:rsidRPr="002A269E">
        <w:rPr>
          <w:b/>
          <w:bCs/>
          <w:i/>
          <w:iCs/>
        </w:rPr>
        <w:t>is it</w:t>
      </w:r>
      <w:r w:rsidR="002A269E">
        <w:rPr>
          <w:b/>
          <w:bCs/>
          <w:i/>
          <w:iCs/>
        </w:rPr>
        <w:t xml:space="preserve"> </w:t>
      </w:r>
      <w:r w:rsidRPr="002A269E">
        <w:rPr>
          <w:b/>
          <w:bCs/>
          <w:i/>
          <w:iCs/>
        </w:rPr>
        <w:t>justified?</w:t>
      </w:r>
    </w:p>
    <w:p w14:paraId="6725224F" w14:textId="77777777" w:rsidR="00E41DF3" w:rsidRPr="00E41DF3" w:rsidRDefault="00E41DF3" w:rsidP="00E41DF3">
      <w:pPr>
        <w:jc w:val="left"/>
        <w:rPr>
          <w:rFonts w:eastAsia="Aptos" w:cs="Times New Roman"/>
          <w:b/>
          <w:bCs/>
          <w:i/>
          <w:iCs/>
          <w:u w:val="single"/>
        </w:rPr>
      </w:pPr>
      <w:bookmarkStart w:id="0" w:name="_Hlk184206323"/>
      <w:r w:rsidRPr="00E41DF3">
        <w:rPr>
          <w:rFonts w:eastAsia="Aptos" w:cs="Times New Roman"/>
          <w:u w:val="single"/>
        </w:rPr>
        <w:t>Council’s response</w:t>
      </w:r>
      <w:bookmarkEnd w:id="0"/>
    </w:p>
    <w:p w14:paraId="20F7B3C0" w14:textId="5468EF02" w:rsidR="00B10545" w:rsidRPr="00B10545" w:rsidRDefault="00E41DF3" w:rsidP="00E41DF3">
      <w:pPr>
        <w:ind w:left="720" w:hanging="720"/>
        <w:jc w:val="left"/>
        <w:rPr>
          <w:rFonts w:eastAsia="Aptos" w:cs="Times New Roman"/>
        </w:rPr>
      </w:pPr>
      <w:r>
        <w:rPr>
          <w:rFonts w:eastAsia="Aptos" w:cs="Times New Roman"/>
        </w:rPr>
        <w:t>4.1.1</w:t>
      </w:r>
      <w:r>
        <w:rPr>
          <w:rFonts w:eastAsia="Aptos" w:cs="Times New Roman"/>
        </w:rPr>
        <w:tab/>
      </w:r>
      <w:r w:rsidR="00B10545" w:rsidRPr="00B10545">
        <w:rPr>
          <w:rFonts w:eastAsia="Aptos" w:cs="Times New Roman"/>
        </w:rPr>
        <w:t>Strategic Policy S8: Delivering Economic Opportunities identifies an employment land requirement of 81 ha between 2023 and 2040.  This figure is underpinned by evidence contained within documents SEV.27, SEV.28 and BP.03.</w:t>
      </w:r>
    </w:p>
    <w:p w14:paraId="59B798BA" w14:textId="12288678" w:rsidR="00B10545" w:rsidRPr="00B10545" w:rsidRDefault="00E41DF3" w:rsidP="00E41DF3">
      <w:pPr>
        <w:ind w:left="720" w:hanging="720"/>
        <w:jc w:val="left"/>
        <w:rPr>
          <w:rFonts w:eastAsia="Aptos" w:cs="Times New Roman"/>
        </w:rPr>
      </w:pPr>
      <w:r>
        <w:rPr>
          <w:rFonts w:eastAsia="Aptos" w:cs="Times New Roman"/>
        </w:rPr>
        <w:t>4.1.2</w:t>
      </w:r>
      <w:r>
        <w:rPr>
          <w:rFonts w:eastAsia="Aptos" w:cs="Times New Roman"/>
        </w:rPr>
        <w:tab/>
      </w:r>
      <w:r w:rsidR="00B10545" w:rsidRPr="00B10545">
        <w:rPr>
          <w:rFonts w:eastAsia="Aptos" w:cs="Times New Roman"/>
        </w:rPr>
        <w:t>In 2021 Lichfields produced an Employment Land Needs Study [ELNS, ref: SEV.28] covering the Nottingham Core HMA and Nottingha</w:t>
      </w:r>
      <w:r w:rsidR="00B10545" w:rsidRPr="00B10545">
        <w:rPr>
          <w:rFonts w:eastAsia="Aptos" w:cs="Times New Roman"/>
          <w:szCs w:val="21"/>
        </w:rPr>
        <w:t>m</w:t>
      </w:r>
      <w:r w:rsidR="00B10545" w:rsidRPr="00B10545">
        <w:rPr>
          <w:rFonts w:eastAsia="Aptos" w:cs="Times New Roman"/>
        </w:rPr>
        <w:t xml:space="preserve"> Outer HMA, which assessed the future economic development needs of eight authorities (including Ashfield District Council [ADC]) up to 2038.  The purpose of SEV.28 was to provide the Commissioning authorities with an understanding of the current and potential future requirements for employment land and how this aligned with the current stock of employment land across both the Functional Economic Market Area [FEMA] </w:t>
      </w:r>
      <w:proofErr w:type="gramStart"/>
      <w:r w:rsidR="00B10545" w:rsidRPr="00B10545">
        <w:rPr>
          <w:rFonts w:eastAsia="Aptos" w:cs="Times New Roman"/>
        </w:rPr>
        <w:t>and also</w:t>
      </w:r>
      <w:proofErr w:type="gramEnd"/>
      <w:r w:rsidR="00B10545" w:rsidRPr="00B10545">
        <w:rPr>
          <w:rFonts w:eastAsia="Aptos" w:cs="Times New Roman"/>
        </w:rPr>
        <w:t xml:space="preserve"> at constituent authority level.</w:t>
      </w:r>
    </w:p>
    <w:p w14:paraId="736AF873" w14:textId="0A0D3FBE" w:rsidR="00B10545" w:rsidRPr="00B10545" w:rsidRDefault="00E41DF3" w:rsidP="00E41DF3">
      <w:pPr>
        <w:ind w:left="720" w:hanging="720"/>
        <w:jc w:val="left"/>
        <w:rPr>
          <w:rFonts w:eastAsia="Aptos" w:cs="Times New Roman"/>
        </w:rPr>
      </w:pPr>
      <w:r>
        <w:rPr>
          <w:rFonts w:eastAsia="Aptos" w:cs="Times New Roman"/>
        </w:rPr>
        <w:t>4.1.3</w:t>
      </w:r>
      <w:r>
        <w:rPr>
          <w:rFonts w:eastAsia="Aptos" w:cs="Times New Roman"/>
        </w:rPr>
        <w:tab/>
      </w:r>
      <w:r w:rsidR="00B10545" w:rsidRPr="00B10545">
        <w:rPr>
          <w:rFonts w:eastAsia="Aptos" w:cs="Times New Roman"/>
        </w:rPr>
        <w:t>SEV.28 was prepared in the context of requirements set out in the revised National Planning Policy Framework [NPPF] published in February 2019 and the relevant Planning Practice Guidance [PPG] with regards to planning for economic development needs, as summarised in paragraphs 1.13-1.20 of SEV.28.</w:t>
      </w:r>
    </w:p>
    <w:p w14:paraId="69CA4EA8" w14:textId="6BA8010E" w:rsidR="00B10545" w:rsidRPr="00B10545" w:rsidRDefault="00E41DF3" w:rsidP="00E41DF3">
      <w:pPr>
        <w:ind w:left="720" w:hanging="720"/>
        <w:jc w:val="left"/>
        <w:rPr>
          <w:rFonts w:eastAsia="Aptos" w:cs="Times New Roman"/>
        </w:rPr>
      </w:pPr>
      <w:r>
        <w:rPr>
          <w:rFonts w:eastAsia="Aptos" w:cs="Times New Roman"/>
        </w:rPr>
        <w:t>4.1.4</w:t>
      </w:r>
      <w:r>
        <w:rPr>
          <w:rFonts w:eastAsia="Aptos" w:cs="Times New Roman"/>
        </w:rPr>
        <w:tab/>
      </w:r>
      <w:r w:rsidR="00B10545" w:rsidRPr="00B10545">
        <w:rPr>
          <w:rFonts w:eastAsia="Aptos" w:cs="Times New Roman"/>
        </w:rPr>
        <w:t xml:space="preserve">There are a variety of factors and drivers to consider when objectively assessing the business context and needs for a local economy.  The study used a combination of quantitative and qualitative analysis to examine these issues in the context of the </w:t>
      </w:r>
      <w:r w:rsidR="00B10545" w:rsidRPr="00B10545">
        <w:rPr>
          <w:rFonts w:eastAsia="Aptos" w:cs="Times New Roman"/>
        </w:rPr>
        <w:lastRenderedPageBreak/>
        <w:t>Nottingham Core and Outer HMAs and synthesised this analysis to draw overall conclusions and policy implications for long-term planning across the sub-region.</w:t>
      </w:r>
    </w:p>
    <w:p w14:paraId="11387F0A" w14:textId="5606F8CE" w:rsidR="00B10545" w:rsidRPr="00B10545" w:rsidRDefault="00E41DF3" w:rsidP="00E41DF3">
      <w:pPr>
        <w:ind w:left="720" w:hanging="720"/>
        <w:jc w:val="left"/>
        <w:rPr>
          <w:rFonts w:eastAsia="Aptos" w:cs="Times New Roman"/>
        </w:rPr>
      </w:pPr>
      <w:r>
        <w:rPr>
          <w:rFonts w:eastAsia="Aptos" w:cs="Times New Roman"/>
        </w:rPr>
        <w:t>4.1.5</w:t>
      </w:r>
      <w:r>
        <w:rPr>
          <w:rFonts w:eastAsia="Aptos" w:cs="Times New Roman"/>
        </w:rPr>
        <w:tab/>
      </w:r>
      <w:r w:rsidR="00B10545" w:rsidRPr="00B10545">
        <w:rPr>
          <w:rFonts w:eastAsia="Aptos" w:cs="Times New Roman"/>
        </w:rPr>
        <w:t xml:space="preserve">This was informed by a review of market trends and secondary data, as well as consultations with </w:t>
      </w:r>
      <w:proofErr w:type="gramStart"/>
      <w:r w:rsidR="00B10545" w:rsidRPr="00B10545">
        <w:rPr>
          <w:rFonts w:eastAsia="Aptos" w:cs="Times New Roman"/>
        </w:rPr>
        <w:t>a number of</w:t>
      </w:r>
      <w:proofErr w:type="gramEnd"/>
      <w:r w:rsidR="00B10545" w:rsidRPr="00B10545">
        <w:rPr>
          <w:rFonts w:eastAsia="Aptos" w:cs="Times New Roman"/>
        </w:rPr>
        <w:t xml:space="preserve"> stakeholders such as commercial agents and developers active in the area.  An online Business Survey was also undertaken in November 2020-January 2021 to help gain an understanding of the current and future employment space needs of local companies (Sections 5.0 and 6.0 of SEV.28).</w:t>
      </w:r>
    </w:p>
    <w:p w14:paraId="3F6E6DB6" w14:textId="72489F06" w:rsidR="00B10545" w:rsidRPr="00B10545" w:rsidRDefault="00E41DF3" w:rsidP="00E41DF3">
      <w:pPr>
        <w:ind w:left="720" w:hanging="720"/>
        <w:jc w:val="left"/>
        <w:rPr>
          <w:rFonts w:eastAsia="Aptos" w:cs="Times New Roman"/>
        </w:rPr>
      </w:pPr>
      <w:r>
        <w:rPr>
          <w:rFonts w:eastAsia="Aptos" w:cs="Times New Roman"/>
        </w:rPr>
        <w:t>4.1.6</w:t>
      </w:r>
      <w:r>
        <w:rPr>
          <w:rFonts w:eastAsia="Aptos" w:cs="Times New Roman"/>
        </w:rPr>
        <w:tab/>
      </w:r>
      <w:r w:rsidR="00B10545" w:rsidRPr="00B10545">
        <w:rPr>
          <w:rFonts w:eastAsia="Aptos" w:cs="Times New Roman"/>
        </w:rPr>
        <w:t xml:space="preserve">SEV.28 analysed </w:t>
      </w:r>
      <w:r w:rsidR="00B10545" w:rsidRPr="00B10545">
        <w:rPr>
          <w:rFonts w:eastAsia="Aptos" w:cs="Times New Roman"/>
          <w:szCs w:val="21"/>
        </w:rPr>
        <w:t>future</w:t>
      </w:r>
      <w:r w:rsidR="00B10545" w:rsidRPr="00B10545">
        <w:rPr>
          <w:rFonts w:eastAsia="Aptos" w:cs="Times New Roman"/>
        </w:rPr>
        <w:t xml:space="preserve"> employment land requirements for the 20-year period 2018-2038.  </w:t>
      </w:r>
      <w:proofErr w:type="gramStart"/>
      <w:r w:rsidR="00B10545" w:rsidRPr="00B10545">
        <w:rPr>
          <w:rFonts w:eastAsia="Aptos" w:cs="Times New Roman"/>
        </w:rPr>
        <w:t>A number of</w:t>
      </w:r>
      <w:proofErr w:type="gramEnd"/>
      <w:r w:rsidR="00B10545" w:rsidRPr="00B10545">
        <w:rPr>
          <w:rFonts w:eastAsia="Aptos" w:cs="Times New Roman"/>
        </w:rPr>
        <w:t xml:space="preserve"> different growth scenarios were considered to test the likely need for employment land generated over the plan period in line with the PPG.  These scenarios considered the need for office and industrial (i.e. manufacturing and warehousing) floorspace, with the final requirements specified in floorspace (sqm) for office (incorporating R&amp;D), and land (in hectares) for E-Class light industrial, B2 and B8 uses to align with the local authorities’ employment land policies in their respective adopted / emerging Local Plans.</w:t>
      </w:r>
    </w:p>
    <w:p w14:paraId="0A73B91C" w14:textId="12BE225D" w:rsidR="00B10545" w:rsidRPr="00B10545" w:rsidRDefault="00E41DF3" w:rsidP="00B10545">
      <w:pPr>
        <w:jc w:val="left"/>
        <w:rPr>
          <w:rFonts w:eastAsia="Aptos" w:cs="Times New Roman"/>
        </w:rPr>
      </w:pPr>
      <w:r>
        <w:rPr>
          <w:rFonts w:eastAsia="Aptos" w:cs="Times New Roman"/>
        </w:rPr>
        <w:t>4.1.7</w:t>
      </w:r>
      <w:r>
        <w:rPr>
          <w:rFonts w:eastAsia="Aptos" w:cs="Times New Roman"/>
        </w:rPr>
        <w:tab/>
      </w:r>
      <w:r w:rsidR="00B10545" w:rsidRPr="00B10545">
        <w:rPr>
          <w:rFonts w:eastAsia="Aptos" w:cs="Times New Roman"/>
        </w:rPr>
        <w:t>The following scenarios were modelled:</w:t>
      </w:r>
    </w:p>
    <w:p w14:paraId="1491206C" w14:textId="77777777" w:rsidR="00B10545" w:rsidRPr="00B10545" w:rsidRDefault="00B10545" w:rsidP="00B10545">
      <w:pPr>
        <w:numPr>
          <w:ilvl w:val="0"/>
          <w:numId w:val="15"/>
        </w:numPr>
        <w:contextualSpacing/>
        <w:jc w:val="left"/>
        <w:rPr>
          <w:rFonts w:cs="Arial"/>
          <w:szCs w:val="21"/>
        </w:rPr>
      </w:pPr>
      <w:bookmarkStart w:id="1" w:name="_Hlk52960747"/>
      <w:r w:rsidRPr="00B10545">
        <w:rPr>
          <w:rFonts w:cs="Arial"/>
          <w:szCs w:val="21"/>
        </w:rPr>
        <w:t xml:space="preserve">Baseline </w:t>
      </w:r>
      <w:r w:rsidRPr="00B10545">
        <w:rPr>
          <w:rFonts w:cs="Arial"/>
        </w:rPr>
        <w:t>employment</w:t>
      </w:r>
      <w:r w:rsidRPr="00B10545">
        <w:rPr>
          <w:rFonts w:cs="Arial"/>
          <w:szCs w:val="21"/>
        </w:rPr>
        <w:t xml:space="preserve"> forecasts (</w:t>
      </w:r>
      <w:r w:rsidRPr="00B10545">
        <w:rPr>
          <w:rFonts w:cs="Arial"/>
          <w:b/>
          <w:szCs w:val="21"/>
        </w:rPr>
        <w:t>labour demand</w:t>
      </w:r>
      <w:r w:rsidRPr="00B10545">
        <w:rPr>
          <w:rFonts w:cs="Arial"/>
          <w:szCs w:val="21"/>
        </w:rPr>
        <w:t>), using Experian’s Local Market Quarterly Forecasts for September 2020 (and also a pre-Covid March 2020 projection</w:t>
      </w:r>
      <w:proofErr w:type="gramStart"/>
      <w:r w:rsidRPr="00B10545">
        <w:rPr>
          <w:rFonts w:cs="Arial"/>
          <w:szCs w:val="21"/>
        </w:rPr>
        <w:t>);</w:t>
      </w:r>
      <w:proofErr w:type="gramEnd"/>
    </w:p>
    <w:p w14:paraId="1E957A05" w14:textId="77777777" w:rsidR="00B10545" w:rsidRPr="00B10545" w:rsidRDefault="00B10545" w:rsidP="00B10545">
      <w:pPr>
        <w:numPr>
          <w:ilvl w:val="0"/>
          <w:numId w:val="15"/>
        </w:numPr>
        <w:contextualSpacing/>
        <w:jc w:val="left"/>
        <w:rPr>
          <w:rFonts w:cs="Arial"/>
          <w:szCs w:val="21"/>
        </w:rPr>
      </w:pPr>
      <w:r w:rsidRPr="00B10545">
        <w:rPr>
          <w:rFonts w:cs="Arial"/>
          <w:szCs w:val="21"/>
        </w:rPr>
        <w:t>Trending-</w:t>
      </w:r>
      <w:r w:rsidRPr="00B10545">
        <w:rPr>
          <w:rFonts w:cs="Arial"/>
        </w:rPr>
        <w:t>forward</w:t>
      </w:r>
      <w:r w:rsidRPr="00B10545">
        <w:rPr>
          <w:rFonts w:cs="Arial"/>
          <w:szCs w:val="21"/>
        </w:rPr>
        <w:t xml:space="preserve"> </w:t>
      </w:r>
      <w:r w:rsidRPr="00B10545">
        <w:rPr>
          <w:rFonts w:cs="Arial"/>
          <w:b/>
          <w:szCs w:val="21"/>
        </w:rPr>
        <w:t>past jobs growth</w:t>
      </w:r>
      <w:r w:rsidRPr="00B10545">
        <w:rPr>
          <w:rFonts w:cs="Arial"/>
          <w:szCs w:val="21"/>
        </w:rPr>
        <w:t xml:space="preserve"> experienced over the long term (1997-2018</w:t>
      </w:r>
      <w:proofErr w:type="gramStart"/>
      <w:r w:rsidRPr="00B10545">
        <w:rPr>
          <w:rFonts w:cs="Arial"/>
          <w:szCs w:val="21"/>
        </w:rPr>
        <w:t>);</w:t>
      </w:r>
      <w:proofErr w:type="gramEnd"/>
    </w:p>
    <w:p w14:paraId="6776E0CA" w14:textId="77777777" w:rsidR="00B10545" w:rsidRPr="00B10545" w:rsidRDefault="00B10545" w:rsidP="00B10545">
      <w:pPr>
        <w:numPr>
          <w:ilvl w:val="0"/>
          <w:numId w:val="15"/>
        </w:numPr>
        <w:contextualSpacing/>
        <w:jc w:val="left"/>
        <w:rPr>
          <w:rFonts w:cs="Arial"/>
          <w:szCs w:val="21"/>
        </w:rPr>
      </w:pPr>
      <w:r w:rsidRPr="00B10545">
        <w:rPr>
          <w:rFonts w:cs="Arial"/>
          <w:b/>
          <w:szCs w:val="21"/>
        </w:rPr>
        <w:t xml:space="preserve">Regeneration-led </w:t>
      </w:r>
      <w:r w:rsidRPr="00B10545">
        <w:rPr>
          <w:rFonts w:cs="Arial"/>
          <w:szCs w:val="21"/>
        </w:rPr>
        <w:t xml:space="preserve">econometric </w:t>
      </w:r>
      <w:r w:rsidRPr="00B10545">
        <w:rPr>
          <w:rFonts w:cs="Arial"/>
        </w:rPr>
        <w:t>model</w:t>
      </w:r>
      <w:r w:rsidRPr="00B10545">
        <w:rPr>
          <w:rFonts w:cs="Arial"/>
          <w:szCs w:val="21"/>
        </w:rPr>
        <w:t xml:space="preserve">, which factored in the priority sectors targeted in the D2N2’s </w:t>
      </w:r>
      <w:r w:rsidRPr="00B10545">
        <w:rPr>
          <w:rFonts w:cs="Arial"/>
          <w:i/>
          <w:szCs w:val="21"/>
        </w:rPr>
        <w:t>Spark in the UK’s Growth Engine Strategic Economic Plan - 2019-2030</w:t>
      </w:r>
      <w:r w:rsidRPr="00B10545">
        <w:rPr>
          <w:rFonts w:cs="Arial"/>
          <w:szCs w:val="21"/>
        </w:rPr>
        <w:t xml:space="preserve">.  This referred to 11 priority sectors important to the D2N2 economy which require different interventions </w:t>
      </w:r>
      <w:proofErr w:type="gramStart"/>
      <w:r w:rsidRPr="00B10545">
        <w:rPr>
          <w:rFonts w:cs="Arial"/>
          <w:szCs w:val="21"/>
        </w:rPr>
        <w:t>in order to</w:t>
      </w:r>
      <w:proofErr w:type="gramEnd"/>
      <w:r w:rsidRPr="00B10545">
        <w:rPr>
          <w:rFonts w:cs="Arial"/>
          <w:szCs w:val="21"/>
        </w:rPr>
        <w:t xml:space="preserve"> effectively contribute to productivity growth.</w:t>
      </w:r>
    </w:p>
    <w:p w14:paraId="569A9074" w14:textId="77777777" w:rsidR="00B10545" w:rsidRPr="00B10545" w:rsidRDefault="00B10545" w:rsidP="00B10545">
      <w:pPr>
        <w:numPr>
          <w:ilvl w:val="0"/>
          <w:numId w:val="15"/>
        </w:numPr>
        <w:contextualSpacing/>
        <w:jc w:val="left"/>
        <w:rPr>
          <w:rFonts w:cs="Arial"/>
          <w:szCs w:val="21"/>
        </w:rPr>
      </w:pPr>
      <w:r w:rsidRPr="00B10545">
        <w:rPr>
          <w:rFonts w:cs="Arial"/>
          <w:szCs w:val="21"/>
        </w:rPr>
        <w:t xml:space="preserve">Estimated growth in the </w:t>
      </w:r>
      <w:r w:rsidRPr="00B10545">
        <w:rPr>
          <w:rFonts w:cs="Arial"/>
          <w:b/>
          <w:szCs w:val="21"/>
        </w:rPr>
        <w:t>local labour supply</w:t>
      </w:r>
      <w:r w:rsidRPr="00B10545">
        <w:rPr>
          <w:rFonts w:cs="Arial"/>
          <w:szCs w:val="21"/>
        </w:rPr>
        <w:t xml:space="preserve"> and the jobs and employment space that this could be </w:t>
      </w:r>
      <w:r w:rsidRPr="00B10545">
        <w:rPr>
          <w:rFonts w:cs="Arial"/>
        </w:rPr>
        <w:t>expected</w:t>
      </w:r>
      <w:r w:rsidRPr="00B10545">
        <w:rPr>
          <w:rFonts w:cs="Arial"/>
          <w:szCs w:val="21"/>
        </w:rPr>
        <w:t xml:space="preserve"> to support.  This was based upon the Government’s Standard Methodology [SM] for calculating housing need; and,</w:t>
      </w:r>
    </w:p>
    <w:p w14:paraId="02A4A1A3" w14:textId="77777777" w:rsidR="00B10545" w:rsidRDefault="00B10545" w:rsidP="00B10545">
      <w:pPr>
        <w:numPr>
          <w:ilvl w:val="0"/>
          <w:numId w:val="15"/>
        </w:numPr>
        <w:contextualSpacing/>
        <w:jc w:val="left"/>
        <w:rPr>
          <w:rFonts w:cs="Arial"/>
          <w:szCs w:val="21"/>
        </w:rPr>
      </w:pPr>
      <w:r w:rsidRPr="00B10545">
        <w:rPr>
          <w:rFonts w:cs="Arial"/>
        </w:rPr>
        <w:t>Consideration</w:t>
      </w:r>
      <w:r w:rsidRPr="00B10545">
        <w:rPr>
          <w:rFonts w:cs="Arial"/>
          <w:szCs w:val="21"/>
        </w:rPr>
        <w:t xml:space="preserve"> of </w:t>
      </w:r>
      <w:r w:rsidRPr="00B10545">
        <w:rPr>
          <w:rFonts w:cs="Arial"/>
          <w:b/>
          <w:szCs w:val="21"/>
        </w:rPr>
        <w:t>past trends in completions of employment space</w:t>
      </w:r>
      <w:r w:rsidRPr="00B10545">
        <w:rPr>
          <w:rFonts w:cs="Arial"/>
          <w:szCs w:val="21"/>
        </w:rPr>
        <w:t xml:space="preserve"> based on Council monitoring data and how these trends might change in the future.</w:t>
      </w:r>
    </w:p>
    <w:p w14:paraId="653FB86E" w14:textId="77777777" w:rsidR="00B10545" w:rsidRPr="00B10545" w:rsidRDefault="00B10545" w:rsidP="00B10545">
      <w:pPr>
        <w:ind w:left="720"/>
        <w:contextualSpacing/>
        <w:jc w:val="left"/>
        <w:rPr>
          <w:rFonts w:cs="Arial"/>
          <w:szCs w:val="21"/>
        </w:rPr>
      </w:pPr>
    </w:p>
    <w:bookmarkEnd w:id="1"/>
    <w:p w14:paraId="00D9A87C" w14:textId="0E1C2D8E" w:rsidR="00B10545" w:rsidRPr="00B10545" w:rsidRDefault="00E41DF3" w:rsidP="00E41DF3">
      <w:pPr>
        <w:ind w:left="720" w:hanging="720"/>
        <w:jc w:val="left"/>
        <w:rPr>
          <w:rFonts w:eastAsia="Aptos" w:cs="Times New Roman"/>
          <w:szCs w:val="21"/>
        </w:rPr>
      </w:pPr>
      <w:r>
        <w:rPr>
          <w:rFonts w:eastAsia="Aptos" w:cs="Times New Roman"/>
          <w:szCs w:val="21"/>
        </w:rPr>
        <w:t>4.1.8</w:t>
      </w:r>
      <w:r>
        <w:rPr>
          <w:rFonts w:eastAsia="Aptos" w:cs="Times New Roman"/>
          <w:szCs w:val="21"/>
        </w:rPr>
        <w:tab/>
      </w:r>
      <w:r w:rsidR="00B10545" w:rsidRPr="00B10545">
        <w:rPr>
          <w:rFonts w:eastAsia="Aptos" w:cs="Times New Roman"/>
          <w:szCs w:val="21"/>
        </w:rPr>
        <w:t xml:space="preserve">All these approaches reflect different factors and </w:t>
      </w:r>
      <w:r w:rsidR="00B10545" w:rsidRPr="00B10545">
        <w:rPr>
          <w:rFonts w:eastAsia="Aptos" w:cs="Times New Roman"/>
        </w:rPr>
        <w:t xml:space="preserve">SEV.28 </w:t>
      </w:r>
      <w:r w:rsidR="00B10545" w:rsidRPr="00B10545">
        <w:rPr>
          <w:rFonts w:eastAsia="Aptos" w:cs="Times New Roman"/>
          <w:szCs w:val="21"/>
        </w:rPr>
        <w:t xml:space="preserve">noted that careful consideration needed to be given as to how appropriate each was to circumstances in each of the eight districts.  The report recommended that a range of qualitative factors should also be </w:t>
      </w:r>
      <w:proofErr w:type="gramStart"/>
      <w:r w:rsidR="00B10545" w:rsidRPr="00B10545">
        <w:rPr>
          <w:rFonts w:eastAsia="Aptos" w:cs="Times New Roman"/>
          <w:szCs w:val="21"/>
        </w:rPr>
        <w:t>taken into account</w:t>
      </w:r>
      <w:proofErr w:type="gramEnd"/>
      <w:r w:rsidR="00B10545" w:rsidRPr="00B10545">
        <w:rPr>
          <w:rFonts w:eastAsia="Aptos" w:cs="Times New Roman"/>
          <w:szCs w:val="21"/>
        </w:rPr>
        <w:t xml:space="preserve"> by the councils, that would </w:t>
      </w:r>
      <w:r w:rsidR="00B10545" w:rsidRPr="00B10545">
        <w:rPr>
          <w:rFonts w:eastAsia="Aptos" w:cs="Times New Roman"/>
        </w:rPr>
        <w:t>typically</w:t>
      </w:r>
      <w:r w:rsidR="00B10545" w:rsidRPr="00B10545">
        <w:rPr>
          <w:rFonts w:eastAsia="Aptos" w:cs="Times New Roman"/>
          <w:szCs w:val="21"/>
        </w:rPr>
        <w:t xml:space="preserve"> consider the quality and demand for existing premises, the spatial distribution of supply and demand for premises, and insights from commercial property agents and local businesses.</w:t>
      </w:r>
    </w:p>
    <w:p w14:paraId="39214E5A" w14:textId="24D74317" w:rsidR="00B10545" w:rsidRPr="00B10545" w:rsidRDefault="00E41DF3" w:rsidP="00E41DF3">
      <w:pPr>
        <w:ind w:left="720" w:hanging="720"/>
        <w:jc w:val="left"/>
        <w:rPr>
          <w:rFonts w:eastAsia="Aptos" w:cs="Times New Roman"/>
          <w:szCs w:val="21"/>
        </w:rPr>
      </w:pPr>
      <w:r>
        <w:rPr>
          <w:rFonts w:eastAsia="Aptos" w:cs="Times New Roman"/>
          <w:szCs w:val="21"/>
        </w:rPr>
        <w:t>4.1.9</w:t>
      </w:r>
      <w:r>
        <w:rPr>
          <w:rFonts w:eastAsia="Aptos" w:cs="Times New Roman"/>
          <w:szCs w:val="21"/>
        </w:rPr>
        <w:tab/>
      </w:r>
      <w:r w:rsidR="00B10545" w:rsidRPr="00B10545">
        <w:rPr>
          <w:rFonts w:eastAsia="Aptos" w:cs="Times New Roman"/>
          <w:szCs w:val="21"/>
        </w:rPr>
        <w:t xml:space="preserve">Lichfields modelled a pre-Covid 19 set of Experian forecasts from March 2020 and the (then) most recent release, from September 2020.  The Experian September 2020 projections suggested that Ashfield District’s economy would grow by 5,500 workforce jobs over the </w:t>
      </w:r>
      <w:r w:rsidR="00B10545" w:rsidRPr="00B10545">
        <w:rPr>
          <w:rFonts w:eastAsia="Aptos" w:cs="Times New Roman"/>
        </w:rPr>
        <w:t>20</w:t>
      </w:r>
      <w:r w:rsidR="00B10545" w:rsidRPr="00B10545">
        <w:rPr>
          <w:rFonts w:eastAsia="Aptos" w:cs="Times New Roman"/>
          <w:szCs w:val="21"/>
        </w:rPr>
        <w:t xml:space="preserve"> years to 2038, somewhat lower than the +7,300 net job growth projected under the pre-Covid forecast.  In translating these jobs into employment floorspace requirements, robust assumptions were made concerning </w:t>
      </w:r>
      <w:r w:rsidR="00B10545" w:rsidRPr="00B10545">
        <w:rPr>
          <w:rFonts w:eastAsia="Aptos" w:cs="Times New Roman"/>
          <w:szCs w:val="21"/>
        </w:rPr>
        <w:lastRenderedPageBreak/>
        <w:t>which of the individual industrial sectors were likely to be predominantly located in office, industrial or warehousing space (i.e. manufacturing in B2 industrial units), with a further allowance for jobs in other non-employment sectors that typically utilise industrial or office space, such as some construction uses, vehicle repair, courier services, road transport and cargo handling and some public administration activities.</w:t>
      </w:r>
    </w:p>
    <w:p w14:paraId="4DC7B119" w14:textId="4ABF0423" w:rsidR="00B10545" w:rsidRPr="00B10545" w:rsidRDefault="00E41DF3" w:rsidP="00B10545">
      <w:pPr>
        <w:keepNext/>
        <w:keepLines/>
        <w:spacing w:before="120" w:after="0"/>
        <w:outlineLvl w:val="3"/>
        <w:rPr>
          <w:rFonts w:eastAsia="Times New Roman" w:cs="Times New Roman"/>
          <w:i/>
          <w:iCs/>
          <w:szCs w:val="24"/>
        </w:rPr>
      </w:pPr>
      <w:r w:rsidRPr="00E41DF3">
        <w:rPr>
          <w:rFonts w:eastAsia="Times New Roman" w:cs="Times New Roman"/>
          <w:szCs w:val="24"/>
        </w:rPr>
        <w:t>4.1.10</w:t>
      </w:r>
      <w:r>
        <w:rPr>
          <w:rFonts w:eastAsia="Times New Roman" w:cs="Times New Roman"/>
          <w:i/>
          <w:iCs/>
          <w:szCs w:val="24"/>
        </w:rPr>
        <w:tab/>
      </w:r>
      <w:r w:rsidR="00B10545" w:rsidRPr="00B10545">
        <w:rPr>
          <w:rFonts w:eastAsia="Times New Roman" w:cs="Times New Roman"/>
          <w:i/>
          <w:iCs/>
          <w:szCs w:val="24"/>
        </w:rPr>
        <w:t>Methodology</w:t>
      </w:r>
    </w:p>
    <w:p w14:paraId="00E1F416" w14:textId="77777777" w:rsidR="00B10545" w:rsidRPr="00B10545" w:rsidRDefault="00B10545" w:rsidP="00E41DF3">
      <w:pPr>
        <w:ind w:left="720"/>
        <w:jc w:val="left"/>
        <w:rPr>
          <w:rFonts w:eastAsia="Aptos" w:cs="Times New Roman"/>
        </w:rPr>
      </w:pPr>
      <w:r w:rsidRPr="00B10545">
        <w:rPr>
          <w:rFonts w:eastAsia="Aptos" w:cs="Times New Roman"/>
          <w:szCs w:val="21"/>
        </w:rPr>
        <w:t xml:space="preserve">Lichfields </w:t>
      </w:r>
      <w:r w:rsidRPr="00B10545">
        <w:rPr>
          <w:rFonts w:eastAsia="Aptos" w:cs="Times New Roman"/>
        </w:rPr>
        <w:t>translated the resulting figures into employment floorspace projections applying standard employment densities (based upon the 2015 HCA</w:t>
      </w:r>
      <w:r w:rsidRPr="00B10545">
        <w:rPr>
          <w:rFonts w:eastAsia="Aptos" w:cs="Times New Roman"/>
          <w:vertAlign w:val="superscript"/>
        </w:rPr>
        <w:footnoteReference w:id="1"/>
      </w:r>
      <w:r w:rsidRPr="00B10545">
        <w:rPr>
          <w:rFonts w:eastAsia="Aptos" w:cs="Times New Roman"/>
        </w:rPr>
        <w:t xml:space="preserve"> Guidance on employment densities which remains the current version as of December 2024).</w:t>
      </w:r>
    </w:p>
    <w:p w14:paraId="775DA7F6" w14:textId="2AA5490A" w:rsidR="00B10545" w:rsidRPr="00B10545" w:rsidRDefault="00E41DF3" w:rsidP="00E41DF3">
      <w:pPr>
        <w:ind w:left="720" w:hanging="720"/>
        <w:jc w:val="left"/>
        <w:rPr>
          <w:rFonts w:eastAsia="Aptos" w:cs="Times New Roman"/>
        </w:rPr>
      </w:pPr>
      <w:r>
        <w:rPr>
          <w:rFonts w:eastAsia="Aptos" w:cs="Times New Roman"/>
        </w:rPr>
        <w:t>4.1.11</w:t>
      </w:r>
      <w:r>
        <w:rPr>
          <w:rFonts w:eastAsia="Aptos" w:cs="Times New Roman"/>
        </w:rPr>
        <w:tab/>
      </w:r>
      <w:r w:rsidR="00B10545" w:rsidRPr="00B10545">
        <w:rPr>
          <w:rFonts w:eastAsia="Aptos" w:cs="Times New Roman"/>
        </w:rPr>
        <w:t>An adjustment was also made to reflect the fact that a proportion of employment floorspace will always be vacant.  A range of sources</w:t>
      </w:r>
      <w:r w:rsidR="00B10545" w:rsidRPr="00B10545">
        <w:rPr>
          <w:rFonts w:eastAsia="Aptos" w:cs="Times New Roman"/>
          <w:vertAlign w:val="superscript"/>
        </w:rPr>
        <w:footnoteReference w:id="2"/>
      </w:r>
      <w:r w:rsidR="00B10545" w:rsidRPr="00B10545">
        <w:rPr>
          <w:rFonts w:eastAsia="Aptos" w:cs="Times New Roman"/>
        </w:rPr>
        <w:t xml:space="preserve"> suggested that a return towards the lower end of an 8-10% ‘normal’ vacancy rate typically used for ELRs represented a robust uplift going forward.  As per the previous 2015 ELNS (ref: SEV.30), where a reduction in jobs was forecast (e.g. in manufacturing), the associated negative floorspace was halved in line with common methodological practice amongst ELRs undertaken elsewhere across the country.  This reflects the fact that job losses at a particular company do not automatically translate into a comparable loss of floorspace (for example, due to increased automation or other efficiencies).</w:t>
      </w:r>
    </w:p>
    <w:p w14:paraId="5F017C81" w14:textId="699B0F98" w:rsidR="00B10545" w:rsidRPr="00E41DF3" w:rsidRDefault="00E41DF3" w:rsidP="00E41DF3">
      <w:pPr>
        <w:ind w:left="720" w:hanging="720"/>
        <w:jc w:val="left"/>
        <w:rPr>
          <w:rFonts w:eastAsia="Aptos" w:cs="Times New Roman"/>
        </w:rPr>
      </w:pPr>
      <w:r>
        <w:rPr>
          <w:rFonts w:eastAsia="Aptos" w:cs="Times New Roman"/>
        </w:rPr>
        <w:t>4.1.12</w:t>
      </w:r>
      <w:r>
        <w:rPr>
          <w:rFonts w:eastAsia="Aptos" w:cs="Times New Roman"/>
        </w:rPr>
        <w:tab/>
      </w:r>
      <w:r w:rsidR="00B10545" w:rsidRPr="00E41DF3">
        <w:rPr>
          <w:rFonts w:eastAsia="Aptos" w:cs="Times New Roman"/>
        </w:rPr>
        <w:t>The above adjustments generated a net floorspace requirement figure for the two Experian forecasts.  Other labour demand scenarios were then modelled, which included a sensitivity test projecting forward past trends in jobs growth over the longer term (1997-2018), alongside a regeneration scenario which was based upon a review of the D2N2’s previous Strategic Economic Plan [SEP].  This scenario accelerated key Experian sectors which matched with the SEP’s 3 core sectors and 8 Opportunity Sectors.  The adjustments to the Experian forecasts resulted in an overall increase of 58,608 jobs to 2038 (9,008 higher than the baseline) for the 5 Core HMA districts, and an increase of 20,581 jobs (5,581 higher than the September 2020 baseline) for the three Outer HMA districts (of which 7,473 related to Ashfield).</w:t>
      </w:r>
    </w:p>
    <w:p w14:paraId="57125B12" w14:textId="578DCDE2" w:rsidR="00B10545" w:rsidRPr="00B10545" w:rsidRDefault="00E41DF3" w:rsidP="00E41DF3">
      <w:pPr>
        <w:ind w:left="720" w:hanging="720"/>
        <w:jc w:val="left"/>
        <w:rPr>
          <w:rFonts w:eastAsia="Aptos" w:cs="Times New Roman"/>
        </w:rPr>
      </w:pPr>
      <w:r>
        <w:rPr>
          <w:rFonts w:eastAsia="Aptos" w:cs="Times New Roman"/>
        </w:rPr>
        <w:t>4.1.13</w:t>
      </w:r>
      <w:r>
        <w:rPr>
          <w:rFonts w:eastAsia="Aptos" w:cs="Times New Roman"/>
        </w:rPr>
        <w:tab/>
      </w:r>
      <w:r w:rsidR="00B10545" w:rsidRPr="00B10545">
        <w:rPr>
          <w:rFonts w:eastAsia="Aptos" w:cs="Times New Roman"/>
        </w:rPr>
        <w:t>In accordance with the PPG requirements</w:t>
      </w:r>
      <w:r w:rsidR="00B10545" w:rsidRPr="00B10545">
        <w:rPr>
          <w:rFonts w:eastAsia="Aptos" w:cs="Times New Roman"/>
          <w:vertAlign w:val="superscript"/>
        </w:rPr>
        <w:footnoteReference w:id="3"/>
      </w:r>
      <w:r w:rsidR="00B10545" w:rsidRPr="00B10545">
        <w:rPr>
          <w:rFonts w:eastAsia="Aptos" w:cs="Times New Roman"/>
        </w:rPr>
        <w:t xml:space="preserve">, SEV.28 also modelled </w:t>
      </w:r>
      <w:proofErr w:type="gramStart"/>
      <w:r w:rsidR="00B10545" w:rsidRPr="00B10545">
        <w:rPr>
          <w:rFonts w:eastAsia="Aptos" w:cs="Times New Roman"/>
        </w:rPr>
        <w:t>demographically-derived</w:t>
      </w:r>
      <w:proofErr w:type="gramEnd"/>
      <w:r w:rsidR="00B10545" w:rsidRPr="00B10545">
        <w:rPr>
          <w:rFonts w:eastAsia="Aptos" w:cs="Times New Roman"/>
        </w:rPr>
        <w:t xml:space="preserve"> assessments of current and future local labour supply (including the 481 dpa SM target for Ashfield); and past take-up of employment land and property (averaging 1,212 sqm per annum of office floorspace and 3.49 ha of industrial / distribution land per annum, net in Ashfield District).  These quantitative assessments were supported by a qualitative analysis of the commercial property market.</w:t>
      </w:r>
    </w:p>
    <w:p w14:paraId="763CA531" w14:textId="444EA3D7" w:rsidR="00B10545" w:rsidRPr="00B10545" w:rsidRDefault="00E41DF3" w:rsidP="00E41DF3">
      <w:pPr>
        <w:ind w:left="720" w:hanging="720"/>
        <w:jc w:val="left"/>
        <w:rPr>
          <w:rFonts w:eastAsia="Aptos" w:cs="Times New Roman"/>
        </w:rPr>
      </w:pPr>
      <w:r>
        <w:rPr>
          <w:rFonts w:eastAsia="Aptos" w:cs="Times New Roman"/>
        </w:rPr>
        <w:t>4.1.14</w:t>
      </w:r>
      <w:r>
        <w:rPr>
          <w:rFonts w:eastAsia="Aptos" w:cs="Times New Roman"/>
        </w:rPr>
        <w:tab/>
      </w:r>
      <w:r w:rsidR="00B10545" w:rsidRPr="00B10545">
        <w:rPr>
          <w:rFonts w:eastAsia="Aptos" w:cs="Times New Roman"/>
        </w:rPr>
        <w:t xml:space="preserve">The next step involved translating the net floorspace into land requirements for industrial and distribution uses by applying appropriate plot ratio assumptions.  As </w:t>
      </w:r>
      <w:r w:rsidR="00B10545" w:rsidRPr="00B10545">
        <w:rPr>
          <w:rFonts w:eastAsia="Aptos" w:cs="Times New Roman"/>
        </w:rPr>
        <w:lastRenderedPageBreak/>
        <w:t>with SEV.30, and in common with the general approach in ELRs/ELNAs prepared nationally, it was assumed that a gross area of 1 ha was required to develop 4,000 sqm of industrial or warehousing / distribution space (equal to a plot ratio of 40%).</w:t>
      </w:r>
    </w:p>
    <w:p w14:paraId="0F9A38F9" w14:textId="12BCBEFF" w:rsidR="00B10545" w:rsidRPr="00B10545" w:rsidRDefault="00E41DF3" w:rsidP="00E41DF3">
      <w:pPr>
        <w:ind w:left="720" w:hanging="720"/>
        <w:jc w:val="left"/>
        <w:rPr>
          <w:rFonts w:eastAsia="Aptos" w:cs="Times New Roman"/>
        </w:rPr>
      </w:pPr>
      <w:r>
        <w:rPr>
          <w:rFonts w:eastAsia="Aptos" w:cs="Times New Roman"/>
        </w:rPr>
        <w:t>4.1.15</w:t>
      </w:r>
      <w:r>
        <w:rPr>
          <w:rFonts w:eastAsia="Aptos" w:cs="Times New Roman"/>
        </w:rPr>
        <w:tab/>
      </w:r>
      <w:r w:rsidR="00B10545" w:rsidRPr="00B10545">
        <w:rPr>
          <w:rFonts w:eastAsia="Aptos" w:cs="Times New Roman"/>
        </w:rPr>
        <w:t xml:space="preserve">To estimate the overall requirement of employment space that should be planned for allocating sites and to allow for some flexibility of provision, it is normal practice for ELRs to add an allowance as a safety margin for factors such as delays in some sites coming forward for development.  In this instance, a 2-year margin based on two years of average gross take-up </w:t>
      </w:r>
      <w:proofErr w:type="gramStart"/>
      <w:r w:rsidR="00B10545" w:rsidRPr="00B10545">
        <w:rPr>
          <w:rFonts w:eastAsia="Aptos" w:cs="Times New Roman"/>
        </w:rPr>
        <w:t>was considered to be</w:t>
      </w:r>
      <w:proofErr w:type="gramEnd"/>
      <w:r w:rsidR="00B10545" w:rsidRPr="00B10545">
        <w:rPr>
          <w:rFonts w:eastAsia="Aptos" w:cs="Times New Roman"/>
        </w:rPr>
        <w:t xml:space="preserve"> an appropriate level relative to the estimated scale of the original requirement.  For Ashfield District, this resulted in an additional 2,424 sqm of office floorspace and 6.99 ha of industrial/warehousing land being added onto the net requirement, for </w:t>
      </w:r>
      <w:proofErr w:type="gramStart"/>
      <w:r w:rsidR="00B10545" w:rsidRPr="00B10545">
        <w:rPr>
          <w:rFonts w:eastAsia="Aptos" w:cs="Times New Roman"/>
        </w:rPr>
        <w:t>all of</w:t>
      </w:r>
      <w:proofErr w:type="gramEnd"/>
      <w:r w:rsidR="00B10545" w:rsidRPr="00B10545">
        <w:rPr>
          <w:rFonts w:eastAsia="Aptos" w:cs="Times New Roman"/>
        </w:rPr>
        <w:t xml:space="preserve"> the scenarios.</w:t>
      </w:r>
    </w:p>
    <w:p w14:paraId="2A8858CA" w14:textId="2F15627E" w:rsidR="00B10545" w:rsidRPr="00B10545" w:rsidRDefault="00E41DF3" w:rsidP="00E41DF3">
      <w:pPr>
        <w:ind w:left="720" w:hanging="720"/>
        <w:jc w:val="left"/>
        <w:rPr>
          <w:rFonts w:eastAsia="Aptos" w:cs="Times New Roman"/>
        </w:rPr>
      </w:pPr>
      <w:r>
        <w:rPr>
          <w:rFonts w:eastAsia="Aptos" w:cs="Times New Roman"/>
        </w:rPr>
        <w:t>4.1.16</w:t>
      </w:r>
      <w:r>
        <w:rPr>
          <w:rFonts w:eastAsia="Aptos" w:cs="Times New Roman"/>
        </w:rPr>
        <w:tab/>
      </w:r>
      <w:r w:rsidR="00B10545" w:rsidRPr="00B10545">
        <w:rPr>
          <w:rFonts w:eastAsia="Aptos" w:cs="Times New Roman"/>
        </w:rPr>
        <w:t>Factoring in a safety/flexibility factor should help alleviate any future land shortages if future demand is greater than forecast.  Such flexibility is sensible given the uncertainties in the forecasting process and the scope for delays in developing employment space.  This approach represents common practice and has been accepted in ELRs at Examination previously with examples including Warrington, St Helens, Calderdale, Doncaster and Stockton-on-Tees, with safety/flexibility margins ranging from two to five years.</w:t>
      </w:r>
    </w:p>
    <w:p w14:paraId="4BC2F6ED" w14:textId="1B30F8E8" w:rsidR="00B10545" w:rsidRPr="00B10545" w:rsidRDefault="00E41DF3" w:rsidP="00E41DF3">
      <w:pPr>
        <w:ind w:left="720" w:hanging="720"/>
        <w:jc w:val="left"/>
        <w:rPr>
          <w:rFonts w:eastAsia="Aptos" w:cs="Times New Roman"/>
        </w:rPr>
      </w:pPr>
      <w:r>
        <w:rPr>
          <w:rFonts w:eastAsia="Aptos" w:cs="Times New Roman"/>
        </w:rPr>
        <w:t>4.1.17</w:t>
      </w:r>
      <w:r>
        <w:rPr>
          <w:rFonts w:eastAsia="Aptos" w:cs="Times New Roman"/>
        </w:rPr>
        <w:tab/>
      </w:r>
      <w:r w:rsidR="00B10545" w:rsidRPr="00B10545">
        <w:rPr>
          <w:rFonts w:eastAsia="Aptos" w:cs="Times New Roman"/>
        </w:rPr>
        <w:t>Finally, to convert the net requirement for employment space into a gross requirement (the amount of employment space or land to be allocated), an allowance was made for some replacement of losses of existing employment space that may be developed for other, non- B-Class, uses in future.</w:t>
      </w:r>
    </w:p>
    <w:p w14:paraId="1187CF1F" w14:textId="6760F191" w:rsidR="00B10545" w:rsidRPr="00B10545" w:rsidRDefault="00E41DF3" w:rsidP="00E41DF3">
      <w:pPr>
        <w:ind w:left="720" w:hanging="720"/>
        <w:jc w:val="left"/>
        <w:rPr>
          <w:rFonts w:eastAsia="Aptos" w:cs="Times New Roman"/>
        </w:rPr>
      </w:pPr>
      <w:r>
        <w:rPr>
          <w:rFonts w:eastAsia="Aptos" w:cs="Times New Roman"/>
        </w:rPr>
        <w:t>4.1.18</w:t>
      </w:r>
      <w:r>
        <w:rPr>
          <w:rFonts w:eastAsia="Aptos" w:cs="Times New Roman"/>
        </w:rPr>
        <w:tab/>
      </w:r>
      <w:r w:rsidR="00B10545" w:rsidRPr="00B10545">
        <w:rPr>
          <w:rFonts w:eastAsia="Aptos" w:cs="Times New Roman"/>
        </w:rPr>
        <w:t>This was intended to provide some protection against the erosion of employment space over the plan period and provide added flexibility as required by the NPPF</w:t>
      </w:r>
      <w:r w:rsidR="00B10545" w:rsidRPr="00B10545">
        <w:rPr>
          <w:rFonts w:eastAsia="Aptos" w:cs="Times New Roman"/>
          <w:vertAlign w:val="superscript"/>
        </w:rPr>
        <w:footnoteReference w:id="4"/>
      </w:r>
      <w:r w:rsidR="00B10545" w:rsidRPr="00B10545">
        <w:rPr>
          <w:rFonts w:eastAsia="Aptos" w:cs="Times New Roman"/>
        </w:rPr>
        <w:t>.  Again, this is a widely accepted approach in planning for future employment land needs.</w:t>
      </w:r>
    </w:p>
    <w:p w14:paraId="222196C1" w14:textId="1214D3EA" w:rsidR="00B10545" w:rsidRPr="00B10545" w:rsidRDefault="00E41DF3" w:rsidP="00E41DF3">
      <w:pPr>
        <w:ind w:left="720" w:hanging="720"/>
        <w:jc w:val="left"/>
        <w:rPr>
          <w:rFonts w:eastAsia="Aptos" w:cs="Times New Roman"/>
        </w:rPr>
      </w:pPr>
      <w:r>
        <w:rPr>
          <w:rFonts w:eastAsia="Aptos" w:cs="Times New Roman"/>
        </w:rPr>
        <w:t>4.1.19</w:t>
      </w:r>
      <w:r>
        <w:rPr>
          <w:rFonts w:eastAsia="Aptos" w:cs="Times New Roman"/>
        </w:rPr>
        <w:tab/>
      </w:r>
      <w:r w:rsidR="00B10545" w:rsidRPr="00B10545">
        <w:rPr>
          <w:rFonts w:eastAsia="Aptos" w:cs="Times New Roman"/>
        </w:rPr>
        <w:t xml:space="preserve">SEV.28 noted that determining an appropriate scale of re-provision was a judgement for the councils to make to align with their </w:t>
      </w:r>
      <w:proofErr w:type="gramStart"/>
      <w:r w:rsidR="00B10545" w:rsidRPr="00B10545">
        <w:rPr>
          <w:rFonts w:eastAsia="Aptos" w:cs="Times New Roman"/>
        </w:rPr>
        <w:t>particular economic</w:t>
      </w:r>
      <w:proofErr w:type="gramEnd"/>
      <w:r w:rsidR="00B10545" w:rsidRPr="00B10545">
        <w:rPr>
          <w:rFonts w:eastAsia="Aptos" w:cs="Times New Roman"/>
        </w:rPr>
        <w:t xml:space="preserve"> growth and strategic policy considerations.  SEV.28 recommended that in ADC’s case, it may be appropriate for the past trend losses of 8,934 sqm per annum to be projected forward over the plan period.  This would equate to around 27 ha between 2018 and 2038.  This is above the 23 ha that the Council’s Strategic Housing and Economic Land Availability Assessment [SHELAA] had already identified as being suitable for release.</w:t>
      </w:r>
    </w:p>
    <w:p w14:paraId="7DA13051" w14:textId="57E38C24" w:rsidR="00B10545" w:rsidRPr="00B10545" w:rsidRDefault="00E41DF3" w:rsidP="00B10545">
      <w:pPr>
        <w:keepNext/>
        <w:keepLines/>
        <w:spacing w:before="120" w:after="0"/>
        <w:outlineLvl w:val="3"/>
        <w:rPr>
          <w:rFonts w:eastAsia="Times New Roman" w:cs="Times New Roman"/>
          <w:i/>
          <w:iCs/>
          <w:szCs w:val="24"/>
        </w:rPr>
      </w:pPr>
      <w:r w:rsidRPr="00E41DF3">
        <w:rPr>
          <w:rFonts w:eastAsia="Times New Roman" w:cs="Times New Roman"/>
          <w:szCs w:val="24"/>
        </w:rPr>
        <w:t>4.1.20</w:t>
      </w:r>
      <w:r>
        <w:rPr>
          <w:rFonts w:eastAsia="Times New Roman" w:cs="Times New Roman"/>
          <w:i/>
          <w:iCs/>
          <w:szCs w:val="24"/>
        </w:rPr>
        <w:t xml:space="preserve"> </w:t>
      </w:r>
      <w:r w:rsidR="00B10545" w:rsidRPr="00B10545">
        <w:rPr>
          <w:rFonts w:eastAsia="Times New Roman" w:cs="Times New Roman"/>
          <w:i/>
          <w:iCs/>
          <w:szCs w:val="24"/>
        </w:rPr>
        <w:t>Results of the Modelling and Conclusions</w:t>
      </w:r>
    </w:p>
    <w:p w14:paraId="2BC79B33" w14:textId="77777777" w:rsidR="00B10545" w:rsidRPr="00B10545" w:rsidRDefault="00B10545" w:rsidP="00E41DF3">
      <w:pPr>
        <w:ind w:left="720"/>
        <w:jc w:val="left"/>
        <w:rPr>
          <w:rFonts w:eastAsia="Aptos" w:cs="Times New Roman"/>
        </w:rPr>
      </w:pPr>
      <w:r w:rsidRPr="00B10545">
        <w:rPr>
          <w:rFonts w:eastAsia="Aptos" w:cs="Times New Roman"/>
        </w:rPr>
        <w:t xml:space="preserve">In summary, SEV.28 reported that Ashfield District’s net employment land needs ranged from 23,898 sqm of office floorspace and 46.71 ha of industrial / </w:t>
      </w:r>
      <w:r w:rsidRPr="00B10545">
        <w:rPr>
          <w:rFonts w:eastAsia="Aptos" w:cs="Times New Roman"/>
          <w:szCs w:val="21"/>
        </w:rPr>
        <w:t>warehousing</w:t>
      </w:r>
      <w:r w:rsidRPr="00B10545">
        <w:rPr>
          <w:rFonts w:eastAsia="Aptos" w:cs="Times New Roman"/>
        </w:rPr>
        <w:t xml:space="preserve"> land under the 2014-based SNPP labour supply scenario, up to 37,224 sqm of office and 118.9 ha of industrial land based on the Past Take Up scenario.</w:t>
      </w:r>
    </w:p>
    <w:p w14:paraId="2399AC1A" w14:textId="7EAE8ACE" w:rsidR="00B10545" w:rsidRPr="00B10545" w:rsidRDefault="00E41DF3" w:rsidP="00E41DF3">
      <w:pPr>
        <w:ind w:left="720" w:hanging="720"/>
        <w:jc w:val="left"/>
        <w:rPr>
          <w:rFonts w:eastAsia="Aptos" w:cs="Times New Roman"/>
        </w:rPr>
      </w:pPr>
      <w:r>
        <w:rPr>
          <w:rFonts w:eastAsia="Aptos" w:cs="Times New Roman"/>
        </w:rPr>
        <w:lastRenderedPageBreak/>
        <w:t>4.1.21</w:t>
      </w:r>
      <w:r>
        <w:rPr>
          <w:rFonts w:eastAsia="Aptos" w:cs="Times New Roman"/>
        </w:rPr>
        <w:tab/>
      </w:r>
      <w:r w:rsidR="00B10545" w:rsidRPr="00B10545">
        <w:rPr>
          <w:rFonts w:eastAsia="Aptos" w:cs="Times New Roman"/>
        </w:rPr>
        <w:t>The report concluded that for Ashfield District there was an imbalance in the (2018) supply of employment land, at 75 ha, when set against the past take up scenario (119 ha gross):</w:t>
      </w:r>
    </w:p>
    <w:p w14:paraId="596C1A3D" w14:textId="77777777" w:rsidR="00B10545" w:rsidRPr="00B10545" w:rsidRDefault="00B10545" w:rsidP="00E41DF3">
      <w:pPr>
        <w:ind w:left="720"/>
        <w:jc w:val="left"/>
        <w:rPr>
          <w:rFonts w:eastAsia="Aptos" w:cs="Times New Roman"/>
          <w:i/>
          <w:iCs/>
        </w:rPr>
      </w:pPr>
      <w:r w:rsidRPr="00B10545">
        <w:rPr>
          <w:rFonts w:eastAsia="Aptos" w:cs="Times New Roman"/>
        </w:rPr>
        <w:t>“</w:t>
      </w:r>
      <w:r w:rsidRPr="00B10545">
        <w:rPr>
          <w:rFonts w:eastAsia="Aptos" w:cs="Times New Roman"/>
          <w:i/>
          <w:iCs/>
        </w:rPr>
        <w:t xml:space="preserve">This take up figure is likely to have been inflated by some very large B8 distribution sites coming forward most notably the Amazon Distribution depot at Summit Park for c. 19 ha in 2019/20.  The econometric / labour supply modelling, which does not factor in the needs of large scale B8, suggests that a lower level of need equal to between 47- 58 ha could be required for light/general industrial and B8 distribution.  If the Outer HMA authorities are to grasp the opportunity offered by B8 strategic distribution, Ashfield has </w:t>
      </w:r>
      <w:proofErr w:type="gramStart"/>
      <w:r w:rsidRPr="00B10545">
        <w:rPr>
          <w:rFonts w:eastAsia="Aptos" w:cs="Times New Roman"/>
          <w:i/>
          <w:iCs/>
        </w:rPr>
        <w:t>a number of</w:t>
      </w:r>
      <w:proofErr w:type="gramEnd"/>
      <w:r w:rsidRPr="00B10545">
        <w:rPr>
          <w:rFonts w:eastAsia="Aptos" w:cs="Times New Roman"/>
          <w:i/>
          <w:iCs/>
        </w:rPr>
        <w:t xml:space="preserve"> sites in close proximity to M1 junctions which could be considered ideal to accommodate this key growth sector.</w:t>
      </w:r>
    </w:p>
    <w:p w14:paraId="23378A3A" w14:textId="2944E557" w:rsidR="00B10545" w:rsidRPr="00B10545" w:rsidRDefault="00E41DF3" w:rsidP="00E41DF3">
      <w:pPr>
        <w:ind w:left="720" w:hanging="720"/>
        <w:jc w:val="left"/>
        <w:rPr>
          <w:rFonts w:eastAsia="Aptos" w:cs="Times New Roman"/>
        </w:rPr>
      </w:pPr>
      <w:r>
        <w:rPr>
          <w:rFonts w:eastAsia="Aptos" w:cs="Times New Roman"/>
          <w:i/>
          <w:iCs/>
        </w:rPr>
        <w:t>4.1.22</w:t>
      </w:r>
      <w:r>
        <w:rPr>
          <w:rFonts w:eastAsia="Aptos" w:cs="Times New Roman"/>
          <w:i/>
          <w:iCs/>
        </w:rPr>
        <w:tab/>
      </w:r>
      <w:r w:rsidR="00B10545" w:rsidRPr="00B10545">
        <w:rPr>
          <w:rFonts w:eastAsia="Aptos" w:cs="Times New Roman"/>
          <w:i/>
          <w:iCs/>
        </w:rPr>
        <w:t>As discussed above, Lichfields modelled a sensitivity test for Ashfield District, given that the Council provided data on take-up and losses stretching back to 2000/01.  If data over the medium term is used instead, this would point to a lower level of need, between 3,385 sqm and 23,389 sqm for office floorspace, and between 35.03 ha-92.25 ha.  This appears to be a closer fit to the current supply (70 ha), although there would still be a shortfall at the upper end of the range.  The extent to which the Council may wish to take this range into</w:t>
      </w:r>
      <w:r w:rsidR="00B10545" w:rsidRPr="00B10545">
        <w:rPr>
          <w:rFonts w:eastAsia="Aptos" w:cs="Times New Roman"/>
          <w:i/>
          <w:iCs/>
          <w:szCs w:val="24"/>
        </w:rPr>
        <w:t xml:space="preserve"> consideration as part of their Local Plan policy for employment land would be for them to justify</w:t>
      </w:r>
      <w:r w:rsidR="00B10545" w:rsidRPr="00B10545">
        <w:rPr>
          <w:rFonts w:eastAsia="Aptos" w:cs="Times New Roman"/>
          <w:szCs w:val="24"/>
        </w:rPr>
        <w:t>.” [</w:t>
      </w:r>
      <w:r w:rsidR="00B10545" w:rsidRPr="00B10545">
        <w:rPr>
          <w:rFonts w:eastAsia="Aptos" w:cs="Times New Roman"/>
        </w:rPr>
        <w:t>SEV.28, pages 223-224</w:t>
      </w:r>
      <w:r w:rsidR="00B10545" w:rsidRPr="00B10545">
        <w:rPr>
          <w:rFonts w:eastAsia="Aptos" w:cs="Times New Roman"/>
          <w:szCs w:val="24"/>
        </w:rPr>
        <w:t>]</w:t>
      </w:r>
    </w:p>
    <w:p w14:paraId="24BE9469" w14:textId="5AF654CD" w:rsidR="00B10545" w:rsidRPr="00B10545" w:rsidRDefault="00E41DF3" w:rsidP="00B10545">
      <w:pPr>
        <w:keepNext/>
        <w:keepLines/>
        <w:jc w:val="left"/>
        <w:rPr>
          <w:rFonts w:eastAsia="Aptos" w:cs="Times New Roman"/>
          <w:i/>
          <w:iCs/>
        </w:rPr>
      </w:pPr>
      <w:r w:rsidRPr="00E41DF3">
        <w:rPr>
          <w:rFonts w:eastAsia="Aptos" w:cs="Times New Roman"/>
        </w:rPr>
        <w:t>4.1.23</w:t>
      </w:r>
      <w:r>
        <w:rPr>
          <w:rFonts w:eastAsia="Aptos" w:cs="Times New Roman"/>
          <w:i/>
          <w:iCs/>
        </w:rPr>
        <w:tab/>
      </w:r>
      <w:r w:rsidR="00B10545" w:rsidRPr="00B10545">
        <w:rPr>
          <w:rFonts w:eastAsia="Aptos" w:cs="Times New Roman"/>
          <w:i/>
          <w:iCs/>
        </w:rPr>
        <w:t>Updating the analysis in the Background Paper 3 – Economy and Employment Land</w:t>
      </w:r>
    </w:p>
    <w:p w14:paraId="3E50429B" w14:textId="77777777" w:rsidR="00B10545" w:rsidRPr="00B10545" w:rsidRDefault="00B10545" w:rsidP="00E41DF3">
      <w:pPr>
        <w:ind w:left="720"/>
        <w:jc w:val="left"/>
        <w:rPr>
          <w:rFonts w:eastAsia="Aptos" w:cs="Times New Roman"/>
        </w:rPr>
      </w:pPr>
      <w:r w:rsidRPr="00B10545">
        <w:rPr>
          <w:rFonts w:eastAsia="Aptos" w:cs="Times New Roman"/>
        </w:rPr>
        <w:t xml:space="preserve">The modelling work in SEV.28 was partially updated by the report’s authors in October 2023 (in BP.03) to reflect new data relating to past take up and losses, as well as a shortened </w:t>
      </w:r>
      <w:proofErr w:type="gramStart"/>
      <w:r w:rsidRPr="00B10545">
        <w:rPr>
          <w:rFonts w:eastAsia="Aptos" w:cs="Times New Roman"/>
        </w:rPr>
        <w:t>time period</w:t>
      </w:r>
      <w:proofErr w:type="gramEnd"/>
      <w:r w:rsidRPr="00B10545">
        <w:rPr>
          <w:rFonts w:eastAsia="Aptos" w:cs="Times New Roman"/>
        </w:rPr>
        <w:t xml:space="preserve"> of 2023-2040 (rather than 2018-2038) to align with the emerging Local Plan.  The analysis also </w:t>
      </w:r>
      <w:proofErr w:type="gramStart"/>
      <w:r w:rsidRPr="00B10545">
        <w:rPr>
          <w:rFonts w:eastAsia="Aptos" w:cs="Times New Roman"/>
        </w:rPr>
        <w:t>took into account</w:t>
      </w:r>
      <w:proofErr w:type="gramEnd"/>
      <w:r w:rsidRPr="00B10545">
        <w:rPr>
          <w:rFonts w:eastAsia="Aptos" w:cs="Times New Roman"/>
        </w:rPr>
        <w:t xml:space="preserve"> a request by ADC to modify the time period of the past take up scenario, which was shorted to align with the time period used for the other seven Nottinghamshire districts (2011/12-2022/23).  ADC also requested that a lower level of loss replacement (50% rather than 100%) be applied to reflect the reality that a substantial element of past losses related to regenerated coal mine sites and traditional textile factory sites which are no longer available.</w:t>
      </w:r>
    </w:p>
    <w:p w14:paraId="28181292" w14:textId="5F8AC1C0" w:rsidR="00B10545" w:rsidRPr="00B10545" w:rsidRDefault="00E41DF3" w:rsidP="00E41DF3">
      <w:pPr>
        <w:ind w:left="720" w:hanging="720"/>
        <w:jc w:val="left"/>
        <w:rPr>
          <w:rFonts w:eastAsia="Aptos" w:cs="Times New Roman"/>
        </w:rPr>
      </w:pPr>
      <w:r>
        <w:rPr>
          <w:rFonts w:eastAsia="Aptos" w:cs="Times New Roman"/>
        </w:rPr>
        <w:t>4.1.22</w:t>
      </w:r>
      <w:r>
        <w:rPr>
          <w:rFonts w:eastAsia="Aptos" w:cs="Times New Roman"/>
        </w:rPr>
        <w:tab/>
      </w:r>
      <w:r w:rsidR="00B10545" w:rsidRPr="00B10545">
        <w:rPr>
          <w:rFonts w:eastAsia="Aptos" w:cs="Times New Roman"/>
        </w:rPr>
        <w:fldChar w:fldCharType="begin"/>
      </w:r>
      <w:r w:rsidR="00B10545" w:rsidRPr="00B10545">
        <w:rPr>
          <w:rFonts w:eastAsia="Aptos" w:cs="Times New Roman"/>
        </w:rPr>
        <w:instrText xml:space="preserve"> REF _Ref179295989 \h </w:instrText>
      </w:r>
      <w:r w:rsidR="00B10545" w:rsidRPr="00B10545">
        <w:rPr>
          <w:rFonts w:eastAsia="Aptos" w:cs="Times New Roman"/>
        </w:rPr>
      </w:r>
      <w:r w:rsidR="00B10545" w:rsidRPr="00B10545">
        <w:rPr>
          <w:rFonts w:eastAsia="Aptos" w:cs="Times New Roman"/>
        </w:rPr>
        <w:fldChar w:fldCharType="separate"/>
      </w:r>
      <w:r w:rsidR="00B10545" w:rsidRPr="00B10545">
        <w:rPr>
          <w:rFonts w:eastAsia="Aptos" w:cs="Times New Roman"/>
        </w:rPr>
        <w:t>Table 1.</w:t>
      </w:r>
      <w:r w:rsidR="00B10545" w:rsidRPr="00B10545">
        <w:rPr>
          <w:rFonts w:eastAsia="Aptos" w:cs="Times New Roman"/>
          <w:noProof/>
        </w:rPr>
        <w:t>1</w:t>
      </w:r>
      <w:r w:rsidR="00B10545" w:rsidRPr="00B10545">
        <w:rPr>
          <w:rFonts w:eastAsia="Aptos" w:cs="Times New Roman"/>
        </w:rPr>
        <w:fldChar w:fldCharType="end"/>
      </w:r>
      <w:r w:rsidR="00B10545" w:rsidRPr="00B10545">
        <w:rPr>
          <w:rFonts w:eastAsia="Aptos" w:cs="Times New Roman"/>
        </w:rPr>
        <w:t xml:space="preserve"> below summarises the implications of these changes for each scenario.  Unsurprisingly, the consequences of reducing the loss replacement allowance (from 42.03 ha to 11.26 ha for industrial land, and from 10,560 sqm of office to just 737 sqm) and narrowing the Plan period from 20 years to 17 years (with a later base date that excludes much of the growth between 2018-2023) were much lower employment land requirements across </w:t>
      </w:r>
      <w:proofErr w:type="gramStart"/>
      <w:r w:rsidR="00B10545" w:rsidRPr="00B10545">
        <w:rPr>
          <w:rFonts w:eastAsia="Aptos" w:cs="Times New Roman"/>
        </w:rPr>
        <w:t>all of</w:t>
      </w:r>
      <w:proofErr w:type="gramEnd"/>
      <w:r w:rsidR="00B10545" w:rsidRPr="00B10545">
        <w:rPr>
          <w:rFonts w:eastAsia="Aptos" w:cs="Times New Roman"/>
        </w:rPr>
        <w:t xml:space="preserve"> the scenarios.</w:t>
      </w:r>
    </w:p>
    <w:p w14:paraId="3E8D31D9" w14:textId="77777777" w:rsidR="00B10545" w:rsidRPr="00B10545" w:rsidRDefault="00B10545" w:rsidP="00B10545">
      <w:pPr>
        <w:keepNext/>
        <w:pBdr>
          <w:top w:val="single" w:sz="4" w:space="1" w:color="auto"/>
        </w:pBdr>
        <w:spacing w:before="140" w:after="140" w:line="180" w:lineRule="atLeast"/>
        <w:jc w:val="left"/>
        <w:rPr>
          <w:rFonts w:asciiTheme="minorHAnsi" w:hAnsiTheme="minorHAnsi"/>
          <w:kern w:val="2"/>
          <w:sz w:val="22"/>
          <w14:ligatures w14:val="standardContextual"/>
        </w:rPr>
      </w:pPr>
      <w:bookmarkStart w:id="2" w:name="_Ref179295989"/>
      <w:r w:rsidRPr="00B10545">
        <w:rPr>
          <w:rFonts w:asciiTheme="minorHAnsi" w:hAnsiTheme="minorHAnsi"/>
          <w:kern w:val="2"/>
          <w:sz w:val="22"/>
          <w14:ligatures w14:val="standardContextual"/>
        </w:rPr>
        <w:t>Table 1.</w:t>
      </w:r>
      <w:r w:rsidRPr="00B10545">
        <w:rPr>
          <w:rFonts w:asciiTheme="minorHAnsi" w:hAnsiTheme="minorHAnsi"/>
          <w:kern w:val="2"/>
          <w:sz w:val="22"/>
          <w14:ligatures w14:val="standardContextual"/>
        </w:rPr>
        <w:fldChar w:fldCharType="begin"/>
      </w:r>
      <w:r w:rsidRPr="00B10545">
        <w:rPr>
          <w:rFonts w:asciiTheme="minorHAnsi" w:hAnsiTheme="minorHAnsi"/>
          <w:noProof/>
          <w:kern w:val="2"/>
          <w:sz w:val="22"/>
          <w14:ligatures w14:val="standardContextual"/>
        </w:rPr>
        <w:instrText xml:space="preserve"> SEQ Table \* ARABIC \s 1 </w:instrText>
      </w:r>
      <w:r w:rsidRPr="00B10545">
        <w:rPr>
          <w:rFonts w:asciiTheme="minorHAnsi" w:hAnsiTheme="minorHAnsi"/>
          <w:kern w:val="2"/>
          <w:sz w:val="22"/>
          <w14:ligatures w14:val="standardContextual"/>
        </w:rPr>
        <w:fldChar w:fldCharType="separate"/>
      </w:r>
      <w:r w:rsidRPr="00B10545">
        <w:rPr>
          <w:rFonts w:asciiTheme="minorHAnsi" w:hAnsiTheme="minorHAnsi"/>
          <w:noProof/>
          <w:kern w:val="2"/>
          <w:sz w:val="22"/>
          <w14:ligatures w14:val="standardContextual"/>
        </w:rPr>
        <w:t>1</w:t>
      </w:r>
      <w:r w:rsidRPr="00B10545">
        <w:rPr>
          <w:rFonts w:asciiTheme="minorHAnsi" w:hAnsiTheme="minorHAnsi"/>
          <w:kern w:val="2"/>
          <w:sz w:val="22"/>
          <w14:ligatures w14:val="standardContextual"/>
        </w:rPr>
        <w:fldChar w:fldCharType="end"/>
      </w:r>
      <w:bookmarkEnd w:id="2"/>
      <w:r w:rsidRPr="00B10545">
        <w:rPr>
          <w:rFonts w:asciiTheme="minorHAnsi" w:hAnsiTheme="minorHAnsi"/>
          <w:kern w:val="2"/>
          <w:sz w:val="22"/>
          <w14:ligatures w14:val="standardContextual"/>
        </w:rPr>
        <w:t xml:space="preserve"> </w:t>
      </w:r>
      <w:r w:rsidRPr="00B10545">
        <w:rPr>
          <w:rFonts w:asciiTheme="minorHAnsi" w:hAnsiTheme="minorHAnsi"/>
          <w:kern w:val="2"/>
          <w:sz w:val="22"/>
          <w14:ligatures w14:val="standardContextual"/>
        </w:rPr>
        <w:tab/>
        <w:t xml:space="preserve">Gross Floorspace / Land Requirements for </w:t>
      </w:r>
      <w:r w:rsidRPr="00B10545">
        <w:rPr>
          <w:rFonts w:asciiTheme="minorHAnsi" w:hAnsiTheme="minorHAnsi"/>
          <w:bCs/>
          <w:kern w:val="2"/>
          <w:sz w:val="22"/>
          <w14:ligatures w14:val="standardContextual"/>
        </w:rPr>
        <w:t>Ashfield District</w:t>
      </w:r>
      <w:r w:rsidRPr="00B10545">
        <w:rPr>
          <w:rFonts w:asciiTheme="minorHAnsi" w:hAnsiTheme="minorHAnsi"/>
          <w:kern w:val="2"/>
          <w:sz w:val="22"/>
          <w14:ligatures w14:val="standardContextual"/>
        </w:rPr>
        <w:t xml:space="preserve"> (including flexibility factor and losses) for 2018 to 2038</w:t>
      </w:r>
    </w:p>
    <w:tbl>
      <w:tblPr>
        <w:tblStyle w:val="ReportTable1"/>
        <w:tblW w:w="9716" w:type="dxa"/>
        <w:tblInd w:w="-5" w:type="dxa"/>
        <w:tblLook w:val="04A0" w:firstRow="1" w:lastRow="0" w:firstColumn="1" w:lastColumn="0" w:noHBand="0" w:noVBand="1"/>
      </w:tblPr>
      <w:tblGrid>
        <w:gridCol w:w="1684"/>
        <w:gridCol w:w="8"/>
        <w:gridCol w:w="957"/>
        <w:gridCol w:w="1229"/>
        <w:gridCol w:w="6"/>
        <w:gridCol w:w="1503"/>
        <w:gridCol w:w="1058"/>
        <w:gridCol w:w="1396"/>
        <w:gridCol w:w="1875"/>
      </w:tblGrid>
      <w:tr w:rsidR="00B10545" w:rsidRPr="00B10545" w14:paraId="21319326" w14:textId="77777777" w:rsidTr="00B10545">
        <w:tc>
          <w:tcPr>
            <w:tcW w:w="1692"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BE1E42" w14:textId="77777777" w:rsidR="00B10545" w:rsidRPr="00B10545" w:rsidRDefault="00B10545" w:rsidP="00B10545">
            <w:pPr>
              <w:autoSpaceDE w:val="0"/>
              <w:autoSpaceDN w:val="0"/>
              <w:adjustRightInd w:val="0"/>
              <w:jc w:val="left"/>
              <w:rPr>
                <w:rFonts w:cs="Arial"/>
                <w:b/>
                <w:bCs/>
                <w:sz w:val="18"/>
                <w:szCs w:val="18"/>
              </w:rPr>
            </w:pPr>
            <w:r w:rsidRPr="00B10545">
              <w:rPr>
                <w:rFonts w:cs="Arial"/>
                <w:b/>
                <w:bCs/>
                <w:sz w:val="18"/>
                <w:szCs w:val="18"/>
              </w:rPr>
              <w:t>Scenario</w:t>
            </w:r>
          </w:p>
        </w:tc>
        <w:tc>
          <w:tcPr>
            <w:tcW w:w="95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9BAE4F" w14:textId="77777777" w:rsidR="00B10545" w:rsidRPr="00B10545" w:rsidRDefault="00B10545" w:rsidP="00B10545">
            <w:pPr>
              <w:autoSpaceDE w:val="0"/>
              <w:autoSpaceDN w:val="0"/>
              <w:adjustRightInd w:val="0"/>
              <w:jc w:val="center"/>
              <w:rPr>
                <w:rFonts w:cs="Arial"/>
                <w:b/>
                <w:bCs/>
                <w:sz w:val="18"/>
                <w:szCs w:val="18"/>
              </w:rPr>
            </w:pPr>
            <w:r w:rsidRPr="00B10545">
              <w:rPr>
                <w:rFonts w:cs="Arial"/>
                <w:b/>
                <w:bCs/>
                <w:sz w:val="18"/>
                <w:szCs w:val="18"/>
              </w:rPr>
              <w:t>Stage</w:t>
            </w:r>
          </w:p>
        </w:tc>
        <w:tc>
          <w:tcPr>
            <w:tcW w:w="273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7AC87D" w14:textId="77777777" w:rsidR="00B10545" w:rsidRPr="00B10545" w:rsidRDefault="00B10545" w:rsidP="00B10545">
            <w:pPr>
              <w:autoSpaceDE w:val="0"/>
              <w:autoSpaceDN w:val="0"/>
              <w:adjustRightInd w:val="0"/>
              <w:jc w:val="center"/>
              <w:rPr>
                <w:rFonts w:cs="Arial"/>
                <w:b/>
                <w:bCs/>
                <w:sz w:val="18"/>
                <w:szCs w:val="18"/>
              </w:rPr>
            </w:pPr>
            <w:r w:rsidRPr="00B10545">
              <w:rPr>
                <w:rFonts w:cs="Arial"/>
                <w:b/>
                <w:bCs/>
                <w:sz w:val="18"/>
                <w:szCs w:val="18"/>
              </w:rPr>
              <w:t>2021 ELNS (2018-2038)</w:t>
            </w:r>
          </w:p>
        </w:tc>
        <w:tc>
          <w:tcPr>
            <w:tcW w:w="43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6A61AB" w14:textId="77777777" w:rsidR="00B10545" w:rsidRPr="00B10545" w:rsidRDefault="00B10545" w:rsidP="00B10545">
            <w:pPr>
              <w:autoSpaceDE w:val="0"/>
              <w:autoSpaceDN w:val="0"/>
              <w:adjustRightInd w:val="0"/>
              <w:jc w:val="center"/>
              <w:rPr>
                <w:rFonts w:cs="Arial"/>
                <w:b/>
                <w:bCs/>
                <w:sz w:val="18"/>
                <w:szCs w:val="18"/>
              </w:rPr>
            </w:pPr>
            <w:r w:rsidRPr="00B10545">
              <w:rPr>
                <w:rFonts w:cs="Arial"/>
                <w:b/>
                <w:bCs/>
                <w:sz w:val="18"/>
                <w:szCs w:val="18"/>
              </w:rPr>
              <w:t>2023 Update (2023-2040)</w:t>
            </w:r>
          </w:p>
        </w:tc>
      </w:tr>
      <w:tr w:rsidR="00B10545" w:rsidRPr="00B10545" w14:paraId="1D438006" w14:textId="77777777" w:rsidTr="00B10545">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5E6CADC" w14:textId="77777777" w:rsidR="00B10545" w:rsidRPr="00B10545" w:rsidRDefault="00B10545" w:rsidP="00B10545">
            <w:pPr>
              <w:rPr>
                <w:rFonts w:cs="Arial"/>
                <w:b/>
                <w:bCs/>
                <w:kern w:val="2"/>
                <w:sz w:val="18"/>
                <w:szCs w:val="18"/>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011A4A" w14:textId="77777777" w:rsidR="00B10545" w:rsidRPr="00B10545" w:rsidRDefault="00B10545" w:rsidP="00B10545">
            <w:pPr>
              <w:rPr>
                <w:rFonts w:cs="Arial"/>
                <w:b/>
                <w:bCs/>
                <w:kern w:val="2"/>
                <w:sz w:val="18"/>
                <w:szCs w:val="18"/>
                <w14:ligatures w14:val="standardContextual"/>
              </w:rPr>
            </w:pPr>
          </w:p>
        </w:tc>
        <w:tc>
          <w:tcPr>
            <w:tcW w:w="12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5A3D7B" w14:textId="77777777" w:rsidR="00B10545" w:rsidRPr="00B10545" w:rsidRDefault="00B10545" w:rsidP="00B10545">
            <w:pPr>
              <w:autoSpaceDE w:val="0"/>
              <w:autoSpaceDN w:val="0"/>
              <w:adjustRightInd w:val="0"/>
              <w:rPr>
                <w:rFonts w:cs="Arial"/>
                <w:b/>
                <w:bCs/>
                <w:sz w:val="18"/>
                <w:szCs w:val="18"/>
              </w:rPr>
            </w:pPr>
            <w:r w:rsidRPr="00B10545">
              <w:rPr>
                <w:rFonts w:cs="Arial"/>
                <w:b/>
                <w:bCs/>
                <w:sz w:val="18"/>
                <w:szCs w:val="18"/>
              </w:rPr>
              <w:t>Office (sqm)</w:t>
            </w:r>
          </w:p>
        </w:tc>
        <w:tc>
          <w:tcPr>
            <w:tcW w:w="15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F58528" w14:textId="77777777" w:rsidR="00B10545" w:rsidRPr="00B10545" w:rsidRDefault="00B10545" w:rsidP="00B10545">
            <w:pPr>
              <w:autoSpaceDE w:val="0"/>
              <w:autoSpaceDN w:val="0"/>
              <w:adjustRightInd w:val="0"/>
              <w:rPr>
                <w:rFonts w:cs="Arial"/>
                <w:b/>
                <w:bCs/>
                <w:sz w:val="18"/>
                <w:szCs w:val="18"/>
              </w:rPr>
            </w:pPr>
            <w:r w:rsidRPr="00B10545">
              <w:rPr>
                <w:rFonts w:cs="Arial"/>
                <w:b/>
                <w:bCs/>
                <w:sz w:val="18"/>
                <w:szCs w:val="18"/>
              </w:rPr>
              <w:t>Total Industrial (ha)</w:t>
            </w:r>
          </w:p>
        </w:tc>
        <w:tc>
          <w:tcPr>
            <w:tcW w:w="1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022879" w14:textId="77777777" w:rsidR="00B10545" w:rsidRPr="00B10545" w:rsidRDefault="00B10545" w:rsidP="00B10545">
            <w:pPr>
              <w:autoSpaceDE w:val="0"/>
              <w:autoSpaceDN w:val="0"/>
              <w:adjustRightInd w:val="0"/>
              <w:rPr>
                <w:rFonts w:cs="Arial"/>
                <w:b/>
                <w:bCs/>
                <w:sz w:val="18"/>
                <w:szCs w:val="18"/>
              </w:rPr>
            </w:pPr>
            <w:r w:rsidRPr="00B10545">
              <w:rPr>
                <w:rFonts w:cs="Arial"/>
                <w:b/>
                <w:bCs/>
                <w:sz w:val="18"/>
                <w:szCs w:val="18"/>
              </w:rPr>
              <w:t>Office (sqm)</w:t>
            </w: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D774BD" w14:textId="77777777" w:rsidR="00B10545" w:rsidRPr="00B10545" w:rsidRDefault="00B10545" w:rsidP="00B10545">
            <w:pPr>
              <w:autoSpaceDE w:val="0"/>
              <w:autoSpaceDN w:val="0"/>
              <w:adjustRightInd w:val="0"/>
              <w:rPr>
                <w:rFonts w:cs="Arial"/>
                <w:b/>
                <w:bCs/>
                <w:sz w:val="18"/>
                <w:szCs w:val="18"/>
              </w:rPr>
            </w:pPr>
            <w:r w:rsidRPr="00B10545">
              <w:rPr>
                <w:rFonts w:cs="Arial"/>
                <w:b/>
                <w:bCs/>
                <w:sz w:val="18"/>
                <w:szCs w:val="18"/>
              </w:rPr>
              <w:t>Total Industrial (ha)</w:t>
            </w:r>
          </w:p>
        </w:tc>
        <w:tc>
          <w:tcPr>
            <w:tcW w:w="1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A634C6" w14:textId="77777777" w:rsidR="00B10545" w:rsidRPr="00B10545" w:rsidRDefault="00B10545" w:rsidP="00B10545">
            <w:pPr>
              <w:autoSpaceDE w:val="0"/>
              <w:autoSpaceDN w:val="0"/>
              <w:adjustRightInd w:val="0"/>
              <w:rPr>
                <w:rFonts w:cs="Arial"/>
                <w:b/>
                <w:bCs/>
                <w:sz w:val="18"/>
                <w:szCs w:val="18"/>
              </w:rPr>
            </w:pPr>
            <w:r w:rsidRPr="00B10545">
              <w:rPr>
                <w:rFonts w:cs="Arial"/>
                <w:b/>
                <w:bCs/>
                <w:sz w:val="18"/>
                <w:szCs w:val="18"/>
              </w:rPr>
              <w:t>ALL EMPLOYMENT LAND</w:t>
            </w:r>
          </w:p>
        </w:tc>
      </w:tr>
      <w:tr w:rsidR="00B10545" w:rsidRPr="00B10545" w14:paraId="1AF21B47" w14:textId="77777777" w:rsidTr="00B10545">
        <w:tc>
          <w:tcPr>
            <w:tcW w:w="16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19335D4" w14:textId="77777777" w:rsidR="00B10545" w:rsidRPr="00B10545" w:rsidRDefault="00B10545" w:rsidP="00B10545">
            <w:pPr>
              <w:jc w:val="left"/>
              <w:rPr>
                <w:rFonts w:cs="Arial"/>
                <w:sz w:val="18"/>
                <w:szCs w:val="18"/>
              </w:rPr>
            </w:pPr>
            <w:r w:rsidRPr="00B10545">
              <w:rPr>
                <w:rFonts w:eastAsia="Calibri" w:cs="Arial"/>
                <w:b/>
                <w:bCs/>
                <w:sz w:val="18"/>
                <w:szCs w:val="18"/>
              </w:rPr>
              <w:t>1) Experian September 2020 Baseline</w:t>
            </w:r>
          </w:p>
        </w:tc>
        <w:tc>
          <w:tcPr>
            <w:tcW w:w="957" w:type="dxa"/>
            <w:tcBorders>
              <w:top w:val="single" w:sz="4" w:space="0" w:color="auto"/>
              <w:left w:val="single" w:sz="4" w:space="0" w:color="auto"/>
              <w:bottom w:val="single" w:sz="4" w:space="0" w:color="auto"/>
              <w:right w:val="single" w:sz="4" w:space="0" w:color="auto"/>
            </w:tcBorders>
            <w:vAlign w:val="center"/>
            <w:hideMark/>
          </w:tcPr>
          <w:p w14:paraId="4784E314" w14:textId="77777777" w:rsidR="00B10545" w:rsidRPr="00B10545" w:rsidRDefault="00B10545" w:rsidP="00B10545">
            <w:pPr>
              <w:rPr>
                <w:rFonts w:eastAsia="Calibri" w:cs="Arial"/>
                <w:sz w:val="18"/>
                <w:szCs w:val="18"/>
              </w:rPr>
            </w:pPr>
            <w:r w:rsidRPr="00B10545">
              <w:rPr>
                <w:rFonts w:eastAsia="Calibri" w:cs="Arial"/>
                <w:sz w:val="18"/>
                <w:szCs w:val="18"/>
              </w:rPr>
              <w:t>Net</w:t>
            </w:r>
          </w:p>
        </w:tc>
        <w:tc>
          <w:tcPr>
            <w:tcW w:w="1235" w:type="dxa"/>
            <w:gridSpan w:val="2"/>
            <w:tcBorders>
              <w:top w:val="single" w:sz="4" w:space="0" w:color="auto"/>
              <w:left w:val="single" w:sz="4" w:space="0" w:color="auto"/>
              <w:bottom w:val="single" w:sz="4" w:space="0" w:color="auto"/>
              <w:right w:val="single" w:sz="4" w:space="0" w:color="auto"/>
            </w:tcBorders>
            <w:vAlign w:val="center"/>
            <w:hideMark/>
          </w:tcPr>
          <w:p w14:paraId="500840AB" w14:textId="77777777" w:rsidR="00B10545" w:rsidRPr="00B10545" w:rsidRDefault="00B10545" w:rsidP="00B10545">
            <w:pPr>
              <w:rPr>
                <w:rFonts w:eastAsia="Calibri" w:cs="Arial"/>
                <w:sz w:val="18"/>
                <w:szCs w:val="18"/>
              </w:rPr>
            </w:pPr>
            <w:r w:rsidRPr="00B10545">
              <w:rPr>
                <w:rFonts w:eastAsia="Calibri" w:cs="Arial"/>
                <w:sz w:val="18"/>
                <w:szCs w:val="18"/>
              </w:rPr>
              <w:t>10,914</w:t>
            </w:r>
          </w:p>
        </w:tc>
        <w:tc>
          <w:tcPr>
            <w:tcW w:w="1503" w:type="dxa"/>
            <w:tcBorders>
              <w:top w:val="single" w:sz="4" w:space="0" w:color="auto"/>
              <w:left w:val="single" w:sz="4" w:space="0" w:color="auto"/>
              <w:bottom w:val="single" w:sz="4" w:space="0" w:color="auto"/>
              <w:right w:val="single" w:sz="4" w:space="0" w:color="auto"/>
            </w:tcBorders>
            <w:vAlign w:val="center"/>
            <w:hideMark/>
          </w:tcPr>
          <w:p w14:paraId="67A5C81F" w14:textId="77777777" w:rsidR="00B10545" w:rsidRPr="00B10545" w:rsidRDefault="00B10545" w:rsidP="00B10545">
            <w:pPr>
              <w:rPr>
                <w:rFonts w:eastAsia="Calibri" w:cs="Arial"/>
                <w:sz w:val="18"/>
                <w:szCs w:val="18"/>
              </w:rPr>
            </w:pPr>
            <w:r w:rsidRPr="00B10545">
              <w:rPr>
                <w:rFonts w:eastAsia="Calibri" w:cs="Arial"/>
                <w:sz w:val="18"/>
                <w:szCs w:val="18"/>
              </w:rPr>
              <w:t>-2.31</w:t>
            </w:r>
          </w:p>
        </w:tc>
        <w:tc>
          <w:tcPr>
            <w:tcW w:w="1058" w:type="dxa"/>
            <w:tcBorders>
              <w:top w:val="single" w:sz="4" w:space="0" w:color="auto"/>
              <w:left w:val="single" w:sz="4" w:space="0" w:color="auto"/>
              <w:bottom w:val="single" w:sz="4" w:space="0" w:color="auto"/>
              <w:right w:val="single" w:sz="4" w:space="0" w:color="auto"/>
            </w:tcBorders>
            <w:vAlign w:val="center"/>
            <w:hideMark/>
          </w:tcPr>
          <w:p w14:paraId="5DFB2B98" w14:textId="77777777" w:rsidR="00B10545" w:rsidRPr="00B10545" w:rsidRDefault="00B10545" w:rsidP="00B10545">
            <w:pPr>
              <w:rPr>
                <w:rFonts w:eastAsia="Calibri" w:cs="Arial"/>
                <w:sz w:val="18"/>
                <w:szCs w:val="18"/>
              </w:rPr>
            </w:pPr>
            <w:r w:rsidRPr="00B10545">
              <w:rPr>
                <w:rFonts w:eastAsia="Calibri" w:cs="Arial"/>
                <w:sz w:val="18"/>
                <w:szCs w:val="18"/>
              </w:rPr>
              <w:t>6,626</w:t>
            </w:r>
          </w:p>
        </w:tc>
        <w:tc>
          <w:tcPr>
            <w:tcW w:w="1396" w:type="dxa"/>
            <w:tcBorders>
              <w:top w:val="single" w:sz="4" w:space="0" w:color="auto"/>
              <w:left w:val="single" w:sz="4" w:space="0" w:color="auto"/>
              <w:bottom w:val="single" w:sz="4" w:space="0" w:color="auto"/>
              <w:right w:val="single" w:sz="4" w:space="0" w:color="auto"/>
            </w:tcBorders>
            <w:vAlign w:val="center"/>
            <w:hideMark/>
          </w:tcPr>
          <w:p w14:paraId="07C45A5D" w14:textId="77777777" w:rsidR="00B10545" w:rsidRPr="00B10545" w:rsidRDefault="00B10545" w:rsidP="00B10545">
            <w:pPr>
              <w:rPr>
                <w:rFonts w:eastAsia="Calibri" w:cs="Arial"/>
                <w:sz w:val="18"/>
                <w:szCs w:val="18"/>
              </w:rPr>
            </w:pPr>
            <w:r w:rsidRPr="00B10545">
              <w:rPr>
                <w:rFonts w:eastAsia="Calibri" w:cs="Arial"/>
                <w:sz w:val="18"/>
                <w:szCs w:val="18"/>
              </w:rPr>
              <w:t>-0.76</w:t>
            </w:r>
          </w:p>
        </w:tc>
        <w:tc>
          <w:tcPr>
            <w:tcW w:w="1875" w:type="dxa"/>
            <w:tcBorders>
              <w:top w:val="single" w:sz="4" w:space="0" w:color="auto"/>
              <w:left w:val="single" w:sz="4" w:space="0" w:color="auto"/>
              <w:bottom w:val="single" w:sz="4" w:space="0" w:color="auto"/>
              <w:right w:val="single" w:sz="4" w:space="0" w:color="auto"/>
            </w:tcBorders>
            <w:vAlign w:val="center"/>
            <w:hideMark/>
          </w:tcPr>
          <w:p w14:paraId="12CB43BB" w14:textId="77777777" w:rsidR="00B10545" w:rsidRPr="00B10545" w:rsidRDefault="00B10545" w:rsidP="00B10545">
            <w:pPr>
              <w:rPr>
                <w:rFonts w:eastAsia="Calibri" w:cs="Arial"/>
                <w:sz w:val="18"/>
                <w:szCs w:val="18"/>
              </w:rPr>
            </w:pPr>
            <w:r w:rsidRPr="00B10545">
              <w:rPr>
                <w:rFonts w:eastAsia="Calibri" w:cs="Arial"/>
                <w:sz w:val="18"/>
                <w:szCs w:val="18"/>
              </w:rPr>
              <w:t>0.90</w:t>
            </w:r>
          </w:p>
        </w:tc>
      </w:tr>
      <w:tr w:rsidR="00B10545" w:rsidRPr="00B10545" w14:paraId="5CDFAE83" w14:textId="77777777" w:rsidTr="00B10545">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50D2B10" w14:textId="77777777" w:rsidR="00B10545" w:rsidRPr="00B10545" w:rsidRDefault="00B10545" w:rsidP="00B10545">
            <w:pPr>
              <w:rPr>
                <w:rFonts w:cs="Arial"/>
                <w:kern w:val="2"/>
                <w:sz w:val="18"/>
                <w:szCs w:val="18"/>
                <w14:ligatures w14:val="standardContextual"/>
              </w:rPr>
            </w:pPr>
          </w:p>
        </w:tc>
        <w:tc>
          <w:tcPr>
            <w:tcW w:w="957" w:type="dxa"/>
            <w:tcBorders>
              <w:top w:val="single" w:sz="4" w:space="0" w:color="auto"/>
              <w:left w:val="single" w:sz="4" w:space="0" w:color="auto"/>
              <w:bottom w:val="single" w:sz="4" w:space="0" w:color="auto"/>
              <w:right w:val="single" w:sz="4" w:space="0" w:color="auto"/>
            </w:tcBorders>
            <w:vAlign w:val="center"/>
            <w:hideMark/>
          </w:tcPr>
          <w:p w14:paraId="7539EE75" w14:textId="77777777" w:rsidR="00B10545" w:rsidRPr="00B10545" w:rsidRDefault="00B10545" w:rsidP="00B10545">
            <w:pPr>
              <w:rPr>
                <w:rFonts w:eastAsia="Calibri" w:cs="Arial"/>
                <w:sz w:val="18"/>
                <w:szCs w:val="18"/>
              </w:rPr>
            </w:pPr>
            <w:r w:rsidRPr="00B10545">
              <w:rPr>
                <w:rFonts w:eastAsia="Calibri" w:cs="Arial"/>
                <w:sz w:val="18"/>
                <w:szCs w:val="18"/>
              </w:rPr>
              <w:t>Flexibility</w:t>
            </w:r>
          </w:p>
        </w:tc>
        <w:tc>
          <w:tcPr>
            <w:tcW w:w="1235" w:type="dxa"/>
            <w:gridSpan w:val="2"/>
            <w:tcBorders>
              <w:top w:val="single" w:sz="4" w:space="0" w:color="auto"/>
              <w:left w:val="single" w:sz="4" w:space="0" w:color="auto"/>
              <w:bottom w:val="single" w:sz="4" w:space="0" w:color="auto"/>
              <w:right w:val="single" w:sz="4" w:space="0" w:color="auto"/>
            </w:tcBorders>
            <w:vAlign w:val="center"/>
            <w:hideMark/>
          </w:tcPr>
          <w:p w14:paraId="4A7E030D" w14:textId="77777777" w:rsidR="00B10545" w:rsidRPr="00B10545" w:rsidRDefault="00B10545" w:rsidP="00B10545">
            <w:pPr>
              <w:rPr>
                <w:rFonts w:eastAsia="Calibri" w:cs="Arial"/>
                <w:sz w:val="18"/>
                <w:szCs w:val="18"/>
              </w:rPr>
            </w:pPr>
            <w:r w:rsidRPr="00B10545">
              <w:rPr>
                <w:rFonts w:eastAsia="Calibri" w:cs="Arial"/>
                <w:sz w:val="18"/>
                <w:szCs w:val="18"/>
              </w:rPr>
              <w:t>2,424</w:t>
            </w:r>
          </w:p>
        </w:tc>
        <w:tc>
          <w:tcPr>
            <w:tcW w:w="1503" w:type="dxa"/>
            <w:tcBorders>
              <w:top w:val="single" w:sz="4" w:space="0" w:color="auto"/>
              <w:left w:val="single" w:sz="4" w:space="0" w:color="auto"/>
              <w:bottom w:val="single" w:sz="4" w:space="0" w:color="auto"/>
              <w:right w:val="single" w:sz="4" w:space="0" w:color="auto"/>
            </w:tcBorders>
            <w:vAlign w:val="center"/>
            <w:hideMark/>
          </w:tcPr>
          <w:p w14:paraId="5F47F000" w14:textId="77777777" w:rsidR="00B10545" w:rsidRPr="00B10545" w:rsidRDefault="00B10545" w:rsidP="00B10545">
            <w:pPr>
              <w:rPr>
                <w:rFonts w:eastAsia="Calibri" w:cs="Arial"/>
                <w:sz w:val="18"/>
                <w:szCs w:val="18"/>
              </w:rPr>
            </w:pPr>
            <w:r w:rsidRPr="00B10545">
              <w:rPr>
                <w:rFonts w:eastAsia="Calibri" w:cs="Arial"/>
                <w:sz w:val="18"/>
                <w:szCs w:val="18"/>
              </w:rPr>
              <w:t>6.99</w:t>
            </w:r>
          </w:p>
        </w:tc>
        <w:tc>
          <w:tcPr>
            <w:tcW w:w="1058" w:type="dxa"/>
            <w:tcBorders>
              <w:top w:val="single" w:sz="4" w:space="0" w:color="auto"/>
              <w:left w:val="single" w:sz="4" w:space="0" w:color="auto"/>
              <w:bottom w:val="single" w:sz="4" w:space="0" w:color="auto"/>
              <w:right w:val="single" w:sz="4" w:space="0" w:color="auto"/>
            </w:tcBorders>
            <w:vAlign w:val="center"/>
            <w:hideMark/>
          </w:tcPr>
          <w:p w14:paraId="65CF0784" w14:textId="77777777" w:rsidR="00B10545" w:rsidRPr="00B10545" w:rsidRDefault="00B10545" w:rsidP="00B10545">
            <w:pPr>
              <w:rPr>
                <w:rFonts w:eastAsia="Calibri" w:cs="Arial"/>
                <w:sz w:val="18"/>
                <w:szCs w:val="18"/>
              </w:rPr>
            </w:pPr>
            <w:r w:rsidRPr="00B10545">
              <w:rPr>
                <w:rFonts w:eastAsia="Calibri" w:cs="Arial"/>
                <w:sz w:val="18"/>
                <w:szCs w:val="18"/>
              </w:rPr>
              <w:t>73</w:t>
            </w:r>
          </w:p>
        </w:tc>
        <w:tc>
          <w:tcPr>
            <w:tcW w:w="1396" w:type="dxa"/>
            <w:tcBorders>
              <w:top w:val="single" w:sz="4" w:space="0" w:color="auto"/>
              <w:left w:val="single" w:sz="4" w:space="0" w:color="auto"/>
              <w:bottom w:val="single" w:sz="4" w:space="0" w:color="auto"/>
              <w:right w:val="single" w:sz="4" w:space="0" w:color="auto"/>
            </w:tcBorders>
            <w:vAlign w:val="center"/>
            <w:hideMark/>
          </w:tcPr>
          <w:p w14:paraId="526032C9" w14:textId="77777777" w:rsidR="00B10545" w:rsidRPr="00B10545" w:rsidRDefault="00B10545" w:rsidP="00B10545">
            <w:pPr>
              <w:rPr>
                <w:rFonts w:eastAsia="Calibri" w:cs="Arial"/>
                <w:sz w:val="18"/>
                <w:szCs w:val="18"/>
              </w:rPr>
            </w:pPr>
            <w:r w:rsidRPr="00B10545">
              <w:rPr>
                <w:rFonts w:eastAsia="Calibri" w:cs="Arial"/>
                <w:sz w:val="18"/>
                <w:szCs w:val="18"/>
              </w:rPr>
              <w:t>7.30</w:t>
            </w:r>
          </w:p>
        </w:tc>
        <w:tc>
          <w:tcPr>
            <w:tcW w:w="1875" w:type="dxa"/>
            <w:tcBorders>
              <w:top w:val="single" w:sz="4" w:space="0" w:color="auto"/>
              <w:left w:val="single" w:sz="4" w:space="0" w:color="auto"/>
              <w:bottom w:val="single" w:sz="4" w:space="0" w:color="auto"/>
              <w:right w:val="single" w:sz="4" w:space="0" w:color="auto"/>
            </w:tcBorders>
            <w:vAlign w:val="center"/>
            <w:hideMark/>
          </w:tcPr>
          <w:p w14:paraId="4F892F12" w14:textId="77777777" w:rsidR="00B10545" w:rsidRPr="00B10545" w:rsidRDefault="00B10545" w:rsidP="00B10545">
            <w:pPr>
              <w:rPr>
                <w:rFonts w:eastAsia="Calibri" w:cs="Arial"/>
                <w:sz w:val="18"/>
                <w:szCs w:val="18"/>
              </w:rPr>
            </w:pPr>
            <w:r w:rsidRPr="00B10545">
              <w:rPr>
                <w:rFonts w:eastAsia="Calibri" w:cs="Arial"/>
                <w:sz w:val="18"/>
                <w:szCs w:val="18"/>
              </w:rPr>
              <w:t>7.32</w:t>
            </w:r>
          </w:p>
        </w:tc>
      </w:tr>
      <w:tr w:rsidR="00B10545" w:rsidRPr="00B10545" w14:paraId="662E2B96" w14:textId="77777777" w:rsidTr="00B10545">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C36C3CA" w14:textId="77777777" w:rsidR="00B10545" w:rsidRPr="00B10545" w:rsidRDefault="00B10545" w:rsidP="00B10545">
            <w:pPr>
              <w:rPr>
                <w:rFonts w:cs="Arial"/>
                <w:kern w:val="2"/>
                <w:sz w:val="18"/>
                <w:szCs w:val="18"/>
                <w14:ligatures w14:val="standardContextual"/>
              </w:rPr>
            </w:pPr>
          </w:p>
        </w:tc>
        <w:tc>
          <w:tcPr>
            <w:tcW w:w="957" w:type="dxa"/>
            <w:tcBorders>
              <w:top w:val="single" w:sz="4" w:space="0" w:color="auto"/>
              <w:left w:val="single" w:sz="4" w:space="0" w:color="auto"/>
              <w:bottom w:val="single" w:sz="4" w:space="0" w:color="auto"/>
              <w:right w:val="single" w:sz="4" w:space="0" w:color="auto"/>
            </w:tcBorders>
            <w:vAlign w:val="center"/>
            <w:hideMark/>
          </w:tcPr>
          <w:p w14:paraId="2C01DAF3" w14:textId="77777777" w:rsidR="00B10545" w:rsidRPr="00B10545" w:rsidRDefault="00B10545" w:rsidP="00B10545">
            <w:pPr>
              <w:rPr>
                <w:rFonts w:eastAsia="Calibri" w:cs="Arial"/>
                <w:sz w:val="18"/>
                <w:szCs w:val="18"/>
              </w:rPr>
            </w:pPr>
            <w:r w:rsidRPr="00B10545">
              <w:rPr>
                <w:rFonts w:eastAsia="Calibri" w:cs="Arial"/>
                <w:sz w:val="18"/>
                <w:szCs w:val="18"/>
              </w:rPr>
              <w:t>Loss</w:t>
            </w:r>
          </w:p>
        </w:tc>
        <w:tc>
          <w:tcPr>
            <w:tcW w:w="1235" w:type="dxa"/>
            <w:gridSpan w:val="2"/>
            <w:tcBorders>
              <w:top w:val="single" w:sz="4" w:space="0" w:color="auto"/>
              <w:left w:val="single" w:sz="4" w:space="0" w:color="auto"/>
              <w:bottom w:val="single" w:sz="4" w:space="0" w:color="auto"/>
              <w:right w:val="single" w:sz="4" w:space="0" w:color="auto"/>
            </w:tcBorders>
            <w:vAlign w:val="center"/>
            <w:hideMark/>
          </w:tcPr>
          <w:p w14:paraId="5E396974" w14:textId="77777777" w:rsidR="00B10545" w:rsidRPr="00B10545" w:rsidRDefault="00B10545" w:rsidP="00B10545">
            <w:pPr>
              <w:rPr>
                <w:rFonts w:eastAsia="Calibri" w:cs="Arial"/>
                <w:sz w:val="18"/>
                <w:szCs w:val="18"/>
              </w:rPr>
            </w:pPr>
            <w:r w:rsidRPr="00B10545">
              <w:rPr>
                <w:rFonts w:eastAsia="Calibri" w:cs="Arial"/>
                <w:sz w:val="18"/>
                <w:szCs w:val="18"/>
              </w:rPr>
              <w:t>10,560</w:t>
            </w:r>
          </w:p>
        </w:tc>
        <w:tc>
          <w:tcPr>
            <w:tcW w:w="1503" w:type="dxa"/>
            <w:tcBorders>
              <w:top w:val="single" w:sz="4" w:space="0" w:color="auto"/>
              <w:left w:val="single" w:sz="4" w:space="0" w:color="auto"/>
              <w:bottom w:val="single" w:sz="4" w:space="0" w:color="auto"/>
              <w:right w:val="single" w:sz="4" w:space="0" w:color="auto"/>
            </w:tcBorders>
            <w:vAlign w:val="center"/>
            <w:hideMark/>
          </w:tcPr>
          <w:p w14:paraId="5B8F646D" w14:textId="77777777" w:rsidR="00B10545" w:rsidRPr="00B10545" w:rsidRDefault="00B10545" w:rsidP="00B10545">
            <w:pPr>
              <w:rPr>
                <w:rFonts w:eastAsia="Calibri" w:cs="Arial"/>
                <w:sz w:val="18"/>
                <w:szCs w:val="18"/>
              </w:rPr>
            </w:pPr>
            <w:r w:rsidRPr="00B10545">
              <w:rPr>
                <w:rFonts w:eastAsia="Calibri" w:cs="Arial"/>
                <w:sz w:val="18"/>
                <w:szCs w:val="18"/>
              </w:rPr>
              <w:t>42.03</w:t>
            </w:r>
          </w:p>
        </w:tc>
        <w:tc>
          <w:tcPr>
            <w:tcW w:w="1058" w:type="dxa"/>
            <w:tcBorders>
              <w:top w:val="single" w:sz="4" w:space="0" w:color="auto"/>
              <w:left w:val="single" w:sz="4" w:space="0" w:color="auto"/>
              <w:bottom w:val="single" w:sz="4" w:space="0" w:color="auto"/>
              <w:right w:val="single" w:sz="4" w:space="0" w:color="auto"/>
            </w:tcBorders>
            <w:vAlign w:val="center"/>
            <w:hideMark/>
          </w:tcPr>
          <w:p w14:paraId="270C88E9" w14:textId="77777777" w:rsidR="00B10545" w:rsidRPr="00B10545" w:rsidRDefault="00B10545" w:rsidP="00B10545">
            <w:pPr>
              <w:rPr>
                <w:rFonts w:eastAsia="Calibri" w:cs="Arial"/>
                <w:sz w:val="18"/>
                <w:szCs w:val="18"/>
              </w:rPr>
            </w:pPr>
            <w:r w:rsidRPr="00B10545">
              <w:rPr>
                <w:rFonts w:eastAsia="Calibri" w:cs="Arial"/>
                <w:sz w:val="18"/>
                <w:szCs w:val="18"/>
              </w:rPr>
              <w:t>737</w:t>
            </w:r>
          </w:p>
        </w:tc>
        <w:tc>
          <w:tcPr>
            <w:tcW w:w="1396" w:type="dxa"/>
            <w:tcBorders>
              <w:top w:val="single" w:sz="4" w:space="0" w:color="auto"/>
              <w:left w:val="single" w:sz="4" w:space="0" w:color="auto"/>
              <w:bottom w:val="single" w:sz="4" w:space="0" w:color="auto"/>
              <w:right w:val="single" w:sz="4" w:space="0" w:color="auto"/>
            </w:tcBorders>
            <w:vAlign w:val="center"/>
            <w:hideMark/>
          </w:tcPr>
          <w:p w14:paraId="26ED07EC" w14:textId="77777777" w:rsidR="00B10545" w:rsidRPr="00B10545" w:rsidRDefault="00B10545" w:rsidP="00B10545">
            <w:pPr>
              <w:rPr>
                <w:rFonts w:eastAsia="Calibri" w:cs="Arial"/>
                <w:sz w:val="18"/>
                <w:szCs w:val="18"/>
              </w:rPr>
            </w:pPr>
            <w:r w:rsidRPr="00B10545">
              <w:rPr>
                <w:rFonts w:eastAsia="Calibri" w:cs="Arial"/>
                <w:sz w:val="18"/>
                <w:szCs w:val="18"/>
              </w:rPr>
              <w:t>11.26</w:t>
            </w:r>
          </w:p>
        </w:tc>
        <w:tc>
          <w:tcPr>
            <w:tcW w:w="1875" w:type="dxa"/>
            <w:tcBorders>
              <w:top w:val="single" w:sz="4" w:space="0" w:color="auto"/>
              <w:left w:val="single" w:sz="4" w:space="0" w:color="auto"/>
              <w:bottom w:val="single" w:sz="4" w:space="0" w:color="auto"/>
              <w:right w:val="single" w:sz="4" w:space="0" w:color="auto"/>
            </w:tcBorders>
            <w:vAlign w:val="center"/>
            <w:hideMark/>
          </w:tcPr>
          <w:p w14:paraId="6E55A1D4" w14:textId="77777777" w:rsidR="00B10545" w:rsidRPr="00B10545" w:rsidRDefault="00B10545" w:rsidP="00B10545">
            <w:pPr>
              <w:rPr>
                <w:rFonts w:eastAsia="Calibri" w:cs="Arial"/>
                <w:sz w:val="18"/>
                <w:szCs w:val="18"/>
              </w:rPr>
            </w:pPr>
            <w:r w:rsidRPr="00B10545">
              <w:rPr>
                <w:rFonts w:eastAsia="Calibri" w:cs="Arial"/>
                <w:sz w:val="18"/>
                <w:szCs w:val="18"/>
              </w:rPr>
              <w:t>11.44</w:t>
            </w:r>
          </w:p>
        </w:tc>
      </w:tr>
      <w:tr w:rsidR="00B10545" w:rsidRPr="00B10545" w14:paraId="0238A984" w14:textId="77777777" w:rsidTr="00B10545">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44B1726" w14:textId="77777777" w:rsidR="00B10545" w:rsidRPr="00B10545" w:rsidRDefault="00B10545" w:rsidP="00B10545">
            <w:pPr>
              <w:rPr>
                <w:rFonts w:cs="Arial"/>
                <w:kern w:val="2"/>
                <w:sz w:val="18"/>
                <w:szCs w:val="18"/>
                <w14:ligatures w14:val="standardContextual"/>
              </w:rPr>
            </w:pPr>
          </w:p>
        </w:tc>
        <w:tc>
          <w:tcPr>
            <w:tcW w:w="957" w:type="dxa"/>
            <w:tcBorders>
              <w:top w:val="single" w:sz="4" w:space="0" w:color="auto"/>
              <w:left w:val="single" w:sz="4" w:space="0" w:color="auto"/>
              <w:bottom w:val="single" w:sz="4" w:space="0" w:color="auto"/>
              <w:right w:val="single" w:sz="4" w:space="0" w:color="auto"/>
            </w:tcBorders>
            <w:vAlign w:val="center"/>
            <w:hideMark/>
          </w:tcPr>
          <w:p w14:paraId="1FC3D7BC" w14:textId="77777777" w:rsidR="00B10545" w:rsidRPr="00B10545" w:rsidRDefault="00B10545" w:rsidP="00B10545">
            <w:pPr>
              <w:rPr>
                <w:rFonts w:eastAsia="Calibri" w:cs="Arial"/>
                <w:sz w:val="18"/>
                <w:szCs w:val="18"/>
              </w:rPr>
            </w:pPr>
            <w:r w:rsidRPr="00B10545">
              <w:rPr>
                <w:rFonts w:eastAsia="Calibri" w:cs="Arial"/>
                <w:sz w:val="18"/>
                <w:szCs w:val="18"/>
              </w:rPr>
              <w:t>Gross</w:t>
            </w:r>
          </w:p>
        </w:tc>
        <w:tc>
          <w:tcPr>
            <w:tcW w:w="1235" w:type="dxa"/>
            <w:gridSpan w:val="2"/>
            <w:tcBorders>
              <w:top w:val="single" w:sz="4" w:space="0" w:color="auto"/>
              <w:left w:val="single" w:sz="4" w:space="0" w:color="auto"/>
              <w:bottom w:val="single" w:sz="4" w:space="0" w:color="auto"/>
              <w:right w:val="single" w:sz="4" w:space="0" w:color="auto"/>
            </w:tcBorders>
            <w:vAlign w:val="center"/>
            <w:hideMark/>
          </w:tcPr>
          <w:p w14:paraId="3738135A" w14:textId="77777777" w:rsidR="00B10545" w:rsidRPr="00B10545" w:rsidRDefault="00B10545" w:rsidP="00B10545">
            <w:pPr>
              <w:rPr>
                <w:rFonts w:eastAsia="Calibri" w:cs="Arial"/>
                <w:b/>
                <w:bCs/>
                <w:sz w:val="18"/>
                <w:szCs w:val="18"/>
              </w:rPr>
            </w:pPr>
            <w:r w:rsidRPr="00B10545">
              <w:rPr>
                <w:rFonts w:eastAsia="Calibri" w:cs="Arial"/>
                <w:b/>
                <w:bCs/>
                <w:sz w:val="18"/>
                <w:szCs w:val="18"/>
              </w:rPr>
              <w:t>23,898</w:t>
            </w:r>
          </w:p>
        </w:tc>
        <w:tc>
          <w:tcPr>
            <w:tcW w:w="1503" w:type="dxa"/>
            <w:tcBorders>
              <w:top w:val="single" w:sz="4" w:space="0" w:color="auto"/>
              <w:left w:val="single" w:sz="4" w:space="0" w:color="auto"/>
              <w:bottom w:val="single" w:sz="4" w:space="0" w:color="auto"/>
              <w:right w:val="single" w:sz="4" w:space="0" w:color="auto"/>
            </w:tcBorders>
            <w:vAlign w:val="center"/>
            <w:hideMark/>
          </w:tcPr>
          <w:p w14:paraId="7D4B252E" w14:textId="77777777" w:rsidR="00B10545" w:rsidRPr="00B10545" w:rsidRDefault="00B10545" w:rsidP="00B10545">
            <w:pPr>
              <w:rPr>
                <w:rFonts w:eastAsia="Calibri" w:cs="Arial"/>
                <w:b/>
                <w:bCs/>
                <w:sz w:val="18"/>
                <w:szCs w:val="18"/>
              </w:rPr>
            </w:pPr>
            <w:r w:rsidRPr="00B10545">
              <w:rPr>
                <w:rFonts w:eastAsia="Calibri" w:cs="Arial"/>
                <w:b/>
                <w:bCs/>
                <w:sz w:val="18"/>
                <w:szCs w:val="18"/>
              </w:rPr>
              <w:t>46.71</w:t>
            </w:r>
          </w:p>
        </w:tc>
        <w:tc>
          <w:tcPr>
            <w:tcW w:w="1058" w:type="dxa"/>
            <w:tcBorders>
              <w:top w:val="single" w:sz="4" w:space="0" w:color="auto"/>
              <w:left w:val="single" w:sz="4" w:space="0" w:color="auto"/>
              <w:bottom w:val="single" w:sz="4" w:space="0" w:color="auto"/>
              <w:right w:val="single" w:sz="4" w:space="0" w:color="auto"/>
            </w:tcBorders>
            <w:vAlign w:val="center"/>
            <w:hideMark/>
          </w:tcPr>
          <w:p w14:paraId="46DE4C79" w14:textId="77777777" w:rsidR="00B10545" w:rsidRPr="00B10545" w:rsidRDefault="00B10545" w:rsidP="00B10545">
            <w:pPr>
              <w:rPr>
                <w:rFonts w:eastAsia="Calibri" w:cs="Arial"/>
                <w:b/>
                <w:bCs/>
                <w:sz w:val="18"/>
                <w:szCs w:val="18"/>
              </w:rPr>
            </w:pPr>
            <w:r w:rsidRPr="00B10545">
              <w:rPr>
                <w:rFonts w:eastAsia="Calibri" w:cs="Arial"/>
                <w:b/>
                <w:bCs/>
                <w:sz w:val="18"/>
                <w:szCs w:val="18"/>
              </w:rPr>
              <w:t>7,436</w:t>
            </w:r>
          </w:p>
        </w:tc>
        <w:tc>
          <w:tcPr>
            <w:tcW w:w="1396" w:type="dxa"/>
            <w:tcBorders>
              <w:top w:val="single" w:sz="4" w:space="0" w:color="auto"/>
              <w:left w:val="single" w:sz="4" w:space="0" w:color="auto"/>
              <w:bottom w:val="single" w:sz="4" w:space="0" w:color="auto"/>
              <w:right w:val="single" w:sz="4" w:space="0" w:color="auto"/>
            </w:tcBorders>
            <w:vAlign w:val="center"/>
            <w:hideMark/>
          </w:tcPr>
          <w:p w14:paraId="5928940C" w14:textId="77777777" w:rsidR="00B10545" w:rsidRPr="00B10545" w:rsidRDefault="00B10545" w:rsidP="00B10545">
            <w:pPr>
              <w:rPr>
                <w:rFonts w:eastAsia="Calibri" w:cs="Arial"/>
                <w:b/>
                <w:bCs/>
                <w:sz w:val="18"/>
                <w:szCs w:val="18"/>
              </w:rPr>
            </w:pPr>
            <w:r w:rsidRPr="00B10545">
              <w:rPr>
                <w:rFonts w:eastAsia="Calibri" w:cs="Arial"/>
                <w:b/>
                <w:bCs/>
                <w:sz w:val="18"/>
                <w:szCs w:val="18"/>
              </w:rPr>
              <w:t>17.80</w:t>
            </w:r>
          </w:p>
        </w:tc>
        <w:tc>
          <w:tcPr>
            <w:tcW w:w="1875" w:type="dxa"/>
            <w:tcBorders>
              <w:top w:val="single" w:sz="4" w:space="0" w:color="auto"/>
              <w:left w:val="single" w:sz="4" w:space="0" w:color="auto"/>
              <w:bottom w:val="single" w:sz="4" w:space="0" w:color="auto"/>
              <w:right w:val="single" w:sz="4" w:space="0" w:color="auto"/>
            </w:tcBorders>
            <w:vAlign w:val="center"/>
            <w:hideMark/>
          </w:tcPr>
          <w:p w14:paraId="04C48540" w14:textId="77777777" w:rsidR="00B10545" w:rsidRPr="00B10545" w:rsidRDefault="00B10545" w:rsidP="00B10545">
            <w:pPr>
              <w:rPr>
                <w:rFonts w:eastAsia="Calibri" w:cs="Arial"/>
                <w:b/>
                <w:bCs/>
                <w:sz w:val="18"/>
                <w:szCs w:val="18"/>
              </w:rPr>
            </w:pPr>
            <w:r w:rsidRPr="00B10545">
              <w:rPr>
                <w:rFonts w:eastAsia="Calibri" w:cs="Arial"/>
                <w:b/>
                <w:bCs/>
                <w:sz w:val="18"/>
                <w:szCs w:val="18"/>
              </w:rPr>
              <w:t>19.65</w:t>
            </w:r>
          </w:p>
        </w:tc>
      </w:tr>
      <w:tr w:rsidR="00B10545" w:rsidRPr="00B10545" w14:paraId="6EFA784B" w14:textId="77777777" w:rsidTr="00B10545">
        <w:tc>
          <w:tcPr>
            <w:tcW w:w="16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2CBE872" w14:textId="77777777" w:rsidR="00B10545" w:rsidRPr="00B10545" w:rsidRDefault="00B10545" w:rsidP="00B10545">
            <w:pPr>
              <w:jc w:val="left"/>
              <w:rPr>
                <w:rFonts w:eastAsia="Calibri" w:cs="Arial"/>
                <w:sz w:val="18"/>
                <w:szCs w:val="18"/>
              </w:rPr>
            </w:pPr>
            <w:r w:rsidRPr="00B10545">
              <w:rPr>
                <w:rFonts w:eastAsia="Calibri" w:cs="Arial"/>
                <w:b/>
                <w:bCs/>
                <w:sz w:val="18"/>
                <w:szCs w:val="18"/>
              </w:rPr>
              <w:t xml:space="preserve">2) Experian March 2020 </w:t>
            </w:r>
          </w:p>
          <w:p w14:paraId="73A13FCB" w14:textId="77777777" w:rsidR="00B10545" w:rsidRPr="00B10545" w:rsidRDefault="00B10545" w:rsidP="00B10545">
            <w:pPr>
              <w:autoSpaceDE w:val="0"/>
              <w:autoSpaceDN w:val="0"/>
              <w:adjustRightInd w:val="0"/>
              <w:jc w:val="left"/>
              <w:rPr>
                <w:rFonts w:cs="Arial"/>
                <w:color w:val="FF0000"/>
                <w:sz w:val="18"/>
                <w:szCs w:val="18"/>
              </w:rPr>
            </w:pPr>
            <w:r w:rsidRPr="00B10545">
              <w:rPr>
                <w:rFonts w:eastAsia="Calibri" w:cs="Arial"/>
                <w:b/>
                <w:bCs/>
                <w:sz w:val="18"/>
                <w:szCs w:val="18"/>
              </w:rPr>
              <w:t>Baseline</w:t>
            </w:r>
          </w:p>
        </w:tc>
        <w:tc>
          <w:tcPr>
            <w:tcW w:w="957" w:type="dxa"/>
            <w:tcBorders>
              <w:top w:val="single" w:sz="4" w:space="0" w:color="auto"/>
              <w:left w:val="single" w:sz="4" w:space="0" w:color="auto"/>
              <w:bottom w:val="single" w:sz="4" w:space="0" w:color="auto"/>
              <w:right w:val="single" w:sz="4" w:space="0" w:color="auto"/>
            </w:tcBorders>
            <w:vAlign w:val="center"/>
            <w:hideMark/>
          </w:tcPr>
          <w:p w14:paraId="0C19528C" w14:textId="77777777" w:rsidR="00B10545" w:rsidRPr="00B10545" w:rsidRDefault="00B10545" w:rsidP="00B10545">
            <w:pPr>
              <w:rPr>
                <w:rFonts w:eastAsia="Calibri" w:cs="Arial"/>
                <w:b/>
                <w:bCs/>
                <w:sz w:val="18"/>
                <w:szCs w:val="18"/>
              </w:rPr>
            </w:pPr>
            <w:r w:rsidRPr="00B10545">
              <w:rPr>
                <w:rFonts w:eastAsia="Calibri" w:cs="Arial"/>
                <w:sz w:val="18"/>
                <w:szCs w:val="18"/>
              </w:rPr>
              <w:t>Net</w:t>
            </w:r>
          </w:p>
        </w:tc>
        <w:tc>
          <w:tcPr>
            <w:tcW w:w="1235" w:type="dxa"/>
            <w:gridSpan w:val="2"/>
            <w:tcBorders>
              <w:top w:val="single" w:sz="4" w:space="0" w:color="auto"/>
              <w:left w:val="single" w:sz="4" w:space="0" w:color="auto"/>
              <w:bottom w:val="single" w:sz="4" w:space="0" w:color="auto"/>
              <w:right w:val="single" w:sz="4" w:space="0" w:color="auto"/>
            </w:tcBorders>
            <w:vAlign w:val="center"/>
            <w:hideMark/>
          </w:tcPr>
          <w:p w14:paraId="42808BD1" w14:textId="77777777" w:rsidR="00B10545" w:rsidRPr="00B10545" w:rsidRDefault="00B10545" w:rsidP="00B10545">
            <w:pPr>
              <w:rPr>
                <w:rFonts w:eastAsia="Calibri" w:cs="Arial"/>
                <w:sz w:val="18"/>
                <w:szCs w:val="18"/>
              </w:rPr>
            </w:pPr>
            <w:r w:rsidRPr="00B10545">
              <w:rPr>
                <w:rFonts w:eastAsia="Calibri" w:cs="Arial"/>
                <w:sz w:val="18"/>
                <w:szCs w:val="18"/>
              </w:rPr>
              <w:t>10,741</w:t>
            </w:r>
          </w:p>
        </w:tc>
        <w:tc>
          <w:tcPr>
            <w:tcW w:w="1503" w:type="dxa"/>
            <w:tcBorders>
              <w:top w:val="single" w:sz="4" w:space="0" w:color="auto"/>
              <w:left w:val="single" w:sz="4" w:space="0" w:color="auto"/>
              <w:bottom w:val="single" w:sz="4" w:space="0" w:color="auto"/>
              <w:right w:val="single" w:sz="4" w:space="0" w:color="auto"/>
            </w:tcBorders>
            <w:vAlign w:val="center"/>
            <w:hideMark/>
          </w:tcPr>
          <w:p w14:paraId="5880AB4A" w14:textId="77777777" w:rsidR="00B10545" w:rsidRPr="00B10545" w:rsidRDefault="00B10545" w:rsidP="00B10545">
            <w:pPr>
              <w:rPr>
                <w:rFonts w:eastAsia="Calibri" w:cs="Arial"/>
                <w:sz w:val="18"/>
                <w:szCs w:val="18"/>
              </w:rPr>
            </w:pPr>
            <w:r w:rsidRPr="00B10545">
              <w:rPr>
                <w:rFonts w:eastAsia="Calibri" w:cs="Arial"/>
                <w:sz w:val="18"/>
                <w:szCs w:val="18"/>
              </w:rPr>
              <w:t>7.06</w:t>
            </w:r>
          </w:p>
        </w:tc>
        <w:tc>
          <w:tcPr>
            <w:tcW w:w="1058" w:type="dxa"/>
            <w:tcBorders>
              <w:top w:val="single" w:sz="4" w:space="0" w:color="auto"/>
              <w:left w:val="single" w:sz="4" w:space="0" w:color="auto"/>
              <w:bottom w:val="single" w:sz="4" w:space="0" w:color="auto"/>
              <w:right w:val="single" w:sz="4" w:space="0" w:color="auto"/>
            </w:tcBorders>
            <w:vAlign w:val="center"/>
            <w:hideMark/>
          </w:tcPr>
          <w:p w14:paraId="5B3811F8" w14:textId="77777777" w:rsidR="00B10545" w:rsidRPr="00B10545" w:rsidRDefault="00B10545" w:rsidP="00B10545">
            <w:pPr>
              <w:rPr>
                <w:rFonts w:eastAsia="Calibri" w:cs="Arial"/>
                <w:sz w:val="18"/>
                <w:szCs w:val="18"/>
              </w:rPr>
            </w:pPr>
            <w:r w:rsidRPr="00B10545">
              <w:rPr>
                <w:rFonts w:eastAsia="Calibri" w:cs="Arial"/>
                <w:sz w:val="18"/>
                <w:szCs w:val="18"/>
              </w:rPr>
              <w:t>4,185</w:t>
            </w:r>
          </w:p>
        </w:tc>
        <w:tc>
          <w:tcPr>
            <w:tcW w:w="1396" w:type="dxa"/>
            <w:tcBorders>
              <w:top w:val="single" w:sz="4" w:space="0" w:color="auto"/>
              <w:left w:val="single" w:sz="4" w:space="0" w:color="auto"/>
              <w:bottom w:val="single" w:sz="4" w:space="0" w:color="auto"/>
              <w:right w:val="single" w:sz="4" w:space="0" w:color="auto"/>
            </w:tcBorders>
            <w:vAlign w:val="center"/>
            <w:hideMark/>
          </w:tcPr>
          <w:p w14:paraId="11163A01" w14:textId="77777777" w:rsidR="00B10545" w:rsidRPr="00B10545" w:rsidRDefault="00B10545" w:rsidP="00B10545">
            <w:pPr>
              <w:rPr>
                <w:rFonts w:eastAsia="Calibri" w:cs="Arial"/>
                <w:sz w:val="18"/>
                <w:szCs w:val="18"/>
              </w:rPr>
            </w:pPr>
            <w:r w:rsidRPr="00B10545">
              <w:rPr>
                <w:rFonts w:eastAsia="Calibri" w:cs="Arial"/>
                <w:sz w:val="18"/>
                <w:szCs w:val="18"/>
              </w:rPr>
              <w:t>-4.52</w:t>
            </w:r>
          </w:p>
        </w:tc>
        <w:tc>
          <w:tcPr>
            <w:tcW w:w="1875" w:type="dxa"/>
            <w:tcBorders>
              <w:top w:val="single" w:sz="4" w:space="0" w:color="auto"/>
              <w:left w:val="single" w:sz="4" w:space="0" w:color="auto"/>
              <w:bottom w:val="single" w:sz="4" w:space="0" w:color="auto"/>
              <w:right w:val="single" w:sz="4" w:space="0" w:color="auto"/>
            </w:tcBorders>
            <w:vAlign w:val="center"/>
            <w:hideMark/>
          </w:tcPr>
          <w:p w14:paraId="1CBBE2DA" w14:textId="77777777" w:rsidR="00B10545" w:rsidRPr="00B10545" w:rsidRDefault="00B10545" w:rsidP="00B10545">
            <w:pPr>
              <w:rPr>
                <w:rFonts w:eastAsia="Calibri" w:cs="Arial"/>
                <w:sz w:val="18"/>
                <w:szCs w:val="18"/>
              </w:rPr>
            </w:pPr>
            <w:r w:rsidRPr="00B10545">
              <w:rPr>
                <w:rFonts w:eastAsia="Calibri" w:cs="Arial"/>
                <w:sz w:val="18"/>
                <w:szCs w:val="18"/>
              </w:rPr>
              <w:t>-3.48</w:t>
            </w:r>
          </w:p>
        </w:tc>
      </w:tr>
      <w:tr w:rsidR="00B10545" w:rsidRPr="00B10545" w14:paraId="58720BC3" w14:textId="77777777" w:rsidTr="00B10545">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9E5D0CE" w14:textId="77777777" w:rsidR="00B10545" w:rsidRPr="00B10545" w:rsidRDefault="00B10545" w:rsidP="00B10545">
            <w:pPr>
              <w:rPr>
                <w:rFonts w:cs="Arial"/>
                <w:color w:val="FF0000"/>
                <w:kern w:val="2"/>
                <w:sz w:val="18"/>
                <w:szCs w:val="18"/>
                <w14:ligatures w14:val="standardContextual"/>
              </w:rPr>
            </w:pPr>
          </w:p>
        </w:tc>
        <w:tc>
          <w:tcPr>
            <w:tcW w:w="957" w:type="dxa"/>
            <w:tcBorders>
              <w:top w:val="single" w:sz="4" w:space="0" w:color="auto"/>
              <w:left w:val="single" w:sz="4" w:space="0" w:color="auto"/>
              <w:bottom w:val="single" w:sz="4" w:space="0" w:color="auto"/>
              <w:right w:val="single" w:sz="4" w:space="0" w:color="auto"/>
            </w:tcBorders>
            <w:vAlign w:val="center"/>
            <w:hideMark/>
          </w:tcPr>
          <w:p w14:paraId="2088368B" w14:textId="77777777" w:rsidR="00B10545" w:rsidRPr="00B10545" w:rsidRDefault="00B10545" w:rsidP="00B10545">
            <w:pPr>
              <w:rPr>
                <w:rFonts w:eastAsia="Calibri" w:cs="Arial"/>
                <w:b/>
                <w:bCs/>
                <w:sz w:val="18"/>
                <w:szCs w:val="18"/>
              </w:rPr>
            </w:pPr>
            <w:r w:rsidRPr="00B10545">
              <w:rPr>
                <w:rFonts w:eastAsia="Calibri" w:cs="Arial"/>
                <w:sz w:val="18"/>
                <w:szCs w:val="18"/>
              </w:rPr>
              <w:t>Flexibility</w:t>
            </w:r>
          </w:p>
        </w:tc>
        <w:tc>
          <w:tcPr>
            <w:tcW w:w="1235" w:type="dxa"/>
            <w:gridSpan w:val="2"/>
            <w:tcBorders>
              <w:top w:val="single" w:sz="4" w:space="0" w:color="auto"/>
              <w:left w:val="single" w:sz="4" w:space="0" w:color="auto"/>
              <w:bottom w:val="single" w:sz="4" w:space="0" w:color="auto"/>
              <w:right w:val="single" w:sz="4" w:space="0" w:color="auto"/>
            </w:tcBorders>
            <w:vAlign w:val="center"/>
            <w:hideMark/>
          </w:tcPr>
          <w:p w14:paraId="24A145D1" w14:textId="77777777" w:rsidR="00B10545" w:rsidRPr="00B10545" w:rsidRDefault="00B10545" w:rsidP="00B10545">
            <w:pPr>
              <w:rPr>
                <w:rFonts w:eastAsia="Calibri" w:cs="Arial"/>
                <w:b/>
                <w:bCs/>
                <w:sz w:val="18"/>
                <w:szCs w:val="18"/>
              </w:rPr>
            </w:pPr>
            <w:r w:rsidRPr="00B10545">
              <w:rPr>
                <w:rFonts w:eastAsia="Calibri" w:cs="Arial"/>
                <w:sz w:val="18"/>
                <w:szCs w:val="18"/>
              </w:rPr>
              <w:t>2,424</w:t>
            </w:r>
          </w:p>
        </w:tc>
        <w:tc>
          <w:tcPr>
            <w:tcW w:w="1503" w:type="dxa"/>
            <w:tcBorders>
              <w:top w:val="single" w:sz="4" w:space="0" w:color="auto"/>
              <w:left w:val="single" w:sz="4" w:space="0" w:color="auto"/>
              <w:bottom w:val="single" w:sz="4" w:space="0" w:color="auto"/>
              <w:right w:val="single" w:sz="4" w:space="0" w:color="auto"/>
            </w:tcBorders>
            <w:vAlign w:val="center"/>
            <w:hideMark/>
          </w:tcPr>
          <w:p w14:paraId="5A003C2A" w14:textId="77777777" w:rsidR="00B10545" w:rsidRPr="00B10545" w:rsidRDefault="00B10545" w:rsidP="00B10545">
            <w:pPr>
              <w:rPr>
                <w:rFonts w:eastAsia="Calibri" w:cs="Arial"/>
                <w:b/>
                <w:bCs/>
                <w:sz w:val="18"/>
                <w:szCs w:val="18"/>
              </w:rPr>
            </w:pPr>
            <w:r w:rsidRPr="00B10545">
              <w:rPr>
                <w:rFonts w:eastAsia="Calibri" w:cs="Arial"/>
                <w:sz w:val="18"/>
                <w:szCs w:val="18"/>
              </w:rPr>
              <w:t>6.99</w:t>
            </w:r>
          </w:p>
        </w:tc>
        <w:tc>
          <w:tcPr>
            <w:tcW w:w="1058" w:type="dxa"/>
            <w:tcBorders>
              <w:top w:val="single" w:sz="4" w:space="0" w:color="auto"/>
              <w:left w:val="single" w:sz="4" w:space="0" w:color="auto"/>
              <w:bottom w:val="single" w:sz="4" w:space="0" w:color="auto"/>
              <w:right w:val="single" w:sz="4" w:space="0" w:color="auto"/>
            </w:tcBorders>
            <w:vAlign w:val="center"/>
            <w:hideMark/>
          </w:tcPr>
          <w:p w14:paraId="5610FDE9" w14:textId="77777777" w:rsidR="00B10545" w:rsidRPr="00B10545" w:rsidRDefault="00B10545" w:rsidP="00B10545">
            <w:pPr>
              <w:rPr>
                <w:rFonts w:eastAsia="Calibri" w:cs="Arial"/>
                <w:b/>
                <w:bCs/>
                <w:sz w:val="18"/>
                <w:szCs w:val="18"/>
              </w:rPr>
            </w:pPr>
            <w:r w:rsidRPr="00B10545">
              <w:rPr>
                <w:rFonts w:eastAsia="Calibri" w:cs="Arial"/>
                <w:sz w:val="18"/>
                <w:szCs w:val="18"/>
              </w:rPr>
              <w:t>73</w:t>
            </w:r>
          </w:p>
        </w:tc>
        <w:tc>
          <w:tcPr>
            <w:tcW w:w="1396" w:type="dxa"/>
            <w:tcBorders>
              <w:top w:val="single" w:sz="4" w:space="0" w:color="auto"/>
              <w:left w:val="single" w:sz="4" w:space="0" w:color="auto"/>
              <w:bottom w:val="single" w:sz="4" w:space="0" w:color="auto"/>
              <w:right w:val="single" w:sz="4" w:space="0" w:color="auto"/>
            </w:tcBorders>
            <w:vAlign w:val="center"/>
            <w:hideMark/>
          </w:tcPr>
          <w:p w14:paraId="64E9A7A3" w14:textId="77777777" w:rsidR="00B10545" w:rsidRPr="00B10545" w:rsidRDefault="00B10545" w:rsidP="00B10545">
            <w:pPr>
              <w:rPr>
                <w:rFonts w:eastAsia="Calibri" w:cs="Arial"/>
                <w:b/>
                <w:bCs/>
                <w:sz w:val="18"/>
                <w:szCs w:val="18"/>
              </w:rPr>
            </w:pPr>
            <w:r w:rsidRPr="00B10545">
              <w:rPr>
                <w:rFonts w:eastAsia="Calibri" w:cs="Arial"/>
                <w:sz w:val="18"/>
                <w:szCs w:val="18"/>
              </w:rPr>
              <w:t>7.30</w:t>
            </w:r>
          </w:p>
        </w:tc>
        <w:tc>
          <w:tcPr>
            <w:tcW w:w="1875" w:type="dxa"/>
            <w:tcBorders>
              <w:top w:val="single" w:sz="4" w:space="0" w:color="auto"/>
              <w:left w:val="single" w:sz="4" w:space="0" w:color="auto"/>
              <w:bottom w:val="single" w:sz="4" w:space="0" w:color="auto"/>
              <w:right w:val="single" w:sz="4" w:space="0" w:color="auto"/>
            </w:tcBorders>
            <w:vAlign w:val="center"/>
            <w:hideMark/>
          </w:tcPr>
          <w:p w14:paraId="72D109CE" w14:textId="77777777" w:rsidR="00B10545" w:rsidRPr="00B10545" w:rsidRDefault="00B10545" w:rsidP="00B10545">
            <w:pPr>
              <w:rPr>
                <w:rFonts w:eastAsia="Calibri" w:cs="Arial"/>
                <w:sz w:val="18"/>
                <w:szCs w:val="18"/>
              </w:rPr>
            </w:pPr>
            <w:r w:rsidRPr="00B10545">
              <w:rPr>
                <w:rFonts w:eastAsia="Calibri" w:cs="Arial"/>
                <w:sz w:val="18"/>
                <w:szCs w:val="18"/>
              </w:rPr>
              <w:t>7.32</w:t>
            </w:r>
          </w:p>
        </w:tc>
      </w:tr>
      <w:tr w:rsidR="00B10545" w:rsidRPr="00B10545" w14:paraId="0F3874E2" w14:textId="77777777" w:rsidTr="00B10545">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A3A0F48" w14:textId="77777777" w:rsidR="00B10545" w:rsidRPr="00B10545" w:rsidRDefault="00B10545" w:rsidP="00B10545">
            <w:pPr>
              <w:rPr>
                <w:rFonts w:cs="Arial"/>
                <w:color w:val="FF0000"/>
                <w:kern w:val="2"/>
                <w:sz w:val="18"/>
                <w:szCs w:val="18"/>
                <w14:ligatures w14:val="standardContextual"/>
              </w:rPr>
            </w:pPr>
          </w:p>
        </w:tc>
        <w:tc>
          <w:tcPr>
            <w:tcW w:w="957" w:type="dxa"/>
            <w:tcBorders>
              <w:top w:val="single" w:sz="4" w:space="0" w:color="auto"/>
              <w:left w:val="single" w:sz="4" w:space="0" w:color="auto"/>
              <w:bottom w:val="single" w:sz="4" w:space="0" w:color="auto"/>
              <w:right w:val="single" w:sz="4" w:space="0" w:color="auto"/>
            </w:tcBorders>
            <w:vAlign w:val="center"/>
            <w:hideMark/>
          </w:tcPr>
          <w:p w14:paraId="10691606" w14:textId="77777777" w:rsidR="00B10545" w:rsidRPr="00B10545" w:rsidRDefault="00B10545" w:rsidP="00B10545">
            <w:pPr>
              <w:rPr>
                <w:rFonts w:eastAsia="Calibri" w:cs="Arial"/>
                <w:b/>
                <w:bCs/>
                <w:sz w:val="18"/>
                <w:szCs w:val="18"/>
              </w:rPr>
            </w:pPr>
            <w:r w:rsidRPr="00B10545">
              <w:rPr>
                <w:rFonts w:eastAsia="Calibri" w:cs="Arial"/>
                <w:sz w:val="18"/>
                <w:szCs w:val="18"/>
              </w:rPr>
              <w:t>Loss</w:t>
            </w:r>
          </w:p>
        </w:tc>
        <w:tc>
          <w:tcPr>
            <w:tcW w:w="1235" w:type="dxa"/>
            <w:gridSpan w:val="2"/>
            <w:tcBorders>
              <w:top w:val="single" w:sz="4" w:space="0" w:color="auto"/>
              <w:left w:val="single" w:sz="4" w:space="0" w:color="auto"/>
              <w:bottom w:val="single" w:sz="4" w:space="0" w:color="auto"/>
              <w:right w:val="single" w:sz="4" w:space="0" w:color="auto"/>
            </w:tcBorders>
            <w:vAlign w:val="center"/>
            <w:hideMark/>
          </w:tcPr>
          <w:p w14:paraId="2A7EA7FE" w14:textId="77777777" w:rsidR="00B10545" w:rsidRPr="00B10545" w:rsidRDefault="00B10545" w:rsidP="00B10545">
            <w:pPr>
              <w:rPr>
                <w:rFonts w:eastAsia="Calibri" w:cs="Arial"/>
                <w:b/>
                <w:bCs/>
                <w:sz w:val="18"/>
                <w:szCs w:val="18"/>
              </w:rPr>
            </w:pPr>
            <w:r w:rsidRPr="00B10545">
              <w:rPr>
                <w:rFonts w:eastAsia="Calibri" w:cs="Arial"/>
                <w:sz w:val="18"/>
                <w:szCs w:val="18"/>
              </w:rPr>
              <w:t>10,560</w:t>
            </w:r>
          </w:p>
        </w:tc>
        <w:tc>
          <w:tcPr>
            <w:tcW w:w="1503" w:type="dxa"/>
            <w:tcBorders>
              <w:top w:val="single" w:sz="4" w:space="0" w:color="auto"/>
              <w:left w:val="single" w:sz="4" w:space="0" w:color="auto"/>
              <w:bottom w:val="single" w:sz="4" w:space="0" w:color="auto"/>
              <w:right w:val="single" w:sz="4" w:space="0" w:color="auto"/>
            </w:tcBorders>
            <w:vAlign w:val="center"/>
            <w:hideMark/>
          </w:tcPr>
          <w:p w14:paraId="57FF7D82" w14:textId="77777777" w:rsidR="00B10545" w:rsidRPr="00B10545" w:rsidRDefault="00B10545" w:rsidP="00B10545">
            <w:pPr>
              <w:rPr>
                <w:rFonts w:eastAsia="Calibri" w:cs="Arial"/>
                <w:b/>
                <w:bCs/>
                <w:sz w:val="18"/>
                <w:szCs w:val="18"/>
              </w:rPr>
            </w:pPr>
            <w:r w:rsidRPr="00B10545">
              <w:rPr>
                <w:rFonts w:eastAsia="Calibri" w:cs="Arial"/>
                <w:sz w:val="18"/>
                <w:szCs w:val="18"/>
              </w:rPr>
              <w:t>42.03</w:t>
            </w:r>
          </w:p>
        </w:tc>
        <w:tc>
          <w:tcPr>
            <w:tcW w:w="1058" w:type="dxa"/>
            <w:tcBorders>
              <w:top w:val="single" w:sz="4" w:space="0" w:color="auto"/>
              <w:left w:val="single" w:sz="4" w:space="0" w:color="auto"/>
              <w:bottom w:val="single" w:sz="4" w:space="0" w:color="auto"/>
              <w:right w:val="single" w:sz="4" w:space="0" w:color="auto"/>
            </w:tcBorders>
            <w:vAlign w:val="center"/>
            <w:hideMark/>
          </w:tcPr>
          <w:p w14:paraId="7F7ED3F1" w14:textId="77777777" w:rsidR="00B10545" w:rsidRPr="00B10545" w:rsidRDefault="00B10545" w:rsidP="00B10545">
            <w:pPr>
              <w:rPr>
                <w:rFonts w:eastAsia="Calibri" w:cs="Arial"/>
                <w:b/>
                <w:bCs/>
                <w:sz w:val="18"/>
                <w:szCs w:val="18"/>
              </w:rPr>
            </w:pPr>
            <w:r w:rsidRPr="00B10545">
              <w:rPr>
                <w:rFonts w:eastAsia="Calibri" w:cs="Arial"/>
                <w:sz w:val="18"/>
                <w:szCs w:val="18"/>
              </w:rPr>
              <w:t>737</w:t>
            </w:r>
          </w:p>
        </w:tc>
        <w:tc>
          <w:tcPr>
            <w:tcW w:w="1396" w:type="dxa"/>
            <w:tcBorders>
              <w:top w:val="single" w:sz="4" w:space="0" w:color="auto"/>
              <w:left w:val="single" w:sz="4" w:space="0" w:color="auto"/>
              <w:bottom w:val="single" w:sz="4" w:space="0" w:color="auto"/>
              <w:right w:val="single" w:sz="4" w:space="0" w:color="auto"/>
            </w:tcBorders>
            <w:vAlign w:val="center"/>
            <w:hideMark/>
          </w:tcPr>
          <w:p w14:paraId="3F95BE16" w14:textId="77777777" w:rsidR="00B10545" w:rsidRPr="00B10545" w:rsidRDefault="00B10545" w:rsidP="00B10545">
            <w:pPr>
              <w:rPr>
                <w:rFonts w:eastAsia="Calibri" w:cs="Arial"/>
                <w:b/>
                <w:bCs/>
                <w:sz w:val="18"/>
                <w:szCs w:val="18"/>
              </w:rPr>
            </w:pPr>
            <w:r w:rsidRPr="00B10545">
              <w:rPr>
                <w:rFonts w:eastAsia="Calibri" w:cs="Arial"/>
                <w:sz w:val="18"/>
                <w:szCs w:val="18"/>
              </w:rPr>
              <w:t>11.26</w:t>
            </w:r>
          </w:p>
        </w:tc>
        <w:tc>
          <w:tcPr>
            <w:tcW w:w="1875" w:type="dxa"/>
            <w:tcBorders>
              <w:top w:val="single" w:sz="4" w:space="0" w:color="auto"/>
              <w:left w:val="single" w:sz="4" w:space="0" w:color="auto"/>
              <w:bottom w:val="single" w:sz="4" w:space="0" w:color="auto"/>
              <w:right w:val="single" w:sz="4" w:space="0" w:color="auto"/>
            </w:tcBorders>
            <w:vAlign w:val="center"/>
            <w:hideMark/>
          </w:tcPr>
          <w:p w14:paraId="6EAA1D71" w14:textId="77777777" w:rsidR="00B10545" w:rsidRPr="00B10545" w:rsidRDefault="00B10545" w:rsidP="00B10545">
            <w:pPr>
              <w:rPr>
                <w:rFonts w:eastAsia="Calibri" w:cs="Arial"/>
                <w:sz w:val="18"/>
                <w:szCs w:val="18"/>
              </w:rPr>
            </w:pPr>
            <w:r w:rsidRPr="00B10545">
              <w:rPr>
                <w:rFonts w:eastAsia="Calibri" w:cs="Arial"/>
                <w:sz w:val="18"/>
                <w:szCs w:val="18"/>
              </w:rPr>
              <w:t>11.44</w:t>
            </w:r>
          </w:p>
        </w:tc>
      </w:tr>
      <w:tr w:rsidR="00B10545" w:rsidRPr="00B10545" w14:paraId="216EF1FE" w14:textId="77777777" w:rsidTr="00B10545">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3E8CD42" w14:textId="77777777" w:rsidR="00B10545" w:rsidRPr="00B10545" w:rsidRDefault="00B10545" w:rsidP="00B10545">
            <w:pPr>
              <w:rPr>
                <w:rFonts w:cs="Arial"/>
                <w:color w:val="FF0000"/>
                <w:kern w:val="2"/>
                <w:sz w:val="18"/>
                <w:szCs w:val="18"/>
                <w14:ligatures w14:val="standardContextual"/>
              </w:rPr>
            </w:pPr>
          </w:p>
        </w:tc>
        <w:tc>
          <w:tcPr>
            <w:tcW w:w="957" w:type="dxa"/>
            <w:tcBorders>
              <w:top w:val="single" w:sz="4" w:space="0" w:color="auto"/>
              <w:left w:val="single" w:sz="4" w:space="0" w:color="auto"/>
              <w:bottom w:val="single" w:sz="4" w:space="0" w:color="auto"/>
              <w:right w:val="single" w:sz="4" w:space="0" w:color="auto"/>
            </w:tcBorders>
            <w:vAlign w:val="center"/>
            <w:hideMark/>
          </w:tcPr>
          <w:p w14:paraId="15171793" w14:textId="77777777" w:rsidR="00B10545" w:rsidRPr="00B10545" w:rsidRDefault="00B10545" w:rsidP="00B10545">
            <w:pPr>
              <w:rPr>
                <w:rFonts w:eastAsia="Calibri" w:cs="Arial"/>
                <w:b/>
                <w:bCs/>
                <w:sz w:val="18"/>
                <w:szCs w:val="18"/>
              </w:rPr>
            </w:pPr>
            <w:r w:rsidRPr="00B10545">
              <w:rPr>
                <w:rFonts w:eastAsia="Calibri" w:cs="Arial"/>
                <w:sz w:val="18"/>
                <w:szCs w:val="18"/>
              </w:rPr>
              <w:t>Gross</w:t>
            </w:r>
          </w:p>
        </w:tc>
        <w:tc>
          <w:tcPr>
            <w:tcW w:w="1235" w:type="dxa"/>
            <w:gridSpan w:val="2"/>
            <w:tcBorders>
              <w:top w:val="single" w:sz="4" w:space="0" w:color="auto"/>
              <w:left w:val="single" w:sz="4" w:space="0" w:color="auto"/>
              <w:bottom w:val="single" w:sz="4" w:space="0" w:color="auto"/>
              <w:right w:val="single" w:sz="4" w:space="0" w:color="auto"/>
            </w:tcBorders>
            <w:vAlign w:val="center"/>
            <w:hideMark/>
          </w:tcPr>
          <w:p w14:paraId="31F01787" w14:textId="77777777" w:rsidR="00B10545" w:rsidRPr="00B10545" w:rsidRDefault="00B10545" w:rsidP="00B10545">
            <w:pPr>
              <w:rPr>
                <w:rFonts w:eastAsia="Calibri" w:cs="Arial"/>
                <w:b/>
                <w:bCs/>
                <w:sz w:val="18"/>
                <w:szCs w:val="18"/>
              </w:rPr>
            </w:pPr>
            <w:r w:rsidRPr="00B10545">
              <w:rPr>
                <w:rFonts w:eastAsia="Calibri" w:cs="Arial"/>
                <w:b/>
                <w:bCs/>
                <w:sz w:val="18"/>
                <w:szCs w:val="18"/>
              </w:rPr>
              <w:t>23,725</w:t>
            </w:r>
          </w:p>
        </w:tc>
        <w:tc>
          <w:tcPr>
            <w:tcW w:w="1503" w:type="dxa"/>
            <w:tcBorders>
              <w:top w:val="single" w:sz="4" w:space="0" w:color="auto"/>
              <w:left w:val="single" w:sz="4" w:space="0" w:color="auto"/>
              <w:bottom w:val="single" w:sz="4" w:space="0" w:color="auto"/>
              <w:right w:val="single" w:sz="4" w:space="0" w:color="auto"/>
            </w:tcBorders>
            <w:vAlign w:val="center"/>
            <w:hideMark/>
          </w:tcPr>
          <w:p w14:paraId="62C36790" w14:textId="77777777" w:rsidR="00B10545" w:rsidRPr="00B10545" w:rsidRDefault="00B10545" w:rsidP="00B10545">
            <w:pPr>
              <w:rPr>
                <w:rFonts w:eastAsia="Calibri" w:cs="Arial"/>
                <w:b/>
                <w:bCs/>
                <w:sz w:val="18"/>
                <w:szCs w:val="18"/>
              </w:rPr>
            </w:pPr>
            <w:r w:rsidRPr="00B10545">
              <w:rPr>
                <w:rFonts w:eastAsia="Calibri" w:cs="Arial"/>
                <w:b/>
                <w:bCs/>
                <w:sz w:val="18"/>
                <w:szCs w:val="18"/>
              </w:rPr>
              <w:t>56.08</w:t>
            </w:r>
          </w:p>
        </w:tc>
        <w:tc>
          <w:tcPr>
            <w:tcW w:w="1058" w:type="dxa"/>
            <w:tcBorders>
              <w:top w:val="single" w:sz="4" w:space="0" w:color="auto"/>
              <w:left w:val="single" w:sz="4" w:space="0" w:color="auto"/>
              <w:bottom w:val="single" w:sz="4" w:space="0" w:color="auto"/>
              <w:right w:val="single" w:sz="4" w:space="0" w:color="auto"/>
            </w:tcBorders>
            <w:vAlign w:val="center"/>
            <w:hideMark/>
          </w:tcPr>
          <w:p w14:paraId="7D68F120" w14:textId="77777777" w:rsidR="00B10545" w:rsidRPr="00B10545" w:rsidRDefault="00B10545" w:rsidP="00B10545">
            <w:pPr>
              <w:rPr>
                <w:rFonts w:eastAsia="Calibri" w:cs="Arial"/>
                <w:b/>
                <w:bCs/>
                <w:sz w:val="18"/>
                <w:szCs w:val="18"/>
              </w:rPr>
            </w:pPr>
            <w:r w:rsidRPr="00B10545">
              <w:rPr>
                <w:rFonts w:eastAsia="Calibri" w:cs="Arial"/>
                <w:b/>
                <w:bCs/>
                <w:sz w:val="18"/>
                <w:szCs w:val="18"/>
              </w:rPr>
              <w:t xml:space="preserve">4,995 </w:t>
            </w:r>
          </w:p>
        </w:tc>
        <w:tc>
          <w:tcPr>
            <w:tcW w:w="1396" w:type="dxa"/>
            <w:tcBorders>
              <w:top w:val="single" w:sz="4" w:space="0" w:color="auto"/>
              <w:left w:val="single" w:sz="4" w:space="0" w:color="auto"/>
              <w:bottom w:val="single" w:sz="4" w:space="0" w:color="auto"/>
              <w:right w:val="single" w:sz="4" w:space="0" w:color="auto"/>
            </w:tcBorders>
            <w:vAlign w:val="center"/>
            <w:hideMark/>
          </w:tcPr>
          <w:p w14:paraId="3DF75575" w14:textId="77777777" w:rsidR="00B10545" w:rsidRPr="00B10545" w:rsidRDefault="00B10545" w:rsidP="00B10545">
            <w:pPr>
              <w:rPr>
                <w:rFonts w:eastAsia="Calibri" w:cs="Arial"/>
                <w:b/>
                <w:bCs/>
                <w:sz w:val="18"/>
                <w:szCs w:val="18"/>
              </w:rPr>
            </w:pPr>
            <w:r w:rsidRPr="00B10545">
              <w:rPr>
                <w:rFonts w:eastAsia="Calibri" w:cs="Arial"/>
                <w:b/>
                <w:bCs/>
                <w:sz w:val="18"/>
                <w:szCs w:val="18"/>
              </w:rPr>
              <w:t>14.04</w:t>
            </w:r>
          </w:p>
        </w:tc>
        <w:tc>
          <w:tcPr>
            <w:tcW w:w="1875" w:type="dxa"/>
            <w:tcBorders>
              <w:top w:val="single" w:sz="4" w:space="0" w:color="auto"/>
              <w:left w:val="single" w:sz="4" w:space="0" w:color="auto"/>
              <w:bottom w:val="single" w:sz="4" w:space="0" w:color="auto"/>
              <w:right w:val="single" w:sz="4" w:space="0" w:color="auto"/>
            </w:tcBorders>
            <w:vAlign w:val="center"/>
            <w:hideMark/>
          </w:tcPr>
          <w:p w14:paraId="549634A8" w14:textId="77777777" w:rsidR="00B10545" w:rsidRPr="00B10545" w:rsidRDefault="00B10545" w:rsidP="00B10545">
            <w:pPr>
              <w:rPr>
                <w:rFonts w:eastAsia="Calibri" w:cs="Arial"/>
                <w:sz w:val="18"/>
                <w:szCs w:val="18"/>
              </w:rPr>
            </w:pPr>
            <w:r w:rsidRPr="00B10545">
              <w:rPr>
                <w:rFonts w:eastAsia="Calibri" w:cs="Arial"/>
                <w:b/>
                <w:bCs/>
                <w:sz w:val="18"/>
                <w:szCs w:val="18"/>
              </w:rPr>
              <w:t>15.28</w:t>
            </w:r>
          </w:p>
        </w:tc>
      </w:tr>
      <w:tr w:rsidR="00B10545" w:rsidRPr="00B10545" w14:paraId="4499C0D5" w14:textId="77777777" w:rsidTr="00B10545">
        <w:tc>
          <w:tcPr>
            <w:tcW w:w="16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8465266" w14:textId="77777777" w:rsidR="00B10545" w:rsidRPr="00B10545" w:rsidRDefault="00B10545" w:rsidP="00B10545">
            <w:pPr>
              <w:autoSpaceDE w:val="0"/>
              <w:autoSpaceDN w:val="0"/>
              <w:adjustRightInd w:val="0"/>
              <w:jc w:val="left"/>
              <w:rPr>
                <w:rFonts w:cs="Arial"/>
                <w:b/>
                <w:bCs/>
                <w:color w:val="000000"/>
                <w:sz w:val="18"/>
                <w:szCs w:val="18"/>
              </w:rPr>
            </w:pPr>
            <w:r w:rsidRPr="00B10545">
              <w:rPr>
                <w:rFonts w:cs="Arial"/>
                <w:b/>
                <w:bCs/>
                <w:color w:val="000000"/>
                <w:sz w:val="18"/>
                <w:szCs w:val="18"/>
              </w:rPr>
              <w:t>3) Regeneration Scenario</w:t>
            </w:r>
          </w:p>
        </w:tc>
        <w:tc>
          <w:tcPr>
            <w:tcW w:w="957" w:type="dxa"/>
            <w:tcBorders>
              <w:top w:val="single" w:sz="4" w:space="0" w:color="auto"/>
              <w:left w:val="single" w:sz="4" w:space="0" w:color="auto"/>
              <w:bottom w:val="single" w:sz="4" w:space="0" w:color="auto"/>
              <w:right w:val="single" w:sz="4" w:space="0" w:color="auto"/>
            </w:tcBorders>
            <w:vAlign w:val="center"/>
            <w:hideMark/>
          </w:tcPr>
          <w:p w14:paraId="7CD3E493" w14:textId="77777777" w:rsidR="00B10545" w:rsidRPr="00B10545" w:rsidRDefault="00B10545" w:rsidP="00B10545">
            <w:pPr>
              <w:rPr>
                <w:rFonts w:eastAsia="Calibri" w:cs="Arial"/>
                <w:b/>
                <w:bCs/>
                <w:sz w:val="18"/>
                <w:szCs w:val="18"/>
              </w:rPr>
            </w:pPr>
            <w:r w:rsidRPr="00B10545">
              <w:rPr>
                <w:rFonts w:eastAsia="Calibri" w:cs="Arial"/>
                <w:sz w:val="18"/>
                <w:szCs w:val="18"/>
              </w:rPr>
              <w:t>Net</w:t>
            </w:r>
          </w:p>
        </w:tc>
        <w:tc>
          <w:tcPr>
            <w:tcW w:w="1235" w:type="dxa"/>
            <w:gridSpan w:val="2"/>
            <w:tcBorders>
              <w:top w:val="single" w:sz="4" w:space="0" w:color="auto"/>
              <w:left w:val="single" w:sz="4" w:space="0" w:color="auto"/>
              <w:bottom w:val="single" w:sz="4" w:space="0" w:color="auto"/>
              <w:right w:val="single" w:sz="4" w:space="0" w:color="auto"/>
            </w:tcBorders>
            <w:vAlign w:val="center"/>
            <w:hideMark/>
          </w:tcPr>
          <w:p w14:paraId="67F4CD37" w14:textId="77777777" w:rsidR="00B10545" w:rsidRPr="00B10545" w:rsidRDefault="00B10545" w:rsidP="00B10545">
            <w:pPr>
              <w:rPr>
                <w:rFonts w:eastAsia="Calibri" w:cs="Arial"/>
                <w:sz w:val="18"/>
                <w:szCs w:val="18"/>
              </w:rPr>
            </w:pPr>
            <w:r w:rsidRPr="00B10545">
              <w:rPr>
                <w:rFonts w:eastAsia="Calibri" w:cs="Arial"/>
                <w:sz w:val="18"/>
                <w:szCs w:val="18"/>
              </w:rPr>
              <w:t>20,972</w:t>
            </w:r>
          </w:p>
        </w:tc>
        <w:tc>
          <w:tcPr>
            <w:tcW w:w="1503" w:type="dxa"/>
            <w:tcBorders>
              <w:top w:val="single" w:sz="4" w:space="0" w:color="auto"/>
              <w:left w:val="single" w:sz="4" w:space="0" w:color="auto"/>
              <w:bottom w:val="single" w:sz="4" w:space="0" w:color="auto"/>
              <w:right w:val="single" w:sz="4" w:space="0" w:color="auto"/>
            </w:tcBorders>
            <w:vAlign w:val="center"/>
            <w:hideMark/>
          </w:tcPr>
          <w:p w14:paraId="3571B3E3" w14:textId="77777777" w:rsidR="00B10545" w:rsidRPr="00B10545" w:rsidRDefault="00B10545" w:rsidP="00B10545">
            <w:pPr>
              <w:rPr>
                <w:rFonts w:eastAsia="Calibri" w:cs="Arial"/>
                <w:sz w:val="18"/>
                <w:szCs w:val="18"/>
              </w:rPr>
            </w:pPr>
            <w:r w:rsidRPr="00B10545">
              <w:rPr>
                <w:rFonts w:eastAsia="Calibri" w:cs="Arial"/>
                <w:sz w:val="18"/>
                <w:szCs w:val="18"/>
              </w:rPr>
              <w:t>5.00</w:t>
            </w:r>
          </w:p>
        </w:tc>
        <w:tc>
          <w:tcPr>
            <w:tcW w:w="1058" w:type="dxa"/>
            <w:tcBorders>
              <w:top w:val="single" w:sz="4" w:space="0" w:color="auto"/>
              <w:left w:val="single" w:sz="4" w:space="0" w:color="auto"/>
              <w:bottom w:val="single" w:sz="4" w:space="0" w:color="auto"/>
              <w:right w:val="single" w:sz="4" w:space="0" w:color="auto"/>
            </w:tcBorders>
            <w:vAlign w:val="center"/>
            <w:hideMark/>
          </w:tcPr>
          <w:p w14:paraId="660EDD6F" w14:textId="77777777" w:rsidR="00B10545" w:rsidRPr="00B10545" w:rsidRDefault="00B10545" w:rsidP="00B10545">
            <w:pPr>
              <w:rPr>
                <w:rFonts w:eastAsia="Calibri" w:cs="Arial"/>
                <w:sz w:val="18"/>
                <w:szCs w:val="18"/>
              </w:rPr>
            </w:pPr>
            <w:r w:rsidRPr="00B10545">
              <w:rPr>
                <w:rFonts w:eastAsia="Calibri" w:cs="Arial"/>
                <w:sz w:val="18"/>
                <w:szCs w:val="18"/>
              </w:rPr>
              <w:t>15,778</w:t>
            </w:r>
          </w:p>
        </w:tc>
        <w:tc>
          <w:tcPr>
            <w:tcW w:w="1396" w:type="dxa"/>
            <w:tcBorders>
              <w:top w:val="single" w:sz="4" w:space="0" w:color="auto"/>
              <w:left w:val="single" w:sz="4" w:space="0" w:color="auto"/>
              <w:bottom w:val="single" w:sz="4" w:space="0" w:color="auto"/>
              <w:right w:val="single" w:sz="4" w:space="0" w:color="auto"/>
            </w:tcBorders>
            <w:vAlign w:val="center"/>
            <w:hideMark/>
          </w:tcPr>
          <w:p w14:paraId="6351E096" w14:textId="77777777" w:rsidR="00B10545" w:rsidRPr="00B10545" w:rsidRDefault="00B10545" w:rsidP="00B10545">
            <w:pPr>
              <w:rPr>
                <w:rFonts w:eastAsia="Calibri" w:cs="Arial"/>
                <w:sz w:val="18"/>
                <w:szCs w:val="18"/>
              </w:rPr>
            </w:pPr>
            <w:r w:rsidRPr="00B10545">
              <w:rPr>
                <w:rFonts w:eastAsia="Calibri" w:cs="Arial"/>
                <w:sz w:val="18"/>
                <w:szCs w:val="18"/>
              </w:rPr>
              <w:t>5.35</w:t>
            </w:r>
          </w:p>
        </w:tc>
        <w:tc>
          <w:tcPr>
            <w:tcW w:w="1875" w:type="dxa"/>
            <w:tcBorders>
              <w:top w:val="single" w:sz="4" w:space="0" w:color="auto"/>
              <w:left w:val="single" w:sz="4" w:space="0" w:color="auto"/>
              <w:bottom w:val="single" w:sz="4" w:space="0" w:color="auto"/>
              <w:right w:val="single" w:sz="4" w:space="0" w:color="auto"/>
            </w:tcBorders>
            <w:vAlign w:val="center"/>
            <w:hideMark/>
          </w:tcPr>
          <w:p w14:paraId="5721BE98" w14:textId="77777777" w:rsidR="00B10545" w:rsidRPr="00B10545" w:rsidRDefault="00B10545" w:rsidP="00B10545">
            <w:pPr>
              <w:rPr>
                <w:rFonts w:eastAsia="Calibri" w:cs="Arial"/>
                <w:sz w:val="18"/>
                <w:szCs w:val="18"/>
              </w:rPr>
            </w:pPr>
            <w:r w:rsidRPr="00B10545">
              <w:rPr>
                <w:rFonts w:eastAsia="Calibri" w:cs="Arial"/>
                <w:sz w:val="18"/>
                <w:szCs w:val="18"/>
              </w:rPr>
              <w:t>9.30</w:t>
            </w:r>
          </w:p>
        </w:tc>
      </w:tr>
      <w:tr w:rsidR="00B10545" w:rsidRPr="00B10545" w14:paraId="59AD474F" w14:textId="77777777" w:rsidTr="00B10545">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9878FA2" w14:textId="77777777" w:rsidR="00B10545" w:rsidRPr="00B10545" w:rsidRDefault="00B10545" w:rsidP="00B10545">
            <w:pPr>
              <w:rPr>
                <w:rFonts w:cs="Arial"/>
                <w:b/>
                <w:bCs/>
                <w:color w:val="000000"/>
                <w:kern w:val="2"/>
                <w:sz w:val="18"/>
                <w:szCs w:val="18"/>
                <w14:ligatures w14:val="standardContextual"/>
              </w:rPr>
            </w:pPr>
          </w:p>
        </w:tc>
        <w:tc>
          <w:tcPr>
            <w:tcW w:w="957" w:type="dxa"/>
            <w:tcBorders>
              <w:top w:val="single" w:sz="4" w:space="0" w:color="auto"/>
              <w:left w:val="single" w:sz="4" w:space="0" w:color="auto"/>
              <w:bottom w:val="single" w:sz="4" w:space="0" w:color="auto"/>
              <w:right w:val="single" w:sz="4" w:space="0" w:color="auto"/>
            </w:tcBorders>
            <w:vAlign w:val="center"/>
            <w:hideMark/>
          </w:tcPr>
          <w:p w14:paraId="409E150A" w14:textId="77777777" w:rsidR="00B10545" w:rsidRPr="00B10545" w:rsidRDefault="00B10545" w:rsidP="00B10545">
            <w:pPr>
              <w:rPr>
                <w:rFonts w:eastAsia="Calibri" w:cs="Arial"/>
                <w:b/>
                <w:bCs/>
                <w:sz w:val="18"/>
                <w:szCs w:val="18"/>
              </w:rPr>
            </w:pPr>
            <w:r w:rsidRPr="00B10545">
              <w:rPr>
                <w:rFonts w:eastAsia="Calibri" w:cs="Arial"/>
                <w:sz w:val="18"/>
                <w:szCs w:val="18"/>
              </w:rPr>
              <w:t>Flexibility</w:t>
            </w:r>
          </w:p>
        </w:tc>
        <w:tc>
          <w:tcPr>
            <w:tcW w:w="1235" w:type="dxa"/>
            <w:gridSpan w:val="2"/>
            <w:tcBorders>
              <w:top w:val="single" w:sz="4" w:space="0" w:color="auto"/>
              <w:left w:val="single" w:sz="4" w:space="0" w:color="auto"/>
              <w:bottom w:val="single" w:sz="4" w:space="0" w:color="auto"/>
              <w:right w:val="single" w:sz="4" w:space="0" w:color="auto"/>
            </w:tcBorders>
            <w:vAlign w:val="center"/>
            <w:hideMark/>
          </w:tcPr>
          <w:p w14:paraId="0B99FCA6" w14:textId="77777777" w:rsidR="00B10545" w:rsidRPr="00B10545" w:rsidRDefault="00B10545" w:rsidP="00B10545">
            <w:pPr>
              <w:rPr>
                <w:rFonts w:eastAsia="Calibri" w:cs="Arial"/>
                <w:b/>
                <w:bCs/>
                <w:sz w:val="18"/>
                <w:szCs w:val="18"/>
              </w:rPr>
            </w:pPr>
            <w:r w:rsidRPr="00B10545">
              <w:rPr>
                <w:rFonts w:eastAsia="Calibri" w:cs="Arial"/>
                <w:sz w:val="18"/>
                <w:szCs w:val="18"/>
              </w:rPr>
              <w:t>2,424</w:t>
            </w:r>
          </w:p>
        </w:tc>
        <w:tc>
          <w:tcPr>
            <w:tcW w:w="1503" w:type="dxa"/>
            <w:tcBorders>
              <w:top w:val="single" w:sz="4" w:space="0" w:color="auto"/>
              <w:left w:val="single" w:sz="4" w:space="0" w:color="auto"/>
              <w:bottom w:val="single" w:sz="4" w:space="0" w:color="auto"/>
              <w:right w:val="single" w:sz="4" w:space="0" w:color="auto"/>
            </w:tcBorders>
            <w:vAlign w:val="center"/>
            <w:hideMark/>
          </w:tcPr>
          <w:p w14:paraId="2D7E21E1" w14:textId="77777777" w:rsidR="00B10545" w:rsidRPr="00B10545" w:rsidRDefault="00B10545" w:rsidP="00B10545">
            <w:pPr>
              <w:rPr>
                <w:rFonts w:eastAsia="Calibri" w:cs="Arial"/>
                <w:b/>
                <w:bCs/>
                <w:sz w:val="18"/>
                <w:szCs w:val="18"/>
              </w:rPr>
            </w:pPr>
            <w:r w:rsidRPr="00B10545">
              <w:rPr>
                <w:rFonts w:eastAsia="Calibri" w:cs="Arial"/>
                <w:sz w:val="18"/>
                <w:szCs w:val="18"/>
              </w:rPr>
              <w:t>6.99</w:t>
            </w:r>
          </w:p>
        </w:tc>
        <w:tc>
          <w:tcPr>
            <w:tcW w:w="1058" w:type="dxa"/>
            <w:tcBorders>
              <w:top w:val="single" w:sz="4" w:space="0" w:color="auto"/>
              <w:left w:val="single" w:sz="4" w:space="0" w:color="auto"/>
              <w:bottom w:val="single" w:sz="4" w:space="0" w:color="auto"/>
              <w:right w:val="single" w:sz="4" w:space="0" w:color="auto"/>
            </w:tcBorders>
            <w:vAlign w:val="center"/>
            <w:hideMark/>
          </w:tcPr>
          <w:p w14:paraId="5AE689B5" w14:textId="77777777" w:rsidR="00B10545" w:rsidRPr="00B10545" w:rsidRDefault="00B10545" w:rsidP="00B10545">
            <w:pPr>
              <w:rPr>
                <w:rFonts w:eastAsia="Calibri" w:cs="Arial"/>
                <w:b/>
                <w:bCs/>
                <w:sz w:val="18"/>
                <w:szCs w:val="18"/>
              </w:rPr>
            </w:pPr>
            <w:r w:rsidRPr="00B10545">
              <w:rPr>
                <w:rFonts w:eastAsia="Calibri" w:cs="Arial"/>
                <w:sz w:val="18"/>
                <w:szCs w:val="18"/>
              </w:rPr>
              <w:t>73</w:t>
            </w:r>
          </w:p>
        </w:tc>
        <w:tc>
          <w:tcPr>
            <w:tcW w:w="1396" w:type="dxa"/>
            <w:tcBorders>
              <w:top w:val="single" w:sz="4" w:space="0" w:color="auto"/>
              <w:left w:val="single" w:sz="4" w:space="0" w:color="auto"/>
              <w:bottom w:val="single" w:sz="4" w:space="0" w:color="auto"/>
              <w:right w:val="single" w:sz="4" w:space="0" w:color="auto"/>
            </w:tcBorders>
            <w:vAlign w:val="center"/>
            <w:hideMark/>
          </w:tcPr>
          <w:p w14:paraId="593DBDD8" w14:textId="77777777" w:rsidR="00B10545" w:rsidRPr="00B10545" w:rsidRDefault="00B10545" w:rsidP="00B10545">
            <w:pPr>
              <w:rPr>
                <w:rFonts w:eastAsia="Calibri" w:cs="Arial"/>
                <w:b/>
                <w:bCs/>
                <w:sz w:val="18"/>
                <w:szCs w:val="18"/>
              </w:rPr>
            </w:pPr>
            <w:r w:rsidRPr="00B10545">
              <w:rPr>
                <w:rFonts w:eastAsia="Calibri" w:cs="Arial"/>
                <w:sz w:val="18"/>
                <w:szCs w:val="18"/>
              </w:rPr>
              <w:t>7.30</w:t>
            </w:r>
          </w:p>
        </w:tc>
        <w:tc>
          <w:tcPr>
            <w:tcW w:w="1875" w:type="dxa"/>
            <w:tcBorders>
              <w:top w:val="single" w:sz="4" w:space="0" w:color="auto"/>
              <w:left w:val="single" w:sz="4" w:space="0" w:color="auto"/>
              <w:bottom w:val="single" w:sz="4" w:space="0" w:color="auto"/>
              <w:right w:val="single" w:sz="4" w:space="0" w:color="auto"/>
            </w:tcBorders>
            <w:vAlign w:val="center"/>
            <w:hideMark/>
          </w:tcPr>
          <w:p w14:paraId="30A8E02F" w14:textId="77777777" w:rsidR="00B10545" w:rsidRPr="00B10545" w:rsidRDefault="00B10545" w:rsidP="00B10545">
            <w:pPr>
              <w:rPr>
                <w:rFonts w:eastAsia="Calibri" w:cs="Arial"/>
                <w:sz w:val="18"/>
                <w:szCs w:val="18"/>
              </w:rPr>
            </w:pPr>
            <w:r w:rsidRPr="00B10545">
              <w:rPr>
                <w:rFonts w:eastAsia="Calibri" w:cs="Arial"/>
                <w:sz w:val="18"/>
                <w:szCs w:val="18"/>
              </w:rPr>
              <w:t>7.32</w:t>
            </w:r>
          </w:p>
        </w:tc>
      </w:tr>
      <w:tr w:rsidR="00B10545" w:rsidRPr="00B10545" w14:paraId="5D2224FD" w14:textId="77777777" w:rsidTr="00B10545">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795928A" w14:textId="77777777" w:rsidR="00B10545" w:rsidRPr="00B10545" w:rsidRDefault="00B10545" w:rsidP="00B10545">
            <w:pPr>
              <w:rPr>
                <w:rFonts w:cs="Arial"/>
                <w:b/>
                <w:bCs/>
                <w:color w:val="000000"/>
                <w:kern w:val="2"/>
                <w:sz w:val="18"/>
                <w:szCs w:val="18"/>
                <w14:ligatures w14:val="standardContextual"/>
              </w:rPr>
            </w:pPr>
          </w:p>
        </w:tc>
        <w:tc>
          <w:tcPr>
            <w:tcW w:w="957" w:type="dxa"/>
            <w:tcBorders>
              <w:top w:val="single" w:sz="4" w:space="0" w:color="auto"/>
              <w:left w:val="single" w:sz="4" w:space="0" w:color="auto"/>
              <w:bottom w:val="single" w:sz="4" w:space="0" w:color="auto"/>
              <w:right w:val="single" w:sz="4" w:space="0" w:color="auto"/>
            </w:tcBorders>
            <w:vAlign w:val="center"/>
            <w:hideMark/>
          </w:tcPr>
          <w:p w14:paraId="7023A719" w14:textId="77777777" w:rsidR="00B10545" w:rsidRPr="00B10545" w:rsidRDefault="00B10545" w:rsidP="00B10545">
            <w:pPr>
              <w:rPr>
                <w:rFonts w:eastAsia="Calibri" w:cs="Arial"/>
                <w:b/>
                <w:bCs/>
                <w:sz w:val="18"/>
                <w:szCs w:val="18"/>
              </w:rPr>
            </w:pPr>
            <w:r w:rsidRPr="00B10545">
              <w:rPr>
                <w:rFonts w:eastAsia="Calibri" w:cs="Arial"/>
                <w:sz w:val="18"/>
                <w:szCs w:val="18"/>
              </w:rPr>
              <w:t>Loss</w:t>
            </w:r>
          </w:p>
        </w:tc>
        <w:tc>
          <w:tcPr>
            <w:tcW w:w="1235" w:type="dxa"/>
            <w:gridSpan w:val="2"/>
            <w:tcBorders>
              <w:top w:val="single" w:sz="4" w:space="0" w:color="auto"/>
              <w:left w:val="single" w:sz="4" w:space="0" w:color="auto"/>
              <w:bottom w:val="single" w:sz="4" w:space="0" w:color="auto"/>
              <w:right w:val="single" w:sz="4" w:space="0" w:color="auto"/>
            </w:tcBorders>
            <w:vAlign w:val="center"/>
            <w:hideMark/>
          </w:tcPr>
          <w:p w14:paraId="22CE6AA9" w14:textId="77777777" w:rsidR="00B10545" w:rsidRPr="00B10545" w:rsidRDefault="00B10545" w:rsidP="00B10545">
            <w:pPr>
              <w:rPr>
                <w:rFonts w:eastAsia="Calibri" w:cs="Arial"/>
                <w:b/>
                <w:bCs/>
                <w:sz w:val="18"/>
                <w:szCs w:val="18"/>
              </w:rPr>
            </w:pPr>
            <w:r w:rsidRPr="00B10545">
              <w:rPr>
                <w:rFonts w:eastAsia="Calibri" w:cs="Arial"/>
                <w:sz w:val="18"/>
                <w:szCs w:val="18"/>
              </w:rPr>
              <w:t>10,560</w:t>
            </w:r>
          </w:p>
        </w:tc>
        <w:tc>
          <w:tcPr>
            <w:tcW w:w="1503" w:type="dxa"/>
            <w:tcBorders>
              <w:top w:val="single" w:sz="4" w:space="0" w:color="auto"/>
              <w:left w:val="single" w:sz="4" w:space="0" w:color="auto"/>
              <w:bottom w:val="single" w:sz="4" w:space="0" w:color="auto"/>
              <w:right w:val="single" w:sz="4" w:space="0" w:color="auto"/>
            </w:tcBorders>
            <w:vAlign w:val="center"/>
            <w:hideMark/>
          </w:tcPr>
          <w:p w14:paraId="63DEA38B" w14:textId="77777777" w:rsidR="00B10545" w:rsidRPr="00B10545" w:rsidRDefault="00B10545" w:rsidP="00B10545">
            <w:pPr>
              <w:rPr>
                <w:rFonts w:eastAsia="Calibri" w:cs="Arial"/>
                <w:b/>
                <w:bCs/>
                <w:sz w:val="18"/>
                <w:szCs w:val="18"/>
              </w:rPr>
            </w:pPr>
            <w:r w:rsidRPr="00B10545">
              <w:rPr>
                <w:rFonts w:eastAsia="Calibri" w:cs="Arial"/>
                <w:sz w:val="18"/>
                <w:szCs w:val="18"/>
              </w:rPr>
              <w:t>42.03</w:t>
            </w:r>
          </w:p>
        </w:tc>
        <w:tc>
          <w:tcPr>
            <w:tcW w:w="1058" w:type="dxa"/>
            <w:tcBorders>
              <w:top w:val="single" w:sz="4" w:space="0" w:color="auto"/>
              <w:left w:val="single" w:sz="4" w:space="0" w:color="auto"/>
              <w:bottom w:val="single" w:sz="4" w:space="0" w:color="auto"/>
              <w:right w:val="single" w:sz="4" w:space="0" w:color="auto"/>
            </w:tcBorders>
            <w:vAlign w:val="center"/>
            <w:hideMark/>
          </w:tcPr>
          <w:p w14:paraId="6F34F6A4" w14:textId="77777777" w:rsidR="00B10545" w:rsidRPr="00B10545" w:rsidRDefault="00B10545" w:rsidP="00B10545">
            <w:pPr>
              <w:rPr>
                <w:rFonts w:eastAsia="Calibri" w:cs="Arial"/>
                <w:b/>
                <w:bCs/>
                <w:sz w:val="18"/>
                <w:szCs w:val="18"/>
              </w:rPr>
            </w:pPr>
            <w:r w:rsidRPr="00B10545">
              <w:rPr>
                <w:rFonts w:eastAsia="Calibri" w:cs="Arial"/>
                <w:sz w:val="18"/>
                <w:szCs w:val="18"/>
              </w:rPr>
              <w:t>737</w:t>
            </w:r>
          </w:p>
        </w:tc>
        <w:tc>
          <w:tcPr>
            <w:tcW w:w="1396" w:type="dxa"/>
            <w:tcBorders>
              <w:top w:val="single" w:sz="4" w:space="0" w:color="auto"/>
              <w:left w:val="single" w:sz="4" w:space="0" w:color="auto"/>
              <w:bottom w:val="single" w:sz="4" w:space="0" w:color="auto"/>
              <w:right w:val="single" w:sz="4" w:space="0" w:color="auto"/>
            </w:tcBorders>
            <w:vAlign w:val="center"/>
            <w:hideMark/>
          </w:tcPr>
          <w:p w14:paraId="5DE6E80A" w14:textId="77777777" w:rsidR="00B10545" w:rsidRPr="00B10545" w:rsidRDefault="00B10545" w:rsidP="00B10545">
            <w:pPr>
              <w:rPr>
                <w:rFonts w:eastAsia="Calibri" w:cs="Arial"/>
                <w:b/>
                <w:bCs/>
                <w:sz w:val="18"/>
                <w:szCs w:val="18"/>
              </w:rPr>
            </w:pPr>
            <w:r w:rsidRPr="00B10545">
              <w:rPr>
                <w:rFonts w:eastAsia="Calibri" w:cs="Arial"/>
                <w:sz w:val="18"/>
                <w:szCs w:val="18"/>
              </w:rPr>
              <w:t>11.26</w:t>
            </w:r>
          </w:p>
        </w:tc>
        <w:tc>
          <w:tcPr>
            <w:tcW w:w="1875" w:type="dxa"/>
            <w:tcBorders>
              <w:top w:val="single" w:sz="4" w:space="0" w:color="auto"/>
              <w:left w:val="single" w:sz="4" w:space="0" w:color="auto"/>
              <w:bottom w:val="single" w:sz="4" w:space="0" w:color="auto"/>
              <w:right w:val="single" w:sz="4" w:space="0" w:color="auto"/>
            </w:tcBorders>
            <w:vAlign w:val="center"/>
            <w:hideMark/>
          </w:tcPr>
          <w:p w14:paraId="7E60A836" w14:textId="77777777" w:rsidR="00B10545" w:rsidRPr="00B10545" w:rsidRDefault="00B10545" w:rsidP="00B10545">
            <w:pPr>
              <w:rPr>
                <w:rFonts w:eastAsia="Calibri" w:cs="Arial"/>
                <w:sz w:val="18"/>
                <w:szCs w:val="18"/>
              </w:rPr>
            </w:pPr>
            <w:r w:rsidRPr="00B10545">
              <w:rPr>
                <w:rFonts w:eastAsia="Calibri" w:cs="Arial"/>
                <w:sz w:val="18"/>
                <w:szCs w:val="18"/>
              </w:rPr>
              <w:t>11.44</w:t>
            </w:r>
          </w:p>
        </w:tc>
      </w:tr>
      <w:tr w:rsidR="00B10545" w:rsidRPr="00B10545" w14:paraId="4D482DD3" w14:textId="77777777" w:rsidTr="00B10545">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1F1E40B" w14:textId="77777777" w:rsidR="00B10545" w:rsidRPr="00B10545" w:rsidRDefault="00B10545" w:rsidP="00B10545">
            <w:pPr>
              <w:rPr>
                <w:rFonts w:cs="Arial"/>
                <w:b/>
                <w:bCs/>
                <w:color w:val="000000"/>
                <w:kern w:val="2"/>
                <w:sz w:val="18"/>
                <w:szCs w:val="18"/>
                <w14:ligatures w14:val="standardContextual"/>
              </w:rPr>
            </w:pPr>
          </w:p>
        </w:tc>
        <w:tc>
          <w:tcPr>
            <w:tcW w:w="957" w:type="dxa"/>
            <w:tcBorders>
              <w:top w:val="single" w:sz="4" w:space="0" w:color="auto"/>
              <w:left w:val="single" w:sz="4" w:space="0" w:color="auto"/>
              <w:bottom w:val="single" w:sz="4" w:space="0" w:color="auto"/>
              <w:right w:val="single" w:sz="4" w:space="0" w:color="auto"/>
            </w:tcBorders>
            <w:vAlign w:val="center"/>
            <w:hideMark/>
          </w:tcPr>
          <w:p w14:paraId="37C61D37" w14:textId="77777777" w:rsidR="00B10545" w:rsidRPr="00B10545" w:rsidRDefault="00B10545" w:rsidP="00B10545">
            <w:pPr>
              <w:rPr>
                <w:rFonts w:eastAsia="Calibri" w:cs="Arial"/>
                <w:b/>
                <w:bCs/>
                <w:sz w:val="18"/>
                <w:szCs w:val="18"/>
              </w:rPr>
            </w:pPr>
            <w:r w:rsidRPr="00B10545">
              <w:rPr>
                <w:rFonts w:eastAsia="Calibri" w:cs="Arial"/>
                <w:sz w:val="18"/>
                <w:szCs w:val="18"/>
              </w:rPr>
              <w:t>Gross</w:t>
            </w:r>
          </w:p>
        </w:tc>
        <w:tc>
          <w:tcPr>
            <w:tcW w:w="1235" w:type="dxa"/>
            <w:gridSpan w:val="2"/>
            <w:tcBorders>
              <w:top w:val="single" w:sz="4" w:space="0" w:color="auto"/>
              <w:left w:val="single" w:sz="4" w:space="0" w:color="auto"/>
              <w:bottom w:val="single" w:sz="4" w:space="0" w:color="auto"/>
              <w:right w:val="single" w:sz="4" w:space="0" w:color="auto"/>
            </w:tcBorders>
            <w:vAlign w:val="center"/>
            <w:hideMark/>
          </w:tcPr>
          <w:p w14:paraId="465B88B2" w14:textId="77777777" w:rsidR="00B10545" w:rsidRPr="00B10545" w:rsidRDefault="00B10545" w:rsidP="00B10545">
            <w:pPr>
              <w:rPr>
                <w:rFonts w:eastAsia="Calibri" w:cs="Arial"/>
                <w:b/>
                <w:bCs/>
                <w:sz w:val="18"/>
                <w:szCs w:val="18"/>
              </w:rPr>
            </w:pPr>
            <w:r w:rsidRPr="00B10545">
              <w:rPr>
                <w:rFonts w:eastAsia="Calibri" w:cs="Arial"/>
                <w:b/>
                <w:bCs/>
                <w:sz w:val="18"/>
                <w:szCs w:val="18"/>
              </w:rPr>
              <w:t>33,956</w:t>
            </w:r>
          </w:p>
        </w:tc>
        <w:tc>
          <w:tcPr>
            <w:tcW w:w="1503" w:type="dxa"/>
            <w:tcBorders>
              <w:top w:val="single" w:sz="4" w:space="0" w:color="auto"/>
              <w:left w:val="single" w:sz="4" w:space="0" w:color="auto"/>
              <w:bottom w:val="single" w:sz="4" w:space="0" w:color="auto"/>
              <w:right w:val="single" w:sz="4" w:space="0" w:color="auto"/>
            </w:tcBorders>
            <w:vAlign w:val="center"/>
            <w:hideMark/>
          </w:tcPr>
          <w:p w14:paraId="4097EA9B" w14:textId="77777777" w:rsidR="00B10545" w:rsidRPr="00B10545" w:rsidRDefault="00B10545" w:rsidP="00B10545">
            <w:pPr>
              <w:rPr>
                <w:rFonts w:eastAsia="Calibri" w:cs="Arial"/>
                <w:b/>
                <w:bCs/>
                <w:sz w:val="18"/>
                <w:szCs w:val="18"/>
              </w:rPr>
            </w:pPr>
            <w:r w:rsidRPr="00B10545">
              <w:rPr>
                <w:rFonts w:eastAsia="Calibri" w:cs="Arial"/>
                <w:b/>
                <w:bCs/>
                <w:sz w:val="18"/>
                <w:szCs w:val="18"/>
              </w:rPr>
              <w:t>54.01</w:t>
            </w:r>
          </w:p>
        </w:tc>
        <w:tc>
          <w:tcPr>
            <w:tcW w:w="1058" w:type="dxa"/>
            <w:tcBorders>
              <w:top w:val="single" w:sz="4" w:space="0" w:color="auto"/>
              <w:left w:val="single" w:sz="4" w:space="0" w:color="auto"/>
              <w:bottom w:val="single" w:sz="4" w:space="0" w:color="auto"/>
              <w:right w:val="single" w:sz="4" w:space="0" w:color="auto"/>
            </w:tcBorders>
            <w:vAlign w:val="center"/>
            <w:hideMark/>
          </w:tcPr>
          <w:p w14:paraId="1F102343" w14:textId="77777777" w:rsidR="00B10545" w:rsidRPr="00B10545" w:rsidRDefault="00B10545" w:rsidP="00B10545">
            <w:pPr>
              <w:rPr>
                <w:rFonts w:eastAsia="Calibri" w:cs="Arial"/>
                <w:b/>
                <w:bCs/>
                <w:sz w:val="18"/>
                <w:szCs w:val="18"/>
              </w:rPr>
            </w:pPr>
            <w:r w:rsidRPr="00B10545">
              <w:rPr>
                <w:rFonts w:eastAsia="Calibri" w:cs="Arial"/>
                <w:b/>
                <w:bCs/>
                <w:sz w:val="18"/>
                <w:szCs w:val="18"/>
              </w:rPr>
              <w:t>16,588</w:t>
            </w:r>
          </w:p>
        </w:tc>
        <w:tc>
          <w:tcPr>
            <w:tcW w:w="1396" w:type="dxa"/>
            <w:tcBorders>
              <w:top w:val="single" w:sz="4" w:space="0" w:color="auto"/>
              <w:left w:val="single" w:sz="4" w:space="0" w:color="auto"/>
              <w:bottom w:val="single" w:sz="4" w:space="0" w:color="auto"/>
              <w:right w:val="single" w:sz="4" w:space="0" w:color="auto"/>
            </w:tcBorders>
            <w:vAlign w:val="center"/>
            <w:hideMark/>
          </w:tcPr>
          <w:p w14:paraId="49258AD8" w14:textId="77777777" w:rsidR="00B10545" w:rsidRPr="00B10545" w:rsidRDefault="00B10545" w:rsidP="00B10545">
            <w:pPr>
              <w:rPr>
                <w:rFonts w:eastAsia="Calibri" w:cs="Arial"/>
                <w:b/>
                <w:bCs/>
                <w:sz w:val="18"/>
                <w:szCs w:val="18"/>
              </w:rPr>
            </w:pPr>
            <w:r w:rsidRPr="00B10545">
              <w:rPr>
                <w:rFonts w:eastAsia="Calibri" w:cs="Arial"/>
                <w:b/>
                <w:bCs/>
                <w:sz w:val="18"/>
                <w:szCs w:val="18"/>
              </w:rPr>
              <w:t>23.91</w:t>
            </w:r>
          </w:p>
        </w:tc>
        <w:tc>
          <w:tcPr>
            <w:tcW w:w="1875" w:type="dxa"/>
            <w:tcBorders>
              <w:top w:val="single" w:sz="4" w:space="0" w:color="auto"/>
              <w:left w:val="single" w:sz="4" w:space="0" w:color="auto"/>
              <w:bottom w:val="single" w:sz="4" w:space="0" w:color="auto"/>
              <w:right w:val="single" w:sz="4" w:space="0" w:color="auto"/>
            </w:tcBorders>
            <w:vAlign w:val="center"/>
            <w:hideMark/>
          </w:tcPr>
          <w:p w14:paraId="404C6193" w14:textId="77777777" w:rsidR="00B10545" w:rsidRPr="00B10545" w:rsidRDefault="00B10545" w:rsidP="00B10545">
            <w:pPr>
              <w:rPr>
                <w:rFonts w:eastAsia="Calibri" w:cs="Arial"/>
                <w:sz w:val="18"/>
                <w:szCs w:val="18"/>
              </w:rPr>
            </w:pPr>
            <w:r w:rsidRPr="00B10545">
              <w:rPr>
                <w:rFonts w:eastAsia="Calibri" w:cs="Arial"/>
                <w:b/>
                <w:bCs/>
                <w:sz w:val="18"/>
                <w:szCs w:val="18"/>
              </w:rPr>
              <w:t>28.06</w:t>
            </w:r>
          </w:p>
        </w:tc>
      </w:tr>
      <w:tr w:rsidR="00B10545" w:rsidRPr="00B10545" w14:paraId="32F5AF50" w14:textId="77777777" w:rsidTr="00B10545">
        <w:tc>
          <w:tcPr>
            <w:tcW w:w="1684" w:type="dxa"/>
            <w:vMerge w:val="restart"/>
            <w:tcBorders>
              <w:top w:val="single" w:sz="4" w:space="0" w:color="auto"/>
              <w:left w:val="single" w:sz="4" w:space="0" w:color="auto"/>
              <w:bottom w:val="single" w:sz="4" w:space="0" w:color="auto"/>
              <w:right w:val="single" w:sz="4" w:space="0" w:color="auto"/>
            </w:tcBorders>
            <w:vAlign w:val="center"/>
            <w:hideMark/>
          </w:tcPr>
          <w:p w14:paraId="6512E74B" w14:textId="77777777" w:rsidR="00B10545" w:rsidRPr="00B10545" w:rsidRDefault="00B10545" w:rsidP="00B10545">
            <w:pPr>
              <w:autoSpaceDE w:val="0"/>
              <w:autoSpaceDN w:val="0"/>
              <w:adjustRightInd w:val="0"/>
              <w:jc w:val="left"/>
              <w:rPr>
                <w:rFonts w:eastAsia="Calibri" w:cs="Arial"/>
                <w:b/>
                <w:bCs/>
                <w:sz w:val="18"/>
                <w:szCs w:val="18"/>
              </w:rPr>
            </w:pPr>
            <w:r w:rsidRPr="00B10545">
              <w:rPr>
                <w:rFonts w:eastAsia="Calibri" w:cs="Arial"/>
                <w:b/>
                <w:bCs/>
                <w:sz w:val="18"/>
                <w:szCs w:val="18"/>
              </w:rPr>
              <w:t>4) 2014-based SNPP</w:t>
            </w:r>
          </w:p>
        </w:tc>
        <w:tc>
          <w:tcPr>
            <w:tcW w:w="965" w:type="dxa"/>
            <w:gridSpan w:val="2"/>
            <w:tcBorders>
              <w:top w:val="single" w:sz="4" w:space="0" w:color="auto"/>
              <w:left w:val="single" w:sz="4" w:space="0" w:color="auto"/>
              <w:bottom w:val="single" w:sz="4" w:space="0" w:color="auto"/>
              <w:right w:val="single" w:sz="4" w:space="0" w:color="auto"/>
            </w:tcBorders>
            <w:vAlign w:val="center"/>
            <w:hideMark/>
          </w:tcPr>
          <w:p w14:paraId="21401AD0" w14:textId="77777777" w:rsidR="00B10545" w:rsidRPr="00B10545" w:rsidRDefault="00B10545" w:rsidP="00B10545">
            <w:pPr>
              <w:jc w:val="left"/>
              <w:rPr>
                <w:rFonts w:eastAsia="Calibri" w:cs="Arial"/>
                <w:sz w:val="18"/>
                <w:szCs w:val="18"/>
              </w:rPr>
            </w:pPr>
            <w:r w:rsidRPr="00B10545">
              <w:rPr>
                <w:rFonts w:eastAsia="Calibri" w:cs="Arial"/>
                <w:sz w:val="18"/>
                <w:szCs w:val="18"/>
              </w:rPr>
              <w:t>Net</w:t>
            </w:r>
          </w:p>
        </w:tc>
        <w:tc>
          <w:tcPr>
            <w:tcW w:w="1229" w:type="dxa"/>
            <w:tcBorders>
              <w:top w:val="single" w:sz="4" w:space="0" w:color="auto"/>
              <w:left w:val="single" w:sz="4" w:space="0" w:color="auto"/>
              <w:bottom w:val="single" w:sz="4" w:space="0" w:color="auto"/>
              <w:right w:val="single" w:sz="4" w:space="0" w:color="auto"/>
            </w:tcBorders>
            <w:vAlign w:val="center"/>
            <w:hideMark/>
          </w:tcPr>
          <w:p w14:paraId="33516CFD" w14:textId="77777777" w:rsidR="00B10545" w:rsidRPr="00B10545" w:rsidRDefault="00B10545" w:rsidP="00B10545">
            <w:pPr>
              <w:rPr>
                <w:rFonts w:eastAsia="Calibri" w:cs="Arial"/>
                <w:sz w:val="18"/>
                <w:szCs w:val="18"/>
              </w:rPr>
            </w:pPr>
            <w:r w:rsidRPr="00B10545">
              <w:rPr>
                <w:rFonts w:eastAsia="Calibri" w:cs="Arial"/>
                <w:sz w:val="18"/>
                <w:szCs w:val="18"/>
              </w:rPr>
              <w:t>13,781</w:t>
            </w:r>
          </w:p>
        </w:tc>
        <w:tc>
          <w:tcPr>
            <w:tcW w:w="1509" w:type="dxa"/>
            <w:gridSpan w:val="2"/>
            <w:tcBorders>
              <w:top w:val="single" w:sz="4" w:space="0" w:color="auto"/>
              <w:left w:val="single" w:sz="4" w:space="0" w:color="auto"/>
              <w:bottom w:val="single" w:sz="4" w:space="0" w:color="auto"/>
              <w:right w:val="single" w:sz="4" w:space="0" w:color="auto"/>
            </w:tcBorders>
            <w:vAlign w:val="center"/>
            <w:hideMark/>
          </w:tcPr>
          <w:p w14:paraId="55CEEE11" w14:textId="77777777" w:rsidR="00B10545" w:rsidRPr="00B10545" w:rsidRDefault="00B10545" w:rsidP="00B10545">
            <w:pPr>
              <w:rPr>
                <w:rFonts w:eastAsia="Calibri" w:cs="Arial"/>
                <w:sz w:val="18"/>
                <w:szCs w:val="18"/>
              </w:rPr>
            </w:pPr>
            <w:r w:rsidRPr="00B10545">
              <w:rPr>
                <w:rFonts w:eastAsia="Calibri" w:cs="Arial"/>
                <w:sz w:val="18"/>
                <w:szCs w:val="18"/>
              </w:rPr>
              <w:t>4.54</w:t>
            </w:r>
          </w:p>
        </w:tc>
        <w:tc>
          <w:tcPr>
            <w:tcW w:w="1058" w:type="dxa"/>
            <w:tcBorders>
              <w:top w:val="single" w:sz="4" w:space="0" w:color="auto"/>
              <w:left w:val="single" w:sz="4" w:space="0" w:color="auto"/>
              <w:bottom w:val="single" w:sz="4" w:space="0" w:color="auto"/>
              <w:right w:val="single" w:sz="4" w:space="0" w:color="auto"/>
            </w:tcBorders>
            <w:vAlign w:val="center"/>
            <w:hideMark/>
          </w:tcPr>
          <w:p w14:paraId="7E8FD8F0" w14:textId="77777777" w:rsidR="00B10545" w:rsidRPr="00B10545" w:rsidRDefault="00B10545" w:rsidP="00B10545">
            <w:pPr>
              <w:rPr>
                <w:rFonts w:eastAsia="Calibri" w:cs="Arial"/>
                <w:sz w:val="18"/>
                <w:szCs w:val="18"/>
              </w:rPr>
            </w:pPr>
            <w:r w:rsidRPr="00B10545">
              <w:rPr>
                <w:rFonts w:eastAsia="Calibri" w:cs="Arial"/>
                <w:sz w:val="18"/>
                <w:szCs w:val="18"/>
              </w:rPr>
              <w:t>4,267</w:t>
            </w:r>
          </w:p>
        </w:tc>
        <w:tc>
          <w:tcPr>
            <w:tcW w:w="1396" w:type="dxa"/>
            <w:tcBorders>
              <w:top w:val="single" w:sz="4" w:space="0" w:color="auto"/>
              <w:left w:val="single" w:sz="4" w:space="0" w:color="auto"/>
              <w:bottom w:val="single" w:sz="4" w:space="0" w:color="auto"/>
              <w:right w:val="single" w:sz="4" w:space="0" w:color="auto"/>
            </w:tcBorders>
            <w:vAlign w:val="center"/>
            <w:hideMark/>
          </w:tcPr>
          <w:p w14:paraId="6F827C6D" w14:textId="77777777" w:rsidR="00B10545" w:rsidRPr="00B10545" w:rsidRDefault="00B10545" w:rsidP="00B10545">
            <w:pPr>
              <w:rPr>
                <w:rFonts w:eastAsia="Calibri" w:cs="Arial"/>
                <w:sz w:val="18"/>
                <w:szCs w:val="18"/>
              </w:rPr>
            </w:pPr>
            <w:r w:rsidRPr="00B10545">
              <w:rPr>
                <w:rFonts w:eastAsia="Calibri" w:cs="Arial"/>
                <w:sz w:val="18"/>
                <w:szCs w:val="18"/>
              </w:rPr>
              <w:t>-6.39</w:t>
            </w:r>
          </w:p>
        </w:tc>
        <w:tc>
          <w:tcPr>
            <w:tcW w:w="1875" w:type="dxa"/>
            <w:tcBorders>
              <w:top w:val="single" w:sz="4" w:space="0" w:color="auto"/>
              <w:left w:val="single" w:sz="4" w:space="0" w:color="auto"/>
              <w:bottom w:val="single" w:sz="4" w:space="0" w:color="auto"/>
              <w:right w:val="single" w:sz="4" w:space="0" w:color="auto"/>
            </w:tcBorders>
            <w:vAlign w:val="center"/>
            <w:hideMark/>
          </w:tcPr>
          <w:p w14:paraId="7BEC4A92" w14:textId="77777777" w:rsidR="00B10545" w:rsidRPr="00B10545" w:rsidRDefault="00B10545" w:rsidP="00B10545">
            <w:pPr>
              <w:rPr>
                <w:rFonts w:eastAsia="Calibri" w:cs="Arial"/>
                <w:sz w:val="18"/>
                <w:szCs w:val="18"/>
              </w:rPr>
            </w:pPr>
            <w:r w:rsidRPr="00B10545">
              <w:rPr>
                <w:rFonts w:eastAsia="Calibri" w:cs="Arial"/>
                <w:sz w:val="18"/>
                <w:szCs w:val="18"/>
              </w:rPr>
              <w:t>-5.32</w:t>
            </w:r>
          </w:p>
        </w:tc>
      </w:tr>
      <w:tr w:rsidR="00B10545" w:rsidRPr="00B10545" w14:paraId="346DC51E" w14:textId="77777777" w:rsidTr="00B10545">
        <w:tc>
          <w:tcPr>
            <w:tcW w:w="0" w:type="auto"/>
            <w:vMerge/>
            <w:tcBorders>
              <w:top w:val="single" w:sz="4" w:space="0" w:color="auto"/>
              <w:left w:val="single" w:sz="4" w:space="0" w:color="auto"/>
              <w:bottom w:val="single" w:sz="4" w:space="0" w:color="auto"/>
              <w:right w:val="single" w:sz="4" w:space="0" w:color="auto"/>
            </w:tcBorders>
            <w:vAlign w:val="center"/>
            <w:hideMark/>
          </w:tcPr>
          <w:p w14:paraId="165355AC" w14:textId="77777777" w:rsidR="00B10545" w:rsidRPr="00B10545" w:rsidRDefault="00B10545" w:rsidP="00B10545">
            <w:pPr>
              <w:rPr>
                <w:rFonts w:eastAsia="Calibri" w:cs="Arial"/>
                <w:b/>
                <w:bCs/>
                <w:kern w:val="2"/>
                <w:sz w:val="18"/>
                <w:szCs w:val="18"/>
                <w14:ligatures w14:val="standardContextual"/>
              </w:rPr>
            </w:pPr>
          </w:p>
        </w:tc>
        <w:tc>
          <w:tcPr>
            <w:tcW w:w="965" w:type="dxa"/>
            <w:gridSpan w:val="2"/>
            <w:tcBorders>
              <w:top w:val="single" w:sz="4" w:space="0" w:color="auto"/>
              <w:left w:val="single" w:sz="4" w:space="0" w:color="auto"/>
              <w:bottom w:val="single" w:sz="4" w:space="0" w:color="auto"/>
              <w:right w:val="single" w:sz="4" w:space="0" w:color="auto"/>
            </w:tcBorders>
            <w:vAlign w:val="center"/>
            <w:hideMark/>
          </w:tcPr>
          <w:p w14:paraId="160A7783" w14:textId="77777777" w:rsidR="00B10545" w:rsidRPr="00B10545" w:rsidRDefault="00B10545" w:rsidP="00B10545">
            <w:pPr>
              <w:jc w:val="left"/>
              <w:rPr>
                <w:rFonts w:eastAsia="Calibri" w:cs="Arial"/>
                <w:sz w:val="18"/>
                <w:szCs w:val="18"/>
              </w:rPr>
            </w:pPr>
            <w:r w:rsidRPr="00B10545">
              <w:rPr>
                <w:rFonts w:eastAsia="Calibri" w:cs="Arial"/>
                <w:sz w:val="18"/>
                <w:szCs w:val="18"/>
              </w:rPr>
              <w:t>Flexibility</w:t>
            </w:r>
          </w:p>
        </w:tc>
        <w:tc>
          <w:tcPr>
            <w:tcW w:w="1229" w:type="dxa"/>
            <w:tcBorders>
              <w:top w:val="single" w:sz="4" w:space="0" w:color="auto"/>
              <w:left w:val="single" w:sz="4" w:space="0" w:color="auto"/>
              <w:bottom w:val="single" w:sz="4" w:space="0" w:color="auto"/>
              <w:right w:val="single" w:sz="4" w:space="0" w:color="auto"/>
            </w:tcBorders>
            <w:vAlign w:val="center"/>
            <w:hideMark/>
          </w:tcPr>
          <w:p w14:paraId="2A978FC4" w14:textId="77777777" w:rsidR="00B10545" w:rsidRPr="00B10545" w:rsidRDefault="00B10545" w:rsidP="00B10545">
            <w:pPr>
              <w:rPr>
                <w:rFonts w:eastAsia="Calibri" w:cs="Arial"/>
                <w:b/>
                <w:bCs/>
                <w:sz w:val="18"/>
                <w:szCs w:val="18"/>
              </w:rPr>
            </w:pPr>
            <w:r w:rsidRPr="00B10545">
              <w:rPr>
                <w:rFonts w:eastAsia="Calibri" w:cs="Arial"/>
                <w:sz w:val="18"/>
                <w:szCs w:val="18"/>
              </w:rPr>
              <w:t>2,424</w:t>
            </w:r>
          </w:p>
        </w:tc>
        <w:tc>
          <w:tcPr>
            <w:tcW w:w="1509" w:type="dxa"/>
            <w:gridSpan w:val="2"/>
            <w:tcBorders>
              <w:top w:val="single" w:sz="4" w:space="0" w:color="auto"/>
              <w:left w:val="single" w:sz="4" w:space="0" w:color="auto"/>
              <w:bottom w:val="single" w:sz="4" w:space="0" w:color="auto"/>
              <w:right w:val="single" w:sz="4" w:space="0" w:color="auto"/>
            </w:tcBorders>
            <w:vAlign w:val="center"/>
            <w:hideMark/>
          </w:tcPr>
          <w:p w14:paraId="13732E5E" w14:textId="77777777" w:rsidR="00B10545" w:rsidRPr="00B10545" w:rsidRDefault="00B10545" w:rsidP="00B10545">
            <w:pPr>
              <w:rPr>
                <w:rFonts w:eastAsia="Calibri" w:cs="Arial"/>
                <w:b/>
                <w:bCs/>
                <w:sz w:val="18"/>
                <w:szCs w:val="18"/>
              </w:rPr>
            </w:pPr>
            <w:r w:rsidRPr="00B10545">
              <w:rPr>
                <w:rFonts w:eastAsia="Calibri" w:cs="Arial"/>
                <w:sz w:val="18"/>
                <w:szCs w:val="18"/>
              </w:rPr>
              <w:t>6.99</w:t>
            </w:r>
          </w:p>
        </w:tc>
        <w:tc>
          <w:tcPr>
            <w:tcW w:w="1058" w:type="dxa"/>
            <w:tcBorders>
              <w:top w:val="single" w:sz="4" w:space="0" w:color="auto"/>
              <w:left w:val="single" w:sz="4" w:space="0" w:color="auto"/>
              <w:bottom w:val="single" w:sz="4" w:space="0" w:color="auto"/>
              <w:right w:val="single" w:sz="4" w:space="0" w:color="auto"/>
            </w:tcBorders>
            <w:vAlign w:val="center"/>
            <w:hideMark/>
          </w:tcPr>
          <w:p w14:paraId="44C68FA9" w14:textId="77777777" w:rsidR="00B10545" w:rsidRPr="00B10545" w:rsidRDefault="00B10545" w:rsidP="00B10545">
            <w:pPr>
              <w:rPr>
                <w:rFonts w:eastAsia="Calibri" w:cs="Arial"/>
                <w:b/>
                <w:bCs/>
                <w:sz w:val="18"/>
                <w:szCs w:val="18"/>
              </w:rPr>
            </w:pPr>
            <w:r w:rsidRPr="00B10545">
              <w:rPr>
                <w:rFonts w:eastAsia="Calibri" w:cs="Arial"/>
                <w:sz w:val="18"/>
                <w:szCs w:val="18"/>
              </w:rPr>
              <w:t>73</w:t>
            </w:r>
          </w:p>
        </w:tc>
        <w:tc>
          <w:tcPr>
            <w:tcW w:w="1396" w:type="dxa"/>
            <w:tcBorders>
              <w:top w:val="single" w:sz="4" w:space="0" w:color="auto"/>
              <w:left w:val="single" w:sz="4" w:space="0" w:color="auto"/>
              <w:bottom w:val="single" w:sz="4" w:space="0" w:color="auto"/>
              <w:right w:val="single" w:sz="4" w:space="0" w:color="auto"/>
            </w:tcBorders>
            <w:vAlign w:val="center"/>
            <w:hideMark/>
          </w:tcPr>
          <w:p w14:paraId="10821320" w14:textId="77777777" w:rsidR="00B10545" w:rsidRPr="00B10545" w:rsidRDefault="00B10545" w:rsidP="00B10545">
            <w:pPr>
              <w:rPr>
                <w:rFonts w:eastAsia="Calibri" w:cs="Arial"/>
                <w:sz w:val="18"/>
                <w:szCs w:val="18"/>
              </w:rPr>
            </w:pPr>
            <w:r w:rsidRPr="00B10545">
              <w:rPr>
                <w:rFonts w:eastAsia="Calibri" w:cs="Arial"/>
                <w:sz w:val="18"/>
                <w:szCs w:val="18"/>
              </w:rPr>
              <w:t>7.30</w:t>
            </w:r>
          </w:p>
        </w:tc>
        <w:tc>
          <w:tcPr>
            <w:tcW w:w="1875" w:type="dxa"/>
            <w:tcBorders>
              <w:top w:val="single" w:sz="4" w:space="0" w:color="auto"/>
              <w:left w:val="single" w:sz="4" w:space="0" w:color="auto"/>
              <w:bottom w:val="single" w:sz="4" w:space="0" w:color="auto"/>
              <w:right w:val="single" w:sz="4" w:space="0" w:color="auto"/>
            </w:tcBorders>
            <w:vAlign w:val="center"/>
            <w:hideMark/>
          </w:tcPr>
          <w:p w14:paraId="69246619" w14:textId="77777777" w:rsidR="00B10545" w:rsidRPr="00B10545" w:rsidRDefault="00B10545" w:rsidP="00B10545">
            <w:pPr>
              <w:rPr>
                <w:rFonts w:eastAsia="Calibri" w:cs="Arial"/>
                <w:sz w:val="18"/>
                <w:szCs w:val="18"/>
              </w:rPr>
            </w:pPr>
            <w:r w:rsidRPr="00B10545">
              <w:rPr>
                <w:rFonts w:eastAsia="Calibri" w:cs="Arial"/>
                <w:sz w:val="18"/>
                <w:szCs w:val="18"/>
              </w:rPr>
              <w:t>7.32</w:t>
            </w:r>
          </w:p>
        </w:tc>
      </w:tr>
      <w:tr w:rsidR="00B10545" w:rsidRPr="00B10545" w14:paraId="50680943" w14:textId="77777777" w:rsidTr="00B10545">
        <w:trPr>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2FE949" w14:textId="77777777" w:rsidR="00B10545" w:rsidRPr="00B10545" w:rsidRDefault="00B10545" w:rsidP="00B10545">
            <w:pPr>
              <w:rPr>
                <w:rFonts w:eastAsia="Calibri" w:cs="Arial"/>
                <w:b/>
                <w:bCs/>
                <w:kern w:val="2"/>
                <w:sz w:val="18"/>
                <w:szCs w:val="18"/>
                <w14:ligatures w14:val="standardContextual"/>
              </w:rPr>
            </w:pPr>
          </w:p>
        </w:tc>
        <w:tc>
          <w:tcPr>
            <w:tcW w:w="965" w:type="dxa"/>
            <w:gridSpan w:val="2"/>
            <w:tcBorders>
              <w:top w:val="single" w:sz="4" w:space="0" w:color="auto"/>
              <w:left w:val="single" w:sz="4" w:space="0" w:color="auto"/>
              <w:bottom w:val="single" w:sz="4" w:space="0" w:color="auto"/>
              <w:right w:val="single" w:sz="4" w:space="0" w:color="auto"/>
            </w:tcBorders>
            <w:vAlign w:val="center"/>
            <w:hideMark/>
          </w:tcPr>
          <w:p w14:paraId="33158A1C" w14:textId="77777777" w:rsidR="00B10545" w:rsidRPr="00B10545" w:rsidRDefault="00B10545" w:rsidP="00B10545">
            <w:pPr>
              <w:jc w:val="left"/>
              <w:rPr>
                <w:rFonts w:eastAsia="Calibri" w:cs="Arial"/>
                <w:sz w:val="18"/>
                <w:szCs w:val="18"/>
              </w:rPr>
            </w:pPr>
            <w:r w:rsidRPr="00B10545">
              <w:rPr>
                <w:rFonts w:eastAsia="Calibri" w:cs="Arial"/>
                <w:sz w:val="18"/>
                <w:szCs w:val="18"/>
              </w:rPr>
              <w:t>Loss</w:t>
            </w:r>
          </w:p>
        </w:tc>
        <w:tc>
          <w:tcPr>
            <w:tcW w:w="1229" w:type="dxa"/>
            <w:tcBorders>
              <w:top w:val="single" w:sz="4" w:space="0" w:color="auto"/>
              <w:left w:val="single" w:sz="4" w:space="0" w:color="auto"/>
              <w:bottom w:val="single" w:sz="4" w:space="0" w:color="auto"/>
              <w:right w:val="single" w:sz="4" w:space="0" w:color="auto"/>
            </w:tcBorders>
            <w:vAlign w:val="center"/>
            <w:hideMark/>
          </w:tcPr>
          <w:p w14:paraId="5C601FEC" w14:textId="77777777" w:rsidR="00B10545" w:rsidRPr="00B10545" w:rsidRDefault="00B10545" w:rsidP="00B10545">
            <w:pPr>
              <w:rPr>
                <w:rFonts w:eastAsia="Calibri" w:cs="Arial"/>
                <w:b/>
                <w:bCs/>
                <w:sz w:val="18"/>
                <w:szCs w:val="18"/>
              </w:rPr>
            </w:pPr>
            <w:r w:rsidRPr="00B10545">
              <w:rPr>
                <w:rFonts w:eastAsia="Calibri" w:cs="Arial"/>
                <w:sz w:val="18"/>
                <w:szCs w:val="18"/>
              </w:rPr>
              <w:t>10,560</w:t>
            </w:r>
          </w:p>
        </w:tc>
        <w:tc>
          <w:tcPr>
            <w:tcW w:w="1509" w:type="dxa"/>
            <w:gridSpan w:val="2"/>
            <w:tcBorders>
              <w:top w:val="single" w:sz="4" w:space="0" w:color="auto"/>
              <w:left w:val="single" w:sz="4" w:space="0" w:color="auto"/>
              <w:bottom w:val="single" w:sz="4" w:space="0" w:color="auto"/>
              <w:right w:val="single" w:sz="4" w:space="0" w:color="auto"/>
            </w:tcBorders>
            <w:vAlign w:val="center"/>
            <w:hideMark/>
          </w:tcPr>
          <w:p w14:paraId="6EB59313" w14:textId="77777777" w:rsidR="00B10545" w:rsidRPr="00B10545" w:rsidRDefault="00B10545" w:rsidP="00B10545">
            <w:pPr>
              <w:rPr>
                <w:rFonts w:eastAsia="Calibri" w:cs="Arial"/>
                <w:b/>
                <w:bCs/>
                <w:sz w:val="18"/>
                <w:szCs w:val="18"/>
              </w:rPr>
            </w:pPr>
            <w:r w:rsidRPr="00B10545">
              <w:rPr>
                <w:rFonts w:eastAsia="Calibri" w:cs="Arial"/>
                <w:sz w:val="18"/>
                <w:szCs w:val="18"/>
              </w:rPr>
              <w:t>42.03</w:t>
            </w:r>
          </w:p>
        </w:tc>
        <w:tc>
          <w:tcPr>
            <w:tcW w:w="1058" w:type="dxa"/>
            <w:tcBorders>
              <w:top w:val="single" w:sz="4" w:space="0" w:color="auto"/>
              <w:left w:val="single" w:sz="4" w:space="0" w:color="auto"/>
              <w:bottom w:val="single" w:sz="4" w:space="0" w:color="auto"/>
              <w:right w:val="single" w:sz="4" w:space="0" w:color="auto"/>
            </w:tcBorders>
            <w:vAlign w:val="center"/>
            <w:hideMark/>
          </w:tcPr>
          <w:p w14:paraId="46D820C9" w14:textId="77777777" w:rsidR="00B10545" w:rsidRPr="00B10545" w:rsidRDefault="00B10545" w:rsidP="00B10545">
            <w:pPr>
              <w:rPr>
                <w:rFonts w:eastAsia="Calibri" w:cs="Arial"/>
                <w:b/>
                <w:bCs/>
                <w:sz w:val="18"/>
                <w:szCs w:val="18"/>
              </w:rPr>
            </w:pPr>
            <w:r w:rsidRPr="00B10545">
              <w:rPr>
                <w:rFonts w:eastAsia="Calibri" w:cs="Arial"/>
                <w:sz w:val="18"/>
                <w:szCs w:val="18"/>
              </w:rPr>
              <w:t>737</w:t>
            </w:r>
          </w:p>
        </w:tc>
        <w:tc>
          <w:tcPr>
            <w:tcW w:w="1396" w:type="dxa"/>
            <w:tcBorders>
              <w:top w:val="single" w:sz="4" w:space="0" w:color="auto"/>
              <w:left w:val="single" w:sz="4" w:space="0" w:color="auto"/>
              <w:bottom w:val="single" w:sz="4" w:space="0" w:color="auto"/>
              <w:right w:val="single" w:sz="4" w:space="0" w:color="auto"/>
            </w:tcBorders>
            <w:vAlign w:val="center"/>
            <w:hideMark/>
          </w:tcPr>
          <w:p w14:paraId="6C6E939C" w14:textId="77777777" w:rsidR="00B10545" w:rsidRPr="00B10545" w:rsidRDefault="00B10545" w:rsidP="00B10545">
            <w:pPr>
              <w:rPr>
                <w:rFonts w:eastAsia="Calibri" w:cs="Arial"/>
                <w:sz w:val="18"/>
                <w:szCs w:val="18"/>
              </w:rPr>
            </w:pPr>
            <w:r w:rsidRPr="00B10545">
              <w:rPr>
                <w:rFonts w:eastAsia="Calibri" w:cs="Arial"/>
                <w:sz w:val="18"/>
                <w:szCs w:val="18"/>
              </w:rPr>
              <w:t>11.26</w:t>
            </w:r>
          </w:p>
        </w:tc>
        <w:tc>
          <w:tcPr>
            <w:tcW w:w="1875" w:type="dxa"/>
            <w:tcBorders>
              <w:top w:val="single" w:sz="4" w:space="0" w:color="auto"/>
              <w:left w:val="single" w:sz="4" w:space="0" w:color="auto"/>
              <w:bottom w:val="single" w:sz="4" w:space="0" w:color="auto"/>
              <w:right w:val="single" w:sz="4" w:space="0" w:color="auto"/>
            </w:tcBorders>
            <w:vAlign w:val="center"/>
            <w:hideMark/>
          </w:tcPr>
          <w:p w14:paraId="6921CAA5" w14:textId="77777777" w:rsidR="00B10545" w:rsidRPr="00B10545" w:rsidRDefault="00B10545" w:rsidP="00B10545">
            <w:pPr>
              <w:rPr>
                <w:rFonts w:eastAsia="Calibri" w:cs="Arial"/>
                <w:sz w:val="18"/>
                <w:szCs w:val="18"/>
              </w:rPr>
            </w:pPr>
            <w:r w:rsidRPr="00B10545">
              <w:rPr>
                <w:rFonts w:eastAsia="Calibri" w:cs="Arial"/>
                <w:sz w:val="18"/>
                <w:szCs w:val="18"/>
              </w:rPr>
              <w:t>11.44</w:t>
            </w:r>
          </w:p>
        </w:tc>
      </w:tr>
      <w:tr w:rsidR="00B10545" w:rsidRPr="00B10545" w14:paraId="22FACAD9" w14:textId="77777777" w:rsidTr="00B10545">
        <w:tc>
          <w:tcPr>
            <w:tcW w:w="0" w:type="auto"/>
            <w:vMerge/>
            <w:tcBorders>
              <w:top w:val="single" w:sz="4" w:space="0" w:color="auto"/>
              <w:left w:val="single" w:sz="4" w:space="0" w:color="auto"/>
              <w:bottom w:val="single" w:sz="4" w:space="0" w:color="auto"/>
              <w:right w:val="single" w:sz="4" w:space="0" w:color="auto"/>
            </w:tcBorders>
            <w:vAlign w:val="center"/>
            <w:hideMark/>
          </w:tcPr>
          <w:p w14:paraId="423829B4" w14:textId="77777777" w:rsidR="00B10545" w:rsidRPr="00B10545" w:rsidRDefault="00B10545" w:rsidP="00B10545">
            <w:pPr>
              <w:rPr>
                <w:rFonts w:eastAsia="Calibri" w:cs="Arial"/>
                <w:b/>
                <w:bCs/>
                <w:kern w:val="2"/>
                <w:sz w:val="18"/>
                <w:szCs w:val="18"/>
                <w14:ligatures w14:val="standardContextual"/>
              </w:rPr>
            </w:pPr>
          </w:p>
        </w:tc>
        <w:tc>
          <w:tcPr>
            <w:tcW w:w="965" w:type="dxa"/>
            <w:gridSpan w:val="2"/>
            <w:tcBorders>
              <w:top w:val="single" w:sz="4" w:space="0" w:color="auto"/>
              <w:left w:val="single" w:sz="4" w:space="0" w:color="auto"/>
              <w:bottom w:val="single" w:sz="4" w:space="0" w:color="auto"/>
              <w:right w:val="single" w:sz="4" w:space="0" w:color="auto"/>
            </w:tcBorders>
            <w:vAlign w:val="center"/>
            <w:hideMark/>
          </w:tcPr>
          <w:p w14:paraId="7FA4BA79" w14:textId="77777777" w:rsidR="00B10545" w:rsidRPr="00B10545" w:rsidRDefault="00B10545" w:rsidP="00B10545">
            <w:pPr>
              <w:jc w:val="left"/>
              <w:rPr>
                <w:rFonts w:eastAsia="Calibri" w:cs="Arial"/>
                <w:sz w:val="18"/>
                <w:szCs w:val="18"/>
              </w:rPr>
            </w:pPr>
            <w:r w:rsidRPr="00B10545">
              <w:rPr>
                <w:rFonts w:eastAsia="Calibri" w:cs="Arial"/>
                <w:sz w:val="18"/>
                <w:szCs w:val="18"/>
              </w:rPr>
              <w:t>Gross</w:t>
            </w:r>
          </w:p>
        </w:tc>
        <w:tc>
          <w:tcPr>
            <w:tcW w:w="1229" w:type="dxa"/>
            <w:tcBorders>
              <w:top w:val="single" w:sz="4" w:space="0" w:color="auto"/>
              <w:left w:val="single" w:sz="4" w:space="0" w:color="auto"/>
              <w:bottom w:val="single" w:sz="4" w:space="0" w:color="auto"/>
              <w:right w:val="single" w:sz="4" w:space="0" w:color="auto"/>
            </w:tcBorders>
            <w:vAlign w:val="center"/>
            <w:hideMark/>
          </w:tcPr>
          <w:p w14:paraId="6D92BD39" w14:textId="77777777" w:rsidR="00B10545" w:rsidRPr="00B10545" w:rsidRDefault="00B10545" w:rsidP="00B10545">
            <w:pPr>
              <w:rPr>
                <w:rFonts w:eastAsia="Calibri" w:cs="Arial"/>
                <w:b/>
                <w:bCs/>
                <w:sz w:val="18"/>
                <w:szCs w:val="18"/>
              </w:rPr>
            </w:pPr>
            <w:r w:rsidRPr="00B10545">
              <w:rPr>
                <w:rFonts w:eastAsia="Calibri" w:cs="Arial"/>
                <w:b/>
                <w:bCs/>
                <w:sz w:val="18"/>
                <w:szCs w:val="18"/>
              </w:rPr>
              <w:t>26,765</w:t>
            </w:r>
          </w:p>
        </w:tc>
        <w:tc>
          <w:tcPr>
            <w:tcW w:w="1509" w:type="dxa"/>
            <w:gridSpan w:val="2"/>
            <w:tcBorders>
              <w:top w:val="single" w:sz="4" w:space="0" w:color="auto"/>
              <w:left w:val="single" w:sz="4" w:space="0" w:color="auto"/>
              <w:bottom w:val="single" w:sz="4" w:space="0" w:color="auto"/>
              <w:right w:val="single" w:sz="4" w:space="0" w:color="auto"/>
            </w:tcBorders>
            <w:vAlign w:val="center"/>
            <w:hideMark/>
          </w:tcPr>
          <w:p w14:paraId="31722AEB" w14:textId="77777777" w:rsidR="00B10545" w:rsidRPr="00B10545" w:rsidRDefault="00B10545" w:rsidP="00B10545">
            <w:pPr>
              <w:rPr>
                <w:rFonts w:eastAsia="Calibri" w:cs="Arial"/>
                <w:b/>
                <w:bCs/>
                <w:sz w:val="18"/>
                <w:szCs w:val="18"/>
              </w:rPr>
            </w:pPr>
            <w:r w:rsidRPr="00B10545">
              <w:rPr>
                <w:rFonts w:eastAsia="Calibri" w:cs="Arial"/>
                <w:b/>
                <w:bCs/>
                <w:sz w:val="18"/>
                <w:szCs w:val="18"/>
              </w:rPr>
              <w:t>53.56</w:t>
            </w:r>
          </w:p>
        </w:tc>
        <w:tc>
          <w:tcPr>
            <w:tcW w:w="1058" w:type="dxa"/>
            <w:tcBorders>
              <w:top w:val="single" w:sz="4" w:space="0" w:color="auto"/>
              <w:left w:val="single" w:sz="4" w:space="0" w:color="auto"/>
              <w:bottom w:val="single" w:sz="4" w:space="0" w:color="auto"/>
              <w:right w:val="single" w:sz="4" w:space="0" w:color="auto"/>
            </w:tcBorders>
            <w:vAlign w:val="center"/>
            <w:hideMark/>
          </w:tcPr>
          <w:p w14:paraId="03E552EA" w14:textId="77777777" w:rsidR="00B10545" w:rsidRPr="00B10545" w:rsidRDefault="00B10545" w:rsidP="00B10545">
            <w:pPr>
              <w:rPr>
                <w:rFonts w:eastAsia="Calibri" w:cs="Arial"/>
                <w:b/>
                <w:bCs/>
                <w:sz w:val="18"/>
                <w:szCs w:val="18"/>
              </w:rPr>
            </w:pPr>
            <w:r w:rsidRPr="00B10545">
              <w:rPr>
                <w:rFonts w:eastAsia="Calibri" w:cs="Arial"/>
                <w:b/>
                <w:bCs/>
                <w:sz w:val="18"/>
                <w:szCs w:val="18"/>
              </w:rPr>
              <w:t>5,077</w:t>
            </w:r>
          </w:p>
        </w:tc>
        <w:tc>
          <w:tcPr>
            <w:tcW w:w="1396" w:type="dxa"/>
            <w:tcBorders>
              <w:top w:val="single" w:sz="4" w:space="0" w:color="auto"/>
              <w:left w:val="single" w:sz="4" w:space="0" w:color="auto"/>
              <w:bottom w:val="single" w:sz="4" w:space="0" w:color="auto"/>
              <w:right w:val="single" w:sz="4" w:space="0" w:color="auto"/>
            </w:tcBorders>
            <w:vAlign w:val="center"/>
            <w:hideMark/>
          </w:tcPr>
          <w:p w14:paraId="0FAA90CF" w14:textId="77777777" w:rsidR="00B10545" w:rsidRPr="00B10545" w:rsidRDefault="00B10545" w:rsidP="00B10545">
            <w:pPr>
              <w:rPr>
                <w:rFonts w:eastAsia="Calibri" w:cs="Arial"/>
                <w:b/>
                <w:bCs/>
                <w:sz w:val="18"/>
                <w:szCs w:val="18"/>
              </w:rPr>
            </w:pPr>
            <w:r w:rsidRPr="00B10545">
              <w:rPr>
                <w:rFonts w:eastAsia="Calibri" w:cs="Arial"/>
                <w:b/>
                <w:bCs/>
                <w:sz w:val="18"/>
                <w:szCs w:val="18"/>
              </w:rPr>
              <w:t>12.17</w:t>
            </w:r>
          </w:p>
        </w:tc>
        <w:tc>
          <w:tcPr>
            <w:tcW w:w="1875" w:type="dxa"/>
            <w:tcBorders>
              <w:top w:val="single" w:sz="4" w:space="0" w:color="auto"/>
              <w:left w:val="single" w:sz="4" w:space="0" w:color="auto"/>
              <w:bottom w:val="single" w:sz="4" w:space="0" w:color="auto"/>
              <w:right w:val="single" w:sz="4" w:space="0" w:color="auto"/>
            </w:tcBorders>
            <w:vAlign w:val="center"/>
            <w:hideMark/>
          </w:tcPr>
          <w:p w14:paraId="1D8218B6" w14:textId="77777777" w:rsidR="00B10545" w:rsidRPr="00B10545" w:rsidRDefault="00B10545" w:rsidP="00B10545">
            <w:pPr>
              <w:rPr>
                <w:rFonts w:eastAsia="Calibri" w:cs="Arial"/>
                <w:sz w:val="18"/>
                <w:szCs w:val="18"/>
              </w:rPr>
            </w:pPr>
            <w:r w:rsidRPr="00B10545">
              <w:rPr>
                <w:rFonts w:eastAsia="Calibri" w:cs="Arial"/>
                <w:b/>
                <w:bCs/>
                <w:sz w:val="18"/>
                <w:szCs w:val="18"/>
              </w:rPr>
              <w:t>13.44</w:t>
            </w:r>
          </w:p>
        </w:tc>
      </w:tr>
      <w:tr w:rsidR="00B10545" w:rsidRPr="00B10545" w14:paraId="2BB4F6A1" w14:textId="77777777" w:rsidTr="00B10545">
        <w:tc>
          <w:tcPr>
            <w:tcW w:w="16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449A50" w14:textId="77777777" w:rsidR="00B10545" w:rsidRPr="00B10545" w:rsidRDefault="00B10545" w:rsidP="00B10545">
            <w:pPr>
              <w:autoSpaceDE w:val="0"/>
              <w:autoSpaceDN w:val="0"/>
              <w:adjustRightInd w:val="0"/>
              <w:jc w:val="left"/>
              <w:rPr>
                <w:rFonts w:cs="Arial"/>
                <w:b/>
                <w:bCs/>
                <w:color w:val="000000"/>
                <w:sz w:val="18"/>
                <w:szCs w:val="18"/>
              </w:rPr>
            </w:pPr>
            <w:r w:rsidRPr="00B10545">
              <w:rPr>
                <w:rFonts w:cs="Arial"/>
                <w:b/>
                <w:bCs/>
                <w:color w:val="000000"/>
                <w:sz w:val="18"/>
                <w:szCs w:val="18"/>
              </w:rPr>
              <w:t>5) Current SM (481 dpa / 446 dpa)</w:t>
            </w:r>
          </w:p>
        </w:tc>
        <w:tc>
          <w:tcPr>
            <w:tcW w:w="957" w:type="dxa"/>
            <w:tcBorders>
              <w:top w:val="single" w:sz="4" w:space="0" w:color="auto"/>
              <w:left w:val="single" w:sz="4" w:space="0" w:color="auto"/>
              <w:bottom w:val="single" w:sz="4" w:space="0" w:color="auto"/>
              <w:right w:val="single" w:sz="4" w:space="0" w:color="auto"/>
            </w:tcBorders>
            <w:vAlign w:val="center"/>
            <w:hideMark/>
          </w:tcPr>
          <w:p w14:paraId="04E09A60" w14:textId="77777777" w:rsidR="00B10545" w:rsidRPr="00B10545" w:rsidRDefault="00B10545" w:rsidP="00B10545">
            <w:pPr>
              <w:rPr>
                <w:rFonts w:eastAsia="Calibri" w:cs="Arial"/>
                <w:b/>
                <w:bCs/>
                <w:sz w:val="18"/>
                <w:szCs w:val="18"/>
              </w:rPr>
            </w:pPr>
            <w:r w:rsidRPr="00B10545">
              <w:rPr>
                <w:rFonts w:eastAsia="Calibri" w:cs="Arial"/>
                <w:sz w:val="18"/>
                <w:szCs w:val="18"/>
              </w:rPr>
              <w:t>Net</w:t>
            </w:r>
          </w:p>
        </w:tc>
        <w:tc>
          <w:tcPr>
            <w:tcW w:w="1235" w:type="dxa"/>
            <w:gridSpan w:val="2"/>
            <w:tcBorders>
              <w:top w:val="single" w:sz="4" w:space="0" w:color="auto"/>
              <w:left w:val="single" w:sz="4" w:space="0" w:color="auto"/>
              <w:bottom w:val="single" w:sz="4" w:space="0" w:color="auto"/>
              <w:right w:val="single" w:sz="4" w:space="0" w:color="auto"/>
            </w:tcBorders>
            <w:vAlign w:val="center"/>
            <w:hideMark/>
          </w:tcPr>
          <w:p w14:paraId="378F07E7" w14:textId="77777777" w:rsidR="00B10545" w:rsidRPr="00B10545" w:rsidRDefault="00B10545" w:rsidP="00B10545">
            <w:pPr>
              <w:rPr>
                <w:rFonts w:eastAsia="Calibri" w:cs="Arial"/>
                <w:sz w:val="18"/>
                <w:szCs w:val="18"/>
              </w:rPr>
            </w:pPr>
            <w:r w:rsidRPr="00B10545">
              <w:rPr>
                <w:rFonts w:eastAsia="Calibri" w:cs="Arial"/>
                <w:sz w:val="18"/>
                <w:szCs w:val="18"/>
              </w:rPr>
              <w:t>15,456</w:t>
            </w:r>
          </w:p>
        </w:tc>
        <w:tc>
          <w:tcPr>
            <w:tcW w:w="1503" w:type="dxa"/>
            <w:tcBorders>
              <w:top w:val="single" w:sz="4" w:space="0" w:color="auto"/>
              <w:left w:val="single" w:sz="4" w:space="0" w:color="auto"/>
              <w:bottom w:val="single" w:sz="4" w:space="0" w:color="auto"/>
              <w:right w:val="single" w:sz="4" w:space="0" w:color="auto"/>
            </w:tcBorders>
            <w:vAlign w:val="center"/>
            <w:hideMark/>
          </w:tcPr>
          <w:p w14:paraId="052EF726" w14:textId="77777777" w:rsidR="00B10545" w:rsidRPr="00B10545" w:rsidRDefault="00B10545" w:rsidP="00B10545">
            <w:pPr>
              <w:rPr>
                <w:rFonts w:eastAsia="Calibri" w:cs="Arial"/>
                <w:sz w:val="18"/>
                <w:szCs w:val="18"/>
              </w:rPr>
            </w:pPr>
            <w:r w:rsidRPr="00B10545">
              <w:rPr>
                <w:rFonts w:eastAsia="Calibri" w:cs="Arial"/>
                <w:sz w:val="18"/>
                <w:szCs w:val="18"/>
              </w:rPr>
              <w:t>8.55</w:t>
            </w:r>
          </w:p>
        </w:tc>
        <w:tc>
          <w:tcPr>
            <w:tcW w:w="1058" w:type="dxa"/>
            <w:tcBorders>
              <w:top w:val="single" w:sz="4" w:space="0" w:color="auto"/>
              <w:left w:val="single" w:sz="4" w:space="0" w:color="auto"/>
              <w:bottom w:val="single" w:sz="4" w:space="0" w:color="auto"/>
              <w:right w:val="single" w:sz="4" w:space="0" w:color="auto"/>
            </w:tcBorders>
            <w:vAlign w:val="center"/>
            <w:hideMark/>
          </w:tcPr>
          <w:p w14:paraId="75CC1231" w14:textId="77777777" w:rsidR="00B10545" w:rsidRPr="00B10545" w:rsidRDefault="00B10545" w:rsidP="00B10545">
            <w:pPr>
              <w:rPr>
                <w:rFonts w:eastAsia="Calibri" w:cs="Arial"/>
                <w:sz w:val="18"/>
                <w:szCs w:val="18"/>
              </w:rPr>
            </w:pPr>
            <w:r w:rsidRPr="00B10545">
              <w:rPr>
                <w:rFonts w:eastAsia="Calibri" w:cs="Arial"/>
                <w:sz w:val="18"/>
                <w:szCs w:val="18"/>
              </w:rPr>
              <w:t>5,558</w:t>
            </w:r>
          </w:p>
        </w:tc>
        <w:tc>
          <w:tcPr>
            <w:tcW w:w="1396" w:type="dxa"/>
            <w:tcBorders>
              <w:top w:val="single" w:sz="4" w:space="0" w:color="auto"/>
              <w:left w:val="single" w:sz="4" w:space="0" w:color="auto"/>
              <w:bottom w:val="single" w:sz="4" w:space="0" w:color="auto"/>
              <w:right w:val="single" w:sz="4" w:space="0" w:color="auto"/>
            </w:tcBorders>
            <w:vAlign w:val="center"/>
            <w:hideMark/>
          </w:tcPr>
          <w:p w14:paraId="30E2D425" w14:textId="77777777" w:rsidR="00B10545" w:rsidRPr="00B10545" w:rsidRDefault="00B10545" w:rsidP="00B10545">
            <w:pPr>
              <w:rPr>
                <w:rFonts w:eastAsia="Calibri" w:cs="Arial"/>
                <w:sz w:val="18"/>
                <w:szCs w:val="18"/>
              </w:rPr>
            </w:pPr>
            <w:r w:rsidRPr="00B10545">
              <w:rPr>
                <w:rFonts w:eastAsia="Calibri" w:cs="Arial"/>
                <w:sz w:val="18"/>
                <w:szCs w:val="18"/>
              </w:rPr>
              <w:t>-3.31</w:t>
            </w:r>
          </w:p>
        </w:tc>
        <w:tc>
          <w:tcPr>
            <w:tcW w:w="1875" w:type="dxa"/>
            <w:tcBorders>
              <w:top w:val="single" w:sz="4" w:space="0" w:color="auto"/>
              <w:left w:val="single" w:sz="4" w:space="0" w:color="auto"/>
              <w:bottom w:val="single" w:sz="4" w:space="0" w:color="auto"/>
              <w:right w:val="single" w:sz="4" w:space="0" w:color="auto"/>
            </w:tcBorders>
            <w:vAlign w:val="center"/>
            <w:hideMark/>
          </w:tcPr>
          <w:p w14:paraId="08F14A1D" w14:textId="77777777" w:rsidR="00B10545" w:rsidRPr="00B10545" w:rsidRDefault="00B10545" w:rsidP="00B10545">
            <w:pPr>
              <w:rPr>
                <w:rFonts w:eastAsia="Calibri" w:cs="Arial"/>
                <w:sz w:val="18"/>
                <w:szCs w:val="18"/>
              </w:rPr>
            </w:pPr>
            <w:r w:rsidRPr="00B10545">
              <w:rPr>
                <w:rFonts w:eastAsia="Calibri" w:cs="Arial"/>
                <w:sz w:val="18"/>
                <w:szCs w:val="18"/>
              </w:rPr>
              <w:t>-1.92</w:t>
            </w:r>
          </w:p>
        </w:tc>
      </w:tr>
      <w:tr w:rsidR="00B10545" w:rsidRPr="00B10545" w14:paraId="216D3710" w14:textId="77777777" w:rsidTr="00B10545">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8664BE3" w14:textId="77777777" w:rsidR="00B10545" w:rsidRPr="00B10545" w:rsidRDefault="00B10545" w:rsidP="00B10545">
            <w:pPr>
              <w:rPr>
                <w:rFonts w:cs="Arial"/>
                <w:b/>
                <w:bCs/>
                <w:color w:val="000000"/>
                <w:kern w:val="2"/>
                <w:sz w:val="18"/>
                <w:szCs w:val="18"/>
                <w14:ligatures w14:val="standardContextual"/>
              </w:rPr>
            </w:pPr>
          </w:p>
        </w:tc>
        <w:tc>
          <w:tcPr>
            <w:tcW w:w="957" w:type="dxa"/>
            <w:tcBorders>
              <w:top w:val="single" w:sz="4" w:space="0" w:color="auto"/>
              <w:left w:val="single" w:sz="4" w:space="0" w:color="auto"/>
              <w:bottom w:val="single" w:sz="4" w:space="0" w:color="auto"/>
              <w:right w:val="single" w:sz="4" w:space="0" w:color="auto"/>
            </w:tcBorders>
            <w:vAlign w:val="center"/>
            <w:hideMark/>
          </w:tcPr>
          <w:p w14:paraId="677A35A7" w14:textId="77777777" w:rsidR="00B10545" w:rsidRPr="00B10545" w:rsidRDefault="00B10545" w:rsidP="00B10545">
            <w:pPr>
              <w:rPr>
                <w:rFonts w:eastAsia="Calibri" w:cs="Arial"/>
                <w:b/>
                <w:bCs/>
                <w:sz w:val="18"/>
                <w:szCs w:val="18"/>
              </w:rPr>
            </w:pPr>
            <w:r w:rsidRPr="00B10545">
              <w:rPr>
                <w:rFonts w:eastAsia="Calibri" w:cs="Arial"/>
                <w:sz w:val="18"/>
                <w:szCs w:val="18"/>
              </w:rPr>
              <w:t>Flexibility</w:t>
            </w:r>
          </w:p>
        </w:tc>
        <w:tc>
          <w:tcPr>
            <w:tcW w:w="1235" w:type="dxa"/>
            <w:gridSpan w:val="2"/>
            <w:tcBorders>
              <w:top w:val="single" w:sz="4" w:space="0" w:color="auto"/>
              <w:left w:val="single" w:sz="4" w:space="0" w:color="auto"/>
              <w:bottom w:val="single" w:sz="4" w:space="0" w:color="auto"/>
              <w:right w:val="single" w:sz="4" w:space="0" w:color="auto"/>
            </w:tcBorders>
            <w:vAlign w:val="center"/>
            <w:hideMark/>
          </w:tcPr>
          <w:p w14:paraId="566940FA" w14:textId="77777777" w:rsidR="00B10545" w:rsidRPr="00B10545" w:rsidRDefault="00B10545" w:rsidP="00B10545">
            <w:pPr>
              <w:rPr>
                <w:rFonts w:eastAsia="Calibri" w:cs="Arial"/>
                <w:b/>
                <w:bCs/>
                <w:sz w:val="18"/>
                <w:szCs w:val="18"/>
              </w:rPr>
            </w:pPr>
            <w:r w:rsidRPr="00B10545">
              <w:rPr>
                <w:rFonts w:eastAsia="Calibri" w:cs="Arial"/>
                <w:sz w:val="18"/>
                <w:szCs w:val="18"/>
              </w:rPr>
              <w:t>2,424</w:t>
            </w:r>
          </w:p>
        </w:tc>
        <w:tc>
          <w:tcPr>
            <w:tcW w:w="1503" w:type="dxa"/>
            <w:tcBorders>
              <w:top w:val="single" w:sz="4" w:space="0" w:color="auto"/>
              <w:left w:val="single" w:sz="4" w:space="0" w:color="auto"/>
              <w:bottom w:val="single" w:sz="4" w:space="0" w:color="auto"/>
              <w:right w:val="single" w:sz="4" w:space="0" w:color="auto"/>
            </w:tcBorders>
            <w:vAlign w:val="center"/>
            <w:hideMark/>
          </w:tcPr>
          <w:p w14:paraId="1EEE9395" w14:textId="77777777" w:rsidR="00B10545" w:rsidRPr="00B10545" w:rsidRDefault="00B10545" w:rsidP="00B10545">
            <w:pPr>
              <w:rPr>
                <w:rFonts w:eastAsia="Calibri" w:cs="Arial"/>
                <w:b/>
                <w:bCs/>
                <w:sz w:val="18"/>
                <w:szCs w:val="18"/>
              </w:rPr>
            </w:pPr>
            <w:r w:rsidRPr="00B10545">
              <w:rPr>
                <w:rFonts w:eastAsia="Calibri" w:cs="Arial"/>
                <w:sz w:val="18"/>
                <w:szCs w:val="18"/>
              </w:rPr>
              <w:t>6.99</w:t>
            </w:r>
          </w:p>
        </w:tc>
        <w:tc>
          <w:tcPr>
            <w:tcW w:w="1058" w:type="dxa"/>
            <w:tcBorders>
              <w:top w:val="single" w:sz="4" w:space="0" w:color="auto"/>
              <w:left w:val="single" w:sz="4" w:space="0" w:color="auto"/>
              <w:bottom w:val="single" w:sz="4" w:space="0" w:color="auto"/>
              <w:right w:val="single" w:sz="4" w:space="0" w:color="auto"/>
            </w:tcBorders>
            <w:vAlign w:val="center"/>
            <w:hideMark/>
          </w:tcPr>
          <w:p w14:paraId="41A09006" w14:textId="77777777" w:rsidR="00B10545" w:rsidRPr="00B10545" w:rsidRDefault="00B10545" w:rsidP="00B10545">
            <w:pPr>
              <w:rPr>
                <w:rFonts w:eastAsia="Calibri" w:cs="Arial"/>
                <w:b/>
                <w:bCs/>
                <w:sz w:val="18"/>
                <w:szCs w:val="18"/>
              </w:rPr>
            </w:pPr>
            <w:r w:rsidRPr="00B10545">
              <w:rPr>
                <w:rFonts w:eastAsia="Calibri" w:cs="Arial"/>
                <w:sz w:val="18"/>
                <w:szCs w:val="18"/>
              </w:rPr>
              <w:t>73</w:t>
            </w:r>
          </w:p>
        </w:tc>
        <w:tc>
          <w:tcPr>
            <w:tcW w:w="1396" w:type="dxa"/>
            <w:tcBorders>
              <w:top w:val="single" w:sz="4" w:space="0" w:color="auto"/>
              <w:left w:val="single" w:sz="4" w:space="0" w:color="auto"/>
              <w:bottom w:val="single" w:sz="4" w:space="0" w:color="auto"/>
              <w:right w:val="single" w:sz="4" w:space="0" w:color="auto"/>
            </w:tcBorders>
            <w:vAlign w:val="center"/>
            <w:hideMark/>
          </w:tcPr>
          <w:p w14:paraId="47C2084D" w14:textId="77777777" w:rsidR="00B10545" w:rsidRPr="00B10545" w:rsidRDefault="00B10545" w:rsidP="00B10545">
            <w:pPr>
              <w:rPr>
                <w:rFonts w:eastAsia="Calibri" w:cs="Arial"/>
                <w:b/>
                <w:bCs/>
                <w:sz w:val="18"/>
                <w:szCs w:val="18"/>
              </w:rPr>
            </w:pPr>
            <w:r w:rsidRPr="00B10545">
              <w:rPr>
                <w:rFonts w:eastAsia="Calibri" w:cs="Arial"/>
                <w:sz w:val="18"/>
                <w:szCs w:val="18"/>
              </w:rPr>
              <w:t>7.30</w:t>
            </w:r>
          </w:p>
        </w:tc>
        <w:tc>
          <w:tcPr>
            <w:tcW w:w="1875" w:type="dxa"/>
            <w:tcBorders>
              <w:top w:val="single" w:sz="4" w:space="0" w:color="auto"/>
              <w:left w:val="single" w:sz="4" w:space="0" w:color="auto"/>
              <w:bottom w:val="single" w:sz="4" w:space="0" w:color="auto"/>
              <w:right w:val="single" w:sz="4" w:space="0" w:color="auto"/>
            </w:tcBorders>
            <w:vAlign w:val="center"/>
            <w:hideMark/>
          </w:tcPr>
          <w:p w14:paraId="79C54ECE" w14:textId="77777777" w:rsidR="00B10545" w:rsidRPr="00B10545" w:rsidRDefault="00B10545" w:rsidP="00B10545">
            <w:pPr>
              <w:rPr>
                <w:rFonts w:eastAsia="Calibri" w:cs="Arial"/>
                <w:sz w:val="18"/>
                <w:szCs w:val="18"/>
              </w:rPr>
            </w:pPr>
            <w:r w:rsidRPr="00B10545">
              <w:rPr>
                <w:rFonts w:eastAsia="Calibri" w:cs="Arial"/>
                <w:sz w:val="18"/>
                <w:szCs w:val="18"/>
              </w:rPr>
              <w:t>7.32</w:t>
            </w:r>
          </w:p>
        </w:tc>
      </w:tr>
      <w:tr w:rsidR="00B10545" w:rsidRPr="00B10545" w14:paraId="77ABABE9" w14:textId="77777777" w:rsidTr="00B10545">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5E62EF6" w14:textId="77777777" w:rsidR="00B10545" w:rsidRPr="00B10545" w:rsidRDefault="00B10545" w:rsidP="00B10545">
            <w:pPr>
              <w:rPr>
                <w:rFonts w:cs="Arial"/>
                <w:b/>
                <w:bCs/>
                <w:color w:val="000000"/>
                <w:kern w:val="2"/>
                <w:sz w:val="18"/>
                <w:szCs w:val="18"/>
                <w14:ligatures w14:val="standardContextual"/>
              </w:rPr>
            </w:pPr>
          </w:p>
        </w:tc>
        <w:tc>
          <w:tcPr>
            <w:tcW w:w="957" w:type="dxa"/>
            <w:tcBorders>
              <w:top w:val="single" w:sz="4" w:space="0" w:color="auto"/>
              <w:left w:val="single" w:sz="4" w:space="0" w:color="auto"/>
              <w:bottom w:val="single" w:sz="4" w:space="0" w:color="auto"/>
              <w:right w:val="single" w:sz="4" w:space="0" w:color="auto"/>
            </w:tcBorders>
            <w:vAlign w:val="center"/>
            <w:hideMark/>
          </w:tcPr>
          <w:p w14:paraId="1AA47E84" w14:textId="77777777" w:rsidR="00B10545" w:rsidRPr="00B10545" w:rsidRDefault="00B10545" w:rsidP="00B10545">
            <w:pPr>
              <w:rPr>
                <w:rFonts w:eastAsia="Calibri" w:cs="Arial"/>
                <w:b/>
                <w:bCs/>
                <w:sz w:val="18"/>
                <w:szCs w:val="18"/>
              </w:rPr>
            </w:pPr>
            <w:r w:rsidRPr="00B10545">
              <w:rPr>
                <w:rFonts w:eastAsia="Calibri" w:cs="Arial"/>
                <w:sz w:val="18"/>
                <w:szCs w:val="18"/>
              </w:rPr>
              <w:t>Loss</w:t>
            </w:r>
          </w:p>
        </w:tc>
        <w:tc>
          <w:tcPr>
            <w:tcW w:w="1235" w:type="dxa"/>
            <w:gridSpan w:val="2"/>
            <w:tcBorders>
              <w:top w:val="single" w:sz="4" w:space="0" w:color="auto"/>
              <w:left w:val="single" w:sz="4" w:space="0" w:color="auto"/>
              <w:bottom w:val="single" w:sz="4" w:space="0" w:color="auto"/>
              <w:right w:val="single" w:sz="4" w:space="0" w:color="auto"/>
            </w:tcBorders>
            <w:vAlign w:val="center"/>
            <w:hideMark/>
          </w:tcPr>
          <w:p w14:paraId="33965E34" w14:textId="77777777" w:rsidR="00B10545" w:rsidRPr="00B10545" w:rsidRDefault="00B10545" w:rsidP="00B10545">
            <w:pPr>
              <w:rPr>
                <w:rFonts w:eastAsia="Calibri" w:cs="Arial"/>
                <w:b/>
                <w:bCs/>
                <w:sz w:val="18"/>
                <w:szCs w:val="18"/>
              </w:rPr>
            </w:pPr>
            <w:r w:rsidRPr="00B10545">
              <w:rPr>
                <w:rFonts w:eastAsia="Calibri" w:cs="Arial"/>
                <w:sz w:val="18"/>
                <w:szCs w:val="18"/>
              </w:rPr>
              <w:t>10,560</w:t>
            </w:r>
          </w:p>
        </w:tc>
        <w:tc>
          <w:tcPr>
            <w:tcW w:w="1503" w:type="dxa"/>
            <w:tcBorders>
              <w:top w:val="single" w:sz="4" w:space="0" w:color="auto"/>
              <w:left w:val="single" w:sz="4" w:space="0" w:color="auto"/>
              <w:bottom w:val="single" w:sz="4" w:space="0" w:color="auto"/>
              <w:right w:val="single" w:sz="4" w:space="0" w:color="auto"/>
            </w:tcBorders>
            <w:vAlign w:val="center"/>
            <w:hideMark/>
          </w:tcPr>
          <w:p w14:paraId="2AA8B8F9" w14:textId="77777777" w:rsidR="00B10545" w:rsidRPr="00B10545" w:rsidRDefault="00B10545" w:rsidP="00B10545">
            <w:pPr>
              <w:rPr>
                <w:rFonts w:eastAsia="Calibri" w:cs="Arial"/>
                <w:b/>
                <w:bCs/>
                <w:sz w:val="18"/>
                <w:szCs w:val="18"/>
              </w:rPr>
            </w:pPr>
            <w:r w:rsidRPr="00B10545">
              <w:rPr>
                <w:rFonts w:eastAsia="Calibri" w:cs="Arial"/>
                <w:sz w:val="18"/>
                <w:szCs w:val="18"/>
              </w:rPr>
              <w:t>42.03</w:t>
            </w:r>
          </w:p>
        </w:tc>
        <w:tc>
          <w:tcPr>
            <w:tcW w:w="1058" w:type="dxa"/>
            <w:tcBorders>
              <w:top w:val="single" w:sz="4" w:space="0" w:color="auto"/>
              <w:left w:val="single" w:sz="4" w:space="0" w:color="auto"/>
              <w:bottom w:val="single" w:sz="4" w:space="0" w:color="auto"/>
              <w:right w:val="single" w:sz="4" w:space="0" w:color="auto"/>
            </w:tcBorders>
            <w:vAlign w:val="center"/>
            <w:hideMark/>
          </w:tcPr>
          <w:p w14:paraId="25CCF842" w14:textId="77777777" w:rsidR="00B10545" w:rsidRPr="00B10545" w:rsidRDefault="00B10545" w:rsidP="00B10545">
            <w:pPr>
              <w:rPr>
                <w:rFonts w:eastAsia="Calibri" w:cs="Arial"/>
                <w:b/>
                <w:bCs/>
                <w:sz w:val="18"/>
                <w:szCs w:val="18"/>
              </w:rPr>
            </w:pPr>
            <w:r w:rsidRPr="00B10545">
              <w:rPr>
                <w:rFonts w:eastAsia="Calibri" w:cs="Arial"/>
                <w:sz w:val="18"/>
                <w:szCs w:val="18"/>
              </w:rPr>
              <w:t>737</w:t>
            </w:r>
          </w:p>
        </w:tc>
        <w:tc>
          <w:tcPr>
            <w:tcW w:w="1396" w:type="dxa"/>
            <w:tcBorders>
              <w:top w:val="single" w:sz="4" w:space="0" w:color="auto"/>
              <w:left w:val="single" w:sz="4" w:space="0" w:color="auto"/>
              <w:bottom w:val="single" w:sz="4" w:space="0" w:color="auto"/>
              <w:right w:val="single" w:sz="4" w:space="0" w:color="auto"/>
            </w:tcBorders>
            <w:vAlign w:val="center"/>
            <w:hideMark/>
          </w:tcPr>
          <w:p w14:paraId="435CC09C" w14:textId="77777777" w:rsidR="00B10545" w:rsidRPr="00B10545" w:rsidRDefault="00B10545" w:rsidP="00B10545">
            <w:pPr>
              <w:rPr>
                <w:rFonts w:eastAsia="Calibri" w:cs="Arial"/>
                <w:b/>
                <w:bCs/>
                <w:sz w:val="18"/>
                <w:szCs w:val="18"/>
              </w:rPr>
            </w:pPr>
            <w:r w:rsidRPr="00B10545">
              <w:rPr>
                <w:rFonts w:eastAsia="Calibri" w:cs="Arial"/>
                <w:sz w:val="18"/>
                <w:szCs w:val="18"/>
              </w:rPr>
              <w:t>11.26</w:t>
            </w:r>
          </w:p>
        </w:tc>
        <w:tc>
          <w:tcPr>
            <w:tcW w:w="1875" w:type="dxa"/>
            <w:tcBorders>
              <w:top w:val="single" w:sz="4" w:space="0" w:color="auto"/>
              <w:left w:val="single" w:sz="4" w:space="0" w:color="auto"/>
              <w:bottom w:val="single" w:sz="4" w:space="0" w:color="auto"/>
              <w:right w:val="single" w:sz="4" w:space="0" w:color="auto"/>
            </w:tcBorders>
            <w:vAlign w:val="center"/>
            <w:hideMark/>
          </w:tcPr>
          <w:p w14:paraId="58560932" w14:textId="77777777" w:rsidR="00B10545" w:rsidRPr="00B10545" w:rsidRDefault="00B10545" w:rsidP="00B10545">
            <w:pPr>
              <w:rPr>
                <w:rFonts w:eastAsia="Calibri" w:cs="Arial"/>
                <w:sz w:val="18"/>
                <w:szCs w:val="18"/>
              </w:rPr>
            </w:pPr>
            <w:r w:rsidRPr="00B10545">
              <w:rPr>
                <w:rFonts w:eastAsia="Calibri" w:cs="Arial"/>
                <w:sz w:val="18"/>
                <w:szCs w:val="18"/>
              </w:rPr>
              <w:t>11.44</w:t>
            </w:r>
          </w:p>
        </w:tc>
      </w:tr>
      <w:tr w:rsidR="00B10545" w:rsidRPr="00B10545" w14:paraId="1D189BD9" w14:textId="77777777" w:rsidTr="00B10545">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FEF074D" w14:textId="77777777" w:rsidR="00B10545" w:rsidRPr="00B10545" w:rsidRDefault="00B10545" w:rsidP="00B10545">
            <w:pPr>
              <w:rPr>
                <w:rFonts w:cs="Arial"/>
                <w:b/>
                <w:bCs/>
                <w:color w:val="000000"/>
                <w:kern w:val="2"/>
                <w:sz w:val="18"/>
                <w:szCs w:val="18"/>
                <w14:ligatures w14:val="standardContextual"/>
              </w:rPr>
            </w:pPr>
          </w:p>
        </w:tc>
        <w:tc>
          <w:tcPr>
            <w:tcW w:w="957" w:type="dxa"/>
            <w:tcBorders>
              <w:top w:val="single" w:sz="4" w:space="0" w:color="auto"/>
              <w:left w:val="single" w:sz="4" w:space="0" w:color="auto"/>
              <w:bottom w:val="single" w:sz="4" w:space="0" w:color="auto"/>
              <w:right w:val="single" w:sz="4" w:space="0" w:color="auto"/>
            </w:tcBorders>
            <w:vAlign w:val="center"/>
            <w:hideMark/>
          </w:tcPr>
          <w:p w14:paraId="5FF7DFF9" w14:textId="77777777" w:rsidR="00B10545" w:rsidRPr="00B10545" w:rsidRDefault="00B10545" w:rsidP="00B10545">
            <w:pPr>
              <w:rPr>
                <w:rFonts w:eastAsia="Calibri" w:cs="Arial"/>
                <w:b/>
                <w:bCs/>
                <w:sz w:val="18"/>
                <w:szCs w:val="18"/>
              </w:rPr>
            </w:pPr>
            <w:r w:rsidRPr="00B10545">
              <w:rPr>
                <w:rFonts w:eastAsia="Calibri" w:cs="Arial"/>
                <w:sz w:val="18"/>
                <w:szCs w:val="18"/>
              </w:rPr>
              <w:t>Gross</w:t>
            </w:r>
          </w:p>
        </w:tc>
        <w:tc>
          <w:tcPr>
            <w:tcW w:w="1235" w:type="dxa"/>
            <w:gridSpan w:val="2"/>
            <w:tcBorders>
              <w:top w:val="single" w:sz="4" w:space="0" w:color="auto"/>
              <w:left w:val="single" w:sz="4" w:space="0" w:color="auto"/>
              <w:bottom w:val="single" w:sz="4" w:space="0" w:color="auto"/>
              <w:right w:val="single" w:sz="4" w:space="0" w:color="auto"/>
            </w:tcBorders>
            <w:vAlign w:val="center"/>
            <w:hideMark/>
          </w:tcPr>
          <w:p w14:paraId="43584CD7" w14:textId="77777777" w:rsidR="00B10545" w:rsidRPr="00B10545" w:rsidRDefault="00B10545" w:rsidP="00B10545">
            <w:pPr>
              <w:rPr>
                <w:rFonts w:eastAsia="Calibri" w:cs="Arial"/>
                <w:b/>
                <w:bCs/>
                <w:sz w:val="18"/>
                <w:szCs w:val="18"/>
              </w:rPr>
            </w:pPr>
            <w:r w:rsidRPr="00B10545">
              <w:rPr>
                <w:rFonts w:eastAsia="Calibri" w:cs="Arial"/>
                <w:b/>
                <w:bCs/>
                <w:sz w:val="18"/>
                <w:szCs w:val="18"/>
              </w:rPr>
              <w:t>28,440</w:t>
            </w:r>
          </w:p>
        </w:tc>
        <w:tc>
          <w:tcPr>
            <w:tcW w:w="1503" w:type="dxa"/>
            <w:tcBorders>
              <w:top w:val="single" w:sz="4" w:space="0" w:color="auto"/>
              <w:left w:val="single" w:sz="4" w:space="0" w:color="auto"/>
              <w:bottom w:val="single" w:sz="4" w:space="0" w:color="auto"/>
              <w:right w:val="single" w:sz="4" w:space="0" w:color="auto"/>
            </w:tcBorders>
            <w:vAlign w:val="center"/>
            <w:hideMark/>
          </w:tcPr>
          <w:p w14:paraId="2D88B7D6" w14:textId="77777777" w:rsidR="00B10545" w:rsidRPr="00B10545" w:rsidRDefault="00B10545" w:rsidP="00B10545">
            <w:pPr>
              <w:rPr>
                <w:rFonts w:eastAsia="Calibri" w:cs="Arial"/>
                <w:b/>
                <w:bCs/>
                <w:sz w:val="18"/>
                <w:szCs w:val="18"/>
              </w:rPr>
            </w:pPr>
            <w:r w:rsidRPr="00B10545">
              <w:rPr>
                <w:rFonts w:eastAsia="Calibri" w:cs="Arial"/>
                <w:b/>
                <w:bCs/>
                <w:sz w:val="18"/>
                <w:szCs w:val="18"/>
              </w:rPr>
              <w:t>57.56</w:t>
            </w:r>
          </w:p>
        </w:tc>
        <w:tc>
          <w:tcPr>
            <w:tcW w:w="1058" w:type="dxa"/>
            <w:tcBorders>
              <w:top w:val="single" w:sz="4" w:space="0" w:color="auto"/>
              <w:left w:val="single" w:sz="4" w:space="0" w:color="auto"/>
              <w:bottom w:val="single" w:sz="4" w:space="0" w:color="auto"/>
              <w:right w:val="single" w:sz="4" w:space="0" w:color="auto"/>
            </w:tcBorders>
            <w:vAlign w:val="center"/>
            <w:hideMark/>
          </w:tcPr>
          <w:p w14:paraId="71015D83" w14:textId="77777777" w:rsidR="00B10545" w:rsidRPr="00B10545" w:rsidRDefault="00B10545" w:rsidP="00B10545">
            <w:pPr>
              <w:rPr>
                <w:rFonts w:eastAsia="Calibri" w:cs="Arial"/>
                <w:b/>
                <w:bCs/>
                <w:sz w:val="18"/>
                <w:szCs w:val="18"/>
              </w:rPr>
            </w:pPr>
            <w:r w:rsidRPr="00B10545">
              <w:rPr>
                <w:rFonts w:eastAsia="Calibri" w:cs="Arial"/>
                <w:b/>
                <w:bCs/>
                <w:sz w:val="18"/>
                <w:szCs w:val="18"/>
              </w:rPr>
              <w:t>6,368</w:t>
            </w:r>
          </w:p>
        </w:tc>
        <w:tc>
          <w:tcPr>
            <w:tcW w:w="1396" w:type="dxa"/>
            <w:tcBorders>
              <w:top w:val="single" w:sz="4" w:space="0" w:color="auto"/>
              <w:left w:val="single" w:sz="4" w:space="0" w:color="auto"/>
              <w:bottom w:val="single" w:sz="4" w:space="0" w:color="auto"/>
              <w:right w:val="single" w:sz="4" w:space="0" w:color="auto"/>
            </w:tcBorders>
            <w:vAlign w:val="center"/>
            <w:hideMark/>
          </w:tcPr>
          <w:p w14:paraId="5C6D6373" w14:textId="77777777" w:rsidR="00B10545" w:rsidRPr="00B10545" w:rsidRDefault="00B10545" w:rsidP="00B10545">
            <w:pPr>
              <w:rPr>
                <w:rFonts w:eastAsia="Calibri" w:cs="Arial"/>
                <w:b/>
                <w:bCs/>
                <w:sz w:val="18"/>
                <w:szCs w:val="18"/>
              </w:rPr>
            </w:pPr>
            <w:r w:rsidRPr="00B10545">
              <w:rPr>
                <w:rFonts w:eastAsia="Calibri" w:cs="Arial"/>
                <w:b/>
                <w:bCs/>
                <w:sz w:val="18"/>
                <w:szCs w:val="18"/>
              </w:rPr>
              <w:t>15.25</w:t>
            </w:r>
          </w:p>
        </w:tc>
        <w:tc>
          <w:tcPr>
            <w:tcW w:w="1875" w:type="dxa"/>
            <w:tcBorders>
              <w:top w:val="single" w:sz="4" w:space="0" w:color="auto"/>
              <w:left w:val="single" w:sz="4" w:space="0" w:color="auto"/>
              <w:bottom w:val="single" w:sz="4" w:space="0" w:color="auto"/>
              <w:right w:val="single" w:sz="4" w:space="0" w:color="auto"/>
            </w:tcBorders>
            <w:vAlign w:val="center"/>
            <w:hideMark/>
          </w:tcPr>
          <w:p w14:paraId="6B8D0C2A" w14:textId="77777777" w:rsidR="00B10545" w:rsidRPr="00B10545" w:rsidRDefault="00B10545" w:rsidP="00B10545">
            <w:pPr>
              <w:rPr>
                <w:rFonts w:eastAsia="Calibri" w:cs="Arial"/>
                <w:sz w:val="18"/>
                <w:szCs w:val="18"/>
              </w:rPr>
            </w:pPr>
            <w:r w:rsidRPr="00B10545">
              <w:rPr>
                <w:rFonts w:eastAsia="Calibri" w:cs="Arial"/>
                <w:b/>
                <w:bCs/>
                <w:sz w:val="18"/>
                <w:szCs w:val="18"/>
              </w:rPr>
              <w:t>16.84</w:t>
            </w:r>
          </w:p>
        </w:tc>
      </w:tr>
      <w:tr w:rsidR="00B10545" w:rsidRPr="00B10545" w14:paraId="4D10FB45" w14:textId="77777777" w:rsidTr="00B10545">
        <w:tc>
          <w:tcPr>
            <w:tcW w:w="16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41F9F95" w14:textId="77777777" w:rsidR="00B10545" w:rsidRPr="00B10545" w:rsidRDefault="00B10545" w:rsidP="00B10545">
            <w:pPr>
              <w:autoSpaceDE w:val="0"/>
              <w:autoSpaceDN w:val="0"/>
              <w:adjustRightInd w:val="0"/>
              <w:jc w:val="left"/>
              <w:rPr>
                <w:rFonts w:cs="Arial"/>
                <w:b/>
                <w:bCs/>
                <w:color w:val="000000"/>
                <w:sz w:val="18"/>
                <w:szCs w:val="18"/>
              </w:rPr>
            </w:pPr>
            <w:r w:rsidRPr="00B10545">
              <w:rPr>
                <w:rFonts w:cs="Arial"/>
                <w:b/>
                <w:bCs/>
                <w:color w:val="000000"/>
                <w:sz w:val="18"/>
                <w:szCs w:val="18"/>
              </w:rPr>
              <w:t>6) Past Take Up Rates</w:t>
            </w:r>
          </w:p>
        </w:tc>
        <w:tc>
          <w:tcPr>
            <w:tcW w:w="957" w:type="dxa"/>
            <w:tcBorders>
              <w:top w:val="single" w:sz="4" w:space="0" w:color="auto"/>
              <w:left w:val="single" w:sz="4" w:space="0" w:color="auto"/>
              <w:bottom w:val="single" w:sz="4" w:space="0" w:color="auto"/>
              <w:right w:val="single" w:sz="4" w:space="0" w:color="auto"/>
            </w:tcBorders>
            <w:vAlign w:val="center"/>
            <w:hideMark/>
          </w:tcPr>
          <w:p w14:paraId="5C3A0978" w14:textId="77777777" w:rsidR="00B10545" w:rsidRPr="00B10545" w:rsidRDefault="00B10545" w:rsidP="00B10545">
            <w:pPr>
              <w:rPr>
                <w:rFonts w:eastAsia="Calibri" w:cs="Arial"/>
                <w:b/>
                <w:bCs/>
                <w:sz w:val="18"/>
                <w:szCs w:val="18"/>
              </w:rPr>
            </w:pPr>
            <w:r w:rsidRPr="00B10545">
              <w:rPr>
                <w:rFonts w:eastAsia="Calibri" w:cs="Arial"/>
                <w:sz w:val="18"/>
                <w:szCs w:val="18"/>
              </w:rPr>
              <w:t>Net</w:t>
            </w:r>
          </w:p>
        </w:tc>
        <w:tc>
          <w:tcPr>
            <w:tcW w:w="1235" w:type="dxa"/>
            <w:gridSpan w:val="2"/>
            <w:tcBorders>
              <w:top w:val="single" w:sz="4" w:space="0" w:color="auto"/>
              <w:left w:val="single" w:sz="4" w:space="0" w:color="auto"/>
              <w:bottom w:val="single" w:sz="4" w:space="0" w:color="auto"/>
              <w:right w:val="single" w:sz="4" w:space="0" w:color="auto"/>
            </w:tcBorders>
            <w:vAlign w:val="center"/>
            <w:hideMark/>
          </w:tcPr>
          <w:p w14:paraId="398A217A" w14:textId="77777777" w:rsidR="00B10545" w:rsidRPr="00B10545" w:rsidRDefault="00B10545" w:rsidP="00B10545">
            <w:pPr>
              <w:rPr>
                <w:rFonts w:eastAsia="Calibri" w:cs="Arial"/>
                <w:sz w:val="18"/>
                <w:szCs w:val="18"/>
              </w:rPr>
            </w:pPr>
            <w:r w:rsidRPr="00B10545">
              <w:rPr>
                <w:rFonts w:eastAsia="Calibri" w:cs="Arial"/>
                <w:sz w:val="18"/>
                <w:szCs w:val="18"/>
              </w:rPr>
              <w:t>24,240</w:t>
            </w:r>
          </w:p>
        </w:tc>
        <w:tc>
          <w:tcPr>
            <w:tcW w:w="1503" w:type="dxa"/>
            <w:tcBorders>
              <w:top w:val="single" w:sz="4" w:space="0" w:color="auto"/>
              <w:left w:val="single" w:sz="4" w:space="0" w:color="auto"/>
              <w:bottom w:val="single" w:sz="4" w:space="0" w:color="auto"/>
              <w:right w:val="single" w:sz="4" w:space="0" w:color="auto"/>
            </w:tcBorders>
            <w:vAlign w:val="center"/>
            <w:hideMark/>
          </w:tcPr>
          <w:p w14:paraId="033319D8" w14:textId="77777777" w:rsidR="00B10545" w:rsidRPr="00B10545" w:rsidRDefault="00B10545" w:rsidP="00B10545">
            <w:pPr>
              <w:rPr>
                <w:rFonts w:eastAsia="Calibri" w:cs="Arial"/>
                <w:sz w:val="18"/>
                <w:szCs w:val="18"/>
              </w:rPr>
            </w:pPr>
            <w:r w:rsidRPr="00B10545">
              <w:rPr>
                <w:rFonts w:eastAsia="Calibri" w:cs="Arial"/>
                <w:sz w:val="18"/>
                <w:szCs w:val="18"/>
              </w:rPr>
              <w:t>69.88</w:t>
            </w:r>
          </w:p>
        </w:tc>
        <w:tc>
          <w:tcPr>
            <w:tcW w:w="1058" w:type="dxa"/>
            <w:tcBorders>
              <w:top w:val="single" w:sz="4" w:space="0" w:color="auto"/>
              <w:left w:val="single" w:sz="4" w:space="0" w:color="auto"/>
              <w:bottom w:val="single" w:sz="4" w:space="0" w:color="auto"/>
              <w:right w:val="single" w:sz="4" w:space="0" w:color="auto"/>
            </w:tcBorders>
            <w:vAlign w:val="center"/>
            <w:hideMark/>
          </w:tcPr>
          <w:p w14:paraId="5A7322BF" w14:textId="77777777" w:rsidR="00B10545" w:rsidRPr="00B10545" w:rsidRDefault="00B10545" w:rsidP="00B10545">
            <w:pPr>
              <w:rPr>
                <w:rFonts w:eastAsia="Calibri" w:cs="Arial"/>
                <w:sz w:val="18"/>
                <w:szCs w:val="18"/>
              </w:rPr>
            </w:pPr>
            <w:r w:rsidRPr="00B10545">
              <w:rPr>
                <w:rFonts w:eastAsia="Calibri" w:cs="Arial"/>
                <w:sz w:val="18"/>
                <w:szCs w:val="18"/>
              </w:rPr>
              <w:t>623</w:t>
            </w:r>
          </w:p>
        </w:tc>
        <w:tc>
          <w:tcPr>
            <w:tcW w:w="1396" w:type="dxa"/>
            <w:tcBorders>
              <w:top w:val="single" w:sz="4" w:space="0" w:color="auto"/>
              <w:left w:val="single" w:sz="4" w:space="0" w:color="auto"/>
              <w:bottom w:val="single" w:sz="4" w:space="0" w:color="auto"/>
              <w:right w:val="single" w:sz="4" w:space="0" w:color="auto"/>
            </w:tcBorders>
            <w:vAlign w:val="center"/>
            <w:hideMark/>
          </w:tcPr>
          <w:p w14:paraId="0E08EAD5" w14:textId="77777777" w:rsidR="00B10545" w:rsidRPr="00B10545" w:rsidRDefault="00B10545" w:rsidP="00B10545">
            <w:pPr>
              <w:rPr>
                <w:rFonts w:eastAsia="Calibri" w:cs="Arial"/>
                <w:sz w:val="18"/>
                <w:szCs w:val="18"/>
              </w:rPr>
            </w:pPr>
            <w:r w:rsidRPr="00B10545">
              <w:rPr>
                <w:rFonts w:eastAsia="Calibri" w:cs="Arial"/>
                <w:sz w:val="18"/>
                <w:szCs w:val="18"/>
              </w:rPr>
              <w:t>62.06</w:t>
            </w:r>
          </w:p>
        </w:tc>
        <w:tc>
          <w:tcPr>
            <w:tcW w:w="1875" w:type="dxa"/>
            <w:tcBorders>
              <w:top w:val="single" w:sz="4" w:space="0" w:color="auto"/>
              <w:left w:val="single" w:sz="4" w:space="0" w:color="auto"/>
              <w:bottom w:val="single" w:sz="4" w:space="0" w:color="auto"/>
              <w:right w:val="single" w:sz="4" w:space="0" w:color="auto"/>
            </w:tcBorders>
            <w:vAlign w:val="center"/>
            <w:hideMark/>
          </w:tcPr>
          <w:p w14:paraId="0725B803" w14:textId="77777777" w:rsidR="00B10545" w:rsidRPr="00B10545" w:rsidRDefault="00B10545" w:rsidP="00B10545">
            <w:pPr>
              <w:rPr>
                <w:rFonts w:eastAsia="Calibri" w:cs="Arial"/>
                <w:sz w:val="18"/>
                <w:szCs w:val="18"/>
              </w:rPr>
            </w:pPr>
            <w:r w:rsidRPr="00B10545">
              <w:rPr>
                <w:rFonts w:eastAsia="Calibri" w:cs="Arial"/>
                <w:sz w:val="18"/>
                <w:szCs w:val="18"/>
              </w:rPr>
              <w:t>62.22</w:t>
            </w:r>
          </w:p>
        </w:tc>
      </w:tr>
      <w:tr w:rsidR="00B10545" w:rsidRPr="00B10545" w14:paraId="78838A4A" w14:textId="77777777" w:rsidTr="00B10545">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F84580A" w14:textId="77777777" w:rsidR="00B10545" w:rsidRPr="00B10545" w:rsidRDefault="00B10545" w:rsidP="00B10545">
            <w:pPr>
              <w:rPr>
                <w:rFonts w:cs="Arial"/>
                <w:b/>
                <w:bCs/>
                <w:color w:val="000000"/>
                <w:kern w:val="2"/>
                <w:sz w:val="18"/>
                <w:szCs w:val="18"/>
                <w14:ligatures w14:val="standardContextual"/>
              </w:rPr>
            </w:pPr>
          </w:p>
        </w:tc>
        <w:tc>
          <w:tcPr>
            <w:tcW w:w="957" w:type="dxa"/>
            <w:tcBorders>
              <w:top w:val="single" w:sz="4" w:space="0" w:color="auto"/>
              <w:left w:val="single" w:sz="4" w:space="0" w:color="auto"/>
              <w:bottom w:val="single" w:sz="4" w:space="0" w:color="auto"/>
              <w:right w:val="single" w:sz="4" w:space="0" w:color="auto"/>
            </w:tcBorders>
            <w:vAlign w:val="center"/>
            <w:hideMark/>
          </w:tcPr>
          <w:p w14:paraId="33324689" w14:textId="77777777" w:rsidR="00B10545" w:rsidRPr="00B10545" w:rsidRDefault="00B10545" w:rsidP="00B10545">
            <w:pPr>
              <w:rPr>
                <w:rFonts w:eastAsia="Calibri" w:cs="Arial"/>
                <w:b/>
                <w:bCs/>
                <w:sz w:val="18"/>
                <w:szCs w:val="18"/>
              </w:rPr>
            </w:pPr>
            <w:r w:rsidRPr="00B10545">
              <w:rPr>
                <w:rFonts w:eastAsia="Calibri" w:cs="Arial"/>
                <w:sz w:val="18"/>
                <w:szCs w:val="18"/>
              </w:rPr>
              <w:t>Flexibility</w:t>
            </w:r>
          </w:p>
        </w:tc>
        <w:tc>
          <w:tcPr>
            <w:tcW w:w="1235" w:type="dxa"/>
            <w:gridSpan w:val="2"/>
            <w:tcBorders>
              <w:top w:val="single" w:sz="4" w:space="0" w:color="auto"/>
              <w:left w:val="single" w:sz="4" w:space="0" w:color="auto"/>
              <w:bottom w:val="single" w:sz="4" w:space="0" w:color="auto"/>
              <w:right w:val="single" w:sz="4" w:space="0" w:color="auto"/>
            </w:tcBorders>
            <w:vAlign w:val="center"/>
            <w:hideMark/>
          </w:tcPr>
          <w:p w14:paraId="2AC8B383" w14:textId="77777777" w:rsidR="00B10545" w:rsidRPr="00B10545" w:rsidRDefault="00B10545" w:rsidP="00B10545">
            <w:pPr>
              <w:rPr>
                <w:rFonts w:eastAsia="Calibri" w:cs="Arial"/>
                <w:b/>
                <w:bCs/>
                <w:sz w:val="18"/>
                <w:szCs w:val="18"/>
              </w:rPr>
            </w:pPr>
            <w:r w:rsidRPr="00B10545">
              <w:rPr>
                <w:rFonts w:eastAsia="Calibri" w:cs="Arial"/>
                <w:sz w:val="18"/>
                <w:szCs w:val="18"/>
              </w:rPr>
              <w:t>2,424</w:t>
            </w:r>
          </w:p>
        </w:tc>
        <w:tc>
          <w:tcPr>
            <w:tcW w:w="1503" w:type="dxa"/>
            <w:tcBorders>
              <w:top w:val="single" w:sz="4" w:space="0" w:color="auto"/>
              <w:left w:val="single" w:sz="4" w:space="0" w:color="auto"/>
              <w:bottom w:val="single" w:sz="4" w:space="0" w:color="auto"/>
              <w:right w:val="single" w:sz="4" w:space="0" w:color="auto"/>
            </w:tcBorders>
            <w:vAlign w:val="center"/>
            <w:hideMark/>
          </w:tcPr>
          <w:p w14:paraId="709B75D7" w14:textId="77777777" w:rsidR="00B10545" w:rsidRPr="00B10545" w:rsidRDefault="00B10545" w:rsidP="00B10545">
            <w:pPr>
              <w:rPr>
                <w:rFonts w:eastAsia="Calibri" w:cs="Arial"/>
                <w:b/>
                <w:bCs/>
                <w:sz w:val="18"/>
                <w:szCs w:val="18"/>
              </w:rPr>
            </w:pPr>
            <w:r w:rsidRPr="00B10545">
              <w:rPr>
                <w:rFonts w:eastAsia="Calibri" w:cs="Arial"/>
                <w:sz w:val="18"/>
                <w:szCs w:val="18"/>
              </w:rPr>
              <w:t>6.99</w:t>
            </w:r>
          </w:p>
        </w:tc>
        <w:tc>
          <w:tcPr>
            <w:tcW w:w="1058" w:type="dxa"/>
            <w:tcBorders>
              <w:top w:val="single" w:sz="4" w:space="0" w:color="auto"/>
              <w:left w:val="single" w:sz="4" w:space="0" w:color="auto"/>
              <w:bottom w:val="single" w:sz="4" w:space="0" w:color="auto"/>
              <w:right w:val="single" w:sz="4" w:space="0" w:color="auto"/>
            </w:tcBorders>
            <w:vAlign w:val="center"/>
            <w:hideMark/>
          </w:tcPr>
          <w:p w14:paraId="17049D5D" w14:textId="77777777" w:rsidR="00B10545" w:rsidRPr="00B10545" w:rsidRDefault="00B10545" w:rsidP="00B10545">
            <w:pPr>
              <w:rPr>
                <w:rFonts w:eastAsia="Calibri" w:cs="Arial"/>
                <w:b/>
                <w:bCs/>
                <w:sz w:val="18"/>
                <w:szCs w:val="18"/>
              </w:rPr>
            </w:pPr>
            <w:r w:rsidRPr="00B10545">
              <w:rPr>
                <w:rFonts w:eastAsia="Calibri" w:cs="Arial"/>
                <w:sz w:val="18"/>
                <w:szCs w:val="18"/>
              </w:rPr>
              <w:t>73</w:t>
            </w:r>
          </w:p>
        </w:tc>
        <w:tc>
          <w:tcPr>
            <w:tcW w:w="1396" w:type="dxa"/>
            <w:tcBorders>
              <w:top w:val="single" w:sz="4" w:space="0" w:color="auto"/>
              <w:left w:val="single" w:sz="4" w:space="0" w:color="auto"/>
              <w:bottom w:val="single" w:sz="4" w:space="0" w:color="auto"/>
              <w:right w:val="single" w:sz="4" w:space="0" w:color="auto"/>
            </w:tcBorders>
            <w:vAlign w:val="center"/>
            <w:hideMark/>
          </w:tcPr>
          <w:p w14:paraId="2715ADC3" w14:textId="77777777" w:rsidR="00B10545" w:rsidRPr="00B10545" w:rsidRDefault="00B10545" w:rsidP="00B10545">
            <w:pPr>
              <w:rPr>
                <w:rFonts w:eastAsia="Calibri" w:cs="Arial"/>
                <w:b/>
                <w:bCs/>
                <w:sz w:val="18"/>
                <w:szCs w:val="18"/>
              </w:rPr>
            </w:pPr>
            <w:r w:rsidRPr="00B10545">
              <w:rPr>
                <w:rFonts w:eastAsia="Calibri" w:cs="Arial"/>
                <w:sz w:val="18"/>
                <w:szCs w:val="18"/>
              </w:rPr>
              <w:t>7.30</w:t>
            </w:r>
          </w:p>
        </w:tc>
        <w:tc>
          <w:tcPr>
            <w:tcW w:w="1875" w:type="dxa"/>
            <w:tcBorders>
              <w:top w:val="single" w:sz="4" w:space="0" w:color="auto"/>
              <w:left w:val="single" w:sz="4" w:space="0" w:color="auto"/>
              <w:bottom w:val="single" w:sz="4" w:space="0" w:color="auto"/>
              <w:right w:val="single" w:sz="4" w:space="0" w:color="auto"/>
            </w:tcBorders>
            <w:vAlign w:val="center"/>
            <w:hideMark/>
          </w:tcPr>
          <w:p w14:paraId="05B7D56E" w14:textId="77777777" w:rsidR="00B10545" w:rsidRPr="00B10545" w:rsidRDefault="00B10545" w:rsidP="00B10545">
            <w:pPr>
              <w:rPr>
                <w:rFonts w:eastAsia="Calibri" w:cs="Arial"/>
                <w:sz w:val="18"/>
                <w:szCs w:val="18"/>
              </w:rPr>
            </w:pPr>
            <w:r w:rsidRPr="00B10545">
              <w:rPr>
                <w:rFonts w:eastAsia="Calibri" w:cs="Arial"/>
                <w:sz w:val="18"/>
                <w:szCs w:val="18"/>
              </w:rPr>
              <w:t>7.32</w:t>
            </w:r>
          </w:p>
        </w:tc>
      </w:tr>
      <w:tr w:rsidR="00B10545" w:rsidRPr="00B10545" w14:paraId="33D85F50" w14:textId="77777777" w:rsidTr="00B10545">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95D34F6" w14:textId="77777777" w:rsidR="00B10545" w:rsidRPr="00B10545" w:rsidRDefault="00B10545" w:rsidP="00B10545">
            <w:pPr>
              <w:rPr>
                <w:rFonts w:cs="Arial"/>
                <w:b/>
                <w:bCs/>
                <w:color w:val="000000"/>
                <w:kern w:val="2"/>
                <w:sz w:val="18"/>
                <w:szCs w:val="18"/>
                <w14:ligatures w14:val="standardContextual"/>
              </w:rPr>
            </w:pPr>
          </w:p>
        </w:tc>
        <w:tc>
          <w:tcPr>
            <w:tcW w:w="957" w:type="dxa"/>
            <w:tcBorders>
              <w:top w:val="single" w:sz="4" w:space="0" w:color="auto"/>
              <w:left w:val="single" w:sz="4" w:space="0" w:color="auto"/>
              <w:bottom w:val="single" w:sz="4" w:space="0" w:color="auto"/>
              <w:right w:val="single" w:sz="4" w:space="0" w:color="auto"/>
            </w:tcBorders>
            <w:vAlign w:val="center"/>
            <w:hideMark/>
          </w:tcPr>
          <w:p w14:paraId="37C5B9C7" w14:textId="77777777" w:rsidR="00B10545" w:rsidRPr="00B10545" w:rsidRDefault="00B10545" w:rsidP="00B10545">
            <w:pPr>
              <w:rPr>
                <w:rFonts w:eastAsia="Calibri" w:cs="Arial"/>
                <w:b/>
                <w:bCs/>
                <w:sz w:val="18"/>
                <w:szCs w:val="18"/>
              </w:rPr>
            </w:pPr>
            <w:r w:rsidRPr="00B10545">
              <w:rPr>
                <w:rFonts w:eastAsia="Calibri" w:cs="Arial"/>
                <w:sz w:val="18"/>
                <w:szCs w:val="18"/>
              </w:rPr>
              <w:t>Loss</w:t>
            </w:r>
          </w:p>
        </w:tc>
        <w:tc>
          <w:tcPr>
            <w:tcW w:w="1235" w:type="dxa"/>
            <w:gridSpan w:val="2"/>
            <w:tcBorders>
              <w:top w:val="single" w:sz="4" w:space="0" w:color="auto"/>
              <w:left w:val="single" w:sz="4" w:space="0" w:color="auto"/>
              <w:bottom w:val="single" w:sz="4" w:space="0" w:color="auto"/>
              <w:right w:val="single" w:sz="4" w:space="0" w:color="auto"/>
            </w:tcBorders>
            <w:vAlign w:val="center"/>
            <w:hideMark/>
          </w:tcPr>
          <w:p w14:paraId="3774DD29" w14:textId="77777777" w:rsidR="00B10545" w:rsidRPr="00B10545" w:rsidRDefault="00B10545" w:rsidP="00B10545">
            <w:pPr>
              <w:rPr>
                <w:rFonts w:eastAsia="Calibri" w:cs="Arial"/>
                <w:b/>
                <w:bCs/>
                <w:sz w:val="18"/>
                <w:szCs w:val="18"/>
              </w:rPr>
            </w:pPr>
            <w:r w:rsidRPr="00B10545">
              <w:rPr>
                <w:rFonts w:eastAsia="Calibri" w:cs="Arial"/>
                <w:sz w:val="18"/>
                <w:szCs w:val="18"/>
              </w:rPr>
              <w:t>10,560</w:t>
            </w:r>
          </w:p>
        </w:tc>
        <w:tc>
          <w:tcPr>
            <w:tcW w:w="1503" w:type="dxa"/>
            <w:tcBorders>
              <w:top w:val="single" w:sz="4" w:space="0" w:color="auto"/>
              <w:left w:val="single" w:sz="4" w:space="0" w:color="auto"/>
              <w:bottom w:val="single" w:sz="4" w:space="0" w:color="auto"/>
              <w:right w:val="single" w:sz="4" w:space="0" w:color="auto"/>
            </w:tcBorders>
            <w:vAlign w:val="center"/>
            <w:hideMark/>
          </w:tcPr>
          <w:p w14:paraId="19554DE1" w14:textId="77777777" w:rsidR="00B10545" w:rsidRPr="00B10545" w:rsidRDefault="00B10545" w:rsidP="00B10545">
            <w:pPr>
              <w:rPr>
                <w:rFonts w:eastAsia="Calibri" w:cs="Arial"/>
                <w:b/>
                <w:bCs/>
                <w:sz w:val="18"/>
                <w:szCs w:val="18"/>
              </w:rPr>
            </w:pPr>
            <w:r w:rsidRPr="00B10545">
              <w:rPr>
                <w:rFonts w:eastAsia="Calibri" w:cs="Arial"/>
                <w:sz w:val="18"/>
                <w:szCs w:val="18"/>
              </w:rPr>
              <w:t>42.03</w:t>
            </w:r>
          </w:p>
        </w:tc>
        <w:tc>
          <w:tcPr>
            <w:tcW w:w="1058" w:type="dxa"/>
            <w:tcBorders>
              <w:top w:val="single" w:sz="4" w:space="0" w:color="auto"/>
              <w:left w:val="single" w:sz="4" w:space="0" w:color="auto"/>
              <w:bottom w:val="single" w:sz="4" w:space="0" w:color="auto"/>
              <w:right w:val="single" w:sz="4" w:space="0" w:color="auto"/>
            </w:tcBorders>
            <w:vAlign w:val="center"/>
            <w:hideMark/>
          </w:tcPr>
          <w:p w14:paraId="78997E5C" w14:textId="77777777" w:rsidR="00B10545" w:rsidRPr="00B10545" w:rsidRDefault="00B10545" w:rsidP="00B10545">
            <w:pPr>
              <w:rPr>
                <w:rFonts w:eastAsia="Calibri" w:cs="Arial"/>
                <w:b/>
                <w:bCs/>
                <w:sz w:val="18"/>
                <w:szCs w:val="18"/>
              </w:rPr>
            </w:pPr>
            <w:r w:rsidRPr="00B10545">
              <w:rPr>
                <w:rFonts w:eastAsia="Calibri" w:cs="Arial"/>
                <w:sz w:val="18"/>
                <w:szCs w:val="18"/>
              </w:rPr>
              <w:t>737</w:t>
            </w:r>
          </w:p>
        </w:tc>
        <w:tc>
          <w:tcPr>
            <w:tcW w:w="1396" w:type="dxa"/>
            <w:tcBorders>
              <w:top w:val="single" w:sz="4" w:space="0" w:color="auto"/>
              <w:left w:val="single" w:sz="4" w:space="0" w:color="auto"/>
              <w:bottom w:val="single" w:sz="4" w:space="0" w:color="auto"/>
              <w:right w:val="single" w:sz="4" w:space="0" w:color="auto"/>
            </w:tcBorders>
            <w:vAlign w:val="center"/>
            <w:hideMark/>
          </w:tcPr>
          <w:p w14:paraId="33919685" w14:textId="77777777" w:rsidR="00B10545" w:rsidRPr="00B10545" w:rsidRDefault="00B10545" w:rsidP="00B10545">
            <w:pPr>
              <w:rPr>
                <w:rFonts w:eastAsia="Calibri" w:cs="Arial"/>
                <w:b/>
                <w:bCs/>
                <w:sz w:val="18"/>
                <w:szCs w:val="18"/>
              </w:rPr>
            </w:pPr>
            <w:r w:rsidRPr="00B10545">
              <w:rPr>
                <w:rFonts w:eastAsia="Calibri" w:cs="Arial"/>
                <w:sz w:val="18"/>
                <w:szCs w:val="18"/>
              </w:rPr>
              <w:t>11.26</w:t>
            </w:r>
          </w:p>
        </w:tc>
        <w:tc>
          <w:tcPr>
            <w:tcW w:w="1875" w:type="dxa"/>
            <w:tcBorders>
              <w:top w:val="single" w:sz="4" w:space="0" w:color="auto"/>
              <w:left w:val="single" w:sz="4" w:space="0" w:color="auto"/>
              <w:bottom w:val="single" w:sz="4" w:space="0" w:color="auto"/>
              <w:right w:val="single" w:sz="4" w:space="0" w:color="auto"/>
            </w:tcBorders>
            <w:vAlign w:val="center"/>
            <w:hideMark/>
          </w:tcPr>
          <w:p w14:paraId="734832F9" w14:textId="77777777" w:rsidR="00B10545" w:rsidRPr="00B10545" w:rsidRDefault="00B10545" w:rsidP="00B10545">
            <w:pPr>
              <w:rPr>
                <w:rFonts w:eastAsia="Calibri" w:cs="Arial"/>
                <w:sz w:val="18"/>
                <w:szCs w:val="18"/>
              </w:rPr>
            </w:pPr>
            <w:r w:rsidRPr="00B10545">
              <w:rPr>
                <w:rFonts w:eastAsia="Calibri" w:cs="Arial"/>
                <w:sz w:val="18"/>
                <w:szCs w:val="18"/>
              </w:rPr>
              <w:t>11.44</w:t>
            </w:r>
          </w:p>
        </w:tc>
      </w:tr>
      <w:tr w:rsidR="00B10545" w:rsidRPr="00B10545" w14:paraId="2CBEED97" w14:textId="77777777" w:rsidTr="00B10545">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ECD466C" w14:textId="77777777" w:rsidR="00B10545" w:rsidRPr="00B10545" w:rsidRDefault="00B10545" w:rsidP="00B10545">
            <w:pPr>
              <w:rPr>
                <w:rFonts w:cs="Arial"/>
                <w:b/>
                <w:bCs/>
                <w:color w:val="000000"/>
                <w:kern w:val="2"/>
                <w:sz w:val="18"/>
                <w:szCs w:val="18"/>
                <w14:ligatures w14:val="standardContextual"/>
              </w:rPr>
            </w:pPr>
          </w:p>
        </w:tc>
        <w:tc>
          <w:tcPr>
            <w:tcW w:w="957" w:type="dxa"/>
            <w:tcBorders>
              <w:top w:val="single" w:sz="4" w:space="0" w:color="auto"/>
              <w:left w:val="single" w:sz="4" w:space="0" w:color="auto"/>
              <w:bottom w:val="single" w:sz="4" w:space="0" w:color="auto"/>
              <w:right w:val="single" w:sz="4" w:space="0" w:color="auto"/>
            </w:tcBorders>
            <w:vAlign w:val="center"/>
            <w:hideMark/>
          </w:tcPr>
          <w:p w14:paraId="74136636" w14:textId="77777777" w:rsidR="00B10545" w:rsidRPr="00B10545" w:rsidRDefault="00B10545" w:rsidP="00B10545">
            <w:pPr>
              <w:rPr>
                <w:rFonts w:eastAsia="Calibri" w:cs="Arial"/>
                <w:b/>
                <w:bCs/>
                <w:sz w:val="18"/>
                <w:szCs w:val="18"/>
              </w:rPr>
            </w:pPr>
            <w:r w:rsidRPr="00B10545">
              <w:rPr>
                <w:rFonts w:eastAsia="Calibri" w:cs="Arial"/>
                <w:sz w:val="18"/>
                <w:szCs w:val="18"/>
              </w:rPr>
              <w:t>Gross</w:t>
            </w:r>
          </w:p>
        </w:tc>
        <w:tc>
          <w:tcPr>
            <w:tcW w:w="1235" w:type="dxa"/>
            <w:gridSpan w:val="2"/>
            <w:tcBorders>
              <w:top w:val="single" w:sz="4" w:space="0" w:color="auto"/>
              <w:left w:val="single" w:sz="4" w:space="0" w:color="auto"/>
              <w:bottom w:val="single" w:sz="4" w:space="0" w:color="auto"/>
              <w:right w:val="single" w:sz="4" w:space="0" w:color="auto"/>
            </w:tcBorders>
            <w:vAlign w:val="center"/>
            <w:hideMark/>
          </w:tcPr>
          <w:p w14:paraId="274522AD" w14:textId="77777777" w:rsidR="00B10545" w:rsidRPr="00B10545" w:rsidRDefault="00B10545" w:rsidP="00B10545">
            <w:pPr>
              <w:rPr>
                <w:rFonts w:eastAsia="Calibri" w:cs="Arial"/>
                <w:b/>
                <w:bCs/>
                <w:sz w:val="18"/>
                <w:szCs w:val="18"/>
              </w:rPr>
            </w:pPr>
            <w:r w:rsidRPr="00B10545">
              <w:rPr>
                <w:rFonts w:eastAsia="Calibri" w:cs="Arial"/>
                <w:b/>
                <w:bCs/>
                <w:sz w:val="18"/>
                <w:szCs w:val="18"/>
              </w:rPr>
              <w:t>37,224</w:t>
            </w:r>
          </w:p>
        </w:tc>
        <w:tc>
          <w:tcPr>
            <w:tcW w:w="1503" w:type="dxa"/>
            <w:tcBorders>
              <w:top w:val="single" w:sz="4" w:space="0" w:color="auto"/>
              <w:left w:val="single" w:sz="4" w:space="0" w:color="auto"/>
              <w:bottom w:val="single" w:sz="4" w:space="0" w:color="auto"/>
              <w:right w:val="single" w:sz="4" w:space="0" w:color="auto"/>
            </w:tcBorders>
            <w:vAlign w:val="center"/>
            <w:hideMark/>
          </w:tcPr>
          <w:p w14:paraId="22500078" w14:textId="77777777" w:rsidR="00B10545" w:rsidRPr="00B10545" w:rsidRDefault="00B10545" w:rsidP="00B10545">
            <w:pPr>
              <w:rPr>
                <w:rFonts w:eastAsia="Calibri" w:cs="Arial"/>
                <w:b/>
                <w:bCs/>
                <w:sz w:val="18"/>
                <w:szCs w:val="18"/>
              </w:rPr>
            </w:pPr>
            <w:r w:rsidRPr="00B10545">
              <w:rPr>
                <w:rFonts w:eastAsia="Calibri" w:cs="Arial"/>
                <w:b/>
                <w:bCs/>
                <w:sz w:val="18"/>
                <w:szCs w:val="18"/>
              </w:rPr>
              <w:t>118.90</w:t>
            </w:r>
          </w:p>
        </w:tc>
        <w:tc>
          <w:tcPr>
            <w:tcW w:w="1058" w:type="dxa"/>
            <w:tcBorders>
              <w:top w:val="single" w:sz="4" w:space="0" w:color="auto"/>
              <w:left w:val="single" w:sz="4" w:space="0" w:color="auto"/>
              <w:bottom w:val="single" w:sz="4" w:space="0" w:color="auto"/>
              <w:right w:val="single" w:sz="4" w:space="0" w:color="auto"/>
            </w:tcBorders>
            <w:vAlign w:val="center"/>
            <w:hideMark/>
          </w:tcPr>
          <w:p w14:paraId="722EC937" w14:textId="77777777" w:rsidR="00B10545" w:rsidRPr="00B10545" w:rsidRDefault="00B10545" w:rsidP="00B10545">
            <w:pPr>
              <w:rPr>
                <w:rFonts w:eastAsia="Calibri" w:cs="Arial"/>
                <w:b/>
                <w:bCs/>
                <w:sz w:val="18"/>
                <w:szCs w:val="18"/>
              </w:rPr>
            </w:pPr>
            <w:r w:rsidRPr="00B10545">
              <w:rPr>
                <w:rFonts w:eastAsia="Calibri" w:cs="Arial"/>
                <w:b/>
                <w:bCs/>
                <w:sz w:val="18"/>
                <w:szCs w:val="18"/>
              </w:rPr>
              <w:t>1,433</w:t>
            </w:r>
          </w:p>
        </w:tc>
        <w:tc>
          <w:tcPr>
            <w:tcW w:w="1396" w:type="dxa"/>
            <w:tcBorders>
              <w:top w:val="single" w:sz="4" w:space="0" w:color="auto"/>
              <w:left w:val="single" w:sz="4" w:space="0" w:color="auto"/>
              <w:bottom w:val="single" w:sz="4" w:space="0" w:color="auto"/>
              <w:right w:val="single" w:sz="4" w:space="0" w:color="auto"/>
            </w:tcBorders>
            <w:vAlign w:val="center"/>
            <w:hideMark/>
          </w:tcPr>
          <w:p w14:paraId="07EA4A14" w14:textId="77777777" w:rsidR="00B10545" w:rsidRPr="00B10545" w:rsidRDefault="00B10545" w:rsidP="00B10545">
            <w:pPr>
              <w:rPr>
                <w:rFonts w:eastAsia="Calibri" w:cs="Arial"/>
                <w:b/>
                <w:bCs/>
                <w:sz w:val="18"/>
                <w:szCs w:val="18"/>
              </w:rPr>
            </w:pPr>
            <w:r w:rsidRPr="00B10545">
              <w:rPr>
                <w:rFonts w:eastAsia="Calibri" w:cs="Arial"/>
                <w:b/>
                <w:bCs/>
                <w:sz w:val="18"/>
                <w:szCs w:val="18"/>
              </w:rPr>
              <w:t>80.62</w:t>
            </w:r>
          </w:p>
        </w:tc>
        <w:tc>
          <w:tcPr>
            <w:tcW w:w="1875" w:type="dxa"/>
            <w:tcBorders>
              <w:top w:val="single" w:sz="4" w:space="0" w:color="auto"/>
              <w:left w:val="single" w:sz="4" w:space="0" w:color="auto"/>
              <w:bottom w:val="single" w:sz="4" w:space="0" w:color="auto"/>
              <w:right w:val="single" w:sz="4" w:space="0" w:color="auto"/>
            </w:tcBorders>
            <w:vAlign w:val="center"/>
            <w:hideMark/>
          </w:tcPr>
          <w:p w14:paraId="4228A7EC" w14:textId="77777777" w:rsidR="00B10545" w:rsidRPr="00B10545" w:rsidRDefault="00B10545" w:rsidP="00B10545">
            <w:pPr>
              <w:rPr>
                <w:rFonts w:eastAsia="Calibri" w:cs="Arial"/>
                <w:sz w:val="18"/>
                <w:szCs w:val="18"/>
              </w:rPr>
            </w:pPr>
            <w:r w:rsidRPr="00B10545">
              <w:rPr>
                <w:rFonts w:eastAsia="Calibri" w:cs="Arial"/>
                <w:b/>
                <w:bCs/>
                <w:sz w:val="18"/>
                <w:szCs w:val="18"/>
              </w:rPr>
              <w:t>80.98</w:t>
            </w:r>
          </w:p>
        </w:tc>
      </w:tr>
    </w:tbl>
    <w:p w14:paraId="33AD8010" w14:textId="77777777" w:rsidR="00B10545" w:rsidRPr="00B10545" w:rsidRDefault="00B10545" w:rsidP="00B10545">
      <w:pPr>
        <w:spacing w:before="140" w:after="0" w:line="180" w:lineRule="atLeast"/>
        <w:jc w:val="left"/>
        <w:rPr>
          <w:rFonts w:asciiTheme="minorHAnsi" w:eastAsia="Aptos" w:hAnsiTheme="minorHAnsi" w:cs="Times New Roman"/>
          <w:kern w:val="2"/>
          <w:sz w:val="17"/>
          <w:szCs w:val="20"/>
          <w14:ligatures w14:val="standardContextual"/>
        </w:rPr>
      </w:pPr>
      <w:r w:rsidRPr="00B10545">
        <w:rPr>
          <w:rFonts w:asciiTheme="minorHAnsi" w:hAnsiTheme="minorHAnsi"/>
          <w:kern w:val="2"/>
          <w:sz w:val="22"/>
          <w14:ligatures w14:val="standardContextual"/>
        </w:rPr>
        <w:t>Source:</w:t>
      </w:r>
      <w:r w:rsidRPr="00B10545">
        <w:rPr>
          <w:rFonts w:asciiTheme="minorHAnsi" w:hAnsiTheme="minorHAnsi"/>
          <w:kern w:val="2"/>
          <w:sz w:val="22"/>
          <w14:ligatures w14:val="standardContextual"/>
        </w:rPr>
        <w:tab/>
        <w:t>BP.03, Table 37</w:t>
      </w:r>
    </w:p>
    <w:p w14:paraId="2216C739" w14:textId="77777777" w:rsidR="00B10545" w:rsidRPr="00B10545" w:rsidRDefault="00B10545" w:rsidP="00B10545">
      <w:pPr>
        <w:jc w:val="left"/>
        <w:rPr>
          <w:rFonts w:eastAsia="Aptos" w:cs="Times New Roman"/>
          <w:bCs/>
        </w:rPr>
      </w:pPr>
    </w:p>
    <w:p w14:paraId="5EE58E47" w14:textId="52F64687" w:rsidR="00B10545" w:rsidRPr="00B10545" w:rsidRDefault="00F92F91" w:rsidP="00F92F91">
      <w:pPr>
        <w:ind w:left="720" w:hanging="720"/>
        <w:jc w:val="left"/>
        <w:rPr>
          <w:rFonts w:eastAsia="Aptos" w:cs="Times New Roman"/>
          <w:bCs/>
        </w:rPr>
      </w:pPr>
      <w:r>
        <w:rPr>
          <w:rFonts w:eastAsia="Aptos" w:cs="Times New Roman"/>
          <w:bCs/>
        </w:rPr>
        <w:t>4.1.23</w:t>
      </w:r>
      <w:r>
        <w:rPr>
          <w:rFonts w:eastAsia="Aptos" w:cs="Times New Roman"/>
          <w:bCs/>
        </w:rPr>
        <w:tab/>
      </w:r>
      <w:r w:rsidR="00B10545" w:rsidRPr="00B10545">
        <w:rPr>
          <w:rFonts w:eastAsia="Aptos" w:cs="Times New Roman"/>
          <w:bCs/>
        </w:rPr>
        <w:t xml:space="preserve">On this basis, the updated local need for employment land requirements based on the labour demand and labour supply scenarios range from 13.44 ha to 28.06 ha (converting office floorspace to land by applying a plot ratio of 40%).  The past </w:t>
      </w:r>
      <w:proofErr w:type="gramStart"/>
      <w:r w:rsidR="00B10545" w:rsidRPr="00B10545">
        <w:rPr>
          <w:rFonts w:eastAsia="Aptos" w:cs="Times New Roman"/>
          <w:bCs/>
        </w:rPr>
        <w:t>take</w:t>
      </w:r>
      <w:proofErr w:type="gramEnd"/>
      <w:r w:rsidR="00B10545" w:rsidRPr="00B10545">
        <w:rPr>
          <w:rFonts w:eastAsia="Aptos" w:cs="Times New Roman"/>
          <w:bCs/>
        </w:rPr>
        <w:t xml:space="preserve"> up rate scenario identified a higher figure of 81 ha which would suggest that this is at least partly influenced by the ‘bigger than local’ regional demand for logistics.  In these circumstances, it was considered that the Council needed to go beyond the labour demand and labour supply figures.</w:t>
      </w:r>
    </w:p>
    <w:p w14:paraId="279018F4" w14:textId="55A263A3" w:rsidR="00B10545" w:rsidRPr="00B10545" w:rsidRDefault="00F92F91" w:rsidP="00F92F91">
      <w:pPr>
        <w:ind w:left="720" w:hanging="720"/>
        <w:jc w:val="left"/>
        <w:rPr>
          <w:rFonts w:eastAsia="Aptos" w:cs="Times New Roman"/>
          <w:bCs/>
        </w:rPr>
      </w:pPr>
      <w:r>
        <w:rPr>
          <w:rFonts w:eastAsia="Aptos" w:cs="Times New Roman"/>
          <w:bCs/>
        </w:rPr>
        <w:t>4.1.24</w:t>
      </w:r>
      <w:r>
        <w:rPr>
          <w:rFonts w:eastAsia="Aptos" w:cs="Times New Roman"/>
          <w:bCs/>
        </w:rPr>
        <w:tab/>
      </w:r>
      <w:r w:rsidR="00B10545" w:rsidRPr="00B10545">
        <w:rPr>
          <w:rFonts w:eastAsia="Aptos" w:cs="Times New Roman"/>
          <w:bCs/>
        </w:rPr>
        <w:t xml:space="preserve">The 81 ha past take up figure has been taken forward by the Council in its emerging Local Plan.  This represents the upper end of the modelling range in BP.03.  </w:t>
      </w:r>
    </w:p>
    <w:p w14:paraId="5E1A1657" w14:textId="5F774C9F" w:rsidR="00B10545" w:rsidRPr="00B10545" w:rsidRDefault="00F92F91" w:rsidP="00F92F91">
      <w:pPr>
        <w:ind w:left="720" w:hanging="720"/>
        <w:jc w:val="left"/>
        <w:rPr>
          <w:rFonts w:eastAsia="Aptos" w:cs="Times New Roman"/>
          <w:bCs/>
        </w:rPr>
      </w:pPr>
      <w:r>
        <w:rPr>
          <w:rFonts w:eastAsia="Aptos" w:cs="Times New Roman"/>
          <w:bCs/>
        </w:rPr>
        <w:t>4.1.25</w:t>
      </w:r>
      <w:r>
        <w:rPr>
          <w:rFonts w:eastAsia="Aptos" w:cs="Times New Roman"/>
          <w:bCs/>
        </w:rPr>
        <w:tab/>
      </w:r>
      <w:r w:rsidR="00B10545" w:rsidRPr="00B10545">
        <w:rPr>
          <w:rFonts w:eastAsia="Aptos" w:cs="Times New Roman"/>
          <w:bCs/>
        </w:rPr>
        <w:t>It reflects the Council’s desire to set out a clear economic vision and strategy which positively and proactively encourages sustainable economic growth as required by the NPPF (2023).  The incorporation of a margin for choice and loss replacement also provides the flexibility required to accommodate needs not anticipated in the plan [NPPF paragraph 86d].</w:t>
      </w:r>
    </w:p>
    <w:p w14:paraId="29D7EF4F" w14:textId="44BD8C18" w:rsidR="00B10545" w:rsidRPr="00B10545" w:rsidRDefault="00F92F91" w:rsidP="00F92F91">
      <w:pPr>
        <w:ind w:left="720" w:hanging="720"/>
        <w:jc w:val="left"/>
        <w:rPr>
          <w:rFonts w:eastAsia="Aptos" w:cs="Times New Roman"/>
          <w:bCs/>
        </w:rPr>
      </w:pPr>
      <w:r>
        <w:rPr>
          <w:rFonts w:eastAsia="Aptos" w:cs="Times New Roman"/>
          <w:bCs/>
        </w:rPr>
        <w:t>4.1.26</w:t>
      </w:r>
      <w:r>
        <w:rPr>
          <w:rFonts w:eastAsia="Aptos" w:cs="Times New Roman"/>
          <w:bCs/>
        </w:rPr>
        <w:tab/>
      </w:r>
      <w:proofErr w:type="gramStart"/>
      <w:r w:rsidR="00B10545" w:rsidRPr="00B10545">
        <w:rPr>
          <w:rFonts w:eastAsia="Aptos" w:cs="Times New Roman"/>
          <w:bCs/>
        </w:rPr>
        <w:t>A number of</w:t>
      </w:r>
      <w:proofErr w:type="gramEnd"/>
      <w:r w:rsidR="00B10545" w:rsidRPr="00B10545">
        <w:rPr>
          <w:rFonts w:eastAsia="Aptos" w:cs="Times New Roman"/>
          <w:bCs/>
        </w:rPr>
        <w:t xml:space="preserve"> large distribution sites have come forward for development in recent years, totalling around two thirds of the total employment land that came forward over that time.  At a basic level therefore, it might be expected that applying this ratio to the </w:t>
      </w:r>
      <w:proofErr w:type="gramStart"/>
      <w:r w:rsidR="00B10545" w:rsidRPr="00B10545">
        <w:rPr>
          <w:rFonts w:eastAsia="Aptos" w:cs="Times New Roman"/>
          <w:bCs/>
        </w:rPr>
        <w:t>81 ha</w:t>
      </w:r>
      <w:proofErr w:type="gramEnd"/>
      <w:r w:rsidR="00B10545" w:rsidRPr="00B10545">
        <w:rPr>
          <w:rFonts w:eastAsia="Aptos" w:cs="Times New Roman"/>
          <w:bCs/>
        </w:rPr>
        <w:t xml:space="preserve"> target would suggest that around 27.5 ha of land would meet ‘indigenous’ needs arising from within Ashfield, and at least 53.5 ha of land would be required to contribute towards wider strategic needs.  The 27.5 ha local needs figure is closely aligned with the Regeneration Scenario’s total figure of 28.1 ha. </w:t>
      </w:r>
    </w:p>
    <w:p w14:paraId="5C046C29" w14:textId="42FA1CF1" w:rsidR="00B10545" w:rsidRDefault="00F92F91" w:rsidP="00F92F91">
      <w:pPr>
        <w:ind w:left="720" w:hanging="720"/>
        <w:jc w:val="left"/>
        <w:rPr>
          <w:rFonts w:eastAsia="Aptos" w:cs="Times New Roman"/>
          <w:bCs/>
        </w:rPr>
      </w:pPr>
      <w:r>
        <w:rPr>
          <w:rFonts w:eastAsia="Aptos" w:cs="Times New Roman"/>
          <w:bCs/>
        </w:rPr>
        <w:t>4.1.27</w:t>
      </w:r>
      <w:r>
        <w:rPr>
          <w:rFonts w:eastAsia="Aptos" w:cs="Times New Roman"/>
          <w:bCs/>
        </w:rPr>
        <w:tab/>
      </w:r>
      <w:r w:rsidR="00B10545" w:rsidRPr="00B10545">
        <w:rPr>
          <w:rFonts w:eastAsia="Aptos" w:cs="Times New Roman"/>
          <w:bCs/>
        </w:rPr>
        <w:t>The 27.5 ha local needs take up figure is above the 16.84 ha that would be required based on the current SM2 figure of 446 dpa.  This scenario represents the employment land needs of the local labour supply.  However, the Council considers that planning for a higher employment land figure will help ensure a choice of employment land supply by size, type, location and quality of sites and premises for businesses, and maximising future job opportunities for the local workforce (including those who may currently commute elsewhere).</w:t>
      </w:r>
    </w:p>
    <w:p w14:paraId="034058E9" w14:textId="53FA982E" w:rsidR="00417551" w:rsidRPr="00417551" w:rsidRDefault="005D2B5B" w:rsidP="00417551">
      <w:pPr>
        <w:ind w:left="720" w:hanging="720"/>
        <w:jc w:val="left"/>
        <w:rPr>
          <w:rFonts w:eastAsia="Aptos" w:cs="Times New Roman"/>
          <w:bCs/>
          <w:i/>
          <w:iCs/>
        </w:rPr>
      </w:pPr>
      <w:r>
        <w:rPr>
          <w:rFonts w:eastAsia="Aptos" w:cs="Times New Roman"/>
          <w:bCs/>
          <w:i/>
          <w:iCs/>
        </w:rPr>
        <w:lastRenderedPageBreak/>
        <w:t>4.1.28</w:t>
      </w:r>
      <w:r>
        <w:rPr>
          <w:rFonts w:eastAsia="Aptos" w:cs="Times New Roman"/>
          <w:bCs/>
          <w:i/>
          <w:iCs/>
        </w:rPr>
        <w:tab/>
      </w:r>
      <w:r w:rsidR="00417551" w:rsidRPr="00417551">
        <w:rPr>
          <w:rFonts w:eastAsia="Aptos" w:cs="Times New Roman"/>
          <w:bCs/>
          <w:i/>
          <w:iCs/>
        </w:rPr>
        <w:t xml:space="preserve">Nottinghamshire core and outer HMA logistics study 2022 (Logistics Study) </w:t>
      </w:r>
    </w:p>
    <w:p w14:paraId="569FA0E9" w14:textId="77777777" w:rsidR="00417551" w:rsidRPr="00417551" w:rsidRDefault="00417551" w:rsidP="005D2B5B">
      <w:pPr>
        <w:ind w:left="720"/>
        <w:jc w:val="left"/>
        <w:rPr>
          <w:rFonts w:eastAsia="Aptos" w:cs="Times New Roman"/>
          <w:bCs/>
        </w:rPr>
      </w:pPr>
      <w:r w:rsidRPr="00417551">
        <w:rPr>
          <w:rFonts w:eastAsia="Aptos" w:cs="Times New Roman"/>
          <w:bCs/>
        </w:rPr>
        <w:t>The Logistics Study was commissioned by the constituent authorities of the HMA area being Broxtowe, Rushcliffe, Nottingham City, Gedling, Erewash, (Core) plus Newark &amp; Sherwood, Ashfield and Mansfield (Outer) HMA.  The purpose being, inter alia, to “</w:t>
      </w:r>
      <w:r w:rsidRPr="00417551">
        <w:rPr>
          <w:rFonts w:eastAsia="Aptos" w:cs="Times New Roman"/>
          <w:bCs/>
          <w:i/>
          <w:iCs/>
        </w:rPr>
        <w:t>Forecast future need, demand and growth in the strategic distribution/ logistics sector in the Study Area to 2040</w:t>
      </w:r>
      <w:r w:rsidRPr="00417551">
        <w:rPr>
          <w:rFonts w:eastAsia="Aptos" w:cs="Times New Roman"/>
          <w:bCs/>
        </w:rPr>
        <w:t xml:space="preserve">”. </w:t>
      </w:r>
    </w:p>
    <w:p w14:paraId="44ECE250" w14:textId="200D1A69" w:rsidR="00417551" w:rsidRPr="00417551" w:rsidRDefault="005D2B5B" w:rsidP="00417551">
      <w:pPr>
        <w:ind w:left="720" w:hanging="720"/>
        <w:jc w:val="left"/>
        <w:rPr>
          <w:rFonts w:eastAsia="Aptos" w:cs="Times New Roman"/>
          <w:bCs/>
        </w:rPr>
      </w:pPr>
      <w:r>
        <w:rPr>
          <w:rFonts w:eastAsia="Aptos" w:cs="Times New Roman"/>
          <w:bCs/>
        </w:rPr>
        <w:t>4.1.29</w:t>
      </w:r>
      <w:r>
        <w:rPr>
          <w:rFonts w:eastAsia="Aptos" w:cs="Times New Roman"/>
          <w:bCs/>
        </w:rPr>
        <w:tab/>
      </w:r>
      <w:r w:rsidR="00417551" w:rsidRPr="00417551">
        <w:rPr>
          <w:rFonts w:eastAsia="Aptos" w:cs="Times New Roman"/>
          <w:bCs/>
        </w:rPr>
        <w:t>Strategic logistics occupiers are defined as those requiring sites of 9,000 sqm+ (approximately 100,000 sqft).  These occupiers, providing distribution services for businesses and consumers, typically have larger than local authority areas of search, spanning HMAs/FEMAs or property market areas.  Whist critical components of the economy, their requirements can be underestimated or simply not identified in local economic needs assessments as they are not readily captured in local labour demand, supply or take up data.  The cross authority HMA-wide nature of the Logistics Study is necessary to capture the sub regional nature of occupier requirements.</w:t>
      </w:r>
    </w:p>
    <w:p w14:paraId="0383137D" w14:textId="77777777" w:rsidR="005D2B5B" w:rsidRDefault="005D2B5B" w:rsidP="005D2B5B">
      <w:pPr>
        <w:ind w:left="720" w:hanging="720"/>
        <w:jc w:val="left"/>
        <w:rPr>
          <w:rFonts w:eastAsia="Aptos" w:cs="Times New Roman"/>
          <w:bCs/>
        </w:rPr>
      </w:pPr>
      <w:r>
        <w:rPr>
          <w:rFonts w:eastAsia="Aptos" w:cs="Times New Roman"/>
          <w:bCs/>
        </w:rPr>
        <w:t>4.1.30</w:t>
      </w:r>
      <w:r>
        <w:rPr>
          <w:rFonts w:eastAsia="Aptos" w:cs="Times New Roman"/>
          <w:bCs/>
        </w:rPr>
        <w:tab/>
      </w:r>
      <w:r w:rsidR="00417551" w:rsidRPr="00417551">
        <w:rPr>
          <w:rFonts w:eastAsia="Aptos" w:cs="Times New Roman"/>
          <w:bCs/>
        </w:rPr>
        <w:t>A starting point for the Study is that demand is high for logistics space and has been undersupplied in the study area overall in the past, largely due to Green Belt policies along the M1.  This is evident by high take up and low vacancy rates. Delivery rates are low compared to surrounding HMA/FEMAs (such as Leicestershire).</w:t>
      </w:r>
    </w:p>
    <w:p w14:paraId="427FF7B3" w14:textId="5DDCD6B6" w:rsidR="00417551" w:rsidRPr="00417551" w:rsidRDefault="005D2B5B" w:rsidP="005D2B5B">
      <w:pPr>
        <w:ind w:left="720" w:hanging="720"/>
        <w:jc w:val="left"/>
        <w:rPr>
          <w:rFonts w:eastAsia="Aptos" w:cs="Times New Roman"/>
          <w:bCs/>
        </w:rPr>
      </w:pPr>
      <w:r>
        <w:rPr>
          <w:rFonts w:eastAsia="Aptos" w:cs="Times New Roman"/>
          <w:bCs/>
        </w:rPr>
        <w:t>4.1.31</w:t>
      </w:r>
      <w:r>
        <w:rPr>
          <w:rFonts w:eastAsia="Aptos" w:cs="Times New Roman"/>
          <w:bCs/>
        </w:rPr>
        <w:tab/>
      </w:r>
      <w:r w:rsidR="00417551" w:rsidRPr="00417551">
        <w:rPr>
          <w:rFonts w:eastAsia="Aptos" w:cs="Times New Roman"/>
          <w:bCs/>
        </w:rPr>
        <w:t xml:space="preserve">The Study identifies the future need for logistics space using several methodologies (each including a margin), being: </w:t>
      </w:r>
    </w:p>
    <w:p w14:paraId="424E7893" w14:textId="63633378" w:rsidR="00417551" w:rsidRPr="00417551" w:rsidRDefault="00417551" w:rsidP="00934C6C">
      <w:pPr>
        <w:ind w:left="1080"/>
        <w:jc w:val="left"/>
        <w:rPr>
          <w:rFonts w:eastAsia="Aptos" w:cs="Times New Roman"/>
          <w:bCs/>
        </w:rPr>
      </w:pPr>
      <w:r w:rsidRPr="00417551">
        <w:rPr>
          <w:rFonts w:eastAsia="Aptos" w:cs="Times New Roman"/>
          <w:bCs/>
        </w:rPr>
        <w:t>Labour demand projections: not considered suitable for this strategic study given the difference between outcomes and market signals – also given the weakening relationship between jobs and floorspace not least due to replacement space requirements.</w:t>
      </w:r>
    </w:p>
    <w:p w14:paraId="5774847B" w14:textId="77777777" w:rsidR="00417551" w:rsidRPr="00417551" w:rsidRDefault="00417551" w:rsidP="00417551">
      <w:pPr>
        <w:numPr>
          <w:ilvl w:val="0"/>
          <w:numId w:val="19"/>
        </w:numPr>
        <w:jc w:val="left"/>
        <w:rPr>
          <w:rFonts w:eastAsia="Aptos" w:cs="Times New Roman"/>
          <w:bCs/>
        </w:rPr>
      </w:pPr>
      <w:r w:rsidRPr="00417551">
        <w:rPr>
          <w:rFonts w:eastAsia="Aptos" w:cs="Times New Roman"/>
          <w:bCs/>
        </w:rPr>
        <w:t xml:space="preserve">Past completions </w:t>
      </w:r>
      <w:proofErr w:type="gramStart"/>
      <w:r w:rsidRPr="00417551">
        <w:rPr>
          <w:rFonts w:eastAsia="Aptos" w:cs="Times New Roman"/>
          <w:bCs/>
        </w:rPr>
        <w:t>trend:</w:t>
      </w:r>
      <w:proofErr w:type="gramEnd"/>
      <w:r w:rsidRPr="00417551">
        <w:rPr>
          <w:rFonts w:eastAsia="Aptos" w:cs="Times New Roman"/>
          <w:bCs/>
        </w:rPr>
        <w:t xml:space="preserve"> considered to be excessively influenced by historic supply-side constraints </w:t>
      </w:r>
    </w:p>
    <w:p w14:paraId="2C0B3DCC" w14:textId="77777777" w:rsidR="00417551" w:rsidRPr="00417551" w:rsidRDefault="00417551" w:rsidP="00417551">
      <w:pPr>
        <w:numPr>
          <w:ilvl w:val="0"/>
          <w:numId w:val="19"/>
        </w:numPr>
        <w:jc w:val="left"/>
        <w:rPr>
          <w:rFonts w:eastAsia="Aptos" w:cs="Times New Roman"/>
          <w:bCs/>
        </w:rPr>
      </w:pPr>
      <w:r w:rsidRPr="00417551">
        <w:rPr>
          <w:rFonts w:eastAsia="Aptos" w:cs="Times New Roman"/>
          <w:bCs/>
        </w:rPr>
        <w:t>Net absorption (floorspace take up) trends: also considered excessively constrained by past trends as represented by persistent low availability levels, despite some attempts to input compensation adjustments on low availability.</w:t>
      </w:r>
    </w:p>
    <w:p w14:paraId="464E9027" w14:textId="77777777" w:rsidR="00417551" w:rsidRPr="00417551" w:rsidRDefault="00417551" w:rsidP="00417551">
      <w:pPr>
        <w:numPr>
          <w:ilvl w:val="0"/>
          <w:numId w:val="19"/>
        </w:numPr>
        <w:jc w:val="left"/>
        <w:rPr>
          <w:rFonts w:eastAsia="Aptos" w:cs="Times New Roman"/>
          <w:bCs/>
        </w:rPr>
      </w:pPr>
      <w:r w:rsidRPr="00417551">
        <w:rPr>
          <w:rFonts w:eastAsia="Aptos" w:cs="Times New Roman"/>
          <w:bCs/>
        </w:rPr>
        <w:t xml:space="preserve">Traffic growth model (future freight forecast translated to floorspace need) plus replacement demand (replacement of older floorspace): the upper end of this model is recommended, because it reflects the need to replace much of the aged strategic stock in the study area.  Requirement is 1.3m sqm. </w:t>
      </w:r>
    </w:p>
    <w:p w14:paraId="4EFD083A" w14:textId="77777777" w:rsidR="00417551" w:rsidRPr="00417551" w:rsidRDefault="00417551" w:rsidP="00417551">
      <w:pPr>
        <w:numPr>
          <w:ilvl w:val="0"/>
          <w:numId w:val="19"/>
        </w:numPr>
        <w:jc w:val="left"/>
        <w:rPr>
          <w:rFonts w:eastAsia="Aptos" w:cs="Times New Roman"/>
          <w:bCs/>
        </w:rPr>
      </w:pPr>
      <w:r w:rsidRPr="00417551">
        <w:rPr>
          <w:rFonts w:eastAsia="Aptos" w:cs="Times New Roman"/>
          <w:bCs/>
        </w:rPr>
        <w:t>Market signals model using localised M1 J24-28 take up as well as considering an enhanced take up in the study area compared to wider geographies (North Nottinghamshire / Leicestershire).  Requirement at 1.5 m – 1.8m sqm</w:t>
      </w:r>
    </w:p>
    <w:p w14:paraId="5C316DAA" w14:textId="5FB2EF0F" w:rsidR="00417551" w:rsidRPr="00417551" w:rsidRDefault="00934C6C" w:rsidP="00417551">
      <w:pPr>
        <w:ind w:left="720" w:hanging="720"/>
        <w:jc w:val="left"/>
        <w:rPr>
          <w:rFonts w:eastAsia="Aptos" w:cs="Times New Roman"/>
          <w:bCs/>
        </w:rPr>
      </w:pPr>
      <w:r>
        <w:rPr>
          <w:rFonts w:eastAsia="Aptos" w:cs="Times New Roman"/>
          <w:bCs/>
        </w:rPr>
        <w:t>4.1.32</w:t>
      </w:r>
      <w:r>
        <w:rPr>
          <w:rFonts w:eastAsia="Aptos" w:cs="Times New Roman"/>
          <w:bCs/>
        </w:rPr>
        <w:tab/>
      </w:r>
      <w:r w:rsidR="00417551" w:rsidRPr="00417551">
        <w:rPr>
          <w:rFonts w:eastAsia="Aptos" w:cs="Times New Roman"/>
          <w:bCs/>
        </w:rPr>
        <w:t xml:space="preserve">The Study recommends a need ranging from 1.3m sqm (traffic growth / replacement demand upper end) up to 1.5m sqm (market signals lower end).  </w:t>
      </w:r>
      <w:proofErr w:type="gramStart"/>
      <w:r w:rsidR="00417551" w:rsidRPr="00417551">
        <w:rPr>
          <w:rFonts w:eastAsia="Aptos" w:cs="Times New Roman"/>
          <w:bCs/>
        </w:rPr>
        <w:t>In particular, these</w:t>
      </w:r>
      <w:proofErr w:type="gramEnd"/>
      <w:r w:rsidR="00417551" w:rsidRPr="00417551">
        <w:rPr>
          <w:rFonts w:eastAsia="Aptos" w:cs="Times New Roman"/>
          <w:bCs/>
        </w:rPr>
        <w:t xml:space="preserve"> models help to overcome some of the historic undersupply constraints.  Of these, the 1.5m sqm figure was recommended given the strength of market indicators. </w:t>
      </w:r>
    </w:p>
    <w:p w14:paraId="6F48EF5E" w14:textId="27D7F37B" w:rsidR="00417551" w:rsidRPr="00417551" w:rsidRDefault="00934C6C" w:rsidP="00417551">
      <w:pPr>
        <w:ind w:left="720" w:hanging="720"/>
        <w:jc w:val="left"/>
        <w:rPr>
          <w:rFonts w:eastAsia="Aptos" w:cs="Times New Roman"/>
          <w:bCs/>
          <w:i/>
          <w:iCs/>
        </w:rPr>
      </w:pPr>
      <w:r w:rsidRPr="00934C6C">
        <w:rPr>
          <w:rFonts w:eastAsia="Aptos" w:cs="Times New Roman"/>
          <w:bCs/>
        </w:rPr>
        <w:lastRenderedPageBreak/>
        <w:t>4.1.33</w:t>
      </w:r>
      <w:r>
        <w:rPr>
          <w:rFonts w:eastAsia="Aptos" w:cs="Times New Roman"/>
          <w:bCs/>
          <w:i/>
          <w:iCs/>
        </w:rPr>
        <w:tab/>
      </w:r>
      <w:r w:rsidR="00417551" w:rsidRPr="00417551">
        <w:rPr>
          <w:rFonts w:eastAsia="Aptos" w:cs="Times New Roman"/>
          <w:bCs/>
          <w:i/>
          <w:iCs/>
        </w:rPr>
        <w:t>Logistics Study implications for Ashfield District</w:t>
      </w:r>
    </w:p>
    <w:p w14:paraId="5C13D678" w14:textId="77777777" w:rsidR="00417551" w:rsidRPr="00417551" w:rsidRDefault="00417551" w:rsidP="00934C6C">
      <w:pPr>
        <w:ind w:left="720"/>
        <w:jc w:val="left"/>
        <w:rPr>
          <w:rFonts w:eastAsia="Aptos" w:cs="Times New Roman"/>
          <w:bCs/>
        </w:rPr>
      </w:pPr>
      <w:r w:rsidRPr="00417551">
        <w:rPr>
          <w:rFonts w:eastAsia="Aptos" w:cs="Times New Roman"/>
          <w:bCs/>
        </w:rPr>
        <w:t xml:space="preserve">Taking into account committed supply </w:t>
      </w:r>
      <w:proofErr w:type="gramStart"/>
      <w:r w:rsidRPr="00417551">
        <w:rPr>
          <w:rFonts w:eastAsia="Aptos" w:cs="Times New Roman"/>
          <w:bCs/>
        </w:rPr>
        <w:t>at</w:t>
      </w:r>
      <w:proofErr w:type="gramEnd"/>
      <w:r w:rsidRPr="00417551">
        <w:rPr>
          <w:rFonts w:eastAsia="Aptos" w:cs="Times New Roman"/>
          <w:bCs/>
        </w:rPr>
        <w:t xml:space="preserve"> 2022 in the Logistics Study, the residual need was estimated at 335 ha; taking into account draft allocations (including in Ashfield District) alongside submitted applications, the residual unmet need fell to 172 ha.  The Study also notes that some of the need may be met through the redevelopment of existing logistics or other large manufacturing sites, further reducing the requirement by between 10% and 20%.</w:t>
      </w:r>
    </w:p>
    <w:p w14:paraId="00179409" w14:textId="00EAF0DF" w:rsidR="00417551" w:rsidRPr="00417551" w:rsidRDefault="00934C6C" w:rsidP="00417551">
      <w:pPr>
        <w:ind w:left="720" w:hanging="720"/>
        <w:jc w:val="left"/>
        <w:rPr>
          <w:rFonts w:eastAsia="Aptos" w:cs="Times New Roman"/>
          <w:bCs/>
        </w:rPr>
      </w:pPr>
      <w:r>
        <w:rPr>
          <w:rFonts w:eastAsia="Aptos" w:cs="Times New Roman"/>
          <w:bCs/>
        </w:rPr>
        <w:t>4.1.33</w:t>
      </w:r>
      <w:r>
        <w:rPr>
          <w:rFonts w:eastAsia="Aptos" w:cs="Times New Roman"/>
          <w:bCs/>
        </w:rPr>
        <w:tab/>
      </w:r>
      <w:r w:rsidR="00417551" w:rsidRPr="00417551">
        <w:rPr>
          <w:rFonts w:eastAsia="Aptos" w:cs="Times New Roman"/>
          <w:bCs/>
        </w:rPr>
        <w:t xml:space="preserve">The 2023 </w:t>
      </w:r>
      <w:r w:rsidR="00417551" w:rsidRPr="00417551">
        <w:rPr>
          <w:rFonts w:eastAsia="Aptos" w:cs="Times New Roman"/>
          <w:bCs/>
          <w:i/>
          <w:iCs/>
        </w:rPr>
        <w:t>Strategic Distribution and Logistics Sites Background Paper</w:t>
      </w:r>
      <w:r w:rsidR="00417551" w:rsidRPr="00417551">
        <w:rPr>
          <w:rFonts w:eastAsia="Aptos" w:cs="Times New Roman"/>
          <w:bCs/>
        </w:rPr>
        <w:t xml:space="preserve"> prepared by the Greater Nottingham Planning Partnership</w:t>
      </w:r>
      <w:r w:rsidR="00417551" w:rsidRPr="00417551">
        <w:rPr>
          <w:rFonts w:eastAsia="Aptos" w:cs="Times New Roman"/>
          <w:bCs/>
          <w:vertAlign w:val="superscript"/>
        </w:rPr>
        <w:footnoteReference w:id="5"/>
      </w:r>
      <w:r w:rsidR="00417551" w:rsidRPr="00417551">
        <w:rPr>
          <w:rFonts w:eastAsia="Aptos" w:cs="Times New Roman"/>
          <w:bCs/>
        </w:rPr>
        <w:t xml:space="preserve"> seeks to update the demand and supply assumptions in the Logistics Study.  It states that the residual need for strategic logistics is now </w:t>
      </w:r>
      <w:r w:rsidR="00417551" w:rsidRPr="00417551">
        <w:rPr>
          <w:rFonts w:eastAsia="Aptos" w:cs="Times New Roman"/>
          <w:b/>
          <w:bCs/>
        </w:rPr>
        <w:t xml:space="preserve">163 ha </w:t>
      </w:r>
      <w:r w:rsidR="00417551" w:rsidRPr="00417551">
        <w:rPr>
          <w:rFonts w:eastAsia="Aptos" w:cs="Times New Roman"/>
          <w:bCs/>
        </w:rPr>
        <w:t xml:space="preserve">after </w:t>
      </w:r>
      <w:proofErr w:type="gramStart"/>
      <w:r w:rsidR="00417551" w:rsidRPr="00417551">
        <w:rPr>
          <w:rFonts w:eastAsia="Aptos" w:cs="Times New Roman"/>
          <w:bCs/>
        </w:rPr>
        <w:t>taking into account</w:t>
      </w:r>
      <w:proofErr w:type="gramEnd"/>
      <w:r w:rsidR="00417551" w:rsidRPr="00417551">
        <w:rPr>
          <w:rFonts w:eastAsia="Aptos" w:cs="Times New Roman"/>
          <w:bCs/>
        </w:rPr>
        <w:t xml:space="preserve"> ‘known commitments’, and that this </w:t>
      </w:r>
      <w:r w:rsidR="00417551" w:rsidRPr="00417551">
        <w:rPr>
          <w:rFonts w:eastAsia="Aptos" w:cs="Times New Roman"/>
          <w:b/>
          <w:bCs/>
        </w:rPr>
        <w:t>falls to between</w:t>
      </w:r>
      <w:r w:rsidR="00417551" w:rsidRPr="00417551">
        <w:rPr>
          <w:rFonts w:eastAsia="Aptos" w:cs="Times New Roman"/>
          <w:bCs/>
        </w:rPr>
        <w:t xml:space="preserve"> </w:t>
      </w:r>
      <w:r w:rsidR="00417551" w:rsidRPr="00417551">
        <w:rPr>
          <w:rFonts w:eastAsia="Aptos" w:cs="Times New Roman"/>
          <w:b/>
          <w:bCs/>
        </w:rPr>
        <w:t>131 and 147 ha with the 10-20% recycling of existing sites</w:t>
      </w:r>
      <w:r w:rsidR="00417551" w:rsidRPr="00417551">
        <w:rPr>
          <w:rFonts w:eastAsia="Aptos" w:cs="Times New Roman"/>
          <w:bCs/>
        </w:rPr>
        <w:t xml:space="preserve">. </w:t>
      </w:r>
    </w:p>
    <w:p w14:paraId="2396D9F7" w14:textId="02ABD7EF" w:rsidR="00417551" w:rsidRPr="00417551" w:rsidRDefault="00934C6C" w:rsidP="00417551">
      <w:pPr>
        <w:ind w:left="720" w:hanging="720"/>
        <w:jc w:val="left"/>
        <w:rPr>
          <w:rFonts w:eastAsia="Aptos" w:cs="Times New Roman"/>
          <w:bCs/>
        </w:rPr>
      </w:pPr>
      <w:r>
        <w:rPr>
          <w:rFonts w:eastAsia="Aptos" w:cs="Times New Roman"/>
          <w:bCs/>
        </w:rPr>
        <w:t>4.1.34</w:t>
      </w:r>
      <w:r>
        <w:rPr>
          <w:rFonts w:eastAsia="Aptos" w:cs="Times New Roman"/>
          <w:bCs/>
        </w:rPr>
        <w:tab/>
      </w:r>
      <w:r w:rsidR="00417551" w:rsidRPr="00417551">
        <w:rPr>
          <w:rFonts w:eastAsia="Aptos" w:cs="Times New Roman"/>
          <w:bCs/>
        </w:rPr>
        <w:t xml:space="preserve">The ‘known commitments’ include Ashfield’s Junction 27 M1 </w:t>
      </w:r>
      <w:proofErr w:type="gramStart"/>
      <w:r w:rsidR="00417551" w:rsidRPr="00417551">
        <w:rPr>
          <w:rFonts w:eastAsia="Aptos" w:cs="Times New Roman"/>
          <w:bCs/>
        </w:rPr>
        <w:t>North East</w:t>
      </w:r>
      <w:proofErr w:type="gramEnd"/>
      <w:r w:rsidR="00417551" w:rsidRPr="00417551">
        <w:rPr>
          <w:rFonts w:eastAsia="Aptos" w:cs="Times New Roman"/>
          <w:bCs/>
        </w:rPr>
        <w:t xml:space="preserve"> 18.4 ha and Junction 27 South East 22.5 ha draft allocations.  These are therefore assumed to be contributing in full to the strategic need (rather than meeting any local need).  The shortfall on HMA-wide logistics need exists </w:t>
      </w:r>
      <w:r w:rsidR="00417551" w:rsidRPr="00417551">
        <w:rPr>
          <w:rFonts w:eastAsia="Aptos" w:cs="Times New Roman"/>
          <w:bCs/>
          <w:u w:val="single"/>
        </w:rPr>
        <w:t>after</w:t>
      </w:r>
      <w:r w:rsidR="00417551" w:rsidRPr="00417551">
        <w:rPr>
          <w:rFonts w:eastAsia="Aptos" w:cs="Times New Roman"/>
          <w:bCs/>
        </w:rPr>
        <w:t xml:space="preserve"> including these sites.  In addition to the draft allocations in Ashfield, </w:t>
      </w:r>
      <w:proofErr w:type="gramStart"/>
      <w:r w:rsidR="00417551" w:rsidRPr="00417551">
        <w:rPr>
          <w:rFonts w:eastAsia="Aptos" w:cs="Times New Roman"/>
          <w:bCs/>
        </w:rPr>
        <w:t>a number of</w:t>
      </w:r>
      <w:proofErr w:type="gramEnd"/>
      <w:r w:rsidR="00417551" w:rsidRPr="00417551">
        <w:rPr>
          <w:rFonts w:eastAsia="Aptos" w:cs="Times New Roman"/>
          <w:bCs/>
        </w:rPr>
        <w:t xml:space="preserve"> other permissions and allocations in Ashfield have been considered to contribute to strategic need amounting to c20 ha.  This includes Castlewood Business Park, West of Fullwood and Harrier Park (see Appendix 1, Table A of the 2023 </w:t>
      </w:r>
      <w:r w:rsidR="00417551" w:rsidRPr="00417551">
        <w:rPr>
          <w:rFonts w:eastAsia="Aptos" w:cs="Times New Roman"/>
          <w:bCs/>
          <w:i/>
          <w:iCs/>
        </w:rPr>
        <w:t>Strategic Distribution and Logistics Sites Background Paper</w:t>
      </w:r>
      <w:r w:rsidR="00417551" w:rsidRPr="00417551">
        <w:rPr>
          <w:rFonts w:eastAsia="Aptos" w:cs="Times New Roman"/>
          <w:bCs/>
        </w:rPr>
        <w:t>).</w:t>
      </w:r>
    </w:p>
    <w:p w14:paraId="6D349127" w14:textId="274B6DB1" w:rsidR="00417551" w:rsidRPr="00417551" w:rsidRDefault="00934C6C" w:rsidP="00417551">
      <w:pPr>
        <w:ind w:left="720" w:hanging="720"/>
        <w:jc w:val="left"/>
        <w:rPr>
          <w:rFonts w:eastAsia="Aptos" w:cs="Times New Roman"/>
          <w:bCs/>
        </w:rPr>
      </w:pPr>
      <w:r>
        <w:rPr>
          <w:rFonts w:eastAsia="Aptos" w:cs="Times New Roman"/>
          <w:bCs/>
        </w:rPr>
        <w:t>4.1.35</w:t>
      </w:r>
      <w:r>
        <w:rPr>
          <w:rFonts w:eastAsia="Aptos" w:cs="Times New Roman"/>
          <w:bCs/>
        </w:rPr>
        <w:tab/>
      </w:r>
      <w:r w:rsidR="00417551" w:rsidRPr="00417551">
        <w:rPr>
          <w:rFonts w:eastAsia="Aptos" w:cs="Times New Roman"/>
          <w:bCs/>
        </w:rPr>
        <w:t xml:space="preserve">In Ashfield, data indicates that strategic sites make up part of the past delivery trends and, of the 81 ha of Local Plan supply, this is made up of approximately 27.5 ha for local needs and 53.5 ha for strategic B2/B8.  It is reasonable to consider that this past delivery pattern would continue over the remainder of the Plan period and that in fact, demand for logistics is likely to continue to exceed supply.  Ashfield could therefore seek to make a greater contribution to strategic needs given that there remains an ongoing undersupply for strategic sites across the HMA </w:t>
      </w:r>
      <w:proofErr w:type="gramStart"/>
      <w:r w:rsidR="00417551" w:rsidRPr="00417551">
        <w:rPr>
          <w:rFonts w:eastAsia="Aptos" w:cs="Times New Roman"/>
          <w:bCs/>
        </w:rPr>
        <w:t>as a whole based</w:t>
      </w:r>
      <w:proofErr w:type="gramEnd"/>
      <w:r w:rsidR="00417551" w:rsidRPr="00417551">
        <w:rPr>
          <w:rFonts w:eastAsia="Aptos" w:cs="Times New Roman"/>
          <w:bCs/>
        </w:rPr>
        <w:t xml:space="preserve"> on the latest data.</w:t>
      </w:r>
    </w:p>
    <w:p w14:paraId="54E0FCCD" w14:textId="4BAAC332" w:rsidR="00417551" w:rsidRDefault="00934C6C" w:rsidP="00934C6C">
      <w:pPr>
        <w:ind w:left="720" w:hanging="720"/>
        <w:jc w:val="left"/>
        <w:rPr>
          <w:rFonts w:eastAsia="Aptos" w:cs="Times New Roman"/>
          <w:bCs/>
        </w:rPr>
      </w:pPr>
      <w:r>
        <w:rPr>
          <w:rFonts w:eastAsia="Aptos" w:cs="Times New Roman"/>
          <w:bCs/>
        </w:rPr>
        <w:t>4.1.36</w:t>
      </w:r>
      <w:r>
        <w:rPr>
          <w:rFonts w:eastAsia="Aptos" w:cs="Times New Roman"/>
          <w:bCs/>
        </w:rPr>
        <w:tab/>
      </w:r>
      <w:r w:rsidR="00417551" w:rsidRPr="00417551">
        <w:rPr>
          <w:rFonts w:eastAsia="Aptos" w:cs="Times New Roman"/>
          <w:bCs/>
        </w:rPr>
        <w:t xml:space="preserve">Most recently, the Greater Nottingham Strategic Plan evidence base includes the </w:t>
      </w:r>
      <w:r w:rsidR="00417551" w:rsidRPr="00417551">
        <w:rPr>
          <w:rFonts w:eastAsia="Aptos" w:cs="Times New Roman"/>
          <w:bCs/>
          <w:i/>
          <w:iCs/>
        </w:rPr>
        <w:t>Employment Background Paper</w:t>
      </w:r>
      <w:r w:rsidR="00417551" w:rsidRPr="00417551">
        <w:rPr>
          <w:rFonts w:eastAsia="Aptos" w:cs="Times New Roman"/>
          <w:bCs/>
        </w:rPr>
        <w:t xml:space="preserve"> (September 2024)</w:t>
      </w:r>
      <w:r w:rsidR="00417551" w:rsidRPr="00417551">
        <w:rPr>
          <w:rFonts w:eastAsia="Aptos" w:cs="Times New Roman"/>
          <w:bCs/>
          <w:vertAlign w:val="superscript"/>
        </w:rPr>
        <w:footnoteReference w:id="6"/>
      </w:r>
      <w:r w:rsidR="00417551" w:rsidRPr="00417551">
        <w:rPr>
          <w:rFonts w:eastAsia="Aptos" w:cs="Times New Roman"/>
          <w:bCs/>
        </w:rPr>
        <w:t xml:space="preserve">.  This </w:t>
      </w:r>
      <w:r w:rsidR="00417551" w:rsidRPr="00417551">
        <w:rPr>
          <w:rFonts w:eastAsia="Aptos" w:cs="Times New Roman"/>
          <w:b/>
          <w:bCs/>
        </w:rPr>
        <w:t>continues to find a shortfall of 78 ha - 94 ha</w:t>
      </w:r>
      <w:r w:rsidR="00417551" w:rsidRPr="00417551">
        <w:rPr>
          <w:rFonts w:eastAsia="Aptos" w:cs="Times New Roman"/>
          <w:bCs/>
        </w:rPr>
        <w:t xml:space="preserve"> </w:t>
      </w:r>
      <w:r w:rsidR="00417551" w:rsidRPr="00417551">
        <w:rPr>
          <w:rFonts w:eastAsia="Aptos" w:cs="Times New Roman"/>
          <w:bCs/>
          <w:u w:val="single"/>
        </w:rPr>
        <w:t xml:space="preserve">even after including </w:t>
      </w:r>
      <w:r w:rsidR="00417551" w:rsidRPr="00417551">
        <w:rPr>
          <w:rFonts w:eastAsia="Aptos" w:cs="Times New Roman"/>
          <w:bCs/>
        </w:rPr>
        <w:t xml:space="preserve">the Ashfield Junction 27 M1 </w:t>
      </w:r>
      <w:proofErr w:type="gramStart"/>
      <w:r w:rsidR="00417551" w:rsidRPr="00417551">
        <w:rPr>
          <w:rFonts w:eastAsia="Aptos" w:cs="Times New Roman"/>
          <w:bCs/>
        </w:rPr>
        <w:t>North East</w:t>
      </w:r>
      <w:proofErr w:type="gramEnd"/>
      <w:r w:rsidR="00417551" w:rsidRPr="00417551">
        <w:rPr>
          <w:rFonts w:eastAsia="Aptos" w:cs="Times New Roman"/>
          <w:bCs/>
        </w:rPr>
        <w:t xml:space="preserve"> and South East allocations.  This again reinforces the importance of Ashfield District’s role in meeting a substantial share of the sub regional need.  The Employment Background Paper (September 2024) also noted that “</w:t>
      </w:r>
      <w:r w:rsidR="00417551" w:rsidRPr="00417551">
        <w:rPr>
          <w:rFonts w:eastAsia="Aptos" w:cs="Times New Roman"/>
          <w:bCs/>
          <w:i/>
          <w:iCs/>
        </w:rPr>
        <w:t>further sites may come forward in adjoining authorities including, for example, land adjoining East Midlands Airport”;</w:t>
      </w:r>
      <w:r w:rsidR="00417551" w:rsidRPr="00417551">
        <w:rPr>
          <w:rFonts w:eastAsia="Aptos" w:cs="Times New Roman"/>
          <w:bCs/>
        </w:rPr>
        <w:t xml:space="preserve"> however, this sits outside of the FEMA and without declaring an unmet need there is no expectation that adjoining FEMAs will contribute towards meeting the Nottinghamshire Core/Outer HMAs’ requirements. </w:t>
      </w:r>
    </w:p>
    <w:p w14:paraId="060BAFFD" w14:textId="77777777" w:rsidR="003A4387" w:rsidRDefault="003A4387" w:rsidP="00E76EC3"/>
    <w:p w14:paraId="4DDC75E5" w14:textId="31995A64" w:rsidR="00E76EC3" w:rsidRDefault="00E76EC3" w:rsidP="00E76EC3">
      <w:pPr>
        <w:rPr>
          <w:b/>
          <w:bCs/>
          <w:i/>
          <w:iCs/>
        </w:rPr>
      </w:pPr>
      <w:r w:rsidRPr="002A269E">
        <w:rPr>
          <w:b/>
          <w:bCs/>
          <w:i/>
          <w:iCs/>
        </w:rPr>
        <w:t>4.2 Are the employment site allocations detailed at Policy EM2 deliverable?</w:t>
      </w:r>
      <w:r w:rsidR="008E1600">
        <w:rPr>
          <w:b/>
          <w:bCs/>
          <w:i/>
          <w:iCs/>
        </w:rPr>
        <w:t xml:space="preserve"> </w:t>
      </w:r>
    </w:p>
    <w:p w14:paraId="3DD046C5" w14:textId="66FB10E6" w:rsidR="00934C6C" w:rsidRPr="00934C6C" w:rsidRDefault="00934C6C" w:rsidP="00E76EC3">
      <w:pPr>
        <w:rPr>
          <w:b/>
          <w:bCs/>
          <w:i/>
          <w:iCs/>
          <w:u w:val="single"/>
        </w:rPr>
      </w:pPr>
      <w:r>
        <w:rPr>
          <w:rFonts w:ascii="Helvetica" w:hAnsi="Helvetica" w:cs="Helvetica"/>
          <w:szCs w:val="24"/>
          <w:u w:val="single"/>
        </w:rPr>
        <w:t>Council’s response</w:t>
      </w:r>
    </w:p>
    <w:p w14:paraId="3CBD6592" w14:textId="766211D7" w:rsidR="005F7667" w:rsidRDefault="00F92F91" w:rsidP="00F92F91">
      <w:pPr>
        <w:ind w:left="720" w:hanging="720"/>
      </w:pPr>
      <w:r>
        <w:t>4.2.1</w:t>
      </w:r>
      <w:r>
        <w:tab/>
      </w:r>
      <w:r w:rsidR="00D30BF0">
        <w:t xml:space="preserve">Yes, the proposed employment site allocations are deliverable, as defined in the NPPF in relation to housing sites.  </w:t>
      </w:r>
      <w:r w:rsidR="003A6411">
        <w:t xml:space="preserve">Further detail on individual proposed allocations is provided in the </w:t>
      </w:r>
      <w:r w:rsidR="003B7F8F">
        <w:t>evidence base.</w:t>
      </w:r>
      <w:r w:rsidR="003A6411">
        <w:t xml:space="preserve"> </w:t>
      </w:r>
      <w:r w:rsidR="003B7F8F">
        <w:t xml:space="preserve"> </w:t>
      </w:r>
      <w:r w:rsidR="00C24E67">
        <w:t xml:space="preserve">There are 11 </w:t>
      </w:r>
      <w:r w:rsidR="009512AA">
        <w:t>proposed allocations in Policy EM2</w:t>
      </w:r>
      <w:r w:rsidR="00C24E67">
        <w:t xml:space="preserve">.  </w:t>
      </w:r>
      <w:r w:rsidR="003B7F8F">
        <w:t>Six of these are assessed in the Employment Land Needs Study (SEV.28).  The other f</w:t>
      </w:r>
      <w:r w:rsidR="00C24E67">
        <w:t xml:space="preserve">ive </w:t>
      </w:r>
      <w:r w:rsidR="003B7F8F">
        <w:t xml:space="preserve">were not </w:t>
      </w:r>
      <w:r w:rsidR="00C24E67">
        <w:t>reviewed in the Employment Land Needs Study (SEV.28) however those sites were assessed in the SHELAA</w:t>
      </w:r>
      <w:r w:rsidR="009512AA">
        <w:t xml:space="preserve"> (SEV.20)</w:t>
      </w:r>
      <w:r w:rsidR="00C24E67">
        <w:t xml:space="preserve">.  </w:t>
      </w:r>
    </w:p>
    <w:p w14:paraId="376B3105" w14:textId="77777777" w:rsidR="000E7380" w:rsidRPr="00FE0642" w:rsidRDefault="000E7380" w:rsidP="00E76EC3"/>
    <w:p w14:paraId="74BAF6CA" w14:textId="284005AE" w:rsidR="00E76EC3" w:rsidRPr="002A269E" w:rsidRDefault="00E76EC3" w:rsidP="00E76EC3">
      <w:pPr>
        <w:rPr>
          <w:b/>
          <w:bCs/>
          <w:i/>
          <w:iCs/>
        </w:rPr>
      </w:pPr>
      <w:r w:rsidRPr="002A269E">
        <w:rPr>
          <w:b/>
          <w:bCs/>
          <w:i/>
          <w:iCs/>
        </w:rPr>
        <w:t>4.3 Is the evidence base in the Employment Land Forecasting Study (SEV.30) and the</w:t>
      </w:r>
      <w:r w:rsidR="002A269E">
        <w:rPr>
          <w:b/>
          <w:bCs/>
          <w:i/>
          <w:iCs/>
        </w:rPr>
        <w:t xml:space="preserve"> </w:t>
      </w:r>
      <w:r w:rsidRPr="002A269E">
        <w:rPr>
          <w:b/>
          <w:bCs/>
          <w:i/>
          <w:iCs/>
        </w:rPr>
        <w:t>Employment Needs Study (SEV.28) sufficiently up to date? Are the forecasts still</w:t>
      </w:r>
      <w:r w:rsidR="002A269E">
        <w:rPr>
          <w:b/>
          <w:bCs/>
          <w:i/>
          <w:iCs/>
        </w:rPr>
        <w:t xml:space="preserve"> </w:t>
      </w:r>
      <w:r w:rsidRPr="002A269E">
        <w:rPr>
          <w:b/>
          <w:bCs/>
          <w:i/>
          <w:iCs/>
        </w:rPr>
        <w:t>robust?</w:t>
      </w:r>
    </w:p>
    <w:p w14:paraId="7C644230" w14:textId="4633D97C" w:rsidR="00D55D25" w:rsidRPr="00D55D25" w:rsidRDefault="00D55D25" w:rsidP="00D55D25">
      <w:pPr>
        <w:rPr>
          <w:b/>
          <w:bCs/>
          <w:i/>
          <w:iCs/>
          <w:u w:val="single"/>
        </w:rPr>
      </w:pPr>
      <w:r>
        <w:rPr>
          <w:rFonts w:ascii="Helvetica" w:hAnsi="Helvetica" w:cs="Helvetica"/>
          <w:szCs w:val="24"/>
          <w:u w:val="single"/>
        </w:rPr>
        <w:t>Council’s response</w:t>
      </w:r>
    </w:p>
    <w:p w14:paraId="343CA13D" w14:textId="08889FB9" w:rsidR="00B10545" w:rsidRDefault="00F92F91" w:rsidP="00F92F91">
      <w:pPr>
        <w:ind w:left="720" w:hanging="720"/>
        <w:jc w:val="left"/>
      </w:pPr>
      <w:r>
        <w:t>4.</w:t>
      </w:r>
      <w:proofErr w:type="gramStart"/>
      <w:r>
        <w:t>3.1</w:t>
      </w:r>
      <w:r>
        <w:tab/>
      </w:r>
      <w:proofErr w:type="spellStart"/>
      <w:r w:rsidR="00B10545">
        <w:t>Yes.The</w:t>
      </w:r>
      <w:proofErr w:type="spellEnd"/>
      <w:proofErr w:type="gramEnd"/>
      <w:r w:rsidR="00B10545">
        <w:t xml:space="preserve"> Employment Land Forecasting Study [ELFS, ref: SEV.30] was prepared by Lichfields in August 2015 and provided evidence on economic prospects and employment land forecasts for the Nottingham Core HMA and the Nottingham Outer HMA.  The study formed part of the evidence base for the emerging development plan documents of the eight commissioning authorities, helping to identify future employment land needs and guiding economic development over the period 2011 to 2033.  Job forecasts from Experian’s December 2014 quarterly release were employed.</w:t>
      </w:r>
    </w:p>
    <w:p w14:paraId="15026A71" w14:textId="574F142C" w:rsidR="00B10545" w:rsidRDefault="00F92F91" w:rsidP="00F92F91">
      <w:pPr>
        <w:ind w:left="720" w:hanging="720"/>
        <w:jc w:val="left"/>
      </w:pPr>
      <w:r>
        <w:t>4.3.2</w:t>
      </w:r>
      <w:r>
        <w:tab/>
      </w:r>
      <w:r w:rsidR="00B10545">
        <w:t>SEV.30 was updated and effectively superseded by SEV.28, which worked to a new plan period of 2018-2038 and used new forecasting data and completions/losses information.</w:t>
      </w:r>
    </w:p>
    <w:p w14:paraId="18BA3D41" w14:textId="1270113A" w:rsidR="00B10545" w:rsidRDefault="00F92F91" w:rsidP="00F92F91">
      <w:pPr>
        <w:ind w:left="720" w:hanging="720"/>
        <w:jc w:val="left"/>
      </w:pPr>
      <w:r>
        <w:t>4.3.3</w:t>
      </w:r>
      <w:r>
        <w:tab/>
      </w:r>
      <w:r w:rsidR="00B10545">
        <w:t xml:space="preserve">SEV.28 used a range of </w:t>
      </w:r>
      <w:r w:rsidR="00B10545">
        <w:rPr>
          <w:bCs/>
        </w:rPr>
        <w:t>scenarios</w:t>
      </w:r>
      <w:r w:rsidR="00B10545">
        <w:t xml:space="preserve"> to forecast employment land needs, including Experian’s March 2020 and September 2020 econometric job forecasts for the study area.  Experian’s UK Regional Planning Service [RPS] forecasting data modelling is widely used by local authorities and planning consultancies nationwide when modelling employment land needs.  Whilst there will be inevitably be fluctuations in the forecasts over time, Experian’s model has been developed and refined over many years to reflect new developments, improvements in data availability and enhancements to the model’s operation and functionality.</w:t>
      </w:r>
    </w:p>
    <w:p w14:paraId="3BCCB60A" w14:textId="7C94C51B" w:rsidR="00B10545" w:rsidRDefault="00F92F91" w:rsidP="00F92F91">
      <w:pPr>
        <w:ind w:left="720" w:hanging="720"/>
        <w:jc w:val="left"/>
      </w:pPr>
      <w:r>
        <w:t>4.3.4</w:t>
      </w:r>
      <w:r>
        <w:tab/>
      </w:r>
      <w:r w:rsidR="00B10545">
        <w:t xml:space="preserve">Data inputs into the RPS are taken from official sources, primarily the Office for National Statistics [ONS], utilising data </w:t>
      </w:r>
      <w:r w:rsidR="00B10545">
        <w:rPr>
          <w:bCs/>
        </w:rPr>
        <w:t>sources</w:t>
      </w:r>
      <w:r w:rsidR="00B10545">
        <w:t xml:space="preserve"> such as the UK National Accounts, BRES and ABI.  The model is an econometric model, meaning it is estimated based on historical data and the relationships between variables.  It uses an input-output methodology to understand the relationships between different components of the economy and therefore the inter-relatedness of elements of the economy. </w:t>
      </w:r>
    </w:p>
    <w:p w14:paraId="377065CA" w14:textId="5A9384DE" w:rsidR="00B10545" w:rsidRDefault="00F92F91" w:rsidP="00F92F91">
      <w:pPr>
        <w:ind w:left="720" w:hanging="720"/>
        <w:jc w:val="left"/>
      </w:pPr>
      <w:r>
        <w:t>4.3.5</w:t>
      </w:r>
      <w:r>
        <w:tab/>
      </w:r>
      <w:r w:rsidR="00B10545">
        <w:t xml:space="preserve">The local authority model is run separately for the local authorities in each region and takes the regional forecast as given.  Accordingly, local forecasts are constrained to the regional forecasts of the parent region.  </w:t>
      </w:r>
      <w:r w:rsidR="00B10545">
        <w:rPr>
          <w:bCs/>
        </w:rPr>
        <w:t>Experian’s</w:t>
      </w:r>
      <w:r w:rsidR="00B10545">
        <w:t xml:space="preserve"> local model is based on the </w:t>
      </w:r>
      <w:r w:rsidR="00B10545">
        <w:lastRenderedPageBreak/>
        <w:t xml:space="preserve">resolution of demand and supply for </w:t>
      </w:r>
      <w:proofErr w:type="gramStart"/>
      <w:r w:rsidR="00B10545">
        <w:t>labour</w:t>
      </w:r>
      <w:proofErr w:type="gramEnd"/>
      <w:r w:rsidR="00B10545">
        <w:t xml:space="preserve"> and it takes into account commuting between local areas within a region and across the regional boundary.</w:t>
      </w:r>
    </w:p>
    <w:p w14:paraId="6DFDCD26" w14:textId="73C64C92" w:rsidR="00B10545" w:rsidRDefault="00F92F91" w:rsidP="00F92F91">
      <w:pPr>
        <w:ind w:left="720" w:hanging="720"/>
        <w:jc w:val="left"/>
      </w:pPr>
      <w:r>
        <w:t>4.3.6</w:t>
      </w:r>
      <w:r>
        <w:tab/>
      </w:r>
      <w:r w:rsidR="00B10545">
        <w:t>A key element of the model involves estimating the demand for labour.  The model assumes that demand for jobs at the local level is fastest in those industries which are performing best at the regional level.  Total demand for jobs at the local level also depends on its industrial structure.  Those local areas which have a more than proportionate share of the best performing industries will perform best overall.</w:t>
      </w:r>
    </w:p>
    <w:p w14:paraId="3CB411AF" w14:textId="406A09F9" w:rsidR="00B10545" w:rsidRDefault="00F92F91" w:rsidP="00F92F91">
      <w:pPr>
        <w:ind w:left="720" w:hanging="720"/>
        <w:jc w:val="left"/>
      </w:pPr>
      <w:r>
        <w:t>4.3.7</w:t>
      </w:r>
      <w:r>
        <w:tab/>
      </w:r>
      <w:r w:rsidR="00B10545">
        <w:t>SEV.28 was produced during the Covid pandemic (Winter 2020/Spring 2021), when there was very considerable economic uncertainty.  Experian’s Data Guide for September 2020 (Appendix 8 to SEV.28) states the following:</w:t>
      </w:r>
    </w:p>
    <w:p w14:paraId="6317292F" w14:textId="77777777" w:rsidR="00B10545" w:rsidRDefault="00B10545" w:rsidP="00F92F91">
      <w:pPr>
        <w:ind w:left="720"/>
        <w:jc w:val="left"/>
        <w:rPr>
          <w:i/>
          <w:iCs/>
        </w:rPr>
      </w:pPr>
      <w:r>
        <w:rPr>
          <w:i/>
          <w:iCs/>
        </w:rPr>
        <w:t xml:space="preserve">“Lockdown measures have been easing in recent months. Since August 1st many leisure settings have reopened. Social distancing has been eased, and where it is not possible to maintain two metres, one metre plus is to be kept instead. However, new restrictions introduced could see suppression measures intensify.  Whilst considerably looser than the measures introduced in March, it is yet unclear how much this will drag on growth. UK output could rebound more durably if measures follow a risk -mitigation strategy surrounding Covid-19, and more quickly than in our base case if consumer confidence responds positively, facilitating a greater than projected rise in household spending.” </w:t>
      </w:r>
      <w:r>
        <w:t>[page 14]</w:t>
      </w:r>
      <w:r>
        <w:rPr>
          <w:i/>
          <w:iCs/>
        </w:rPr>
        <w:t>.</w:t>
      </w:r>
    </w:p>
    <w:p w14:paraId="0A93DC46" w14:textId="1FC14FE2" w:rsidR="00B10545" w:rsidRDefault="00F92F91" w:rsidP="00B10545">
      <w:pPr>
        <w:pStyle w:val="Heading4"/>
      </w:pPr>
      <w:r w:rsidRPr="00F92F91">
        <w:rPr>
          <w:i w:val="0"/>
          <w:iCs w:val="0"/>
        </w:rPr>
        <w:t>4.3.8</w:t>
      </w:r>
      <w:r>
        <w:tab/>
      </w:r>
      <w:r w:rsidR="00B10545">
        <w:t>March 2020 and September 2020 RPS data</w:t>
      </w:r>
    </w:p>
    <w:p w14:paraId="657627FE" w14:textId="77777777" w:rsidR="00B10545" w:rsidRDefault="00B10545" w:rsidP="00F92F91">
      <w:pPr>
        <w:ind w:left="720"/>
        <w:jc w:val="left"/>
      </w:pPr>
      <w:r>
        <w:t>As set out in SEV.28 (paragraph 8.11), the study used the most recent macro-economic forecasts for the study area released by Experian at the end of September 2020.  The forecasts assumed that the recovery would follow a delayed-V shape, with a substantial drop in output in Q2 2020 as economic activity was highly restricted due to lockdown measures.</w:t>
      </w:r>
    </w:p>
    <w:p w14:paraId="00E92ED1" w14:textId="09C44247" w:rsidR="00B10545" w:rsidRDefault="00F92F91" w:rsidP="00F92F91">
      <w:pPr>
        <w:ind w:left="720" w:hanging="720"/>
        <w:jc w:val="left"/>
      </w:pPr>
      <w:r>
        <w:t>4.3.9</w:t>
      </w:r>
      <w:r>
        <w:tab/>
      </w:r>
      <w:r w:rsidR="00B10545">
        <w:t>As a sensitivity, a further scenario was run that mirrored the approach taken for the baseline scenario using the later forecasts, but instead of using Experian’s September 2020 model run, it used the equivalent from 6 months earlier.  This was pre-Pandemic and factored in a more optimistic economic outlook, not just over the short term to 2024, but over the whole of the Plan period to 2038.</w:t>
      </w:r>
    </w:p>
    <w:p w14:paraId="0CB5BEDA" w14:textId="763C5FBE" w:rsidR="00B10545" w:rsidRDefault="00F92F91" w:rsidP="00F92F91">
      <w:pPr>
        <w:ind w:left="720" w:hanging="720"/>
        <w:jc w:val="left"/>
      </w:pPr>
      <w:r>
        <w:t>4.</w:t>
      </w:r>
      <w:r w:rsidR="0064290E">
        <w:t>3</w:t>
      </w:r>
      <w:r>
        <w:t>.10</w:t>
      </w:r>
      <w:r>
        <w:tab/>
      </w:r>
      <w:r w:rsidR="00B10545">
        <w:t xml:space="preserve">A comparison between the two sets of data is presented in </w:t>
      </w:r>
      <w:r w:rsidR="00B10545">
        <w:fldChar w:fldCharType="begin"/>
      </w:r>
      <w:r w:rsidR="00B10545">
        <w:instrText xml:space="preserve"> REF _Ref52868217 \h </w:instrText>
      </w:r>
      <w:r w:rsidR="00B10545">
        <w:fldChar w:fldCharType="separate"/>
      </w:r>
      <w:r w:rsidR="00B10545">
        <w:t>Table 1.</w:t>
      </w:r>
      <w:r w:rsidR="00B10545">
        <w:rPr>
          <w:noProof/>
        </w:rPr>
        <w:t>2</w:t>
      </w:r>
      <w:r w:rsidR="00B10545">
        <w:fldChar w:fldCharType="end"/>
      </w:r>
      <w:r w:rsidR="00B10545">
        <w:t>.  It is apparent that for every district, the March 2020 Experian econometric projections forecast a much higher level of growth, equal to 9,100 additional jobs across the Core HMA and 4,100 jobs across the Outer HMA (including +1,800 additional jobs for Ashfield).</w:t>
      </w:r>
    </w:p>
    <w:p w14:paraId="7A7CB286" w14:textId="77777777" w:rsidR="00F92F91" w:rsidRDefault="00F92F91" w:rsidP="00F92F91">
      <w:pPr>
        <w:ind w:left="720" w:hanging="720"/>
        <w:jc w:val="left"/>
      </w:pPr>
    </w:p>
    <w:p w14:paraId="33676A25" w14:textId="77777777" w:rsidR="00B10545" w:rsidRDefault="00B10545" w:rsidP="00B10545">
      <w:pPr>
        <w:pStyle w:val="ReportCaption"/>
        <w:keepLines/>
        <w:ind w:left="0"/>
      </w:pPr>
      <w:bookmarkStart w:id="3" w:name="_Ref52868217"/>
      <w:bookmarkStart w:id="4" w:name="_Hlk52960905"/>
      <w:r>
        <w:t>Table 1.</w:t>
      </w:r>
      <w:r>
        <w:fldChar w:fldCharType="begin"/>
      </w:r>
      <w:r>
        <w:rPr>
          <w:noProof/>
        </w:rPr>
        <w:instrText xml:space="preserve"> SEQ Table \* ARABIC \s 1 </w:instrText>
      </w:r>
      <w:r>
        <w:fldChar w:fldCharType="separate"/>
      </w:r>
      <w:r>
        <w:rPr>
          <w:noProof/>
        </w:rPr>
        <w:t>2</w:t>
      </w:r>
      <w:r>
        <w:fldChar w:fldCharType="end"/>
      </w:r>
      <w:bookmarkEnd w:id="3"/>
      <w:r>
        <w:t xml:space="preserve"> </w:t>
      </w:r>
      <w:r>
        <w:tab/>
        <w:t>Workforce Jobs Growth for the Nottingham Core/Outer HMAs and comparator areas</w:t>
      </w:r>
    </w:p>
    <w:tbl>
      <w:tblPr>
        <w:tblStyle w:val="NLPColour"/>
        <w:tblW w:w="8505" w:type="dxa"/>
        <w:tblInd w:w="137" w:type="dxa"/>
        <w:tblLayout w:type="fixed"/>
        <w:tblLook w:val="04A0" w:firstRow="1" w:lastRow="0" w:firstColumn="1" w:lastColumn="0" w:noHBand="0" w:noVBand="1"/>
      </w:tblPr>
      <w:tblGrid>
        <w:gridCol w:w="2973"/>
        <w:gridCol w:w="1381"/>
        <w:gridCol w:w="1385"/>
        <w:gridCol w:w="1383"/>
        <w:gridCol w:w="1383"/>
      </w:tblGrid>
      <w:tr w:rsidR="00B10545" w14:paraId="5ADE344B" w14:textId="77777777" w:rsidTr="00B10545">
        <w:trPr>
          <w:cnfStyle w:val="100000000000" w:firstRow="1" w:lastRow="0" w:firstColumn="0" w:lastColumn="0" w:oddVBand="0" w:evenVBand="0" w:oddHBand="0" w:evenHBand="0" w:firstRowFirstColumn="0" w:firstRowLastColumn="0" w:lastRowFirstColumn="0" w:lastRowLastColumn="0"/>
        </w:trPr>
        <w:tc>
          <w:tcPr>
            <w:tcW w:w="1748" w:type="pct"/>
            <w:vMerge w:val="restart"/>
            <w:tcBorders>
              <w:top w:val="single" w:sz="4" w:space="0" w:color="auto"/>
              <w:left w:val="single" w:sz="4" w:space="0" w:color="auto"/>
              <w:bottom w:val="single" w:sz="4" w:space="0" w:color="auto"/>
              <w:right w:val="single" w:sz="4" w:space="0" w:color="auto"/>
            </w:tcBorders>
            <w:shd w:val="clear" w:color="auto" w:fill="E6E6E6" w:themeFill="background1" w:themeFillShade="E6"/>
            <w:vAlign w:val="center"/>
          </w:tcPr>
          <w:p w14:paraId="215FCE38" w14:textId="77777777" w:rsidR="00B10545" w:rsidRDefault="00B10545">
            <w:pPr>
              <w:pStyle w:val="TableStyle"/>
              <w:keepNext/>
              <w:keepLines/>
              <w:rPr>
                <w:sz w:val="18"/>
                <w:szCs w:val="18"/>
              </w:rPr>
            </w:pPr>
          </w:p>
        </w:tc>
        <w:tc>
          <w:tcPr>
            <w:tcW w:w="1626" w:type="pct"/>
            <w:gridSpan w:val="2"/>
            <w:tcBorders>
              <w:top w:val="single" w:sz="4" w:space="0" w:color="auto"/>
              <w:left w:val="single" w:sz="4" w:space="0" w:color="auto"/>
              <w:bottom w:val="single" w:sz="4" w:space="0" w:color="auto"/>
              <w:right w:val="single" w:sz="4" w:space="0" w:color="auto"/>
            </w:tcBorders>
            <w:shd w:val="clear" w:color="auto" w:fill="E6E6E6" w:themeFill="background1" w:themeFillShade="E6"/>
            <w:vAlign w:val="center"/>
            <w:hideMark/>
          </w:tcPr>
          <w:p w14:paraId="73770216" w14:textId="77777777" w:rsidR="00B10545" w:rsidRDefault="00B10545">
            <w:pPr>
              <w:keepNext/>
              <w:keepLines/>
              <w:rPr>
                <w:rFonts w:cs="Arial"/>
                <w:b/>
                <w:sz w:val="18"/>
                <w:szCs w:val="18"/>
              </w:rPr>
            </w:pPr>
            <w:r>
              <w:rPr>
                <w:rFonts w:cs="Arial"/>
                <w:b/>
                <w:sz w:val="18"/>
                <w:szCs w:val="18"/>
              </w:rPr>
              <w:t>Experian September 2020 Projections 2018-2038</w:t>
            </w:r>
          </w:p>
        </w:tc>
        <w:tc>
          <w:tcPr>
            <w:tcW w:w="1626" w:type="pct"/>
            <w:gridSpan w:val="2"/>
            <w:tcBorders>
              <w:top w:val="single" w:sz="4" w:space="0" w:color="auto"/>
              <w:left w:val="single" w:sz="4" w:space="0" w:color="auto"/>
              <w:bottom w:val="single" w:sz="4" w:space="0" w:color="auto"/>
              <w:right w:val="single" w:sz="4" w:space="0" w:color="auto"/>
            </w:tcBorders>
            <w:shd w:val="clear" w:color="auto" w:fill="E6E6E6" w:themeFill="background1" w:themeFillShade="E6"/>
            <w:vAlign w:val="center"/>
            <w:hideMark/>
          </w:tcPr>
          <w:p w14:paraId="3797EFFB" w14:textId="77777777" w:rsidR="00B10545" w:rsidRDefault="00B10545">
            <w:pPr>
              <w:keepNext/>
              <w:keepLines/>
              <w:rPr>
                <w:rFonts w:cs="Arial"/>
                <w:b/>
                <w:sz w:val="18"/>
                <w:szCs w:val="18"/>
              </w:rPr>
            </w:pPr>
            <w:r>
              <w:rPr>
                <w:rFonts w:cs="Arial"/>
                <w:b/>
                <w:sz w:val="18"/>
                <w:szCs w:val="18"/>
              </w:rPr>
              <w:t>Experian March 2020 Projections 2018-2038</w:t>
            </w:r>
          </w:p>
        </w:tc>
      </w:tr>
      <w:tr w:rsidR="00B10545" w14:paraId="77497609" w14:textId="77777777" w:rsidTr="00B10545">
        <w:tc>
          <w:tcPr>
            <w:tcW w:w="2973" w:type="dxa"/>
            <w:vMerge/>
            <w:tcBorders>
              <w:top w:val="single" w:sz="4" w:space="0" w:color="auto"/>
              <w:left w:val="single" w:sz="4" w:space="0" w:color="auto"/>
              <w:bottom w:val="single" w:sz="4" w:space="0" w:color="auto"/>
              <w:right w:val="single" w:sz="4" w:space="0" w:color="auto"/>
            </w:tcBorders>
            <w:noWrap w:val="0"/>
            <w:vAlign w:val="center"/>
            <w:hideMark/>
          </w:tcPr>
          <w:p w14:paraId="1988FF5C" w14:textId="77777777" w:rsidR="00B10545" w:rsidRDefault="00B10545">
            <w:pPr>
              <w:rPr>
                <w:rFonts w:ascii="Georgia" w:hAnsi="Georgia"/>
                <w:sz w:val="18"/>
                <w:szCs w:val="18"/>
              </w:rPr>
            </w:pPr>
          </w:p>
        </w:tc>
        <w:tc>
          <w:tcPr>
            <w:tcW w:w="812" w:type="pct"/>
            <w:tcBorders>
              <w:top w:val="single" w:sz="4" w:space="0" w:color="auto"/>
              <w:left w:val="single" w:sz="4" w:space="0" w:color="auto"/>
              <w:bottom w:val="single" w:sz="4" w:space="0" w:color="auto"/>
              <w:right w:val="single" w:sz="4" w:space="0" w:color="auto"/>
            </w:tcBorders>
            <w:shd w:val="clear" w:color="auto" w:fill="E6E6E6" w:themeFill="background1" w:themeFillShade="E6"/>
            <w:vAlign w:val="center"/>
            <w:hideMark/>
          </w:tcPr>
          <w:p w14:paraId="37B9254B" w14:textId="77777777" w:rsidR="00B10545" w:rsidRDefault="00B10545">
            <w:pPr>
              <w:keepNext/>
              <w:keepLines/>
              <w:rPr>
                <w:sz w:val="18"/>
                <w:szCs w:val="18"/>
              </w:rPr>
            </w:pPr>
            <w:r>
              <w:rPr>
                <w:sz w:val="18"/>
                <w:szCs w:val="18"/>
              </w:rPr>
              <w:t>Net Jobs Growth</w:t>
            </w:r>
          </w:p>
        </w:tc>
        <w:tc>
          <w:tcPr>
            <w:tcW w:w="814" w:type="pct"/>
            <w:tcBorders>
              <w:top w:val="single" w:sz="4" w:space="0" w:color="auto"/>
              <w:left w:val="single" w:sz="4" w:space="0" w:color="auto"/>
              <w:bottom w:val="single" w:sz="4" w:space="0" w:color="auto"/>
              <w:right w:val="single" w:sz="4" w:space="0" w:color="auto"/>
            </w:tcBorders>
            <w:shd w:val="clear" w:color="auto" w:fill="E6E6E6" w:themeFill="background1" w:themeFillShade="E6"/>
            <w:vAlign w:val="center"/>
            <w:hideMark/>
          </w:tcPr>
          <w:p w14:paraId="54D882EA" w14:textId="77777777" w:rsidR="00B10545" w:rsidRDefault="00B10545">
            <w:pPr>
              <w:keepNext/>
              <w:keepLines/>
              <w:rPr>
                <w:sz w:val="18"/>
                <w:szCs w:val="18"/>
              </w:rPr>
            </w:pPr>
            <w:r>
              <w:rPr>
                <w:sz w:val="18"/>
                <w:szCs w:val="18"/>
              </w:rPr>
              <w:t>CAGR</w:t>
            </w:r>
          </w:p>
        </w:tc>
        <w:tc>
          <w:tcPr>
            <w:tcW w:w="813" w:type="pct"/>
            <w:tcBorders>
              <w:top w:val="single" w:sz="4" w:space="0" w:color="auto"/>
              <w:left w:val="single" w:sz="4" w:space="0" w:color="auto"/>
              <w:bottom w:val="single" w:sz="4" w:space="0" w:color="auto"/>
              <w:right w:val="single" w:sz="4" w:space="0" w:color="auto"/>
            </w:tcBorders>
            <w:shd w:val="clear" w:color="auto" w:fill="E6E6E6" w:themeFill="background1" w:themeFillShade="E6"/>
            <w:vAlign w:val="center"/>
            <w:hideMark/>
          </w:tcPr>
          <w:p w14:paraId="11232E97" w14:textId="77777777" w:rsidR="00B10545" w:rsidRDefault="00B10545">
            <w:pPr>
              <w:keepNext/>
              <w:keepLines/>
              <w:rPr>
                <w:sz w:val="18"/>
                <w:szCs w:val="18"/>
              </w:rPr>
            </w:pPr>
            <w:r>
              <w:rPr>
                <w:sz w:val="18"/>
                <w:szCs w:val="18"/>
              </w:rPr>
              <w:t>Net Jobs Growth</w:t>
            </w:r>
          </w:p>
        </w:tc>
        <w:tc>
          <w:tcPr>
            <w:tcW w:w="813" w:type="pct"/>
            <w:tcBorders>
              <w:top w:val="single" w:sz="4" w:space="0" w:color="auto"/>
              <w:left w:val="single" w:sz="4" w:space="0" w:color="auto"/>
              <w:bottom w:val="single" w:sz="4" w:space="0" w:color="auto"/>
              <w:right w:val="single" w:sz="4" w:space="0" w:color="auto"/>
            </w:tcBorders>
            <w:shd w:val="clear" w:color="auto" w:fill="E6E6E6" w:themeFill="background1" w:themeFillShade="E6"/>
            <w:vAlign w:val="center"/>
            <w:hideMark/>
          </w:tcPr>
          <w:p w14:paraId="0DBF19B2" w14:textId="77777777" w:rsidR="00B10545" w:rsidRDefault="00B10545">
            <w:pPr>
              <w:keepNext/>
              <w:keepLines/>
              <w:rPr>
                <w:sz w:val="18"/>
                <w:szCs w:val="18"/>
              </w:rPr>
            </w:pPr>
            <w:r>
              <w:rPr>
                <w:sz w:val="18"/>
                <w:szCs w:val="18"/>
              </w:rPr>
              <w:t>CAGR</w:t>
            </w:r>
          </w:p>
        </w:tc>
      </w:tr>
      <w:tr w:rsidR="00B10545" w14:paraId="3BAB1D01" w14:textId="77777777" w:rsidTr="00B10545">
        <w:tc>
          <w:tcPr>
            <w:tcW w:w="1748" w:type="pct"/>
            <w:tcBorders>
              <w:top w:val="single" w:sz="4" w:space="0" w:color="auto"/>
              <w:left w:val="single" w:sz="4" w:space="0" w:color="auto"/>
              <w:bottom w:val="single" w:sz="4" w:space="0" w:color="auto"/>
              <w:right w:val="single" w:sz="4" w:space="0" w:color="auto"/>
            </w:tcBorders>
            <w:vAlign w:val="center"/>
            <w:hideMark/>
          </w:tcPr>
          <w:p w14:paraId="58423632" w14:textId="77777777" w:rsidR="00B10545" w:rsidRDefault="00B10545">
            <w:pPr>
              <w:keepNext/>
              <w:keepLines/>
              <w:rPr>
                <w:b/>
                <w:sz w:val="18"/>
                <w:szCs w:val="18"/>
              </w:rPr>
            </w:pPr>
            <w:r>
              <w:rPr>
                <w:b/>
                <w:sz w:val="18"/>
                <w:szCs w:val="18"/>
              </w:rPr>
              <w:lastRenderedPageBreak/>
              <w:t>Nottingham Core HMA TOTAL</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7F2610F9" w14:textId="77777777" w:rsidR="00B10545" w:rsidRDefault="00B10545">
            <w:pPr>
              <w:keepNext/>
              <w:keepLines/>
              <w:rPr>
                <w:b/>
                <w:sz w:val="18"/>
                <w:szCs w:val="18"/>
              </w:rPr>
            </w:pPr>
            <w:r>
              <w:rPr>
                <w:b/>
                <w:sz w:val="18"/>
                <w:szCs w:val="18"/>
              </w:rPr>
              <w:t>49,600</w:t>
            </w:r>
          </w:p>
        </w:tc>
        <w:tc>
          <w:tcPr>
            <w:tcW w:w="814"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7266277A" w14:textId="77777777" w:rsidR="00B10545" w:rsidRDefault="00B10545">
            <w:pPr>
              <w:keepNext/>
              <w:keepLines/>
              <w:rPr>
                <w:b/>
                <w:sz w:val="18"/>
                <w:szCs w:val="18"/>
              </w:rPr>
            </w:pPr>
            <w:r>
              <w:rPr>
                <w:b/>
                <w:sz w:val="18"/>
                <w:szCs w:val="18"/>
              </w:rPr>
              <w:t>0.596%</w:t>
            </w:r>
          </w:p>
        </w:tc>
        <w:tc>
          <w:tcPr>
            <w:tcW w:w="813"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54055972" w14:textId="77777777" w:rsidR="00B10545" w:rsidRDefault="00B10545">
            <w:pPr>
              <w:keepNext/>
              <w:keepLines/>
              <w:rPr>
                <w:b/>
                <w:sz w:val="18"/>
                <w:szCs w:val="18"/>
              </w:rPr>
            </w:pPr>
            <w:r>
              <w:rPr>
                <w:b/>
                <w:sz w:val="18"/>
                <w:szCs w:val="18"/>
              </w:rPr>
              <w:t>58,700</w:t>
            </w:r>
          </w:p>
        </w:tc>
        <w:tc>
          <w:tcPr>
            <w:tcW w:w="813"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6C455A6E" w14:textId="77777777" w:rsidR="00B10545" w:rsidRDefault="00B10545">
            <w:pPr>
              <w:keepNext/>
              <w:keepLines/>
              <w:rPr>
                <w:b/>
                <w:sz w:val="18"/>
                <w:szCs w:val="18"/>
              </w:rPr>
            </w:pPr>
            <w:r>
              <w:rPr>
                <w:b/>
                <w:sz w:val="18"/>
                <w:szCs w:val="18"/>
              </w:rPr>
              <w:t>0.698%</w:t>
            </w:r>
          </w:p>
        </w:tc>
      </w:tr>
      <w:tr w:rsidR="00B10545" w14:paraId="001B4CCB" w14:textId="77777777" w:rsidTr="00B10545">
        <w:tc>
          <w:tcPr>
            <w:tcW w:w="1748" w:type="pct"/>
            <w:tcBorders>
              <w:top w:val="single" w:sz="4" w:space="0" w:color="auto"/>
              <w:left w:val="single" w:sz="4" w:space="0" w:color="auto"/>
              <w:bottom w:val="single" w:sz="4" w:space="0" w:color="auto"/>
              <w:right w:val="single" w:sz="4" w:space="0" w:color="auto"/>
            </w:tcBorders>
            <w:vAlign w:val="center"/>
            <w:hideMark/>
          </w:tcPr>
          <w:p w14:paraId="2E8490B2" w14:textId="77777777" w:rsidR="00B10545" w:rsidRDefault="00B10545">
            <w:pPr>
              <w:keepNext/>
              <w:keepLines/>
              <w:rPr>
                <w:sz w:val="18"/>
                <w:szCs w:val="18"/>
              </w:rPr>
            </w:pPr>
            <w:r>
              <w:rPr>
                <w:sz w:val="18"/>
                <w:szCs w:val="18"/>
              </w:rPr>
              <w:t>Ashfield District</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AFD4A2" w14:textId="77777777" w:rsidR="00B10545" w:rsidRDefault="00B10545">
            <w:pPr>
              <w:keepNext/>
              <w:keepLines/>
              <w:rPr>
                <w:sz w:val="18"/>
                <w:szCs w:val="18"/>
              </w:rPr>
            </w:pPr>
            <w:r>
              <w:rPr>
                <w:sz w:val="18"/>
                <w:szCs w:val="18"/>
              </w:rPr>
              <w:t>5,500</w:t>
            </w:r>
          </w:p>
        </w:tc>
        <w:tc>
          <w:tcPr>
            <w:tcW w:w="814"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2A7D07C5" w14:textId="77777777" w:rsidR="00B10545" w:rsidRDefault="00B10545">
            <w:pPr>
              <w:keepNext/>
              <w:keepLines/>
              <w:rPr>
                <w:sz w:val="18"/>
                <w:szCs w:val="18"/>
              </w:rPr>
            </w:pPr>
            <w:r>
              <w:rPr>
                <w:sz w:val="18"/>
                <w:szCs w:val="18"/>
              </w:rPr>
              <w:t>0.447%</w:t>
            </w:r>
          </w:p>
        </w:tc>
        <w:tc>
          <w:tcPr>
            <w:tcW w:w="81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9FDDE5" w14:textId="77777777" w:rsidR="00B10545" w:rsidRDefault="00B10545">
            <w:pPr>
              <w:keepNext/>
              <w:keepLines/>
              <w:rPr>
                <w:sz w:val="18"/>
                <w:szCs w:val="18"/>
              </w:rPr>
            </w:pPr>
            <w:r>
              <w:rPr>
                <w:sz w:val="18"/>
                <w:szCs w:val="18"/>
              </w:rPr>
              <w:t>7,300</w:t>
            </w:r>
          </w:p>
        </w:tc>
        <w:tc>
          <w:tcPr>
            <w:tcW w:w="813"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25105F0D" w14:textId="77777777" w:rsidR="00B10545" w:rsidRDefault="00B10545">
            <w:pPr>
              <w:keepNext/>
              <w:keepLines/>
              <w:rPr>
                <w:sz w:val="18"/>
                <w:szCs w:val="18"/>
              </w:rPr>
            </w:pPr>
            <w:r>
              <w:rPr>
                <w:sz w:val="18"/>
                <w:szCs w:val="18"/>
              </w:rPr>
              <w:t>0.585%</w:t>
            </w:r>
          </w:p>
        </w:tc>
      </w:tr>
      <w:tr w:rsidR="00B10545" w14:paraId="242F2E9A" w14:textId="77777777" w:rsidTr="00B10545">
        <w:tc>
          <w:tcPr>
            <w:tcW w:w="1748" w:type="pct"/>
            <w:tcBorders>
              <w:top w:val="single" w:sz="4" w:space="0" w:color="auto"/>
              <w:left w:val="single" w:sz="4" w:space="0" w:color="auto"/>
              <w:bottom w:val="single" w:sz="4" w:space="0" w:color="auto"/>
              <w:right w:val="single" w:sz="4" w:space="0" w:color="auto"/>
            </w:tcBorders>
            <w:vAlign w:val="center"/>
            <w:hideMark/>
          </w:tcPr>
          <w:p w14:paraId="325DBDC5" w14:textId="77777777" w:rsidR="00B10545" w:rsidRDefault="00B10545">
            <w:pPr>
              <w:keepNext/>
              <w:keepLines/>
              <w:rPr>
                <w:sz w:val="18"/>
                <w:szCs w:val="18"/>
              </w:rPr>
            </w:pPr>
            <w:r>
              <w:rPr>
                <w:sz w:val="18"/>
                <w:szCs w:val="18"/>
              </w:rPr>
              <w:t>Mansfield District</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4606FC" w14:textId="77777777" w:rsidR="00B10545" w:rsidRDefault="00B10545">
            <w:pPr>
              <w:keepNext/>
              <w:keepLines/>
              <w:rPr>
                <w:sz w:val="18"/>
                <w:szCs w:val="18"/>
              </w:rPr>
            </w:pPr>
            <w:r>
              <w:rPr>
                <w:sz w:val="18"/>
                <w:szCs w:val="18"/>
              </w:rPr>
              <w:t>3,400</w:t>
            </w:r>
          </w:p>
        </w:tc>
        <w:tc>
          <w:tcPr>
            <w:tcW w:w="814"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0686C04D" w14:textId="77777777" w:rsidR="00B10545" w:rsidRDefault="00B10545">
            <w:pPr>
              <w:keepNext/>
              <w:keepLines/>
              <w:rPr>
                <w:sz w:val="18"/>
                <w:szCs w:val="18"/>
              </w:rPr>
            </w:pPr>
            <w:r>
              <w:rPr>
                <w:sz w:val="18"/>
                <w:szCs w:val="18"/>
              </w:rPr>
              <w:t>0.377%</w:t>
            </w:r>
          </w:p>
        </w:tc>
        <w:tc>
          <w:tcPr>
            <w:tcW w:w="81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8BF9C6" w14:textId="77777777" w:rsidR="00B10545" w:rsidRDefault="00B10545">
            <w:pPr>
              <w:keepNext/>
              <w:keepLines/>
              <w:rPr>
                <w:sz w:val="18"/>
                <w:szCs w:val="18"/>
              </w:rPr>
            </w:pPr>
            <w:r>
              <w:rPr>
                <w:sz w:val="18"/>
                <w:szCs w:val="18"/>
              </w:rPr>
              <w:t>4,500</w:t>
            </w:r>
          </w:p>
        </w:tc>
        <w:tc>
          <w:tcPr>
            <w:tcW w:w="813"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66FA1CC9" w14:textId="77777777" w:rsidR="00B10545" w:rsidRDefault="00B10545">
            <w:pPr>
              <w:keepNext/>
              <w:keepLines/>
              <w:rPr>
                <w:sz w:val="18"/>
                <w:szCs w:val="18"/>
              </w:rPr>
            </w:pPr>
            <w:r>
              <w:rPr>
                <w:sz w:val="18"/>
                <w:szCs w:val="18"/>
              </w:rPr>
              <w:t>0.492%</w:t>
            </w:r>
          </w:p>
        </w:tc>
      </w:tr>
      <w:tr w:rsidR="00B10545" w14:paraId="7935F5CE" w14:textId="77777777" w:rsidTr="00B10545">
        <w:tc>
          <w:tcPr>
            <w:tcW w:w="1748" w:type="pct"/>
            <w:tcBorders>
              <w:top w:val="single" w:sz="4" w:space="0" w:color="auto"/>
              <w:left w:val="single" w:sz="4" w:space="0" w:color="auto"/>
              <w:bottom w:val="single" w:sz="4" w:space="0" w:color="auto"/>
              <w:right w:val="single" w:sz="4" w:space="0" w:color="auto"/>
            </w:tcBorders>
            <w:vAlign w:val="center"/>
            <w:hideMark/>
          </w:tcPr>
          <w:p w14:paraId="411B8CC8" w14:textId="77777777" w:rsidR="00B10545" w:rsidRDefault="00B10545">
            <w:pPr>
              <w:keepNext/>
              <w:keepLines/>
              <w:rPr>
                <w:sz w:val="18"/>
                <w:szCs w:val="18"/>
              </w:rPr>
            </w:pPr>
            <w:r>
              <w:rPr>
                <w:sz w:val="18"/>
                <w:szCs w:val="18"/>
              </w:rPr>
              <w:t>Newark &amp; Sherwood District</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F4AF65" w14:textId="77777777" w:rsidR="00B10545" w:rsidRDefault="00B10545">
            <w:pPr>
              <w:keepNext/>
              <w:keepLines/>
              <w:rPr>
                <w:sz w:val="18"/>
                <w:szCs w:val="18"/>
              </w:rPr>
            </w:pPr>
            <w:r>
              <w:rPr>
                <w:sz w:val="18"/>
                <w:szCs w:val="18"/>
              </w:rPr>
              <w:t>6,100</w:t>
            </w:r>
          </w:p>
        </w:tc>
        <w:tc>
          <w:tcPr>
            <w:tcW w:w="814"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3DF98E42" w14:textId="77777777" w:rsidR="00B10545" w:rsidRDefault="00B10545">
            <w:pPr>
              <w:keepNext/>
              <w:keepLines/>
              <w:rPr>
                <w:sz w:val="18"/>
                <w:szCs w:val="18"/>
              </w:rPr>
            </w:pPr>
            <w:r>
              <w:rPr>
                <w:sz w:val="18"/>
                <w:szCs w:val="18"/>
              </w:rPr>
              <w:t>0.516%</w:t>
            </w:r>
          </w:p>
        </w:tc>
        <w:tc>
          <w:tcPr>
            <w:tcW w:w="81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D34847" w14:textId="77777777" w:rsidR="00B10545" w:rsidRDefault="00B10545">
            <w:pPr>
              <w:keepNext/>
              <w:keepLines/>
              <w:rPr>
                <w:sz w:val="18"/>
                <w:szCs w:val="18"/>
              </w:rPr>
            </w:pPr>
            <w:r>
              <w:rPr>
                <w:sz w:val="18"/>
                <w:szCs w:val="18"/>
              </w:rPr>
              <w:t>7,300</w:t>
            </w:r>
          </w:p>
        </w:tc>
        <w:tc>
          <w:tcPr>
            <w:tcW w:w="813"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29889E84" w14:textId="77777777" w:rsidR="00B10545" w:rsidRDefault="00B10545">
            <w:pPr>
              <w:keepNext/>
              <w:keepLines/>
              <w:rPr>
                <w:sz w:val="18"/>
                <w:szCs w:val="18"/>
              </w:rPr>
            </w:pPr>
            <w:r>
              <w:rPr>
                <w:sz w:val="18"/>
                <w:szCs w:val="18"/>
              </w:rPr>
              <w:t>0.612%</w:t>
            </w:r>
          </w:p>
        </w:tc>
      </w:tr>
      <w:tr w:rsidR="00B10545" w14:paraId="62B344BC" w14:textId="77777777" w:rsidTr="00B10545">
        <w:tc>
          <w:tcPr>
            <w:tcW w:w="1748" w:type="pct"/>
            <w:tcBorders>
              <w:top w:val="single" w:sz="4" w:space="0" w:color="auto"/>
              <w:left w:val="single" w:sz="4" w:space="0" w:color="auto"/>
              <w:bottom w:val="single" w:sz="4" w:space="0" w:color="auto"/>
              <w:right w:val="single" w:sz="4" w:space="0" w:color="auto"/>
            </w:tcBorders>
            <w:vAlign w:val="center"/>
            <w:hideMark/>
          </w:tcPr>
          <w:p w14:paraId="2623E775" w14:textId="77777777" w:rsidR="00B10545" w:rsidRDefault="00B10545">
            <w:pPr>
              <w:keepNext/>
              <w:keepLines/>
              <w:rPr>
                <w:sz w:val="18"/>
                <w:szCs w:val="18"/>
              </w:rPr>
            </w:pPr>
            <w:r>
              <w:rPr>
                <w:b/>
                <w:sz w:val="18"/>
                <w:szCs w:val="18"/>
              </w:rPr>
              <w:t>Nottingham Outer HMA TOTAL</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7344A7" w14:textId="77777777" w:rsidR="00B10545" w:rsidRDefault="00B10545">
            <w:pPr>
              <w:keepNext/>
              <w:keepLines/>
              <w:rPr>
                <w:sz w:val="18"/>
                <w:szCs w:val="18"/>
              </w:rPr>
            </w:pPr>
            <w:r>
              <w:rPr>
                <w:b/>
                <w:sz w:val="18"/>
                <w:szCs w:val="18"/>
              </w:rPr>
              <w:t>15,000</w:t>
            </w:r>
          </w:p>
        </w:tc>
        <w:tc>
          <w:tcPr>
            <w:tcW w:w="814"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431D89A4" w14:textId="77777777" w:rsidR="00B10545" w:rsidRDefault="00B10545">
            <w:pPr>
              <w:keepNext/>
              <w:keepLines/>
              <w:rPr>
                <w:sz w:val="18"/>
                <w:szCs w:val="18"/>
              </w:rPr>
            </w:pPr>
            <w:r>
              <w:rPr>
                <w:b/>
                <w:sz w:val="18"/>
                <w:szCs w:val="18"/>
              </w:rPr>
              <w:t>0.452%</w:t>
            </w:r>
          </w:p>
        </w:tc>
        <w:tc>
          <w:tcPr>
            <w:tcW w:w="81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3643A6" w14:textId="77777777" w:rsidR="00B10545" w:rsidRDefault="00B10545">
            <w:pPr>
              <w:keepNext/>
              <w:keepLines/>
              <w:rPr>
                <w:sz w:val="18"/>
                <w:szCs w:val="18"/>
              </w:rPr>
            </w:pPr>
            <w:r>
              <w:rPr>
                <w:b/>
                <w:sz w:val="18"/>
                <w:szCs w:val="18"/>
              </w:rPr>
              <w:t>19,100</w:t>
            </w:r>
          </w:p>
        </w:tc>
        <w:tc>
          <w:tcPr>
            <w:tcW w:w="813"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3FCE26CC" w14:textId="77777777" w:rsidR="00B10545" w:rsidRDefault="00B10545">
            <w:pPr>
              <w:keepNext/>
              <w:keepLines/>
              <w:rPr>
                <w:sz w:val="18"/>
                <w:szCs w:val="18"/>
              </w:rPr>
            </w:pPr>
            <w:r>
              <w:rPr>
                <w:b/>
                <w:sz w:val="18"/>
                <w:szCs w:val="18"/>
              </w:rPr>
              <w:t>0.569%</w:t>
            </w:r>
          </w:p>
        </w:tc>
      </w:tr>
      <w:tr w:rsidR="00B10545" w14:paraId="69543737" w14:textId="77777777" w:rsidTr="00B10545">
        <w:tc>
          <w:tcPr>
            <w:tcW w:w="1748" w:type="pct"/>
            <w:tcBorders>
              <w:top w:val="single" w:sz="4" w:space="0" w:color="auto"/>
              <w:left w:val="single" w:sz="4" w:space="0" w:color="auto"/>
              <w:bottom w:val="single" w:sz="4" w:space="0" w:color="auto"/>
              <w:right w:val="single" w:sz="4" w:space="0" w:color="auto"/>
            </w:tcBorders>
            <w:vAlign w:val="center"/>
            <w:hideMark/>
          </w:tcPr>
          <w:p w14:paraId="1260DE54" w14:textId="77777777" w:rsidR="00B10545" w:rsidRDefault="00B10545">
            <w:pPr>
              <w:keepNext/>
              <w:keepLines/>
              <w:rPr>
                <w:i/>
                <w:sz w:val="18"/>
                <w:szCs w:val="18"/>
              </w:rPr>
            </w:pPr>
            <w:r>
              <w:rPr>
                <w:i/>
                <w:sz w:val="18"/>
                <w:szCs w:val="18"/>
              </w:rPr>
              <w:t>East Midlands</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293E03ED" w14:textId="77777777" w:rsidR="00B10545" w:rsidRDefault="00B10545">
            <w:pPr>
              <w:keepNext/>
              <w:keepLines/>
              <w:rPr>
                <w:i/>
                <w:sz w:val="18"/>
                <w:szCs w:val="18"/>
              </w:rPr>
            </w:pPr>
            <w:r>
              <w:rPr>
                <w:i/>
                <w:sz w:val="18"/>
                <w:szCs w:val="18"/>
              </w:rPr>
              <w:t>242,620</w:t>
            </w:r>
          </w:p>
        </w:tc>
        <w:tc>
          <w:tcPr>
            <w:tcW w:w="814"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4B29528B" w14:textId="77777777" w:rsidR="00B10545" w:rsidRDefault="00B10545">
            <w:pPr>
              <w:keepNext/>
              <w:keepLines/>
              <w:rPr>
                <w:i/>
                <w:sz w:val="18"/>
                <w:szCs w:val="18"/>
              </w:rPr>
            </w:pPr>
            <w:r>
              <w:rPr>
                <w:i/>
                <w:sz w:val="18"/>
                <w:szCs w:val="18"/>
              </w:rPr>
              <w:t>0.490%</w:t>
            </w:r>
          </w:p>
        </w:tc>
        <w:tc>
          <w:tcPr>
            <w:tcW w:w="813"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0B508839" w14:textId="77777777" w:rsidR="00B10545" w:rsidRDefault="00B10545">
            <w:pPr>
              <w:keepNext/>
              <w:keepLines/>
              <w:rPr>
                <w:i/>
                <w:sz w:val="18"/>
                <w:szCs w:val="18"/>
              </w:rPr>
            </w:pPr>
            <w:r>
              <w:rPr>
                <w:i/>
                <w:sz w:val="18"/>
                <w:szCs w:val="18"/>
              </w:rPr>
              <w:t>297,410</w:t>
            </w:r>
          </w:p>
        </w:tc>
        <w:tc>
          <w:tcPr>
            <w:tcW w:w="813"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2B86B180" w14:textId="77777777" w:rsidR="00B10545" w:rsidRDefault="00B10545">
            <w:pPr>
              <w:keepNext/>
              <w:keepLines/>
              <w:rPr>
                <w:i/>
                <w:sz w:val="18"/>
                <w:szCs w:val="18"/>
              </w:rPr>
            </w:pPr>
            <w:r>
              <w:rPr>
                <w:i/>
                <w:sz w:val="18"/>
                <w:szCs w:val="18"/>
              </w:rPr>
              <w:t>0.595%</w:t>
            </w:r>
          </w:p>
        </w:tc>
      </w:tr>
      <w:tr w:rsidR="00B10545" w14:paraId="602AACD6" w14:textId="77777777" w:rsidTr="00B10545">
        <w:tc>
          <w:tcPr>
            <w:tcW w:w="1748" w:type="pct"/>
            <w:tcBorders>
              <w:top w:val="single" w:sz="4" w:space="0" w:color="auto"/>
              <w:left w:val="single" w:sz="4" w:space="0" w:color="auto"/>
              <w:bottom w:val="single" w:sz="4" w:space="0" w:color="auto"/>
              <w:right w:val="single" w:sz="4" w:space="0" w:color="auto"/>
            </w:tcBorders>
            <w:vAlign w:val="center"/>
            <w:hideMark/>
          </w:tcPr>
          <w:p w14:paraId="5ED73044" w14:textId="77777777" w:rsidR="00B10545" w:rsidRDefault="00B10545">
            <w:pPr>
              <w:keepNext/>
              <w:keepLines/>
              <w:rPr>
                <w:i/>
                <w:sz w:val="18"/>
                <w:szCs w:val="18"/>
              </w:rPr>
            </w:pPr>
            <w:r>
              <w:rPr>
                <w:i/>
                <w:sz w:val="18"/>
                <w:szCs w:val="18"/>
              </w:rPr>
              <w:t>UK</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00638124" w14:textId="77777777" w:rsidR="00B10545" w:rsidRDefault="00B10545">
            <w:pPr>
              <w:keepNext/>
              <w:keepLines/>
              <w:rPr>
                <w:i/>
                <w:sz w:val="18"/>
                <w:szCs w:val="18"/>
              </w:rPr>
            </w:pPr>
            <w:r>
              <w:rPr>
                <w:i/>
                <w:sz w:val="18"/>
                <w:szCs w:val="18"/>
              </w:rPr>
              <w:t>4,022,070</w:t>
            </w:r>
          </w:p>
        </w:tc>
        <w:tc>
          <w:tcPr>
            <w:tcW w:w="814"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045DECCB" w14:textId="77777777" w:rsidR="00B10545" w:rsidRDefault="00B10545">
            <w:pPr>
              <w:keepNext/>
              <w:keepLines/>
              <w:rPr>
                <w:i/>
                <w:sz w:val="18"/>
                <w:szCs w:val="18"/>
              </w:rPr>
            </w:pPr>
            <w:r>
              <w:rPr>
                <w:i/>
                <w:sz w:val="18"/>
                <w:szCs w:val="18"/>
              </w:rPr>
              <w:t>0.544%</w:t>
            </w:r>
          </w:p>
        </w:tc>
        <w:tc>
          <w:tcPr>
            <w:tcW w:w="813"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2251C964" w14:textId="77777777" w:rsidR="00B10545" w:rsidRDefault="00B10545">
            <w:pPr>
              <w:keepNext/>
              <w:keepLines/>
              <w:rPr>
                <w:i/>
                <w:sz w:val="18"/>
                <w:szCs w:val="18"/>
              </w:rPr>
            </w:pPr>
            <w:r>
              <w:rPr>
                <w:i/>
                <w:sz w:val="18"/>
                <w:szCs w:val="18"/>
              </w:rPr>
              <w:t>4,161,530</w:t>
            </w:r>
          </w:p>
        </w:tc>
        <w:tc>
          <w:tcPr>
            <w:tcW w:w="813"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36A7D888" w14:textId="77777777" w:rsidR="00B10545" w:rsidRDefault="00B10545">
            <w:pPr>
              <w:keepNext/>
              <w:keepLines/>
              <w:rPr>
                <w:i/>
                <w:sz w:val="18"/>
                <w:szCs w:val="18"/>
              </w:rPr>
            </w:pPr>
            <w:r>
              <w:rPr>
                <w:i/>
                <w:sz w:val="18"/>
                <w:szCs w:val="18"/>
              </w:rPr>
              <w:t>0.562%</w:t>
            </w:r>
          </w:p>
        </w:tc>
      </w:tr>
    </w:tbl>
    <w:p w14:paraId="002BFEC1" w14:textId="20287C9E" w:rsidR="00B10545" w:rsidRPr="00981FA1" w:rsidRDefault="00B10545" w:rsidP="00981FA1">
      <w:pPr>
        <w:pStyle w:val="ReportSource"/>
        <w:spacing w:before="0"/>
        <w:ind w:left="0"/>
        <w:rPr>
          <w:sz w:val="17"/>
          <w:szCs w:val="20"/>
        </w:rPr>
      </w:pPr>
      <w:r>
        <w:t>Source:</w:t>
      </w:r>
      <w:r>
        <w:tab/>
        <w:t>Experian UK Macro Economic Forecasts September 2020 / March 2020</w:t>
      </w:r>
      <w:bookmarkEnd w:id="4"/>
    </w:p>
    <w:p w14:paraId="44B00306" w14:textId="77777777" w:rsidR="00F00081" w:rsidRDefault="00F00081" w:rsidP="00981FA1">
      <w:pPr>
        <w:ind w:left="720" w:hanging="720"/>
        <w:jc w:val="left"/>
      </w:pPr>
    </w:p>
    <w:p w14:paraId="32D8F58D" w14:textId="3D6772E8" w:rsidR="00B10545" w:rsidRDefault="00981FA1" w:rsidP="00981FA1">
      <w:pPr>
        <w:ind w:left="720" w:hanging="720"/>
        <w:jc w:val="left"/>
      </w:pPr>
      <w:r>
        <w:t>4.</w:t>
      </w:r>
      <w:r w:rsidR="0064290E">
        <w:t>3</w:t>
      </w:r>
      <w:r>
        <w:t>.11</w:t>
      </w:r>
      <w:r>
        <w:tab/>
      </w:r>
      <w:r w:rsidR="00B10545">
        <w:t>When translated by Lichfields into employment land requirements (</w:t>
      </w:r>
      <w:proofErr w:type="gramStart"/>
      <w:r w:rsidR="00B10545">
        <w:t>making adjustments</w:t>
      </w:r>
      <w:proofErr w:type="gramEnd"/>
      <w:r w:rsidR="00B10545">
        <w:t xml:space="preserve"> for vacant units, losses and margin of choice), the Experian September 2020 Baseline generated a requirement for 23,898 sqm of office floorspace and 46.71 ha (gross) of industrial land.  In contrast, the March 2020 Experian Baseline generated a requirement for 23,725 sqm of office floorspace and 56.08 ha (gross) of industrial land – hence a reduction in the need for office space, but an increase of around 10 ha of industrial / warehousing land.</w:t>
      </w:r>
    </w:p>
    <w:p w14:paraId="4850E7FB" w14:textId="1C5333A9" w:rsidR="00B10545" w:rsidRDefault="00981FA1" w:rsidP="00981FA1">
      <w:pPr>
        <w:ind w:left="720" w:hanging="720"/>
        <w:jc w:val="left"/>
      </w:pPr>
      <w:r>
        <w:t>4.</w:t>
      </w:r>
      <w:r w:rsidR="0064290E">
        <w:t>3</w:t>
      </w:r>
      <w:r>
        <w:t>.12</w:t>
      </w:r>
      <w:r>
        <w:tab/>
      </w:r>
      <w:r w:rsidR="00B10545">
        <w:t>As set out above, BP.03 revisited some of the assumptions underpinning the modelling in SEV.28, using more up to date information on past take up and losses.  Although a new timeframe was modelled (2023-2040) new job forecasts were not modelled.</w:t>
      </w:r>
    </w:p>
    <w:p w14:paraId="62E07487" w14:textId="5377DA36" w:rsidR="00B10545" w:rsidRDefault="003A4473" w:rsidP="00B10545">
      <w:pPr>
        <w:pStyle w:val="Heading4"/>
      </w:pPr>
      <w:r>
        <w:t>4.</w:t>
      </w:r>
      <w:r w:rsidR="0064290E">
        <w:t>3</w:t>
      </w:r>
      <w:r>
        <w:t>.13</w:t>
      </w:r>
      <w:r>
        <w:tab/>
      </w:r>
      <w:r w:rsidR="00B10545">
        <w:t>Implications of the latest September 2024 Experian RPS data</w:t>
      </w:r>
    </w:p>
    <w:p w14:paraId="57E351E8" w14:textId="77777777" w:rsidR="00B10545" w:rsidRDefault="00B10545" w:rsidP="003A4473">
      <w:pPr>
        <w:ind w:left="720"/>
        <w:jc w:val="left"/>
      </w:pPr>
      <w:r>
        <w:t xml:space="preserve">Over three years have now passed since the SEV.28 report was produced and there have been significant macro-economic changes since the September 2020 projections were issued by Experian.  Experian’s RPS data is generally re-issued quarterly, with the most up to date forecasts comprising the September 2024 update.  This release has </w:t>
      </w:r>
      <w:proofErr w:type="gramStart"/>
      <w:r>
        <w:t>taken into account</w:t>
      </w:r>
      <w:proofErr w:type="gramEnd"/>
      <w:r>
        <w:t xml:space="preserve"> a range of risks including uncertainty over energy prices; escalation of the conflict in the Middle East; uncertainty over the war in Ukraine, weakness in the Chinese economy and a new government in the UK.</w:t>
      </w:r>
    </w:p>
    <w:p w14:paraId="46CA1C94" w14:textId="371941DC" w:rsidR="00B10545" w:rsidRDefault="003A4473" w:rsidP="003A4473">
      <w:pPr>
        <w:ind w:left="720" w:hanging="720"/>
        <w:jc w:val="left"/>
      </w:pPr>
      <w:r>
        <w:t>4.</w:t>
      </w:r>
      <w:r w:rsidR="0064290E">
        <w:t>3</w:t>
      </w:r>
      <w:r>
        <w:t>.14</w:t>
      </w:r>
      <w:r>
        <w:tab/>
      </w:r>
      <w:r w:rsidR="00B10545">
        <w:t xml:space="preserve">The latest forecasts for Ashfield District point to higher levels of future growth compared to the position considered in September 2020.  As can be seen in </w:t>
      </w:r>
      <w:r w:rsidR="00B10545">
        <w:fldChar w:fldCharType="begin"/>
      </w:r>
      <w:r w:rsidR="00B10545">
        <w:instrText xml:space="preserve"> REF _Ref89072248 \h </w:instrText>
      </w:r>
      <w:r w:rsidR="00B10545">
        <w:fldChar w:fldCharType="separate"/>
      </w:r>
      <w:r w:rsidR="00B10545">
        <w:t xml:space="preserve">Figure </w:t>
      </w:r>
      <w:r w:rsidR="00B10545">
        <w:rPr>
          <w:noProof/>
        </w:rPr>
        <w:t>1</w:t>
      </w:r>
      <w:r w:rsidR="00B10545">
        <w:t>.</w:t>
      </w:r>
      <w:r w:rsidR="00B10545">
        <w:rPr>
          <w:noProof/>
        </w:rPr>
        <w:t>1</w:t>
      </w:r>
      <w:r w:rsidR="00B10545">
        <w:fldChar w:fldCharType="end"/>
      </w:r>
      <w:r w:rsidR="00B10545">
        <w:t xml:space="preserve">, the new September 2024 projections show that Experian revised their job figures for 2019 and 2020 to indicate that the peak in growth was delayed by three years, whilst the fall was not as precipitous as their September 2020 forecast had expected might be the case due to the pandemic.  </w:t>
      </w:r>
    </w:p>
    <w:p w14:paraId="52B737CD" w14:textId="2DC2EABB" w:rsidR="00B10545" w:rsidRDefault="003A4473" w:rsidP="003A4473">
      <w:pPr>
        <w:keepNext/>
        <w:keepLines/>
        <w:ind w:left="720" w:hanging="720"/>
        <w:jc w:val="left"/>
      </w:pPr>
      <w:r>
        <w:lastRenderedPageBreak/>
        <w:t>4.</w:t>
      </w:r>
      <w:r w:rsidR="0064290E">
        <w:t>3</w:t>
      </w:r>
      <w:r>
        <w:t>.15</w:t>
      </w:r>
      <w:r>
        <w:tab/>
      </w:r>
      <w:r w:rsidR="00B10545">
        <w:t xml:space="preserve">Furthermore, between 2018 and 2023 Ashfield District’s economy grew by 6,300 jobs, significantly higher than the +3,700 forecast by the March 2020 iteration.  Whilst the new projections factor in the cost-of-living crisis, energy crisis, war in Ukraine and the Middle East – resulting in a modest dip between 2023 and 2024 – overall this is not sufficient to dampen growth in the longer term which is now forecast to total </w:t>
      </w:r>
      <w:r w:rsidR="00B10545">
        <w:rPr>
          <w:b/>
          <w:bCs/>
        </w:rPr>
        <w:t>+4,400 between 2023 and 2040</w:t>
      </w:r>
      <w:r w:rsidR="00B10545">
        <w:t>, compared to +4,700 based on the September 2020 projection and +3,700 in the pre-Covid March 2020 model:</w:t>
      </w:r>
    </w:p>
    <w:p w14:paraId="59E48BBD" w14:textId="77777777" w:rsidR="00B10545" w:rsidRDefault="00B10545" w:rsidP="00B10545">
      <w:pPr>
        <w:pStyle w:val="ReportCaption"/>
        <w:ind w:left="0"/>
      </w:pPr>
      <w:bookmarkStart w:id="5" w:name="_Ref89072248"/>
      <w:r>
        <w:t xml:space="preserve">Figure </w:t>
      </w:r>
      <w:r>
        <w:fldChar w:fldCharType="begin"/>
      </w:r>
      <w:r>
        <w:instrText xml:space="preserve"> STYLEREF 1 \s </w:instrText>
      </w:r>
      <w:r>
        <w:fldChar w:fldCharType="separate"/>
      </w:r>
      <w:r>
        <w:rPr>
          <w:noProof/>
        </w:rPr>
        <w:t>1</w:t>
      </w:r>
      <w:r>
        <w:fldChar w:fldCharType="end"/>
      </w:r>
      <w:r>
        <w:t>.</w:t>
      </w:r>
      <w:r>
        <w:fldChar w:fldCharType="begin"/>
      </w:r>
      <w:r>
        <w:instrText xml:space="preserve"> SEQ Figure \* ARABIC \s 1 </w:instrText>
      </w:r>
      <w:r>
        <w:fldChar w:fldCharType="separate"/>
      </w:r>
      <w:r>
        <w:rPr>
          <w:noProof/>
        </w:rPr>
        <w:t>1</w:t>
      </w:r>
      <w:r>
        <w:fldChar w:fldCharType="end"/>
      </w:r>
      <w:bookmarkEnd w:id="5"/>
      <w:r>
        <w:t xml:space="preserve"> Comparison of Experian Job Forecasts for Ashfield District 2023-40</w:t>
      </w:r>
    </w:p>
    <w:p w14:paraId="2FD1AA74" w14:textId="066C5E7F" w:rsidR="00B10545" w:rsidRDefault="00B10545" w:rsidP="00B10545">
      <w:pPr>
        <w:pStyle w:val="ReportCaption"/>
        <w:ind w:left="0"/>
      </w:pPr>
      <w:r>
        <w:rPr>
          <w:noProof/>
        </w:rPr>
        <w:drawing>
          <wp:inline distT="0" distB="0" distL="0" distR="0" wp14:anchorId="24BEE37A" wp14:editId="3CD65AF6">
            <wp:extent cx="5191125" cy="3638550"/>
            <wp:effectExtent l="0" t="0" r="9525" b="0"/>
            <wp:docPr id="1998413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2351" t="1363" r="2" b="1485"/>
                    <a:stretch>
                      <a:fillRect/>
                    </a:stretch>
                  </pic:blipFill>
                  <pic:spPr bwMode="auto">
                    <a:xfrm>
                      <a:off x="0" y="0"/>
                      <a:ext cx="5191125" cy="3638550"/>
                    </a:xfrm>
                    <a:prstGeom prst="rect">
                      <a:avLst/>
                    </a:prstGeom>
                    <a:noFill/>
                    <a:ln>
                      <a:noFill/>
                    </a:ln>
                  </pic:spPr>
                </pic:pic>
              </a:graphicData>
            </a:graphic>
          </wp:inline>
        </w:drawing>
      </w:r>
    </w:p>
    <w:p w14:paraId="1984E0FC" w14:textId="77777777" w:rsidR="00B10545" w:rsidRDefault="00B10545" w:rsidP="00B10545">
      <w:pPr>
        <w:pStyle w:val="ReportSource"/>
        <w:ind w:left="0"/>
      </w:pPr>
      <w:r>
        <w:t>Source: Experian March 2020 / September 2020 / June 2024 / Lichfields analysis</w:t>
      </w:r>
    </w:p>
    <w:p w14:paraId="19B7E9E8" w14:textId="77777777" w:rsidR="00B10545" w:rsidRDefault="00B10545" w:rsidP="00B10545">
      <w:pPr>
        <w:jc w:val="left"/>
      </w:pPr>
    </w:p>
    <w:p w14:paraId="3F953243" w14:textId="16150DED" w:rsidR="00B10545" w:rsidRDefault="003A4473" w:rsidP="003A4473">
      <w:pPr>
        <w:ind w:left="720" w:hanging="720"/>
        <w:jc w:val="left"/>
      </w:pPr>
      <w:r>
        <w:t>4.</w:t>
      </w:r>
      <w:r w:rsidR="0064290E">
        <w:t>3</w:t>
      </w:r>
      <w:r>
        <w:t>.16</w:t>
      </w:r>
      <w:r>
        <w:tab/>
      </w:r>
      <w:r w:rsidR="00B10545">
        <w:t xml:space="preserve">The sectors likely to experience growth have also changed to some degree.  As can be seen from </w:t>
      </w:r>
      <w:r w:rsidR="00B10545">
        <w:fldChar w:fldCharType="begin"/>
      </w:r>
      <w:r w:rsidR="00B10545">
        <w:instrText xml:space="preserve"> REF _Ref1115671 \h </w:instrText>
      </w:r>
      <w:r w:rsidR="00B10545">
        <w:fldChar w:fldCharType="separate"/>
      </w:r>
      <w:r w:rsidR="00B10545">
        <w:t xml:space="preserve">Table </w:t>
      </w:r>
      <w:r w:rsidR="00B10545">
        <w:rPr>
          <w:noProof/>
        </w:rPr>
        <w:t>1</w:t>
      </w:r>
      <w:r w:rsidR="00B10545">
        <w:t>.</w:t>
      </w:r>
      <w:r w:rsidR="00B10545">
        <w:rPr>
          <w:noProof/>
        </w:rPr>
        <w:t>4</w:t>
      </w:r>
      <w:r w:rsidR="00B10545">
        <w:fldChar w:fldCharType="end"/>
      </w:r>
      <w:r w:rsidR="00B10545">
        <w:t xml:space="preserve">, the net increase in office jobs is much reduced (albeit from a low base), whilst the net decrease in B2 industrial jobs is less pronounced than in the earlier forecasts.  The growth in both light industrial, B8 warehousing and </w:t>
      </w:r>
      <w:proofErr w:type="gramStart"/>
      <w:r w:rsidR="00B10545">
        <w:t>Non B</w:t>
      </w:r>
      <w:proofErr w:type="gramEnd"/>
      <w:r w:rsidR="00B10545">
        <w:t xml:space="preserve"> Class jobs is similar to the two earlier projections.  </w:t>
      </w:r>
    </w:p>
    <w:p w14:paraId="59B60B08" w14:textId="39D1137A" w:rsidR="00B10545" w:rsidRDefault="003A4473" w:rsidP="003A4473">
      <w:pPr>
        <w:ind w:left="720" w:hanging="720"/>
        <w:jc w:val="left"/>
        <w:rPr>
          <w:rFonts w:eastAsiaTheme="majorEastAsia"/>
          <w:sz w:val="20"/>
        </w:rPr>
      </w:pPr>
      <w:r>
        <w:t>4.</w:t>
      </w:r>
      <w:r w:rsidR="0064290E">
        <w:t>3</w:t>
      </w:r>
      <w:r>
        <w:t>.17</w:t>
      </w:r>
      <w:r>
        <w:tab/>
      </w:r>
      <w:r w:rsidR="00B10545">
        <w:t xml:space="preserve">Overall, whilst there is still forecast to be a loss of B Class jobs overall (of -1,010 over the Plan period 2023-2040), this is less pronounced than the level envisaged in the September </w:t>
      </w:r>
      <w:r w:rsidR="00B10545">
        <w:rPr>
          <w:rFonts w:eastAsiaTheme="majorEastAsia"/>
        </w:rPr>
        <w:t>2020 projection and notably the March 2020 iteration.</w:t>
      </w:r>
    </w:p>
    <w:p w14:paraId="37D211D1" w14:textId="77777777" w:rsidR="00B10545" w:rsidRDefault="00B10545" w:rsidP="00B10545">
      <w:pPr>
        <w:pStyle w:val="ReportCaption"/>
        <w:keepLines/>
        <w:ind w:left="0"/>
        <w:rPr>
          <w:sz w:val="17"/>
        </w:rPr>
      </w:pPr>
      <w:bookmarkStart w:id="6" w:name="_Ref1115671"/>
      <w:r>
        <w:lastRenderedPageBreak/>
        <w:t xml:space="preserve">Table </w:t>
      </w:r>
      <w:r>
        <w:fldChar w:fldCharType="begin"/>
      </w:r>
      <w:r>
        <w:instrText xml:space="preserve"> STYLEREF 1 \s </w:instrText>
      </w:r>
      <w:r>
        <w:fldChar w:fldCharType="separate"/>
      </w:r>
      <w:r>
        <w:rPr>
          <w:noProof/>
        </w:rPr>
        <w:t>1</w:t>
      </w:r>
      <w:r>
        <w:fldChar w:fldCharType="end"/>
      </w:r>
      <w:r>
        <w:t>.</w:t>
      </w:r>
      <w:r>
        <w:fldChar w:fldCharType="begin"/>
      </w:r>
      <w:r>
        <w:instrText xml:space="preserve"> SEQ Table \* ARABIC \s 1 </w:instrText>
      </w:r>
      <w:r>
        <w:fldChar w:fldCharType="separate"/>
      </w:r>
      <w:r>
        <w:rPr>
          <w:noProof/>
        </w:rPr>
        <w:t>3</w:t>
      </w:r>
      <w:r>
        <w:fldChar w:fldCharType="end"/>
      </w:r>
      <w:bookmarkEnd w:id="6"/>
      <w:r>
        <w:t xml:space="preserve">  Forecast workforce jobs change in Ashfield District 2023-2040 – Experian</w:t>
      </w:r>
    </w:p>
    <w:tbl>
      <w:tblPr>
        <w:tblW w:w="87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4"/>
        <w:gridCol w:w="1795"/>
        <w:gridCol w:w="1795"/>
        <w:gridCol w:w="1796"/>
      </w:tblGrid>
      <w:tr w:rsidR="00B10545" w14:paraId="2E9E4440" w14:textId="77777777" w:rsidTr="00B10545">
        <w:trPr>
          <w:trHeight w:val="145"/>
        </w:trPr>
        <w:tc>
          <w:tcPr>
            <w:tcW w:w="3402" w:type="dxa"/>
            <w:tcBorders>
              <w:top w:val="single" w:sz="4" w:space="0" w:color="auto"/>
              <w:left w:val="single" w:sz="4" w:space="0" w:color="auto"/>
              <w:bottom w:val="single" w:sz="4" w:space="0" w:color="auto"/>
              <w:right w:val="single" w:sz="4" w:space="0" w:color="auto"/>
            </w:tcBorders>
            <w:shd w:val="clear" w:color="auto" w:fill="E6E6E6" w:themeFill="background1" w:themeFillShade="E6"/>
            <w:vAlign w:val="center"/>
            <w:hideMark/>
          </w:tcPr>
          <w:p w14:paraId="11024596" w14:textId="77777777" w:rsidR="00B10545" w:rsidRDefault="00B10545">
            <w:pPr>
              <w:keepNext/>
              <w:keepLines/>
              <w:rPr>
                <w:rFonts w:cs="Arial"/>
                <w:b/>
                <w:kern w:val="2"/>
                <w:sz w:val="18"/>
                <w:szCs w:val="18"/>
                <w14:ligatures w14:val="standardContextual"/>
              </w:rPr>
            </w:pPr>
            <w:r>
              <w:rPr>
                <w:rFonts w:cs="Arial"/>
                <w:b/>
                <w:kern w:val="2"/>
                <w:sz w:val="18"/>
                <w:szCs w:val="18"/>
                <w14:ligatures w14:val="standardContextual"/>
              </w:rPr>
              <w:t>Use Class</w:t>
            </w:r>
          </w:p>
        </w:tc>
        <w:tc>
          <w:tcPr>
            <w:tcW w:w="1795" w:type="dxa"/>
            <w:tcBorders>
              <w:top w:val="single" w:sz="4" w:space="0" w:color="auto"/>
              <w:left w:val="single" w:sz="4" w:space="0" w:color="auto"/>
              <w:bottom w:val="single" w:sz="4" w:space="0" w:color="auto"/>
              <w:right w:val="single" w:sz="4" w:space="0" w:color="auto"/>
            </w:tcBorders>
            <w:shd w:val="clear" w:color="auto" w:fill="E6E6E6" w:themeFill="background1" w:themeFillShade="E6"/>
            <w:vAlign w:val="center"/>
            <w:hideMark/>
          </w:tcPr>
          <w:p w14:paraId="1F3449FC" w14:textId="77777777" w:rsidR="00B10545" w:rsidRDefault="00B10545">
            <w:pPr>
              <w:keepNext/>
              <w:keepLines/>
              <w:spacing w:before="40" w:after="40" w:line="240" w:lineRule="auto"/>
              <w:rPr>
                <w:rFonts w:cs="Arial"/>
                <w:b/>
                <w:kern w:val="2"/>
                <w:sz w:val="18"/>
                <w:szCs w:val="18"/>
                <w14:ligatures w14:val="standardContextual"/>
              </w:rPr>
            </w:pPr>
            <w:r>
              <w:rPr>
                <w:rFonts w:cs="Arial"/>
                <w:b/>
                <w:kern w:val="2"/>
                <w:sz w:val="18"/>
                <w:szCs w:val="18"/>
                <w14:ligatures w14:val="standardContextual"/>
              </w:rPr>
              <w:t>March 2020</w:t>
            </w:r>
          </w:p>
        </w:tc>
        <w:tc>
          <w:tcPr>
            <w:tcW w:w="1795" w:type="dxa"/>
            <w:tcBorders>
              <w:top w:val="single" w:sz="4" w:space="0" w:color="auto"/>
              <w:left w:val="single" w:sz="4" w:space="0" w:color="auto"/>
              <w:bottom w:val="single" w:sz="4" w:space="0" w:color="auto"/>
              <w:right w:val="single" w:sz="4" w:space="0" w:color="auto"/>
            </w:tcBorders>
            <w:shd w:val="clear" w:color="auto" w:fill="E6E6E6" w:themeFill="background1" w:themeFillShade="E6"/>
            <w:vAlign w:val="center"/>
            <w:hideMark/>
          </w:tcPr>
          <w:p w14:paraId="34070EC1" w14:textId="77777777" w:rsidR="00B10545" w:rsidRDefault="00B10545">
            <w:pPr>
              <w:keepNext/>
              <w:keepLines/>
              <w:spacing w:before="40" w:after="40" w:line="240" w:lineRule="auto"/>
              <w:rPr>
                <w:rFonts w:cs="Arial"/>
                <w:b/>
                <w:kern w:val="2"/>
                <w:sz w:val="18"/>
                <w:szCs w:val="18"/>
                <w14:ligatures w14:val="standardContextual"/>
              </w:rPr>
            </w:pPr>
            <w:r>
              <w:rPr>
                <w:rFonts w:cs="Arial"/>
                <w:b/>
                <w:kern w:val="2"/>
                <w:sz w:val="18"/>
                <w:szCs w:val="18"/>
                <w14:ligatures w14:val="standardContextual"/>
              </w:rPr>
              <w:t>September 2020</w:t>
            </w:r>
          </w:p>
        </w:tc>
        <w:tc>
          <w:tcPr>
            <w:tcW w:w="1796" w:type="dxa"/>
            <w:tcBorders>
              <w:top w:val="single" w:sz="4" w:space="0" w:color="auto"/>
              <w:left w:val="single" w:sz="4" w:space="0" w:color="auto"/>
              <w:bottom w:val="single" w:sz="4" w:space="0" w:color="auto"/>
              <w:right w:val="single" w:sz="4" w:space="0" w:color="auto"/>
            </w:tcBorders>
            <w:shd w:val="clear" w:color="auto" w:fill="E6E6E6" w:themeFill="background1" w:themeFillShade="E6"/>
            <w:vAlign w:val="center"/>
            <w:hideMark/>
          </w:tcPr>
          <w:p w14:paraId="0DCDE386" w14:textId="77777777" w:rsidR="00B10545" w:rsidRDefault="00B10545">
            <w:pPr>
              <w:keepNext/>
              <w:keepLines/>
              <w:spacing w:before="40" w:after="40" w:line="240" w:lineRule="auto"/>
              <w:rPr>
                <w:rFonts w:cs="Arial"/>
                <w:b/>
                <w:kern w:val="2"/>
                <w:sz w:val="18"/>
                <w:szCs w:val="18"/>
                <w14:ligatures w14:val="standardContextual"/>
              </w:rPr>
            </w:pPr>
            <w:r>
              <w:rPr>
                <w:rFonts w:cs="Arial"/>
                <w:b/>
                <w:kern w:val="2"/>
                <w:sz w:val="18"/>
                <w:szCs w:val="18"/>
                <w14:ligatures w14:val="standardContextual"/>
              </w:rPr>
              <w:t>September 2024</w:t>
            </w:r>
          </w:p>
        </w:tc>
      </w:tr>
      <w:tr w:rsidR="00B10545" w14:paraId="0C9792AD" w14:textId="77777777" w:rsidTr="00B10545">
        <w:trPr>
          <w:trHeight w:val="257"/>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AD2A6A" w14:textId="77777777" w:rsidR="00B10545" w:rsidRDefault="00B10545">
            <w:pPr>
              <w:keepNext/>
              <w:keepLines/>
              <w:spacing w:before="40" w:after="40" w:line="240" w:lineRule="auto"/>
              <w:rPr>
                <w:rFonts w:cs="Arial"/>
                <w:kern w:val="2"/>
                <w:sz w:val="18"/>
                <w:szCs w:val="18"/>
                <w14:ligatures w14:val="standardContextual"/>
              </w:rPr>
            </w:pPr>
            <w:r>
              <w:rPr>
                <w:rFonts w:cs="Arial"/>
                <w:kern w:val="2"/>
                <w:sz w:val="18"/>
                <w:szCs w:val="18"/>
                <w14:ligatures w14:val="standardContextual"/>
              </w:rPr>
              <w:t>Office*</w:t>
            </w:r>
          </w:p>
        </w:tc>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40CBD8" w14:textId="77777777" w:rsidR="00B10545" w:rsidRDefault="00B10545">
            <w:pPr>
              <w:keepNext/>
              <w:keepLines/>
              <w:spacing w:before="40" w:after="40" w:line="240" w:lineRule="auto"/>
              <w:rPr>
                <w:rFonts w:cs="Arial"/>
                <w:kern w:val="2"/>
                <w:sz w:val="18"/>
                <w:szCs w:val="18"/>
                <w14:ligatures w14:val="standardContextual"/>
              </w:rPr>
            </w:pPr>
            <w:r>
              <w:rPr>
                <w:rFonts w:cs="Arial"/>
                <w:kern w:val="2"/>
                <w:sz w:val="18"/>
                <w:szCs w:val="18"/>
                <w14:ligatures w14:val="standardContextual"/>
              </w:rPr>
              <w:t>310</w:t>
            </w:r>
          </w:p>
        </w:tc>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D9052C" w14:textId="77777777" w:rsidR="00B10545" w:rsidRDefault="00B10545">
            <w:pPr>
              <w:keepNext/>
              <w:keepLines/>
              <w:spacing w:before="40" w:after="40" w:line="240" w:lineRule="auto"/>
              <w:rPr>
                <w:rFonts w:cs="Arial"/>
                <w:kern w:val="2"/>
                <w:sz w:val="18"/>
                <w:szCs w:val="18"/>
                <w14:ligatures w14:val="standardContextual"/>
              </w:rPr>
            </w:pPr>
            <w:r>
              <w:rPr>
                <w:rFonts w:cs="Arial"/>
                <w:kern w:val="2"/>
                <w:sz w:val="18"/>
                <w:szCs w:val="18"/>
                <w14:ligatures w14:val="standardContextual"/>
              </w:rPr>
              <w:t>491</w:t>
            </w: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A82B72" w14:textId="77777777" w:rsidR="00B10545" w:rsidRDefault="00B10545">
            <w:pPr>
              <w:keepNext/>
              <w:keepLines/>
              <w:spacing w:before="40" w:after="40" w:line="240" w:lineRule="auto"/>
              <w:rPr>
                <w:rFonts w:cs="Arial"/>
                <w:kern w:val="2"/>
                <w:sz w:val="18"/>
                <w:szCs w:val="18"/>
                <w14:ligatures w14:val="standardContextual"/>
              </w:rPr>
            </w:pPr>
            <w:r>
              <w:rPr>
                <w:rFonts w:cs="Arial"/>
                <w:kern w:val="2"/>
                <w:sz w:val="18"/>
                <w:szCs w:val="18"/>
                <w14:ligatures w14:val="standardContextual"/>
              </w:rPr>
              <w:t>90</w:t>
            </w:r>
          </w:p>
        </w:tc>
      </w:tr>
      <w:tr w:rsidR="00B10545" w14:paraId="32E4AE88" w14:textId="77777777" w:rsidTr="00B10545">
        <w:trPr>
          <w:trHeight w:val="332"/>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E2BDA8" w14:textId="77777777" w:rsidR="00B10545" w:rsidRDefault="00B10545">
            <w:pPr>
              <w:keepNext/>
              <w:keepLines/>
              <w:spacing w:before="40" w:after="40" w:line="240" w:lineRule="auto"/>
              <w:rPr>
                <w:rFonts w:cs="Arial"/>
                <w:kern w:val="2"/>
                <w:sz w:val="18"/>
                <w:szCs w:val="18"/>
                <w14:ligatures w14:val="standardContextual"/>
              </w:rPr>
            </w:pPr>
            <w:r>
              <w:rPr>
                <w:rFonts w:cs="Arial"/>
                <w:kern w:val="2"/>
                <w:sz w:val="18"/>
                <w:szCs w:val="18"/>
                <w14:ligatures w14:val="standardContextual"/>
              </w:rPr>
              <w:t>Light Industrial**</w:t>
            </w:r>
          </w:p>
        </w:tc>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92A275" w14:textId="77777777" w:rsidR="00B10545" w:rsidRDefault="00B10545">
            <w:pPr>
              <w:keepNext/>
              <w:keepLines/>
              <w:spacing w:before="40" w:after="40" w:line="240" w:lineRule="auto"/>
              <w:rPr>
                <w:rFonts w:cs="Arial"/>
                <w:kern w:val="2"/>
                <w:sz w:val="18"/>
                <w:szCs w:val="18"/>
                <w14:ligatures w14:val="standardContextual"/>
              </w:rPr>
            </w:pPr>
            <w:r>
              <w:rPr>
                <w:rFonts w:cs="Arial"/>
                <w:kern w:val="2"/>
                <w:sz w:val="18"/>
                <w:szCs w:val="18"/>
                <w14:ligatures w14:val="standardContextual"/>
              </w:rPr>
              <w:t>154</w:t>
            </w:r>
          </w:p>
        </w:tc>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6F46D6" w14:textId="77777777" w:rsidR="00B10545" w:rsidRDefault="00B10545">
            <w:pPr>
              <w:keepNext/>
              <w:keepLines/>
              <w:spacing w:before="40" w:after="40" w:line="240" w:lineRule="auto"/>
              <w:rPr>
                <w:rFonts w:cs="Arial"/>
                <w:kern w:val="2"/>
                <w:sz w:val="18"/>
                <w:szCs w:val="18"/>
                <w14:ligatures w14:val="standardContextual"/>
              </w:rPr>
            </w:pPr>
            <w:r>
              <w:rPr>
                <w:rFonts w:cs="Arial"/>
                <w:kern w:val="2"/>
                <w:sz w:val="18"/>
                <w:szCs w:val="18"/>
                <w14:ligatures w14:val="standardContextual"/>
              </w:rPr>
              <w:t>144</w:t>
            </w: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FD3B9C" w14:textId="77777777" w:rsidR="00B10545" w:rsidRDefault="00B10545">
            <w:pPr>
              <w:keepNext/>
              <w:keepLines/>
              <w:spacing w:before="40" w:after="40" w:line="240" w:lineRule="auto"/>
              <w:rPr>
                <w:rFonts w:cs="Arial"/>
                <w:kern w:val="2"/>
                <w:sz w:val="18"/>
                <w:szCs w:val="18"/>
                <w14:ligatures w14:val="standardContextual"/>
              </w:rPr>
            </w:pPr>
            <w:r>
              <w:rPr>
                <w:rFonts w:cs="Arial"/>
                <w:kern w:val="2"/>
                <w:sz w:val="18"/>
                <w:szCs w:val="18"/>
                <w14:ligatures w14:val="standardContextual"/>
              </w:rPr>
              <w:t>215</w:t>
            </w:r>
          </w:p>
        </w:tc>
      </w:tr>
      <w:tr w:rsidR="00B10545" w14:paraId="5456A584" w14:textId="77777777" w:rsidTr="00B10545">
        <w:trPr>
          <w:trHeight w:val="332"/>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086F9A" w14:textId="77777777" w:rsidR="00B10545" w:rsidRDefault="00B10545">
            <w:pPr>
              <w:keepNext/>
              <w:keepLines/>
              <w:spacing w:before="40" w:after="40" w:line="240" w:lineRule="auto"/>
              <w:rPr>
                <w:rFonts w:cs="Arial"/>
                <w:kern w:val="2"/>
                <w:sz w:val="18"/>
                <w:szCs w:val="18"/>
                <w14:ligatures w14:val="standardContextual"/>
              </w:rPr>
            </w:pPr>
            <w:r>
              <w:rPr>
                <w:rFonts w:cs="Arial"/>
                <w:kern w:val="2"/>
                <w:sz w:val="18"/>
                <w:szCs w:val="18"/>
                <w14:ligatures w14:val="standardContextual"/>
              </w:rPr>
              <w:t>B2 General Industrial***</w:t>
            </w:r>
          </w:p>
        </w:tc>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AE1268" w14:textId="77777777" w:rsidR="00B10545" w:rsidRDefault="00B10545">
            <w:pPr>
              <w:keepNext/>
              <w:keepLines/>
              <w:spacing w:before="40" w:after="40" w:line="240" w:lineRule="auto"/>
              <w:rPr>
                <w:rFonts w:cs="Arial"/>
                <w:color w:val="C00000"/>
                <w:kern w:val="2"/>
                <w:sz w:val="18"/>
                <w:szCs w:val="18"/>
                <w14:ligatures w14:val="standardContextual"/>
              </w:rPr>
            </w:pPr>
            <w:r>
              <w:rPr>
                <w:rFonts w:cs="Arial"/>
                <w:color w:val="C00000"/>
                <w:kern w:val="2"/>
                <w:sz w:val="18"/>
                <w:szCs w:val="18"/>
                <w14:ligatures w14:val="standardContextual"/>
              </w:rPr>
              <w:t>-2,415</w:t>
            </w:r>
          </w:p>
        </w:tc>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04E0BF" w14:textId="77777777" w:rsidR="00B10545" w:rsidRDefault="00B10545">
            <w:pPr>
              <w:keepNext/>
              <w:keepLines/>
              <w:spacing w:before="40" w:after="40" w:line="240" w:lineRule="auto"/>
              <w:rPr>
                <w:rFonts w:cs="Arial"/>
                <w:color w:val="C00000"/>
                <w:kern w:val="2"/>
                <w:sz w:val="18"/>
                <w:szCs w:val="18"/>
                <w14:ligatures w14:val="standardContextual"/>
              </w:rPr>
            </w:pPr>
            <w:r>
              <w:rPr>
                <w:rFonts w:cs="Arial"/>
                <w:color w:val="C00000"/>
                <w:kern w:val="2"/>
                <w:sz w:val="18"/>
                <w:szCs w:val="18"/>
                <w14:ligatures w14:val="standardContextual"/>
              </w:rPr>
              <w:t>-2,218</w:t>
            </w: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2EC55F" w14:textId="77777777" w:rsidR="00B10545" w:rsidRDefault="00B10545">
            <w:pPr>
              <w:keepNext/>
              <w:keepLines/>
              <w:spacing w:before="40" w:after="40" w:line="240" w:lineRule="auto"/>
              <w:rPr>
                <w:rFonts w:cs="Arial"/>
                <w:color w:val="C00000"/>
                <w:kern w:val="2"/>
                <w:sz w:val="18"/>
                <w:szCs w:val="18"/>
                <w14:ligatures w14:val="standardContextual"/>
              </w:rPr>
            </w:pPr>
            <w:r>
              <w:rPr>
                <w:rFonts w:cs="Arial"/>
                <w:color w:val="C00000"/>
                <w:kern w:val="2"/>
                <w:sz w:val="18"/>
                <w:szCs w:val="18"/>
                <w14:ligatures w14:val="standardContextual"/>
              </w:rPr>
              <w:t>-1,696</w:t>
            </w:r>
          </w:p>
        </w:tc>
      </w:tr>
      <w:tr w:rsidR="00B10545" w14:paraId="7E376C03" w14:textId="77777777" w:rsidTr="00B10545">
        <w:trPr>
          <w:trHeight w:val="281"/>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188C8A" w14:textId="77777777" w:rsidR="00B10545" w:rsidRDefault="00B10545">
            <w:pPr>
              <w:keepNext/>
              <w:keepLines/>
              <w:spacing w:before="40" w:after="40" w:line="240" w:lineRule="auto"/>
              <w:rPr>
                <w:rFonts w:cs="Arial"/>
                <w:kern w:val="2"/>
                <w:sz w:val="18"/>
                <w:szCs w:val="18"/>
                <w14:ligatures w14:val="standardContextual"/>
              </w:rPr>
            </w:pPr>
            <w:r>
              <w:rPr>
                <w:rFonts w:cs="Arial"/>
                <w:kern w:val="2"/>
                <w:sz w:val="18"/>
                <w:szCs w:val="18"/>
                <w14:ligatures w14:val="standardContextual"/>
              </w:rPr>
              <w:t>B8 Warehousing****</w:t>
            </w:r>
          </w:p>
        </w:tc>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D4422F" w14:textId="77777777" w:rsidR="00B10545" w:rsidRDefault="00B10545">
            <w:pPr>
              <w:keepNext/>
              <w:keepLines/>
              <w:spacing w:before="40" w:after="40" w:line="240" w:lineRule="auto"/>
              <w:rPr>
                <w:rFonts w:cs="Arial"/>
                <w:kern w:val="2"/>
                <w:sz w:val="18"/>
                <w:szCs w:val="18"/>
                <w14:ligatures w14:val="standardContextual"/>
              </w:rPr>
            </w:pPr>
            <w:r>
              <w:rPr>
                <w:rFonts w:cs="Arial"/>
                <w:kern w:val="2"/>
                <w:sz w:val="18"/>
                <w:szCs w:val="18"/>
                <w14:ligatures w14:val="standardContextual"/>
              </w:rPr>
              <w:t>212</w:t>
            </w:r>
          </w:p>
        </w:tc>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FBB374" w14:textId="77777777" w:rsidR="00B10545" w:rsidRDefault="00B10545">
            <w:pPr>
              <w:keepNext/>
              <w:keepLines/>
              <w:spacing w:before="40" w:after="40" w:line="240" w:lineRule="auto"/>
              <w:rPr>
                <w:rFonts w:cs="Arial"/>
                <w:kern w:val="2"/>
                <w:sz w:val="18"/>
                <w:szCs w:val="18"/>
                <w14:ligatures w14:val="standardContextual"/>
              </w:rPr>
            </w:pPr>
            <w:r>
              <w:rPr>
                <w:rFonts w:cs="Arial"/>
                <w:kern w:val="2"/>
                <w:sz w:val="18"/>
                <w:szCs w:val="18"/>
                <w14:ligatures w14:val="standardContextual"/>
              </w:rPr>
              <w:t>367</w:t>
            </w: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2053B1" w14:textId="77777777" w:rsidR="00B10545" w:rsidRDefault="00B10545">
            <w:pPr>
              <w:keepNext/>
              <w:keepLines/>
              <w:spacing w:before="40" w:after="40" w:line="240" w:lineRule="auto"/>
              <w:rPr>
                <w:rFonts w:cs="Arial"/>
                <w:kern w:val="2"/>
                <w:sz w:val="18"/>
                <w:szCs w:val="18"/>
                <w14:ligatures w14:val="standardContextual"/>
              </w:rPr>
            </w:pPr>
            <w:r>
              <w:rPr>
                <w:rFonts w:cs="Arial"/>
                <w:kern w:val="2"/>
                <w:sz w:val="18"/>
                <w:szCs w:val="18"/>
                <w14:ligatures w14:val="standardContextual"/>
              </w:rPr>
              <w:t>382</w:t>
            </w:r>
          </w:p>
        </w:tc>
      </w:tr>
      <w:tr w:rsidR="00B10545" w14:paraId="1BDFE534" w14:textId="77777777" w:rsidTr="00B10545">
        <w:trPr>
          <w:trHeight w:val="276"/>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37B091" w14:textId="77777777" w:rsidR="00B10545" w:rsidRDefault="00B10545">
            <w:pPr>
              <w:keepNext/>
              <w:keepLines/>
              <w:spacing w:before="40" w:after="40" w:line="240" w:lineRule="auto"/>
              <w:rPr>
                <w:rFonts w:cs="Arial"/>
                <w:kern w:val="2"/>
                <w:sz w:val="18"/>
                <w:szCs w:val="18"/>
                <w14:ligatures w14:val="standardContextual"/>
              </w:rPr>
            </w:pPr>
            <w:proofErr w:type="gramStart"/>
            <w:r>
              <w:rPr>
                <w:rFonts w:cs="Arial"/>
                <w:kern w:val="2"/>
                <w:sz w:val="18"/>
                <w:szCs w:val="18"/>
                <w14:ligatures w14:val="standardContextual"/>
              </w:rPr>
              <w:t>Non B</w:t>
            </w:r>
            <w:proofErr w:type="gramEnd"/>
            <w:r>
              <w:rPr>
                <w:rFonts w:cs="Arial"/>
                <w:kern w:val="2"/>
                <w:sz w:val="18"/>
                <w:szCs w:val="18"/>
                <w14:ligatures w14:val="standardContextual"/>
              </w:rPr>
              <w:t xml:space="preserve"> Class Jobs</w:t>
            </w:r>
          </w:p>
        </w:tc>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7D7FB9" w14:textId="77777777" w:rsidR="00B10545" w:rsidRDefault="00B10545">
            <w:pPr>
              <w:keepNext/>
              <w:keepLines/>
              <w:spacing w:before="40" w:after="40" w:line="240" w:lineRule="auto"/>
              <w:rPr>
                <w:rFonts w:cs="Arial"/>
                <w:kern w:val="2"/>
                <w:sz w:val="18"/>
                <w:szCs w:val="18"/>
                <w14:ligatures w14:val="standardContextual"/>
              </w:rPr>
            </w:pPr>
            <w:r>
              <w:rPr>
                <w:rFonts w:cs="Arial"/>
                <w:kern w:val="2"/>
                <w:sz w:val="18"/>
                <w:szCs w:val="18"/>
                <w14:ligatures w14:val="standardContextual"/>
              </w:rPr>
              <w:t>5,439</w:t>
            </w:r>
          </w:p>
        </w:tc>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9995E8" w14:textId="77777777" w:rsidR="00B10545" w:rsidRDefault="00B10545">
            <w:pPr>
              <w:keepNext/>
              <w:keepLines/>
              <w:spacing w:before="40" w:after="40" w:line="240" w:lineRule="auto"/>
              <w:rPr>
                <w:rFonts w:cs="Arial"/>
                <w:kern w:val="2"/>
                <w:sz w:val="18"/>
                <w:szCs w:val="18"/>
                <w14:ligatures w14:val="standardContextual"/>
              </w:rPr>
            </w:pPr>
            <w:r>
              <w:rPr>
                <w:rFonts w:cs="Arial"/>
                <w:kern w:val="2"/>
                <w:sz w:val="18"/>
                <w:szCs w:val="18"/>
                <w14:ligatures w14:val="standardContextual"/>
              </w:rPr>
              <w:t>5,916</w:t>
            </w: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189382" w14:textId="77777777" w:rsidR="00B10545" w:rsidRDefault="00B10545">
            <w:pPr>
              <w:keepNext/>
              <w:keepLines/>
              <w:spacing w:before="40" w:after="40" w:line="240" w:lineRule="auto"/>
              <w:rPr>
                <w:rFonts w:cs="Arial"/>
                <w:kern w:val="2"/>
                <w:sz w:val="18"/>
                <w:szCs w:val="18"/>
                <w14:ligatures w14:val="standardContextual"/>
              </w:rPr>
            </w:pPr>
            <w:r>
              <w:rPr>
                <w:rFonts w:cs="Arial"/>
                <w:kern w:val="2"/>
                <w:sz w:val="18"/>
                <w:szCs w:val="18"/>
                <w14:ligatures w14:val="standardContextual"/>
              </w:rPr>
              <w:t>5,410</w:t>
            </w:r>
          </w:p>
        </w:tc>
      </w:tr>
      <w:tr w:rsidR="00B10545" w14:paraId="3E01DC29" w14:textId="77777777" w:rsidTr="00B10545">
        <w:trPr>
          <w:trHeight w:val="370"/>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68C2D8" w14:textId="77777777" w:rsidR="00B10545" w:rsidRDefault="00B10545">
            <w:pPr>
              <w:keepNext/>
              <w:keepLines/>
              <w:spacing w:before="40" w:after="40" w:line="240" w:lineRule="auto"/>
              <w:rPr>
                <w:rFonts w:cs="Arial"/>
                <w:b/>
                <w:kern w:val="2"/>
                <w:sz w:val="18"/>
                <w:szCs w:val="18"/>
                <w14:ligatures w14:val="standardContextual"/>
              </w:rPr>
            </w:pPr>
            <w:r>
              <w:rPr>
                <w:rFonts w:cs="Arial"/>
                <w:b/>
                <w:kern w:val="2"/>
                <w:sz w:val="18"/>
                <w:szCs w:val="18"/>
                <w14:ligatures w14:val="standardContextual"/>
              </w:rPr>
              <w:t>Total Office/Industrial/Distribution</w:t>
            </w:r>
          </w:p>
        </w:tc>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07D933" w14:textId="77777777" w:rsidR="00B10545" w:rsidRDefault="00B10545">
            <w:pPr>
              <w:keepNext/>
              <w:keepLines/>
              <w:spacing w:before="40" w:after="40" w:line="240" w:lineRule="auto"/>
              <w:rPr>
                <w:rFonts w:cs="Arial"/>
                <w:b/>
                <w:bCs/>
                <w:kern w:val="2"/>
                <w:sz w:val="18"/>
                <w:szCs w:val="18"/>
                <w14:ligatures w14:val="standardContextual"/>
              </w:rPr>
            </w:pPr>
            <w:r>
              <w:rPr>
                <w:rFonts w:cs="Arial"/>
                <w:b/>
                <w:bCs/>
                <w:kern w:val="2"/>
                <w:sz w:val="18"/>
                <w:szCs w:val="18"/>
                <w14:ligatures w14:val="standardContextual"/>
              </w:rPr>
              <w:t>-1,739</w:t>
            </w:r>
          </w:p>
        </w:tc>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242F67" w14:textId="77777777" w:rsidR="00B10545" w:rsidRDefault="00B10545">
            <w:pPr>
              <w:keepNext/>
              <w:keepLines/>
              <w:spacing w:before="40" w:after="40" w:line="240" w:lineRule="auto"/>
              <w:rPr>
                <w:rFonts w:cs="Arial"/>
                <w:b/>
                <w:bCs/>
                <w:kern w:val="2"/>
                <w:sz w:val="18"/>
                <w:szCs w:val="18"/>
                <w14:ligatures w14:val="standardContextual"/>
              </w:rPr>
            </w:pPr>
            <w:r>
              <w:rPr>
                <w:rFonts w:cs="Arial"/>
                <w:b/>
                <w:bCs/>
                <w:kern w:val="2"/>
                <w:sz w:val="18"/>
                <w:szCs w:val="18"/>
                <w14:ligatures w14:val="standardContextual"/>
              </w:rPr>
              <w:t>-1,216</w:t>
            </w: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3B4CE6" w14:textId="77777777" w:rsidR="00B10545" w:rsidRDefault="00B10545">
            <w:pPr>
              <w:keepNext/>
              <w:keepLines/>
              <w:spacing w:before="40" w:after="40" w:line="240" w:lineRule="auto"/>
              <w:rPr>
                <w:rFonts w:cs="Arial"/>
                <w:b/>
                <w:bCs/>
                <w:kern w:val="2"/>
                <w:sz w:val="18"/>
                <w:szCs w:val="18"/>
                <w14:ligatures w14:val="standardContextual"/>
              </w:rPr>
            </w:pPr>
            <w:r>
              <w:rPr>
                <w:rFonts w:cs="Arial"/>
                <w:b/>
                <w:bCs/>
                <w:kern w:val="2"/>
                <w:sz w:val="18"/>
                <w:szCs w:val="18"/>
                <w14:ligatures w14:val="standardContextual"/>
              </w:rPr>
              <w:t>-1,010</w:t>
            </w:r>
          </w:p>
        </w:tc>
      </w:tr>
      <w:tr w:rsidR="00B10545" w14:paraId="23468AD8" w14:textId="77777777" w:rsidTr="00B10545">
        <w:trPr>
          <w:trHeight w:val="274"/>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67EB1B" w14:textId="77777777" w:rsidR="00B10545" w:rsidRDefault="00B10545">
            <w:pPr>
              <w:keepNext/>
              <w:keepLines/>
              <w:spacing w:before="40" w:after="40" w:line="240" w:lineRule="auto"/>
              <w:rPr>
                <w:rFonts w:cs="Arial"/>
                <w:b/>
                <w:kern w:val="2"/>
                <w:sz w:val="18"/>
                <w:szCs w:val="18"/>
                <w14:ligatures w14:val="standardContextual"/>
              </w:rPr>
            </w:pPr>
            <w:r>
              <w:rPr>
                <w:rFonts w:cs="Arial"/>
                <w:b/>
                <w:kern w:val="2"/>
                <w:sz w:val="18"/>
                <w:szCs w:val="18"/>
                <w14:ligatures w14:val="standardContextual"/>
              </w:rPr>
              <w:t>Jobs in All Sectors</w:t>
            </w:r>
          </w:p>
        </w:tc>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B35F52" w14:textId="77777777" w:rsidR="00B10545" w:rsidRDefault="00B10545">
            <w:pPr>
              <w:keepNext/>
              <w:keepLines/>
              <w:spacing w:before="40" w:after="40" w:line="240" w:lineRule="auto"/>
              <w:rPr>
                <w:rFonts w:cs="Arial"/>
                <w:b/>
                <w:bCs/>
                <w:kern w:val="2"/>
                <w:sz w:val="18"/>
                <w:szCs w:val="18"/>
                <w14:ligatures w14:val="standardContextual"/>
              </w:rPr>
            </w:pPr>
            <w:r>
              <w:rPr>
                <w:rFonts w:cs="Arial"/>
                <w:b/>
                <w:bCs/>
                <w:kern w:val="2"/>
                <w:sz w:val="18"/>
                <w:szCs w:val="18"/>
                <w14:ligatures w14:val="standardContextual"/>
              </w:rPr>
              <w:t>3,700</w:t>
            </w:r>
          </w:p>
        </w:tc>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5CB7EF" w14:textId="77777777" w:rsidR="00B10545" w:rsidRDefault="00B10545">
            <w:pPr>
              <w:keepNext/>
              <w:keepLines/>
              <w:spacing w:before="40" w:after="40" w:line="240" w:lineRule="auto"/>
              <w:rPr>
                <w:rFonts w:cs="Arial"/>
                <w:b/>
                <w:bCs/>
                <w:kern w:val="2"/>
                <w:sz w:val="18"/>
                <w:szCs w:val="18"/>
                <w14:ligatures w14:val="standardContextual"/>
              </w:rPr>
            </w:pPr>
            <w:r>
              <w:rPr>
                <w:rFonts w:cs="Arial"/>
                <w:b/>
                <w:bCs/>
                <w:kern w:val="2"/>
                <w:sz w:val="18"/>
                <w:szCs w:val="18"/>
                <w14:ligatures w14:val="standardContextual"/>
              </w:rPr>
              <w:t>4,700</w:t>
            </w: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09426F" w14:textId="77777777" w:rsidR="00B10545" w:rsidRDefault="00B10545">
            <w:pPr>
              <w:keepNext/>
              <w:keepLines/>
              <w:spacing w:before="40" w:after="40" w:line="240" w:lineRule="auto"/>
              <w:rPr>
                <w:rFonts w:cs="Arial"/>
                <w:b/>
                <w:bCs/>
                <w:kern w:val="2"/>
                <w:sz w:val="18"/>
                <w:szCs w:val="18"/>
                <w14:ligatures w14:val="standardContextual"/>
              </w:rPr>
            </w:pPr>
            <w:r>
              <w:rPr>
                <w:rFonts w:cs="Arial"/>
                <w:b/>
                <w:bCs/>
                <w:kern w:val="2"/>
                <w:sz w:val="18"/>
                <w:szCs w:val="18"/>
                <w14:ligatures w14:val="standardContextual"/>
              </w:rPr>
              <w:t>4,400</w:t>
            </w:r>
          </w:p>
        </w:tc>
      </w:tr>
    </w:tbl>
    <w:p w14:paraId="6449573C" w14:textId="77777777" w:rsidR="00B10545" w:rsidRDefault="00B10545" w:rsidP="00B10545">
      <w:pPr>
        <w:pStyle w:val="Maintext"/>
        <w:tabs>
          <w:tab w:val="left" w:pos="720"/>
        </w:tabs>
        <w:spacing w:before="0"/>
        <w:ind w:left="0" w:firstLine="0"/>
        <w:rPr>
          <w:rFonts w:ascii="Calibri" w:eastAsiaTheme="minorHAnsi" w:hAnsi="Calibri" w:cstheme="minorBidi"/>
          <w:color w:val="000000" w:themeColor="text1"/>
          <w:sz w:val="16"/>
          <w:lang w:eastAsia="en-US"/>
        </w:rPr>
      </w:pPr>
      <w:r>
        <w:rPr>
          <w:rFonts w:ascii="Calibri" w:eastAsiaTheme="minorHAnsi" w:hAnsi="Calibri" w:cstheme="minorBidi"/>
          <w:color w:val="000000" w:themeColor="text1"/>
          <w:sz w:val="16"/>
          <w:lang w:eastAsia="en-US"/>
        </w:rPr>
        <w:t>Source:</w:t>
      </w:r>
      <w:r>
        <w:rPr>
          <w:rFonts w:ascii="Calibri" w:eastAsiaTheme="minorHAnsi" w:hAnsi="Calibri" w:cstheme="minorBidi"/>
          <w:color w:val="000000" w:themeColor="text1"/>
          <w:sz w:val="16"/>
          <w:lang w:eastAsia="en-US"/>
        </w:rPr>
        <w:tab/>
        <w:t>Experian March 2020 / September 2020 / Experian September 2024 / Lichfields Analysis.</w:t>
      </w:r>
    </w:p>
    <w:p w14:paraId="6CA47FAC" w14:textId="77777777" w:rsidR="00B10545" w:rsidRDefault="00B10545" w:rsidP="00B10545">
      <w:pPr>
        <w:pStyle w:val="Maintext"/>
        <w:tabs>
          <w:tab w:val="left" w:pos="720"/>
        </w:tabs>
        <w:spacing w:before="0"/>
        <w:ind w:left="0" w:firstLine="0"/>
        <w:rPr>
          <w:rFonts w:ascii="Calibri" w:eastAsiaTheme="minorHAnsi" w:hAnsi="Calibri" w:cstheme="minorBidi"/>
          <w:color w:val="000000" w:themeColor="text1"/>
          <w:sz w:val="16"/>
          <w:lang w:eastAsia="en-US"/>
        </w:rPr>
      </w:pPr>
      <w:r>
        <w:rPr>
          <w:rFonts w:ascii="Calibri" w:eastAsiaTheme="minorHAnsi" w:hAnsi="Calibri" w:cstheme="minorBidi"/>
          <w:color w:val="000000" w:themeColor="text1"/>
          <w:sz w:val="16"/>
          <w:lang w:eastAsia="en-US"/>
        </w:rPr>
        <w:t>*</w:t>
      </w:r>
      <w:r>
        <w:rPr>
          <w:rFonts w:ascii="Calibri" w:eastAsiaTheme="minorHAnsi" w:hAnsi="Calibri" w:cstheme="minorBidi"/>
          <w:color w:val="000000" w:themeColor="text1"/>
          <w:sz w:val="16"/>
          <w:lang w:eastAsia="en-US"/>
        </w:rPr>
        <w:tab/>
      </w:r>
      <w:proofErr w:type="gramStart"/>
      <w:r>
        <w:rPr>
          <w:rFonts w:ascii="Calibri" w:eastAsiaTheme="minorHAnsi" w:hAnsi="Calibri" w:cstheme="minorBidi"/>
          <w:color w:val="000000" w:themeColor="text1"/>
          <w:sz w:val="16"/>
          <w:lang w:eastAsia="en-US"/>
        </w:rPr>
        <w:t>includes</w:t>
      </w:r>
      <w:proofErr w:type="gramEnd"/>
      <w:r>
        <w:rPr>
          <w:rFonts w:ascii="Calibri" w:eastAsiaTheme="minorHAnsi" w:hAnsi="Calibri" w:cstheme="minorBidi"/>
          <w:color w:val="000000" w:themeColor="text1"/>
          <w:sz w:val="16"/>
          <w:lang w:eastAsia="en-US"/>
        </w:rPr>
        <w:t xml:space="preserve"> a proportion of public sector employment and administration &amp; support services</w:t>
      </w:r>
    </w:p>
    <w:p w14:paraId="7DC2D261" w14:textId="77777777" w:rsidR="00B10545" w:rsidRDefault="00B10545" w:rsidP="00B10545">
      <w:pPr>
        <w:pStyle w:val="Maintext"/>
        <w:tabs>
          <w:tab w:val="left" w:pos="720"/>
        </w:tabs>
        <w:spacing w:before="0"/>
        <w:ind w:left="0" w:firstLine="0"/>
        <w:rPr>
          <w:rFonts w:ascii="Calibri" w:eastAsiaTheme="minorHAnsi" w:hAnsi="Calibri" w:cstheme="minorBidi"/>
          <w:color w:val="000000" w:themeColor="text1"/>
          <w:sz w:val="16"/>
          <w:lang w:eastAsia="en-US"/>
        </w:rPr>
      </w:pPr>
      <w:r>
        <w:rPr>
          <w:rFonts w:ascii="Calibri" w:eastAsiaTheme="minorHAnsi" w:hAnsi="Calibri" w:cstheme="minorBidi"/>
          <w:color w:val="000000" w:themeColor="text1"/>
          <w:sz w:val="16"/>
          <w:lang w:eastAsia="en-US"/>
        </w:rPr>
        <w:t>**</w:t>
      </w:r>
      <w:r>
        <w:rPr>
          <w:rFonts w:ascii="Calibri" w:eastAsiaTheme="minorHAnsi" w:hAnsi="Calibri" w:cstheme="minorBidi"/>
          <w:color w:val="000000" w:themeColor="text1"/>
          <w:sz w:val="16"/>
          <w:lang w:eastAsia="en-US"/>
        </w:rPr>
        <w:tab/>
        <w:t>includes some manufacturing, vehicle repair and some construction activities</w:t>
      </w:r>
    </w:p>
    <w:p w14:paraId="360DDED5" w14:textId="77777777" w:rsidR="00B10545" w:rsidRDefault="00B10545" w:rsidP="00B10545">
      <w:pPr>
        <w:pStyle w:val="Maintext"/>
        <w:tabs>
          <w:tab w:val="left" w:pos="720"/>
        </w:tabs>
        <w:spacing w:before="0"/>
        <w:ind w:left="0" w:firstLine="0"/>
        <w:rPr>
          <w:rFonts w:ascii="Calibri" w:eastAsiaTheme="minorHAnsi" w:hAnsi="Calibri" w:cstheme="minorBidi"/>
          <w:color w:val="000000" w:themeColor="text1"/>
          <w:sz w:val="16"/>
          <w:lang w:eastAsia="en-US"/>
        </w:rPr>
      </w:pPr>
      <w:r>
        <w:rPr>
          <w:rFonts w:ascii="Calibri" w:eastAsiaTheme="minorHAnsi" w:hAnsi="Calibri" w:cstheme="minorBidi"/>
          <w:color w:val="000000" w:themeColor="text1"/>
          <w:sz w:val="16"/>
          <w:lang w:eastAsia="en-US"/>
        </w:rPr>
        <w:t>***</w:t>
      </w:r>
      <w:r>
        <w:rPr>
          <w:rFonts w:ascii="Calibri" w:eastAsiaTheme="minorHAnsi" w:hAnsi="Calibri" w:cstheme="minorBidi"/>
          <w:color w:val="000000" w:themeColor="text1"/>
          <w:sz w:val="16"/>
          <w:lang w:eastAsia="en-US"/>
        </w:rPr>
        <w:tab/>
        <w:t>includes manufacturing and some construction/utilities</w:t>
      </w:r>
    </w:p>
    <w:p w14:paraId="4D2A5424" w14:textId="77777777" w:rsidR="00B10545" w:rsidRDefault="00B10545" w:rsidP="00B10545">
      <w:pPr>
        <w:pStyle w:val="Maintext"/>
        <w:tabs>
          <w:tab w:val="left" w:pos="720"/>
        </w:tabs>
        <w:spacing w:before="0"/>
        <w:ind w:left="0" w:firstLine="0"/>
        <w:rPr>
          <w:rFonts w:ascii="Calibri" w:eastAsiaTheme="minorHAnsi" w:hAnsi="Calibri" w:cstheme="minorBidi"/>
          <w:color w:val="000000" w:themeColor="text1"/>
          <w:sz w:val="16"/>
          <w:lang w:eastAsia="en-US"/>
        </w:rPr>
      </w:pPr>
      <w:r>
        <w:rPr>
          <w:rFonts w:ascii="Calibri" w:eastAsiaTheme="minorHAnsi" w:hAnsi="Calibri" w:cstheme="minorBidi"/>
          <w:color w:val="000000" w:themeColor="text1"/>
          <w:sz w:val="16"/>
          <w:lang w:eastAsia="en-US"/>
        </w:rPr>
        <w:t>****</w:t>
      </w:r>
      <w:r>
        <w:rPr>
          <w:rFonts w:ascii="Calibri" w:eastAsiaTheme="minorHAnsi" w:hAnsi="Calibri" w:cstheme="minorBidi"/>
          <w:color w:val="000000" w:themeColor="text1"/>
          <w:sz w:val="16"/>
          <w:lang w:eastAsia="en-US"/>
        </w:rPr>
        <w:tab/>
        <w:t>includes elements of transport &amp; communications sectors</w:t>
      </w:r>
    </w:p>
    <w:p w14:paraId="6BEABCD8" w14:textId="77777777" w:rsidR="00B10545" w:rsidRDefault="00B10545" w:rsidP="00B10545">
      <w:pPr>
        <w:jc w:val="left"/>
        <w:rPr>
          <w:rFonts w:eastAsiaTheme="majorEastAsia"/>
        </w:rPr>
      </w:pPr>
    </w:p>
    <w:p w14:paraId="275BAD85" w14:textId="01E51856" w:rsidR="00B10545" w:rsidRDefault="003A4473" w:rsidP="003A4473">
      <w:pPr>
        <w:ind w:left="720" w:hanging="720"/>
        <w:jc w:val="left"/>
      </w:pPr>
      <w:r>
        <w:t>4.</w:t>
      </w:r>
      <w:r w:rsidR="0064290E">
        <w:t>3</w:t>
      </w:r>
      <w:r>
        <w:t>.18</w:t>
      </w:r>
      <w:r>
        <w:tab/>
      </w:r>
      <w:r w:rsidR="00B10545">
        <w:t xml:space="preserve">Applying the same assumptions re: losses, margin etc, then the overall industrial land requirement is around </w:t>
      </w:r>
      <w:r w:rsidR="00B10545">
        <w:rPr>
          <w:rFonts w:eastAsiaTheme="majorEastAsia"/>
        </w:rPr>
        <w:t>3.65</w:t>
      </w:r>
      <w:r w:rsidR="00B10545">
        <w:t xml:space="preserve"> ha higher than the September 2020 scenario, and 7.41 ha higher than the March 2020 Experian scenario (see </w:t>
      </w:r>
      <w:r w:rsidR="00B10545">
        <w:fldChar w:fldCharType="begin"/>
      </w:r>
      <w:r w:rsidR="00B10545">
        <w:instrText xml:space="preserve"> REF _Ref184206337 \h </w:instrText>
      </w:r>
      <w:r w:rsidR="00B10545">
        <w:fldChar w:fldCharType="separate"/>
      </w:r>
      <w:r w:rsidR="00B10545">
        <w:t xml:space="preserve">Table </w:t>
      </w:r>
      <w:r w:rsidR="00B10545">
        <w:rPr>
          <w:noProof/>
        </w:rPr>
        <w:t>1</w:t>
      </w:r>
      <w:r w:rsidR="00B10545">
        <w:t>.</w:t>
      </w:r>
      <w:r w:rsidR="00B10545">
        <w:rPr>
          <w:noProof/>
        </w:rPr>
        <w:t>4</w:t>
      </w:r>
      <w:r w:rsidR="00B10545">
        <w:fldChar w:fldCharType="end"/>
      </w:r>
      <w:r w:rsidR="00B10545">
        <w:t xml:space="preserve">).  The office floorspace requirement is, however, much lower, between -2,971 sqm and -5,412 sqm below the earlier Experian scenarios.  </w:t>
      </w:r>
    </w:p>
    <w:p w14:paraId="031C9552" w14:textId="77777777" w:rsidR="00B10545" w:rsidRDefault="00B10545" w:rsidP="00B10545">
      <w:pPr>
        <w:pStyle w:val="ReportCaption"/>
        <w:keepLines/>
        <w:ind w:left="0"/>
      </w:pPr>
      <w:bookmarkStart w:id="7" w:name="_Ref184206337"/>
      <w:r>
        <w:t xml:space="preserve">Table </w:t>
      </w:r>
      <w:r>
        <w:fldChar w:fldCharType="begin"/>
      </w:r>
      <w:r>
        <w:instrText xml:space="preserve"> STYLEREF 1 \s </w:instrText>
      </w:r>
      <w:r>
        <w:fldChar w:fldCharType="separate"/>
      </w:r>
      <w:r>
        <w:rPr>
          <w:noProof/>
        </w:rPr>
        <w:t>1</w:t>
      </w:r>
      <w:r>
        <w:fldChar w:fldCharType="end"/>
      </w:r>
      <w:r>
        <w:t>.</w:t>
      </w:r>
      <w:r>
        <w:fldChar w:fldCharType="begin"/>
      </w:r>
      <w:r>
        <w:instrText xml:space="preserve"> SEQ Table \* ARABIC \s 1 </w:instrText>
      </w:r>
      <w:r>
        <w:fldChar w:fldCharType="separate"/>
      </w:r>
      <w:r>
        <w:rPr>
          <w:noProof/>
        </w:rPr>
        <w:t>4</w:t>
      </w:r>
      <w:r>
        <w:fldChar w:fldCharType="end"/>
      </w:r>
      <w:bookmarkEnd w:id="7"/>
      <w:r>
        <w:t xml:space="preserve">  Ashfield District Gross Employment Land Comparisons 2023-2040</w:t>
      </w:r>
    </w:p>
    <w:tbl>
      <w:tblPr>
        <w:tblStyle w:val="NLPColour"/>
        <w:tblW w:w="9750" w:type="dxa"/>
        <w:tblInd w:w="-5" w:type="dxa"/>
        <w:tblLayout w:type="fixed"/>
        <w:tblLook w:val="04A0" w:firstRow="1" w:lastRow="0" w:firstColumn="1" w:lastColumn="0" w:noHBand="0" w:noVBand="1"/>
      </w:tblPr>
      <w:tblGrid>
        <w:gridCol w:w="2470"/>
        <w:gridCol w:w="1934"/>
        <w:gridCol w:w="1646"/>
        <w:gridCol w:w="1851"/>
        <w:gridCol w:w="1849"/>
      </w:tblGrid>
      <w:tr w:rsidR="00B10545" w14:paraId="540CDAFF" w14:textId="77777777" w:rsidTr="00B10545">
        <w:trPr>
          <w:cnfStyle w:val="100000000000" w:firstRow="1" w:lastRow="0" w:firstColumn="0" w:lastColumn="0" w:oddVBand="0" w:evenVBand="0" w:oddHBand="0" w:evenHBand="0" w:firstRowFirstColumn="0" w:firstRowLastColumn="0" w:lastRowFirstColumn="0" w:lastRowLastColumn="0"/>
          <w:tblHeader/>
        </w:trPr>
        <w:tc>
          <w:tcPr>
            <w:tcW w:w="1267" w:type="pct"/>
            <w:tcBorders>
              <w:top w:val="single" w:sz="4" w:space="0" w:color="auto"/>
              <w:left w:val="single" w:sz="4" w:space="0" w:color="auto"/>
              <w:bottom w:val="single" w:sz="4" w:space="0" w:color="FFFFFF" w:themeColor="background1"/>
              <w:right w:val="single" w:sz="4" w:space="0" w:color="auto"/>
            </w:tcBorders>
            <w:shd w:val="clear" w:color="auto" w:fill="E6E6E6" w:themeFill="background1" w:themeFillShade="E6"/>
            <w:vAlign w:val="center"/>
            <w:hideMark/>
          </w:tcPr>
          <w:p w14:paraId="7A9921A2" w14:textId="77777777" w:rsidR="00B10545" w:rsidRDefault="00B10545">
            <w:pPr>
              <w:pStyle w:val="TableStyle"/>
              <w:keepNext/>
              <w:rPr>
                <w:rFonts w:ascii="Arial" w:hAnsi="Arial"/>
                <w:sz w:val="18"/>
                <w:szCs w:val="18"/>
              </w:rPr>
            </w:pPr>
            <w:r>
              <w:rPr>
                <w:rFonts w:ascii="Arial" w:hAnsi="Arial"/>
                <w:sz w:val="18"/>
                <w:szCs w:val="18"/>
              </w:rPr>
              <w:t>Scenario</w:t>
            </w:r>
          </w:p>
        </w:tc>
        <w:tc>
          <w:tcPr>
            <w:tcW w:w="992" w:type="pct"/>
            <w:tcBorders>
              <w:top w:val="single" w:sz="4" w:space="0" w:color="auto"/>
              <w:left w:val="single" w:sz="4" w:space="0" w:color="auto"/>
              <w:bottom w:val="single" w:sz="4" w:space="0" w:color="auto"/>
              <w:right w:val="single" w:sz="4" w:space="0" w:color="auto"/>
            </w:tcBorders>
            <w:shd w:val="clear" w:color="auto" w:fill="E6E6E6" w:themeFill="background1" w:themeFillShade="E6"/>
            <w:vAlign w:val="center"/>
          </w:tcPr>
          <w:p w14:paraId="5FAC428E" w14:textId="77777777" w:rsidR="00B10545" w:rsidRDefault="00B10545">
            <w:pPr>
              <w:pStyle w:val="TableStyle"/>
              <w:keepNext/>
              <w:rPr>
                <w:rFonts w:ascii="Arial" w:hAnsi="Arial"/>
                <w:sz w:val="18"/>
                <w:szCs w:val="18"/>
              </w:rPr>
            </w:pPr>
          </w:p>
        </w:tc>
        <w:tc>
          <w:tcPr>
            <w:tcW w:w="844" w:type="pct"/>
            <w:tcBorders>
              <w:top w:val="single" w:sz="4" w:space="0" w:color="auto"/>
              <w:left w:val="single" w:sz="4" w:space="0" w:color="auto"/>
              <w:bottom w:val="single" w:sz="4" w:space="0" w:color="auto"/>
              <w:right w:val="single" w:sz="4" w:space="0" w:color="auto"/>
            </w:tcBorders>
            <w:shd w:val="clear" w:color="auto" w:fill="E6E6E6" w:themeFill="background1" w:themeFillShade="E6"/>
            <w:vAlign w:val="center"/>
            <w:hideMark/>
          </w:tcPr>
          <w:p w14:paraId="6E823858" w14:textId="77777777" w:rsidR="00B10545" w:rsidRDefault="00B10545">
            <w:pPr>
              <w:keepNext/>
              <w:rPr>
                <w:rFonts w:cs="Arial"/>
                <w:b/>
                <w:sz w:val="18"/>
                <w:szCs w:val="18"/>
              </w:rPr>
            </w:pPr>
            <w:r>
              <w:rPr>
                <w:rFonts w:cs="Arial"/>
                <w:b/>
                <w:sz w:val="18"/>
                <w:szCs w:val="18"/>
              </w:rPr>
              <w:t>Offices / R&amp;D (sqm)</w:t>
            </w:r>
          </w:p>
        </w:tc>
        <w:tc>
          <w:tcPr>
            <w:tcW w:w="949" w:type="pct"/>
            <w:tcBorders>
              <w:top w:val="single" w:sz="4" w:space="0" w:color="auto"/>
              <w:left w:val="single" w:sz="4" w:space="0" w:color="auto"/>
              <w:bottom w:val="single" w:sz="4" w:space="0" w:color="auto"/>
              <w:right w:val="single" w:sz="4" w:space="0" w:color="auto"/>
            </w:tcBorders>
            <w:shd w:val="clear" w:color="auto" w:fill="E6E6E6" w:themeFill="background1" w:themeFillShade="E6"/>
            <w:vAlign w:val="center"/>
            <w:hideMark/>
          </w:tcPr>
          <w:p w14:paraId="14B8845A" w14:textId="77777777" w:rsidR="00B10545" w:rsidRDefault="00B10545">
            <w:pPr>
              <w:keepNext/>
              <w:rPr>
                <w:rFonts w:cs="Arial"/>
                <w:b/>
                <w:sz w:val="18"/>
                <w:szCs w:val="18"/>
              </w:rPr>
            </w:pPr>
            <w:r>
              <w:rPr>
                <w:rFonts w:cs="Arial"/>
                <w:b/>
                <w:sz w:val="18"/>
                <w:szCs w:val="18"/>
              </w:rPr>
              <w:t>Total Industrial (ha)</w:t>
            </w:r>
          </w:p>
        </w:tc>
        <w:tc>
          <w:tcPr>
            <w:tcW w:w="948" w:type="pct"/>
            <w:tcBorders>
              <w:top w:val="single" w:sz="4" w:space="0" w:color="auto"/>
              <w:left w:val="single" w:sz="4" w:space="0" w:color="auto"/>
              <w:bottom w:val="single" w:sz="4" w:space="0" w:color="auto"/>
              <w:right w:val="single" w:sz="4" w:space="0" w:color="auto"/>
            </w:tcBorders>
            <w:shd w:val="clear" w:color="auto" w:fill="E6E6E6" w:themeFill="background1" w:themeFillShade="E6"/>
            <w:vAlign w:val="center"/>
            <w:hideMark/>
          </w:tcPr>
          <w:p w14:paraId="05BA3841" w14:textId="77777777" w:rsidR="00B10545" w:rsidRDefault="00B10545">
            <w:pPr>
              <w:keepNext/>
              <w:rPr>
                <w:rFonts w:cs="Arial"/>
                <w:b/>
                <w:sz w:val="18"/>
                <w:szCs w:val="18"/>
              </w:rPr>
            </w:pPr>
            <w:r>
              <w:rPr>
                <w:rFonts w:cs="Arial"/>
                <w:b/>
                <w:sz w:val="18"/>
                <w:szCs w:val="18"/>
              </w:rPr>
              <w:t>ALL (ha)</w:t>
            </w:r>
          </w:p>
        </w:tc>
      </w:tr>
      <w:tr w:rsidR="00B10545" w14:paraId="79C7C067" w14:textId="77777777" w:rsidTr="00B10545">
        <w:tc>
          <w:tcPr>
            <w:tcW w:w="1267" w:type="pct"/>
            <w:vMerge w:val="restart"/>
            <w:tcBorders>
              <w:top w:val="single" w:sz="4" w:space="0" w:color="auto"/>
              <w:left w:val="single" w:sz="4" w:space="0" w:color="auto"/>
              <w:bottom w:val="single" w:sz="4" w:space="0" w:color="auto"/>
              <w:right w:val="single" w:sz="4" w:space="0" w:color="auto"/>
            </w:tcBorders>
            <w:hideMark/>
          </w:tcPr>
          <w:p w14:paraId="0C3A4A1F" w14:textId="77777777" w:rsidR="00B10545" w:rsidRDefault="00B10545">
            <w:pPr>
              <w:pStyle w:val="TableStyle"/>
              <w:keepNext/>
              <w:rPr>
                <w:rFonts w:ascii="Arial" w:hAnsi="Arial"/>
                <w:b/>
                <w:sz w:val="18"/>
                <w:szCs w:val="18"/>
              </w:rPr>
            </w:pPr>
            <w:r>
              <w:rPr>
                <w:rFonts w:ascii="Arial" w:hAnsi="Arial"/>
                <w:b/>
                <w:sz w:val="18"/>
                <w:szCs w:val="18"/>
              </w:rPr>
              <w:t>1) Experian September 2020 Baseline</w:t>
            </w:r>
          </w:p>
        </w:tc>
        <w:tc>
          <w:tcPr>
            <w:tcW w:w="992" w:type="pct"/>
            <w:tcBorders>
              <w:top w:val="single" w:sz="4" w:space="0" w:color="auto"/>
              <w:left w:val="single" w:sz="4" w:space="0" w:color="auto"/>
              <w:bottom w:val="single" w:sz="4" w:space="0" w:color="auto"/>
              <w:right w:val="single" w:sz="4" w:space="0" w:color="auto"/>
            </w:tcBorders>
            <w:hideMark/>
          </w:tcPr>
          <w:p w14:paraId="333A46CD" w14:textId="77777777" w:rsidR="00B10545" w:rsidRDefault="00B10545">
            <w:pPr>
              <w:keepNext/>
              <w:rPr>
                <w:sz w:val="18"/>
                <w:szCs w:val="18"/>
              </w:rPr>
            </w:pPr>
            <w:r>
              <w:rPr>
                <w:sz w:val="18"/>
                <w:szCs w:val="18"/>
              </w:rPr>
              <w:t>Net</w:t>
            </w:r>
          </w:p>
        </w:tc>
        <w:tc>
          <w:tcPr>
            <w:tcW w:w="844" w:type="pct"/>
            <w:tcBorders>
              <w:top w:val="single" w:sz="4" w:space="0" w:color="auto"/>
              <w:left w:val="single" w:sz="4" w:space="0" w:color="auto"/>
              <w:bottom w:val="single" w:sz="4" w:space="0" w:color="auto"/>
              <w:right w:val="single" w:sz="4" w:space="0" w:color="auto"/>
            </w:tcBorders>
            <w:vAlign w:val="center"/>
            <w:hideMark/>
          </w:tcPr>
          <w:p w14:paraId="5DBB0182" w14:textId="77777777" w:rsidR="00B10545" w:rsidRDefault="00B10545">
            <w:pPr>
              <w:rPr>
                <w:sz w:val="18"/>
                <w:szCs w:val="18"/>
              </w:rPr>
            </w:pPr>
            <w:r>
              <w:rPr>
                <w:sz w:val="18"/>
                <w:szCs w:val="18"/>
              </w:rPr>
              <w:t>6,626</w:t>
            </w:r>
          </w:p>
        </w:tc>
        <w:tc>
          <w:tcPr>
            <w:tcW w:w="949" w:type="pct"/>
            <w:tcBorders>
              <w:top w:val="single" w:sz="4" w:space="0" w:color="auto"/>
              <w:left w:val="single" w:sz="4" w:space="0" w:color="auto"/>
              <w:bottom w:val="single" w:sz="4" w:space="0" w:color="auto"/>
              <w:right w:val="single" w:sz="4" w:space="0" w:color="auto"/>
            </w:tcBorders>
            <w:vAlign w:val="center"/>
            <w:hideMark/>
          </w:tcPr>
          <w:p w14:paraId="6A35CCAA" w14:textId="77777777" w:rsidR="00B10545" w:rsidRDefault="00B10545">
            <w:pPr>
              <w:rPr>
                <w:sz w:val="18"/>
                <w:szCs w:val="18"/>
              </w:rPr>
            </w:pPr>
            <w:r>
              <w:rPr>
                <w:sz w:val="18"/>
                <w:szCs w:val="18"/>
              </w:rPr>
              <w:t>-</w:t>
            </w:r>
            <w:r>
              <w:rPr>
                <w:color w:val="C00000"/>
                <w:sz w:val="18"/>
                <w:szCs w:val="18"/>
              </w:rPr>
              <w:t>0.76</w:t>
            </w:r>
          </w:p>
        </w:tc>
        <w:tc>
          <w:tcPr>
            <w:tcW w:w="948" w:type="pct"/>
            <w:tcBorders>
              <w:top w:val="single" w:sz="4" w:space="0" w:color="auto"/>
              <w:left w:val="single" w:sz="4" w:space="0" w:color="auto"/>
              <w:bottom w:val="single" w:sz="4" w:space="0" w:color="auto"/>
              <w:right w:val="single" w:sz="4" w:space="0" w:color="auto"/>
            </w:tcBorders>
            <w:vAlign w:val="center"/>
            <w:hideMark/>
          </w:tcPr>
          <w:p w14:paraId="2CF979F0" w14:textId="77777777" w:rsidR="00B10545" w:rsidRDefault="00B10545">
            <w:pPr>
              <w:rPr>
                <w:sz w:val="18"/>
                <w:szCs w:val="18"/>
              </w:rPr>
            </w:pPr>
            <w:r>
              <w:rPr>
                <w:sz w:val="18"/>
                <w:szCs w:val="18"/>
              </w:rPr>
              <w:t>0.90</w:t>
            </w:r>
          </w:p>
        </w:tc>
      </w:tr>
      <w:tr w:rsidR="00B10545" w14:paraId="51B6EAEA" w14:textId="77777777" w:rsidTr="00B10545">
        <w:trPr>
          <w:trHeight w:val="137"/>
        </w:trPr>
        <w:tc>
          <w:tcPr>
            <w:tcW w:w="2470" w:type="dxa"/>
            <w:vMerge/>
            <w:tcBorders>
              <w:top w:val="single" w:sz="4" w:space="0" w:color="auto"/>
              <w:left w:val="single" w:sz="4" w:space="0" w:color="auto"/>
              <w:bottom w:val="single" w:sz="4" w:space="0" w:color="auto"/>
              <w:right w:val="single" w:sz="4" w:space="0" w:color="auto"/>
            </w:tcBorders>
            <w:noWrap w:val="0"/>
            <w:vAlign w:val="center"/>
            <w:hideMark/>
          </w:tcPr>
          <w:p w14:paraId="7F2D35E9" w14:textId="77777777" w:rsidR="00B10545" w:rsidRDefault="00B10545">
            <w:pPr>
              <w:rPr>
                <w:b/>
                <w:sz w:val="18"/>
                <w:szCs w:val="18"/>
              </w:rPr>
            </w:pPr>
          </w:p>
        </w:tc>
        <w:tc>
          <w:tcPr>
            <w:tcW w:w="992" w:type="pct"/>
            <w:tcBorders>
              <w:top w:val="single" w:sz="4" w:space="0" w:color="auto"/>
              <w:left w:val="single" w:sz="4" w:space="0" w:color="auto"/>
              <w:bottom w:val="single" w:sz="4" w:space="0" w:color="auto"/>
              <w:right w:val="single" w:sz="4" w:space="0" w:color="auto"/>
            </w:tcBorders>
            <w:hideMark/>
          </w:tcPr>
          <w:p w14:paraId="047A2DA6" w14:textId="77777777" w:rsidR="00B10545" w:rsidRDefault="00B10545">
            <w:pPr>
              <w:keepNext/>
              <w:rPr>
                <w:sz w:val="18"/>
                <w:szCs w:val="18"/>
              </w:rPr>
            </w:pPr>
            <w:r>
              <w:rPr>
                <w:sz w:val="18"/>
                <w:szCs w:val="18"/>
              </w:rPr>
              <w:t>+ Flexibility Factor</w:t>
            </w:r>
          </w:p>
        </w:tc>
        <w:tc>
          <w:tcPr>
            <w:tcW w:w="844" w:type="pct"/>
            <w:tcBorders>
              <w:top w:val="single" w:sz="4" w:space="0" w:color="auto"/>
              <w:left w:val="single" w:sz="4" w:space="0" w:color="auto"/>
              <w:bottom w:val="single" w:sz="4" w:space="0" w:color="auto"/>
              <w:right w:val="single" w:sz="4" w:space="0" w:color="auto"/>
            </w:tcBorders>
            <w:vAlign w:val="center"/>
            <w:hideMark/>
          </w:tcPr>
          <w:p w14:paraId="5E35F279" w14:textId="77777777" w:rsidR="00B10545" w:rsidRDefault="00B10545">
            <w:pPr>
              <w:rPr>
                <w:sz w:val="18"/>
                <w:szCs w:val="18"/>
              </w:rPr>
            </w:pPr>
            <w:r>
              <w:rPr>
                <w:sz w:val="18"/>
                <w:szCs w:val="18"/>
              </w:rPr>
              <w:t>73</w:t>
            </w:r>
          </w:p>
        </w:tc>
        <w:tc>
          <w:tcPr>
            <w:tcW w:w="949" w:type="pct"/>
            <w:tcBorders>
              <w:top w:val="single" w:sz="4" w:space="0" w:color="auto"/>
              <w:left w:val="single" w:sz="4" w:space="0" w:color="auto"/>
              <w:bottom w:val="single" w:sz="4" w:space="0" w:color="auto"/>
              <w:right w:val="single" w:sz="4" w:space="0" w:color="auto"/>
            </w:tcBorders>
            <w:vAlign w:val="center"/>
            <w:hideMark/>
          </w:tcPr>
          <w:p w14:paraId="56A3FC80" w14:textId="77777777" w:rsidR="00B10545" w:rsidRDefault="00B10545">
            <w:pPr>
              <w:rPr>
                <w:sz w:val="18"/>
                <w:szCs w:val="18"/>
              </w:rPr>
            </w:pPr>
            <w:r>
              <w:rPr>
                <w:sz w:val="18"/>
                <w:szCs w:val="18"/>
              </w:rPr>
              <w:t>7.30</w:t>
            </w:r>
          </w:p>
        </w:tc>
        <w:tc>
          <w:tcPr>
            <w:tcW w:w="948" w:type="pct"/>
            <w:tcBorders>
              <w:top w:val="single" w:sz="4" w:space="0" w:color="auto"/>
              <w:left w:val="single" w:sz="4" w:space="0" w:color="auto"/>
              <w:bottom w:val="single" w:sz="4" w:space="0" w:color="auto"/>
              <w:right w:val="single" w:sz="4" w:space="0" w:color="auto"/>
            </w:tcBorders>
            <w:vAlign w:val="center"/>
            <w:hideMark/>
          </w:tcPr>
          <w:p w14:paraId="6C1A8D98" w14:textId="77777777" w:rsidR="00B10545" w:rsidRDefault="00B10545">
            <w:pPr>
              <w:rPr>
                <w:sz w:val="18"/>
                <w:szCs w:val="18"/>
              </w:rPr>
            </w:pPr>
            <w:r>
              <w:rPr>
                <w:sz w:val="18"/>
                <w:szCs w:val="18"/>
              </w:rPr>
              <w:t>7.32</w:t>
            </w:r>
          </w:p>
        </w:tc>
      </w:tr>
      <w:tr w:rsidR="00B10545" w14:paraId="297B06F2" w14:textId="77777777" w:rsidTr="00B10545">
        <w:tc>
          <w:tcPr>
            <w:tcW w:w="2470" w:type="dxa"/>
            <w:vMerge/>
            <w:tcBorders>
              <w:top w:val="single" w:sz="4" w:space="0" w:color="auto"/>
              <w:left w:val="single" w:sz="4" w:space="0" w:color="auto"/>
              <w:bottom w:val="single" w:sz="4" w:space="0" w:color="auto"/>
              <w:right w:val="single" w:sz="4" w:space="0" w:color="auto"/>
            </w:tcBorders>
            <w:noWrap w:val="0"/>
            <w:vAlign w:val="center"/>
            <w:hideMark/>
          </w:tcPr>
          <w:p w14:paraId="715F0605" w14:textId="77777777" w:rsidR="00B10545" w:rsidRDefault="00B10545">
            <w:pPr>
              <w:rPr>
                <w:b/>
                <w:sz w:val="18"/>
                <w:szCs w:val="18"/>
              </w:rPr>
            </w:pPr>
          </w:p>
        </w:tc>
        <w:tc>
          <w:tcPr>
            <w:tcW w:w="992" w:type="pct"/>
            <w:tcBorders>
              <w:top w:val="single" w:sz="4" w:space="0" w:color="auto"/>
              <w:left w:val="single" w:sz="4" w:space="0" w:color="auto"/>
              <w:bottom w:val="single" w:sz="4" w:space="0" w:color="auto"/>
              <w:right w:val="single" w:sz="4" w:space="0" w:color="auto"/>
            </w:tcBorders>
            <w:hideMark/>
          </w:tcPr>
          <w:p w14:paraId="6576E70C" w14:textId="77777777" w:rsidR="00B10545" w:rsidRDefault="00B10545">
            <w:pPr>
              <w:keepNext/>
              <w:rPr>
                <w:sz w:val="18"/>
                <w:szCs w:val="18"/>
              </w:rPr>
            </w:pPr>
            <w:r>
              <w:rPr>
                <w:sz w:val="18"/>
                <w:szCs w:val="18"/>
              </w:rPr>
              <w:t>+ Loss Replacement</w:t>
            </w:r>
          </w:p>
        </w:tc>
        <w:tc>
          <w:tcPr>
            <w:tcW w:w="844" w:type="pct"/>
            <w:tcBorders>
              <w:top w:val="single" w:sz="4" w:space="0" w:color="auto"/>
              <w:left w:val="single" w:sz="4" w:space="0" w:color="auto"/>
              <w:bottom w:val="single" w:sz="4" w:space="0" w:color="auto"/>
              <w:right w:val="single" w:sz="4" w:space="0" w:color="auto"/>
            </w:tcBorders>
            <w:vAlign w:val="center"/>
            <w:hideMark/>
          </w:tcPr>
          <w:p w14:paraId="1D8AB3AB" w14:textId="77777777" w:rsidR="00B10545" w:rsidRDefault="00B10545">
            <w:pPr>
              <w:rPr>
                <w:bCs/>
                <w:sz w:val="18"/>
                <w:szCs w:val="18"/>
              </w:rPr>
            </w:pPr>
            <w:r>
              <w:rPr>
                <w:bCs/>
                <w:sz w:val="18"/>
                <w:szCs w:val="18"/>
              </w:rPr>
              <w:t>737</w:t>
            </w:r>
          </w:p>
        </w:tc>
        <w:tc>
          <w:tcPr>
            <w:tcW w:w="949" w:type="pct"/>
            <w:tcBorders>
              <w:top w:val="single" w:sz="4" w:space="0" w:color="auto"/>
              <w:left w:val="single" w:sz="4" w:space="0" w:color="auto"/>
              <w:bottom w:val="single" w:sz="4" w:space="0" w:color="auto"/>
              <w:right w:val="single" w:sz="4" w:space="0" w:color="auto"/>
            </w:tcBorders>
            <w:vAlign w:val="center"/>
            <w:hideMark/>
          </w:tcPr>
          <w:p w14:paraId="6D1B67B5" w14:textId="77777777" w:rsidR="00B10545" w:rsidRDefault="00B10545">
            <w:pPr>
              <w:rPr>
                <w:bCs/>
                <w:sz w:val="18"/>
                <w:szCs w:val="18"/>
              </w:rPr>
            </w:pPr>
            <w:r>
              <w:rPr>
                <w:bCs/>
                <w:sz w:val="18"/>
                <w:szCs w:val="18"/>
              </w:rPr>
              <w:t>11.26</w:t>
            </w:r>
          </w:p>
        </w:tc>
        <w:tc>
          <w:tcPr>
            <w:tcW w:w="948" w:type="pct"/>
            <w:tcBorders>
              <w:top w:val="single" w:sz="4" w:space="0" w:color="auto"/>
              <w:left w:val="single" w:sz="4" w:space="0" w:color="auto"/>
              <w:bottom w:val="single" w:sz="4" w:space="0" w:color="auto"/>
              <w:right w:val="single" w:sz="4" w:space="0" w:color="auto"/>
            </w:tcBorders>
            <w:vAlign w:val="center"/>
            <w:hideMark/>
          </w:tcPr>
          <w:p w14:paraId="4F667A9F" w14:textId="77777777" w:rsidR="00B10545" w:rsidRDefault="00B10545">
            <w:pPr>
              <w:rPr>
                <w:sz w:val="18"/>
                <w:szCs w:val="18"/>
              </w:rPr>
            </w:pPr>
            <w:r>
              <w:rPr>
                <w:sz w:val="18"/>
                <w:szCs w:val="18"/>
              </w:rPr>
              <w:t>11.44</w:t>
            </w:r>
          </w:p>
        </w:tc>
      </w:tr>
      <w:tr w:rsidR="00B10545" w14:paraId="4CC2FDA0" w14:textId="77777777" w:rsidTr="00B10545">
        <w:tc>
          <w:tcPr>
            <w:tcW w:w="2470" w:type="dxa"/>
            <w:vMerge/>
            <w:tcBorders>
              <w:top w:val="single" w:sz="4" w:space="0" w:color="auto"/>
              <w:left w:val="single" w:sz="4" w:space="0" w:color="auto"/>
              <w:bottom w:val="single" w:sz="4" w:space="0" w:color="auto"/>
              <w:right w:val="single" w:sz="4" w:space="0" w:color="auto"/>
            </w:tcBorders>
            <w:noWrap w:val="0"/>
            <w:vAlign w:val="center"/>
            <w:hideMark/>
          </w:tcPr>
          <w:p w14:paraId="6FC63BF1" w14:textId="77777777" w:rsidR="00B10545" w:rsidRDefault="00B10545">
            <w:pPr>
              <w:rPr>
                <w:b/>
                <w:sz w:val="18"/>
                <w:szCs w:val="18"/>
              </w:rPr>
            </w:pPr>
          </w:p>
        </w:tc>
        <w:tc>
          <w:tcPr>
            <w:tcW w:w="9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F67813" w14:textId="77777777" w:rsidR="00B10545" w:rsidRDefault="00B10545">
            <w:pPr>
              <w:keepNext/>
              <w:rPr>
                <w:b/>
                <w:bCs/>
                <w:sz w:val="18"/>
                <w:szCs w:val="18"/>
              </w:rPr>
            </w:pPr>
            <w:r>
              <w:rPr>
                <w:b/>
                <w:bCs/>
                <w:sz w:val="18"/>
                <w:szCs w:val="18"/>
              </w:rPr>
              <w:t>GROSS</w:t>
            </w:r>
          </w:p>
        </w:tc>
        <w:tc>
          <w:tcPr>
            <w:tcW w:w="8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693D8D" w14:textId="77777777" w:rsidR="00B10545" w:rsidRDefault="00B10545">
            <w:pPr>
              <w:rPr>
                <w:b/>
                <w:bCs/>
                <w:sz w:val="18"/>
                <w:szCs w:val="18"/>
              </w:rPr>
            </w:pPr>
            <w:r>
              <w:rPr>
                <w:b/>
                <w:bCs/>
                <w:sz w:val="18"/>
                <w:szCs w:val="18"/>
              </w:rPr>
              <w:t>7,436</w:t>
            </w:r>
          </w:p>
        </w:tc>
        <w:tc>
          <w:tcPr>
            <w:tcW w:w="9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6B4375" w14:textId="77777777" w:rsidR="00B10545" w:rsidRDefault="00B10545">
            <w:pPr>
              <w:rPr>
                <w:b/>
                <w:bCs/>
                <w:sz w:val="18"/>
                <w:szCs w:val="18"/>
              </w:rPr>
            </w:pPr>
            <w:r>
              <w:rPr>
                <w:b/>
                <w:bCs/>
                <w:sz w:val="18"/>
                <w:szCs w:val="18"/>
              </w:rPr>
              <w:t>17.80</w:t>
            </w:r>
          </w:p>
        </w:tc>
        <w:tc>
          <w:tcPr>
            <w:tcW w:w="9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07B54D" w14:textId="77777777" w:rsidR="00B10545" w:rsidRDefault="00B10545">
            <w:pPr>
              <w:rPr>
                <w:b/>
                <w:bCs/>
                <w:sz w:val="18"/>
                <w:szCs w:val="18"/>
              </w:rPr>
            </w:pPr>
            <w:r>
              <w:rPr>
                <w:b/>
                <w:bCs/>
                <w:sz w:val="18"/>
                <w:szCs w:val="18"/>
              </w:rPr>
              <w:t>19.65</w:t>
            </w:r>
          </w:p>
        </w:tc>
      </w:tr>
      <w:tr w:rsidR="00B10545" w14:paraId="2C0EB02F" w14:textId="77777777" w:rsidTr="00B10545">
        <w:tc>
          <w:tcPr>
            <w:tcW w:w="1267" w:type="pct"/>
            <w:vMerge w:val="restart"/>
            <w:tcBorders>
              <w:top w:val="single" w:sz="4" w:space="0" w:color="auto"/>
              <w:left w:val="single" w:sz="4" w:space="0" w:color="auto"/>
              <w:bottom w:val="single" w:sz="4" w:space="0" w:color="auto"/>
              <w:right w:val="single" w:sz="4" w:space="0" w:color="auto"/>
            </w:tcBorders>
            <w:hideMark/>
          </w:tcPr>
          <w:p w14:paraId="6F88B4DF" w14:textId="77777777" w:rsidR="00B10545" w:rsidRDefault="00B10545">
            <w:pPr>
              <w:pStyle w:val="TableStyle"/>
              <w:keepNext/>
              <w:rPr>
                <w:rFonts w:ascii="Arial" w:hAnsi="Arial"/>
                <w:b/>
                <w:sz w:val="18"/>
                <w:szCs w:val="18"/>
              </w:rPr>
            </w:pPr>
            <w:r>
              <w:rPr>
                <w:rFonts w:ascii="Arial" w:hAnsi="Arial"/>
                <w:b/>
                <w:sz w:val="18"/>
                <w:szCs w:val="18"/>
              </w:rPr>
              <w:t>2) Experian March 2020 Baseline</w:t>
            </w:r>
          </w:p>
        </w:tc>
        <w:tc>
          <w:tcPr>
            <w:tcW w:w="992" w:type="pct"/>
            <w:tcBorders>
              <w:top w:val="single" w:sz="4" w:space="0" w:color="auto"/>
              <w:left w:val="single" w:sz="4" w:space="0" w:color="auto"/>
              <w:bottom w:val="single" w:sz="4" w:space="0" w:color="auto"/>
              <w:right w:val="single" w:sz="4" w:space="0" w:color="auto"/>
            </w:tcBorders>
            <w:vAlign w:val="center"/>
            <w:hideMark/>
          </w:tcPr>
          <w:p w14:paraId="6A8FAF5E" w14:textId="77777777" w:rsidR="00B10545" w:rsidRDefault="00B10545">
            <w:pPr>
              <w:keepNext/>
              <w:rPr>
                <w:sz w:val="18"/>
                <w:szCs w:val="18"/>
              </w:rPr>
            </w:pPr>
            <w:r>
              <w:rPr>
                <w:sz w:val="18"/>
                <w:szCs w:val="18"/>
              </w:rPr>
              <w:t>Net</w:t>
            </w:r>
          </w:p>
        </w:tc>
        <w:tc>
          <w:tcPr>
            <w:tcW w:w="844" w:type="pct"/>
            <w:tcBorders>
              <w:top w:val="single" w:sz="4" w:space="0" w:color="auto"/>
              <w:left w:val="single" w:sz="4" w:space="0" w:color="auto"/>
              <w:bottom w:val="single" w:sz="4" w:space="0" w:color="auto"/>
              <w:right w:val="single" w:sz="4" w:space="0" w:color="auto"/>
            </w:tcBorders>
            <w:vAlign w:val="center"/>
            <w:hideMark/>
          </w:tcPr>
          <w:p w14:paraId="254799C5" w14:textId="77777777" w:rsidR="00B10545" w:rsidRDefault="00B10545">
            <w:pPr>
              <w:rPr>
                <w:sz w:val="18"/>
                <w:szCs w:val="18"/>
              </w:rPr>
            </w:pPr>
            <w:r>
              <w:rPr>
                <w:sz w:val="18"/>
                <w:szCs w:val="18"/>
              </w:rPr>
              <w:t>4,185</w:t>
            </w:r>
          </w:p>
        </w:tc>
        <w:tc>
          <w:tcPr>
            <w:tcW w:w="949" w:type="pct"/>
            <w:tcBorders>
              <w:top w:val="single" w:sz="4" w:space="0" w:color="auto"/>
              <w:left w:val="single" w:sz="4" w:space="0" w:color="auto"/>
              <w:bottom w:val="single" w:sz="4" w:space="0" w:color="auto"/>
              <w:right w:val="single" w:sz="4" w:space="0" w:color="auto"/>
            </w:tcBorders>
            <w:vAlign w:val="center"/>
            <w:hideMark/>
          </w:tcPr>
          <w:p w14:paraId="46E2CE44" w14:textId="77777777" w:rsidR="00B10545" w:rsidRDefault="00B10545">
            <w:pPr>
              <w:rPr>
                <w:color w:val="C00000"/>
                <w:sz w:val="18"/>
                <w:szCs w:val="18"/>
              </w:rPr>
            </w:pPr>
            <w:r>
              <w:rPr>
                <w:color w:val="C00000"/>
                <w:sz w:val="18"/>
                <w:szCs w:val="18"/>
              </w:rPr>
              <w:t>-4.52</w:t>
            </w:r>
          </w:p>
        </w:tc>
        <w:tc>
          <w:tcPr>
            <w:tcW w:w="948" w:type="pct"/>
            <w:tcBorders>
              <w:top w:val="single" w:sz="4" w:space="0" w:color="auto"/>
              <w:left w:val="single" w:sz="4" w:space="0" w:color="auto"/>
              <w:bottom w:val="single" w:sz="4" w:space="0" w:color="auto"/>
              <w:right w:val="single" w:sz="4" w:space="0" w:color="auto"/>
            </w:tcBorders>
            <w:vAlign w:val="center"/>
            <w:hideMark/>
          </w:tcPr>
          <w:p w14:paraId="060FED49" w14:textId="77777777" w:rsidR="00B10545" w:rsidRDefault="00B10545">
            <w:pPr>
              <w:rPr>
                <w:color w:val="C00000"/>
                <w:sz w:val="18"/>
                <w:szCs w:val="18"/>
              </w:rPr>
            </w:pPr>
            <w:r>
              <w:rPr>
                <w:color w:val="C00000"/>
                <w:sz w:val="18"/>
                <w:szCs w:val="18"/>
              </w:rPr>
              <w:t>-3.48</w:t>
            </w:r>
          </w:p>
        </w:tc>
      </w:tr>
      <w:tr w:rsidR="00B10545" w14:paraId="207152BD" w14:textId="77777777" w:rsidTr="00B10545">
        <w:tc>
          <w:tcPr>
            <w:tcW w:w="2470" w:type="dxa"/>
            <w:vMerge/>
            <w:tcBorders>
              <w:top w:val="single" w:sz="4" w:space="0" w:color="auto"/>
              <w:left w:val="single" w:sz="4" w:space="0" w:color="auto"/>
              <w:bottom w:val="single" w:sz="4" w:space="0" w:color="auto"/>
              <w:right w:val="single" w:sz="4" w:space="0" w:color="auto"/>
            </w:tcBorders>
            <w:noWrap w:val="0"/>
            <w:vAlign w:val="center"/>
            <w:hideMark/>
          </w:tcPr>
          <w:p w14:paraId="4A89CA6C" w14:textId="77777777" w:rsidR="00B10545" w:rsidRDefault="00B10545">
            <w:pPr>
              <w:rPr>
                <w:b/>
                <w:sz w:val="18"/>
                <w:szCs w:val="18"/>
              </w:rPr>
            </w:pPr>
          </w:p>
        </w:tc>
        <w:tc>
          <w:tcPr>
            <w:tcW w:w="992" w:type="pct"/>
            <w:tcBorders>
              <w:top w:val="single" w:sz="4" w:space="0" w:color="auto"/>
              <w:left w:val="single" w:sz="4" w:space="0" w:color="auto"/>
              <w:bottom w:val="single" w:sz="4" w:space="0" w:color="auto"/>
              <w:right w:val="single" w:sz="4" w:space="0" w:color="auto"/>
            </w:tcBorders>
            <w:vAlign w:val="center"/>
            <w:hideMark/>
          </w:tcPr>
          <w:p w14:paraId="232778CA" w14:textId="77777777" w:rsidR="00B10545" w:rsidRDefault="00B10545">
            <w:pPr>
              <w:keepNext/>
              <w:rPr>
                <w:sz w:val="18"/>
                <w:szCs w:val="18"/>
              </w:rPr>
            </w:pPr>
            <w:r>
              <w:rPr>
                <w:sz w:val="18"/>
                <w:szCs w:val="18"/>
              </w:rPr>
              <w:t>+ Flexibility Factor</w:t>
            </w:r>
          </w:p>
        </w:tc>
        <w:tc>
          <w:tcPr>
            <w:tcW w:w="844" w:type="pct"/>
            <w:tcBorders>
              <w:top w:val="single" w:sz="4" w:space="0" w:color="auto"/>
              <w:left w:val="single" w:sz="4" w:space="0" w:color="auto"/>
              <w:bottom w:val="single" w:sz="4" w:space="0" w:color="auto"/>
              <w:right w:val="single" w:sz="4" w:space="0" w:color="auto"/>
            </w:tcBorders>
            <w:vAlign w:val="center"/>
            <w:hideMark/>
          </w:tcPr>
          <w:p w14:paraId="3C5191E8" w14:textId="77777777" w:rsidR="00B10545" w:rsidRDefault="00B10545">
            <w:pPr>
              <w:rPr>
                <w:sz w:val="18"/>
                <w:szCs w:val="18"/>
              </w:rPr>
            </w:pPr>
            <w:r>
              <w:rPr>
                <w:sz w:val="18"/>
                <w:szCs w:val="18"/>
              </w:rPr>
              <w:t>73</w:t>
            </w:r>
          </w:p>
        </w:tc>
        <w:tc>
          <w:tcPr>
            <w:tcW w:w="949" w:type="pct"/>
            <w:tcBorders>
              <w:top w:val="single" w:sz="4" w:space="0" w:color="auto"/>
              <w:left w:val="single" w:sz="4" w:space="0" w:color="auto"/>
              <w:bottom w:val="single" w:sz="4" w:space="0" w:color="auto"/>
              <w:right w:val="single" w:sz="4" w:space="0" w:color="auto"/>
            </w:tcBorders>
            <w:vAlign w:val="center"/>
            <w:hideMark/>
          </w:tcPr>
          <w:p w14:paraId="205757C9" w14:textId="77777777" w:rsidR="00B10545" w:rsidRDefault="00B10545">
            <w:pPr>
              <w:rPr>
                <w:sz w:val="18"/>
                <w:szCs w:val="18"/>
              </w:rPr>
            </w:pPr>
            <w:r>
              <w:rPr>
                <w:sz w:val="18"/>
                <w:szCs w:val="18"/>
              </w:rPr>
              <w:t>7.30</w:t>
            </w:r>
          </w:p>
        </w:tc>
        <w:tc>
          <w:tcPr>
            <w:tcW w:w="948" w:type="pct"/>
            <w:tcBorders>
              <w:top w:val="single" w:sz="4" w:space="0" w:color="auto"/>
              <w:left w:val="single" w:sz="4" w:space="0" w:color="auto"/>
              <w:bottom w:val="single" w:sz="4" w:space="0" w:color="auto"/>
              <w:right w:val="single" w:sz="4" w:space="0" w:color="auto"/>
            </w:tcBorders>
            <w:vAlign w:val="center"/>
            <w:hideMark/>
          </w:tcPr>
          <w:p w14:paraId="51CF8014" w14:textId="77777777" w:rsidR="00B10545" w:rsidRDefault="00B10545">
            <w:pPr>
              <w:rPr>
                <w:sz w:val="18"/>
                <w:szCs w:val="18"/>
              </w:rPr>
            </w:pPr>
            <w:r>
              <w:rPr>
                <w:sz w:val="18"/>
                <w:szCs w:val="18"/>
              </w:rPr>
              <w:t>7.32</w:t>
            </w:r>
          </w:p>
        </w:tc>
      </w:tr>
      <w:tr w:rsidR="00B10545" w14:paraId="606DDEC0" w14:textId="77777777" w:rsidTr="00B10545">
        <w:trPr>
          <w:trHeight w:val="137"/>
        </w:trPr>
        <w:tc>
          <w:tcPr>
            <w:tcW w:w="2470" w:type="dxa"/>
            <w:vMerge/>
            <w:tcBorders>
              <w:top w:val="single" w:sz="4" w:space="0" w:color="auto"/>
              <w:left w:val="single" w:sz="4" w:space="0" w:color="auto"/>
              <w:bottom w:val="single" w:sz="4" w:space="0" w:color="auto"/>
              <w:right w:val="single" w:sz="4" w:space="0" w:color="auto"/>
            </w:tcBorders>
            <w:noWrap w:val="0"/>
            <w:vAlign w:val="center"/>
            <w:hideMark/>
          </w:tcPr>
          <w:p w14:paraId="367FDD79" w14:textId="77777777" w:rsidR="00B10545" w:rsidRDefault="00B10545">
            <w:pPr>
              <w:rPr>
                <w:b/>
                <w:sz w:val="18"/>
                <w:szCs w:val="18"/>
              </w:rPr>
            </w:pPr>
          </w:p>
        </w:tc>
        <w:tc>
          <w:tcPr>
            <w:tcW w:w="992" w:type="pct"/>
            <w:tcBorders>
              <w:top w:val="single" w:sz="4" w:space="0" w:color="auto"/>
              <w:left w:val="single" w:sz="4" w:space="0" w:color="auto"/>
              <w:bottom w:val="single" w:sz="4" w:space="0" w:color="auto"/>
              <w:right w:val="single" w:sz="4" w:space="0" w:color="auto"/>
            </w:tcBorders>
            <w:hideMark/>
          </w:tcPr>
          <w:p w14:paraId="6260495D" w14:textId="77777777" w:rsidR="00B10545" w:rsidRDefault="00B10545">
            <w:pPr>
              <w:keepNext/>
              <w:rPr>
                <w:sz w:val="18"/>
                <w:szCs w:val="18"/>
              </w:rPr>
            </w:pPr>
            <w:r>
              <w:rPr>
                <w:sz w:val="18"/>
                <w:szCs w:val="18"/>
              </w:rPr>
              <w:t>+ Loss Replacement</w:t>
            </w:r>
          </w:p>
        </w:tc>
        <w:tc>
          <w:tcPr>
            <w:tcW w:w="844" w:type="pct"/>
            <w:tcBorders>
              <w:top w:val="single" w:sz="4" w:space="0" w:color="auto"/>
              <w:left w:val="single" w:sz="4" w:space="0" w:color="auto"/>
              <w:bottom w:val="single" w:sz="4" w:space="0" w:color="auto"/>
              <w:right w:val="single" w:sz="4" w:space="0" w:color="auto"/>
            </w:tcBorders>
            <w:vAlign w:val="center"/>
            <w:hideMark/>
          </w:tcPr>
          <w:p w14:paraId="22EB6FE5" w14:textId="77777777" w:rsidR="00B10545" w:rsidRDefault="00B10545">
            <w:pPr>
              <w:rPr>
                <w:sz w:val="18"/>
                <w:szCs w:val="18"/>
              </w:rPr>
            </w:pPr>
            <w:r>
              <w:rPr>
                <w:bCs/>
                <w:sz w:val="18"/>
                <w:szCs w:val="18"/>
              </w:rPr>
              <w:t>737</w:t>
            </w:r>
          </w:p>
        </w:tc>
        <w:tc>
          <w:tcPr>
            <w:tcW w:w="949" w:type="pct"/>
            <w:tcBorders>
              <w:top w:val="single" w:sz="4" w:space="0" w:color="auto"/>
              <w:left w:val="single" w:sz="4" w:space="0" w:color="auto"/>
              <w:bottom w:val="single" w:sz="4" w:space="0" w:color="auto"/>
              <w:right w:val="single" w:sz="4" w:space="0" w:color="auto"/>
            </w:tcBorders>
            <w:vAlign w:val="center"/>
            <w:hideMark/>
          </w:tcPr>
          <w:p w14:paraId="3D306860" w14:textId="77777777" w:rsidR="00B10545" w:rsidRDefault="00B10545">
            <w:pPr>
              <w:rPr>
                <w:sz w:val="18"/>
                <w:szCs w:val="18"/>
              </w:rPr>
            </w:pPr>
            <w:r>
              <w:rPr>
                <w:bCs/>
                <w:sz w:val="18"/>
                <w:szCs w:val="18"/>
              </w:rPr>
              <w:t>11.26</w:t>
            </w:r>
          </w:p>
        </w:tc>
        <w:tc>
          <w:tcPr>
            <w:tcW w:w="948" w:type="pct"/>
            <w:tcBorders>
              <w:top w:val="single" w:sz="4" w:space="0" w:color="auto"/>
              <w:left w:val="single" w:sz="4" w:space="0" w:color="auto"/>
              <w:bottom w:val="single" w:sz="4" w:space="0" w:color="auto"/>
              <w:right w:val="single" w:sz="4" w:space="0" w:color="auto"/>
            </w:tcBorders>
            <w:vAlign w:val="center"/>
            <w:hideMark/>
          </w:tcPr>
          <w:p w14:paraId="05210FF5" w14:textId="77777777" w:rsidR="00B10545" w:rsidRDefault="00B10545">
            <w:pPr>
              <w:rPr>
                <w:sz w:val="18"/>
                <w:szCs w:val="18"/>
              </w:rPr>
            </w:pPr>
            <w:r>
              <w:rPr>
                <w:sz w:val="18"/>
                <w:szCs w:val="18"/>
              </w:rPr>
              <w:t>11.44</w:t>
            </w:r>
          </w:p>
        </w:tc>
      </w:tr>
      <w:tr w:rsidR="00B10545" w14:paraId="2261FC5E" w14:textId="77777777" w:rsidTr="00B10545">
        <w:tc>
          <w:tcPr>
            <w:tcW w:w="2470" w:type="dxa"/>
            <w:vMerge/>
            <w:tcBorders>
              <w:top w:val="single" w:sz="4" w:space="0" w:color="auto"/>
              <w:left w:val="single" w:sz="4" w:space="0" w:color="auto"/>
              <w:bottom w:val="single" w:sz="4" w:space="0" w:color="auto"/>
              <w:right w:val="single" w:sz="4" w:space="0" w:color="auto"/>
            </w:tcBorders>
            <w:noWrap w:val="0"/>
            <w:vAlign w:val="center"/>
            <w:hideMark/>
          </w:tcPr>
          <w:p w14:paraId="72076727" w14:textId="77777777" w:rsidR="00B10545" w:rsidRDefault="00B10545">
            <w:pPr>
              <w:rPr>
                <w:b/>
                <w:sz w:val="18"/>
                <w:szCs w:val="18"/>
              </w:rPr>
            </w:pPr>
          </w:p>
        </w:tc>
        <w:tc>
          <w:tcPr>
            <w:tcW w:w="99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0D4997" w14:textId="77777777" w:rsidR="00B10545" w:rsidRDefault="00B10545">
            <w:pPr>
              <w:keepNext/>
              <w:rPr>
                <w:b/>
                <w:bCs/>
                <w:sz w:val="18"/>
                <w:szCs w:val="18"/>
              </w:rPr>
            </w:pPr>
            <w:r>
              <w:rPr>
                <w:b/>
                <w:bCs/>
                <w:sz w:val="18"/>
                <w:szCs w:val="18"/>
              </w:rPr>
              <w:t>GROSS</w:t>
            </w:r>
          </w:p>
        </w:tc>
        <w:tc>
          <w:tcPr>
            <w:tcW w:w="8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CFA9A" w14:textId="77777777" w:rsidR="00B10545" w:rsidRDefault="00B10545">
            <w:pPr>
              <w:rPr>
                <w:b/>
                <w:bCs/>
                <w:sz w:val="18"/>
                <w:szCs w:val="18"/>
              </w:rPr>
            </w:pPr>
            <w:r>
              <w:rPr>
                <w:b/>
                <w:bCs/>
                <w:sz w:val="18"/>
                <w:szCs w:val="18"/>
              </w:rPr>
              <w:t>4,995</w:t>
            </w:r>
          </w:p>
        </w:tc>
        <w:tc>
          <w:tcPr>
            <w:tcW w:w="9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B6AA21" w14:textId="77777777" w:rsidR="00B10545" w:rsidRDefault="00B10545">
            <w:pPr>
              <w:rPr>
                <w:b/>
                <w:bCs/>
                <w:sz w:val="18"/>
                <w:szCs w:val="18"/>
              </w:rPr>
            </w:pPr>
            <w:r>
              <w:rPr>
                <w:b/>
                <w:bCs/>
                <w:sz w:val="18"/>
                <w:szCs w:val="18"/>
              </w:rPr>
              <w:t>14.04</w:t>
            </w:r>
          </w:p>
        </w:tc>
        <w:tc>
          <w:tcPr>
            <w:tcW w:w="9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A99911" w14:textId="77777777" w:rsidR="00B10545" w:rsidRDefault="00B10545">
            <w:pPr>
              <w:rPr>
                <w:b/>
                <w:bCs/>
                <w:sz w:val="18"/>
                <w:szCs w:val="18"/>
              </w:rPr>
            </w:pPr>
            <w:r>
              <w:rPr>
                <w:b/>
                <w:bCs/>
                <w:sz w:val="18"/>
                <w:szCs w:val="18"/>
              </w:rPr>
              <w:t>15.28</w:t>
            </w:r>
          </w:p>
        </w:tc>
      </w:tr>
      <w:tr w:rsidR="00B10545" w14:paraId="63E14E6A" w14:textId="77777777" w:rsidTr="00B10545">
        <w:tc>
          <w:tcPr>
            <w:tcW w:w="1267" w:type="pct"/>
            <w:vMerge w:val="restart"/>
            <w:tcBorders>
              <w:top w:val="single" w:sz="4" w:space="0" w:color="auto"/>
              <w:left w:val="single" w:sz="4" w:space="0" w:color="auto"/>
              <w:bottom w:val="single" w:sz="4" w:space="0" w:color="auto"/>
              <w:right w:val="single" w:sz="4" w:space="0" w:color="auto"/>
            </w:tcBorders>
            <w:hideMark/>
          </w:tcPr>
          <w:p w14:paraId="241B57CD" w14:textId="77777777" w:rsidR="00B10545" w:rsidRDefault="00B10545">
            <w:pPr>
              <w:pStyle w:val="TableStyle"/>
              <w:keepNext/>
              <w:rPr>
                <w:rFonts w:ascii="Arial" w:hAnsi="Arial"/>
                <w:b/>
                <w:sz w:val="18"/>
                <w:szCs w:val="18"/>
              </w:rPr>
            </w:pPr>
            <w:r>
              <w:rPr>
                <w:rFonts w:ascii="Arial" w:hAnsi="Arial"/>
                <w:b/>
                <w:sz w:val="18"/>
                <w:szCs w:val="18"/>
              </w:rPr>
              <w:t>3) Regeneration Scenario</w:t>
            </w:r>
          </w:p>
        </w:tc>
        <w:tc>
          <w:tcPr>
            <w:tcW w:w="992" w:type="pct"/>
            <w:tcBorders>
              <w:top w:val="single" w:sz="4" w:space="0" w:color="auto"/>
              <w:left w:val="single" w:sz="4" w:space="0" w:color="auto"/>
              <w:bottom w:val="single" w:sz="4" w:space="0" w:color="auto"/>
              <w:right w:val="single" w:sz="4" w:space="0" w:color="auto"/>
            </w:tcBorders>
            <w:hideMark/>
          </w:tcPr>
          <w:p w14:paraId="4804090C" w14:textId="77777777" w:rsidR="00B10545" w:rsidRDefault="00B10545">
            <w:pPr>
              <w:keepNext/>
              <w:rPr>
                <w:sz w:val="18"/>
                <w:szCs w:val="18"/>
              </w:rPr>
            </w:pPr>
            <w:r>
              <w:rPr>
                <w:sz w:val="18"/>
                <w:szCs w:val="18"/>
              </w:rPr>
              <w:t>Net</w:t>
            </w:r>
          </w:p>
        </w:tc>
        <w:tc>
          <w:tcPr>
            <w:tcW w:w="844" w:type="pct"/>
            <w:tcBorders>
              <w:top w:val="single" w:sz="4" w:space="0" w:color="auto"/>
              <w:left w:val="single" w:sz="4" w:space="0" w:color="auto"/>
              <w:bottom w:val="single" w:sz="4" w:space="0" w:color="auto"/>
              <w:right w:val="single" w:sz="4" w:space="0" w:color="auto"/>
            </w:tcBorders>
            <w:vAlign w:val="center"/>
            <w:hideMark/>
          </w:tcPr>
          <w:p w14:paraId="5DDBE654" w14:textId="77777777" w:rsidR="00B10545" w:rsidRDefault="00B10545">
            <w:pPr>
              <w:rPr>
                <w:sz w:val="18"/>
                <w:szCs w:val="18"/>
              </w:rPr>
            </w:pPr>
            <w:r>
              <w:rPr>
                <w:sz w:val="18"/>
                <w:szCs w:val="18"/>
              </w:rPr>
              <w:t>15,778</w:t>
            </w:r>
          </w:p>
        </w:tc>
        <w:tc>
          <w:tcPr>
            <w:tcW w:w="949" w:type="pct"/>
            <w:tcBorders>
              <w:top w:val="single" w:sz="4" w:space="0" w:color="auto"/>
              <w:left w:val="single" w:sz="4" w:space="0" w:color="auto"/>
              <w:bottom w:val="single" w:sz="4" w:space="0" w:color="auto"/>
              <w:right w:val="single" w:sz="4" w:space="0" w:color="auto"/>
            </w:tcBorders>
            <w:vAlign w:val="center"/>
            <w:hideMark/>
          </w:tcPr>
          <w:p w14:paraId="581FFD9B" w14:textId="77777777" w:rsidR="00B10545" w:rsidRDefault="00B10545">
            <w:pPr>
              <w:rPr>
                <w:sz w:val="18"/>
                <w:szCs w:val="18"/>
              </w:rPr>
            </w:pPr>
            <w:r>
              <w:rPr>
                <w:sz w:val="18"/>
                <w:szCs w:val="18"/>
              </w:rPr>
              <w:t>5.35</w:t>
            </w:r>
          </w:p>
        </w:tc>
        <w:tc>
          <w:tcPr>
            <w:tcW w:w="948" w:type="pct"/>
            <w:tcBorders>
              <w:top w:val="single" w:sz="4" w:space="0" w:color="auto"/>
              <w:left w:val="single" w:sz="4" w:space="0" w:color="auto"/>
              <w:bottom w:val="single" w:sz="4" w:space="0" w:color="auto"/>
              <w:right w:val="single" w:sz="4" w:space="0" w:color="auto"/>
            </w:tcBorders>
            <w:vAlign w:val="center"/>
            <w:hideMark/>
          </w:tcPr>
          <w:p w14:paraId="5E50FC06" w14:textId="77777777" w:rsidR="00B10545" w:rsidRDefault="00B10545">
            <w:pPr>
              <w:rPr>
                <w:sz w:val="18"/>
                <w:szCs w:val="18"/>
              </w:rPr>
            </w:pPr>
            <w:r>
              <w:rPr>
                <w:sz w:val="18"/>
                <w:szCs w:val="18"/>
              </w:rPr>
              <w:t>9.30</w:t>
            </w:r>
          </w:p>
        </w:tc>
      </w:tr>
      <w:tr w:rsidR="00B10545" w14:paraId="57C889AD" w14:textId="77777777" w:rsidTr="00B10545">
        <w:tc>
          <w:tcPr>
            <w:tcW w:w="2470" w:type="dxa"/>
            <w:vMerge/>
            <w:tcBorders>
              <w:top w:val="single" w:sz="4" w:space="0" w:color="auto"/>
              <w:left w:val="single" w:sz="4" w:space="0" w:color="auto"/>
              <w:bottom w:val="single" w:sz="4" w:space="0" w:color="auto"/>
              <w:right w:val="single" w:sz="4" w:space="0" w:color="auto"/>
            </w:tcBorders>
            <w:noWrap w:val="0"/>
            <w:vAlign w:val="center"/>
            <w:hideMark/>
          </w:tcPr>
          <w:p w14:paraId="558A2959" w14:textId="77777777" w:rsidR="00B10545" w:rsidRDefault="00B10545">
            <w:pPr>
              <w:rPr>
                <w:b/>
                <w:sz w:val="18"/>
                <w:szCs w:val="18"/>
              </w:rPr>
            </w:pPr>
          </w:p>
        </w:tc>
        <w:tc>
          <w:tcPr>
            <w:tcW w:w="992" w:type="pct"/>
            <w:tcBorders>
              <w:top w:val="single" w:sz="4" w:space="0" w:color="auto"/>
              <w:left w:val="single" w:sz="4" w:space="0" w:color="auto"/>
              <w:bottom w:val="single" w:sz="4" w:space="0" w:color="auto"/>
              <w:right w:val="single" w:sz="4" w:space="0" w:color="auto"/>
            </w:tcBorders>
            <w:hideMark/>
          </w:tcPr>
          <w:p w14:paraId="30612A4D" w14:textId="77777777" w:rsidR="00B10545" w:rsidRDefault="00B10545">
            <w:pPr>
              <w:keepNext/>
              <w:rPr>
                <w:sz w:val="18"/>
                <w:szCs w:val="18"/>
              </w:rPr>
            </w:pPr>
            <w:r>
              <w:rPr>
                <w:sz w:val="18"/>
                <w:szCs w:val="18"/>
              </w:rPr>
              <w:t>+ Flexibility Factor</w:t>
            </w:r>
          </w:p>
        </w:tc>
        <w:tc>
          <w:tcPr>
            <w:tcW w:w="844" w:type="pct"/>
            <w:tcBorders>
              <w:top w:val="single" w:sz="4" w:space="0" w:color="auto"/>
              <w:left w:val="single" w:sz="4" w:space="0" w:color="auto"/>
              <w:bottom w:val="single" w:sz="4" w:space="0" w:color="auto"/>
              <w:right w:val="single" w:sz="4" w:space="0" w:color="auto"/>
            </w:tcBorders>
            <w:vAlign w:val="center"/>
            <w:hideMark/>
          </w:tcPr>
          <w:p w14:paraId="1AA0A630" w14:textId="77777777" w:rsidR="00B10545" w:rsidRDefault="00B10545">
            <w:pPr>
              <w:rPr>
                <w:sz w:val="18"/>
                <w:szCs w:val="18"/>
              </w:rPr>
            </w:pPr>
            <w:r>
              <w:rPr>
                <w:sz w:val="18"/>
                <w:szCs w:val="18"/>
              </w:rPr>
              <w:t>73</w:t>
            </w:r>
          </w:p>
        </w:tc>
        <w:tc>
          <w:tcPr>
            <w:tcW w:w="949" w:type="pct"/>
            <w:tcBorders>
              <w:top w:val="single" w:sz="4" w:space="0" w:color="auto"/>
              <w:left w:val="single" w:sz="4" w:space="0" w:color="auto"/>
              <w:bottom w:val="single" w:sz="4" w:space="0" w:color="auto"/>
              <w:right w:val="single" w:sz="4" w:space="0" w:color="auto"/>
            </w:tcBorders>
            <w:vAlign w:val="center"/>
            <w:hideMark/>
          </w:tcPr>
          <w:p w14:paraId="20144D97" w14:textId="77777777" w:rsidR="00B10545" w:rsidRDefault="00B10545">
            <w:pPr>
              <w:rPr>
                <w:sz w:val="18"/>
                <w:szCs w:val="18"/>
              </w:rPr>
            </w:pPr>
            <w:r>
              <w:rPr>
                <w:sz w:val="18"/>
                <w:szCs w:val="18"/>
              </w:rPr>
              <w:t>7.30</w:t>
            </w:r>
          </w:p>
        </w:tc>
        <w:tc>
          <w:tcPr>
            <w:tcW w:w="948" w:type="pct"/>
            <w:tcBorders>
              <w:top w:val="single" w:sz="4" w:space="0" w:color="auto"/>
              <w:left w:val="single" w:sz="4" w:space="0" w:color="auto"/>
              <w:bottom w:val="single" w:sz="4" w:space="0" w:color="auto"/>
              <w:right w:val="single" w:sz="4" w:space="0" w:color="auto"/>
            </w:tcBorders>
            <w:vAlign w:val="center"/>
            <w:hideMark/>
          </w:tcPr>
          <w:p w14:paraId="45F15EA4" w14:textId="77777777" w:rsidR="00B10545" w:rsidRDefault="00B10545">
            <w:pPr>
              <w:rPr>
                <w:sz w:val="18"/>
                <w:szCs w:val="18"/>
              </w:rPr>
            </w:pPr>
            <w:r>
              <w:rPr>
                <w:sz w:val="18"/>
                <w:szCs w:val="18"/>
              </w:rPr>
              <w:t>7.32</w:t>
            </w:r>
          </w:p>
        </w:tc>
      </w:tr>
      <w:tr w:rsidR="00B10545" w14:paraId="6CCA9D65" w14:textId="77777777" w:rsidTr="00B10545">
        <w:trPr>
          <w:trHeight w:val="137"/>
        </w:trPr>
        <w:tc>
          <w:tcPr>
            <w:tcW w:w="2470" w:type="dxa"/>
            <w:vMerge/>
            <w:tcBorders>
              <w:top w:val="single" w:sz="4" w:space="0" w:color="auto"/>
              <w:left w:val="single" w:sz="4" w:space="0" w:color="auto"/>
              <w:bottom w:val="single" w:sz="4" w:space="0" w:color="auto"/>
              <w:right w:val="single" w:sz="4" w:space="0" w:color="auto"/>
            </w:tcBorders>
            <w:noWrap w:val="0"/>
            <w:vAlign w:val="center"/>
            <w:hideMark/>
          </w:tcPr>
          <w:p w14:paraId="4356925B" w14:textId="77777777" w:rsidR="00B10545" w:rsidRDefault="00B10545">
            <w:pPr>
              <w:rPr>
                <w:b/>
                <w:sz w:val="18"/>
                <w:szCs w:val="18"/>
              </w:rPr>
            </w:pPr>
          </w:p>
        </w:tc>
        <w:tc>
          <w:tcPr>
            <w:tcW w:w="992" w:type="pct"/>
            <w:tcBorders>
              <w:top w:val="single" w:sz="4" w:space="0" w:color="auto"/>
              <w:left w:val="single" w:sz="4" w:space="0" w:color="auto"/>
              <w:bottom w:val="single" w:sz="4" w:space="0" w:color="auto"/>
              <w:right w:val="single" w:sz="4" w:space="0" w:color="auto"/>
            </w:tcBorders>
            <w:hideMark/>
          </w:tcPr>
          <w:p w14:paraId="6B398519" w14:textId="77777777" w:rsidR="00B10545" w:rsidRDefault="00B10545">
            <w:pPr>
              <w:keepNext/>
              <w:rPr>
                <w:sz w:val="18"/>
                <w:szCs w:val="18"/>
              </w:rPr>
            </w:pPr>
            <w:r>
              <w:rPr>
                <w:sz w:val="18"/>
                <w:szCs w:val="18"/>
              </w:rPr>
              <w:t>+ Loss Replacement</w:t>
            </w:r>
          </w:p>
        </w:tc>
        <w:tc>
          <w:tcPr>
            <w:tcW w:w="844" w:type="pct"/>
            <w:tcBorders>
              <w:top w:val="single" w:sz="4" w:space="0" w:color="auto"/>
              <w:left w:val="single" w:sz="4" w:space="0" w:color="auto"/>
              <w:bottom w:val="single" w:sz="4" w:space="0" w:color="auto"/>
              <w:right w:val="single" w:sz="4" w:space="0" w:color="auto"/>
            </w:tcBorders>
            <w:vAlign w:val="center"/>
            <w:hideMark/>
          </w:tcPr>
          <w:p w14:paraId="18B3FA55" w14:textId="77777777" w:rsidR="00B10545" w:rsidRDefault="00B10545">
            <w:pPr>
              <w:rPr>
                <w:sz w:val="18"/>
                <w:szCs w:val="18"/>
              </w:rPr>
            </w:pPr>
            <w:r>
              <w:rPr>
                <w:bCs/>
                <w:sz w:val="18"/>
                <w:szCs w:val="18"/>
              </w:rPr>
              <w:t>737</w:t>
            </w:r>
          </w:p>
        </w:tc>
        <w:tc>
          <w:tcPr>
            <w:tcW w:w="949" w:type="pct"/>
            <w:tcBorders>
              <w:top w:val="single" w:sz="4" w:space="0" w:color="auto"/>
              <w:left w:val="single" w:sz="4" w:space="0" w:color="auto"/>
              <w:bottom w:val="single" w:sz="4" w:space="0" w:color="auto"/>
              <w:right w:val="single" w:sz="4" w:space="0" w:color="auto"/>
            </w:tcBorders>
            <w:vAlign w:val="center"/>
            <w:hideMark/>
          </w:tcPr>
          <w:p w14:paraId="4B97583C" w14:textId="77777777" w:rsidR="00B10545" w:rsidRDefault="00B10545">
            <w:pPr>
              <w:rPr>
                <w:sz w:val="18"/>
                <w:szCs w:val="18"/>
              </w:rPr>
            </w:pPr>
            <w:r>
              <w:rPr>
                <w:bCs/>
                <w:sz w:val="18"/>
                <w:szCs w:val="18"/>
              </w:rPr>
              <w:t>11.26</w:t>
            </w:r>
          </w:p>
        </w:tc>
        <w:tc>
          <w:tcPr>
            <w:tcW w:w="948" w:type="pct"/>
            <w:tcBorders>
              <w:top w:val="single" w:sz="4" w:space="0" w:color="auto"/>
              <w:left w:val="single" w:sz="4" w:space="0" w:color="auto"/>
              <w:bottom w:val="single" w:sz="4" w:space="0" w:color="auto"/>
              <w:right w:val="single" w:sz="4" w:space="0" w:color="auto"/>
            </w:tcBorders>
            <w:vAlign w:val="center"/>
            <w:hideMark/>
          </w:tcPr>
          <w:p w14:paraId="0820C8F9" w14:textId="77777777" w:rsidR="00B10545" w:rsidRDefault="00B10545">
            <w:pPr>
              <w:rPr>
                <w:sz w:val="18"/>
                <w:szCs w:val="18"/>
              </w:rPr>
            </w:pPr>
            <w:r>
              <w:rPr>
                <w:sz w:val="18"/>
                <w:szCs w:val="18"/>
              </w:rPr>
              <w:t>11.44</w:t>
            </w:r>
          </w:p>
        </w:tc>
      </w:tr>
      <w:tr w:rsidR="00B10545" w14:paraId="78C1649E" w14:textId="77777777" w:rsidTr="00B10545">
        <w:tc>
          <w:tcPr>
            <w:tcW w:w="2470" w:type="dxa"/>
            <w:vMerge/>
            <w:tcBorders>
              <w:top w:val="single" w:sz="4" w:space="0" w:color="auto"/>
              <w:left w:val="single" w:sz="4" w:space="0" w:color="auto"/>
              <w:bottom w:val="single" w:sz="4" w:space="0" w:color="auto"/>
              <w:right w:val="single" w:sz="4" w:space="0" w:color="auto"/>
            </w:tcBorders>
            <w:noWrap w:val="0"/>
            <w:vAlign w:val="center"/>
            <w:hideMark/>
          </w:tcPr>
          <w:p w14:paraId="34051A96" w14:textId="77777777" w:rsidR="00B10545" w:rsidRDefault="00B10545">
            <w:pPr>
              <w:rPr>
                <w:b/>
                <w:sz w:val="18"/>
                <w:szCs w:val="18"/>
              </w:rPr>
            </w:pPr>
          </w:p>
        </w:tc>
        <w:tc>
          <w:tcPr>
            <w:tcW w:w="99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D9BFBD" w14:textId="77777777" w:rsidR="00B10545" w:rsidRDefault="00B10545">
            <w:pPr>
              <w:keepNext/>
              <w:rPr>
                <w:b/>
                <w:bCs/>
                <w:sz w:val="18"/>
                <w:szCs w:val="18"/>
              </w:rPr>
            </w:pPr>
            <w:r>
              <w:rPr>
                <w:b/>
                <w:bCs/>
                <w:sz w:val="18"/>
                <w:szCs w:val="18"/>
              </w:rPr>
              <w:t>GROSS</w:t>
            </w:r>
          </w:p>
        </w:tc>
        <w:tc>
          <w:tcPr>
            <w:tcW w:w="8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9D87EF" w14:textId="77777777" w:rsidR="00B10545" w:rsidRDefault="00B10545">
            <w:pPr>
              <w:rPr>
                <w:b/>
                <w:bCs/>
                <w:sz w:val="18"/>
                <w:szCs w:val="18"/>
              </w:rPr>
            </w:pPr>
            <w:r>
              <w:rPr>
                <w:b/>
                <w:bCs/>
                <w:sz w:val="18"/>
                <w:szCs w:val="18"/>
              </w:rPr>
              <w:t>16,588</w:t>
            </w:r>
          </w:p>
        </w:tc>
        <w:tc>
          <w:tcPr>
            <w:tcW w:w="9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74A03C" w14:textId="77777777" w:rsidR="00B10545" w:rsidRDefault="00B10545">
            <w:pPr>
              <w:rPr>
                <w:b/>
                <w:bCs/>
                <w:sz w:val="18"/>
                <w:szCs w:val="18"/>
              </w:rPr>
            </w:pPr>
            <w:r>
              <w:rPr>
                <w:b/>
                <w:bCs/>
                <w:sz w:val="18"/>
                <w:szCs w:val="18"/>
              </w:rPr>
              <w:t>23.91</w:t>
            </w:r>
          </w:p>
        </w:tc>
        <w:tc>
          <w:tcPr>
            <w:tcW w:w="9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33F16B" w14:textId="77777777" w:rsidR="00B10545" w:rsidRDefault="00B10545">
            <w:pPr>
              <w:rPr>
                <w:b/>
                <w:bCs/>
                <w:sz w:val="18"/>
                <w:szCs w:val="18"/>
              </w:rPr>
            </w:pPr>
            <w:r>
              <w:rPr>
                <w:b/>
                <w:bCs/>
                <w:sz w:val="18"/>
                <w:szCs w:val="18"/>
              </w:rPr>
              <w:t>28.06</w:t>
            </w:r>
          </w:p>
        </w:tc>
      </w:tr>
      <w:tr w:rsidR="00B10545" w14:paraId="184B68E6" w14:textId="77777777" w:rsidTr="00B10545">
        <w:tc>
          <w:tcPr>
            <w:tcW w:w="1267" w:type="pct"/>
            <w:vMerge w:val="restart"/>
            <w:tcBorders>
              <w:top w:val="single" w:sz="4" w:space="0" w:color="auto"/>
              <w:left w:val="single" w:sz="4" w:space="0" w:color="auto"/>
              <w:bottom w:val="single" w:sz="4" w:space="0" w:color="auto"/>
              <w:right w:val="single" w:sz="4" w:space="0" w:color="auto"/>
            </w:tcBorders>
            <w:hideMark/>
          </w:tcPr>
          <w:p w14:paraId="2E3DFDEE" w14:textId="77777777" w:rsidR="00B10545" w:rsidRDefault="00B10545">
            <w:pPr>
              <w:pStyle w:val="TableStyle"/>
              <w:keepNext/>
              <w:rPr>
                <w:rFonts w:ascii="Arial" w:hAnsi="Arial"/>
                <w:b/>
                <w:sz w:val="18"/>
                <w:szCs w:val="18"/>
              </w:rPr>
            </w:pPr>
            <w:r>
              <w:rPr>
                <w:rFonts w:ascii="Arial" w:hAnsi="Arial"/>
                <w:b/>
                <w:sz w:val="18"/>
                <w:szCs w:val="18"/>
              </w:rPr>
              <w:t>Experian September 2024 Baseline</w:t>
            </w:r>
          </w:p>
        </w:tc>
        <w:tc>
          <w:tcPr>
            <w:tcW w:w="992" w:type="pct"/>
            <w:tcBorders>
              <w:top w:val="single" w:sz="4" w:space="0" w:color="auto"/>
              <w:left w:val="single" w:sz="4" w:space="0" w:color="auto"/>
              <w:bottom w:val="single" w:sz="4" w:space="0" w:color="auto"/>
              <w:right w:val="single" w:sz="4" w:space="0" w:color="auto"/>
            </w:tcBorders>
            <w:hideMark/>
          </w:tcPr>
          <w:p w14:paraId="1B43691B" w14:textId="77777777" w:rsidR="00B10545" w:rsidRDefault="00B10545">
            <w:pPr>
              <w:keepNext/>
              <w:rPr>
                <w:sz w:val="18"/>
                <w:szCs w:val="18"/>
              </w:rPr>
            </w:pPr>
            <w:r>
              <w:rPr>
                <w:sz w:val="18"/>
                <w:szCs w:val="18"/>
              </w:rPr>
              <w:t>Net</w:t>
            </w:r>
          </w:p>
        </w:tc>
        <w:tc>
          <w:tcPr>
            <w:tcW w:w="844" w:type="pct"/>
            <w:tcBorders>
              <w:top w:val="single" w:sz="4" w:space="0" w:color="auto"/>
              <w:left w:val="single" w:sz="4" w:space="0" w:color="auto"/>
              <w:bottom w:val="single" w:sz="4" w:space="0" w:color="auto"/>
              <w:right w:val="single" w:sz="4" w:space="0" w:color="auto"/>
            </w:tcBorders>
            <w:vAlign w:val="center"/>
            <w:hideMark/>
          </w:tcPr>
          <w:p w14:paraId="0423FBE4" w14:textId="77777777" w:rsidR="00B10545" w:rsidRDefault="00B10545">
            <w:pPr>
              <w:rPr>
                <w:sz w:val="18"/>
                <w:szCs w:val="18"/>
              </w:rPr>
            </w:pPr>
            <w:r>
              <w:rPr>
                <w:sz w:val="18"/>
                <w:szCs w:val="18"/>
              </w:rPr>
              <w:t>1,214</w:t>
            </w:r>
          </w:p>
        </w:tc>
        <w:tc>
          <w:tcPr>
            <w:tcW w:w="949" w:type="pct"/>
            <w:tcBorders>
              <w:top w:val="single" w:sz="4" w:space="0" w:color="auto"/>
              <w:left w:val="single" w:sz="4" w:space="0" w:color="auto"/>
              <w:bottom w:val="single" w:sz="4" w:space="0" w:color="auto"/>
              <w:right w:val="single" w:sz="4" w:space="0" w:color="auto"/>
            </w:tcBorders>
            <w:vAlign w:val="center"/>
            <w:hideMark/>
          </w:tcPr>
          <w:p w14:paraId="73830D73" w14:textId="77777777" w:rsidR="00B10545" w:rsidRDefault="00B10545">
            <w:pPr>
              <w:rPr>
                <w:sz w:val="18"/>
                <w:szCs w:val="18"/>
              </w:rPr>
            </w:pPr>
            <w:r>
              <w:rPr>
                <w:sz w:val="18"/>
                <w:szCs w:val="18"/>
              </w:rPr>
              <w:t>2.90</w:t>
            </w:r>
          </w:p>
        </w:tc>
        <w:tc>
          <w:tcPr>
            <w:tcW w:w="948" w:type="pct"/>
            <w:tcBorders>
              <w:top w:val="single" w:sz="4" w:space="0" w:color="auto"/>
              <w:left w:val="single" w:sz="4" w:space="0" w:color="auto"/>
              <w:bottom w:val="single" w:sz="4" w:space="0" w:color="auto"/>
              <w:right w:val="single" w:sz="4" w:space="0" w:color="auto"/>
            </w:tcBorders>
            <w:vAlign w:val="center"/>
            <w:hideMark/>
          </w:tcPr>
          <w:p w14:paraId="05A7FAC1" w14:textId="77777777" w:rsidR="00B10545" w:rsidRDefault="00B10545">
            <w:pPr>
              <w:rPr>
                <w:sz w:val="18"/>
                <w:szCs w:val="18"/>
              </w:rPr>
            </w:pPr>
            <w:r>
              <w:rPr>
                <w:sz w:val="18"/>
                <w:szCs w:val="18"/>
              </w:rPr>
              <w:t>3.20</w:t>
            </w:r>
          </w:p>
        </w:tc>
      </w:tr>
      <w:tr w:rsidR="00B10545" w14:paraId="698A9E05" w14:textId="77777777" w:rsidTr="00B10545">
        <w:tc>
          <w:tcPr>
            <w:tcW w:w="2470" w:type="dxa"/>
            <w:vMerge/>
            <w:tcBorders>
              <w:top w:val="single" w:sz="4" w:space="0" w:color="auto"/>
              <w:left w:val="single" w:sz="4" w:space="0" w:color="auto"/>
              <w:bottom w:val="single" w:sz="4" w:space="0" w:color="auto"/>
              <w:right w:val="single" w:sz="4" w:space="0" w:color="auto"/>
            </w:tcBorders>
            <w:noWrap w:val="0"/>
            <w:vAlign w:val="center"/>
            <w:hideMark/>
          </w:tcPr>
          <w:p w14:paraId="20040E88" w14:textId="77777777" w:rsidR="00B10545" w:rsidRDefault="00B10545">
            <w:pPr>
              <w:rPr>
                <w:b/>
                <w:sz w:val="18"/>
                <w:szCs w:val="18"/>
              </w:rPr>
            </w:pPr>
          </w:p>
        </w:tc>
        <w:tc>
          <w:tcPr>
            <w:tcW w:w="992" w:type="pct"/>
            <w:tcBorders>
              <w:top w:val="single" w:sz="4" w:space="0" w:color="auto"/>
              <w:left w:val="single" w:sz="4" w:space="0" w:color="auto"/>
              <w:bottom w:val="single" w:sz="4" w:space="0" w:color="auto"/>
              <w:right w:val="single" w:sz="4" w:space="0" w:color="auto"/>
            </w:tcBorders>
            <w:hideMark/>
          </w:tcPr>
          <w:p w14:paraId="56AE3C1D" w14:textId="77777777" w:rsidR="00B10545" w:rsidRDefault="00B10545">
            <w:pPr>
              <w:keepNext/>
              <w:rPr>
                <w:sz w:val="18"/>
                <w:szCs w:val="18"/>
              </w:rPr>
            </w:pPr>
            <w:r>
              <w:rPr>
                <w:sz w:val="18"/>
                <w:szCs w:val="18"/>
              </w:rPr>
              <w:t>+ Flexibility Factor</w:t>
            </w:r>
          </w:p>
        </w:tc>
        <w:tc>
          <w:tcPr>
            <w:tcW w:w="844" w:type="pct"/>
            <w:tcBorders>
              <w:top w:val="single" w:sz="4" w:space="0" w:color="auto"/>
              <w:left w:val="single" w:sz="4" w:space="0" w:color="auto"/>
              <w:bottom w:val="single" w:sz="4" w:space="0" w:color="auto"/>
              <w:right w:val="single" w:sz="4" w:space="0" w:color="auto"/>
            </w:tcBorders>
            <w:vAlign w:val="center"/>
            <w:hideMark/>
          </w:tcPr>
          <w:p w14:paraId="75451407" w14:textId="77777777" w:rsidR="00B10545" w:rsidRDefault="00B10545">
            <w:pPr>
              <w:rPr>
                <w:sz w:val="18"/>
                <w:szCs w:val="18"/>
              </w:rPr>
            </w:pPr>
            <w:r>
              <w:rPr>
                <w:sz w:val="18"/>
                <w:szCs w:val="18"/>
              </w:rPr>
              <w:t>73</w:t>
            </w:r>
          </w:p>
        </w:tc>
        <w:tc>
          <w:tcPr>
            <w:tcW w:w="949" w:type="pct"/>
            <w:tcBorders>
              <w:top w:val="single" w:sz="4" w:space="0" w:color="auto"/>
              <w:left w:val="single" w:sz="4" w:space="0" w:color="auto"/>
              <w:bottom w:val="single" w:sz="4" w:space="0" w:color="auto"/>
              <w:right w:val="single" w:sz="4" w:space="0" w:color="auto"/>
            </w:tcBorders>
            <w:vAlign w:val="center"/>
            <w:hideMark/>
          </w:tcPr>
          <w:p w14:paraId="761E352B" w14:textId="77777777" w:rsidR="00B10545" w:rsidRDefault="00B10545">
            <w:pPr>
              <w:rPr>
                <w:sz w:val="18"/>
                <w:szCs w:val="18"/>
              </w:rPr>
            </w:pPr>
            <w:r>
              <w:rPr>
                <w:sz w:val="18"/>
                <w:szCs w:val="18"/>
              </w:rPr>
              <w:t>7.30</w:t>
            </w:r>
          </w:p>
        </w:tc>
        <w:tc>
          <w:tcPr>
            <w:tcW w:w="948" w:type="pct"/>
            <w:tcBorders>
              <w:top w:val="single" w:sz="4" w:space="0" w:color="auto"/>
              <w:left w:val="single" w:sz="4" w:space="0" w:color="auto"/>
              <w:bottom w:val="single" w:sz="4" w:space="0" w:color="auto"/>
              <w:right w:val="single" w:sz="4" w:space="0" w:color="auto"/>
            </w:tcBorders>
            <w:vAlign w:val="center"/>
            <w:hideMark/>
          </w:tcPr>
          <w:p w14:paraId="7FEAB0B9" w14:textId="77777777" w:rsidR="00B10545" w:rsidRDefault="00B10545">
            <w:pPr>
              <w:rPr>
                <w:sz w:val="18"/>
                <w:szCs w:val="18"/>
              </w:rPr>
            </w:pPr>
            <w:r>
              <w:rPr>
                <w:sz w:val="18"/>
                <w:szCs w:val="18"/>
              </w:rPr>
              <w:t>7.32</w:t>
            </w:r>
          </w:p>
        </w:tc>
      </w:tr>
      <w:tr w:rsidR="00B10545" w14:paraId="07A40EEF" w14:textId="77777777" w:rsidTr="00B10545">
        <w:trPr>
          <w:trHeight w:val="137"/>
        </w:trPr>
        <w:tc>
          <w:tcPr>
            <w:tcW w:w="2470" w:type="dxa"/>
            <w:vMerge/>
            <w:tcBorders>
              <w:top w:val="single" w:sz="4" w:space="0" w:color="auto"/>
              <w:left w:val="single" w:sz="4" w:space="0" w:color="auto"/>
              <w:bottom w:val="single" w:sz="4" w:space="0" w:color="auto"/>
              <w:right w:val="single" w:sz="4" w:space="0" w:color="auto"/>
            </w:tcBorders>
            <w:noWrap w:val="0"/>
            <w:vAlign w:val="center"/>
            <w:hideMark/>
          </w:tcPr>
          <w:p w14:paraId="05DD068D" w14:textId="77777777" w:rsidR="00B10545" w:rsidRDefault="00B10545">
            <w:pPr>
              <w:rPr>
                <w:b/>
                <w:sz w:val="18"/>
                <w:szCs w:val="18"/>
              </w:rPr>
            </w:pPr>
          </w:p>
        </w:tc>
        <w:tc>
          <w:tcPr>
            <w:tcW w:w="992" w:type="pct"/>
            <w:tcBorders>
              <w:top w:val="single" w:sz="4" w:space="0" w:color="auto"/>
              <w:left w:val="single" w:sz="4" w:space="0" w:color="auto"/>
              <w:bottom w:val="single" w:sz="4" w:space="0" w:color="auto"/>
              <w:right w:val="single" w:sz="4" w:space="0" w:color="auto"/>
            </w:tcBorders>
            <w:hideMark/>
          </w:tcPr>
          <w:p w14:paraId="0B5115CF" w14:textId="77777777" w:rsidR="00B10545" w:rsidRDefault="00B10545">
            <w:pPr>
              <w:keepNext/>
              <w:rPr>
                <w:sz w:val="18"/>
                <w:szCs w:val="18"/>
              </w:rPr>
            </w:pPr>
            <w:r>
              <w:rPr>
                <w:sz w:val="18"/>
                <w:szCs w:val="18"/>
              </w:rPr>
              <w:t>+ Loss Replacement</w:t>
            </w:r>
          </w:p>
        </w:tc>
        <w:tc>
          <w:tcPr>
            <w:tcW w:w="844" w:type="pct"/>
            <w:tcBorders>
              <w:top w:val="single" w:sz="4" w:space="0" w:color="auto"/>
              <w:left w:val="single" w:sz="4" w:space="0" w:color="auto"/>
              <w:bottom w:val="single" w:sz="4" w:space="0" w:color="auto"/>
              <w:right w:val="single" w:sz="4" w:space="0" w:color="auto"/>
            </w:tcBorders>
            <w:vAlign w:val="center"/>
            <w:hideMark/>
          </w:tcPr>
          <w:p w14:paraId="40BE5DB9" w14:textId="77777777" w:rsidR="00B10545" w:rsidRDefault="00B10545">
            <w:pPr>
              <w:rPr>
                <w:sz w:val="18"/>
                <w:szCs w:val="18"/>
              </w:rPr>
            </w:pPr>
            <w:r>
              <w:rPr>
                <w:bCs/>
                <w:sz w:val="18"/>
                <w:szCs w:val="18"/>
              </w:rPr>
              <w:t>737</w:t>
            </w:r>
          </w:p>
        </w:tc>
        <w:tc>
          <w:tcPr>
            <w:tcW w:w="949" w:type="pct"/>
            <w:tcBorders>
              <w:top w:val="single" w:sz="4" w:space="0" w:color="auto"/>
              <w:left w:val="single" w:sz="4" w:space="0" w:color="auto"/>
              <w:bottom w:val="single" w:sz="4" w:space="0" w:color="auto"/>
              <w:right w:val="single" w:sz="4" w:space="0" w:color="auto"/>
            </w:tcBorders>
            <w:vAlign w:val="center"/>
            <w:hideMark/>
          </w:tcPr>
          <w:p w14:paraId="621E4C89" w14:textId="77777777" w:rsidR="00B10545" w:rsidRDefault="00B10545">
            <w:pPr>
              <w:rPr>
                <w:sz w:val="18"/>
                <w:szCs w:val="18"/>
              </w:rPr>
            </w:pPr>
            <w:r>
              <w:rPr>
                <w:bCs/>
                <w:sz w:val="18"/>
                <w:szCs w:val="18"/>
              </w:rPr>
              <w:t>11.26</w:t>
            </w:r>
          </w:p>
        </w:tc>
        <w:tc>
          <w:tcPr>
            <w:tcW w:w="948" w:type="pct"/>
            <w:tcBorders>
              <w:top w:val="single" w:sz="4" w:space="0" w:color="auto"/>
              <w:left w:val="single" w:sz="4" w:space="0" w:color="auto"/>
              <w:bottom w:val="single" w:sz="4" w:space="0" w:color="auto"/>
              <w:right w:val="single" w:sz="4" w:space="0" w:color="auto"/>
            </w:tcBorders>
            <w:vAlign w:val="center"/>
            <w:hideMark/>
          </w:tcPr>
          <w:p w14:paraId="3F6B04CD" w14:textId="77777777" w:rsidR="00B10545" w:rsidRDefault="00B10545">
            <w:pPr>
              <w:rPr>
                <w:sz w:val="18"/>
                <w:szCs w:val="18"/>
              </w:rPr>
            </w:pPr>
            <w:r>
              <w:rPr>
                <w:sz w:val="18"/>
                <w:szCs w:val="18"/>
              </w:rPr>
              <w:t>11.44</w:t>
            </w:r>
          </w:p>
        </w:tc>
      </w:tr>
      <w:tr w:rsidR="00B10545" w14:paraId="01DAF7D3" w14:textId="77777777" w:rsidTr="00B10545">
        <w:tc>
          <w:tcPr>
            <w:tcW w:w="2470" w:type="dxa"/>
            <w:vMerge/>
            <w:tcBorders>
              <w:top w:val="single" w:sz="4" w:space="0" w:color="auto"/>
              <w:left w:val="single" w:sz="4" w:space="0" w:color="auto"/>
              <w:bottom w:val="single" w:sz="4" w:space="0" w:color="auto"/>
              <w:right w:val="single" w:sz="4" w:space="0" w:color="auto"/>
            </w:tcBorders>
            <w:noWrap w:val="0"/>
            <w:vAlign w:val="center"/>
            <w:hideMark/>
          </w:tcPr>
          <w:p w14:paraId="3BDD8DDD" w14:textId="77777777" w:rsidR="00B10545" w:rsidRDefault="00B10545">
            <w:pPr>
              <w:rPr>
                <w:b/>
                <w:sz w:val="18"/>
                <w:szCs w:val="18"/>
              </w:rPr>
            </w:pPr>
          </w:p>
        </w:tc>
        <w:tc>
          <w:tcPr>
            <w:tcW w:w="99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98231D" w14:textId="77777777" w:rsidR="00B10545" w:rsidRDefault="00B10545">
            <w:pPr>
              <w:keepNext/>
              <w:rPr>
                <w:b/>
                <w:bCs/>
                <w:sz w:val="18"/>
                <w:szCs w:val="18"/>
              </w:rPr>
            </w:pPr>
            <w:r>
              <w:rPr>
                <w:b/>
                <w:bCs/>
                <w:sz w:val="18"/>
                <w:szCs w:val="18"/>
              </w:rPr>
              <w:t>GROSS</w:t>
            </w:r>
          </w:p>
        </w:tc>
        <w:tc>
          <w:tcPr>
            <w:tcW w:w="8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87E27C" w14:textId="77777777" w:rsidR="00B10545" w:rsidRDefault="00B10545">
            <w:pPr>
              <w:rPr>
                <w:b/>
                <w:bCs/>
                <w:sz w:val="18"/>
                <w:szCs w:val="18"/>
              </w:rPr>
            </w:pPr>
            <w:r>
              <w:rPr>
                <w:b/>
                <w:bCs/>
                <w:sz w:val="18"/>
                <w:szCs w:val="18"/>
              </w:rPr>
              <w:t>2,024</w:t>
            </w:r>
          </w:p>
        </w:tc>
        <w:tc>
          <w:tcPr>
            <w:tcW w:w="9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086572" w14:textId="77777777" w:rsidR="00B10545" w:rsidRDefault="00B10545">
            <w:pPr>
              <w:rPr>
                <w:b/>
                <w:bCs/>
                <w:sz w:val="18"/>
                <w:szCs w:val="18"/>
              </w:rPr>
            </w:pPr>
            <w:r>
              <w:rPr>
                <w:b/>
                <w:bCs/>
                <w:sz w:val="18"/>
                <w:szCs w:val="18"/>
              </w:rPr>
              <w:t>21.45</w:t>
            </w:r>
          </w:p>
        </w:tc>
        <w:tc>
          <w:tcPr>
            <w:tcW w:w="9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89B50" w14:textId="77777777" w:rsidR="00B10545" w:rsidRDefault="00B10545">
            <w:pPr>
              <w:rPr>
                <w:b/>
                <w:bCs/>
                <w:sz w:val="18"/>
                <w:szCs w:val="18"/>
              </w:rPr>
            </w:pPr>
            <w:r>
              <w:rPr>
                <w:b/>
                <w:bCs/>
                <w:sz w:val="18"/>
                <w:szCs w:val="18"/>
              </w:rPr>
              <w:t>21.96</w:t>
            </w:r>
          </w:p>
        </w:tc>
      </w:tr>
      <w:tr w:rsidR="00B10545" w14:paraId="73B2FB0F" w14:textId="77777777" w:rsidTr="00B10545">
        <w:tc>
          <w:tcPr>
            <w:tcW w:w="1267" w:type="pct"/>
            <w:vMerge w:val="restart"/>
            <w:tcBorders>
              <w:top w:val="single" w:sz="4" w:space="0" w:color="auto"/>
              <w:left w:val="single" w:sz="4" w:space="0" w:color="auto"/>
              <w:bottom w:val="single" w:sz="4" w:space="0" w:color="auto"/>
              <w:right w:val="single" w:sz="4" w:space="0" w:color="auto"/>
            </w:tcBorders>
            <w:hideMark/>
          </w:tcPr>
          <w:p w14:paraId="48621020" w14:textId="77777777" w:rsidR="00B10545" w:rsidRDefault="00B10545">
            <w:pPr>
              <w:pStyle w:val="TableStyle"/>
              <w:keepNext/>
              <w:rPr>
                <w:rFonts w:ascii="Arial" w:hAnsi="Arial"/>
                <w:b/>
                <w:sz w:val="18"/>
                <w:szCs w:val="18"/>
              </w:rPr>
            </w:pPr>
            <w:r>
              <w:rPr>
                <w:rFonts w:ascii="Arial" w:hAnsi="Arial"/>
                <w:b/>
                <w:sz w:val="18"/>
                <w:szCs w:val="18"/>
              </w:rPr>
              <w:t>Regeneration Scenario using Experian September 2024 baseline</w:t>
            </w:r>
          </w:p>
        </w:tc>
        <w:tc>
          <w:tcPr>
            <w:tcW w:w="992" w:type="pct"/>
            <w:tcBorders>
              <w:top w:val="single" w:sz="4" w:space="0" w:color="auto"/>
              <w:left w:val="single" w:sz="4" w:space="0" w:color="auto"/>
              <w:bottom w:val="single" w:sz="4" w:space="0" w:color="auto"/>
              <w:right w:val="single" w:sz="4" w:space="0" w:color="auto"/>
            </w:tcBorders>
            <w:hideMark/>
          </w:tcPr>
          <w:p w14:paraId="7511777D" w14:textId="77777777" w:rsidR="00B10545" w:rsidRDefault="00B10545">
            <w:pPr>
              <w:keepNext/>
              <w:rPr>
                <w:sz w:val="18"/>
                <w:szCs w:val="18"/>
              </w:rPr>
            </w:pPr>
            <w:r>
              <w:rPr>
                <w:sz w:val="18"/>
                <w:szCs w:val="18"/>
              </w:rPr>
              <w:t>Net</w:t>
            </w:r>
          </w:p>
        </w:tc>
        <w:tc>
          <w:tcPr>
            <w:tcW w:w="844" w:type="pct"/>
            <w:tcBorders>
              <w:top w:val="single" w:sz="4" w:space="0" w:color="auto"/>
              <w:left w:val="single" w:sz="4" w:space="0" w:color="auto"/>
              <w:bottom w:val="single" w:sz="4" w:space="0" w:color="auto"/>
              <w:right w:val="single" w:sz="4" w:space="0" w:color="auto"/>
            </w:tcBorders>
            <w:vAlign w:val="center"/>
            <w:hideMark/>
          </w:tcPr>
          <w:p w14:paraId="3A21DB6A" w14:textId="77777777" w:rsidR="00B10545" w:rsidRDefault="00B10545">
            <w:pPr>
              <w:rPr>
                <w:sz w:val="18"/>
                <w:szCs w:val="18"/>
              </w:rPr>
            </w:pPr>
            <w:r>
              <w:rPr>
                <w:sz w:val="18"/>
                <w:szCs w:val="18"/>
              </w:rPr>
              <w:t>12,045</w:t>
            </w:r>
          </w:p>
        </w:tc>
        <w:tc>
          <w:tcPr>
            <w:tcW w:w="949" w:type="pct"/>
            <w:tcBorders>
              <w:top w:val="single" w:sz="4" w:space="0" w:color="auto"/>
              <w:left w:val="single" w:sz="4" w:space="0" w:color="auto"/>
              <w:bottom w:val="single" w:sz="4" w:space="0" w:color="auto"/>
              <w:right w:val="single" w:sz="4" w:space="0" w:color="auto"/>
            </w:tcBorders>
            <w:vAlign w:val="center"/>
            <w:hideMark/>
          </w:tcPr>
          <w:p w14:paraId="3FEB45A7" w14:textId="77777777" w:rsidR="00B10545" w:rsidRDefault="00B10545">
            <w:pPr>
              <w:rPr>
                <w:sz w:val="18"/>
                <w:szCs w:val="18"/>
              </w:rPr>
            </w:pPr>
            <w:r>
              <w:rPr>
                <w:sz w:val="18"/>
                <w:szCs w:val="18"/>
              </w:rPr>
              <w:t>13.94</w:t>
            </w:r>
          </w:p>
        </w:tc>
        <w:tc>
          <w:tcPr>
            <w:tcW w:w="948" w:type="pct"/>
            <w:tcBorders>
              <w:top w:val="single" w:sz="4" w:space="0" w:color="auto"/>
              <w:left w:val="single" w:sz="4" w:space="0" w:color="auto"/>
              <w:bottom w:val="single" w:sz="4" w:space="0" w:color="auto"/>
              <w:right w:val="single" w:sz="4" w:space="0" w:color="auto"/>
            </w:tcBorders>
            <w:vAlign w:val="center"/>
            <w:hideMark/>
          </w:tcPr>
          <w:p w14:paraId="3FDBF0D5" w14:textId="77777777" w:rsidR="00B10545" w:rsidRDefault="00B10545">
            <w:pPr>
              <w:rPr>
                <w:sz w:val="18"/>
                <w:szCs w:val="18"/>
              </w:rPr>
            </w:pPr>
            <w:r>
              <w:rPr>
                <w:sz w:val="18"/>
                <w:szCs w:val="18"/>
              </w:rPr>
              <w:t>16.95</w:t>
            </w:r>
          </w:p>
        </w:tc>
      </w:tr>
      <w:tr w:rsidR="00B10545" w14:paraId="4281DA8B" w14:textId="77777777" w:rsidTr="00B10545">
        <w:tc>
          <w:tcPr>
            <w:tcW w:w="2470" w:type="dxa"/>
            <w:vMerge/>
            <w:tcBorders>
              <w:top w:val="single" w:sz="4" w:space="0" w:color="auto"/>
              <w:left w:val="single" w:sz="4" w:space="0" w:color="auto"/>
              <w:bottom w:val="single" w:sz="4" w:space="0" w:color="auto"/>
              <w:right w:val="single" w:sz="4" w:space="0" w:color="auto"/>
            </w:tcBorders>
            <w:noWrap w:val="0"/>
            <w:vAlign w:val="center"/>
            <w:hideMark/>
          </w:tcPr>
          <w:p w14:paraId="34566CEE" w14:textId="77777777" w:rsidR="00B10545" w:rsidRDefault="00B10545">
            <w:pPr>
              <w:rPr>
                <w:b/>
                <w:sz w:val="18"/>
                <w:szCs w:val="18"/>
              </w:rPr>
            </w:pPr>
          </w:p>
        </w:tc>
        <w:tc>
          <w:tcPr>
            <w:tcW w:w="992" w:type="pct"/>
            <w:tcBorders>
              <w:top w:val="single" w:sz="4" w:space="0" w:color="auto"/>
              <w:left w:val="single" w:sz="4" w:space="0" w:color="auto"/>
              <w:bottom w:val="single" w:sz="4" w:space="0" w:color="auto"/>
              <w:right w:val="single" w:sz="4" w:space="0" w:color="auto"/>
            </w:tcBorders>
            <w:hideMark/>
          </w:tcPr>
          <w:p w14:paraId="729DB150" w14:textId="77777777" w:rsidR="00B10545" w:rsidRDefault="00B10545">
            <w:pPr>
              <w:keepNext/>
              <w:rPr>
                <w:sz w:val="18"/>
                <w:szCs w:val="18"/>
              </w:rPr>
            </w:pPr>
            <w:r>
              <w:rPr>
                <w:sz w:val="18"/>
                <w:szCs w:val="18"/>
              </w:rPr>
              <w:t>+ Flexibility Factor</w:t>
            </w:r>
          </w:p>
        </w:tc>
        <w:tc>
          <w:tcPr>
            <w:tcW w:w="844" w:type="pct"/>
            <w:tcBorders>
              <w:top w:val="single" w:sz="4" w:space="0" w:color="auto"/>
              <w:left w:val="single" w:sz="4" w:space="0" w:color="auto"/>
              <w:bottom w:val="single" w:sz="4" w:space="0" w:color="auto"/>
              <w:right w:val="single" w:sz="4" w:space="0" w:color="auto"/>
            </w:tcBorders>
            <w:vAlign w:val="center"/>
            <w:hideMark/>
          </w:tcPr>
          <w:p w14:paraId="26A83583" w14:textId="77777777" w:rsidR="00B10545" w:rsidRDefault="00B10545">
            <w:pPr>
              <w:rPr>
                <w:sz w:val="18"/>
                <w:szCs w:val="18"/>
              </w:rPr>
            </w:pPr>
            <w:r>
              <w:rPr>
                <w:sz w:val="18"/>
                <w:szCs w:val="18"/>
              </w:rPr>
              <w:t>73</w:t>
            </w:r>
          </w:p>
        </w:tc>
        <w:tc>
          <w:tcPr>
            <w:tcW w:w="949" w:type="pct"/>
            <w:tcBorders>
              <w:top w:val="single" w:sz="4" w:space="0" w:color="auto"/>
              <w:left w:val="single" w:sz="4" w:space="0" w:color="auto"/>
              <w:bottom w:val="single" w:sz="4" w:space="0" w:color="auto"/>
              <w:right w:val="single" w:sz="4" w:space="0" w:color="auto"/>
            </w:tcBorders>
            <w:vAlign w:val="center"/>
            <w:hideMark/>
          </w:tcPr>
          <w:p w14:paraId="1E19A85A" w14:textId="77777777" w:rsidR="00B10545" w:rsidRDefault="00B10545">
            <w:pPr>
              <w:rPr>
                <w:sz w:val="18"/>
                <w:szCs w:val="18"/>
              </w:rPr>
            </w:pPr>
            <w:r>
              <w:rPr>
                <w:sz w:val="18"/>
                <w:szCs w:val="18"/>
              </w:rPr>
              <w:t>7.30</w:t>
            </w:r>
          </w:p>
        </w:tc>
        <w:tc>
          <w:tcPr>
            <w:tcW w:w="948" w:type="pct"/>
            <w:tcBorders>
              <w:top w:val="single" w:sz="4" w:space="0" w:color="auto"/>
              <w:left w:val="single" w:sz="4" w:space="0" w:color="auto"/>
              <w:bottom w:val="single" w:sz="4" w:space="0" w:color="auto"/>
              <w:right w:val="single" w:sz="4" w:space="0" w:color="auto"/>
            </w:tcBorders>
            <w:vAlign w:val="center"/>
            <w:hideMark/>
          </w:tcPr>
          <w:p w14:paraId="595C3C4A" w14:textId="77777777" w:rsidR="00B10545" w:rsidRDefault="00B10545">
            <w:pPr>
              <w:rPr>
                <w:sz w:val="18"/>
                <w:szCs w:val="18"/>
              </w:rPr>
            </w:pPr>
            <w:r>
              <w:rPr>
                <w:sz w:val="18"/>
                <w:szCs w:val="18"/>
              </w:rPr>
              <w:t>7.32</w:t>
            </w:r>
          </w:p>
        </w:tc>
      </w:tr>
      <w:tr w:rsidR="00B10545" w14:paraId="663483C9" w14:textId="77777777" w:rsidTr="00B10545">
        <w:trPr>
          <w:trHeight w:val="137"/>
        </w:trPr>
        <w:tc>
          <w:tcPr>
            <w:tcW w:w="2470" w:type="dxa"/>
            <w:vMerge/>
            <w:tcBorders>
              <w:top w:val="single" w:sz="4" w:space="0" w:color="auto"/>
              <w:left w:val="single" w:sz="4" w:space="0" w:color="auto"/>
              <w:bottom w:val="single" w:sz="4" w:space="0" w:color="auto"/>
              <w:right w:val="single" w:sz="4" w:space="0" w:color="auto"/>
            </w:tcBorders>
            <w:noWrap w:val="0"/>
            <w:vAlign w:val="center"/>
            <w:hideMark/>
          </w:tcPr>
          <w:p w14:paraId="0AA9E369" w14:textId="77777777" w:rsidR="00B10545" w:rsidRDefault="00B10545">
            <w:pPr>
              <w:rPr>
                <w:b/>
                <w:sz w:val="18"/>
                <w:szCs w:val="18"/>
              </w:rPr>
            </w:pPr>
          </w:p>
        </w:tc>
        <w:tc>
          <w:tcPr>
            <w:tcW w:w="992" w:type="pct"/>
            <w:tcBorders>
              <w:top w:val="single" w:sz="4" w:space="0" w:color="auto"/>
              <w:left w:val="single" w:sz="4" w:space="0" w:color="auto"/>
              <w:bottom w:val="single" w:sz="4" w:space="0" w:color="auto"/>
              <w:right w:val="single" w:sz="4" w:space="0" w:color="auto"/>
            </w:tcBorders>
            <w:hideMark/>
          </w:tcPr>
          <w:p w14:paraId="3285EF9D" w14:textId="77777777" w:rsidR="00B10545" w:rsidRDefault="00B10545">
            <w:pPr>
              <w:keepNext/>
              <w:rPr>
                <w:sz w:val="18"/>
                <w:szCs w:val="18"/>
              </w:rPr>
            </w:pPr>
            <w:r>
              <w:rPr>
                <w:sz w:val="18"/>
                <w:szCs w:val="18"/>
              </w:rPr>
              <w:t>+ Loss Replacement</w:t>
            </w:r>
          </w:p>
        </w:tc>
        <w:tc>
          <w:tcPr>
            <w:tcW w:w="844" w:type="pct"/>
            <w:tcBorders>
              <w:top w:val="single" w:sz="4" w:space="0" w:color="auto"/>
              <w:left w:val="single" w:sz="4" w:space="0" w:color="auto"/>
              <w:bottom w:val="single" w:sz="4" w:space="0" w:color="auto"/>
              <w:right w:val="single" w:sz="4" w:space="0" w:color="auto"/>
            </w:tcBorders>
            <w:vAlign w:val="center"/>
            <w:hideMark/>
          </w:tcPr>
          <w:p w14:paraId="574623EA" w14:textId="77777777" w:rsidR="00B10545" w:rsidRDefault="00B10545">
            <w:pPr>
              <w:rPr>
                <w:sz w:val="18"/>
                <w:szCs w:val="18"/>
              </w:rPr>
            </w:pPr>
            <w:r>
              <w:rPr>
                <w:bCs/>
                <w:sz w:val="18"/>
                <w:szCs w:val="18"/>
              </w:rPr>
              <w:t>737</w:t>
            </w:r>
          </w:p>
        </w:tc>
        <w:tc>
          <w:tcPr>
            <w:tcW w:w="949" w:type="pct"/>
            <w:tcBorders>
              <w:top w:val="single" w:sz="4" w:space="0" w:color="auto"/>
              <w:left w:val="single" w:sz="4" w:space="0" w:color="auto"/>
              <w:bottom w:val="single" w:sz="4" w:space="0" w:color="auto"/>
              <w:right w:val="single" w:sz="4" w:space="0" w:color="auto"/>
            </w:tcBorders>
            <w:vAlign w:val="center"/>
            <w:hideMark/>
          </w:tcPr>
          <w:p w14:paraId="38DCA598" w14:textId="77777777" w:rsidR="00B10545" w:rsidRDefault="00B10545">
            <w:pPr>
              <w:rPr>
                <w:sz w:val="18"/>
                <w:szCs w:val="18"/>
              </w:rPr>
            </w:pPr>
            <w:r>
              <w:rPr>
                <w:bCs/>
                <w:sz w:val="18"/>
                <w:szCs w:val="18"/>
              </w:rPr>
              <w:t>11.26</w:t>
            </w:r>
          </w:p>
        </w:tc>
        <w:tc>
          <w:tcPr>
            <w:tcW w:w="948" w:type="pct"/>
            <w:tcBorders>
              <w:top w:val="single" w:sz="4" w:space="0" w:color="auto"/>
              <w:left w:val="single" w:sz="4" w:space="0" w:color="auto"/>
              <w:bottom w:val="single" w:sz="4" w:space="0" w:color="auto"/>
              <w:right w:val="single" w:sz="4" w:space="0" w:color="auto"/>
            </w:tcBorders>
            <w:vAlign w:val="center"/>
            <w:hideMark/>
          </w:tcPr>
          <w:p w14:paraId="03C98D0B" w14:textId="77777777" w:rsidR="00B10545" w:rsidRDefault="00B10545">
            <w:pPr>
              <w:rPr>
                <w:sz w:val="18"/>
                <w:szCs w:val="18"/>
              </w:rPr>
            </w:pPr>
            <w:r>
              <w:rPr>
                <w:sz w:val="18"/>
                <w:szCs w:val="18"/>
              </w:rPr>
              <w:t>11.44</w:t>
            </w:r>
          </w:p>
        </w:tc>
      </w:tr>
      <w:tr w:rsidR="00B10545" w14:paraId="26F187CA" w14:textId="77777777" w:rsidTr="00B10545">
        <w:tc>
          <w:tcPr>
            <w:tcW w:w="2470" w:type="dxa"/>
            <w:vMerge/>
            <w:tcBorders>
              <w:top w:val="single" w:sz="4" w:space="0" w:color="auto"/>
              <w:left w:val="single" w:sz="4" w:space="0" w:color="auto"/>
              <w:bottom w:val="single" w:sz="4" w:space="0" w:color="auto"/>
              <w:right w:val="single" w:sz="4" w:space="0" w:color="auto"/>
            </w:tcBorders>
            <w:noWrap w:val="0"/>
            <w:vAlign w:val="center"/>
            <w:hideMark/>
          </w:tcPr>
          <w:p w14:paraId="07B096FB" w14:textId="77777777" w:rsidR="00B10545" w:rsidRDefault="00B10545">
            <w:pPr>
              <w:rPr>
                <w:b/>
                <w:sz w:val="18"/>
                <w:szCs w:val="18"/>
              </w:rPr>
            </w:pPr>
          </w:p>
        </w:tc>
        <w:tc>
          <w:tcPr>
            <w:tcW w:w="99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9CD04F" w14:textId="77777777" w:rsidR="00B10545" w:rsidRDefault="00B10545">
            <w:pPr>
              <w:keepNext/>
              <w:rPr>
                <w:b/>
                <w:bCs/>
                <w:sz w:val="18"/>
                <w:szCs w:val="18"/>
              </w:rPr>
            </w:pPr>
            <w:r>
              <w:rPr>
                <w:b/>
                <w:bCs/>
                <w:sz w:val="18"/>
                <w:szCs w:val="18"/>
              </w:rPr>
              <w:t>GROSS</w:t>
            </w:r>
          </w:p>
        </w:tc>
        <w:tc>
          <w:tcPr>
            <w:tcW w:w="8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F03839" w14:textId="77777777" w:rsidR="00B10545" w:rsidRDefault="00B10545">
            <w:pPr>
              <w:rPr>
                <w:b/>
                <w:bCs/>
                <w:sz w:val="18"/>
                <w:szCs w:val="18"/>
              </w:rPr>
            </w:pPr>
            <w:r>
              <w:rPr>
                <w:b/>
                <w:bCs/>
                <w:sz w:val="18"/>
                <w:szCs w:val="18"/>
              </w:rPr>
              <w:t>12,855</w:t>
            </w:r>
          </w:p>
        </w:tc>
        <w:tc>
          <w:tcPr>
            <w:tcW w:w="9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A9AE2A" w14:textId="77777777" w:rsidR="00B10545" w:rsidRDefault="00B10545">
            <w:pPr>
              <w:rPr>
                <w:b/>
                <w:bCs/>
                <w:sz w:val="18"/>
                <w:szCs w:val="18"/>
              </w:rPr>
            </w:pPr>
            <w:r>
              <w:rPr>
                <w:b/>
                <w:bCs/>
                <w:sz w:val="18"/>
                <w:szCs w:val="18"/>
              </w:rPr>
              <w:t>32.49</w:t>
            </w:r>
          </w:p>
        </w:tc>
        <w:tc>
          <w:tcPr>
            <w:tcW w:w="94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8B315C" w14:textId="77777777" w:rsidR="00B10545" w:rsidRDefault="00B10545">
            <w:pPr>
              <w:rPr>
                <w:b/>
                <w:bCs/>
                <w:sz w:val="18"/>
                <w:szCs w:val="18"/>
              </w:rPr>
            </w:pPr>
            <w:r>
              <w:rPr>
                <w:b/>
                <w:bCs/>
                <w:sz w:val="18"/>
                <w:szCs w:val="18"/>
              </w:rPr>
              <w:t>35.71</w:t>
            </w:r>
          </w:p>
        </w:tc>
      </w:tr>
    </w:tbl>
    <w:p w14:paraId="1AF3237B" w14:textId="77777777" w:rsidR="00B10545" w:rsidRDefault="00B10545" w:rsidP="00B10545">
      <w:pPr>
        <w:pStyle w:val="Maintext"/>
        <w:tabs>
          <w:tab w:val="left" w:pos="720"/>
        </w:tabs>
        <w:spacing w:before="0"/>
        <w:ind w:left="0" w:firstLine="0"/>
        <w:rPr>
          <w:rFonts w:ascii="Calibri" w:eastAsiaTheme="minorHAnsi" w:hAnsi="Calibri" w:cstheme="minorBidi"/>
          <w:color w:val="000000" w:themeColor="text1"/>
          <w:sz w:val="16"/>
          <w:lang w:eastAsia="en-US"/>
        </w:rPr>
      </w:pPr>
      <w:r>
        <w:rPr>
          <w:rFonts w:ascii="Calibri" w:eastAsiaTheme="minorHAnsi" w:hAnsi="Calibri" w:cstheme="minorBidi"/>
          <w:color w:val="000000" w:themeColor="text1"/>
          <w:sz w:val="16"/>
          <w:lang w:eastAsia="en-US"/>
        </w:rPr>
        <w:t>Source:</w:t>
      </w:r>
      <w:r>
        <w:rPr>
          <w:rFonts w:ascii="Calibri" w:eastAsiaTheme="minorHAnsi" w:hAnsi="Calibri" w:cstheme="minorBidi"/>
          <w:color w:val="000000" w:themeColor="text1"/>
          <w:sz w:val="16"/>
          <w:lang w:eastAsia="en-US"/>
        </w:rPr>
        <w:tab/>
        <w:t>EMP2 Table 8.39 / Experian September 2024 / Lichfields Analysis</w:t>
      </w:r>
    </w:p>
    <w:p w14:paraId="7CA4EA04" w14:textId="77777777" w:rsidR="00B10545" w:rsidRDefault="00B10545" w:rsidP="00B10545">
      <w:pPr>
        <w:jc w:val="left"/>
      </w:pPr>
    </w:p>
    <w:p w14:paraId="5DB28E77" w14:textId="490D4679" w:rsidR="00B10545" w:rsidRPr="003A4473" w:rsidRDefault="003A4473" w:rsidP="003A4473">
      <w:pPr>
        <w:ind w:left="720" w:hanging="720"/>
        <w:jc w:val="left"/>
      </w:pPr>
      <w:r>
        <w:t>4.</w:t>
      </w:r>
      <w:r w:rsidR="0064290E">
        <w:t>3</w:t>
      </w:r>
      <w:r>
        <w:t>.19</w:t>
      </w:r>
      <w:r>
        <w:tab/>
      </w:r>
      <w:r w:rsidR="00B10545" w:rsidRPr="003A4473">
        <w:t>The overall requirement under this updated scenario would therefore be for 2,024 sqm of office floorspace and 21.45 ha of industrial land (21.96 ha in total if the office floorspace is translated into land using a 40% plot ratio).</w:t>
      </w:r>
    </w:p>
    <w:p w14:paraId="2610648B" w14:textId="706C8CEB" w:rsidR="00B10545" w:rsidRDefault="0064290E" w:rsidP="0064290E">
      <w:pPr>
        <w:ind w:left="720" w:hanging="720"/>
        <w:jc w:val="left"/>
      </w:pPr>
      <w:r>
        <w:lastRenderedPageBreak/>
        <w:t>4.3.20</w:t>
      </w:r>
      <w:r>
        <w:tab/>
      </w:r>
      <w:r w:rsidR="00B10545">
        <w:t>As noted in the response to Q4.1, the Regeneration Scenario was founded on the September 2020 Experian forecast, with SEP core and opportunity industrial sectors uplifted.  Applying the same assumptions to the new Experian projections would result in a modest increase on the new baseline, up to 12,855 sqm for office and 32.49 ha for industrial (35.71 ha in total).</w:t>
      </w:r>
    </w:p>
    <w:p w14:paraId="5DEDDEE4" w14:textId="7D19A62B" w:rsidR="00B10545" w:rsidRDefault="0064290E" w:rsidP="00B10545">
      <w:pPr>
        <w:pStyle w:val="Heading4"/>
      </w:pPr>
      <w:r w:rsidRPr="0064290E">
        <w:rPr>
          <w:i w:val="0"/>
          <w:iCs w:val="0"/>
        </w:rPr>
        <w:t>4.</w:t>
      </w:r>
      <w:r>
        <w:rPr>
          <w:i w:val="0"/>
          <w:iCs w:val="0"/>
        </w:rPr>
        <w:t>3</w:t>
      </w:r>
      <w:r w:rsidRPr="0064290E">
        <w:rPr>
          <w:i w:val="0"/>
          <w:iCs w:val="0"/>
        </w:rPr>
        <w:t>.21</w:t>
      </w:r>
      <w:r>
        <w:tab/>
      </w:r>
      <w:r w:rsidR="00B10545">
        <w:t>Ongoing Soundness of the Approach</w:t>
      </w:r>
    </w:p>
    <w:p w14:paraId="098CCC17" w14:textId="77777777" w:rsidR="00B10545" w:rsidRDefault="00B10545" w:rsidP="0064290E">
      <w:pPr>
        <w:ind w:left="720"/>
        <w:jc w:val="left"/>
      </w:pPr>
      <w:r>
        <w:t>In terms of what this means for the soundness of the projections used in SEV.28, clearly these were point-in-time forecasts produced by Experian, one of the UK’s leading independent forecasters.  The subsequent macro-economic shocks may have suppressed certain sectors going forward, but in general the September 2020 projections under-estimated the extent of growth between 2020 and 2023 (due to the uncertainties associated with the pandemic), even if the trajectory between 2023 and 2040 is of a broadly similar magnitude to the latest forecasts from Experian.</w:t>
      </w:r>
    </w:p>
    <w:p w14:paraId="797E3A1C" w14:textId="5546C3BF" w:rsidR="00B10545" w:rsidRDefault="0064290E" w:rsidP="0064290E">
      <w:pPr>
        <w:ind w:left="720" w:hanging="720"/>
        <w:jc w:val="left"/>
      </w:pPr>
      <w:r>
        <w:t>4.3.22</w:t>
      </w:r>
      <w:r>
        <w:tab/>
      </w:r>
      <w:r w:rsidR="00B10545">
        <w:t>This does not mean that the findings of SEV.28 or BP.03 are necessarily out of date.  The two reports ran a series of scenarios for Ashfield including labour supply forecasts and past completions that resulted in a wide range of growth needs being identified in the conclusions of the report.  BP.03’s range was between 1,433 sqm and 16,588 sqm of office floorspace between 2023 and 2040, and between 12.2 ha and 80.6 ha of industrial land (with the upper end of the range comprising the past take up rates scenario).</w:t>
      </w:r>
    </w:p>
    <w:p w14:paraId="7A81EE1B" w14:textId="544308F8" w:rsidR="00B71673" w:rsidRPr="00B10545" w:rsidRDefault="0064290E" w:rsidP="0064290E">
      <w:pPr>
        <w:ind w:left="720" w:hanging="720"/>
        <w:jc w:val="left"/>
      </w:pPr>
      <w:r>
        <w:t>4.3.23</w:t>
      </w:r>
      <w:r>
        <w:tab/>
      </w:r>
      <w:r w:rsidR="00B10545">
        <w:t xml:space="preserve">Even with the new forecasts, although the office floorspace requirements have declined considerably, the industrial land requirement has increased (predominantly due to a lower fall in manufacturing jobs), whilst the resultant industrial land requirement ranges from 21.5 ha to 81 ha if the latest Experian forecasts are used (comprising the lower end of the range).  In any case, the </w:t>
      </w:r>
      <w:proofErr w:type="gramStart"/>
      <w:r w:rsidR="00B10545">
        <w:t>81 ha</w:t>
      </w:r>
      <w:proofErr w:type="gramEnd"/>
      <w:r w:rsidR="00B10545">
        <w:t xml:space="preserve"> informing the Local Plan target was based on the past take up scenario, which remains unchanged.</w:t>
      </w:r>
    </w:p>
    <w:p w14:paraId="25D4C971" w14:textId="77777777" w:rsidR="00B71673" w:rsidRPr="002A269E" w:rsidRDefault="00B71673" w:rsidP="00E76EC3">
      <w:pPr>
        <w:rPr>
          <w:b/>
          <w:bCs/>
          <w:i/>
          <w:iCs/>
        </w:rPr>
      </w:pPr>
    </w:p>
    <w:p w14:paraId="1C23FE74" w14:textId="1A59C7BF" w:rsidR="00E76EC3" w:rsidRPr="00B836E7" w:rsidRDefault="00E76EC3" w:rsidP="00E76EC3">
      <w:r w:rsidRPr="002A269E">
        <w:rPr>
          <w:b/>
          <w:bCs/>
          <w:i/>
          <w:iCs/>
        </w:rPr>
        <w:t>4.4 The projections in the Employment Needs Study (SEV.28) are between 2018-2038.</w:t>
      </w:r>
      <w:r w:rsidR="002A269E">
        <w:rPr>
          <w:b/>
          <w:bCs/>
          <w:i/>
          <w:iCs/>
        </w:rPr>
        <w:t xml:space="preserve"> </w:t>
      </w:r>
      <w:r w:rsidRPr="002A269E">
        <w:rPr>
          <w:b/>
          <w:bCs/>
          <w:i/>
          <w:iCs/>
        </w:rPr>
        <w:t>How does this correlate with the plan period?</w:t>
      </w:r>
    </w:p>
    <w:p w14:paraId="49B609C2" w14:textId="655BA9A9" w:rsidR="00D55D25" w:rsidRPr="00D55D25" w:rsidRDefault="00D55D25" w:rsidP="00D55D25">
      <w:pPr>
        <w:ind w:left="720" w:hanging="720"/>
        <w:jc w:val="left"/>
        <w:rPr>
          <w:b/>
          <w:bCs/>
          <w:i/>
          <w:iCs/>
          <w:u w:val="single"/>
        </w:rPr>
      </w:pPr>
      <w:r w:rsidRPr="00D55D25">
        <w:rPr>
          <w:u w:val="single"/>
        </w:rPr>
        <w:t>Council’s response</w:t>
      </w:r>
    </w:p>
    <w:p w14:paraId="0F49F356" w14:textId="37155DA3" w:rsidR="00B10545" w:rsidRDefault="0064290E" w:rsidP="0064290E">
      <w:pPr>
        <w:ind w:left="720" w:hanging="720"/>
        <w:jc w:val="left"/>
      </w:pPr>
      <w:r>
        <w:t>4.4.1</w:t>
      </w:r>
      <w:r>
        <w:tab/>
      </w:r>
      <w:r w:rsidR="00B10545">
        <w:t xml:space="preserve">SEV.28, produced in May 2021, identified six scenarios for the period 2018 to 2038 to indicate the broad scale and type of employment growth arising from different approaches to modelling.  This was consistent across all eight of the commissioning authorities.  Subsequently, ADC decided to pursue a Plan with </w:t>
      </w:r>
      <w:proofErr w:type="gramStart"/>
      <w:r w:rsidR="00B10545">
        <w:t>a time period</w:t>
      </w:r>
      <w:proofErr w:type="gramEnd"/>
      <w:r w:rsidR="00B10545">
        <w:t xml:space="preserve"> of 2023-2040.</w:t>
      </w:r>
    </w:p>
    <w:p w14:paraId="2308DBD9" w14:textId="01DCE03D" w:rsidR="00B10545" w:rsidRDefault="0064290E" w:rsidP="0064290E">
      <w:pPr>
        <w:ind w:left="720" w:hanging="720"/>
        <w:jc w:val="left"/>
      </w:pPr>
      <w:r>
        <w:t>4.4.2</w:t>
      </w:r>
      <w:r>
        <w:tab/>
      </w:r>
      <w:r w:rsidR="00B10545">
        <w:t>To ensure that its evidence base aligned with the Council’s Local Plan time horizon, Lichfields was asked by the Council to revisit its earlier modelling in SEV.28 and extend the employment land requirements for an additional two-year period to 2040 (and a revised base date of 2023).</w:t>
      </w:r>
    </w:p>
    <w:p w14:paraId="25E6D0C0" w14:textId="76F8BBDB" w:rsidR="00B10545" w:rsidRDefault="0064290E" w:rsidP="0064290E">
      <w:pPr>
        <w:ind w:left="720" w:hanging="720"/>
        <w:jc w:val="left"/>
      </w:pPr>
      <w:r>
        <w:t>4.4.3</w:t>
      </w:r>
      <w:r>
        <w:tab/>
      </w:r>
      <w:r w:rsidR="00B10545">
        <w:t xml:space="preserve">This reduced the overall timeframe from 20 years to 17.  As can be seen from Figure 6 of BP.03, this had a significant increase in the net job growth for both the Experian March 2020 and September 2020 econometric scenarios.  This is because the previous base date of 2018 occurred at a trough in the job market when the number </w:t>
      </w:r>
      <w:r w:rsidR="00B10545">
        <w:lastRenderedPageBreak/>
        <w:t xml:space="preserve">of people working in Ashfield District had dipped, ahead of stronger growth in the years that followed (notwithstanding the economic shock of the Covid-19 pandemic).  By 2023, the job market had largely recovered under both scenarios. </w:t>
      </w:r>
    </w:p>
    <w:p w14:paraId="22E32314" w14:textId="3E18F258" w:rsidR="00B10545" w:rsidRDefault="0064290E" w:rsidP="0064290E">
      <w:pPr>
        <w:ind w:left="720" w:hanging="720"/>
        <w:jc w:val="left"/>
      </w:pPr>
      <w:r>
        <w:t>4.4.4</w:t>
      </w:r>
      <w:r>
        <w:tab/>
      </w:r>
      <w:r w:rsidR="00B10545">
        <w:t>As a result, the net job growth between 2018 and 2038 totalled +7,300 for the (pre-Covid) March 2020 projections, and +5,500 for the September 2020 projections.  By shifting the period to 2023-2040, this reduces the net job growth to +3,700 for the March 2020 projection and +4,700 for the September 2020 projection.  This has a corresponding knock-on effect on B-Class job growth, with the March 2020 Experian forecast projecting a loss of -1,739 B-Use Class jobs to 2040 (compared to -714 2018-38) and the September 2020 Experian forecast projecting a loss of -1,547 B-Use class jobs (compared to -1,216 2018-38).</w:t>
      </w:r>
    </w:p>
    <w:p w14:paraId="7EC57B1F" w14:textId="60B89AEB" w:rsidR="00B10545" w:rsidRDefault="0064290E" w:rsidP="0064290E">
      <w:pPr>
        <w:ind w:left="720" w:hanging="720"/>
        <w:jc w:val="left"/>
        <w:rPr>
          <w:b/>
          <w:bCs/>
        </w:rPr>
      </w:pPr>
      <w:r>
        <w:t>4.4.5</w:t>
      </w:r>
      <w:r>
        <w:tab/>
      </w:r>
      <w:r w:rsidR="00B10545">
        <w:t xml:space="preserve">The consequence of narrowing the Plan period from 20 years to 17 years (with a later base date that excludes much of the growth between 2018-2023), aligned with other changes to the methodology detailed above, is much lower employment land requirements across all the scenarios.  The Council’s preferred scenario, Past Take up, identified a requirement of 81 ha in total over this shortened </w:t>
      </w:r>
      <w:proofErr w:type="gramStart"/>
      <w:r w:rsidR="00B10545">
        <w:t>time period</w:t>
      </w:r>
      <w:proofErr w:type="gramEnd"/>
      <w:r w:rsidR="00B10545">
        <w:t xml:space="preserve"> 2023-2040.  This is the figure that has been incorporated into the emerging Local Plan.</w:t>
      </w:r>
    </w:p>
    <w:p w14:paraId="2ED11951" w14:textId="77777777" w:rsidR="003A4387" w:rsidRPr="00B836E7" w:rsidRDefault="003A4387" w:rsidP="00E76EC3"/>
    <w:p w14:paraId="1CBB82C0" w14:textId="24794698" w:rsidR="00E76EC3" w:rsidRDefault="00E76EC3" w:rsidP="00E76EC3">
      <w:pPr>
        <w:rPr>
          <w:b/>
          <w:bCs/>
          <w:i/>
          <w:iCs/>
        </w:rPr>
      </w:pPr>
      <w:r w:rsidRPr="002A269E">
        <w:rPr>
          <w:b/>
          <w:bCs/>
          <w:i/>
          <w:iCs/>
        </w:rPr>
        <w:t xml:space="preserve">4.5 Is </w:t>
      </w:r>
      <w:proofErr w:type="gramStart"/>
      <w:r w:rsidRPr="002A269E">
        <w:rPr>
          <w:b/>
          <w:bCs/>
          <w:i/>
          <w:iCs/>
        </w:rPr>
        <w:t>there</w:t>
      </w:r>
      <w:proofErr w:type="gramEnd"/>
      <w:r w:rsidRPr="002A269E">
        <w:rPr>
          <w:b/>
          <w:bCs/>
          <w:i/>
          <w:iCs/>
        </w:rPr>
        <w:t xml:space="preserve"> clear evidence that past take-up rates of employment land with particular</w:t>
      </w:r>
      <w:r w:rsidR="002A269E">
        <w:rPr>
          <w:b/>
          <w:bCs/>
          <w:i/>
          <w:iCs/>
        </w:rPr>
        <w:t xml:space="preserve"> </w:t>
      </w:r>
      <w:r w:rsidRPr="002A269E">
        <w:rPr>
          <w:b/>
          <w:bCs/>
          <w:i/>
          <w:iCs/>
        </w:rPr>
        <w:t>regard to logistics, will continue over the plan period?</w:t>
      </w:r>
    </w:p>
    <w:p w14:paraId="61B01505" w14:textId="1751C593" w:rsidR="00D55D25" w:rsidRPr="00D55D25" w:rsidRDefault="00D55D25" w:rsidP="00E76EC3">
      <w:pPr>
        <w:rPr>
          <w:b/>
          <w:bCs/>
          <w:i/>
          <w:iCs/>
          <w:u w:val="single"/>
        </w:rPr>
      </w:pPr>
      <w:r w:rsidRPr="00D55D25">
        <w:rPr>
          <w:u w:val="single"/>
        </w:rPr>
        <w:t>Council’s response</w:t>
      </w:r>
    </w:p>
    <w:p w14:paraId="70A16335" w14:textId="100A20A3" w:rsidR="00D22138" w:rsidRPr="00D22138" w:rsidRDefault="0064290E" w:rsidP="0064290E">
      <w:pPr>
        <w:ind w:left="720" w:hanging="720"/>
        <w:jc w:val="left"/>
      </w:pPr>
      <w:r>
        <w:t>4.5.1</w:t>
      </w:r>
      <w:r>
        <w:tab/>
      </w:r>
      <w:r w:rsidR="00D22138" w:rsidRPr="00D22138">
        <w:t xml:space="preserve">Yes.  Both SEV.28 and BP.03 analysed past </w:t>
      </w:r>
      <w:proofErr w:type="gramStart"/>
      <w:r w:rsidR="00D22138" w:rsidRPr="00D22138">
        <w:t>take</w:t>
      </w:r>
      <w:proofErr w:type="gramEnd"/>
      <w:r w:rsidR="00D22138" w:rsidRPr="00D22138">
        <w:t xml:space="preserve"> up rates for both local and strategic employment land over the long and medium terms for Ashfield District.  As can be seen in </w:t>
      </w:r>
      <w:r w:rsidR="00D22138" w:rsidRPr="00D22138">
        <w:fldChar w:fldCharType="begin"/>
      </w:r>
      <w:r w:rsidR="00D22138" w:rsidRPr="00D22138">
        <w:instrText xml:space="preserve"> REF _Ref184047446 \h </w:instrText>
      </w:r>
      <w:r w:rsidR="00D22138" w:rsidRPr="00D22138">
        <w:fldChar w:fldCharType="separate"/>
      </w:r>
      <w:r w:rsidR="00D22138" w:rsidRPr="00D22138">
        <w:t xml:space="preserve">Figure </w:t>
      </w:r>
      <w:r w:rsidR="00D22138" w:rsidRPr="00D22138">
        <w:rPr>
          <w:noProof/>
        </w:rPr>
        <w:t>1</w:t>
      </w:r>
      <w:r w:rsidR="00D22138" w:rsidRPr="00D22138">
        <w:t>.</w:t>
      </w:r>
      <w:r w:rsidR="00D22138" w:rsidRPr="00D22138">
        <w:rPr>
          <w:noProof/>
        </w:rPr>
        <w:t>2</w:t>
      </w:r>
      <w:r w:rsidR="00D22138" w:rsidRPr="00D22138">
        <w:fldChar w:fldCharType="end"/>
      </w:r>
      <w:r w:rsidR="00D22138" w:rsidRPr="00D22138">
        <w:t xml:space="preserve"> below, take up has grown substantially since 2017/18, partly due to the delivery of strategic logistics sites such as Summit Park (Amazon) which delivered 19.3 ha in a single year (2019/20).  Overall, over the past 12 years, gross take up has averaged around 5 ha per annum (3.66 ha net once losses have been deducted).</w:t>
      </w:r>
    </w:p>
    <w:p w14:paraId="7A67E24F" w14:textId="72F724AC" w:rsidR="00D22138" w:rsidRPr="00D22138" w:rsidRDefault="0064290E" w:rsidP="0064290E">
      <w:pPr>
        <w:ind w:left="720" w:hanging="720"/>
        <w:jc w:val="left"/>
      </w:pPr>
      <w:r>
        <w:t>4.5.2</w:t>
      </w:r>
      <w:r>
        <w:tab/>
      </w:r>
      <w:r w:rsidR="00D22138" w:rsidRPr="00D22138">
        <w:t xml:space="preserve">The past </w:t>
      </w:r>
      <w:proofErr w:type="gramStart"/>
      <w:r w:rsidR="00D22138" w:rsidRPr="00D22138">
        <w:t>take</w:t>
      </w:r>
      <w:proofErr w:type="gramEnd"/>
      <w:r w:rsidR="00D22138" w:rsidRPr="00D22138">
        <w:t xml:space="preserve"> up scenario in SEV.28, which was updated with an extra three years’ worth of completions data in BP.03 (and an average taken over the medium rather than the longer term), was modelled on the basis that this trend would continue at a similar rate over the remainder of the plan period.</w:t>
      </w:r>
    </w:p>
    <w:p w14:paraId="7E61ECDA" w14:textId="77777777" w:rsidR="00D22138" w:rsidRPr="00D22138" w:rsidRDefault="00D22138" w:rsidP="00D22138">
      <w:pPr>
        <w:keepNext/>
        <w:pBdr>
          <w:top w:val="single" w:sz="4" w:space="1" w:color="auto"/>
        </w:pBdr>
        <w:spacing w:before="140" w:after="140" w:line="180" w:lineRule="atLeast"/>
        <w:jc w:val="left"/>
        <w:rPr>
          <w:rFonts w:ascii="Calibri" w:hAnsi="Calibri"/>
          <w:color w:val="000000" w:themeColor="text1"/>
          <w:sz w:val="17"/>
          <w:szCs w:val="20"/>
        </w:rPr>
      </w:pPr>
      <w:bookmarkStart w:id="8" w:name="_Ref184047446"/>
      <w:r w:rsidRPr="00D22138">
        <w:rPr>
          <w:rFonts w:ascii="Calibri" w:hAnsi="Calibri"/>
          <w:color w:val="000000" w:themeColor="text1"/>
          <w:sz w:val="17"/>
          <w:szCs w:val="20"/>
        </w:rPr>
        <w:lastRenderedPageBreak/>
        <w:t xml:space="preserve">Figure </w:t>
      </w:r>
      <w:r w:rsidRPr="00D22138">
        <w:rPr>
          <w:rFonts w:ascii="Calibri" w:hAnsi="Calibri"/>
          <w:color w:val="000000" w:themeColor="text1"/>
          <w:sz w:val="17"/>
          <w:szCs w:val="20"/>
        </w:rPr>
        <w:fldChar w:fldCharType="begin"/>
      </w:r>
      <w:r w:rsidRPr="00D22138">
        <w:rPr>
          <w:rFonts w:ascii="Calibri" w:hAnsi="Calibri"/>
          <w:color w:val="000000" w:themeColor="text1"/>
          <w:sz w:val="17"/>
          <w:szCs w:val="20"/>
        </w:rPr>
        <w:instrText xml:space="preserve"> STYLEREF 1 \s </w:instrText>
      </w:r>
      <w:r w:rsidRPr="00D22138">
        <w:rPr>
          <w:rFonts w:ascii="Calibri" w:hAnsi="Calibri"/>
          <w:color w:val="000000" w:themeColor="text1"/>
          <w:sz w:val="17"/>
          <w:szCs w:val="20"/>
        </w:rPr>
        <w:fldChar w:fldCharType="separate"/>
      </w:r>
      <w:r w:rsidRPr="00D22138">
        <w:rPr>
          <w:rFonts w:ascii="Calibri" w:hAnsi="Calibri"/>
          <w:noProof/>
          <w:color w:val="000000" w:themeColor="text1"/>
          <w:sz w:val="17"/>
          <w:szCs w:val="20"/>
        </w:rPr>
        <w:t>1</w:t>
      </w:r>
      <w:r w:rsidRPr="00D22138">
        <w:rPr>
          <w:rFonts w:ascii="Calibri" w:hAnsi="Calibri"/>
          <w:color w:val="000000" w:themeColor="text1"/>
          <w:sz w:val="17"/>
          <w:szCs w:val="20"/>
        </w:rPr>
        <w:fldChar w:fldCharType="end"/>
      </w:r>
      <w:r w:rsidRPr="00D22138">
        <w:rPr>
          <w:rFonts w:ascii="Calibri" w:hAnsi="Calibri"/>
          <w:color w:val="000000" w:themeColor="text1"/>
          <w:sz w:val="17"/>
          <w:szCs w:val="20"/>
        </w:rPr>
        <w:t>.</w:t>
      </w:r>
      <w:r w:rsidRPr="00D22138">
        <w:rPr>
          <w:rFonts w:ascii="Calibri" w:hAnsi="Calibri"/>
          <w:color w:val="000000" w:themeColor="text1"/>
          <w:sz w:val="17"/>
          <w:szCs w:val="20"/>
        </w:rPr>
        <w:fldChar w:fldCharType="begin"/>
      </w:r>
      <w:r w:rsidRPr="00D22138">
        <w:rPr>
          <w:rFonts w:ascii="Calibri" w:hAnsi="Calibri"/>
          <w:color w:val="000000" w:themeColor="text1"/>
          <w:sz w:val="17"/>
          <w:szCs w:val="20"/>
        </w:rPr>
        <w:instrText xml:space="preserve"> SEQ Figure \* ARABIC \s 1 </w:instrText>
      </w:r>
      <w:r w:rsidRPr="00D22138">
        <w:rPr>
          <w:rFonts w:ascii="Calibri" w:hAnsi="Calibri"/>
          <w:color w:val="000000" w:themeColor="text1"/>
          <w:sz w:val="17"/>
          <w:szCs w:val="20"/>
        </w:rPr>
        <w:fldChar w:fldCharType="separate"/>
      </w:r>
      <w:r w:rsidRPr="00D22138">
        <w:rPr>
          <w:rFonts w:ascii="Calibri" w:hAnsi="Calibri"/>
          <w:noProof/>
          <w:color w:val="000000" w:themeColor="text1"/>
          <w:sz w:val="17"/>
          <w:szCs w:val="20"/>
        </w:rPr>
        <w:t>2</w:t>
      </w:r>
      <w:r w:rsidRPr="00D22138">
        <w:rPr>
          <w:rFonts w:ascii="Calibri" w:hAnsi="Calibri"/>
          <w:color w:val="000000" w:themeColor="text1"/>
          <w:sz w:val="17"/>
          <w:szCs w:val="20"/>
        </w:rPr>
        <w:fldChar w:fldCharType="end"/>
      </w:r>
      <w:bookmarkEnd w:id="8"/>
      <w:r w:rsidRPr="00D22138">
        <w:rPr>
          <w:rFonts w:ascii="Calibri" w:hAnsi="Calibri"/>
          <w:color w:val="000000" w:themeColor="text1"/>
          <w:sz w:val="17"/>
          <w:szCs w:val="20"/>
        </w:rPr>
        <w:t xml:space="preserve"> Gross Past Take Up Rates for Employment land in Ashfield District 2011/12-2022/23</w:t>
      </w:r>
    </w:p>
    <w:p w14:paraId="0DC866A7" w14:textId="77777777" w:rsidR="00D22138" w:rsidRPr="00D22138" w:rsidRDefault="00D22138" w:rsidP="00D22138">
      <w:pPr>
        <w:keepNext/>
        <w:pBdr>
          <w:top w:val="single" w:sz="4" w:space="1" w:color="auto"/>
        </w:pBdr>
        <w:spacing w:before="140" w:after="140" w:line="180" w:lineRule="atLeast"/>
        <w:jc w:val="left"/>
        <w:rPr>
          <w:rFonts w:ascii="Calibri" w:hAnsi="Calibri"/>
          <w:color w:val="000000" w:themeColor="text1"/>
          <w:sz w:val="17"/>
          <w:szCs w:val="20"/>
        </w:rPr>
      </w:pPr>
      <w:r w:rsidRPr="00D22138">
        <w:rPr>
          <w:rFonts w:ascii="Calibri" w:hAnsi="Calibri"/>
          <w:noProof/>
          <w:color w:val="000000" w:themeColor="text1"/>
          <w:sz w:val="17"/>
          <w:szCs w:val="20"/>
        </w:rPr>
        <w:drawing>
          <wp:inline distT="0" distB="0" distL="0" distR="0" wp14:anchorId="453B9048" wp14:editId="191AF9B1">
            <wp:extent cx="4628515" cy="3093058"/>
            <wp:effectExtent l="0" t="0" r="635" b="0"/>
            <wp:docPr id="629742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855" b="1753"/>
                    <a:stretch/>
                  </pic:blipFill>
                  <pic:spPr bwMode="auto">
                    <a:xfrm>
                      <a:off x="0" y="0"/>
                      <a:ext cx="4636863" cy="3098637"/>
                    </a:xfrm>
                    <a:prstGeom prst="rect">
                      <a:avLst/>
                    </a:prstGeom>
                    <a:noFill/>
                    <a:ln>
                      <a:noFill/>
                    </a:ln>
                    <a:extLst>
                      <a:ext uri="{53640926-AAD7-44D8-BBD7-CCE9431645EC}">
                        <a14:shadowObscured xmlns:a14="http://schemas.microsoft.com/office/drawing/2010/main"/>
                      </a:ext>
                    </a:extLst>
                  </pic:spPr>
                </pic:pic>
              </a:graphicData>
            </a:graphic>
          </wp:inline>
        </w:drawing>
      </w:r>
    </w:p>
    <w:p w14:paraId="5C16C718" w14:textId="77777777" w:rsidR="00D22138" w:rsidRPr="00D22138" w:rsidRDefault="00D22138" w:rsidP="00D22138">
      <w:pPr>
        <w:spacing w:before="140" w:after="0" w:line="180" w:lineRule="atLeast"/>
        <w:jc w:val="left"/>
        <w:rPr>
          <w:rFonts w:ascii="Calibri" w:hAnsi="Calibri"/>
          <w:color w:val="000000" w:themeColor="text1"/>
          <w:sz w:val="17"/>
          <w:szCs w:val="20"/>
        </w:rPr>
      </w:pPr>
      <w:r w:rsidRPr="00D22138">
        <w:rPr>
          <w:rFonts w:ascii="Calibri" w:hAnsi="Calibri"/>
          <w:color w:val="000000" w:themeColor="text1"/>
          <w:sz w:val="17"/>
          <w:szCs w:val="20"/>
        </w:rPr>
        <w:t>Source: ADC Officers / BP.03 / Lichfields analysis</w:t>
      </w:r>
    </w:p>
    <w:p w14:paraId="70E0C6EC" w14:textId="77777777" w:rsidR="00D22138" w:rsidRPr="00D22138" w:rsidRDefault="00D22138" w:rsidP="00D22138">
      <w:pPr>
        <w:jc w:val="left"/>
      </w:pPr>
    </w:p>
    <w:p w14:paraId="174729E1" w14:textId="77777777" w:rsidR="0064290E" w:rsidRDefault="0064290E" w:rsidP="0064290E">
      <w:pPr>
        <w:ind w:left="720" w:hanging="720"/>
        <w:jc w:val="left"/>
        <w:rPr>
          <w:rFonts w:cs="Arial"/>
          <w:szCs w:val="24"/>
        </w:rPr>
      </w:pPr>
      <w:r>
        <w:t>4.5.3</w:t>
      </w:r>
      <w:r>
        <w:tab/>
      </w:r>
      <w:r w:rsidR="00D22138" w:rsidRPr="00D22138">
        <w:t xml:space="preserve">ADC’s view is that the evidence suggests that the annual net completion figure of 3.66 ha (with an adjustment of loss replacement and a margin of flexibility) remains an achievable benchmark going forward.  According to ADC’s latest Employment Land Monitoring Report (April 2023) there were two sites with significantly sized employment units on allocated sites that had extant planning permission and/or were under construction at the time of the base date for the </w:t>
      </w:r>
      <w:r w:rsidR="00D22138" w:rsidRPr="00D22138">
        <w:rPr>
          <w:rFonts w:cs="Arial"/>
          <w:szCs w:val="24"/>
        </w:rPr>
        <w:t>modelling (2023):</w:t>
      </w:r>
    </w:p>
    <w:p w14:paraId="0A8287B6" w14:textId="4C9D057E" w:rsidR="0064290E" w:rsidRDefault="00D22138" w:rsidP="0064290E">
      <w:pPr>
        <w:ind w:left="720"/>
        <w:jc w:val="left"/>
        <w:rPr>
          <w:rFonts w:eastAsia="Times New Roman" w:cs="Arial"/>
          <w:szCs w:val="24"/>
          <w:lang w:eastAsia="en-GB"/>
        </w:rPr>
      </w:pPr>
      <w:r w:rsidRPr="00D22138">
        <w:rPr>
          <w:rFonts w:eastAsia="Times New Roman" w:cs="Arial"/>
          <w:szCs w:val="24"/>
          <w:lang w:eastAsia="en-GB"/>
        </w:rPr>
        <w:t xml:space="preserve">Castlewood Grange Business Park, Plot 10 consent granted for E (g) (iii), B2 and B8 comprising 7,124 sqm on a plot of </w:t>
      </w:r>
      <w:r w:rsidRPr="00D22138">
        <w:rPr>
          <w:rFonts w:eastAsia="Times New Roman" w:cs="Arial"/>
          <w:b/>
          <w:bCs/>
          <w:szCs w:val="24"/>
          <w:lang w:eastAsia="en-GB"/>
        </w:rPr>
        <w:t>2.375 ha</w:t>
      </w:r>
      <w:r w:rsidRPr="00D22138">
        <w:rPr>
          <w:rFonts w:eastAsia="Times New Roman" w:cs="Arial"/>
          <w:szCs w:val="24"/>
          <w:lang w:eastAsia="en-GB"/>
        </w:rPr>
        <w:t>. (V/2021/0621).  The unit was under construction</w:t>
      </w:r>
      <w:r w:rsidR="0064290E">
        <w:rPr>
          <w:rFonts w:eastAsia="Times New Roman" w:cs="Arial"/>
          <w:szCs w:val="24"/>
          <w:lang w:eastAsia="en-GB"/>
        </w:rPr>
        <w:t>.</w:t>
      </w:r>
    </w:p>
    <w:p w14:paraId="11B0D501" w14:textId="77777777" w:rsidR="0064290E" w:rsidRDefault="00D22138" w:rsidP="0064290E">
      <w:pPr>
        <w:ind w:left="720"/>
        <w:jc w:val="left"/>
        <w:rPr>
          <w:rFonts w:cs="Arial"/>
          <w:szCs w:val="24"/>
        </w:rPr>
      </w:pPr>
      <w:r w:rsidRPr="00D22138">
        <w:rPr>
          <w:rFonts w:eastAsia="Times New Roman" w:cs="Arial"/>
          <w:szCs w:val="24"/>
          <w:lang w:eastAsia="en-GB"/>
        </w:rPr>
        <w:t xml:space="preserve">West of Fulwood has permission on Plot 4, Export Drive, Huthwaite has planning consent for the construction of a warehouse including ancillary offices, totalling 17,706.5 sqm (approximately </w:t>
      </w:r>
      <w:r w:rsidRPr="00D22138">
        <w:rPr>
          <w:rFonts w:eastAsia="Times New Roman" w:cs="Arial"/>
          <w:b/>
          <w:bCs/>
          <w:szCs w:val="24"/>
          <w:lang w:eastAsia="en-GB"/>
        </w:rPr>
        <w:t>4.45 ha</w:t>
      </w:r>
      <w:r w:rsidRPr="00D22138">
        <w:rPr>
          <w:rFonts w:eastAsia="Times New Roman" w:cs="Arial"/>
          <w:szCs w:val="24"/>
          <w:lang w:eastAsia="en-GB"/>
        </w:rPr>
        <w:t xml:space="preserve"> available).</w:t>
      </w:r>
    </w:p>
    <w:p w14:paraId="5A56BBA9" w14:textId="7A3656E7" w:rsidR="00D22138" w:rsidRPr="00D22138" w:rsidRDefault="00D22138" w:rsidP="0064290E">
      <w:pPr>
        <w:ind w:left="720"/>
        <w:jc w:val="left"/>
        <w:rPr>
          <w:rFonts w:cs="Arial"/>
          <w:szCs w:val="24"/>
        </w:rPr>
      </w:pPr>
      <w:r w:rsidRPr="00D22138">
        <w:rPr>
          <w:rFonts w:cs="Arial"/>
          <w:szCs w:val="24"/>
        </w:rPr>
        <w:t xml:space="preserve">The West of Fulwood site would comprise strategic B8 logistics given the size of the unit.  These two developments would see a total of 6.825 ha come forward.  </w:t>
      </w:r>
    </w:p>
    <w:p w14:paraId="1E59B501" w14:textId="43BE118F" w:rsidR="00D22138" w:rsidRPr="00D22138" w:rsidRDefault="0064290E" w:rsidP="0064290E">
      <w:pPr>
        <w:ind w:left="720" w:hanging="720"/>
        <w:jc w:val="left"/>
        <w:rPr>
          <w:rFonts w:cs="Arial"/>
          <w:szCs w:val="24"/>
        </w:rPr>
      </w:pPr>
      <w:r>
        <w:rPr>
          <w:rFonts w:cs="Arial"/>
          <w:szCs w:val="24"/>
        </w:rPr>
        <w:t>4.5.4</w:t>
      </w:r>
      <w:r>
        <w:rPr>
          <w:rFonts w:cs="Arial"/>
          <w:szCs w:val="24"/>
        </w:rPr>
        <w:tab/>
      </w:r>
      <w:proofErr w:type="gramStart"/>
      <w:r w:rsidR="002C1E17">
        <w:rPr>
          <w:rFonts w:cs="Arial"/>
          <w:szCs w:val="24"/>
        </w:rPr>
        <w:t>I</w:t>
      </w:r>
      <w:r w:rsidR="00D22138" w:rsidRPr="00D22138">
        <w:rPr>
          <w:rFonts w:cs="Arial"/>
          <w:szCs w:val="24"/>
        </w:rPr>
        <w:t>t is clear that there</w:t>
      </w:r>
      <w:proofErr w:type="gramEnd"/>
      <w:r w:rsidR="00D22138" w:rsidRPr="00D22138">
        <w:rPr>
          <w:rFonts w:cs="Arial"/>
          <w:szCs w:val="24"/>
        </w:rPr>
        <w:t xml:space="preserve"> remains a healthy pipeline of sites and demand remains strong for industrial and warehousing units in particular.  The Council has allocated a wide range of employment sites across all size categories, for office, industrial and warehousing in areas attractive to the market to ensure this continues, and to support the wider growth and regeneration of the </w:t>
      </w:r>
      <w:proofErr w:type="gramStart"/>
      <w:r w:rsidR="00D22138" w:rsidRPr="00D22138">
        <w:rPr>
          <w:rFonts w:cs="Arial"/>
          <w:szCs w:val="24"/>
        </w:rPr>
        <w:t>District</w:t>
      </w:r>
      <w:proofErr w:type="gramEnd"/>
      <w:r w:rsidR="00D22138" w:rsidRPr="00D22138">
        <w:rPr>
          <w:rFonts w:cs="Arial"/>
          <w:szCs w:val="24"/>
        </w:rPr>
        <w:t>.</w:t>
      </w:r>
    </w:p>
    <w:p w14:paraId="7281B283" w14:textId="6FAAED2C" w:rsidR="00D22138" w:rsidRPr="00D22138" w:rsidRDefault="0064290E" w:rsidP="0064290E">
      <w:pPr>
        <w:ind w:left="720" w:hanging="720"/>
        <w:jc w:val="left"/>
        <w:rPr>
          <w:rFonts w:cs="Arial"/>
          <w:szCs w:val="24"/>
        </w:rPr>
      </w:pPr>
      <w:r>
        <w:rPr>
          <w:rFonts w:cs="Arial"/>
          <w:szCs w:val="24"/>
        </w:rPr>
        <w:t>4.5.5</w:t>
      </w:r>
      <w:r>
        <w:rPr>
          <w:rFonts w:cs="Arial"/>
          <w:szCs w:val="24"/>
        </w:rPr>
        <w:tab/>
      </w:r>
      <w:r w:rsidR="00D22138" w:rsidRPr="00D22138">
        <w:rPr>
          <w:rFonts w:cs="Arial"/>
          <w:szCs w:val="24"/>
        </w:rPr>
        <w:t>The Council remains confident that the scale of need defined by the past take up scenario (81 ha) over 17 years to 2040 represents an appropriate requirement and that this is supported by market intelligence and recent applications/completions.</w:t>
      </w:r>
    </w:p>
    <w:p w14:paraId="7AF62A7A" w14:textId="5BE1F4E5" w:rsidR="00417551" w:rsidRPr="00417551" w:rsidRDefault="00921AF1" w:rsidP="00921AF1">
      <w:pPr>
        <w:ind w:left="720" w:hanging="720"/>
      </w:pPr>
      <w:r>
        <w:t>4.5.6</w:t>
      </w:r>
      <w:r>
        <w:tab/>
      </w:r>
      <w:r w:rsidR="00417551" w:rsidRPr="00417551">
        <w:t xml:space="preserve">The Nottinghamshire Core and Outer HMA Logistics Study 2022 also provides market analysis and outlook for the logistics sector looking forward.  This includes a property </w:t>
      </w:r>
      <w:r w:rsidR="00417551" w:rsidRPr="00417551">
        <w:lastRenderedPageBreak/>
        <w:t xml:space="preserve">market review (Chapter 3) which identifies low vacancy rates and high levels of take up and rental growth across the HMA and beyond.  The study recommends an increase in provision of </w:t>
      </w:r>
      <w:proofErr w:type="gramStart"/>
      <w:r w:rsidR="00417551" w:rsidRPr="00417551">
        <w:t>large scale</w:t>
      </w:r>
      <w:proofErr w:type="gramEnd"/>
      <w:r w:rsidR="00417551" w:rsidRPr="00417551">
        <w:t xml:space="preserve"> logistics space compared to the past, when the market has been continually undersupplied.  Taking into account the current supply of space (at 2023 as s</w:t>
      </w:r>
      <w:r w:rsidR="00417551" w:rsidRPr="00417551">
        <w:rPr>
          <w:bCs/>
        </w:rPr>
        <w:t xml:space="preserve">et out in the </w:t>
      </w:r>
      <w:r w:rsidR="00417551" w:rsidRPr="00417551">
        <w:rPr>
          <w:bCs/>
          <w:i/>
          <w:iCs/>
        </w:rPr>
        <w:t xml:space="preserve">Strategic Distribution and Logistics Sites Background Paper </w:t>
      </w:r>
      <w:r w:rsidR="00417551" w:rsidRPr="00417551">
        <w:rPr>
          <w:bCs/>
        </w:rPr>
        <w:t xml:space="preserve">prepared by the Greater Nottingham Planning Partnership and 2024 in the </w:t>
      </w:r>
      <w:r w:rsidR="00417551" w:rsidRPr="00417551">
        <w:rPr>
          <w:bCs/>
          <w:i/>
          <w:iCs/>
        </w:rPr>
        <w:t xml:space="preserve">Greater Nottingham Strategic Plan Publication Draft: Employment Background Paper </w:t>
      </w:r>
      <w:r w:rsidR="00417551" w:rsidRPr="00417551">
        <w:rPr>
          <w:bCs/>
        </w:rPr>
        <w:t xml:space="preserve">September 2024 </w:t>
      </w:r>
      <w:r w:rsidR="00417551" w:rsidRPr="00417551">
        <w:rPr>
          <w:bCs/>
          <w:vertAlign w:val="superscript"/>
        </w:rPr>
        <w:footnoteReference w:id="7"/>
      </w:r>
      <w:r w:rsidR="00417551" w:rsidRPr="00417551">
        <w:rPr>
          <w:bCs/>
        </w:rPr>
        <w:t xml:space="preserve">) </w:t>
      </w:r>
      <w:r w:rsidR="00417551" w:rsidRPr="00417551">
        <w:t>there will be on ongoing shortfall of space across the HMA for the Plan period and therefore any committed supply is expected to see strong demand from occupiers.</w:t>
      </w:r>
    </w:p>
    <w:p w14:paraId="7E8441DC" w14:textId="77777777" w:rsidR="00B71673" w:rsidRPr="00417551" w:rsidRDefault="00B71673" w:rsidP="00E76EC3"/>
    <w:p w14:paraId="7DAA814D" w14:textId="6F5ED9A8" w:rsidR="00E76EC3" w:rsidRPr="002A269E" w:rsidRDefault="00E76EC3" w:rsidP="00E76EC3">
      <w:pPr>
        <w:rPr>
          <w:b/>
          <w:bCs/>
          <w:i/>
          <w:iCs/>
        </w:rPr>
      </w:pPr>
      <w:r w:rsidRPr="002A269E">
        <w:rPr>
          <w:b/>
          <w:bCs/>
          <w:i/>
          <w:iCs/>
        </w:rPr>
        <w:t>4.6 What are the implications if the scale of employment land identified in the plan is taken</w:t>
      </w:r>
      <w:r w:rsidR="008E1600">
        <w:rPr>
          <w:b/>
          <w:bCs/>
          <w:i/>
          <w:iCs/>
        </w:rPr>
        <w:t xml:space="preserve"> </w:t>
      </w:r>
      <w:r w:rsidRPr="002A269E">
        <w:rPr>
          <w:b/>
          <w:bCs/>
          <w:i/>
          <w:iCs/>
        </w:rPr>
        <w:t>up? Will there be sufficient labour to fill the local jobs anticipated, or will it result in</w:t>
      </w:r>
      <w:r w:rsidR="008E1600">
        <w:rPr>
          <w:b/>
          <w:bCs/>
          <w:i/>
          <w:iCs/>
        </w:rPr>
        <w:t xml:space="preserve"> </w:t>
      </w:r>
      <w:r w:rsidRPr="002A269E">
        <w:rPr>
          <w:b/>
          <w:bCs/>
          <w:i/>
          <w:iCs/>
        </w:rPr>
        <w:t xml:space="preserve">additional in-commuting from outside the </w:t>
      </w:r>
      <w:proofErr w:type="gramStart"/>
      <w:r w:rsidRPr="002A269E">
        <w:rPr>
          <w:b/>
          <w:bCs/>
          <w:i/>
          <w:iCs/>
        </w:rPr>
        <w:t>District</w:t>
      </w:r>
      <w:proofErr w:type="gramEnd"/>
      <w:r w:rsidRPr="002A269E">
        <w:rPr>
          <w:b/>
          <w:bCs/>
          <w:i/>
          <w:iCs/>
        </w:rPr>
        <w:t>?</w:t>
      </w:r>
    </w:p>
    <w:p w14:paraId="10224ABD" w14:textId="77777777" w:rsidR="00D55D25" w:rsidRDefault="00D55D25" w:rsidP="00D55D25">
      <w:pPr>
        <w:rPr>
          <w:b/>
          <w:bCs/>
          <w:i/>
          <w:iCs/>
          <w:u w:val="single"/>
        </w:rPr>
      </w:pPr>
      <w:r>
        <w:rPr>
          <w:rFonts w:ascii="Helvetica" w:hAnsi="Helvetica" w:cs="Helvetica"/>
          <w:szCs w:val="24"/>
          <w:u w:val="single"/>
        </w:rPr>
        <w:t>Council’s response</w:t>
      </w:r>
    </w:p>
    <w:p w14:paraId="0D184BCC" w14:textId="24D0FEDD" w:rsidR="00D22138" w:rsidRDefault="009637EE" w:rsidP="009637EE">
      <w:pPr>
        <w:ind w:left="720" w:hanging="720"/>
        <w:jc w:val="left"/>
      </w:pPr>
      <w:r>
        <w:t>4.6.1</w:t>
      </w:r>
      <w:r>
        <w:tab/>
      </w:r>
      <w:r w:rsidR="00D22138">
        <w:t>The Local Plan target of 81 ha over the plan period 2023-2040 is derived from the past take up scenario set out in BP.03.  As set out in that document (see pages 98-99), based on the characteristics of completions in recent years in Ashfield District, much of this demand has been for ‘big box’ strategic logistics, which tends to draw its occupiers from a relatively wide area that could extend out towards the rest of the Outer HMA defined as the districts of Ashfield, Mansfield and Newark upon Sherwood.</w:t>
      </w:r>
    </w:p>
    <w:p w14:paraId="78209358" w14:textId="18CE9546" w:rsidR="00D22138" w:rsidRDefault="009637EE" w:rsidP="009637EE">
      <w:pPr>
        <w:ind w:left="720" w:hanging="720"/>
        <w:jc w:val="left"/>
      </w:pPr>
      <w:r>
        <w:t>4.6.2</w:t>
      </w:r>
      <w:r>
        <w:tab/>
      </w:r>
      <w:r w:rsidR="00D22138">
        <w:t xml:space="preserve">BP.03 suggested that of the </w:t>
      </w:r>
      <w:proofErr w:type="gramStart"/>
      <w:r w:rsidR="00D22138">
        <w:t>81 ha</w:t>
      </w:r>
      <w:proofErr w:type="gramEnd"/>
      <w:r w:rsidR="00D22138">
        <w:t xml:space="preserve"> requirement, at a basic quantitative level, around </w:t>
      </w:r>
      <w:r w:rsidR="00D22138" w:rsidRPr="00DB3330">
        <w:t>27.5 ha of land would be required for ‘indigenous’ needs arising from within Ashfield, and at least 53.5 ha of land would be required to meet wider strategic needs.</w:t>
      </w:r>
      <w:r w:rsidR="00D22138">
        <w:t xml:space="preserve"> </w:t>
      </w:r>
      <w:r w:rsidR="00D22138" w:rsidRPr="00DB3330">
        <w:t xml:space="preserve"> </w:t>
      </w:r>
      <w:r w:rsidR="00D22138">
        <w:t>However, whilst the 53.5 ha may be addressing a commercial need for ‘bigger than local strategic logistics or industrial uses, drawing occupiers from a wide catchment, this does not necessarily mean that employees will also come from that same wider market area.</w:t>
      </w:r>
    </w:p>
    <w:p w14:paraId="14C186B1" w14:textId="63F39CA6" w:rsidR="00D22138" w:rsidRDefault="009637EE" w:rsidP="009637EE">
      <w:pPr>
        <w:ind w:left="720" w:hanging="720"/>
        <w:jc w:val="left"/>
      </w:pPr>
      <w:r>
        <w:t>4.6.3</w:t>
      </w:r>
      <w:r>
        <w:tab/>
      </w:r>
      <w:r w:rsidR="00D22138" w:rsidRPr="00DB3330">
        <w:t xml:space="preserve">The 27.5 ha local needs figure is closely aligned with the Regeneration Scenario’s total figure of 28.06 </w:t>
      </w:r>
      <w:proofErr w:type="gramStart"/>
      <w:r w:rsidR="00D22138" w:rsidRPr="00DB3330">
        <w:t>ha</w:t>
      </w:r>
      <w:r w:rsidR="00D22138">
        <w:t>, but</w:t>
      </w:r>
      <w:proofErr w:type="gramEnd"/>
      <w:r w:rsidR="00D22138">
        <w:t xml:space="preserve"> is above the</w:t>
      </w:r>
      <w:r w:rsidR="00D22138" w:rsidRPr="00DB3330">
        <w:t xml:space="preserve"> 16.84 ha that would be required based on the current SM2 figure of 446 dpa. </w:t>
      </w:r>
    </w:p>
    <w:p w14:paraId="5F58E12E" w14:textId="369F0179" w:rsidR="00D22138" w:rsidRPr="00DB3330" w:rsidRDefault="009637EE" w:rsidP="009637EE">
      <w:pPr>
        <w:ind w:left="720" w:hanging="720"/>
        <w:jc w:val="left"/>
      </w:pPr>
      <w:r>
        <w:t>4.6.4</w:t>
      </w:r>
      <w:r>
        <w:tab/>
      </w:r>
      <w:r w:rsidR="00D22138" w:rsidRPr="00DB3330">
        <w:t xml:space="preserve">This represents the employment land needs of the local labour supply excluding strategic logistics needs, which extend across the much wider </w:t>
      </w:r>
      <w:r w:rsidR="00D22138">
        <w:t>FEMA</w:t>
      </w:r>
      <w:r w:rsidR="00D22138" w:rsidRPr="00DB3330">
        <w:t>.</w:t>
      </w:r>
      <w:r w:rsidR="00D22138">
        <w:t xml:space="preserve"> </w:t>
      </w:r>
      <w:r w:rsidR="00D22138" w:rsidRPr="00DB3330">
        <w:t xml:space="preserve"> However, </w:t>
      </w:r>
      <w:r w:rsidR="00D22138">
        <w:t xml:space="preserve">as set out in BP.03, ADC considered that </w:t>
      </w:r>
      <w:r w:rsidR="00D22138" w:rsidRPr="00DB3330">
        <w:t>planning for this higher figure will help to ensure a choice of employment land supply by size, type, location and quality of sites and premises for businesses, and maximising future job opportunities for the local workforce (including those who may currently commute elsewhere).</w:t>
      </w:r>
    </w:p>
    <w:p w14:paraId="6FC39A58" w14:textId="4D24AE2E" w:rsidR="00D22138" w:rsidRDefault="009637EE" w:rsidP="009637EE">
      <w:pPr>
        <w:ind w:left="720" w:hanging="720"/>
        <w:jc w:val="left"/>
      </w:pPr>
      <w:r>
        <w:t>4.6.5</w:t>
      </w:r>
      <w:r>
        <w:tab/>
      </w:r>
      <w:r w:rsidR="00D22138">
        <w:t xml:space="preserve">In terms of whether there will be sufficient labour in Ashfield District to take up these new job opportunities, or whether it would result in an influx of in-commuting from </w:t>
      </w:r>
      <w:r w:rsidR="00D22138">
        <w:lastRenderedPageBreak/>
        <w:t>elsewhere, this is difficult to quantify but the Council’s approach is intended to address some underlying weaknesses in Ashfield’s economy.</w:t>
      </w:r>
    </w:p>
    <w:p w14:paraId="3E050CBE" w14:textId="5CB91D40" w:rsidR="00D22138" w:rsidRDefault="009637EE" w:rsidP="009637EE">
      <w:pPr>
        <w:ind w:left="720" w:hanging="720"/>
        <w:jc w:val="left"/>
      </w:pPr>
      <w:r>
        <w:t>4.6.6</w:t>
      </w:r>
      <w:r>
        <w:tab/>
      </w:r>
      <w:r w:rsidR="00D22138">
        <w:t xml:space="preserve">There may be some increase in net in-commuting to take up some of the new employment opportunities (particularly to some of the highly accessible sites </w:t>
      </w:r>
      <w:proofErr w:type="gramStart"/>
      <w:r w:rsidR="00D22138">
        <w:t>in close proximity to</w:t>
      </w:r>
      <w:proofErr w:type="gramEnd"/>
      <w:r w:rsidR="00D22138">
        <w:t xml:space="preserve"> the strategic road network), but generally ADC’s strategy is to make better use of the existing under-used capacity of its resident </w:t>
      </w:r>
      <w:proofErr w:type="spellStart"/>
      <w:r w:rsidR="00D22138">
        <w:t>labourforce</w:t>
      </w:r>
      <w:proofErr w:type="spellEnd"/>
      <w:r w:rsidR="00D22138">
        <w:t>.</w:t>
      </w:r>
    </w:p>
    <w:p w14:paraId="62C6A8B7" w14:textId="0E742AF0" w:rsidR="00D22138" w:rsidRDefault="009637EE" w:rsidP="009637EE">
      <w:pPr>
        <w:jc w:val="left"/>
      </w:pPr>
      <w:r>
        <w:t>4.6.7</w:t>
      </w:r>
      <w:r>
        <w:tab/>
      </w:r>
      <w:r w:rsidR="00D22138">
        <w:t>As set out in the emerging Local Plan:</w:t>
      </w:r>
    </w:p>
    <w:p w14:paraId="7A43708F" w14:textId="77777777" w:rsidR="00D22138" w:rsidRDefault="00D22138" w:rsidP="009637EE">
      <w:pPr>
        <w:ind w:left="720"/>
        <w:jc w:val="left"/>
      </w:pPr>
      <w:r>
        <w:t>“</w:t>
      </w:r>
      <w:r w:rsidRPr="006561CF">
        <w:rPr>
          <w:i/>
          <w:iCs/>
        </w:rPr>
        <w:t>From Ashfield’s perspective, place making is regarded as having a key role within the plan and it is important to improve productivity, to upskill local people and our connectivity</w:t>
      </w:r>
      <w:r>
        <w:t>” [paragraph 1.56]</w:t>
      </w:r>
      <w:r w:rsidRPr="006561CF">
        <w:t xml:space="preserve">. </w:t>
      </w:r>
    </w:p>
    <w:p w14:paraId="0842165D" w14:textId="581C0D43" w:rsidR="00D22138" w:rsidRDefault="009637EE" w:rsidP="009637EE">
      <w:pPr>
        <w:ind w:left="720" w:hanging="720"/>
        <w:jc w:val="left"/>
      </w:pPr>
      <w:r>
        <w:t>4.6.7</w:t>
      </w:r>
      <w:r>
        <w:tab/>
      </w:r>
      <w:r w:rsidR="00D22138">
        <w:t xml:space="preserve">This aspiration of upskilling </w:t>
      </w:r>
      <w:proofErr w:type="gramStart"/>
      <w:r w:rsidR="00D22138">
        <w:t>local residents</w:t>
      </w:r>
      <w:proofErr w:type="gramEnd"/>
      <w:r w:rsidR="00D22138">
        <w:t>, boosting productivity and by extension, reducing worklessness, is supported by the latest data from the ONS Annual Population Survey</w:t>
      </w:r>
      <w:r w:rsidR="00D22138">
        <w:rPr>
          <w:rStyle w:val="FootnoteReference"/>
        </w:rPr>
        <w:footnoteReference w:id="8"/>
      </w:r>
      <w:r w:rsidR="00D22138">
        <w:t>.  This indicates that:</w:t>
      </w:r>
    </w:p>
    <w:p w14:paraId="6A609D5D" w14:textId="77777777" w:rsidR="00D22138" w:rsidRDefault="00D22138" w:rsidP="000A2455">
      <w:pPr>
        <w:pStyle w:val="bullets"/>
        <w:tabs>
          <w:tab w:val="clear" w:pos="1531"/>
          <w:tab w:val="left" w:pos="1843"/>
        </w:tabs>
        <w:ind w:left="1134"/>
        <w:rPr>
          <w:rFonts w:ascii="Arial" w:hAnsi="Arial" w:cs="Arial"/>
          <w:sz w:val="24"/>
          <w:szCs w:val="24"/>
        </w:rPr>
      </w:pPr>
      <w:r>
        <w:rPr>
          <w:rFonts w:ascii="Arial" w:hAnsi="Arial" w:cs="Arial"/>
          <w:sz w:val="24"/>
          <w:szCs w:val="24"/>
        </w:rPr>
        <w:t xml:space="preserve">Ashfield has higher levels of unemployment (3,100 residents, at 4.9%) than both the regional (4.1%) and national (3.7%) </w:t>
      </w:r>
      <w:proofErr w:type="gramStart"/>
      <w:r>
        <w:rPr>
          <w:rFonts w:ascii="Arial" w:hAnsi="Arial" w:cs="Arial"/>
          <w:sz w:val="24"/>
          <w:szCs w:val="24"/>
        </w:rPr>
        <w:t>rates;</w:t>
      </w:r>
      <w:proofErr w:type="gramEnd"/>
    </w:p>
    <w:p w14:paraId="1781DFBD" w14:textId="77777777" w:rsidR="00D22138" w:rsidRPr="006561CF" w:rsidRDefault="00D22138" w:rsidP="000A2455">
      <w:pPr>
        <w:pStyle w:val="bullets"/>
        <w:tabs>
          <w:tab w:val="clear" w:pos="1531"/>
          <w:tab w:val="left" w:pos="1843"/>
        </w:tabs>
        <w:ind w:left="1134"/>
        <w:rPr>
          <w:rFonts w:ascii="Arial" w:hAnsi="Arial" w:cs="Arial"/>
          <w:sz w:val="24"/>
          <w:szCs w:val="24"/>
        </w:rPr>
      </w:pPr>
      <w:r w:rsidRPr="005A5D53">
        <w:rPr>
          <w:rFonts w:ascii="Arial" w:hAnsi="Arial" w:cs="Arial"/>
          <w:sz w:val="24"/>
          <w:szCs w:val="24"/>
        </w:rPr>
        <w:t xml:space="preserve">Ashfield has lower numbers of economically active residents than comparable areas, with just 77.8% of residents aged between 16-64 being economically active compared to 79.1% across the East Midlands and 78.4% nationwide.  In total, there are 17,600 residents </w:t>
      </w:r>
      <w:r>
        <w:rPr>
          <w:rFonts w:ascii="Arial" w:hAnsi="Arial" w:cs="Arial"/>
          <w:sz w:val="24"/>
          <w:szCs w:val="24"/>
        </w:rPr>
        <w:t xml:space="preserve">living in </w:t>
      </w:r>
      <w:r w:rsidRPr="005A5D53">
        <w:rPr>
          <w:rFonts w:ascii="Arial" w:hAnsi="Arial" w:cs="Arial"/>
          <w:sz w:val="24"/>
          <w:szCs w:val="24"/>
        </w:rPr>
        <w:t>Ashfield who are currently economically inactive.</w:t>
      </w:r>
    </w:p>
    <w:p w14:paraId="6C711F2A" w14:textId="77777777" w:rsidR="00D22138" w:rsidRDefault="00D22138" w:rsidP="00D22138">
      <w:pPr>
        <w:jc w:val="left"/>
      </w:pPr>
    </w:p>
    <w:p w14:paraId="4AC56F5D" w14:textId="735C84D8" w:rsidR="00D22138" w:rsidRDefault="001E7BF9" w:rsidP="001E7BF9">
      <w:pPr>
        <w:ind w:left="720" w:hanging="720"/>
        <w:jc w:val="left"/>
      </w:pPr>
      <w:r>
        <w:t>4.6.8</w:t>
      </w:r>
      <w:r>
        <w:tab/>
      </w:r>
      <w:r w:rsidR="00D22138">
        <w:t>There is therefore a substantial local labour-force that could take up these new job opportunities, before there would need to be an increase in net in-commuting.</w:t>
      </w:r>
    </w:p>
    <w:p w14:paraId="134E2C36" w14:textId="1EF9FA5D" w:rsidR="00D22138" w:rsidRDefault="001E7BF9" w:rsidP="001E7BF9">
      <w:pPr>
        <w:ind w:left="720" w:hanging="720"/>
        <w:jc w:val="left"/>
      </w:pPr>
      <w:r>
        <w:t>4.6.9</w:t>
      </w:r>
      <w:r>
        <w:tab/>
      </w:r>
      <w:r w:rsidR="00D22138">
        <w:t>It is also relevant to note that Ashfield District already has relatively high levels of net out-commuting, with the 2011 Census (the latest accurate data available in view of the limitations of the 2021 Census data) suggesting that 28,006 Ashfield residents commuted out of the District for work on a daily basis with 25,785 commuting in the opposite direction – a net out commute of -2,221</w:t>
      </w:r>
      <w:r w:rsidR="00D22138">
        <w:rPr>
          <w:rStyle w:val="FootnoteReference"/>
        </w:rPr>
        <w:footnoteReference w:id="9"/>
      </w:r>
      <w:r w:rsidR="00D22138">
        <w:t xml:space="preserve">.  Furthermore, the district has a Jobs Density figure of just 0.79 compared to 0.81 in the East Midlands and 0.87 in Great Britain.  As the jobs density represents </w:t>
      </w:r>
      <w:r w:rsidR="00D22138" w:rsidRPr="005A5D53">
        <w:t>the ratio of total jobs to population aged 16-64</w:t>
      </w:r>
      <w:r w:rsidR="00D22138">
        <w:t xml:space="preserve">, this means that for every 79 jobs based in the </w:t>
      </w:r>
      <w:proofErr w:type="gramStart"/>
      <w:r w:rsidR="00D22138">
        <w:t>District</w:t>
      </w:r>
      <w:proofErr w:type="gramEnd"/>
      <w:r w:rsidR="00D22138">
        <w:t xml:space="preserve">, there are 100 residents of working age.  To have a </w:t>
      </w:r>
      <w:proofErr w:type="gramStart"/>
      <w:r w:rsidR="00D22138">
        <w:t>low density</w:t>
      </w:r>
      <w:proofErr w:type="gramEnd"/>
      <w:r w:rsidR="00D22138">
        <w:t xml:space="preserve"> figure suggest either that the local </w:t>
      </w:r>
      <w:proofErr w:type="spellStart"/>
      <w:r w:rsidR="00D22138">
        <w:t>labourforce</w:t>
      </w:r>
      <w:proofErr w:type="spellEnd"/>
      <w:r w:rsidR="00D22138">
        <w:t xml:space="preserve"> is either commuting out to nearby authorities such as Nottingham City, or that it simply has high levels of economic inactivity and unemployment.  The provision of more good quality job opportunities would therefore go some way towards resolving this unsatisfactory situation.</w:t>
      </w:r>
    </w:p>
    <w:p w14:paraId="3902DCE6" w14:textId="707616C5" w:rsidR="00D22138" w:rsidRPr="006561CF" w:rsidRDefault="001E7BF9" w:rsidP="001E7BF9">
      <w:pPr>
        <w:ind w:left="720" w:hanging="720"/>
        <w:jc w:val="left"/>
      </w:pPr>
      <w:r>
        <w:t>4.6.10</w:t>
      </w:r>
      <w:r>
        <w:tab/>
      </w:r>
      <w:r w:rsidR="00D22138">
        <w:t xml:space="preserve">It is the intention of ADC to target new and emerging employment sectors that can offer higher wages and require higher skills to ensure a greater resilience in the local economy.  ADC wants to reduce its over-reliance on the traditional manufacturing </w:t>
      </w:r>
      <w:r w:rsidR="00D22138">
        <w:lastRenderedPageBreak/>
        <w:t>sector that has contracted substantially, but which still provides employment for 16.1% of the current resident workforce (more than double the nationwide figure of 7.5%</w:t>
      </w:r>
      <w:r w:rsidR="00D22138">
        <w:rPr>
          <w:rStyle w:val="FootnoteReference"/>
        </w:rPr>
        <w:footnoteReference w:id="10"/>
      </w:r>
      <w:r w:rsidR="00D22138">
        <w:t>).  This is reflected in its low wage economy – Ashfield District residents earn £651.9 a week, relatively lower than £684.1 for East Midlands residents and £729.8 across England</w:t>
      </w:r>
      <w:r w:rsidR="00D22138">
        <w:rPr>
          <w:rStyle w:val="FootnoteReference"/>
        </w:rPr>
        <w:footnoteReference w:id="11"/>
      </w:r>
      <w:r w:rsidR="00D22138">
        <w:t xml:space="preserve">.  </w:t>
      </w:r>
    </w:p>
    <w:p w14:paraId="3DE12FC2" w14:textId="7BF99389" w:rsidR="00D22138" w:rsidRDefault="001E7BF9" w:rsidP="001E7BF9">
      <w:pPr>
        <w:ind w:left="720" w:hanging="720"/>
        <w:jc w:val="left"/>
      </w:pPr>
      <w:r>
        <w:t>4.6.11</w:t>
      </w:r>
      <w:r>
        <w:tab/>
      </w:r>
      <w:r w:rsidR="00D22138">
        <w:t>Therefore, whilst in all likelihood there will be an increased element of in-commuting, this will not be the only source of new employees for future occupiers of new employment premises and it is ADC’s intention to provide opportunities for the unemployed and otherwise economically inactive to take up a greater proportion of these jobs as well as encouraging current out-commuters to take up employment opportunities closer to home.</w:t>
      </w:r>
    </w:p>
    <w:p w14:paraId="436C20C6" w14:textId="54877B64" w:rsidR="00B71673" w:rsidRPr="00D22138" w:rsidRDefault="001E7BF9" w:rsidP="001E7BF9">
      <w:pPr>
        <w:ind w:left="720" w:hanging="720"/>
        <w:jc w:val="left"/>
      </w:pPr>
      <w:r>
        <w:t>4.6.12</w:t>
      </w:r>
      <w:r>
        <w:tab/>
      </w:r>
      <w:r w:rsidR="00D22138">
        <w:t>The provision of more employment land and, by extension job opportunities in growth sectors such as logistics and advanced manufacturing, could reduce net out commuting, increase wages and skills and provide considerable benefits to Ashfield’s local communities.</w:t>
      </w:r>
    </w:p>
    <w:p w14:paraId="6B67392D" w14:textId="77777777" w:rsidR="00B71673" w:rsidRPr="002A269E" w:rsidRDefault="00B71673" w:rsidP="00E76EC3">
      <w:pPr>
        <w:rPr>
          <w:b/>
          <w:bCs/>
          <w:i/>
          <w:iCs/>
        </w:rPr>
      </w:pPr>
    </w:p>
    <w:p w14:paraId="60E6CE7E" w14:textId="13261973" w:rsidR="00E76EC3" w:rsidRPr="002A269E" w:rsidRDefault="00E76EC3" w:rsidP="00E76EC3">
      <w:pPr>
        <w:rPr>
          <w:b/>
          <w:bCs/>
          <w:i/>
          <w:iCs/>
        </w:rPr>
      </w:pPr>
      <w:r w:rsidRPr="002A269E">
        <w:rPr>
          <w:b/>
          <w:bCs/>
          <w:i/>
          <w:iCs/>
        </w:rPr>
        <w:t>4.7 What implications has the Coronavirus pandemic (‘COVID-19’) had on the</w:t>
      </w:r>
      <w:r w:rsidR="002A269E">
        <w:rPr>
          <w:b/>
          <w:bCs/>
          <w:i/>
          <w:iCs/>
        </w:rPr>
        <w:t xml:space="preserve"> </w:t>
      </w:r>
      <w:r w:rsidRPr="002A269E">
        <w:rPr>
          <w:b/>
          <w:bCs/>
          <w:i/>
          <w:iCs/>
        </w:rPr>
        <w:t>assumptions</w:t>
      </w:r>
      <w:r w:rsidR="002A269E">
        <w:rPr>
          <w:b/>
          <w:bCs/>
          <w:i/>
          <w:iCs/>
        </w:rPr>
        <w:t xml:space="preserve"> </w:t>
      </w:r>
      <w:r w:rsidRPr="002A269E">
        <w:rPr>
          <w:b/>
          <w:bCs/>
          <w:i/>
          <w:iCs/>
        </w:rPr>
        <w:t>in the Employment Needs Study (SEV.28)?</w:t>
      </w:r>
    </w:p>
    <w:p w14:paraId="18B26FAC" w14:textId="77777777" w:rsidR="00D55D25" w:rsidRDefault="00D55D25" w:rsidP="00D55D25">
      <w:pPr>
        <w:rPr>
          <w:b/>
          <w:bCs/>
          <w:i/>
          <w:iCs/>
          <w:u w:val="single"/>
        </w:rPr>
      </w:pPr>
      <w:r>
        <w:rPr>
          <w:rFonts w:ascii="Helvetica" w:hAnsi="Helvetica" w:cs="Helvetica"/>
          <w:szCs w:val="24"/>
          <w:u w:val="single"/>
        </w:rPr>
        <w:t>Council’s response</w:t>
      </w:r>
    </w:p>
    <w:p w14:paraId="66287EB7" w14:textId="263F6D8E" w:rsidR="00E5474C" w:rsidRPr="00E5474C" w:rsidRDefault="001E7BF9" w:rsidP="001E7BF9">
      <w:pPr>
        <w:ind w:left="720" w:hanging="720"/>
        <w:jc w:val="left"/>
      </w:pPr>
      <w:r>
        <w:rPr>
          <w:szCs w:val="21"/>
        </w:rPr>
        <w:t>4.7.1</w:t>
      </w:r>
      <w:r>
        <w:rPr>
          <w:szCs w:val="21"/>
        </w:rPr>
        <w:tab/>
      </w:r>
      <w:r w:rsidR="00E5474C" w:rsidRPr="00E5474C">
        <w:rPr>
          <w:szCs w:val="21"/>
        </w:rPr>
        <w:t xml:space="preserve">The impacts of the Covid-19 pandemic on the assumptions of SEV.28 were discussed in detail in ADC’s previous </w:t>
      </w:r>
      <w:r w:rsidR="00E5474C" w:rsidRPr="00E5474C">
        <w:rPr>
          <w:i/>
          <w:iCs/>
          <w:szCs w:val="21"/>
        </w:rPr>
        <w:t>Background Paper Number 3 Economy and Employment Land</w:t>
      </w:r>
      <w:r w:rsidR="00E5474C" w:rsidRPr="00E5474C">
        <w:rPr>
          <w:szCs w:val="21"/>
        </w:rPr>
        <w:t>, 2021 (BP.03).</w:t>
      </w:r>
      <w:r w:rsidR="00E5474C" w:rsidRPr="00E5474C">
        <w:t xml:space="preserve"> </w:t>
      </w:r>
    </w:p>
    <w:p w14:paraId="3A921F6D" w14:textId="6CF0AB20" w:rsidR="00E5474C" w:rsidRPr="00E5474C" w:rsidRDefault="001E7BF9" w:rsidP="001E7BF9">
      <w:pPr>
        <w:ind w:left="720" w:hanging="720"/>
        <w:jc w:val="left"/>
        <w:rPr>
          <w:szCs w:val="21"/>
        </w:rPr>
      </w:pPr>
      <w:r>
        <w:t>4.7.2</w:t>
      </w:r>
      <w:r>
        <w:tab/>
      </w:r>
      <w:r w:rsidR="00E5474C" w:rsidRPr="00E5474C">
        <w:t xml:space="preserve">Clearly </w:t>
      </w:r>
      <w:r w:rsidR="00E5474C" w:rsidRPr="00E5474C">
        <w:rPr>
          <w:szCs w:val="21"/>
        </w:rPr>
        <w:t xml:space="preserve">Covid-19 had (and continues to have) far reaching impacts on the economy and business across the country, with lockdown measures leading to unprecedented shutdowns with implications on the macro-economic forecasting set out in SEV.28.  Coupled with the considerable economic uncertainty over Brexit at the time of preparation, </w:t>
      </w:r>
      <w:r w:rsidR="00E5474C" w:rsidRPr="00E5474C">
        <w:t xml:space="preserve">SEV.28 </w:t>
      </w:r>
      <w:r w:rsidR="00E5474C" w:rsidRPr="00E5474C">
        <w:rPr>
          <w:szCs w:val="21"/>
        </w:rPr>
        <w:t>identified that future growth projections could be subject to significant change.</w:t>
      </w:r>
    </w:p>
    <w:p w14:paraId="12CC767C" w14:textId="4F4A8691" w:rsidR="00E5474C" w:rsidRPr="00E5474C" w:rsidRDefault="001E7BF9" w:rsidP="001E7BF9">
      <w:pPr>
        <w:ind w:left="720" w:hanging="720"/>
        <w:jc w:val="left"/>
        <w:rPr>
          <w:szCs w:val="21"/>
        </w:rPr>
      </w:pPr>
      <w:r>
        <w:rPr>
          <w:szCs w:val="21"/>
        </w:rPr>
        <w:t>4.7.3</w:t>
      </w:r>
      <w:r>
        <w:rPr>
          <w:szCs w:val="21"/>
        </w:rPr>
        <w:tab/>
      </w:r>
      <w:r w:rsidR="00E5474C" w:rsidRPr="00E5474C">
        <w:rPr>
          <w:szCs w:val="21"/>
        </w:rPr>
        <w:t xml:space="preserve">SEV.28 modelled a range of scenarios including a baseline Experian projection from September 2020 (during the peak of the pandemic) and contrasted this with a pre-pandemic scenario dating from March 2020.  The analysis in SEV.28 identified that between 1997 and 2018, the Nottingham Outer HMA’s economy grew by 1.236% annually (applying the Compound Annual Growth Rate, or CAGR).  </w:t>
      </w:r>
    </w:p>
    <w:p w14:paraId="48EA3D60" w14:textId="466FEF5E" w:rsidR="00E5474C" w:rsidRPr="00E5474C" w:rsidRDefault="001E7BF9" w:rsidP="001E7BF9">
      <w:pPr>
        <w:ind w:left="720" w:hanging="720"/>
        <w:jc w:val="left"/>
        <w:rPr>
          <w:szCs w:val="21"/>
        </w:rPr>
      </w:pPr>
      <w:r>
        <w:rPr>
          <w:szCs w:val="21"/>
        </w:rPr>
        <w:t>4.7.4</w:t>
      </w:r>
      <w:r>
        <w:rPr>
          <w:szCs w:val="21"/>
        </w:rPr>
        <w:tab/>
      </w:r>
      <w:r w:rsidR="00E5474C" w:rsidRPr="00E5474C">
        <w:rPr>
          <w:szCs w:val="21"/>
        </w:rPr>
        <w:t>However, the Experian forecasts for September 2020 for the Plan period 2018 to 2038 anticipated a significant drop within the Outer HMA, to 0.452%.  Ashfield District’s rate of growth was forecast to fall from 0.585% annually (or +7,300 net jobs) between 2018-38 under the March 2020 Experian forecast, to just 0.447% annually (+5,500 jobs) using the Covid-19 projections in September of that year.</w:t>
      </w:r>
    </w:p>
    <w:p w14:paraId="5D416CE8" w14:textId="4B795AAE" w:rsidR="00E5474C" w:rsidRPr="00E5474C" w:rsidRDefault="001E7BF9" w:rsidP="001E7BF9">
      <w:pPr>
        <w:ind w:left="720" w:hanging="720"/>
        <w:jc w:val="left"/>
      </w:pPr>
      <w:r>
        <w:t>4.7.5</w:t>
      </w:r>
      <w:r>
        <w:tab/>
      </w:r>
      <w:r w:rsidR="00E5474C" w:rsidRPr="00E5474C">
        <w:t xml:space="preserve">As set out above in our response to Question 4.3, SEV.28 assessed the impact of Covid-19 by referencing the most recent macro-economic forecasts released by </w:t>
      </w:r>
      <w:r w:rsidR="00E5474C" w:rsidRPr="00E5474C">
        <w:lastRenderedPageBreak/>
        <w:t>Experian at the end of September 2020.  These September 2020 forecasts implied a significant impact on almost all sectors of the economy and all parts of the region.  The use of these projections in SEV.28 resulted in a gross need for 23,898 sqm of office floorspace and 46.71 ha of industrial land using the September 2020 Experian baseline, and an increase to 23,725 sqm of office space / 56.08 ha of industrial land if the pre-Covid projections were used from March 2020.  The regeneration scenario was lower (33,856 sqm office / 54.01 ha industrial) as it was based on the September 2020 projection.  Therefore Covid-19 suppressed the employment land requirement in the econometric modelling.</w:t>
      </w:r>
    </w:p>
    <w:p w14:paraId="31FBE2BD" w14:textId="6EB0517A" w:rsidR="00E5474C" w:rsidRPr="00E5474C" w:rsidRDefault="001E7BF9" w:rsidP="001E7BF9">
      <w:pPr>
        <w:ind w:left="720" w:hanging="720"/>
        <w:jc w:val="left"/>
      </w:pPr>
      <w:r>
        <w:t>4.7.6</w:t>
      </w:r>
      <w:r>
        <w:tab/>
      </w:r>
      <w:r w:rsidR="00E5474C" w:rsidRPr="00E5474C">
        <w:t xml:space="preserve">This is less relevant for the purposes of Ashfield’s emerging Local Plan, given that ADC has decided to pursue a higher employment land target based on past take up rates.  Nevertheless, as set out in our response to Question 4.3, the latest post-Covid-19 Experian projections indicate that job growth is forecast to be stronger, and in sectors more associated with land-hungry uses (notably logistics), than before.  </w:t>
      </w:r>
    </w:p>
    <w:p w14:paraId="27363A10" w14:textId="2D2F6712" w:rsidR="00E5474C" w:rsidRPr="00E5474C" w:rsidRDefault="001E7BF9" w:rsidP="001E7BF9">
      <w:pPr>
        <w:ind w:left="720" w:hanging="720"/>
        <w:jc w:val="left"/>
      </w:pPr>
      <w:r>
        <w:t>4.7.7</w:t>
      </w:r>
      <w:r>
        <w:tab/>
      </w:r>
      <w:r w:rsidR="00E5474C" w:rsidRPr="00E5474C">
        <w:t>Even so, the resultant land requirements using the September 2024 projections indicate a need for 2,024 sqm office floorspace/21.96 ha of industrial land, rising to 12,855 sqm office / 35.71 ha of industrial land for the uplifted Regeneration scenario between 2023 and 2040.  Whilst these figures are above the equivalent forecasts using the earlier Experian scenarios, they remain well below the 81 ha of employment land that the Council has chosen to take forward, past on past completions data.</w:t>
      </w:r>
    </w:p>
    <w:p w14:paraId="665E43A3" w14:textId="7EE919C9" w:rsidR="00E5474C" w:rsidRPr="00E5474C" w:rsidRDefault="001E7BF9" w:rsidP="001E7BF9">
      <w:pPr>
        <w:ind w:left="720" w:hanging="720"/>
        <w:jc w:val="left"/>
      </w:pPr>
      <w:r>
        <w:t>4.7.8</w:t>
      </w:r>
      <w:r>
        <w:tab/>
      </w:r>
      <w:r w:rsidR="00E5474C" w:rsidRPr="00E5474C">
        <w:t xml:space="preserve">In terms of other relevant assumptions in SEV.28 that have been affected by Covid-19, a clear issue relates to the shift towards </w:t>
      </w:r>
      <w:r w:rsidR="00E5474C" w:rsidRPr="00E5474C">
        <w:rPr>
          <w:b/>
          <w:bCs/>
        </w:rPr>
        <w:t>increased levels of home-working</w:t>
      </w:r>
      <w:r w:rsidR="00E5474C" w:rsidRPr="00E5474C">
        <w:t xml:space="preserve"> and the knock-on effects in terms of demand for office </w:t>
      </w:r>
      <w:proofErr w:type="gramStart"/>
      <w:r w:rsidR="00E5474C" w:rsidRPr="00E5474C">
        <w:t>floorspace in particular</w:t>
      </w:r>
      <w:proofErr w:type="gramEnd"/>
      <w:r w:rsidR="00E5474C" w:rsidRPr="00E5474C">
        <w:t xml:space="preserve">.  </w:t>
      </w:r>
    </w:p>
    <w:p w14:paraId="1616F5E4" w14:textId="77777777" w:rsidR="001E7BF9" w:rsidRDefault="001E7BF9" w:rsidP="001E7BF9">
      <w:pPr>
        <w:ind w:left="720" w:hanging="720"/>
        <w:jc w:val="left"/>
      </w:pPr>
      <w:r>
        <w:t>4.7.9</w:t>
      </w:r>
      <w:r>
        <w:tab/>
      </w:r>
      <w:r w:rsidR="00E5474C" w:rsidRPr="00E5474C">
        <w:t xml:space="preserve">As discussed in SEV.28, the consultants accepted that the current Covid-19 pandemic has dramatically altered working patterns, with the number of people working from home rising exponentially since the lockdown began in March 2020.  It reported that many commentators suggested that there will be a permanent shift towards home working and the greater flexibility this affords people, with the need for office space </w:t>
      </w:r>
      <w:proofErr w:type="gramStart"/>
      <w:r w:rsidR="00E5474C" w:rsidRPr="00E5474C">
        <w:t>in particular falling</w:t>
      </w:r>
      <w:proofErr w:type="gramEnd"/>
      <w:r w:rsidR="00E5474C" w:rsidRPr="00E5474C">
        <w:t xml:space="preserve"> significantly.  However:</w:t>
      </w:r>
    </w:p>
    <w:p w14:paraId="79549A70" w14:textId="3DA8F6F5" w:rsidR="00E5474C" w:rsidRPr="00E5474C" w:rsidRDefault="00E5474C" w:rsidP="001E7BF9">
      <w:pPr>
        <w:ind w:left="720"/>
        <w:jc w:val="left"/>
      </w:pPr>
      <w:r w:rsidRPr="00E5474C">
        <w:t>“</w:t>
      </w:r>
      <w:r w:rsidRPr="00E5474C">
        <w:rPr>
          <w:i/>
          <w:iCs/>
        </w:rPr>
        <w:t xml:space="preserve">Whilst in our view it is quite likely that there will be some long-term shift in working patterns </w:t>
      </w:r>
      <w:proofErr w:type="gramStart"/>
      <w:r w:rsidRPr="00E5474C">
        <w:rPr>
          <w:i/>
          <w:iCs/>
        </w:rPr>
        <w:t>as a result of</w:t>
      </w:r>
      <w:proofErr w:type="gramEnd"/>
      <w:r w:rsidRPr="00E5474C">
        <w:rPr>
          <w:i/>
          <w:iCs/>
        </w:rPr>
        <w:t xml:space="preserve"> the pandemic, at the time of writing (February 2021) it is still far too soon to say what the scale of that change on home working is likely to be.  Until robust data is available later this year, we therefore propose to retain the </w:t>
      </w:r>
      <w:proofErr w:type="gramStart"/>
      <w:r w:rsidRPr="00E5474C">
        <w:rPr>
          <w:i/>
          <w:iCs/>
        </w:rPr>
        <w:t>aforementioned job</w:t>
      </w:r>
      <w:proofErr w:type="gramEnd"/>
      <w:r w:rsidRPr="00E5474C">
        <w:rPr>
          <w:i/>
          <w:iCs/>
        </w:rPr>
        <w:t xml:space="preserve"> densities, particularly as the HCA work already factors in an element of home working / hot desking into the calculations</w:t>
      </w:r>
      <w:r w:rsidRPr="00E5474C">
        <w:t>.” [SEV.28, paragraph 8.31]</w:t>
      </w:r>
    </w:p>
    <w:p w14:paraId="3DB5B5F2" w14:textId="5147EBF8" w:rsidR="00E5474C" w:rsidRPr="00E5474C" w:rsidRDefault="001E7BF9" w:rsidP="001E7BF9">
      <w:pPr>
        <w:ind w:left="720" w:hanging="720"/>
        <w:jc w:val="left"/>
      </w:pPr>
      <w:r>
        <w:t>4.7.10</w:t>
      </w:r>
      <w:r>
        <w:tab/>
      </w:r>
      <w:r w:rsidR="00E5474C" w:rsidRPr="00E5474C">
        <w:t>The modelling in SEV.28 / BP.03 assumed that one general office workforce job requires 12.5 sqm of employment floorspace [GEA].  This is based on the application of standard employment densities</w:t>
      </w:r>
      <w:r w:rsidR="00E5474C" w:rsidRPr="00E5474C">
        <w:rPr>
          <w:vertAlign w:val="superscript"/>
        </w:rPr>
        <w:footnoteReference w:id="12"/>
      </w:r>
      <w:r w:rsidR="00E5474C" w:rsidRPr="00E5474C">
        <w:t>.  The existing guidance already makes some adjustment for changing working practices and states that it already “</w:t>
      </w:r>
      <w:r w:rsidR="00E5474C" w:rsidRPr="00E5474C">
        <w:rPr>
          <w:i/>
          <w:iCs/>
        </w:rPr>
        <w:t>make allowances for increased efficiencies as best it can</w:t>
      </w:r>
      <w:r w:rsidR="00E5474C" w:rsidRPr="00E5474C">
        <w:t>”.  The data source is, however, getting increasingly dated and the document itself states that “</w:t>
      </w:r>
      <w:r w:rsidR="00E5474C" w:rsidRPr="00E5474C">
        <w:rPr>
          <w:i/>
          <w:iCs/>
        </w:rPr>
        <w:t xml:space="preserve">further research is </w:t>
      </w:r>
      <w:r w:rsidR="00E5474C" w:rsidRPr="00E5474C">
        <w:rPr>
          <w:i/>
          <w:iCs/>
        </w:rPr>
        <w:lastRenderedPageBreak/>
        <w:t>required on a case-by-case basis, particularly where co-working spaces are proposed</w:t>
      </w:r>
      <w:r w:rsidR="00E5474C" w:rsidRPr="00E5474C">
        <w:t xml:space="preserve">”.  </w:t>
      </w:r>
    </w:p>
    <w:p w14:paraId="7F11D71B" w14:textId="1DAC538D" w:rsidR="00E5474C" w:rsidRPr="00E5474C" w:rsidRDefault="001E7BF9" w:rsidP="001E7BF9">
      <w:pPr>
        <w:ind w:left="720" w:hanging="720"/>
        <w:jc w:val="left"/>
      </w:pPr>
      <w:r>
        <w:t>4.7.11</w:t>
      </w:r>
      <w:r>
        <w:tab/>
      </w:r>
      <w:r w:rsidR="00E5474C" w:rsidRPr="00E5474C">
        <w:t>As such, a sensitivity test has been modelled that amends the HCA employment density for office floorspace.  This assumes that employment densities were to increase by 25%, from 1 workforce job per 12.5 sqm, to 1 workforce job per 10 sqm for homeworking.</w:t>
      </w:r>
      <w:r w:rsidR="00E5474C" w:rsidRPr="00E5474C">
        <w:br/>
      </w:r>
    </w:p>
    <w:tbl>
      <w:tblPr>
        <w:tblStyle w:val="TableGrid"/>
        <w:tblW w:w="5504" w:type="pct"/>
        <w:tblInd w:w="0" w:type="dxa"/>
        <w:tblCellMar>
          <w:left w:w="0" w:type="dxa"/>
          <w:right w:w="0" w:type="dxa"/>
        </w:tblCellMar>
        <w:tblLook w:val="04A0" w:firstRow="1" w:lastRow="0" w:firstColumn="1" w:lastColumn="0" w:noHBand="0" w:noVBand="1"/>
      </w:tblPr>
      <w:tblGrid>
        <w:gridCol w:w="2834"/>
        <w:gridCol w:w="1280"/>
        <w:gridCol w:w="1456"/>
        <w:gridCol w:w="923"/>
        <w:gridCol w:w="1320"/>
        <w:gridCol w:w="923"/>
        <w:gridCol w:w="928"/>
        <w:gridCol w:w="1071"/>
      </w:tblGrid>
      <w:tr w:rsidR="00E5474C" w:rsidRPr="00E5474C" w14:paraId="5341BE8F" w14:textId="77777777" w:rsidTr="00DE758D">
        <w:tc>
          <w:tcPr>
            <w:tcW w:w="5000" w:type="pct"/>
            <w:gridSpan w:val="8"/>
            <w:tcBorders>
              <w:top w:val="single" w:sz="4" w:space="0" w:color="auto"/>
              <w:left w:val="nil"/>
              <w:bottom w:val="nil"/>
              <w:right w:val="nil"/>
            </w:tcBorders>
          </w:tcPr>
          <w:p w14:paraId="6A7630F9" w14:textId="77777777" w:rsidR="00E5474C" w:rsidRPr="00E5474C" w:rsidRDefault="00E5474C" w:rsidP="00E5474C">
            <w:pPr>
              <w:keepNext/>
              <w:keepLines/>
              <w:spacing w:before="140" w:after="140" w:line="180" w:lineRule="atLeast"/>
              <w:jc w:val="left"/>
              <w:rPr>
                <w:rFonts w:cs="Arial"/>
                <w:noProof/>
                <w:color w:val="000000" w:themeColor="text1"/>
                <w:sz w:val="17"/>
                <w:szCs w:val="20"/>
              </w:rPr>
            </w:pPr>
            <w:bookmarkStart w:id="9" w:name="_Ref176856917"/>
            <w:r w:rsidRPr="00E5474C">
              <w:rPr>
                <w:rFonts w:cs="Arial"/>
                <w:noProof/>
                <w:color w:val="000000" w:themeColor="text1"/>
                <w:sz w:val="17"/>
                <w:szCs w:val="20"/>
              </w:rPr>
              <w:t xml:space="preserve">Table </w:t>
            </w:r>
            <w:r w:rsidRPr="00E5474C">
              <w:rPr>
                <w:rFonts w:cs="Arial"/>
                <w:noProof/>
                <w:color w:val="000000" w:themeColor="text1"/>
                <w:sz w:val="17"/>
                <w:szCs w:val="20"/>
              </w:rPr>
              <w:fldChar w:fldCharType="begin"/>
            </w:r>
            <w:r w:rsidRPr="00E5474C">
              <w:rPr>
                <w:rFonts w:cs="Arial"/>
                <w:noProof/>
                <w:color w:val="000000" w:themeColor="text1"/>
                <w:sz w:val="17"/>
                <w:szCs w:val="20"/>
              </w:rPr>
              <w:instrText xml:space="preserve"> STYLEREF 1 \s </w:instrText>
            </w:r>
            <w:r w:rsidRPr="00E5474C">
              <w:rPr>
                <w:rFonts w:cs="Arial"/>
                <w:noProof/>
                <w:color w:val="000000" w:themeColor="text1"/>
                <w:sz w:val="17"/>
                <w:szCs w:val="20"/>
              </w:rPr>
              <w:fldChar w:fldCharType="separate"/>
            </w:r>
            <w:r w:rsidRPr="00E5474C">
              <w:rPr>
                <w:rFonts w:cs="Arial"/>
                <w:noProof/>
                <w:color w:val="000000" w:themeColor="text1"/>
                <w:sz w:val="17"/>
                <w:szCs w:val="20"/>
              </w:rPr>
              <w:t>7</w:t>
            </w:r>
            <w:r w:rsidRPr="00E5474C">
              <w:rPr>
                <w:rFonts w:cs="Arial"/>
                <w:noProof/>
                <w:color w:val="000000" w:themeColor="text1"/>
                <w:sz w:val="17"/>
                <w:szCs w:val="20"/>
              </w:rPr>
              <w:fldChar w:fldCharType="end"/>
            </w:r>
            <w:r w:rsidRPr="00E5474C">
              <w:rPr>
                <w:rFonts w:cs="Arial"/>
                <w:noProof/>
                <w:color w:val="000000" w:themeColor="text1"/>
                <w:sz w:val="17"/>
                <w:szCs w:val="20"/>
              </w:rPr>
              <w:t>.</w:t>
            </w:r>
            <w:r w:rsidRPr="00E5474C">
              <w:rPr>
                <w:rFonts w:cs="Arial"/>
                <w:noProof/>
                <w:color w:val="000000" w:themeColor="text1"/>
                <w:sz w:val="17"/>
                <w:szCs w:val="20"/>
              </w:rPr>
              <w:fldChar w:fldCharType="begin"/>
            </w:r>
            <w:r w:rsidRPr="00E5474C">
              <w:rPr>
                <w:rFonts w:cs="Arial"/>
                <w:noProof/>
                <w:color w:val="000000" w:themeColor="text1"/>
                <w:sz w:val="17"/>
                <w:szCs w:val="20"/>
              </w:rPr>
              <w:instrText xml:space="preserve"> SEQ Table \* ARABIC \s 1 </w:instrText>
            </w:r>
            <w:r w:rsidRPr="00E5474C">
              <w:rPr>
                <w:rFonts w:cs="Arial"/>
                <w:noProof/>
                <w:color w:val="000000" w:themeColor="text1"/>
                <w:sz w:val="17"/>
                <w:szCs w:val="20"/>
              </w:rPr>
              <w:fldChar w:fldCharType="separate"/>
            </w:r>
            <w:r w:rsidRPr="00E5474C">
              <w:rPr>
                <w:rFonts w:cs="Arial"/>
                <w:noProof/>
                <w:color w:val="000000" w:themeColor="text1"/>
                <w:sz w:val="17"/>
                <w:szCs w:val="20"/>
              </w:rPr>
              <w:t>35</w:t>
            </w:r>
            <w:r w:rsidRPr="00E5474C">
              <w:rPr>
                <w:rFonts w:cs="Arial"/>
                <w:noProof/>
                <w:color w:val="000000" w:themeColor="text1"/>
                <w:sz w:val="17"/>
                <w:szCs w:val="20"/>
              </w:rPr>
              <w:fldChar w:fldCharType="end"/>
            </w:r>
            <w:bookmarkEnd w:id="9"/>
            <w:r w:rsidRPr="00E5474C">
              <w:rPr>
                <w:rFonts w:cs="Arial"/>
                <w:noProof/>
                <w:color w:val="000000" w:themeColor="text1"/>
                <w:sz w:val="17"/>
                <w:szCs w:val="20"/>
              </w:rPr>
              <w:t xml:space="preserve"> Ashfield District Homeworking Sensitivity Test Gross Floorspace Requirement (sqm) </w:t>
            </w:r>
          </w:p>
        </w:tc>
      </w:tr>
      <w:tr w:rsidR="00E5474C" w:rsidRPr="00E5474C" w14:paraId="158F0957" w14:textId="77777777" w:rsidTr="00DE758D">
        <w:tblPrEx>
          <w:tblCellMar>
            <w:left w:w="40" w:type="dxa"/>
            <w:right w:w="40" w:type="dxa"/>
          </w:tblCellMar>
        </w:tblPrEx>
        <w:trPr>
          <w:gridAfter w:val="1"/>
          <w:wAfter w:w="498" w:type="pct"/>
          <w:tblHeader/>
        </w:trPr>
        <w:tc>
          <w:tcPr>
            <w:tcW w:w="1320" w:type="pct"/>
            <w:vMerge w:val="restart"/>
            <w:shd w:val="clear" w:color="auto" w:fill="F2F2F2" w:themeFill="background1" w:themeFillShade="F2"/>
            <w:vAlign w:val="center"/>
          </w:tcPr>
          <w:p w14:paraId="1C3868B1" w14:textId="77777777" w:rsidR="00E5474C" w:rsidRPr="00E5474C" w:rsidRDefault="00E5474C" w:rsidP="00E5474C">
            <w:pPr>
              <w:keepNext/>
              <w:keepLines/>
              <w:spacing w:before="140" w:after="140" w:line="180" w:lineRule="atLeast"/>
              <w:jc w:val="left"/>
              <w:rPr>
                <w:rFonts w:cs="Arial"/>
                <w:noProof/>
                <w:color w:val="000000" w:themeColor="text1"/>
                <w:sz w:val="18"/>
                <w:szCs w:val="18"/>
              </w:rPr>
            </w:pPr>
            <w:bookmarkStart w:id="10" w:name="_Hlk183100815"/>
            <w:r w:rsidRPr="00E5474C">
              <w:rPr>
                <w:rFonts w:cs="Arial"/>
                <w:noProof/>
                <w:color w:val="000000" w:themeColor="text1"/>
                <w:sz w:val="18"/>
                <w:szCs w:val="18"/>
              </w:rPr>
              <w:t>Scenario</w:t>
            </w:r>
          </w:p>
        </w:tc>
        <w:tc>
          <w:tcPr>
            <w:tcW w:w="1704" w:type="pct"/>
            <w:gridSpan w:val="3"/>
            <w:shd w:val="clear" w:color="auto" w:fill="F2F2F2" w:themeFill="background1" w:themeFillShade="F2"/>
            <w:vAlign w:val="center"/>
          </w:tcPr>
          <w:p w14:paraId="3B1501A1" w14:textId="77777777" w:rsidR="00E5474C" w:rsidRPr="00E5474C" w:rsidRDefault="00E5474C" w:rsidP="00E5474C">
            <w:pPr>
              <w:keepNext/>
              <w:keepLines/>
              <w:spacing w:before="140" w:after="140" w:line="180" w:lineRule="atLeast"/>
              <w:jc w:val="left"/>
              <w:rPr>
                <w:rFonts w:cs="Arial"/>
                <w:noProof/>
                <w:color w:val="000000" w:themeColor="text1"/>
                <w:sz w:val="18"/>
                <w:szCs w:val="18"/>
              </w:rPr>
            </w:pPr>
            <w:r w:rsidRPr="00E5474C">
              <w:rPr>
                <w:rFonts w:cs="Arial"/>
                <w:noProof/>
                <w:color w:val="000000" w:themeColor="text1"/>
                <w:sz w:val="18"/>
                <w:szCs w:val="18"/>
              </w:rPr>
              <w:t>Offices 2018-2038</w:t>
            </w:r>
          </w:p>
        </w:tc>
        <w:tc>
          <w:tcPr>
            <w:tcW w:w="1477" w:type="pct"/>
            <w:gridSpan w:val="3"/>
            <w:shd w:val="clear" w:color="auto" w:fill="F2F2F2" w:themeFill="background1" w:themeFillShade="F2"/>
          </w:tcPr>
          <w:p w14:paraId="2FEC413A" w14:textId="77777777" w:rsidR="00E5474C" w:rsidRPr="00E5474C" w:rsidRDefault="00E5474C" w:rsidP="00E5474C">
            <w:pPr>
              <w:keepNext/>
              <w:keepLines/>
              <w:spacing w:before="140" w:after="140" w:line="180" w:lineRule="atLeast"/>
              <w:jc w:val="left"/>
              <w:rPr>
                <w:rFonts w:cs="Arial"/>
                <w:noProof/>
                <w:color w:val="000000" w:themeColor="text1"/>
                <w:sz w:val="18"/>
                <w:szCs w:val="18"/>
              </w:rPr>
            </w:pPr>
            <w:r w:rsidRPr="00E5474C">
              <w:rPr>
                <w:rFonts w:cs="Arial"/>
                <w:noProof/>
                <w:color w:val="000000" w:themeColor="text1"/>
                <w:sz w:val="18"/>
                <w:szCs w:val="18"/>
              </w:rPr>
              <w:t>Offices 2023-2040</w:t>
            </w:r>
          </w:p>
        </w:tc>
      </w:tr>
      <w:tr w:rsidR="00E5474C" w:rsidRPr="00E5474C" w14:paraId="09B23873" w14:textId="77777777" w:rsidTr="00DE758D">
        <w:tblPrEx>
          <w:tblCellMar>
            <w:left w:w="40" w:type="dxa"/>
            <w:right w:w="40" w:type="dxa"/>
          </w:tblCellMar>
        </w:tblPrEx>
        <w:trPr>
          <w:gridAfter w:val="1"/>
          <w:wAfter w:w="498" w:type="pct"/>
          <w:tblHeader/>
        </w:trPr>
        <w:tc>
          <w:tcPr>
            <w:tcW w:w="1320" w:type="pct"/>
            <w:vMerge/>
            <w:shd w:val="clear" w:color="auto" w:fill="F2F2F2" w:themeFill="background1" w:themeFillShade="F2"/>
            <w:vAlign w:val="center"/>
          </w:tcPr>
          <w:p w14:paraId="2B661C15" w14:textId="77777777" w:rsidR="00E5474C" w:rsidRPr="00E5474C" w:rsidRDefault="00E5474C" w:rsidP="00E5474C">
            <w:pPr>
              <w:keepNext/>
              <w:keepLines/>
              <w:spacing w:before="140" w:after="140" w:line="180" w:lineRule="atLeast"/>
              <w:jc w:val="left"/>
              <w:rPr>
                <w:rFonts w:cs="Arial"/>
                <w:noProof/>
                <w:color w:val="000000" w:themeColor="text1"/>
                <w:sz w:val="18"/>
                <w:szCs w:val="18"/>
              </w:rPr>
            </w:pPr>
          </w:p>
        </w:tc>
        <w:tc>
          <w:tcPr>
            <w:tcW w:w="596" w:type="pct"/>
            <w:shd w:val="clear" w:color="auto" w:fill="F2F2F2" w:themeFill="background1" w:themeFillShade="F2"/>
            <w:vAlign w:val="center"/>
          </w:tcPr>
          <w:p w14:paraId="0750246E" w14:textId="77777777" w:rsidR="00E5474C" w:rsidRPr="00E5474C" w:rsidRDefault="00E5474C" w:rsidP="00E5474C">
            <w:pPr>
              <w:keepNext/>
              <w:keepLines/>
              <w:spacing w:before="140" w:after="140" w:line="180" w:lineRule="atLeast"/>
              <w:jc w:val="left"/>
              <w:rPr>
                <w:rFonts w:cs="Arial"/>
                <w:noProof/>
                <w:color w:val="000000" w:themeColor="text1"/>
                <w:sz w:val="18"/>
                <w:szCs w:val="18"/>
              </w:rPr>
            </w:pPr>
            <w:r w:rsidRPr="00E5474C">
              <w:rPr>
                <w:rFonts w:cs="Arial"/>
                <w:noProof/>
                <w:color w:val="000000" w:themeColor="text1"/>
                <w:sz w:val="18"/>
                <w:szCs w:val="18"/>
              </w:rPr>
              <w:t>Base (12.5 sqm)</w:t>
            </w:r>
          </w:p>
        </w:tc>
        <w:tc>
          <w:tcPr>
            <w:tcW w:w="678" w:type="pct"/>
            <w:shd w:val="clear" w:color="auto" w:fill="F2F2F2" w:themeFill="background1" w:themeFillShade="F2"/>
            <w:vAlign w:val="center"/>
          </w:tcPr>
          <w:p w14:paraId="2892386D" w14:textId="77777777" w:rsidR="00E5474C" w:rsidRPr="00E5474C" w:rsidRDefault="00E5474C" w:rsidP="00E5474C">
            <w:pPr>
              <w:keepNext/>
              <w:keepLines/>
              <w:spacing w:before="140" w:after="140" w:line="180" w:lineRule="atLeast"/>
              <w:jc w:val="left"/>
              <w:rPr>
                <w:rFonts w:cs="Arial"/>
                <w:noProof/>
                <w:color w:val="000000" w:themeColor="text1"/>
                <w:sz w:val="18"/>
                <w:szCs w:val="18"/>
              </w:rPr>
            </w:pPr>
            <w:r w:rsidRPr="00E5474C">
              <w:rPr>
                <w:rFonts w:cs="Arial"/>
                <w:noProof/>
                <w:color w:val="000000" w:themeColor="text1"/>
                <w:sz w:val="18"/>
                <w:szCs w:val="18"/>
              </w:rPr>
              <w:t>10 sqm</w:t>
            </w:r>
          </w:p>
        </w:tc>
        <w:tc>
          <w:tcPr>
            <w:tcW w:w="430" w:type="pct"/>
            <w:shd w:val="clear" w:color="auto" w:fill="F2F2F2" w:themeFill="background1" w:themeFillShade="F2"/>
          </w:tcPr>
          <w:p w14:paraId="0C8B6460" w14:textId="77777777" w:rsidR="00E5474C" w:rsidRPr="00E5474C" w:rsidRDefault="00E5474C" w:rsidP="00E5474C">
            <w:pPr>
              <w:keepNext/>
              <w:keepLines/>
              <w:spacing w:before="140" w:after="140" w:line="180" w:lineRule="atLeast"/>
              <w:jc w:val="left"/>
              <w:rPr>
                <w:rFonts w:cs="Arial"/>
                <w:noProof/>
                <w:color w:val="000000" w:themeColor="text1"/>
                <w:sz w:val="18"/>
                <w:szCs w:val="18"/>
              </w:rPr>
            </w:pPr>
            <w:r w:rsidRPr="00E5474C">
              <w:rPr>
                <w:rFonts w:cs="Arial"/>
                <w:noProof/>
                <w:color w:val="000000" w:themeColor="text1"/>
                <w:sz w:val="18"/>
                <w:szCs w:val="18"/>
              </w:rPr>
              <w:t>Difference</w:t>
            </w:r>
          </w:p>
        </w:tc>
        <w:tc>
          <w:tcPr>
            <w:tcW w:w="615" w:type="pct"/>
            <w:shd w:val="clear" w:color="auto" w:fill="F2F2F2" w:themeFill="background1" w:themeFillShade="F2"/>
            <w:vAlign w:val="center"/>
          </w:tcPr>
          <w:p w14:paraId="5A9661E2" w14:textId="77777777" w:rsidR="00E5474C" w:rsidRPr="00E5474C" w:rsidRDefault="00E5474C" w:rsidP="00E5474C">
            <w:pPr>
              <w:keepNext/>
              <w:keepLines/>
              <w:spacing w:before="140" w:after="140" w:line="180" w:lineRule="atLeast"/>
              <w:jc w:val="left"/>
              <w:rPr>
                <w:rFonts w:cs="Arial"/>
                <w:noProof/>
                <w:color w:val="000000" w:themeColor="text1"/>
                <w:sz w:val="18"/>
                <w:szCs w:val="18"/>
              </w:rPr>
            </w:pPr>
            <w:r w:rsidRPr="00E5474C">
              <w:rPr>
                <w:rFonts w:cs="Arial"/>
                <w:noProof/>
                <w:color w:val="000000" w:themeColor="text1"/>
                <w:sz w:val="18"/>
                <w:szCs w:val="18"/>
              </w:rPr>
              <w:t>Base (12.5 sqm)</w:t>
            </w:r>
          </w:p>
        </w:tc>
        <w:tc>
          <w:tcPr>
            <w:tcW w:w="430" w:type="pct"/>
            <w:shd w:val="clear" w:color="auto" w:fill="F2F2F2" w:themeFill="background1" w:themeFillShade="F2"/>
            <w:vAlign w:val="center"/>
          </w:tcPr>
          <w:p w14:paraId="5635FEFB" w14:textId="77777777" w:rsidR="00E5474C" w:rsidRPr="00E5474C" w:rsidRDefault="00E5474C" w:rsidP="00E5474C">
            <w:pPr>
              <w:keepNext/>
              <w:keepLines/>
              <w:spacing w:before="140" w:after="140" w:line="180" w:lineRule="atLeast"/>
              <w:jc w:val="left"/>
              <w:rPr>
                <w:rFonts w:cs="Arial"/>
                <w:noProof/>
                <w:color w:val="000000" w:themeColor="text1"/>
                <w:sz w:val="18"/>
                <w:szCs w:val="18"/>
              </w:rPr>
            </w:pPr>
            <w:r w:rsidRPr="00E5474C">
              <w:rPr>
                <w:rFonts w:cs="Arial"/>
                <w:noProof/>
                <w:color w:val="000000" w:themeColor="text1"/>
                <w:sz w:val="18"/>
                <w:szCs w:val="18"/>
              </w:rPr>
              <w:t>10 sqm</w:t>
            </w:r>
          </w:p>
        </w:tc>
        <w:tc>
          <w:tcPr>
            <w:tcW w:w="432" w:type="pct"/>
            <w:shd w:val="clear" w:color="auto" w:fill="F2F2F2" w:themeFill="background1" w:themeFillShade="F2"/>
          </w:tcPr>
          <w:p w14:paraId="7083C1E4" w14:textId="77777777" w:rsidR="00E5474C" w:rsidRPr="00E5474C" w:rsidRDefault="00E5474C" w:rsidP="00E5474C">
            <w:pPr>
              <w:keepNext/>
              <w:keepLines/>
              <w:spacing w:before="140" w:after="140" w:line="180" w:lineRule="atLeast"/>
              <w:jc w:val="left"/>
              <w:rPr>
                <w:rFonts w:cs="Arial"/>
                <w:noProof/>
                <w:color w:val="000000" w:themeColor="text1"/>
                <w:sz w:val="18"/>
                <w:szCs w:val="18"/>
              </w:rPr>
            </w:pPr>
            <w:r w:rsidRPr="00E5474C">
              <w:rPr>
                <w:rFonts w:cs="Arial"/>
                <w:noProof/>
                <w:color w:val="000000" w:themeColor="text1"/>
                <w:sz w:val="18"/>
                <w:szCs w:val="18"/>
              </w:rPr>
              <w:t>Difference</w:t>
            </w:r>
          </w:p>
        </w:tc>
      </w:tr>
      <w:tr w:rsidR="00E5474C" w:rsidRPr="00E5474C" w14:paraId="7653882B" w14:textId="77777777" w:rsidTr="00DE758D">
        <w:tblPrEx>
          <w:tblCellMar>
            <w:left w:w="40" w:type="dxa"/>
            <w:right w:w="40" w:type="dxa"/>
          </w:tblCellMar>
        </w:tblPrEx>
        <w:trPr>
          <w:gridAfter w:val="1"/>
          <w:wAfter w:w="498" w:type="pct"/>
          <w:trHeight w:val="181"/>
        </w:trPr>
        <w:tc>
          <w:tcPr>
            <w:tcW w:w="1320" w:type="pct"/>
            <w:shd w:val="clear" w:color="auto" w:fill="auto"/>
            <w:vAlign w:val="center"/>
          </w:tcPr>
          <w:p w14:paraId="152C478E" w14:textId="77777777" w:rsidR="00E5474C" w:rsidRPr="00E5474C" w:rsidRDefault="00E5474C" w:rsidP="00E5474C">
            <w:pPr>
              <w:keepNext/>
              <w:keepLines/>
              <w:spacing w:before="140" w:after="140" w:line="180" w:lineRule="atLeast"/>
              <w:jc w:val="left"/>
              <w:rPr>
                <w:rFonts w:cs="Arial"/>
                <w:noProof/>
                <w:color w:val="000000" w:themeColor="text1"/>
                <w:sz w:val="18"/>
                <w:szCs w:val="18"/>
              </w:rPr>
            </w:pPr>
            <w:r w:rsidRPr="00E5474C">
              <w:rPr>
                <w:rFonts w:cs="Arial"/>
                <w:noProof/>
                <w:color w:val="000000" w:themeColor="text1"/>
                <w:sz w:val="18"/>
                <w:szCs w:val="18"/>
              </w:rPr>
              <w:t>1) Experian September 2020 Baseline</w:t>
            </w:r>
          </w:p>
        </w:tc>
        <w:tc>
          <w:tcPr>
            <w:tcW w:w="596" w:type="pct"/>
            <w:shd w:val="clear" w:color="auto" w:fill="auto"/>
            <w:vAlign w:val="center"/>
          </w:tcPr>
          <w:p w14:paraId="5EC1D9C4" w14:textId="77777777" w:rsidR="00E5474C" w:rsidRPr="00E5474C" w:rsidRDefault="00E5474C" w:rsidP="00E5474C">
            <w:pPr>
              <w:keepNext/>
              <w:keepLines/>
              <w:spacing w:before="140" w:after="140" w:line="180" w:lineRule="atLeast"/>
              <w:jc w:val="left"/>
              <w:rPr>
                <w:rFonts w:cs="Arial"/>
                <w:noProof/>
                <w:color w:val="000000" w:themeColor="text1"/>
                <w:sz w:val="18"/>
                <w:szCs w:val="18"/>
              </w:rPr>
            </w:pPr>
            <w:r w:rsidRPr="00E5474C">
              <w:rPr>
                <w:rFonts w:cs="Arial"/>
                <w:noProof/>
                <w:color w:val="000000" w:themeColor="text1"/>
                <w:sz w:val="18"/>
                <w:szCs w:val="18"/>
              </w:rPr>
              <w:t>23,898</w:t>
            </w:r>
          </w:p>
        </w:tc>
        <w:tc>
          <w:tcPr>
            <w:tcW w:w="678" w:type="pct"/>
            <w:shd w:val="clear" w:color="auto" w:fill="auto"/>
            <w:vAlign w:val="center"/>
          </w:tcPr>
          <w:p w14:paraId="4DCC2379" w14:textId="77777777" w:rsidR="00E5474C" w:rsidRPr="00E5474C" w:rsidRDefault="00E5474C" w:rsidP="00E5474C">
            <w:pPr>
              <w:keepNext/>
              <w:keepLines/>
              <w:spacing w:before="140" w:after="140" w:line="180" w:lineRule="atLeast"/>
              <w:jc w:val="left"/>
              <w:rPr>
                <w:rFonts w:cs="Arial"/>
                <w:noProof/>
                <w:color w:val="000000" w:themeColor="text1"/>
                <w:sz w:val="18"/>
                <w:szCs w:val="18"/>
              </w:rPr>
            </w:pPr>
            <w:r w:rsidRPr="00E5474C">
              <w:rPr>
                <w:rFonts w:cs="Arial"/>
                <w:noProof/>
                <w:color w:val="000000" w:themeColor="text1"/>
                <w:sz w:val="18"/>
                <w:szCs w:val="18"/>
              </w:rPr>
              <w:t>21,715</w:t>
            </w:r>
          </w:p>
        </w:tc>
        <w:tc>
          <w:tcPr>
            <w:tcW w:w="430" w:type="pct"/>
            <w:vAlign w:val="center"/>
          </w:tcPr>
          <w:p w14:paraId="2B79A8AF" w14:textId="77777777" w:rsidR="00E5474C" w:rsidRPr="00E5474C" w:rsidRDefault="00E5474C" w:rsidP="00E5474C">
            <w:pPr>
              <w:keepNext/>
              <w:keepLines/>
              <w:spacing w:before="140" w:after="140" w:line="180" w:lineRule="atLeast"/>
              <w:jc w:val="left"/>
              <w:rPr>
                <w:rFonts w:cs="Arial"/>
                <w:color w:val="C00000"/>
                <w:sz w:val="17"/>
                <w:szCs w:val="20"/>
              </w:rPr>
            </w:pPr>
            <w:r w:rsidRPr="00E5474C">
              <w:rPr>
                <w:rFonts w:cs="Arial"/>
                <w:color w:val="C00000"/>
                <w:sz w:val="17"/>
                <w:szCs w:val="17"/>
              </w:rPr>
              <w:t>-2,183</w:t>
            </w:r>
          </w:p>
        </w:tc>
        <w:tc>
          <w:tcPr>
            <w:tcW w:w="615" w:type="pct"/>
            <w:vAlign w:val="center"/>
          </w:tcPr>
          <w:p w14:paraId="7548FF3D" w14:textId="77777777" w:rsidR="00E5474C" w:rsidRPr="00E5474C" w:rsidRDefault="00E5474C" w:rsidP="00E5474C">
            <w:pPr>
              <w:keepNext/>
              <w:keepLines/>
              <w:spacing w:before="140" w:after="140" w:line="180" w:lineRule="atLeast"/>
              <w:jc w:val="left"/>
              <w:rPr>
                <w:rFonts w:cs="Arial"/>
                <w:noProof/>
                <w:color w:val="000000" w:themeColor="text1"/>
                <w:sz w:val="18"/>
                <w:szCs w:val="18"/>
              </w:rPr>
            </w:pPr>
            <w:r w:rsidRPr="00E5474C">
              <w:rPr>
                <w:rFonts w:cs="Arial"/>
                <w:noProof/>
                <w:color w:val="000000" w:themeColor="text1"/>
                <w:sz w:val="18"/>
                <w:szCs w:val="18"/>
              </w:rPr>
              <w:t>7,436</w:t>
            </w:r>
          </w:p>
        </w:tc>
        <w:tc>
          <w:tcPr>
            <w:tcW w:w="430" w:type="pct"/>
            <w:vAlign w:val="center"/>
          </w:tcPr>
          <w:p w14:paraId="0C74B3CF" w14:textId="77777777" w:rsidR="00E5474C" w:rsidRPr="00E5474C" w:rsidRDefault="00E5474C" w:rsidP="00E5474C">
            <w:pPr>
              <w:keepNext/>
              <w:keepLines/>
              <w:spacing w:before="140" w:after="140" w:line="180" w:lineRule="atLeast"/>
              <w:jc w:val="left"/>
              <w:rPr>
                <w:rFonts w:cs="Arial"/>
                <w:noProof/>
                <w:color w:val="000000" w:themeColor="text1"/>
                <w:sz w:val="18"/>
                <w:szCs w:val="18"/>
              </w:rPr>
            </w:pPr>
            <w:r w:rsidRPr="00E5474C">
              <w:rPr>
                <w:rFonts w:cs="Arial"/>
                <w:noProof/>
                <w:color w:val="000000" w:themeColor="text1"/>
                <w:sz w:val="18"/>
                <w:szCs w:val="18"/>
              </w:rPr>
              <w:t>6,110</w:t>
            </w:r>
          </w:p>
        </w:tc>
        <w:tc>
          <w:tcPr>
            <w:tcW w:w="432" w:type="pct"/>
            <w:shd w:val="clear" w:color="auto" w:fill="auto"/>
            <w:vAlign w:val="center"/>
          </w:tcPr>
          <w:p w14:paraId="7422CE5C" w14:textId="77777777" w:rsidR="00E5474C" w:rsidRPr="00E5474C" w:rsidRDefault="00E5474C" w:rsidP="00E5474C">
            <w:pPr>
              <w:keepNext/>
              <w:keepLines/>
              <w:spacing w:before="140" w:after="140" w:line="180" w:lineRule="atLeast"/>
              <w:jc w:val="left"/>
              <w:rPr>
                <w:rFonts w:cs="Arial"/>
                <w:noProof/>
                <w:color w:val="C00000"/>
                <w:sz w:val="18"/>
                <w:szCs w:val="18"/>
              </w:rPr>
            </w:pPr>
            <w:r w:rsidRPr="00E5474C">
              <w:rPr>
                <w:rFonts w:cs="Arial"/>
                <w:color w:val="C00000"/>
                <w:sz w:val="17"/>
                <w:szCs w:val="17"/>
              </w:rPr>
              <w:t>-1,326</w:t>
            </w:r>
          </w:p>
        </w:tc>
      </w:tr>
      <w:tr w:rsidR="00E5474C" w:rsidRPr="00E5474C" w14:paraId="443CF820" w14:textId="77777777" w:rsidTr="00DE758D">
        <w:tblPrEx>
          <w:tblCellMar>
            <w:left w:w="40" w:type="dxa"/>
            <w:right w:w="40" w:type="dxa"/>
          </w:tblCellMar>
        </w:tblPrEx>
        <w:trPr>
          <w:gridAfter w:val="1"/>
          <w:wAfter w:w="498" w:type="pct"/>
        </w:trPr>
        <w:tc>
          <w:tcPr>
            <w:tcW w:w="1320" w:type="pct"/>
            <w:shd w:val="clear" w:color="auto" w:fill="auto"/>
            <w:vAlign w:val="center"/>
          </w:tcPr>
          <w:p w14:paraId="7D9BD76C" w14:textId="77777777" w:rsidR="00E5474C" w:rsidRPr="00E5474C" w:rsidRDefault="00E5474C" w:rsidP="00E5474C">
            <w:pPr>
              <w:keepNext/>
              <w:keepLines/>
              <w:spacing w:before="140" w:after="140" w:line="180" w:lineRule="atLeast"/>
              <w:jc w:val="left"/>
              <w:rPr>
                <w:rFonts w:cs="Arial"/>
                <w:noProof/>
                <w:color w:val="000000" w:themeColor="text1"/>
                <w:sz w:val="18"/>
                <w:szCs w:val="18"/>
              </w:rPr>
            </w:pPr>
            <w:r w:rsidRPr="00E5474C">
              <w:rPr>
                <w:rFonts w:cs="Arial"/>
                <w:noProof/>
                <w:color w:val="000000" w:themeColor="text1"/>
                <w:sz w:val="18"/>
                <w:szCs w:val="18"/>
              </w:rPr>
              <w:t>2) Experian March 2020 Baseline</w:t>
            </w:r>
          </w:p>
        </w:tc>
        <w:tc>
          <w:tcPr>
            <w:tcW w:w="596" w:type="pct"/>
            <w:shd w:val="clear" w:color="auto" w:fill="auto"/>
            <w:vAlign w:val="center"/>
          </w:tcPr>
          <w:p w14:paraId="5EA44989" w14:textId="77777777" w:rsidR="00E5474C" w:rsidRPr="00E5474C" w:rsidRDefault="00E5474C" w:rsidP="00E5474C">
            <w:pPr>
              <w:keepNext/>
              <w:keepLines/>
              <w:spacing w:before="140" w:after="140" w:line="180" w:lineRule="atLeast"/>
              <w:jc w:val="left"/>
              <w:rPr>
                <w:rFonts w:cs="Arial"/>
                <w:noProof/>
                <w:color w:val="000000" w:themeColor="text1"/>
                <w:sz w:val="18"/>
                <w:szCs w:val="18"/>
              </w:rPr>
            </w:pPr>
            <w:r w:rsidRPr="00E5474C">
              <w:rPr>
                <w:rFonts w:cs="Arial"/>
                <w:noProof/>
                <w:color w:val="000000" w:themeColor="text1"/>
                <w:sz w:val="18"/>
                <w:szCs w:val="18"/>
              </w:rPr>
              <w:t>23,725</w:t>
            </w:r>
          </w:p>
        </w:tc>
        <w:tc>
          <w:tcPr>
            <w:tcW w:w="678" w:type="pct"/>
            <w:shd w:val="clear" w:color="auto" w:fill="auto"/>
            <w:vAlign w:val="center"/>
          </w:tcPr>
          <w:p w14:paraId="5FA5FDFC" w14:textId="77777777" w:rsidR="00E5474C" w:rsidRPr="00E5474C" w:rsidRDefault="00E5474C" w:rsidP="00E5474C">
            <w:pPr>
              <w:keepNext/>
              <w:keepLines/>
              <w:spacing w:before="140" w:after="140" w:line="180" w:lineRule="atLeast"/>
              <w:jc w:val="left"/>
              <w:rPr>
                <w:rFonts w:cs="Arial"/>
                <w:noProof/>
                <w:color w:val="000000" w:themeColor="text1"/>
                <w:sz w:val="18"/>
                <w:szCs w:val="18"/>
              </w:rPr>
            </w:pPr>
            <w:r w:rsidRPr="00E5474C">
              <w:rPr>
                <w:rFonts w:cs="Arial"/>
                <w:noProof/>
                <w:color w:val="000000" w:themeColor="text1"/>
                <w:sz w:val="18"/>
                <w:szCs w:val="18"/>
              </w:rPr>
              <w:t>21,577</w:t>
            </w:r>
          </w:p>
        </w:tc>
        <w:tc>
          <w:tcPr>
            <w:tcW w:w="430" w:type="pct"/>
            <w:vAlign w:val="center"/>
          </w:tcPr>
          <w:p w14:paraId="7E0D97FE" w14:textId="77777777" w:rsidR="00E5474C" w:rsidRPr="00E5474C" w:rsidRDefault="00E5474C" w:rsidP="00E5474C">
            <w:pPr>
              <w:keepNext/>
              <w:keepLines/>
              <w:spacing w:before="140" w:after="140" w:line="180" w:lineRule="atLeast"/>
              <w:jc w:val="left"/>
              <w:rPr>
                <w:rFonts w:cs="Arial"/>
                <w:color w:val="C00000"/>
                <w:sz w:val="17"/>
                <w:szCs w:val="20"/>
              </w:rPr>
            </w:pPr>
            <w:r w:rsidRPr="00E5474C">
              <w:rPr>
                <w:rFonts w:cs="Arial"/>
                <w:color w:val="C00000"/>
                <w:sz w:val="17"/>
                <w:szCs w:val="17"/>
              </w:rPr>
              <w:t>-2,148</w:t>
            </w:r>
          </w:p>
        </w:tc>
        <w:tc>
          <w:tcPr>
            <w:tcW w:w="615" w:type="pct"/>
            <w:vAlign w:val="center"/>
          </w:tcPr>
          <w:p w14:paraId="6A8CD73E" w14:textId="77777777" w:rsidR="00E5474C" w:rsidRPr="00E5474C" w:rsidRDefault="00E5474C" w:rsidP="00E5474C">
            <w:pPr>
              <w:keepNext/>
              <w:keepLines/>
              <w:spacing w:before="140" w:after="140" w:line="180" w:lineRule="atLeast"/>
              <w:jc w:val="left"/>
              <w:rPr>
                <w:rFonts w:cs="Arial"/>
                <w:noProof/>
                <w:color w:val="000000" w:themeColor="text1"/>
                <w:sz w:val="18"/>
                <w:szCs w:val="18"/>
              </w:rPr>
            </w:pPr>
            <w:r w:rsidRPr="00E5474C">
              <w:rPr>
                <w:rFonts w:cs="Arial"/>
                <w:noProof/>
                <w:color w:val="000000" w:themeColor="text1"/>
                <w:sz w:val="18"/>
                <w:szCs w:val="18"/>
              </w:rPr>
              <w:t>4,995</w:t>
            </w:r>
          </w:p>
        </w:tc>
        <w:tc>
          <w:tcPr>
            <w:tcW w:w="430" w:type="pct"/>
            <w:vAlign w:val="center"/>
          </w:tcPr>
          <w:p w14:paraId="382A5BFC" w14:textId="77777777" w:rsidR="00E5474C" w:rsidRPr="00E5474C" w:rsidRDefault="00E5474C" w:rsidP="00E5474C">
            <w:pPr>
              <w:keepNext/>
              <w:keepLines/>
              <w:spacing w:before="140" w:after="140" w:line="180" w:lineRule="atLeast"/>
              <w:jc w:val="left"/>
              <w:rPr>
                <w:rFonts w:cs="Arial"/>
                <w:noProof/>
                <w:color w:val="000000" w:themeColor="text1"/>
                <w:sz w:val="18"/>
                <w:szCs w:val="18"/>
              </w:rPr>
            </w:pPr>
            <w:r w:rsidRPr="00E5474C">
              <w:rPr>
                <w:rFonts w:cs="Arial"/>
                <w:noProof/>
                <w:color w:val="000000" w:themeColor="text1"/>
                <w:sz w:val="18"/>
                <w:szCs w:val="18"/>
              </w:rPr>
              <w:t>4,158</w:t>
            </w:r>
          </w:p>
        </w:tc>
        <w:tc>
          <w:tcPr>
            <w:tcW w:w="432" w:type="pct"/>
            <w:shd w:val="clear" w:color="auto" w:fill="auto"/>
            <w:vAlign w:val="center"/>
          </w:tcPr>
          <w:p w14:paraId="4C17B30E" w14:textId="77777777" w:rsidR="00E5474C" w:rsidRPr="00E5474C" w:rsidRDefault="00E5474C" w:rsidP="00E5474C">
            <w:pPr>
              <w:keepNext/>
              <w:keepLines/>
              <w:spacing w:before="140" w:after="140" w:line="180" w:lineRule="atLeast"/>
              <w:jc w:val="left"/>
              <w:rPr>
                <w:rFonts w:cs="Arial"/>
                <w:noProof/>
                <w:color w:val="C00000"/>
                <w:sz w:val="18"/>
                <w:szCs w:val="18"/>
              </w:rPr>
            </w:pPr>
            <w:r w:rsidRPr="00E5474C">
              <w:rPr>
                <w:rFonts w:cs="Arial"/>
                <w:color w:val="C00000"/>
                <w:sz w:val="17"/>
                <w:szCs w:val="17"/>
              </w:rPr>
              <w:t>-837</w:t>
            </w:r>
          </w:p>
        </w:tc>
      </w:tr>
      <w:tr w:rsidR="00E5474C" w:rsidRPr="00E5474C" w14:paraId="6159B93C" w14:textId="77777777" w:rsidTr="00DE758D">
        <w:tblPrEx>
          <w:tblCellMar>
            <w:left w:w="40" w:type="dxa"/>
            <w:right w:w="40" w:type="dxa"/>
          </w:tblCellMar>
        </w:tblPrEx>
        <w:trPr>
          <w:gridAfter w:val="1"/>
          <w:wAfter w:w="498" w:type="pct"/>
        </w:trPr>
        <w:tc>
          <w:tcPr>
            <w:tcW w:w="1320" w:type="pct"/>
            <w:shd w:val="clear" w:color="auto" w:fill="auto"/>
            <w:vAlign w:val="center"/>
          </w:tcPr>
          <w:p w14:paraId="7207CDDF" w14:textId="77777777" w:rsidR="00E5474C" w:rsidRPr="00E5474C" w:rsidRDefault="00E5474C" w:rsidP="00E5474C">
            <w:pPr>
              <w:keepNext/>
              <w:keepLines/>
              <w:spacing w:before="140" w:after="140" w:line="180" w:lineRule="atLeast"/>
              <w:jc w:val="left"/>
              <w:rPr>
                <w:rFonts w:cs="Arial"/>
                <w:noProof/>
                <w:color w:val="000000" w:themeColor="text1"/>
                <w:sz w:val="18"/>
                <w:szCs w:val="18"/>
              </w:rPr>
            </w:pPr>
            <w:r w:rsidRPr="00E5474C">
              <w:rPr>
                <w:rFonts w:cs="Arial"/>
                <w:noProof/>
                <w:color w:val="000000" w:themeColor="text1"/>
                <w:sz w:val="18"/>
                <w:szCs w:val="18"/>
              </w:rPr>
              <w:t>3) Regeneration Scenario</w:t>
            </w:r>
          </w:p>
        </w:tc>
        <w:tc>
          <w:tcPr>
            <w:tcW w:w="596" w:type="pct"/>
            <w:shd w:val="clear" w:color="auto" w:fill="auto"/>
            <w:vAlign w:val="center"/>
          </w:tcPr>
          <w:p w14:paraId="3071D395" w14:textId="77777777" w:rsidR="00E5474C" w:rsidRPr="00E5474C" w:rsidRDefault="00E5474C" w:rsidP="00E5474C">
            <w:pPr>
              <w:keepNext/>
              <w:keepLines/>
              <w:spacing w:before="140" w:after="140" w:line="180" w:lineRule="atLeast"/>
              <w:jc w:val="left"/>
              <w:rPr>
                <w:rFonts w:cs="Arial"/>
                <w:noProof/>
                <w:color w:val="000000" w:themeColor="text1"/>
                <w:sz w:val="18"/>
                <w:szCs w:val="18"/>
              </w:rPr>
            </w:pPr>
            <w:r w:rsidRPr="00E5474C">
              <w:rPr>
                <w:rFonts w:cs="Arial"/>
                <w:noProof/>
                <w:color w:val="000000" w:themeColor="text1"/>
                <w:sz w:val="18"/>
                <w:szCs w:val="18"/>
              </w:rPr>
              <w:t>33,956</w:t>
            </w:r>
          </w:p>
        </w:tc>
        <w:tc>
          <w:tcPr>
            <w:tcW w:w="678" w:type="pct"/>
            <w:shd w:val="clear" w:color="auto" w:fill="auto"/>
            <w:vAlign w:val="center"/>
          </w:tcPr>
          <w:p w14:paraId="19CEC071" w14:textId="77777777" w:rsidR="00E5474C" w:rsidRPr="00E5474C" w:rsidRDefault="00E5474C" w:rsidP="00E5474C">
            <w:pPr>
              <w:keepNext/>
              <w:keepLines/>
              <w:spacing w:before="140" w:after="140" w:line="180" w:lineRule="atLeast"/>
              <w:jc w:val="left"/>
              <w:rPr>
                <w:rFonts w:cs="Arial"/>
                <w:noProof/>
                <w:color w:val="000000" w:themeColor="text1"/>
                <w:sz w:val="18"/>
                <w:szCs w:val="18"/>
              </w:rPr>
            </w:pPr>
            <w:r w:rsidRPr="00E5474C">
              <w:rPr>
                <w:rFonts w:cs="Arial"/>
                <w:noProof/>
                <w:color w:val="000000" w:themeColor="text1"/>
                <w:sz w:val="18"/>
                <w:szCs w:val="18"/>
              </w:rPr>
              <w:t>29,762</w:t>
            </w:r>
          </w:p>
        </w:tc>
        <w:tc>
          <w:tcPr>
            <w:tcW w:w="430" w:type="pct"/>
            <w:vAlign w:val="center"/>
          </w:tcPr>
          <w:p w14:paraId="2BB96334" w14:textId="77777777" w:rsidR="00E5474C" w:rsidRPr="00E5474C" w:rsidRDefault="00E5474C" w:rsidP="00E5474C">
            <w:pPr>
              <w:keepNext/>
              <w:keepLines/>
              <w:spacing w:before="140" w:after="140" w:line="180" w:lineRule="atLeast"/>
              <w:jc w:val="left"/>
              <w:rPr>
                <w:rFonts w:cs="Arial"/>
                <w:color w:val="C00000"/>
                <w:sz w:val="17"/>
                <w:szCs w:val="20"/>
              </w:rPr>
            </w:pPr>
            <w:r w:rsidRPr="00E5474C">
              <w:rPr>
                <w:rFonts w:cs="Arial"/>
                <w:color w:val="C00000"/>
                <w:sz w:val="17"/>
                <w:szCs w:val="17"/>
              </w:rPr>
              <w:t>-4,194</w:t>
            </w:r>
          </w:p>
        </w:tc>
        <w:tc>
          <w:tcPr>
            <w:tcW w:w="615" w:type="pct"/>
            <w:vAlign w:val="center"/>
          </w:tcPr>
          <w:p w14:paraId="021F858E" w14:textId="77777777" w:rsidR="00E5474C" w:rsidRPr="00E5474C" w:rsidRDefault="00E5474C" w:rsidP="00E5474C">
            <w:pPr>
              <w:keepNext/>
              <w:keepLines/>
              <w:spacing w:before="140" w:after="140" w:line="180" w:lineRule="atLeast"/>
              <w:jc w:val="left"/>
              <w:rPr>
                <w:rFonts w:cs="Arial"/>
                <w:noProof/>
                <w:color w:val="000000" w:themeColor="text1"/>
                <w:sz w:val="18"/>
                <w:szCs w:val="18"/>
              </w:rPr>
            </w:pPr>
            <w:r w:rsidRPr="00E5474C">
              <w:rPr>
                <w:rFonts w:cs="Arial"/>
                <w:noProof/>
                <w:color w:val="000000" w:themeColor="text1"/>
                <w:sz w:val="18"/>
                <w:szCs w:val="18"/>
              </w:rPr>
              <w:t>16,588</w:t>
            </w:r>
          </w:p>
        </w:tc>
        <w:tc>
          <w:tcPr>
            <w:tcW w:w="430" w:type="pct"/>
            <w:vAlign w:val="center"/>
          </w:tcPr>
          <w:p w14:paraId="0E534CE4" w14:textId="77777777" w:rsidR="00E5474C" w:rsidRPr="00E5474C" w:rsidRDefault="00E5474C" w:rsidP="00E5474C">
            <w:pPr>
              <w:keepNext/>
              <w:keepLines/>
              <w:spacing w:before="140" w:after="140" w:line="180" w:lineRule="atLeast"/>
              <w:jc w:val="left"/>
              <w:rPr>
                <w:rFonts w:cs="Arial"/>
                <w:noProof/>
                <w:color w:val="000000" w:themeColor="text1"/>
                <w:sz w:val="18"/>
                <w:szCs w:val="18"/>
              </w:rPr>
            </w:pPr>
            <w:r w:rsidRPr="00E5474C">
              <w:rPr>
                <w:rFonts w:cs="Arial"/>
                <w:noProof/>
                <w:color w:val="000000" w:themeColor="text1"/>
                <w:sz w:val="18"/>
                <w:szCs w:val="18"/>
              </w:rPr>
              <w:t>13,433</w:t>
            </w:r>
          </w:p>
        </w:tc>
        <w:tc>
          <w:tcPr>
            <w:tcW w:w="432" w:type="pct"/>
            <w:shd w:val="clear" w:color="auto" w:fill="auto"/>
            <w:vAlign w:val="center"/>
          </w:tcPr>
          <w:p w14:paraId="2CB97211" w14:textId="77777777" w:rsidR="00E5474C" w:rsidRPr="00E5474C" w:rsidRDefault="00E5474C" w:rsidP="00E5474C">
            <w:pPr>
              <w:keepNext/>
              <w:keepLines/>
              <w:spacing w:before="140" w:after="140" w:line="180" w:lineRule="atLeast"/>
              <w:jc w:val="left"/>
              <w:rPr>
                <w:rFonts w:cs="Arial"/>
                <w:noProof/>
                <w:color w:val="C00000"/>
                <w:sz w:val="18"/>
                <w:szCs w:val="18"/>
              </w:rPr>
            </w:pPr>
            <w:r w:rsidRPr="00E5474C">
              <w:rPr>
                <w:rFonts w:cs="Arial"/>
                <w:color w:val="C00000"/>
                <w:sz w:val="17"/>
                <w:szCs w:val="17"/>
              </w:rPr>
              <w:t>-3,155</w:t>
            </w:r>
          </w:p>
        </w:tc>
      </w:tr>
      <w:tr w:rsidR="00E5474C" w:rsidRPr="00E5474C" w14:paraId="4E1D1466" w14:textId="77777777" w:rsidTr="00DE758D">
        <w:tblPrEx>
          <w:tblCellMar>
            <w:left w:w="40" w:type="dxa"/>
            <w:right w:w="40" w:type="dxa"/>
          </w:tblCellMar>
        </w:tblPrEx>
        <w:trPr>
          <w:gridAfter w:val="1"/>
          <w:wAfter w:w="498" w:type="pct"/>
        </w:trPr>
        <w:tc>
          <w:tcPr>
            <w:tcW w:w="1320" w:type="pct"/>
            <w:shd w:val="clear" w:color="auto" w:fill="auto"/>
            <w:vAlign w:val="center"/>
          </w:tcPr>
          <w:p w14:paraId="4A242271" w14:textId="77777777" w:rsidR="00E5474C" w:rsidRPr="00E5474C" w:rsidRDefault="00E5474C" w:rsidP="00E5474C">
            <w:pPr>
              <w:keepNext/>
              <w:keepLines/>
              <w:spacing w:before="140" w:after="140" w:line="180" w:lineRule="atLeast"/>
              <w:jc w:val="left"/>
              <w:rPr>
                <w:rFonts w:cs="Arial"/>
                <w:noProof/>
                <w:color w:val="000000" w:themeColor="text1"/>
                <w:sz w:val="18"/>
                <w:szCs w:val="18"/>
              </w:rPr>
            </w:pPr>
            <w:r w:rsidRPr="00E5474C">
              <w:rPr>
                <w:rFonts w:cs="Arial"/>
                <w:noProof/>
                <w:color w:val="000000" w:themeColor="text1"/>
                <w:sz w:val="18"/>
                <w:szCs w:val="18"/>
              </w:rPr>
              <w:t>4) 2014-based SNPP</w:t>
            </w:r>
          </w:p>
        </w:tc>
        <w:tc>
          <w:tcPr>
            <w:tcW w:w="596" w:type="pct"/>
            <w:shd w:val="clear" w:color="auto" w:fill="auto"/>
            <w:vAlign w:val="center"/>
          </w:tcPr>
          <w:p w14:paraId="674A1540" w14:textId="77777777" w:rsidR="00E5474C" w:rsidRPr="00E5474C" w:rsidRDefault="00E5474C" w:rsidP="00E5474C">
            <w:pPr>
              <w:keepNext/>
              <w:keepLines/>
              <w:spacing w:before="140" w:after="140" w:line="180" w:lineRule="atLeast"/>
              <w:jc w:val="left"/>
              <w:rPr>
                <w:rFonts w:cs="Arial"/>
                <w:noProof/>
                <w:color w:val="000000" w:themeColor="text1"/>
                <w:sz w:val="18"/>
                <w:szCs w:val="18"/>
              </w:rPr>
            </w:pPr>
            <w:r w:rsidRPr="00E5474C">
              <w:rPr>
                <w:rFonts w:cs="Arial"/>
                <w:noProof/>
                <w:color w:val="000000" w:themeColor="text1"/>
                <w:sz w:val="18"/>
                <w:szCs w:val="18"/>
              </w:rPr>
              <w:t>26,765</w:t>
            </w:r>
          </w:p>
        </w:tc>
        <w:tc>
          <w:tcPr>
            <w:tcW w:w="678" w:type="pct"/>
            <w:shd w:val="clear" w:color="auto" w:fill="auto"/>
            <w:vAlign w:val="center"/>
          </w:tcPr>
          <w:p w14:paraId="201E2E0A" w14:textId="77777777" w:rsidR="00E5474C" w:rsidRPr="00E5474C" w:rsidRDefault="00E5474C" w:rsidP="00E5474C">
            <w:pPr>
              <w:keepNext/>
              <w:keepLines/>
              <w:spacing w:before="140" w:after="140" w:line="180" w:lineRule="atLeast"/>
              <w:jc w:val="left"/>
              <w:rPr>
                <w:rFonts w:cs="Arial"/>
                <w:noProof/>
                <w:color w:val="000000" w:themeColor="text1"/>
                <w:sz w:val="18"/>
                <w:szCs w:val="18"/>
              </w:rPr>
            </w:pPr>
            <w:r w:rsidRPr="00E5474C">
              <w:rPr>
                <w:rFonts w:cs="Arial"/>
                <w:noProof/>
                <w:color w:val="000000" w:themeColor="text1"/>
                <w:sz w:val="18"/>
                <w:szCs w:val="18"/>
              </w:rPr>
              <w:t>24,009</w:t>
            </w:r>
          </w:p>
        </w:tc>
        <w:tc>
          <w:tcPr>
            <w:tcW w:w="430" w:type="pct"/>
            <w:vAlign w:val="center"/>
          </w:tcPr>
          <w:p w14:paraId="40D8FDCA" w14:textId="77777777" w:rsidR="00E5474C" w:rsidRPr="00E5474C" w:rsidRDefault="00E5474C" w:rsidP="00E5474C">
            <w:pPr>
              <w:keepNext/>
              <w:keepLines/>
              <w:spacing w:before="140" w:after="140" w:line="180" w:lineRule="atLeast"/>
              <w:jc w:val="left"/>
              <w:rPr>
                <w:rFonts w:cs="Arial"/>
                <w:color w:val="C00000"/>
                <w:sz w:val="17"/>
                <w:szCs w:val="20"/>
              </w:rPr>
            </w:pPr>
            <w:r w:rsidRPr="00E5474C">
              <w:rPr>
                <w:rFonts w:cs="Arial"/>
                <w:color w:val="C00000"/>
                <w:sz w:val="17"/>
                <w:szCs w:val="17"/>
              </w:rPr>
              <w:t>-2,756</w:t>
            </w:r>
          </w:p>
        </w:tc>
        <w:tc>
          <w:tcPr>
            <w:tcW w:w="615" w:type="pct"/>
            <w:vAlign w:val="center"/>
          </w:tcPr>
          <w:p w14:paraId="5F8D0526" w14:textId="77777777" w:rsidR="00E5474C" w:rsidRPr="00E5474C" w:rsidRDefault="00E5474C" w:rsidP="00E5474C">
            <w:pPr>
              <w:keepNext/>
              <w:keepLines/>
              <w:spacing w:before="140" w:after="140" w:line="180" w:lineRule="atLeast"/>
              <w:jc w:val="left"/>
              <w:rPr>
                <w:rFonts w:cs="Arial"/>
                <w:noProof/>
                <w:color w:val="000000" w:themeColor="text1"/>
                <w:sz w:val="18"/>
                <w:szCs w:val="18"/>
              </w:rPr>
            </w:pPr>
            <w:r w:rsidRPr="00E5474C">
              <w:rPr>
                <w:rFonts w:cs="Arial"/>
                <w:noProof/>
                <w:color w:val="000000" w:themeColor="text1"/>
                <w:sz w:val="18"/>
                <w:szCs w:val="18"/>
              </w:rPr>
              <w:t>5,077</w:t>
            </w:r>
          </w:p>
        </w:tc>
        <w:tc>
          <w:tcPr>
            <w:tcW w:w="430" w:type="pct"/>
            <w:vAlign w:val="center"/>
          </w:tcPr>
          <w:p w14:paraId="400B69AE" w14:textId="77777777" w:rsidR="00E5474C" w:rsidRPr="00E5474C" w:rsidRDefault="00E5474C" w:rsidP="00E5474C">
            <w:pPr>
              <w:keepNext/>
              <w:keepLines/>
              <w:spacing w:before="140" w:after="140" w:line="180" w:lineRule="atLeast"/>
              <w:jc w:val="left"/>
              <w:rPr>
                <w:rFonts w:cs="Arial"/>
                <w:noProof/>
                <w:color w:val="000000" w:themeColor="text1"/>
                <w:sz w:val="18"/>
                <w:szCs w:val="18"/>
              </w:rPr>
            </w:pPr>
            <w:r w:rsidRPr="00E5474C">
              <w:rPr>
                <w:rFonts w:cs="Arial"/>
                <w:noProof/>
                <w:color w:val="000000" w:themeColor="text1"/>
                <w:sz w:val="18"/>
                <w:szCs w:val="18"/>
              </w:rPr>
              <w:t>4,223</w:t>
            </w:r>
          </w:p>
        </w:tc>
        <w:tc>
          <w:tcPr>
            <w:tcW w:w="432" w:type="pct"/>
            <w:shd w:val="clear" w:color="auto" w:fill="auto"/>
            <w:vAlign w:val="center"/>
          </w:tcPr>
          <w:p w14:paraId="10E2211D" w14:textId="77777777" w:rsidR="00E5474C" w:rsidRPr="00E5474C" w:rsidRDefault="00E5474C" w:rsidP="00E5474C">
            <w:pPr>
              <w:keepNext/>
              <w:keepLines/>
              <w:spacing w:before="140" w:after="140" w:line="180" w:lineRule="atLeast"/>
              <w:jc w:val="left"/>
              <w:rPr>
                <w:rFonts w:cs="Arial"/>
                <w:noProof/>
                <w:color w:val="C00000"/>
                <w:sz w:val="18"/>
                <w:szCs w:val="18"/>
              </w:rPr>
            </w:pPr>
            <w:r w:rsidRPr="00E5474C">
              <w:rPr>
                <w:rFonts w:cs="Arial"/>
                <w:color w:val="C00000"/>
                <w:sz w:val="17"/>
                <w:szCs w:val="17"/>
              </w:rPr>
              <w:t>-854</w:t>
            </w:r>
          </w:p>
        </w:tc>
      </w:tr>
      <w:tr w:rsidR="00E5474C" w:rsidRPr="00E5474C" w14:paraId="60A83C5C" w14:textId="77777777" w:rsidTr="00DE758D">
        <w:tblPrEx>
          <w:tblCellMar>
            <w:left w:w="40" w:type="dxa"/>
            <w:right w:w="40" w:type="dxa"/>
          </w:tblCellMar>
        </w:tblPrEx>
        <w:trPr>
          <w:gridAfter w:val="1"/>
          <w:wAfter w:w="498" w:type="pct"/>
        </w:trPr>
        <w:tc>
          <w:tcPr>
            <w:tcW w:w="1320" w:type="pct"/>
            <w:shd w:val="clear" w:color="auto" w:fill="auto"/>
            <w:vAlign w:val="center"/>
          </w:tcPr>
          <w:p w14:paraId="4CA4761B" w14:textId="77777777" w:rsidR="00E5474C" w:rsidRPr="00E5474C" w:rsidRDefault="00E5474C" w:rsidP="00E5474C">
            <w:pPr>
              <w:keepNext/>
              <w:keepLines/>
              <w:spacing w:before="140" w:after="140" w:line="180" w:lineRule="atLeast"/>
              <w:jc w:val="left"/>
              <w:rPr>
                <w:rFonts w:cs="Arial"/>
                <w:noProof/>
                <w:color w:val="000000" w:themeColor="text1"/>
                <w:sz w:val="18"/>
                <w:szCs w:val="18"/>
              </w:rPr>
            </w:pPr>
            <w:r w:rsidRPr="00E5474C">
              <w:rPr>
                <w:rFonts w:cs="Arial"/>
                <w:noProof/>
                <w:color w:val="000000" w:themeColor="text1"/>
                <w:sz w:val="18"/>
                <w:szCs w:val="18"/>
              </w:rPr>
              <w:t>5) Current SM (481 dpa)</w:t>
            </w:r>
          </w:p>
        </w:tc>
        <w:tc>
          <w:tcPr>
            <w:tcW w:w="596" w:type="pct"/>
            <w:shd w:val="clear" w:color="auto" w:fill="auto"/>
            <w:vAlign w:val="center"/>
          </w:tcPr>
          <w:p w14:paraId="5C53B69C" w14:textId="77777777" w:rsidR="00E5474C" w:rsidRPr="00E5474C" w:rsidRDefault="00E5474C" w:rsidP="00E5474C">
            <w:pPr>
              <w:keepNext/>
              <w:keepLines/>
              <w:spacing w:before="140" w:after="140" w:line="180" w:lineRule="atLeast"/>
              <w:jc w:val="left"/>
              <w:rPr>
                <w:rFonts w:cs="Arial"/>
                <w:noProof/>
                <w:color w:val="000000" w:themeColor="text1"/>
                <w:sz w:val="18"/>
                <w:szCs w:val="18"/>
              </w:rPr>
            </w:pPr>
            <w:r w:rsidRPr="00E5474C">
              <w:rPr>
                <w:rFonts w:cs="Arial"/>
                <w:noProof/>
                <w:color w:val="000000" w:themeColor="text1"/>
                <w:sz w:val="18"/>
                <w:szCs w:val="18"/>
              </w:rPr>
              <w:t>28,440</w:t>
            </w:r>
          </w:p>
        </w:tc>
        <w:tc>
          <w:tcPr>
            <w:tcW w:w="678" w:type="pct"/>
            <w:shd w:val="clear" w:color="auto" w:fill="auto"/>
            <w:vAlign w:val="center"/>
          </w:tcPr>
          <w:p w14:paraId="12915F7B" w14:textId="77777777" w:rsidR="00E5474C" w:rsidRPr="00E5474C" w:rsidRDefault="00E5474C" w:rsidP="00E5474C">
            <w:pPr>
              <w:keepNext/>
              <w:keepLines/>
              <w:spacing w:before="140" w:after="140" w:line="180" w:lineRule="atLeast"/>
              <w:jc w:val="left"/>
              <w:rPr>
                <w:rFonts w:cs="Arial"/>
                <w:noProof/>
                <w:color w:val="000000" w:themeColor="text1"/>
                <w:sz w:val="18"/>
                <w:szCs w:val="18"/>
              </w:rPr>
            </w:pPr>
            <w:r w:rsidRPr="00E5474C">
              <w:rPr>
                <w:rFonts w:cs="Arial"/>
                <w:noProof/>
                <w:color w:val="000000" w:themeColor="text1"/>
                <w:sz w:val="18"/>
                <w:szCs w:val="18"/>
              </w:rPr>
              <w:t>25,349</w:t>
            </w:r>
          </w:p>
        </w:tc>
        <w:tc>
          <w:tcPr>
            <w:tcW w:w="430" w:type="pct"/>
            <w:vAlign w:val="center"/>
          </w:tcPr>
          <w:p w14:paraId="6E08BF3B" w14:textId="77777777" w:rsidR="00E5474C" w:rsidRPr="00E5474C" w:rsidRDefault="00E5474C" w:rsidP="00E5474C">
            <w:pPr>
              <w:keepNext/>
              <w:keepLines/>
              <w:spacing w:before="140" w:after="140" w:line="180" w:lineRule="atLeast"/>
              <w:jc w:val="left"/>
              <w:rPr>
                <w:rFonts w:cs="Arial"/>
                <w:color w:val="C00000"/>
                <w:sz w:val="17"/>
                <w:szCs w:val="20"/>
              </w:rPr>
            </w:pPr>
            <w:r w:rsidRPr="00E5474C">
              <w:rPr>
                <w:rFonts w:cs="Arial"/>
                <w:color w:val="C00000"/>
                <w:sz w:val="17"/>
                <w:szCs w:val="17"/>
              </w:rPr>
              <w:t>-3,091</w:t>
            </w:r>
          </w:p>
        </w:tc>
        <w:tc>
          <w:tcPr>
            <w:tcW w:w="615" w:type="pct"/>
            <w:vAlign w:val="center"/>
          </w:tcPr>
          <w:p w14:paraId="609D3A8F" w14:textId="77777777" w:rsidR="00E5474C" w:rsidRPr="00E5474C" w:rsidRDefault="00E5474C" w:rsidP="00E5474C">
            <w:pPr>
              <w:keepNext/>
              <w:keepLines/>
              <w:spacing w:before="140" w:after="140" w:line="180" w:lineRule="atLeast"/>
              <w:jc w:val="left"/>
              <w:rPr>
                <w:rFonts w:cs="Arial"/>
                <w:noProof/>
                <w:color w:val="000000" w:themeColor="text1"/>
                <w:sz w:val="18"/>
                <w:szCs w:val="18"/>
              </w:rPr>
            </w:pPr>
            <w:r w:rsidRPr="00E5474C">
              <w:rPr>
                <w:rFonts w:cs="Arial"/>
                <w:noProof/>
                <w:color w:val="000000" w:themeColor="text1"/>
                <w:sz w:val="18"/>
                <w:szCs w:val="18"/>
              </w:rPr>
              <w:t>6,368</w:t>
            </w:r>
          </w:p>
        </w:tc>
        <w:tc>
          <w:tcPr>
            <w:tcW w:w="430" w:type="pct"/>
            <w:vAlign w:val="center"/>
          </w:tcPr>
          <w:p w14:paraId="0ADC712B" w14:textId="77777777" w:rsidR="00E5474C" w:rsidRPr="00E5474C" w:rsidRDefault="00E5474C" w:rsidP="00E5474C">
            <w:pPr>
              <w:keepNext/>
              <w:keepLines/>
              <w:spacing w:before="140" w:after="140" w:line="180" w:lineRule="atLeast"/>
              <w:jc w:val="left"/>
              <w:rPr>
                <w:rFonts w:cs="Arial"/>
                <w:noProof/>
                <w:color w:val="000000" w:themeColor="text1"/>
                <w:sz w:val="18"/>
                <w:szCs w:val="18"/>
              </w:rPr>
            </w:pPr>
            <w:r w:rsidRPr="00E5474C">
              <w:rPr>
                <w:rFonts w:cs="Arial"/>
                <w:noProof/>
                <w:color w:val="000000" w:themeColor="text1"/>
                <w:sz w:val="18"/>
                <w:szCs w:val="18"/>
              </w:rPr>
              <w:t>5,256</w:t>
            </w:r>
          </w:p>
        </w:tc>
        <w:tc>
          <w:tcPr>
            <w:tcW w:w="432" w:type="pct"/>
            <w:shd w:val="clear" w:color="auto" w:fill="auto"/>
            <w:vAlign w:val="center"/>
          </w:tcPr>
          <w:p w14:paraId="45EE43B4" w14:textId="77777777" w:rsidR="00E5474C" w:rsidRPr="00E5474C" w:rsidRDefault="00E5474C" w:rsidP="00E5474C">
            <w:pPr>
              <w:keepNext/>
              <w:keepLines/>
              <w:spacing w:before="140" w:after="140" w:line="180" w:lineRule="atLeast"/>
              <w:jc w:val="left"/>
              <w:rPr>
                <w:rFonts w:cs="Arial"/>
                <w:noProof/>
                <w:color w:val="C00000"/>
                <w:sz w:val="18"/>
                <w:szCs w:val="18"/>
              </w:rPr>
            </w:pPr>
            <w:r w:rsidRPr="00E5474C">
              <w:rPr>
                <w:rFonts w:cs="Arial"/>
                <w:color w:val="C00000"/>
                <w:sz w:val="17"/>
                <w:szCs w:val="17"/>
              </w:rPr>
              <w:t>-1,112</w:t>
            </w:r>
          </w:p>
        </w:tc>
      </w:tr>
      <w:bookmarkEnd w:id="10"/>
      <w:tr w:rsidR="00E5474C" w:rsidRPr="00E5474C" w14:paraId="48A05DBD" w14:textId="77777777" w:rsidTr="00DE758D">
        <w:tc>
          <w:tcPr>
            <w:tcW w:w="5000" w:type="pct"/>
            <w:gridSpan w:val="8"/>
            <w:tcBorders>
              <w:top w:val="nil"/>
              <w:left w:val="nil"/>
              <w:bottom w:val="nil"/>
              <w:right w:val="nil"/>
            </w:tcBorders>
          </w:tcPr>
          <w:p w14:paraId="31208BCF" w14:textId="77777777" w:rsidR="00E5474C" w:rsidRPr="00E5474C" w:rsidRDefault="00E5474C" w:rsidP="00E5474C">
            <w:pPr>
              <w:keepNext/>
              <w:keepLines/>
              <w:spacing w:before="140" w:after="140" w:line="180" w:lineRule="atLeast"/>
              <w:jc w:val="left"/>
              <w:rPr>
                <w:rFonts w:cs="Arial"/>
                <w:noProof/>
                <w:color w:val="000000" w:themeColor="text1"/>
                <w:sz w:val="17"/>
                <w:szCs w:val="20"/>
              </w:rPr>
            </w:pPr>
            <w:r w:rsidRPr="00E5474C">
              <w:rPr>
                <w:rFonts w:cs="Arial"/>
                <w:noProof/>
                <w:color w:val="000000" w:themeColor="text1"/>
                <w:sz w:val="17"/>
                <w:szCs w:val="20"/>
              </w:rPr>
              <w:t>Source: Lichfields Analysis.</w:t>
            </w:r>
          </w:p>
        </w:tc>
      </w:tr>
    </w:tbl>
    <w:p w14:paraId="4B38F7D2" w14:textId="46E61BA3" w:rsidR="00E5474C" w:rsidRPr="00E5474C" w:rsidRDefault="001E7BF9" w:rsidP="001E7BF9">
      <w:pPr>
        <w:ind w:left="720" w:hanging="720"/>
        <w:jc w:val="left"/>
      </w:pPr>
      <w:r>
        <w:t>4.7.12</w:t>
      </w:r>
      <w:r>
        <w:tab/>
      </w:r>
      <w:r w:rsidR="00E5474C" w:rsidRPr="00E5474C">
        <w:fldChar w:fldCharType="begin"/>
      </w:r>
      <w:r w:rsidR="00E5474C" w:rsidRPr="00E5474C">
        <w:instrText xml:space="preserve"> REF _Ref176856917 \h  \* MERGEFORMAT </w:instrText>
      </w:r>
      <w:r w:rsidR="00E5474C" w:rsidRPr="00E5474C">
        <w:fldChar w:fldCharType="separate"/>
      </w:r>
      <w:r w:rsidR="00E5474C" w:rsidRPr="00E5474C">
        <w:t>Table 7.35</w:t>
      </w:r>
      <w:r w:rsidR="00E5474C" w:rsidRPr="00E5474C">
        <w:fldChar w:fldCharType="end"/>
      </w:r>
      <w:r w:rsidR="00E5474C" w:rsidRPr="00E5474C">
        <w:t xml:space="preserve"> shows that whilst the amount of office land required declines for all econometric / labour supply scenarios once a lower office floorspace density is applied, it is limited reflecting the modest scale of the office market in Ashfield District.  The difference averages -2,874 sqm 2018-2038, falling to -1,457 sqm between 2023 and 2040 across </w:t>
      </w:r>
      <w:proofErr w:type="gramStart"/>
      <w:r w:rsidR="00E5474C" w:rsidRPr="00E5474C">
        <w:t>all of</w:t>
      </w:r>
      <w:proofErr w:type="gramEnd"/>
      <w:r w:rsidR="00E5474C" w:rsidRPr="00E5474C">
        <w:t xml:space="preserve"> the econometric and labour supply scenarios.</w:t>
      </w:r>
    </w:p>
    <w:p w14:paraId="63881D29" w14:textId="5B2FB0F9" w:rsidR="00E5474C" w:rsidRPr="00E5474C" w:rsidRDefault="001E7BF9" w:rsidP="001E7BF9">
      <w:pPr>
        <w:ind w:left="720" w:hanging="720"/>
        <w:jc w:val="left"/>
      </w:pPr>
      <w:r>
        <w:t>4.8.13</w:t>
      </w:r>
      <w:r>
        <w:tab/>
      </w:r>
      <w:r w:rsidR="00E5474C" w:rsidRPr="00E5474C">
        <w:t xml:space="preserve">In conclusion, ADC’s view remains that it is likely that there will be some long-term shift in working patterns </w:t>
      </w:r>
      <w:proofErr w:type="gramStart"/>
      <w:r w:rsidR="00E5474C" w:rsidRPr="00E5474C">
        <w:t>as a result of</w:t>
      </w:r>
      <w:proofErr w:type="gramEnd"/>
      <w:r w:rsidR="00E5474C" w:rsidRPr="00E5474C">
        <w:t xml:space="preserve"> the pandemic, but it is still too soon to say what the scale of that change on homeworking is likely to be.  Indeed, many of the indicators appear to be moving the other way, with a drive to encourage more people to return to a 4 or 5-day working week in the office.  The sensitivity test demonstrates that there would have to be a significant shift in office employment densities to have a material impact on the level of employment land needed overall across Ashfield District.</w:t>
      </w:r>
    </w:p>
    <w:p w14:paraId="0EA70F5F" w14:textId="77777777" w:rsidR="00B71673" w:rsidRPr="002A269E" w:rsidRDefault="00B71673" w:rsidP="00E76EC3">
      <w:pPr>
        <w:rPr>
          <w:b/>
          <w:bCs/>
          <w:i/>
          <w:iCs/>
        </w:rPr>
      </w:pPr>
    </w:p>
    <w:p w14:paraId="7E892E6B" w14:textId="18F68CEC" w:rsidR="00E76EC3" w:rsidRPr="002A269E" w:rsidRDefault="00E76EC3" w:rsidP="00E76EC3">
      <w:pPr>
        <w:rPr>
          <w:b/>
          <w:bCs/>
          <w:i/>
          <w:iCs/>
        </w:rPr>
      </w:pPr>
      <w:r w:rsidRPr="002A269E">
        <w:rPr>
          <w:b/>
          <w:bCs/>
          <w:i/>
          <w:iCs/>
        </w:rPr>
        <w:t>4.8 Is the plan sufficiently clear on the split of floorspace proposed for office floor space</w:t>
      </w:r>
      <w:r w:rsidR="008E1600">
        <w:rPr>
          <w:b/>
          <w:bCs/>
          <w:i/>
          <w:iCs/>
        </w:rPr>
        <w:t xml:space="preserve"> </w:t>
      </w:r>
      <w:r w:rsidRPr="002A269E">
        <w:rPr>
          <w:b/>
          <w:bCs/>
          <w:i/>
          <w:iCs/>
        </w:rPr>
        <w:t>and industrial floor space?</w:t>
      </w:r>
    </w:p>
    <w:p w14:paraId="1EE39DAC" w14:textId="77777777" w:rsidR="00D55D25" w:rsidRDefault="00D55D25" w:rsidP="00D55D25">
      <w:pPr>
        <w:rPr>
          <w:b/>
          <w:bCs/>
          <w:i/>
          <w:iCs/>
          <w:u w:val="single"/>
        </w:rPr>
      </w:pPr>
      <w:r>
        <w:rPr>
          <w:rFonts w:ascii="Helvetica" w:hAnsi="Helvetica" w:cs="Helvetica"/>
          <w:szCs w:val="24"/>
          <w:u w:val="single"/>
        </w:rPr>
        <w:t>Council’s response</w:t>
      </w:r>
    </w:p>
    <w:p w14:paraId="4588E98A" w14:textId="51007202" w:rsidR="00E5474C" w:rsidRDefault="001E7BF9" w:rsidP="001E7BF9">
      <w:pPr>
        <w:ind w:left="720" w:hanging="720"/>
        <w:jc w:val="left"/>
      </w:pPr>
      <w:r>
        <w:t>4.8.1</w:t>
      </w:r>
      <w:r>
        <w:tab/>
      </w:r>
      <w:r w:rsidR="00E5474C">
        <w:t xml:space="preserve">Yes.  Policy S8 of the emerging Local Plan requires 81 ha of employment land to be provided from 2023-2040.  This is based upon evidence contained within SEV.28, </w:t>
      </w:r>
      <w:r w:rsidR="00E5474C">
        <w:lastRenderedPageBreak/>
        <w:t>which identified a need for 80.62 ha of industrial / warehousing land, plus 1,433 sqm of office floorspace over that period.</w:t>
      </w:r>
    </w:p>
    <w:p w14:paraId="307428A1" w14:textId="0B3E9457" w:rsidR="00E5474C" w:rsidRDefault="001E7BF9" w:rsidP="001E7BF9">
      <w:pPr>
        <w:ind w:left="720" w:hanging="720"/>
        <w:jc w:val="left"/>
      </w:pPr>
      <w:r>
        <w:t>4.8.2</w:t>
      </w:r>
      <w:r>
        <w:tab/>
      </w:r>
      <w:r w:rsidR="00E5474C">
        <w:t xml:space="preserve">Whilst Policy S8 does not break down the 81 ha further, this is intentional as ADC wishes to maximise flexibility across </w:t>
      </w:r>
      <w:proofErr w:type="gramStart"/>
      <w:r w:rsidR="00E5474C">
        <w:t>all of</w:t>
      </w:r>
      <w:proofErr w:type="gramEnd"/>
      <w:r w:rsidR="00E5474C">
        <w:t xml:space="preserve"> its sites in line with the NPPF [86d] to ensure that allocated sites remain deliverable even under the current challenging economic circumstances.</w:t>
      </w:r>
    </w:p>
    <w:p w14:paraId="734765A1" w14:textId="3930DC83" w:rsidR="00E5474C" w:rsidRDefault="001E7BF9" w:rsidP="00E5474C">
      <w:pPr>
        <w:keepNext/>
        <w:keepLines/>
        <w:jc w:val="left"/>
      </w:pPr>
      <w:r>
        <w:t>4.8.3</w:t>
      </w:r>
      <w:r>
        <w:tab/>
      </w:r>
      <w:r w:rsidR="00E5474C">
        <w:t>This flexibility is enshrined in Policy EM1 which states that:</w:t>
      </w:r>
    </w:p>
    <w:p w14:paraId="1512B3B9" w14:textId="77777777" w:rsidR="00E5474C" w:rsidRPr="004955A5" w:rsidRDefault="00E5474C" w:rsidP="00934C6C">
      <w:pPr>
        <w:ind w:left="720"/>
        <w:jc w:val="left"/>
        <w:rPr>
          <w:i/>
          <w:iCs/>
        </w:rPr>
      </w:pPr>
      <w:r>
        <w:t>“</w:t>
      </w:r>
      <w:r w:rsidRPr="004955A5">
        <w:rPr>
          <w:i/>
          <w:iCs/>
        </w:rPr>
        <w:t>The Council will sustain and enhance Ashfield’s employment capacity by supporting the following uses on allocated employment allocations sites and Key Employment Area as identified on the Policies Map:</w:t>
      </w:r>
    </w:p>
    <w:p w14:paraId="098578C8" w14:textId="77777777" w:rsidR="00E5474C" w:rsidRPr="004955A5" w:rsidRDefault="00E5474C" w:rsidP="00E5474C">
      <w:pPr>
        <w:pStyle w:val="ListParagraph"/>
        <w:numPr>
          <w:ilvl w:val="0"/>
          <w:numId w:val="17"/>
        </w:numPr>
        <w:jc w:val="left"/>
        <w:rPr>
          <w:i/>
          <w:iCs/>
        </w:rPr>
      </w:pPr>
      <w:r w:rsidRPr="004955A5">
        <w:rPr>
          <w:i/>
          <w:iCs/>
        </w:rPr>
        <w:t>Office, light industrial and research and development, general industrial and storage and distribution”.</w:t>
      </w:r>
    </w:p>
    <w:p w14:paraId="60774973" w14:textId="1D2377EA" w:rsidR="00E5474C" w:rsidRDefault="001E7BF9" w:rsidP="001E7BF9">
      <w:pPr>
        <w:ind w:left="720" w:hanging="720"/>
        <w:jc w:val="left"/>
      </w:pPr>
      <w:r>
        <w:t>4.8.4</w:t>
      </w:r>
      <w:r>
        <w:tab/>
      </w:r>
      <w:r w:rsidR="00E5474C" w:rsidRPr="00287A30">
        <w:t xml:space="preserve">The Employment Land Allocations </w:t>
      </w:r>
      <w:r w:rsidR="00E5474C">
        <w:t>identified in Policy EM2 and the Strategic Employment Allocations in Policy S6, provide a wide range of sites and locations.  Some suit logistics or manufacturing; others are likely to come forward for office uses, particularly those in and around Ashfield’s town centres and in the vicinity of the stations of the Maid Marian Line and the Robin Hood Line, having regard to the Ashfield Stations Masterplan.</w:t>
      </w:r>
    </w:p>
    <w:p w14:paraId="5B49B4D7" w14:textId="061CF206" w:rsidR="00E5474C" w:rsidRDefault="001E7BF9" w:rsidP="00E5474C">
      <w:pPr>
        <w:jc w:val="left"/>
      </w:pPr>
      <w:r>
        <w:t>4.8.5</w:t>
      </w:r>
      <w:r>
        <w:tab/>
      </w:r>
      <w:r w:rsidR="00E5474C">
        <w:t>As summarised in paragraph 7.1 of the Local Plan:</w:t>
      </w:r>
    </w:p>
    <w:p w14:paraId="35AB83CF" w14:textId="77777777" w:rsidR="00E5474C" w:rsidRPr="0069366B" w:rsidRDefault="00E5474C" w:rsidP="001E7BF9">
      <w:pPr>
        <w:ind w:left="720"/>
        <w:jc w:val="left"/>
        <w:rPr>
          <w:i/>
          <w:iCs/>
        </w:rPr>
      </w:pPr>
      <w:r w:rsidRPr="0069366B">
        <w:rPr>
          <w:i/>
          <w:iCs/>
        </w:rPr>
        <w:t>“</w:t>
      </w:r>
      <w:r w:rsidRPr="00287A30">
        <w:rPr>
          <w:i/>
          <w:iCs/>
        </w:rPr>
        <w:t xml:space="preserve">In ensuring business and economic development across the </w:t>
      </w:r>
      <w:proofErr w:type="gramStart"/>
      <w:r w:rsidRPr="00287A30">
        <w:rPr>
          <w:i/>
          <w:iCs/>
        </w:rPr>
        <w:t>District</w:t>
      </w:r>
      <w:proofErr w:type="gramEnd"/>
      <w:r w:rsidRPr="00287A30">
        <w:rPr>
          <w:i/>
          <w:iCs/>
        </w:rPr>
        <w:t xml:space="preserve"> successfully contributes to delivering sustainable growth and productivity, the Council will seek to direct development to the most sustainable and appropriate location for the given</w:t>
      </w:r>
      <w:r w:rsidRPr="0069366B">
        <w:rPr>
          <w:i/>
          <w:iCs/>
        </w:rPr>
        <w:t xml:space="preserve"> </w:t>
      </w:r>
      <w:r w:rsidRPr="00287A30">
        <w:rPr>
          <w:i/>
          <w:iCs/>
        </w:rPr>
        <w:t xml:space="preserve">Key Employment Areas and other existing employment sites and buildings. </w:t>
      </w:r>
      <w:r>
        <w:rPr>
          <w:i/>
          <w:iCs/>
        </w:rPr>
        <w:t xml:space="preserve"> </w:t>
      </w:r>
      <w:r w:rsidRPr="00287A30">
        <w:rPr>
          <w:i/>
          <w:iCs/>
        </w:rPr>
        <w:t>The Policy also recognises the benefits of home working, placing an emphasis on the ability to work or start new business from home</w:t>
      </w:r>
      <w:r w:rsidRPr="0069366B">
        <w:rPr>
          <w:i/>
          <w:iCs/>
        </w:rPr>
        <w:t>”.</w:t>
      </w:r>
    </w:p>
    <w:p w14:paraId="0FEC5EAA" w14:textId="7CFA3158" w:rsidR="00E5474C" w:rsidRDefault="001E7BF9" w:rsidP="001E7BF9">
      <w:pPr>
        <w:ind w:left="720" w:hanging="720"/>
        <w:jc w:val="left"/>
      </w:pPr>
      <w:r>
        <w:t>4.8.6</w:t>
      </w:r>
      <w:r>
        <w:tab/>
      </w:r>
      <w:r w:rsidR="00E5474C" w:rsidRPr="0069366B">
        <w:t>Th</w:t>
      </w:r>
      <w:r w:rsidR="00E5474C">
        <w:t xml:space="preserve">e Council is therefore confident that given the relatively low level of office floorspace need identified in its evidence base (which is to be expected given the </w:t>
      </w:r>
      <w:proofErr w:type="gramStart"/>
      <w:r w:rsidR="00E5474C">
        <w:t>District’s</w:t>
      </w:r>
      <w:proofErr w:type="gramEnd"/>
      <w:r w:rsidR="00E5474C">
        <w:t xml:space="preserve"> role in the wider sub-regional commercial market hierarchy), it has provided an appropriate degree of flexibility to ensure sites can come forward as planned over the lifetime of the Local Plan.  The wide range of site sizes and locations will ensure that occupiers seeking office accommodation will be able to meet their needs in Ashfield without looking elsewhere.</w:t>
      </w:r>
    </w:p>
    <w:p w14:paraId="56F5B62C" w14:textId="77777777" w:rsidR="00B71673" w:rsidRPr="002A269E" w:rsidRDefault="00B71673" w:rsidP="00E76EC3">
      <w:pPr>
        <w:rPr>
          <w:b/>
          <w:bCs/>
          <w:i/>
          <w:iCs/>
        </w:rPr>
      </w:pPr>
    </w:p>
    <w:p w14:paraId="6FC6B28F" w14:textId="77777777" w:rsidR="00E76EC3" w:rsidRPr="002A269E" w:rsidRDefault="00E76EC3" w:rsidP="00E76EC3">
      <w:pPr>
        <w:rPr>
          <w:b/>
          <w:bCs/>
        </w:rPr>
      </w:pPr>
      <w:r w:rsidRPr="002A269E">
        <w:rPr>
          <w:rStyle w:val="Heading3Char"/>
        </w:rPr>
        <w:t>Detailed policies for Economy</w:t>
      </w:r>
    </w:p>
    <w:p w14:paraId="76D5C8D7" w14:textId="77777777" w:rsidR="00B71673" w:rsidRPr="002A269E" w:rsidRDefault="00B71673" w:rsidP="00E76EC3">
      <w:pPr>
        <w:rPr>
          <w:b/>
          <w:bCs/>
          <w:i/>
          <w:iCs/>
        </w:rPr>
      </w:pPr>
    </w:p>
    <w:p w14:paraId="04395CFC" w14:textId="78FFB6C9" w:rsidR="00E76EC3" w:rsidRPr="002A269E" w:rsidRDefault="00E76EC3" w:rsidP="00E76EC3">
      <w:pPr>
        <w:rPr>
          <w:b/>
          <w:bCs/>
          <w:i/>
          <w:iCs/>
        </w:rPr>
      </w:pPr>
      <w:r w:rsidRPr="002A269E">
        <w:rPr>
          <w:b/>
          <w:bCs/>
          <w:i/>
          <w:iCs/>
        </w:rPr>
        <w:t>4.9 Are the requirements building a strong economy which provides opportunities for</w:t>
      </w:r>
      <w:r w:rsidR="002A269E">
        <w:rPr>
          <w:b/>
          <w:bCs/>
          <w:i/>
          <w:iCs/>
        </w:rPr>
        <w:t xml:space="preserve"> </w:t>
      </w:r>
      <w:r w:rsidRPr="002A269E">
        <w:rPr>
          <w:b/>
          <w:bCs/>
          <w:i/>
          <w:iCs/>
        </w:rPr>
        <w:t>local</w:t>
      </w:r>
      <w:r w:rsidR="002A269E">
        <w:rPr>
          <w:b/>
          <w:bCs/>
          <w:i/>
          <w:iCs/>
        </w:rPr>
        <w:t xml:space="preserve"> </w:t>
      </w:r>
      <w:r w:rsidRPr="002A269E">
        <w:rPr>
          <w:b/>
          <w:bCs/>
          <w:i/>
          <w:iCs/>
        </w:rPr>
        <w:t>people policies justified by appropriate available evidence, having regard to national</w:t>
      </w:r>
      <w:r w:rsidR="002A269E">
        <w:rPr>
          <w:b/>
          <w:bCs/>
          <w:i/>
          <w:iCs/>
        </w:rPr>
        <w:t xml:space="preserve"> </w:t>
      </w:r>
      <w:r w:rsidRPr="002A269E">
        <w:rPr>
          <w:b/>
          <w:bCs/>
          <w:i/>
          <w:iCs/>
        </w:rPr>
        <w:t>guidance, and local context.</w:t>
      </w:r>
      <w:r w:rsidR="008E1600">
        <w:rPr>
          <w:b/>
          <w:bCs/>
          <w:i/>
          <w:iCs/>
        </w:rPr>
        <w:t xml:space="preserve"> </w:t>
      </w:r>
    </w:p>
    <w:p w14:paraId="287CF369" w14:textId="77777777" w:rsidR="00D55D25" w:rsidRDefault="00D55D25" w:rsidP="00D55D25">
      <w:pPr>
        <w:rPr>
          <w:b/>
          <w:bCs/>
          <w:i/>
          <w:iCs/>
          <w:u w:val="single"/>
        </w:rPr>
      </w:pPr>
      <w:r>
        <w:rPr>
          <w:rFonts w:ascii="Helvetica" w:hAnsi="Helvetica" w:cs="Helvetica"/>
          <w:szCs w:val="24"/>
          <w:u w:val="single"/>
        </w:rPr>
        <w:t>Council’s response</w:t>
      </w:r>
    </w:p>
    <w:p w14:paraId="1BA8A4BF" w14:textId="289F3E4A" w:rsidR="009E72E9" w:rsidRDefault="0090351C" w:rsidP="0090351C">
      <w:pPr>
        <w:ind w:left="720" w:hanging="720"/>
      </w:pPr>
      <w:r>
        <w:lastRenderedPageBreak/>
        <w:t>4.9.1</w:t>
      </w:r>
      <w:r>
        <w:tab/>
      </w:r>
      <w:r w:rsidR="004F7DDC">
        <w:t xml:space="preserve">Chapter 7 of the </w:t>
      </w:r>
      <w:r w:rsidR="008A0A3D">
        <w:t xml:space="preserve">Pre-Submission Draft Local Plan is titled </w:t>
      </w:r>
      <w:r w:rsidR="004F7DDC">
        <w:t xml:space="preserve">‘Building a strong economy which provides opportunities for local people’ </w:t>
      </w:r>
      <w:r w:rsidR="008A0A3D">
        <w:t xml:space="preserve">and </w:t>
      </w:r>
      <w:r w:rsidR="004F7DDC">
        <w:t>sets out requirements relat</w:t>
      </w:r>
      <w:r w:rsidR="00AD693C">
        <w:t>ing</w:t>
      </w:r>
      <w:r w:rsidR="004F7DDC">
        <w:t xml:space="preserve"> to employment development in Policies EM1 – EM5.  </w:t>
      </w:r>
      <w:r w:rsidR="00084AE5">
        <w:t xml:space="preserve">Policies EM2 and EM5 are </w:t>
      </w:r>
      <w:r w:rsidR="009E72E9">
        <w:t xml:space="preserve">largely </w:t>
      </w:r>
      <w:r w:rsidR="00084AE5">
        <w:t>promotional policies</w:t>
      </w:r>
      <w:r w:rsidR="009E72E9">
        <w:t xml:space="preserve"> which </w:t>
      </w:r>
      <w:r w:rsidR="00084AE5">
        <w:t xml:space="preserve">set out the types of development which the Council will support.  </w:t>
      </w:r>
    </w:p>
    <w:p w14:paraId="50E8CA6F" w14:textId="25E1EAC6" w:rsidR="009E72E9" w:rsidRDefault="0090351C" w:rsidP="0090351C">
      <w:pPr>
        <w:ind w:left="720" w:hanging="720"/>
      </w:pPr>
      <w:r>
        <w:t>4.9.2</w:t>
      </w:r>
      <w:r>
        <w:tab/>
      </w:r>
      <w:r w:rsidR="00572F82">
        <w:t xml:space="preserve">Within </w:t>
      </w:r>
      <w:r w:rsidR="009E72E9">
        <w:t>Policy EM1</w:t>
      </w:r>
      <w:r w:rsidR="00CC0C87">
        <w:t>: Business and Economic Development,</w:t>
      </w:r>
      <w:r w:rsidR="009E72E9">
        <w:t xml:space="preserve"> paragraph 2</w:t>
      </w:r>
      <w:r w:rsidR="00572F82">
        <w:t xml:space="preserve"> </w:t>
      </w:r>
      <w:r w:rsidR="009E72E9">
        <w:t>c) sets out requirements relating to education</w:t>
      </w:r>
      <w:r w:rsidR="004C784E">
        <w:t xml:space="preserve"> </w:t>
      </w:r>
      <w:r w:rsidR="009E72E9">
        <w:t xml:space="preserve">or training uses on employment allocations </w:t>
      </w:r>
      <w:r w:rsidR="00572F82">
        <w:t>and</w:t>
      </w:r>
      <w:r w:rsidR="009E72E9">
        <w:t xml:space="preserve"> </w:t>
      </w:r>
      <w:r w:rsidR="00572F82">
        <w:t xml:space="preserve">on </w:t>
      </w:r>
      <w:r w:rsidR="009E72E9">
        <w:t xml:space="preserve">sites within the </w:t>
      </w:r>
      <w:r w:rsidR="00572F82">
        <w:t xml:space="preserve">identified </w:t>
      </w:r>
      <w:r w:rsidR="009E72E9">
        <w:t>Key Employment Area</w:t>
      </w:r>
      <w:r w:rsidR="00572F82">
        <w:t>s</w:t>
      </w:r>
      <w:r w:rsidR="009E72E9">
        <w:t>, paragraph 2</w:t>
      </w:r>
      <w:r w:rsidR="00572F82">
        <w:t xml:space="preserve"> </w:t>
      </w:r>
      <w:r w:rsidR="009E72E9">
        <w:t xml:space="preserve">d) sets out requirements relating to the development of ancillary uses.  </w:t>
      </w:r>
      <w:r w:rsidR="008F3160">
        <w:t>P</w:t>
      </w:r>
      <w:r w:rsidR="009E72E9">
        <w:t>aragraph</w:t>
      </w:r>
      <w:r w:rsidR="00572F82">
        <w:t>s</w:t>
      </w:r>
      <w:r w:rsidR="009E72E9">
        <w:t xml:space="preserve"> 3</w:t>
      </w:r>
      <w:r w:rsidR="00572F82">
        <w:t xml:space="preserve"> </w:t>
      </w:r>
      <w:r w:rsidR="009E72E9">
        <w:t>a)</w:t>
      </w:r>
      <w:r w:rsidR="00572F82">
        <w:t xml:space="preserve"> </w:t>
      </w:r>
      <w:r w:rsidR="009E72E9">
        <w:t>-</w:t>
      </w:r>
      <w:r w:rsidR="00572F82">
        <w:t xml:space="preserve"> </w:t>
      </w:r>
      <w:r w:rsidR="009E72E9">
        <w:t>3</w:t>
      </w:r>
      <w:r w:rsidR="00572F82">
        <w:t xml:space="preserve"> </w:t>
      </w:r>
      <w:r w:rsidR="009E72E9">
        <w:t xml:space="preserve">d) set out requirements relating to small scale business use within a dwelling or </w:t>
      </w:r>
      <w:r w:rsidR="00FF1F1C">
        <w:t xml:space="preserve">within </w:t>
      </w:r>
      <w:r w:rsidR="00E1235A">
        <w:t xml:space="preserve">the </w:t>
      </w:r>
      <w:r w:rsidR="009E72E9">
        <w:t xml:space="preserve">curtilage of a dwelling.     </w:t>
      </w:r>
    </w:p>
    <w:p w14:paraId="49073F97" w14:textId="77A13A7A" w:rsidR="00E246D9" w:rsidRDefault="0090351C" w:rsidP="0090351C">
      <w:pPr>
        <w:ind w:left="720" w:hanging="720"/>
      </w:pPr>
      <w:r>
        <w:t>4.9.3</w:t>
      </w:r>
      <w:r>
        <w:tab/>
      </w:r>
      <w:r w:rsidR="00D1489D">
        <w:t>Proposals for e</w:t>
      </w:r>
      <w:r w:rsidR="00AA1EE4">
        <w:t>ducation or training uses</w:t>
      </w:r>
      <w:r w:rsidR="00D1489D">
        <w:t xml:space="preserve"> on employment allocations</w:t>
      </w:r>
      <w:r w:rsidR="00AA1EE4">
        <w:t xml:space="preserve"> </w:t>
      </w:r>
      <w:r w:rsidR="00565824">
        <w:t>would be</w:t>
      </w:r>
      <w:r w:rsidR="00784B16">
        <w:t xml:space="preserve"> required </w:t>
      </w:r>
      <w:r w:rsidR="00565824">
        <w:t xml:space="preserve">by EM1 </w:t>
      </w:r>
      <w:r w:rsidR="00784B16">
        <w:t xml:space="preserve">to demonstrate that no suitable town centre sites are available, that a range of transport options are available and that the development would not conflict with the wider employment function.  </w:t>
      </w:r>
      <w:r w:rsidR="00E246D9">
        <w:t>P</w:t>
      </w:r>
      <w:r w:rsidR="00784B16">
        <w:t>olicy</w:t>
      </w:r>
      <w:r w:rsidR="00E246D9">
        <w:t xml:space="preserve"> EM1</w:t>
      </w:r>
      <w:r w:rsidR="00784B16">
        <w:t xml:space="preserve"> seeks to provide </w:t>
      </w:r>
      <w:r w:rsidR="00E246D9">
        <w:t xml:space="preserve">some </w:t>
      </w:r>
      <w:r w:rsidR="00784B16">
        <w:t xml:space="preserve">flexibility in accommodating education or training uses whilst also </w:t>
      </w:r>
      <w:r w:rsidR="00E246D9">
        <w:t xml:space="preserve">reflecting the wider </w:t>
      </w:r>
      <w:r w:rsidR="00784B16">
        <w:t>protecti</w:t>
      </w:r>
      <w:r w:rsidR="00E246D9">
        <w:t>on</w:t>
      </w:r>
      <w:r w:rsidR="00784B16">
        <w:t xml:space="preserve"> </w:t>
      </w:r>
      <w:r w:rsidR="00EB2722">
        <w:t xml:space="preserve">of </w:t>
      </w:r>
      <w:r w:rsidR="00784B16">
        <w:t xml:space="preserve">employment sites.  </w:t>
      </w:r>
      <w:r w:rsidR="007665EE">
        <w:t xml:space="preserve">This reflects NPPF paragraph 95 which recognises that in addition to the provision of school places, local authorities should take a proactive, positive and collaborative approach to ‘development that will widen choice in education’.  </w:t>
      </w:r>
      <w:r w:rsidR="003340C5">
        <w:t xml:space="preserve">Paragraph 2.14 of Background Paper 1: Spatial Strategy and Site Selection (BP.01) highlights the </w:t>
      </w:r>
      <w:proofErr w:type="gramStart"/>
      <w:r w:rsidR="003340C5" w:rsidRPr="003340C5">
        <w:rPr>
          <w:rFonts w:eastAsia="Calibri" w:cs="Arial"/>
          <w:szCs w:val="24"/>
        </w:rPr>
        <w:t>lower than average</w:t>
      </w:r>
      <w:proofErr w:type="gramEnd"/>
      <w:r w:rsidR="003340C5" w:rsidRPr="003340C5">
        <w:rPr>
          <w:rFonts w:eastAsia="Calibri" w:cs="Arial"/>
          <w:szCs w:val="24"/>
        </w:rPr>
        <w:t xml:space="preserve"> education attainment levels</w:t>
      </w:r>
      <w:r w:rsidR="003340C5">
        <w:rPr>
          <w:rFonts w:eastAsia="Calibri" w:cs="Arial"/>
          <w:szCs w:val="24"/>
        </w:rPr>
        <w:t xml:space="preserve"> within Ashfield </w:t>
      </w:r>
      <w:r w:rsidR="00067509">
        <w:rPr>
          <w:rFonts w:eastAsia="Calibri" w:cs="Arial"/>
          <w:szCs w:val="24"/>
        </w:rPr>
        <w:t xml:space="preserve">and the </w:t>
      </w:r>
      <w:r w:rsidR="00067509" w:rsidRPr="00067509">
        <w:rPr>
          <w:rFonts w:eastAsia="Calibri" w:cs="Arial"/>
          <w:szCs w:val="24"/>
        </w:rPr>
        <w:t>high percentage of residents working in unskilled occupations in comparison to other areas</w:t>
      </w:r>
      <w:r w:rsidR="00067509">
        <w:rPr>
          <w:rFonts w:eastAsia="Calibri" w:cs="Arial"/>
          <w:szCs w:val="24"/>
        </w:rPr>
        <w:t xml:space="preserve">.  </w:t>
      </w:r>
      <w:r w:rsidR="00067509" w:rsidRPr="00067509">
        <w:rPr>
          <w:rFonts w:eastAsia="Calibri" w:cs="Arial"/>
          <w:szCs w:val="24"/>
        </w:rPr>
        <w:t xml:space="preserve">The Council is committed to supporting opportunities which assist with the long-term re-skilling of the Ashfield workforce which is necessary to ensure the presence of a highly skilled labour pool to take advantage of new jobs across the </w:t>
      </w:r>
      <w:proofErr w:type="gramStart"/>
      <w:r w:rsidR="00067509" w:rsidRPr="00067509">
        <w:rPr>
          <w:rFonts w:eastAsia="Calibri" w:cs="Arial"/>
          <w:szCs w:val="24"/>
        </w:rPr>
        <w:t>District</w:t>
      </w:r>
      <w:proofErr w:type="gramEnd"/>
      <w:r w:rsidR="00067509" w:rsidRPr="00067509">
        <w:rPr>
          <w:rFonts w:eastAsia="Calibri" w:cs="Arial"/>
          <w:szCs w:val="24"/>
        </w:rPr>
        <w:t>.</w:t>
      </w:r>
      <w:r w:rsidR="00067509" w:rsidRPr="00067509">
        <w:rPr>
          <w:rFonts w:eastAsia="Calibri" w:cs="Times New Roman"/>
        </w:rPr>
        <w:t xml:space="preserve"> </w:t>
      </w:r>
      <w:r w:rsidR="00067509" w:rsidRPr="00067509">
        <w:rPr>
          <w:rFonts w:eastAsia="Calibri" w:cs="Arial"/>
          <w:szCs w:val="24"/>
        </w:rPr>
        <w:t xml:space="preserve">The Council recently adopted an Education and </w:t>
      </w:r>
      <w:r w:rsidR="009C6318">
        <w:rPr>
          <w:rFonts w:eastAsia="Calibri" w:cs="Arial"/>
          <w:szCs w:val="24"/>
        </w:rPr>
        <w:t>S</w:t>
      </w:r>
      <w:r w:rsidR="00067509" w:rsidRPr="00067509">
        <w:rPr>
          <w:rFonts w:eastAsia="Calibri" w:cs="Arial"/>
          <w:szCs w:val="24"/>
        </w:rPr>
        <w:t xml:space="preserve">kills </w:t>
      </w:r>
      <w:r w:rsidR="009C6318">
        <w:rPr>
          <w:rFonts w:eastAsia="Calibri" w:cs="Arial"/>
          <w:szCs w:val="24"/>
        </w:rPr>
        <w:t>I</w:t>
      </w:r>
      <w:r w:rsidR="00067509" w:rsidRPr="00067509">
        <w:rPr>
          <w:rFonts w:eastAsia="Calibri" w:cs="Arial"/>
          <w:szCs w:val="24"/>
        </w:rPr>
        <w:t xml:space="preserve">mprovement </w:t>
      </w:r>
      <w:r w:rsidR="009C6318">
        <w:rPr>
          <w:rFonts w:eastAsia="Calibri" w:cs="Arial"/>
          <w:szCs w:val="24"/>
        </w:rPr>
        <w:t>P</w:t>
      </w:r>
      <w:r w:rsidR="00067509" w:rsidRPr="00067509">
        <w:rPr>
          <w:rFonts w:eastAsia="Calibri" w:cs="Arial"/>
          <w:szCs w:val="24"/>
        </w:rPr>
        <w:t>lan (2022 to 2031) which is delivered by Ashfield’s Education and Skills Partnerships.</w:t>
      </w:r>
    </w:p>
    <w:p w14:paraId="6A2CA06C" w14:textId="313B42A3" w:rsidR="00E246D9" w:rsidRDefault="0090351C" w:rsidP="0090351C">
      <w:pPr>
        <w:ind w:left="720" w:hanging="720"/>
      </w:pPr>
      <w:r>
        <w:t>4.9.4</w:t>
      </w:r>
      <w:r>
        <w:tab/>
      </w:r>
      <w:r w:rsidR="005753A9">
        <w:t>Proposals for a</w:t>
      </w:r>
      <w:r w:rsidR="00E246D9">
        <w:t xml:space="preserve">ncillary uses </w:t>
      </w:r>
      <w:r w:rsidR="004B586E">
        <w:t>would be</w:t>
      </w:r>
      <w:r w:rsidR="00E246D9">
        <w:t xml:space="preserve"> required to robustly evidence that they serve the needs of the main employment use on the site and will not cause unacceptable impacts on the operations of other uses near the site. </w:t>
      </w:r>
      <w:r w:rsidR="004D357F">
        <w:t xml:space="preserve"> </w:t>
      </w:r>
      <w:r w:rsidR="007C0AD4">
        <w:t xml:space="preserve">Working from home as part of </w:t>
      </w:r>
      <w:proofErr w:type="gramStart"/>
      <w:r w:rsidR="007C0AD4">
        <w:t>small scale</w:t>
      </w:r>
      <w:proofErr w:type="gramEnd"/>
      <w:r w:rsidR="007C0AD4">
        <w:t xml:space="preserve"> enterprises </w:t>
      </w:r>
      <w:r w:rsidR="004B586E">
        <w:t>would be</w:t>
      </w:r>
      <w:r w:rsidR="007C0AD4">
        <w:t xml:space="preserve"> required to be incidental to the main use of the site and to not cause unacceptable impacts on the amenity of the surrounding area.  </w:t>
      </w:r>
      <w:proofErr w:type="gramStart"/>
      <w:r w:rsidR="004D357F">
        <w:t>Both of these</w:t>
      </w:r>
      <w:proofErr w:type="gramEnd"/>
      <w:r w:rsidR="004D357F">
        <w:t xml:space="preserve"> forms of employment provision help to provide growth, diversity and stability within the economic sector.  </w:t>
      </w:r>
    </w:p>
    <w:p w14:paraId="73D3485B" w14:textId="76FA4D8B" w:rsidR="00CD59EA" w:rsidRDefault="0090351C" w:rsidP="0090351C">
      <w:pPr>
        <w:ind w:left="720" w:hanging="720"/>
      </w:pPr>
      <w:r>
        <w:t>4.9.5</w:t>
      </w:r>
      <w:r>
        <w:tab/>
      </w:r>
      <w:r w:rsidR="00590451" w:rsidRPr="00220D24">
        <w:t xml:space="preserve">Paragraph 8.31 of the Employment Land Needs Study, May 2021 </w:t>
      </w:r>
      <w:r w:rsidR="002834DE" w:rsidRPr="00220D24">
        <w:t xml:space="preserve">(SEV.28) </w:t>
      </w:r>
      <w:r w:rsidR="00590451" w:rsidRPr="00220D24">
        <w:t>recognises that the 2015 HCA Employment Density Guidance Note factors in an element of home working / hot desking to its calculations.</w:t>
      </w:r>
      <w:r w:rsidR="00590451">
        <w:t xml:space="preserve">  </w:t>
      </w:r>
      <w:r w:rsidR="00B76E58">
        <w:t xml:space="preserve">Table 2 of Background Paper 3 (BP.03) highlights the high percentage of business units within Ashfield District which are small scale, with </w:t>
      </w:r>
      <w:proofErr w:type="gramStart"/>
      <w:r w:rsidR="00B76E58">
        <w:t>the majority of</w:t>
      </w:r>
      <w:proofErr w:type="gramEnd"/>
      <w:r w:rsidR="00B76E58">
        <w:t xml:space="preserve"> businesses and business sites employing 0-9 people.   </w:t>
      </w:r>
      <w:r w:rsidR="00F832ED">
        <w:t xml:space="preserve">Paragraph 82 d) of the NPPF states that planning policies should ‘allow for new and flexible working </w:t>
      </w:r>
      <w:proofErr w:type="gramStart"/>
      <w:r w:rsidR="00F832ED">
        <w:t>practices’</w:t>
      </w:r>
      <w:proofErr w:type="gramEnd"/>
      <w:r w:rsidR="00F832ED">
        <w:t xml:space="preserve">.  </w:t>
      </w:r>
    </w:p>
    <w:p w14:paraId="658FCCC6" w14:textId="4FD07344" w:rsidR="00123137" w:rsidRDefault="0090351C" w:rsidP="001C717A">
      <w:pPr>
        <w:ind w:left="709" w:hanging="709"/>
      </w:pPr>
      <w:bookmarkStart w:id="11" w:name="_Hlk184644703"/>
      <w:r>
        <w:t>4.9.6</w:t>
      </w:r>
      <w:r>
        <w:tab/>
      </w:r>
      <w:r w:rsidR="00CD59EA">
        <w:t xml:space="preserve">It is therefore considered </w:t>
      </w:r>
      <w:r w:rsidR="00123137">
        <w:t xml:space="preserve">that </w:t>
      </w:r>
      <w:r w:rsidR="001C717A">
        <w:t xml:space="preserve">the requirements set out in </w:t>
      </w:r>
      <w:r w:rsidR="00D45009">
        <w:t xml:space="preserve">Policy EM1 2 c) and 2 d) </w:t>
      </w:r>
      <w:r w:rsidR="001C717A">
        <w:t xml:space="preserve">are </w:t>
      </w:r>
      <w:r w:rsidR="006D6C35">
        <w:t xml:space="preserve">justified in </w:t>
      </w:r>
      <w:r w:rsidR="00123137">
        <w:t>provid</w:t>
      </w:r>
      <w:r w:rsidR="006D6C35">
        <w:t>ing</w:t>
      </w:r>
      <w:r w:rsidR="00123137">
        <w:t xml:space="preserve"> flexibility </w:t>
      </w:r>
      <w:proofErr w:type="gramStart"/>
      <w:r w:rsidR="00123137">
        <w:t>with</w:t>
      </w:r>
      <w:r w:rsidR="001C717A">
        <w:t xml:space="preserve"> </w:t>
      </w:r>
      <w:r>
        <w:t>r</w:t>
      </w:r>
      <w:r w:rsidR="00123137">
        <w:t>egard to</w:t>
      </w:r>
      <w:proofErr w:type="gramEnd"/>
      <w:r w:rsidR="00123137">
        <w:t xml:space="preserve"> these forms of development whilst also seeking to minimise adverse impacts</w:t>
      </w:r>
      <w:r w:rsidR="00D91FFB">
        <w:t>.</w:t>
      </w:r>
      <w:r w:rsidR="00123137">
        <w:t xml:space="preserve">  </w:t>
      </w:r>
      <w:r w:rsidR="00CD59EA">
        <w:t xml:space="preserve"> </w:t>
      </w:r>
    </w:p>
    <w:bookmarkEnd w:id="11"/>
    <w:p w14:paraId="02A0F3A4" w14:textId="766BD9C1" w:rsidR="00D91FFB" w:rsidRDefault="0090351C" w:rsidP="0090351C">
      <w:pPr>
        <w:ind w:left="720" w:hanging="720"/>
      </w:pPr>
      <w:r>
        <w:lastRenderedPageBreak/>
        <w:t>4.9.7</w:t>
      </w:r>
      <w:r>
        <w:tab/>
      </w:r>
      <w:r w:rsidR="00C30B82">
        <w:t xml:space="preserve">Paragraphs 3 a – 3 d) </w:t>
      </w:r>
      <w:r w:rsidR="00D45009">
        <w:t xml:space="preserve">of Policy EM1 </w:t>
      </w:r>
      <w:r w:rsidR="00C30B82">
        <w:t xml:space="preserve">address </w:t>
      </w:r>
      <w:r w:rsidR="00021D15">
        <w:t xml:space="preserve">proposals for </w:t>
      </w:r>
      <w:r w:rsidR="00C30B82" w:rsidRPr="00C30B82">
        <w:t>small scale business use within a dwelling or within the curtilage of a dwelling</w:t>
      </w:r>
      <w:r w:rsidR="00C30B82">
        <w:t xml:space="preserve">.  </w:t>
      </w:r>
      <w:r w:rsidR="00123137">
        <w:t xml:space="preserve">As referenced above, Table 2 of </w:t>
      </w:r>
      <w:r w:rsidR="00123137" w:rsidRPr="00123137">
        <w:t>Background Paper 3 (BP.03) highlights the high percentage of business units within Ashfield District which are small scale</w:t>
      </w:r>
      <w:r w:rsidR="00123137">
        <w:t xml:space="preserve">.  </w:t>
      </w:r>
      <w:r w:rsidR="00063D6D" w:rsidRPr="00063D6D">
        <w:t>It is therefore considered that the requirements set out in Policy EM</w:t>
      </w:r>
      <w:r w:rsidR="00063D6D">
        <w:t>1</w:t>
      </w:r>
      <w:r w:rsidR="00063D6D" w:rsidRPr="00063D6D">
        <w:t xml:space="preserve"> </w:t>
      </w:r>
      <w:r w:rsidR="00D45009">
        <w:t xml:space="preserve">3 a) – 3 d) </w:t>
      </w:r>
      <w:r w:rsidR="00063D6D" w:rsidRPr="00063D6D">
        <w:t xml:space="preserve">are justified </w:t>
      </w:r>
      <w:r w:rsidR="000B5A9D">
        <w:t>i</w:t>
      </w:r>
      <w:r w:rsidR="001E372F">
        <w:t>n provid</w:t>
      </w:r>
      <w:r w:rsidR="000B5A9D">
        <w:t>ing</w:t>
      </w:r>
      <w:r w:rsidR="001E372F">
        <w:t xml:space="preserve"> flexibility </w:t>
      </w:r>
      <w:proofErr w:type="gramStart"/>
      <w:r w:rsidR="001E372F">
        <w:t>with regard to</w:t>
      </w:r>
      <w:proofErr w:type="gramEnd"/>
      <w:r w:rsidR="001E372F">
        <w:t xml:space="preserve"> these forms of development whilst also seeking to minimise adverse impacts.  </w:t>
      </w:r>
      <w:r w:rsidR="00123137">
        <w:t xml:space="preserve"> </w:t>
      </w:r>
    </w:p>
    <w:p w14:paraId="288E35EC" w14:textId="441ACB65" w:rsidR="00B71673" w:rsidRDefault="0090351C" w:rsidP="0090351C">
      <w:pPr>
        <w:ind w:left="720" w:hanging="720"/>
      </w:pPr>
      <w:r>
        <w:t>4.9.8</w:t>
      </w:r>
      <w:r>
        <w:tab/>
      </w:r>
      <w:r w:rsidR="00084AE5">
        <w:t>Policy EM3</w:t>
      </w:r>
      <w:r w:rsidR="00ED1504">
        <w:t>:</w:t>
      </w:r>
      <w:r w:rsidR="00084AE5">
        <w:t xml:space="preserve"> </w:t>
      </w:r>
      <w:r w:rsidR="00ED1504">
        <w:t xml:space="preserve">Retention of Employment Sites and Allocations </w:t>
      </w:r>
      <w:r w:rsidR="00084AE5">
        <w:t xml:space="preserve">sets out specific requirements which must be met by applicants in relation to proposals </w:t>
      </w:r>
      <w:r w:rsidR="00A856DB">
        <w:t>which</w:t>
      </w:r>
      <w:r w:rsidR="00084AE5">
        <w:t xml:space="preserve"> would result in the loss of an employment site.  </w:t>
      </w:r>
    </w:p>
    <w:p w14:paraId="4C563EA3" w14:textId="32373A2A" w:rsidR="007754C8" w:rsidRDefault="0090351C" w:rsidP="00E76EC3">
      <w:r>
        <w:t>4.9.9</w:t>
      </w:r>
      <w:r>
        <w:tab/>
      </w:r>
      <w:r w:rsidR="004F55D7">
        <w:t xml:space="preserve">Paragraph 7.4 of the </w:t>
      </w:r>
      <w:r w:rsidR="0043474E">
        <w:t xml:space="preserve">Submission Local Plan </w:t>
      </w:r>
      <w:r w:rsidR="004F55D7">
        <w:t xml:space="preserve">recognises that: </w:t>
      </w:r>
    </w:p>
    <w:p w14:paraId="18508A14" w14:textId="5EB61BD5" w:rsidR="004F55D7" w:rsidRDefault="004F55D7" w:rsidP="004F55D7">
      <w:pPr>
        <w:ind w:left="720"/>
      </w:pPr>
      <w:r>
        <w:t>‘Specific industrial parks/estates, identified as Key Employment Areas, are considered as having a key role in providing for opportunities for jobs and new investment’</w:t>
      </w:r>
    </w:p>
    <w:p w14:paraId="5C13B59A" w14:textId="151EE765" w:rsidR="007754C8" w:rsidRDefault="004F55D7" w:rsidP="0090351C">
      <w:pPr>
        <w:ind w:firstLine="720"/>
      </w:pPr>
      <w:r>
        <w:t>and that these areas:</w:t>
      </w:r>
    </w:p>
    <w:p w14:paraId="750508B9" w14:textId="6E69441E" w:rsidR="004F55D7" w:rsidRDefault="004F55D7" w:rsidP="004F55D7">
      <w:pPr>
        <w:ind w:left="720"/>
      </w:pPr>
      <w:r>
        <w:t>‘</w:t>
      </w:r>
      <w:proofErr w:type="gramStart"/>
      <w:r>
        <w:t>will</w:t>
      </w:r>
      <w:proofErr w:type="gramEnd"/>
      <w:r>
        <w:t xml:space="preserve"> continue to play a crucial role in the economy of the area.  These sites can also help to support less-skilled jobs for less-skilled workers in and near deprived areas.  The Policy does allow for flexibility in relation to </w:t>
      </w:r>
      <w:proofErr w:type="gramStart"/>
      <w:r>
        <w:t>a number of</w:t>
      </w:r>
      <w:proofErr w:type="gramEnd"/>
      <w:r>
        <w:t xml:space="preserve"> uses.’</w:t>
      </w:r>
    </w:p>
    <w:p w14:paraId="7AB02B72" w14:textId="51B907BF" w:rsidR="00E230E5" w:rsidRDefault="0090351C" w:rsidP="0090351C">
      <w:pPr>
        <w:ind w:left="720" w:hanging="720"/>
      </w:pPr>
      <w:r>
        <w:t>4.9.10</w:t>
      </w:r>
      <w:r>
        <w:tab/>
      </w:r>
      <w:r w:rsidR="00E230E5">
        <w:t xml:space="preserve">Para 10.47 of the </w:t>
      </w:r>
      <w:r w:rsidR="00D05AD6">
        <w:t>Employment Land Needs Study, May 2021</w:t>
      </w:r>
      <w:r w:rsidR="002834DE">
        <w:t xml:space="preserve"> (SEV.28)</w:t>
      </w:r>
      <w:r w:rsidR="00D05AD6">
        <w:t>,</w:t>
      </w:r>
      <w:r w:rsidR="00E230E5">
        <w:t xml:space="preserve"> recognises the importance of employment land protection and states:</w:t>
      </w:r>
    </w:p>
    <w:p w14:paraId="26849226" w14:textId="5344840E" w:rsidR="00E230E5" w:rsidRDefault="00E230E5" w:rsidP="0090351C">
      <w:pPr>
        <w:ind w:left="720"/>
      </w:pPr>
      <w:r>
        <w:t>‘In general, there would appear to be a reasonable basis for maintaining an employment land protection policy for key sites in the 8 district’s emerging local plans in line with the allocations already set out in planning policy.  This would ensure that Greater Nottingham can retain its business base and sector strengths, particularly in view of the overall constraints to bringing forward additional employment land due to the tightly defined Green Belt boundaries surrounding Broxtowe, Erewash, Gedling and, to a lesser extent, Rushcliffe and Ashfield.’</w:t>
      </w:r>
    </w:p>
    <w:p w14:paraId="3579D5D2" w14:textId="359451E3" w:rsidR="00060236" w:rsidRDefault="0090351C" w:rsidP="001A16B7">
      <w:r>
        <w:t>4.9.11</w:t>
      </w:r>
      <w:r>
        <w:tab/>
      </w:r>
      <w:r w:rsidR="00060236">
        <w:t>Para 10.49 states:</w:t>
      </w:r>
    </w:p>
    <w:p w14:paraId="65E525D1" w14:textId="38324A3B" w:rsidR="00060236" w:rsidRDefault="00060236" w:rsidP="0090351C">
      <w:pPr>
        <w:ind w:left="720"/>
      </w:pPr>
      <w:r>
        <w:t>‘To protect key employment sites from undesirable redevelopment or from inappropriate conversion for non-employment purposes, the councils may wish to consider adopting a local plan ‘exceptions’ policy which sets out criteria against which such proposals can be evaluated.</w:t>
      </w:r>
      <w:r w:rsidR="00DF2FE3">
        <w:t xml:space="preserve">’  These criteria might include the following and would relate to land currently in use, or was last used, for employment purposes and not allocated in the local plan wholly for non-employment uses.’ </w:t>
      </w:r>
    </w:p>
    <w:p w14:paraId="68A520CB" w14:textId="13E77832" w:rsidR="00DF2FE3" w:rsidRDefault="0090351C" w:rsidP="0090351C">
      <w:pPr>
        <w:ind w:left="720" w:hanging="720"/>
      </w:pPr>
      <w:r>
        <w:t>4.9.12</w:t>
      </w:r>
      <w:r>
        <w:tab/>
      </w:r>
      <w:r w:rsidR="00DF2FE3">
        <w:t>Para 10.49 continues to set out a range of criteria which might be considered</w:t>
      </w:r>
      <w:r w:rsidR="00875084">
        <w:t xml:space="preserve">.  These criteria are reflected in the requirements set out in Policy EM3.  </w:t>
      </w:r>
    </w:p>
    <w:p w14:paraId="6462008A" w14:textId="32F94A15" w:rsidR="00A856DB" w:rsidRDefault="0090351C" w:rsidP="0090351C">
      <w:pPr>
        <w:ind w:left="720" w:hanging="720"/>
      </w:pPr>
      <w:r>
        <w:t>4.9.13</w:t>
      </w:r>
      <w:r>
        <w:tab/>
      </w:r>
      <w:r w:rsidR="0044217E">
        <w:t>Th</w:t>
      </w:r>
      <w:r w:rsidR="0043474E">
        <w:t>e</w:t>
      </w:r>
      <w:r w:rsidR="0044217E">
        <w:t xml:space="preserve"> approach</w:t>
      </w:r>
      <w:r w:rsidR="0043474E">
        <w:t xml:space="preserve"> set out in </w:t>
      </w:r>
      <w:r w:rsidR="004D2775">
        <w:t xml:space="preserve">Policy </w:t>
      </w:r>
      <w:r w:rsidR="0043474E">
        <w:t>EM3</w:t>
      </w:r>
      <w:r w:rsidR="0044217E">
        <w:t xml:space="preserve"> is</w:t>
      </w:r>
      <w:r w:rsidR="00875084">
        <w:t xml:space="preserve"> </w:t>
      </w:r>
      <w:r w:rsidR="00EB2722">
        <w:t xml:space="preserve">consistent with the evidence in </w:t>
      </w:r>
      <w:r w:rsidR="004D2775">
        <w:t xml:space="preserve">the </w:t>
      </w:r>
      <w:r w:rsidR="004D2775" w:rsidRPr="004D2775">
        <w:t>Employment Land Needs Study, May 2021</w:t>
      </w:r>
      <w:r w:rsidR="002834DE">
        <w:t xml:space="preserve"> (SEV.28)</w:t>
      </w:r>
      <w:r w:rsidR="00EB2722">
        <w:t xml:space="preserve">.  It is </w:t>
      </w:r>
      <w:r w:rsidR="00875084">
        <w:t>also</w:t>
      </w:r>
      <w:r w:rsidR="00E230E5">
        <w:t xml:space="preserve"> </w:t>
      </w:r>
      <w:r w:rsidR="0044217E">
        <w:t xml:space="preserve">consistent with national planning policy.  </w:t>
      </w:r>
      <w:r w:rsidR="00A856DB">
        <w:t xml:space="preserve">The </w:t>
      </w:r>
      <w:r w:rsidR="00EF5A00">
        <w:t>N</w:t>
      </w:r>
      <w:r w:rsidR="00A856DB">
        <w:t>PP</w:t>
      </w:r>
      <w:r w:rsidR="00EF5A00">
        <w:t>F</w:t>
      </w:r>
      <w:r w:rsidR="00A856DB">
        <w:t xml:space="preserve"> states that:</w:t>
      </w:r>
    </w:p>
    <w:p w14:paraId="5A1AE5AF" w14:textId="77DE09EA" w:rsidR="00A856DB" w:rsidRDefault="0090351C" w:rsidP="0090351C">
      <w:pPr>
        <w:ind w:left="720" w:hanging="720"/>
      </w:pPr>
      <w:r>
        <w:t>4.9.14</w:t>
      </w:r>
      <w:r>
        <w:tab/>
      </w:r>
      <w:r w:rsidR="00A856DB">
        <w:t>The approach taken should allow each area to</w:t>
      </w:r>
      <w:r w:rsidR="00E8169E">
        <w:t xml:space="preserve"> </w:t>
      </w:r>
      <w:r w:rsidR="00A856DB">
        <w:t>build on its strengths, counter any weaknesses and address the challenges of the future.’ (para 81)</w:t>
      </w:r>
    </w:p>
    <w:p w14:paraId="422DF540" w14:textId="384C209F" w:rsidR="00D91FFB" w:rsidRPr="00D91FFB" w:rsidRDefault="0090351C" w:rsidP="0090351C">
      <w:pPr>
        <w:ind w:left="720" w:hanging="720"/>
      </w:pPr>
      <w:r>
        <w:lastRenderedPageBreak/>
        <w:t>4.9.15</w:t>
      </w:r>
      <w:r>
        <w:tab/>
      </w:r>
      <w:r w:rsidR="00D91FFB" w:rsidRPr="00D91FFB">
        <w:t xml:space="preserve">It is therefore considered </w:t>
      </w:r>
      <w:r w:rsidR="006D6C35">
        <w:t>that</w:t>
      </w:r>
      <w:r w:rsidR="00063D6D">
        <w:t xml:space="preserve"> the requirements set out in</w:t>
      </w:r>
      <w:r w:rsidR="006D6C35">
        <w:t xml:space="preserve"> </w:t>
      </w:r>
      <w:r w:rsidR="00063D6D">
        <w:t xml:space="preserve">Policy EM3 are </w:t>
      </w:r>
      <w:r w:rsidR="006D6C35">
        <w:t>justified</w:t>
      </w:r>
      <w:r w:rsidR="00D91FFB" w:rsidRPr="00D91FFB">
        <w:t xml:space="preserve"> </w:t>
      </w:r>
      <w:r w:rsidR="006D6C35">
        <w:t xml:space="preserve">in </w:t>
      </w:r>
      <w:r w:rsidR="00D91FFB" w:rsidRPr="00D91FFB">
        <w:t>provid</w:t>
      </w:r>
      <w:r w:rsidR="006D6C35">
        <w:t>ing</w:t>
      </w:r>
      <w:r w:rsidR="00D91FFB" w:rsidRPr="00D91FFB">
        <w:t xml:space="preserve"> flexibility </w:t>
      </w:r>
      <w:proofErr w:type="gramStart"/>
      <w:r w:rsidR="00D91FFB" w:rsidRPr="00D91FFB">
        <w:t>with regard to</w:t>
      </w:r>
      <w:proofErr w:type="gramEnd"/>
      <w:r w:rsidR="00D91FFB" w:rsidRPr="00D91FFB">
        <w:t xml:space="preserve"> these forms of</w:t>
      </w:r>
      <w:r w:rsidR="00063D6D">
        <w:t xml:space="preserve"> d</w:t>
      </w:r>
      <w:r w:rsidR="00D91FFB" w:rsidRPr="00D91FFB">
        <w:t xml:space="preserve">evelopment whilst also seeking to minimise adverse impacts.   </w:t>
      </w:r>
    </w:p>
    <w:p w14:paraId="0735DC3F" w14:textId="334F936F" w:rsidR="008B2122" w:rsidRDefault="0090351C" w:rsidP="0090351C">
      <w:pPr>
        <w:ind w:left="720" w:hanging="720"/>
      </w:pPr>
      <w:r>
        <w:t>4.9.16</w:t>
      </w:r>
      <w:r>
        <w:tab/>
      </w:r>
      <w:r w:rsidR="008B2122">
        <w:t>Policy EM4</w:t>
      </w:r>
      <w:r w:rsidR="00DC63E1">
        <w:t>: Rural Development</w:t>
      </w:r>
      <w:r w:rsidR="008B2122">
        <w:t xml:space="preserve"> sets out </w:t>
      </w:r>
      <w:r w:rsidR="008B0A50">
        <w:t xml:space="preserve">requirements which must be met to minimise the impacts of rural development for employment or recreational uses and to protect where appropriate dwellings with restrictive occupancy conditions.     </w:t>
      </w:r>
    </w:p>
    <w:p w14:paraId="0B83228A" w14:textId="2AE5BA00" w:rsidR="008B0A50" w:rsidRDefault="0090351C" w:rsidP="0090351C">
      <w:pPr>
        <w:ind w:left="720" w:hanging="720"/>
      </w:pPr>
      <w:r>
        <w:t>4.9.17</w:t>
      </w:r>
      <w:r>
        <w:tab/>
      </w:r>
      <w:r w:rsidR="009567F1">
        <w:t>The rural nature of large parts of the district is reflected in the Local Plan Vision and Objectives.  Background Paper 1 (BP.01) also highlights that supporting the district’s more rural communities is part of the wide</w:t>
      </w:r>
      <w:r w:rsidR="006714DE">
        <w:t xml:space="preserve">r </w:t>
      </w:r>
      <w:r w:rsidR="009567F1">
        <w:t xml:space="preserve">vision and </w:t>
      </w:r>
      <w:r w:rsidR="006714DE">
        <w:t xml:space="preserve">is </w:t>
      </w:r>
      <w:r w:rsidR="009567F1">
        <w:t xml:space="preserve">reflected in the Strategic Objectives.  </w:t>
      </w:r>
      <w:r w:rsidR="00B83DA2">
        <w:t>Strategic Policy S1: Spatial Strategy to Deliver the Vision recognises:</w:t>
      </w:r>
    </w:p>
    <w:p w14:paraId="02F7D901" w14:textId="6626641F" w:rsidR="00B83DA2" w:rsidRDefault="00A41A77" w:rsidP="0090351C">
      <w:pPr>
        <w:tabs>
          <w:tab w:val="left" w:pos="680"/>
          <w:tab w:val="left" w:pos="1133"/>
          <w:tab w:val="left" w:pos="2267"/>
        </w:tabs>
        <w:spacing w:line="259" w:lineRule="auto"/>
        <w:ind w:left="680" w:right="284"/>
        <w:jc w:val="left"/>
        <w:rPr>
          <w:rFonts w:eastAsia="Arial" w:cs="Arial"/>
          <w:bCs/>
          <w:color w:val="000000"/>
          <w:szCs w:val="24"/>
        </w:rPr>
      </w:pPr>
      <w:r>
        <w:rPr>
          <w:rFonts w:eastAsia="Arial" w:cs="Arial"/>
          <w:bCs/>
          <w:color w:val="000000"/>
          <w:szCs w:val="24"/>
        </w:rPr>
        <w:t>‘</w:t>
      </w:r>
      <w:r w:rsidR="00B83DA2" w:rsidRPr="00B83DA2">
        <w:rPr>
          <w:rFonts w:eastAsia="Arial" w:cs="Arial"/>
          <w:bCs/>
          <w:color w:val="000000"/>
          <w:szCs w:val="24"/>
        </w:rPr>
        <w:t>Limited infill development may be appropriate in small villages/hamlets, provided there is no adverse effect on the scale and character of the area. In all other areas, development will only be considered appropriate where sites are specifically allocated in the Development Plan, or where development is appropriate to the Green Belt or Countryside as set out in Policies EV1 and EV2. In this respect development will be restricted to that which requires a countryside location, meets a local need, or supports rural diversification in accordance with policies in this Local Plan.</w:t>
      </w:r>
      <w:r w:rsidR="00B83DA2">
        <w:rPr>
          <w:rFonts w:eastAsia="Arial" w:cs="Arial"/>
          <w:bCs/>
          <w:color w:val="000000"/>
          <w:szCs w:val="24"/>
        </w:rPr>
        <w:t>’</w:t>
      </w:r>
    </w:p>
    <w:p w14:paraId="5EB31745" w14:textId="4850EDF5" w:rsidR="00415BD9" w:rsidRPr="0090351C" w:rsidRDefault="0090351C" w:rsidP="0090351C">
      <w:pPr>
        <w:tabs>
          <w:tab w:val="left" w:pos="680"/>
          <w:tab w:val="left" w:pos="1133"/>
          <w:tab w:val="left" w:pos="2267"/>
        </w:tabs>
        <w:spacing w:line="259" w:lineRule="auto"/>
        <w:ind w:left="675" w:right="284" w:hanging="675"/>
        <w:jc w:val="left"/>
        <w:rPr>
          <w:rFonts w:eastAsia="Arial" w:cs="Arial"/>
          <w:bCs/>
          <w:color w:val="000000"/>
          <w:szCs w:val="24"/>
        </w:rPr>
      </w:pPr>
      <w:r>
        <w:rPr>
          <w:rFonts w:eastAsia="Arial" w:cs="Arial"/>
          <w:bCs/>
          <w:color w:val="000000"/>
          <w:szCs w:val="24"/>
        </w:rPr>
        <w:t>4.9.18</w:t>
      </w:r>
      <w:r>
        <w:rPr>
          <w:rFonts w:eastAsia="Arial" w:cs="Arial"/>
          <w:bCs/>
          <w:color w:val="000000"/>
          <w:szCs w:val="24"/>
        </w:rPr>
        <w:tab/>
      </w:r>
      <w:r w:rsidR="00B04ED1">
        <w:t xml:space="preserve">Policy EM4 provides more detail in providing flexibility to support appropriate development within rural areas to ensure that they remain viable and sustainable.  </w:t>
      </w:r>
      <w:bookmarkStart w:id="12" w:name="_Hlk184750230"/>
      <w:r w:rsidR="00063D6D" w:rsidRPr="00063D6D">
        <w:t>It is therefore considered that the requirements set out in Policy EM</w:t>
      </w:r>
      <w:r w:rsidR="00063D6D">
        <w:t>4</w:t>
      </w:r>
      <w:r w:rsidR="00063D6D" w:rsidRPr="00063D6D">
        <w:t xml:space="preserve"> are justified </w:t>
      </w:r>
      <w:r w:rsidR="000B5A9D">
        <w:t>in</w:t>
      </w:r>
      <w:r w:rsidR="00415BD9">
        <w:t xml:space="preserve"> support</w:t>
      </w:r>
      <w:r w:rsidR="000B5A9D">
        <w:t>ing</w:t>
      </w:r>
      <w:r w:rsidR="00415BD9">
        <w:t xml:space="preserve"> </w:t>
      </w:r>
      <w:bookmarkEnd w:id="12"/>
      <w:r w:rsidR="00415BD9">
        <w:t xml:space="preserve">diversification in rural areas whilst also seeking to minimise adverse impacts.  </w:t>
      </w:r>
    </w:p>
    <w:p w14:paraId="7F2FC3E5" w14:textId="77777777" w:rsidR="00B71673" w:rsidRPr="001C51F7" w:rsidRDefault="00B71673" w:rsidP="00E76EC3"/>
    <w:p w14:paraId="472D786C" w14:textId="3B20E2DE" w:rsidR="00E76EC3" w:rsidRDefault="00E76EC3" w:rsidP="00E76EC3">
      <w:pPr>
        <w:rPr>
          <w:i/>
          <w:iCs/>
        </w:rPr>
      </w:pPr>
      <w:r w:rsidRPr="002A269E">
        <w:rPr>
          <w:b/>
          <w:bCs/>
          <w:i/>
          <w:iCs/>
        </w:rPr>
        <w:t>4.10 Does Policy EM4 enable the sustainable growth and expansion of businesses in</w:t>
      </w:r>
      <w:r w:rsidR="002A269E">
        <w:rPr>
          <w:b/>
          <w:bCs/>
          <w:i/>
          <w:iCs/>
        </w:rPr>
        <w:t xml:space="preserve"> </w:t>
      </w:r>
      <w:r w:rsidRPr="002A269E">
        <w:rPr>
          <w:b/>
          <w:bCs/>
          <w:i/>
          <w:iCs/>
        </w:rPr>
        <w:t>rural</w:t>
      </w:r>
      <w:r w:rsidR="002A269E">
        <w:rPr>
          <w:b/>
          <w:bCs/>
          <w:i/>
          <w:iCs/>
        </w:rPr>
        <w:t xml:space="preserve"> </w:t>
      </w:r>
      <w:r w:rsidRPr="002A269E">
        <w:rPr>
          <w:b/>
          <w:bCs/>
          <w:i/>
          <w:iCs/>
        </w:rPr>
        <w:t>areas in accordance with Section 6 of the National Planning Policy Framework?</w:t>
      </w:r>
      <w:r w:rsidR="008E1600">
        <w:rPr>
          <w:b/>
          <w:bCs/>
          <w:i/>
          <w:iCs/>
        </w:rPr>
        <w:t xml:space="preserve"> </w:t>
      </w:r>
    </w:p>
    <w:p w14:paraId="56353801" w14:textId="77777777" w:rsidR="00D55D25" w:rsidRPr="00D55D25" w:rsidRDefault="00D55D25" w:rsidP="00D55D25">
      <w:pPr>
        <w:rPr>
          <w:rFonts w:eastAsia="Aptos" w:cs="Times New Roman"/>
          <w:b/>
          <w:bCs/>
          <w:i/>
          <w:iCs/>
          <w:u w:val="single"/>
        </w:rPr>
      </w:pPr>
      <w:r w:rsidRPr="00D55D25">
        <w:rPr>
          <w:rFonts w:ascii="Helvetica" w:eastAsia="Aptos" w:hAnsi="Helvetica" w:cs="Helvetica"/>
          <w:szCs w:val="24"/>
          <w:u w:val="single"/>
        </w:rPr>
        <w:t>Council’s response</w:t>
      </w:r>
    </w:p>
    <w:p w14:paraId="471EA5F8" w14:textId="47C5BD2B" w:rsidR="0034460F" w:rsidRDefault="0034460F" w:rsidP="0034460F">
      <w:pPr>
        <w:ind w:left="720" w:hanging="720"/>
      </w:pPr>
      <w:r>
        <w:t>4.10.1</w:t>
      </w:r>
      <w:r>
        <w:tab/>
      </w:r>
      <w:r w:rsidR="00033649" w:rsidRPr="00033649">
        <w:t>Yes, the polic</w:t>
      </w:r>
      <w:r w:rsidR="00033649">
        <w:t>y</w:t>
      </w:r>
      <w:r w:rsidR="00033649" w:rsidRPr="00033649">
        <w:t xml:space="preserve"> </w:t>
      </w:r>
      <w:r w:rsidR="00033649">
        <w:t>enables the sustainable growth and expansion of businesses in rural areas</w:t>
      </w:r>
      <w:r w:rsidR="00222788">
        <w:t>,</w:t>
      </w:r>
      <w:r w:rsidR="00033649">
        <w:t xml:space="preserve"> </w:t>
      </w:r>
      <w:r w:rsidR="00033649" w:rsidRPr="00033649">
        <w:t xml:space="preserve">as set out in NPPF para </w:t>
      </w:r>
      <w:r w:rsidR="00033649">
        <w:t>84</w:t>
      </w:r>
      <w:r w:rsidR="00033649" w:rsidRPr="00033649">
        <w:t xml:space="preserve"> which states that</w:t>
      </w:r>
      <w:r w:rsidR="00033649">
        <w:t>:</w:t>
      </w:r>
    </w:p>
    <w:p w14:paraId="23576888" w14:textId="6148F653" w:rsidR="00033649" w:rsidRDefault="00033649" w:rsidP="0034460F">
      <w:pPr>
        <w:ind w:left="720"/>
      </w:pPr>
      <w:r>
        <w:t>‘Planning policies and decisions should enable:</w:t>
      </w:r>
    </w:p>
    <w:p w14:paraId="66E48480" w14:textId="77777777" w:rsidR="003E1CAB" w:rsidRDefault="00033649" w:rsidP="00033649">
      <w:pPr>
        <w:pStyle w:val="ListParagraph"/>
        <w:numPr>
          <w:ilvl w:val="0"/>
          <w:numId w:val="14"/>
        </w:numPr>
      </w:pPr>
      <w:r>
        <w:t>the sustainable growth and expansion of all types of business in rural areas</w:t>
      </w:r>
      <w:r w:rsidR="003E1CAB">
        <w:t xml:space="preserve">, both through conversion of existing buildings and well-designed new </w:t>
      </w:r>
      <w:proofErr w:type="gramStart"/>
      <w:r w:rsidR="003E1CAB">
        <w:t>buildings;</w:t>
      </w:r>
      <w:proofErr w:type="gramEnd"/>
    </w:p>
    <w:p w14:paraId="1686BBA3" w14:textId="15FB3494" w:rsidR="00033649" w:rsidRPr="00033649" w:rsidRDefault="003E1CAB" w:rsidP="00033649">
      <w:pPr>
        <w:pStyle w:val="ListParagraph"/>
        <w:numPr>
          <w:ilvl w:val="0"/>
          <w:numId w:val="14"/>
        </w:numPr>
      </w:pPr>
      <w:r>
        <w:t xml:space="preserve">the development and diversification of agricultural and other land-based rural </w:t>
      </w:r>
      <w:proofErr w:type="gramStart"/>
      <w:r>
        <w:t>businesses</w:t>
      </w:r>
      <w:r w:rsidR="00033649">
        <w:t>’</w:t>
      </w:r>
      <w:proofErr w:type="gramEnd"/>
      <w:r w:rsidR="00033649">
        <w:t xml:space="preserve">.  </w:t>
      </w:r>
    </w:p>
    <w:p w14:paraId="49D91203" w14:textId="7C28C37B" w:rsidR="00033649" w:rsidRPr="00033649" w:rsidRDefault="0034460F" w:rsidP="0034460F">
      <w:pPr>
        <w:ind w:left="720" w:hanging="720"/>
      </w:pPr>
      <w:r>
        <w:t>4.10.1</w:t>
      </w:r>
      <w:r>
        <w:tab/>
      </w:r>
      <w:r w:rsidR="00033649" w:rsidRPr="00033649">
        <w:t xml:space="preserve">The supporting text to </w:t>
      </w:r>
      <w:r w:rsidR="00484C84">
        <w:t>P</w:t>
      </w:r>
      <w:r w:rsidR="00033649" w:rsidRPr="00033649">
        <w:t>olic</w:t>
      </w:r>
      <w:r w:rsidR="00484C84">
        <w:t>y EM4</w:t>
      </w:r>
      <w:r w:rsidR="00033649" w:rsidRPr="00033649">
        <w:t xml:space="preserve"> provides further </w:t>
      </w:r>
      <w:r w:rsidR="0047066D">
        <w:t xml:space="preserve">policy </w:t>
      </w:r>
      <w:r w:rsidR="00033649" w:rsidRPr="00033649">
        <w:t>detail.</w:t>
      </w:r>
      <w:r w:rsidR="00793B46">
        <w:t xml:space="preserve">  Paragraph 7.15 </w:t>
      </w:r>
      <w:r w:rsidR="00D108A4">
        <w:t xml:space="preserve">of the supporting text </w:t>
      </w:r>
      <w:r w:rsidR="00793B46">
        <w:t xml:space="preserve">recognises the importance of ‘the need to promote appropriate development within rural areas to ensure that they remain viable and sustainable, meeting the needs of their resident population.  The Policy is intended to provide flexibility in providing premises whilst protecting the Green Belt and countryside.’    </w:t>
      </w:r>
    </w:p>
    <w:p w14:paraId="282B4766" w14:textId="77777777" w:rsidR="00566B7C" w:rsidRPr="001C51F7" w:rsidRDefault="00566B7C" w:rsidP="00E76EC3"/>
    <w:p w14:paraId="3FE12BB7" w14:textId="1664F07A" w:rsidR="00E76EC3" w:rsidRPr="002A269E" w:rsidRDefault="00E76EC3" w:rsidP="00E76EC3">
      <w:pPr>
        <w:rPr>
          <w:b/>
          <w:bCs/>
          <w:i/>
          <w:iCs/>
        </w:rPr>
      </w:pPr>
      <w:r w:rsidRPr="002A269E">
        <w:rPr>
          <w:b/>
          <w:bCs/>
          <w:i/>
          <w:iCs/>
        </w:rPr>
        <w:lastRenderedPageBreak/>
        <w:t>4.11 Do Policies EM1 – EM5 provide clear direction as to how a decision maker should</w:t>
      </w:r>
      <w:r w:rsidR="002A269E">
        <w:rPr>
          <w:b/>
          <w:bCs/>
          <w:i/>
          <w:iCs/>
        </w:rPr>
        <w:t xml:space="preserve"> </w:t>
      </w:r>
      <w:r w:rsidRPr="002A269E">
        <w:rPr>
          <w:b/>
          <w:bCs/>
          <w:i/>
          <w:iCs/>
        </w:rPr>
        <w:t>react</w:t>
      </w:r>
      <w:r w:rsidR="002A269E">
        <w:rPr>
          <w:b/>
          <w:bCs/>
          <w:i/>
          <w:iCs/>
        </w:rPr>
        <w:t xml:space="preserve"> </w:t>
      </w:r>
      <w:r w:rsidRPr="002A269E">
        <w:rPr>
          <w:b/>
          <w:bCs/>
          <w:i/>
          <w:iCs/>
        </w:rPr>
        <w:t>to a development proposal?</w:t>
      </w:r>
      <w:r w:rsidR="008E1600">
        <w:rPr>
          <w:b/>
          <w:bCs/>
          <w:i/>
          <w:iCs/>
        </w:rPr>
        <w:t xml:space="preserve"> </w:t>
      </w:r>
    </w:p>
    <w:p w14:paraId="7E3D61D4" w14:textId="77777777" w:rsidR="00D55D25" w:rsidRPr="00D55D25" w:rsidRDefault="00D55D25" w:rsidP="00D55D25">
      <w:pPr>
        <w:rPr>
          <w:rFonts w:eastAsia="Aptos" w:cs="Times New Roman"/>
          <w:b/>
          <w:bCs/>
          <w:i/>
          <w:iCs/>
          <w:u w:val="single"/>
        </w:rPr>
      </w:pPr>
      <w:r w:rsidRPr="00D55D25">
        <w:rPr>
          <w:rFonts w:ascii="Helvetica" w:eastAsia="Aptos" w:hAnsi="Helvetica" w:cs="Helvetica"/>
          <w:szCs w:val="24"/>
          <w:u w:val="single"/>
        </w:rPr>
        <w:t>Council’s response</w:t>
      </w:r>
    </w:p>
    <w:p w14:paraId="5D90C163" w14:textId="4DD611B2" w:rsidR="0026422E" w:rsidRDefault="00BF3DE6" w:rsidP="00BF3DE6">
      <w:pPr>
        <w:ind w:left="720" w:hanging="720"/>
      </w:pPr>
      <w:r>
        <w:t>4.11.1</w:t>
      </w:r>
      <w:r>
        <w:tab/>
      </w:r>
      <w:r w:rsidR="0026422E">
        <w:t xml:space="preserve">Yes, the policies provide clear direction as set out in NPPF para </w:t>
      </w:r>
      <w:r w:rsidR="00FD6C27">
        <w:t>16 d)</w:t>
      </w:r>
      <w:r w:rsidR="00FD6C27" w:rsidRPr="00FD6C27">
        <w:t xml:space="preserve"> </w:t>
      </w:r>
      <w:r w:rsidR="00FD6C27">
        <w:t>which states that plans should ‘</w:t>
      </w:r>
      <w:r w:rsidR="00FD6C27" w:rsidRPr="00FD6C27">
        <w:t xml:space="preserve">contain policies that are clearly written and unambiguous, so it is evident how a decision maker should react to development </w:t>
      </w:r>
      <w:proofErr w:type="gramStart"/>
      <w:r w:rsidR="00FD6C27" w:rsidRPr="00FD6C27">
        <w:t>proposals</w:t>
      </w:r>
      <w:r w:rsidR="00FD6C27">
        <w:t>’</w:t>
      </w:r>
      <w:proofErr w:type="gramEnd"/>
      <w:r w:rsidR="00FD6C27">
        <w:t xml:space="preserve">.  </w:t>
      </w:r>
      <w:r w:rsidR="00FD6C27" w:rsidRPr="00FD6C27">
        <w:t xml:space="preserve"> </w:t>
      </w:r>
      <w:r w:rsidR="00FD6C27">
        <w:t xml:space="preserve"> </w:t>
      </w:r>
    </w:p>
    <w:p w14:paraId="4980D8C6" w14:textId="0953393D" w:rsidR="006C501F" w:rsidRDefault="00BF3DE6" w:rsidP="00BF3DE6">
      <w:pPr>
        <w:ind w:left="720" w:hanging="720"/>
      </w:pPr>
      <w:r>
        <w:t>4.11.2</w:t>
      </w:r>
      <w:r>
        <w:tab/>
      </w:r>
      <w:r w:rsidR="006C501F">
        <w:t xml:space="preserve">The supporting text </w:t>
      </w:r>
      <w:r w:rsidR="0026422E">
        <w:t xml:space="preserve">to these policies </w:t>
      </w:r>
      <w:r w:rsidR="006C501F">
        <w:t>provides further detail and refers to the evidence base.</w:t>
      </w:r>
    </w:p>
    <w:p w14:paraId="35E052E6" w14:textId="20B4C857" w:rsidR="00B71673" w:rsidRDefault="006C501F" w:rsidP="00E76EC3">
      <w:r>
        <w:t xml:space="preserve"> </w:t>
      </w:r>
    </w:p>
    <w:p w14:paraId="695B327B" w14:textId="70F54DAF" w:rsidR="00E76EC3" w:rsidRDefault="00E76EC3" w:rsidP="00E76EC3">
      <w:pPr>
        <w:rPr>
          <w:b/>
          <w:bCs/>
          <w:i/>
          <w:iCs/>
        </w:rPr>
      </w:pPr>
      <w:r w:rsidRPr="002A269E">
        <w:rPr>
          <w:b/>
          <w:bCs/>
          <w:i/>
          <w:iCs/>
        </w:rPr>
        <w:t>4.12 Do the policies serve a clear purpose, avoiding unnecessary duplication of national</w:t>
      </w:r>
      <w:r w:rsidR="002A269E">
        <w:rPr>
          <w:b/>
          <w:bCs/>
          <w:i/>
          <w:iCs/>
        </w:rPr>
        <w:t xml:space="preserve"> </w:t>
      </w:r>
      <w:r w:rsidRPr="002A269E">
        <w:rPr>
          <w:b/>
          <w:bCs/>
          <w:i/>
          <w:iCs/>
        </w:rPr>
        <w:t>policy? Is the wording consistent with national policy?</w:t>
      </w:r>
    </w:p>
    <w:p w14:paraId="6AD0BF57" w14:textId="77777777" w:rsidR="00D55D25" w:rsidRPr="00D55D25" w:rsidRDefault="00D55D25" w:rsidP="00D55D25">
      <w:pPr>
        <w:rPr>
          <w:rFonts w:eastAsia="Aptos" w:cs="Times New Roman"/>
          <w:b/>
          <w:bCs/>
          <w:i/>
          <w:iCs/>
          <w:u w:val="single"/>
        </w:rPr>
      </w:pPr>
      <w:r w:rsidRPr="00D55D25">
        <w:rPr>
          <w:rFonts w:ascii="Helvetica" w:eastAsia="Aptos" w:hAnsi="Helvetica" w:cs="Helvetica"/>
          <w:szCs w:val="24"/>
          <w:u w:val="single"/>
        </w:rPr>
        <w:t>Council’s response</w:t>
      </w:r>
    </w:p>
    <w:p w14:paraId="4AE5E49C" w14:textId="4B3893F7" w:rsidR="009D2FBA" w:rsidRPr="009D2FBA" w:rsidRDefault="00BF3DE6" w:rsidP="00BF3DE6">
      <w:pPr>
        <w:ind w:left="720" w:hanging="720"/>
      </w:pPr>
      <w:r>
        <w:t>4.12.1</w:t>
      </w:r>
      <w:r>
        <w:tab/>
      </w:r>
      <w:bookmarkStart w:id="13" w:name="_Hlk184891530"/>
      <w:r w:rsidR="009D2FBA" w:rsidRPr="009D2FBA">
        <w:t xml:space="preserve">Yes, the policies </w:t>
      </w:r>
      <w:r w:rsidR="007C746B">
        <w:t>serve a clear purpose</w:t>
      </w:r>
      <w:r w:rsidR="009D2FBA" w:rsidRPr="009D2FBA">
        <w:t xml:space="preserve"> </w:t>
      </w:r>
      <w:r w:rsidR="00772491">
        <w:t xml:space="preserve">and avoid unnecessary repetition of national policy, </w:t>
      </w:r>
      <w:bookmarkEnd w:id="13"/>
      <w:r w:rsidR="009D2FBA" w:rsidRPr="009D2FBA">
        <w:t xml:space="preserve">as set out in NPPF para 16 </w:t>
      </w:r>
      <w:r w:rsidR="009D2FBA">
        <w:t>f</w:t>
      </w:r>
      <w:r w:rsidR="009D2FBA" w:rsidRPr="009D2FBA">
        <w:t>) which states that plans should ‘</w:t>
      </w:r>
      <w:r w:rsidR="009D2FBA">
        <w:t>serve a clear purpose, avoiding unnecessary duplication of policies that apply to a particular area (including policies in this Framework, where relevant)’.</w:t>
      </w:r>
      <w:r w:rsidR="009D2FBA" w:rsidRPr="009D2FBA">
        <w:t xml:space="preserve">    </w:t>
      </w:r>
    </w:p>
    <w:p w14:paraId="70800837" w14:textId="34236EC5" w:rsidR="009D2FBA" w:rsidRPr="009D2FBA" w:rsidRDefault="00BF3DE6" w:rsidP="00BF3DE6">
      <w:pPr>
        <w:ind w:left="720" w:hanging="720"/>
      </w:pPr>
      <w:r>
        <w:t>4.12.2</w:t>
      </w:r>
      <w:r>
        <w:tab/>
      </w:r>
      <w:r w:rsidR="009D2FBA" w:rsidRPr="009D2FBA">
        <w:t>The supporting text to these policies provides further detail and refers to the evidence base.</w:t>
      </w:r>
    </w:p>
    <w:p w14:paraId="7B01CA3F" w14:textId="77777777" w:rsidR="00B71673" w:rsidRPr="00122139" w:rsidRDefault="00B71673" w:rsidP="00E76EC3"/>
    <w:p w14:paraId="6AAC8866" w14:textId="77777777" w:rsidR="00E76EC3" w:rsidRPr="002A269E" w:rsidRDefault="00E76EC3" w:rsidP="00B71673">
      <w:pPr>
        <w:pStyle w:val="Heading3"/>
        <w:rPr>
          <w:i/>
          <w:iCs/>
        </w:rPr>
      </w:pPr>
      <w:r w:rsidRPr="002A269E">
        <w:rPr>
          <w:i/>
          <w:iCs/>
        </w:rPr>
        <w:t>Retail and Town Centres</w:t>
      </w:r>
    </w:p>
    <w:p w14:paraId="629B35B5" w14:textId="77777777" w:rsidR="00B71673" w:rsidRPr="002A269E" w:rsidRDefault="00B71673" w:rsidP="00E76EC3">
      <w:pPr>
        <w:rPr>
          <w:b/>
          <w:bCs/>
          <w:i/>
          <w:iCs/>
        </w:rPr>
      </w:pPr>
    </w:p>
    <w:p w14:paraId="40122E29" w14:textId="0B589BCD" w:rsidR="00E76EC3" w:rsidRDefault="00E76EC3" w:rsidP="00E76EC3">
      <w:pPr>
        <w:rPr>
          <w:i/>
          <w:iCs/>
        </w:rPr>
      </w:pPr>
      <w:r w:rsidRPr="002A269E">
        <w:rPr>
          <w:b/>
          <w:bCs/>
          <w:i/>
          <w:iCs/>
        </w:rPr>
        <w:t>4.13 Is there a need for any additional retail floorspace over the plan period? If so, what</w:t>
      </w:r>
      <w:r w:rsidR="002A269E">
        <w:rPr>
          <w:b/>
          <w:bCs/>
          <w:i/>
          <w:iCs/>
        </w:rPr>
        <w:t xml:space="preserve"> </w:t>
      </w:r>
      <w:r w:rsidRPr="002A269E">
        <w:rPr>
          <w:b/>
          <w:bCs/>
          <w:i/>
          <w:iCs/>
        </w:rPr>
        <w:t>quantity is required and whe</w:t>
      </w:r>
      <w:r w:rsidR="00E7771C">
        <w:rPr>
          <w:b/>
          <w:bCs/>
          <w:i/>
          <w:iCs/>
        </w:rPr>
        <w:t>r</w:t>
      </w:r>
      <w:r w:rsidRPr="002A269E">
        <w:rPr>
          <w:b/>
          <w:bCs/>
          <w:i/>
          <w:iCs/>
        </w:rPr>
        <w:t>e?</w:t>
      </w:r>
      <w:r w:rsidR="008E1600">
        <w:rPr>
          <w:b/>
          <w:bCs/>
          <w:i/>
          <w:iCs/>
        </w:rPr>
        <w:t xml:space="preserve"> </w:t>
      </w:r>
    </w:p>
    <w:p w14:paraId="646152AA" w14:textId="2C5D226F" w:rsidR="00D55D25" w:rsidRPr="00D55D25" w:rsidRDefault="00D55D25" w:rsidP="00D55D25">
      <w:pPr>
        <w:rPr>
          <w:rFonts w:eastAsia="Aptos" w:cs="Times New Roman"/>
          <w:b/>
          <w:bCs/>
          <w:i/>
          <w:iCs/>
          <w:u w:val="single"/>
        </w:rPr>
      </w:pPr>
      <w:r w:rsidRPr="00D55D25">
        <w:rPr>
          <w:rFonts w:ascii="Helvetica" w:eastAsia="Aptos" w:hAnsi="Helvetica" w:cs="Helvetica"/>
          <w:szCs w:val="24"/>
          <w:u w:val="single"/>
        </w:rPr>
        <w:t>Council’s response</w:t>
      </w:r>
    </w:p>
    <w:p w14:paraId="7C709BEF" w14:textId="42AFA4D1" w:rsidR="0027600A" w:rsidRDefault="00BF3DE6" w:rsidP="00BF3DE6">
      <w:pPr>
        <w:spacing w:after="0" w:line="240" w:lineRule="auto"/>
        <w:ind w:left="720" w:hanging="720"/>
        <w:jc w:val="left"/>
        <w:rPr>
          <w:rFonts w:eastAsia="Aptos" w:cs="Arial"/>
          <w:szCs w:val="24"/>
          <w14:ligatures w14:val="standardContextual"/>
        </w:rPr>
      </w:pPr>
      <w:r>
        <w:rPr>
          <w:rFonts w:eastAsia="Aptos" w:cs="Arial"/>
          <w:szCs w:val="24"/>
          <w14:ligatures w14:val="standardContextual"/>
        </w:rPr>
        <w:t>4.13.1</w:t>
      </w:r>
      <w:r>
        <w:rPr>
          <w:rFonts w:eastAsia="Aptos" w:cs="Arial"/>
          <w:szCs w:val="24"/>
          <w14:ligatures w14:val="standardContextual"/>
        </w:rPr>
        <w:tab/>
      </w:r>
      <w:r w:rsidR="00D2408D">
        <w:rPr>
          <w:rFonts w:eastAsia="Aptos" w:cs="Arial"/>
          <w:szCs w:val="24"/>
          <w14:ligatures w14:val="standardContextual"/>
        </w:rPr>
        <w:t xml:space="preserve">Due to </w:t>
      </w:r>
      <w:r w:rsidR="0027600A" w:rsidRPr="0027600A">
        <w:rPr>
          <w:rFonts w:eastAsia="Aptos" w:cs="Arial"/>
          <w:szCs w:val="24"/>
          <w14:ligatures w14:val="standardContextual"/>
        </w:rPr>
        <w:t>the economic conditions</w:t>
      </w:r>
      <w:r w:rsidR="003E58E9">
        <w:rPr>
          <w:rFonts w:eastAsia="Aptos" w:cs="Arial"/>
          <w:szCs w:val="24"/>
          <w14:ligatures w14:val="standardContextual"/>
        </w:rPr>
        <w:t xml:space="preserve"> in 2023</w:t>
      </w:r>
      <w:r w:rsidR="0027600A" w:rsidRPr="0027600A">
        <w:rPr>
          <w:rFonts w:eastAsia="Aptos" w:cs="Arial"/>
          <w:szCs w:val="24"/>
          <w14:ligatures w14:val="standardContextual"/>
        </w:rPr>
        <w:t xml:space="preserve"> (and having had an advisory meeting with an Inspector</w:t>
      </w:r>
      <w:r w:rsidR="00D2408D">
        <w:rPr>
          <w:rFonts w:eastAsia="Aptos" w:cs="Arial"/>
          <w:szCs w:val="24"/>
          <w14:ligatures w14:val="standardContextual"/>
        </w:rPr>
        <w:t xml:space="preserve"> </w:t>
      </w:r>
      <w:r w:rsidR="00223135">
        <w:rPr>
          <w:rFonts w:eastAsia="Aptos" w:cs="Arial"/>
          <w:szCs w:val="24"/>
          <w14:ligatures w14:val="standardContextual"/>
        </w:rPr>
        <w:t xml:space="preserve">in 2023 </w:t>
      </w:r>
      <w:r w:rsidR="0027600A" w:rsidRPr="0027600A">
        <w:rPr>
          <w:rFonts w:eastAsia="Aptos" w:cs="Arial"/>
          <w:szCs w:val="24"/>
          <w14:ligatures w14:val="standardContextual"/>
        </w:rPr>
        <w:t xml:space="preserve">where the matter was discussed and recorded in meeting notes) </w:t>
      </w:r>
      <w:r w:rsidR="00D2408D">
        <w:rPr>
          <w:rFonts w:eastAsia="Aptos" w:cs="Arial"/>
          <w:szCs w:val="24"/>
          <w14:ligatures w14:val="standardContextual"/>
        </w:rPr>
        <w:t>the Council concluded at that time that an updated quantitative assessment was not necessary.  A</w:t>
      </w:r>
      <w:r w:rsidR="0027600A" w:rsidRPr="0027600A">
        <w:rPr>
          <w:rFonts w:eastAsia="Aptos" w:cs="Arial"/>
          <w:szCs w:val="24"/>
          <w14:ligatures w14:val="standardContextual"/>
        </w:rPr>
        <w:t xml:space="preserve"> qualitative approach </w:t>
      </w:r>
      <w:r w:rsidR="003E58E9">
        <w:rPr>
          <w:rFonts w:eastAsia="Aptos" w:cs="Arial"/>
          <w:szCs w:val="24"/>
          <w14:ligatures w14:val="standardContextual"/>
        </w:rPr>
        <w:t xml:space="preserve">reflected the Inspector’s comments and </w:t>
      </w:r>
      <w:proofErr w:type="gramStart"/>
      <w:r w:rsidR="003E58E9">
        <w:rPr>
          <w:rFonts w:eastAsia="Aptos" w:cs="Arial"/>
          <w:szCs w:val="24"/>
          <w14:ligatures w14:val="standardContextual"/>
        </w:rPr>
        <w:t xml:space="preserve">was </w:t>
      </w:r>
      <w:r w:rsidR="00D2408D">
        <w:rPr>
          <w:rFonts w:eastAsia="Aptos" w:cs="Arial"/>
          <w:szCs w:val="24"/>
          <w14:ligatures w14:val="standardContextual"/>
        </w:rPr>
        <w:t>considered to be</w:t>
      </w:r>
      <w:proofErr w:type="gramEnd"/>
      <w:r w:rsidR="00D2408D">
        <w:rPr>
          <w:rFonts w:eastAsia="Aptos" w:cs="Arial"/>
          <w:szCs w:val="24"/>
          <w14:ligatures w14:val="standardContextual"/>
        </w:rPr>
        <w:t xml:space="preserve"> </w:t>
      </w:r>
      <w:r w:rsidR="0027600A" w:rsidRPr="0027600A">
        <w:rPr>
          <w:rFonts w:eastAsia="Aptos" w:cs="Arial"/>
          <w:szCs w:val="24"/>
          <w14:ligatures w14:val="standardContextual"/>
        </w:rPr>
        <w:t xml:space="preserve">the most appropriate way forward </w:t>
      </w:r>
      <w:r w:rsidR="00D2408D">
        <w:rPr>
          <w:rFonts w:eastAsia="Aptos" w:cs="Arial"/>
          <w:szCs w:val="24"/>
          <w14:ligatures w14:val="standardContextual"/>
        </w:rPr>
        <w:t>and this led to the preparation of town masterplans</w:t>
      </w:r>
      <w:r w:rsidR="000E7380">
        <w:rPr>
          <w:rFonts w:eastAsia="Aptos" w:cs="Arial"/>
          <w:szCs w:val="24"/>
          <w14:ligatures w14:val="standardContextual"/>
        </w:rPr>
        <w:t xml:space="preserve">, </w:t>
      </w:r>
      <w:r w:rsidR="00252289">
        <w:rPr>
          <w:rFonts w:eastAsia="Aptos" w:cs="Arial"/>
          <w:szCs w:val="24"/>
          <w14:ligatures w14:val="standardContextual"/>
        </w:rPr>
        <w:t>including</w:t>
      </w:r>
      <w:r w:rsidR="002D6728">
        <w:rPr>
          <w:rFonts w:eastAsia="Aptos" w:cs="Arial"/>
          <w:szCs w:val="24"/>
          <w14:ligatures w14:val="standardContextual"/>
        </w:rPr>
        <w:t xml:space="preserve"> identification of</w:t>
      </w:r>
      <w:r w:rsidR="00252289">
        <w:rPr>
          <w:rFonts w:eastAsia="Aptos" w:cs="Arial"/>
          <w:szCs w:val="24"/>
          <w14:ligatures w14:val="standardContextual"/>
        </w:rPr>
        <w:t xml:space="preserve"> key development opportunity sites.  The Town Masterplans </w:t>
      </w:r>
      <w:r w:rsidR="000E7380">
        <w:rPr>
          <w:rFonts w:eastAsia="Aptos" w:cs="Arial"/>
          <w:szCs w:val="24"/>
          <w14:ligatures w14:val="standardContextual"/>
        </w:rPr>
        <w:t>are considered in more detail in Inspectors’ Question</w:t>
      </w:r>
      <w:r w:rsidR="008611F4">
        <w:rPr>
          <w:rFonts w:eastAsia="Aptos" w:cs="Arial"/>
          <w:szCs w:val="24"/>
          <w14:ligatures w14:val="standardContextual"/>
        </w:rPr>
        <w:t xml:space="preserve"> 4.15.  </w:t>
      </w:r>
    </w:p>
    <w:p w14:paraId="33C88DA0" w14:textId="77777777" w:rsidR="0027600A" w:rsidRDefault="0027600A" w:rsidP="00E76EC3"/>
    <w:p w14:paraId="4C6A3FB7" w14:textId="73B620E9" w:rsidR="00E76EC3" w:rsidRDefault="00E76EC3" w:rsidP="00E76EC3">
      <w:pPr>
        <w:rPr>
          <w:b/>
          <w:bCs/>
          <w:i/>
          <w:iCs/>
        </w:rPr>
      </w:pPr>
      <w:r w:rsidRPr="002A269E">
        <w:rPr>
          <w:b/>
          <w:bCs/>
          <w:i/>
          <w:iCs/>
        </w:rPr>
        <w:t>4.14 How will circumstances under which ‘where appropriate’ in Policy S11 be defined and</w:t>
      </w:r>
      <w:r w:rsidR="002A269E">
        <w:rPr>
          <w:b/>
          <w:bCs/>
          <w:i/>
          <w:iCs/>
        </w:rPr>
        <w:t xml:space="preserve"> </w:t>
      </w:r>
      <w:r w:rsidRPr="002A269E">
        <w:rPr>
          <w:b/>
          <w:bCs/>
          <w:i/>
          <w:iCs/>
        </w:rPr>
        <w:t>operated? Is this consistent with the Council’s evidence base in the Town Centre Study?</w:t>
      </w:r>
      <w:r w:rsidR="000136A7">
        <w:rPr>
          <w:b/>
          <w:bCs/>
          <w:i/>
          <w:iCs/>
        </w:rPr>
        <w:t xml:space="preserve"> </w:t>
      </w:r>
    </w:p>
    <w:p w14:paraId="32A413DA" w14:textId="0445C990" w:rsidR="00D55D25" w:rsidRPr="00D55D25" w:rsidRDefault="00D55D25" w:rsidP="00E76EC3">
      <w:pPr>
        <w:rPr>
          <w:u w:val="single"/>
        </w:rPr>
      </w:pPr>
      <w:r w:rsidRPr="00D55D25">
        <w:rPr>
          <w:u w:val="single"/>
        </w:rPr>
        <w:t>Council’s response</w:t>
      </w:r>
    </w:p>
    <w:p w14:paraId="1FDF415A" w14:textId="3BDAA3BF" w:rsidR="00706497" w:rsidRPr="00706497" w:rsidRDefault="00BF3DE6" w:rsidP="00706497">
      <w:r>
        <w:t>4.14.1</w:t>
      </w:r>
      <w:r>
        <w:tab/>
      </w:r>
      <w:r w:rsidR="00706497" w:rsidRPr="00706497">
        <w:t>The Inspector refers to criterion 5 of Policy S11 which sets out that:</w:t>
      </w:r>
    </w:p>
    <w:p w14:paraId="52DAE380" w14:textId="77777777" w:rsidR="00706497" w:rsidRPr="00706497" w:rsidRDefault="00706497" w:rsidP="00BF3DE6">
      <w:pPr>
        <w:ind w:left="720"/>
        <w:rPr>
          <w:i/>
          <w:iCs/>
        </w:rPr>
      </w:pPr>
      <w:r w:rsidRPr="00706497">
        <w:rPr>
          <w:bCs/>
          <w:i/>
          <w:iCs/>
        </w:rPr>
        <w:lastRenderedPageBreak/>
        <w:t xml:space="preserve">“The Council will require a sequential test and, where appropriate, an impact assessment for proposed development for main town centre uses which are outside the town centres”.   </w:t>
      </w:r>
    </w:p>
    <w:p w14:paraId="32567C1E" w14:textId="4EAA7009" w:rsidR="00706497" w:rsidRPr="00706497" w:rsidRDefault="00BF3DE6" w:rsidP="00BF3DE6">
      <w:pPr>
        <w:ind w:left="720" w:hanging="720"/>
      </w:pPr>
      <w:r>
        <w:t>4.14.2</w:t>
      </w:r>
      <w:r>
        <w:tab/>
      </w:r>
      <w:r w:rsidR="00706497" w:rsidRPr="00706497">
        <w:t>We agree that this wording, in isolation, is ambiguous.  The matter is properly dealt with at Policy SH 1, criterion 4b.  Here, Policy SH 1 sets out the context for ‘where appropriate’ in Policy S11 (i.e. where a retail or leisure proposal exceeds 300 square metres gross floorspace).</w:t>
      </w:r>
    </w:p>
    <w:p w14:paraId="526BD096" w14:textId="1477D4CC" w:rsidR="00696B9B" w:rsidRDefault="00BF3DE6" w:rsidP="00696B9B">
      <w:pPr>
        <w:ind w:left="720" w:hanging="720"/>
      </w:pPr>
      <w:r>
        <w:t>4.14.3</w:t>
      </w:r>
      <w:r>
        <w:tab/>
      </w:r>
      <w:r w:rsidR="00706497" w:rsidRPr="00706497">
        <w:t xml:space="preserve">We suggest that the wording of the relevant part of Policy S11 be minorly amended </w:t>
      </w:r>
      <w:r w:rsidR="00696B9B">
        <w:t>as set out below.</w:t>
      </w:r>
    </w:p>
    <w:tbl>
      <w:tblPr>
        <w:tblStyle w:val="TableGrid"/>
        <w:tblW w:w="8788" w:type="dxa"/>
        <w:tblInd w:w="846" w:type="dxa"/>
        <w:shd w:val="clear" w:color="auto" w:fill="D9D9D9" w:themeFill="background1" w:themeFillShade="D9"/>
        <w:tblLook w:val="04A0" w:firstRow="1" w:lastRow="0" w:firstColumn="1" w:lastColumn="0" w:noHBand="0" w:noVBand="1"/>
      </w:tblPr>
      <w:tblGrid>
        <w:gridCol w:w="8788"/>
      </w:tblGrid>
      <w:tr w:rsidR="00934C6C" w14:paraId="1AC70045" w14:textId="77777777" w:rsidTr="0036476B">
        <w:tc>
          <w:tcPr>
            <w:tcW w:w="8788" w:type="dxa"/>
            <w:shd w:val="clear" w:color="auto" w:fill="D9D9D9" w:themeFill="background1" w:themeFillShade="D9"/>
          </w:tcPr>
          <w:p w14:paraId="4E2F51C6" w14:textId="77777777" w:rsidR="00934C6C" w:rsidRPr="00E86EB5" w:rsidRDefault="00934C6C" w:rsidP="0036476B">
            <w:pPr>
              <w:spacing w:after="160" w:line="252" w:lineRule="auto"/>
              <w:jc w:val="left"/>
              <w:rPr>
                <w:b/>
                <w:bCs/>
                <w:kern w:val="2"/>
                <w14:ligatures w14:val="standardContextual"/>
              </w:rPr>
            </w:pPr>
            <w:r w:rsidRPr="00E86EB5">
              <w:rPr>
                <w:b/>
                <w:bCs/>
                <w:kern w:val="2"/>
                <w14:ligatures w14:val="standardContextual"/>
              </w:rPr>
              <w:t>P</w:t>
            </w:r>
            <w:r>
              <w:rPr>
                <w:b/>
                <w:bCs/>
                <w:kern w:val="2"/>
                <w14:ligatures w14:val="standardContextual"/>
              </w:rPr>
              <w:t>roposed</w:t>
            </w:r>
            <w:r w:rsidRPr="00E86EB5">
              <w:rPr>
                <w:b/>
                <w:bCs/>
                <w:kern w:val="2"/>
                <w14:ligatures w14:val="standardContextual"/>
              </w:rPr>
              <w:t xml:space="preserve"> </w:t>
            </w:r>
            <w:r>
              <w:rPr>
                <w:b/>
                <w:bCs/>
                <w:kern w:val="2"/>
                <w14:ligatures w14:val="standardContextual"/>
              </w:rPr>
              <w:t xml:space="preserve">Modification </w:t>
            </w:r>
          </w:p>
          <w:p w14:paraId="0B90CE74" w14:textId="009F4E4C" w:rsidR="00934C6C" w:rsidRPr="00696B9B" w:rsidRDefault="00696B9B" w:rsidP="00696B9B">
            <w:pPr>
              <w:rPr>
                <w:bCs/>
                <w:i/>
                <w:iCs/>
              </w:rPr>
            </w:pPr>
            <w:r w:rsidRPr="00706497">
              <w:rPr>
                <w:bCs/>
                <w:i/>
                <w:iCs/>
              </w:rPr>
              <w:t xml:space="preserve">“The Council will require a sequential test and </w:t>
            </w:r>
            <w:r w:rsidRPr="00706497">
              <w:rPr>
                <w:bCs/>
                <w:i/>
                <w:iCs/>
                <w:u w:val="single"/>
              </w:rPr>
              <w:t>where appropriate, as defined by Policy SH 1,</w:t>
            </w:r>
            <w:r w:rsidRPr="00706497">
              <w:rPr>
                <w:bCs/>
                <w:i/>
                <w:iCs/>
              </w:rPr>
              <w:t xml:space="preserve"> an impact assessment for proposed development for main town centre uses which are outside the town centres”.  </w:t>
            </w:r>
          </w:p>
          <w:p w14:paraId="4D4CEA58" w14:textId="77777777" w:rsidR="00934C6C" w:rsidRPr="00422976" w:rsidRDefault="00934C6C" w:rsidP="0036476B">
            <w:pPr>
              <w:jc w:val="left"/>
            </w:pPr>
            <w:r>
              <w:t xml:space="preserve"> </w:t>
            </w:r>
          </w:p>
        </w:tc>
      </w:tr>
    </w:tbl>
    <w:p w14:paraId="0C38E034" w14:textId="77777777" w:rsidR="00B71673" w:rsidRPr="002A269E" w:rsidRDefault="00B71673" w:rsidP="00E76EC3">
      <w:pPr>
        <w:rPr>
          <w:b/>
          <w:bCs/>
          <w:i/>
          <w:iCs/>
        </w:rPr>
      </w:pPr>
    </w:p>
    <w:p w14:paraId="2EEF0151" w14:textId="5BDD7E36" w:rsidR="00E76EC3" w:rsidRDefault="00E76EC3" w:rsidP="00E76EC3">
      <w:pPr>
        <w:rPr>
          <w:i/>
          <w:iCs/>
        </w:rPr>
      </w:pPr>
      <w:r w:rsidRPr="002A269E">
        <w:rPr>
          <w:b/>
          <w:bCs/>
          <w:i/>
          <w:iCs/>
        </w:rPr>
        <w:t>4.15 What is the status of the Town Centre Masterplans? What elements are included on the</w:t>
      </w:r>
      <w:r w:rsidR="002A269E">
        <w:rPr>
          <w:b/>
          <w:bCs/>
          <w:i/>
          <w:iCs/>
        </w:rPr>
        <w:t xml:space="preserve"> </w:t>
      </w:r>
      <w:r w:rsidRPr="002A269E">
        <w:rPr>
          <w:b/>
          <w:bCs/>
          <w:i/>
          <w:iCs/>
        </w:rPr>
        <w:t xml:space="preserve">Policies Map? </w:t>
      </w:r>
      <w:bookmarkStart w:id="14" w:name="_Hlk183181498"/>
      <w:r w:rsidRPr="002A269E">
        <w:rPr>
          <w:b/>
          <w:bCs/>
          <w:i/>
          <w:iCs/>
        </w:rPr>
        <w:t>Is there accompanying policy in the plan which supports the inclusion of</w:t>
      </w:r>
      <w:r w:rsidR="002A269E">
        <w:rPr>
          <w:b/>
          <w:bCs/>
          <w:i/>
          <w:iCs/>
        </w:rPr>
        <w:t xml:space="preserve"> </w:t>
      </w:r>
      <w:r w:rsidRPr="002A269E">
        <w:rPr>
          <w:b/>
          <w:bCs/>
          <w:i/>
          <w:iCs/>
        </w:rPr>
        <w:t xml:space="preserve">these </w:t>
      </w:r>
      <w:proofErr w:type="gramStart"/>
      <w:r w:rsidRPr="002A269E">
        <w:rPr>
          <w:b/>
          <w:bCs/>
          <w:i/>
          <w:iCs/>
        </w:rPr>
        <w:t>particular elements</w:t>
      </w:r>
      <w:proofErr w:type="gramEnd"/>
      <w:r w:rsidRPr="002A269E">
        <w:rPr>
          <w:b/>
          <w:bCs/>
          <w:i/>
          <w:iCs/>
        </w:rPr>
        <w:t>?</w:t>
      </w:r>
      <w:r w:rsidR="000136A7">
        <w:rPr>
          <w:b/>
          <w:bCs/>
          <w:i/>
          <w:iCs/>
        </w:rPr>
        <w:t xml:space="preserve"> </w:t>
      </w:r>
      <w:bookmarkEnd w:id="14"/>
    </w:p>
    <w:p w14:paraId="0A9F3476" w14:textId="77777777" w:rsidR="00FE707D" w:rsidRDefault="00FE707D" w:rsidP="00E76EC3">
      <w:pPr>
        <w:rPr>
          <w:u w:val="single"/>
        </w:rPr>
      </w:pPr>
      <w:r>
        <w:rPr>
          <w:u w:val="single"/>
        </w:rPr>
        <w:t>Councils’ response</w:t>
      </w:r>
    </w:p>
    <w:p w14:paraId="459DBE6B" w14:textId="69554503" w:rsidR="00B42FAA" w:rsidRPr="00E477FD" w:rsidRDefault="00B42FAA" w:rsidP="00E76EC3">
      <w:pPr>
        <w:rPr>
          <w:b/>
          <w:iCs/>
        </w:rPr>
      </w:pPr>
      <w:r w:rsidRPr="00E477FD">
        <w:rPr>
          <w:b/>
          <w:iCs/>
        </w:rPr>
        <w:t>Status of the Town Centre Masterplans:</w:t>
      </w:r>
    </w:p>
    <w:p w14:paraId="316E17A6" w14:textId="7D9BBA55" w:rsidR="00B71673" w:rsidRDefault="00FE707D" w:rsidP="00FE707D">
      <w:pPr>
        <w:ind w:left="720" w:hanging="720"/>
      </w:pPr>
      <w:r>
        <w:t>4.15.1</w:t>
      </w:r>
      <w:r>
        <w:tab/>
      </w:r>
      <w:r w:rsidRPr="00FE707D">
        <w:t xml:space="preserve">The </w:t>
      </w:r>
      <w:r w:rsidR="00B5658E" w:rsidRPr="00B5658E">
        <w:t xml:space="preserve">Sutton Town Centre </w:t>
      </w:r>
      <w:r w:rsidR="00B5658E">
        <w:t xml:space="preserve">Spatial </w:t>
      </w:r>
      <w:r w:rsidR="00B5658E" w:rsidRPr="00B5658E">
        <w:t>Master</w:t>
      </w:r>
      <w:r w:rsidR="00B5658E">
        <w:t>p</w:t>
      </w:r>
      <w:r w:rsidR="00B5658E" w:rsidRPr="00B5658E">
        <w:t>lan</w:t>
      </w:r>
      <w:r>
        <w:t xml:space="preserve"> was </w:t>
      </w:r>
      <w:r w:rsidRPr="00B5658E">
        <w:t xml:space="preserve">adopted </w:t>
      </w:r>
      <w:r>
        <w:t xml:space="preserve">by the Council </w:t>
      </w:r>
      <w:r w:rsidR="00B5658E" w:rsidRPr="00B5658E">
        <w:t>at Cabinet</w:t>
      </w:r>
      <w:r>
        <w:t xml:space="preserve"> on the </w:t>
      </w:r>
      <w:r w:rsidRPr="00B5658E">
        <w:t>11</w:t>
      </w:r>
      <w:r>
        <w:t>th of</w:t>
      </w:r>
      <w:r w:rsidR="00B5658E" w:rsidRPr="00B5658E">
        <w:t xml:space="preserve"> </w:t>
      </w:r>
      <w:r w:rsidR="00B5658E">
        <w:t>M</w:t>
      </w:r>
      <w:r w:rsidR="00B5658E" w:rsidRPr="00B5658E">
        <w:t>arch 2019 (Cabinet minute CA.80)</w:t>
      </w:r>
      <w:r>
        <w:t>.</w:t>
      </w:r>
      <w:r w:rsidR="00B5658E" w:rsidRPr="00B5658E">
        <w:t xml:space="preserve"> </w:t>
      </w:r>
    </w:p>
    <w:p w14:paraId="0AB1B5A6" w14:textId="3D89D27E" w:rsidR="00B5658E" w:rsidRDefault="00FE707D" w:rsidP="00FE707D">
      <w:pPr>
        <w:ind w:left="720" w:hanging="720"/>
      </w:pPr>
      <w:r>
        <w:t>4.15.2</w:t>
      </w:r>
      <w:r>
        <w:tab/>
        <w:t xml:space="preserve">The </w:t>
      </w:r>
      <w:r w:rsidR="00B5658E">
        <w:t>Kirkby Town Centre Spatial Masterplan</w:t>
      </w:r>
      <w:r w:rsidR="005F4FF3">
        <w:t xml:space="preserve"> – O</w:t>
      </w:r>
      <w:r>
        <w:t xml:space="preserve">fficer </w:t>
      </w:r>
      <w:r w:rsidR="005F4FF3">
        <w:t>D</w:t>
      </w:r>
      <w:r>
        <w:t xml:space="preserve">ecision </w:t>
      </w:r>
      <w:r w:rsidR="005F4FF3">
        <w:t>Reference</w:t>
      </w:r>
      <w:r>
        <w:t xml:space="preserve"> (ODR) </w:t>
      </w:r>
      <w:r w:rsidR="005F4FF3" w:rsidRPr="005F4FF3">
        <w:t>FP/02/2021</w:t>
      </w:r>
      <w:r w:rsidR="005F4FF3">
        <w:t xml:space="preserve"> dated 13.04.2021 Approval granted to adopt the revised Kirkby Town Centre Spatial Masterplan as per the delegated authority granted by Cabinet decision (dated 24/02/2020, item 8) to the Director of Place and Communities in consultation with the Portfolio Holder for Place, Planning and Regeneration.</w:t>
      </w:r>
    </w:p>
    <w:p w14:paraId="36A2FADB" w14:textId="77D44802" w:rsidR="00FE707D" w:rsidRDefault="00FE707D" w:rsidP="00FE707D">
      <w:pPr>
        <w:ind w:left="720" w:hanging="720"/>
      </w:pPr>
      <w:r>
        <w:t>4.15.3</w:t>
      </w:r>
      <w:r>
        <w:tab/>
        <w:t xml:space="preserve">The </w:t>
      </w:r>
      <w:r w:rsidR="005F4FF3">
        <w:t>Hucknall Town Centre Masterplan</w:t>
      </w:r>
      <w:r>
        <w:t xml:space="preserve"> was </w:t>
      </w:r>
      <w:r w:rsidR="005F4FF3">
        <w:t xml:space="preserve">adopted </w:t>
      </w:r>
      <w:r>
        <w:t xml:space="preserve">by the Council </w:t>
      </w:r>
      <w:r w:rsidR="005F4FF3">
        <w:t xml:space="preserve">at Cabinet </w:t>
      </w:r>
      <w:r>
        <w:t>on the 19th of</w:t>
      </w:r>
      <w:r w:rsidR="005F4FF3">
        <w:t xml:space="preserve"> July 2022 (Cabinet minute CA.19)</w:t>
      </w:r>
      <w:r>
        <w:t>.</w:t>
      </w:r>
    </w:p>
    <w:p w14:paraId="6498084F" w14:textId="0ADEFA70" w:rsidR="00B5658E" w:rsidRPr="00E477FD" w:rsidRDefault="00B42FAA" w:rsidP="00E76EC3">
      <w:pPr>
        <w:rPr>
          <w:b/>
          <w:bCs/>
          <w:i/>
          <w:iCs/>
        </w:rPr>
      </w:pPr>
      <w:r w:rsidRPr="00E477FD">
        <w:rPr>
          <w:b/>
          <w:bCs/>
          <w:i/>
          <w:iCs/>
        </w:rPr>
        <w:t>Town Centre Masterplan e</w:t>
      </w:r>
      <w:r w:rsidR="00266AE3" w:rsidRPr="00E477FD">
        <w:rPr>
          <w:b/>
          <w:bCs/>
          <w:i/>
          <w:iCs/>
        </w:rPr>
        <w:t>lements included on the Policies Map</w:t>
      </w:r>
      <w:r w:rsidRPr="00E477FD">
        <w:rPr>
          <w:b/>
          <w:bCs/>
          <w:i/>
          <w:iCs/>
        </w:rPr>
        <w:t>:</w:t>
      </w:r>
    </w:p>
    <w:p w14:paraId="35513436" w14:textId="50C16EEC" w:rsidR="00FE707D" w:rsidRDefault="00FE707D" w:rsidP="00FE707D">
      <w:pPr>
        <w:ind w:left="720" w:hanging="720"/>
      </w:pPr>
      <w:r>
        <w:t>4.15.4</w:t>
      </w:r>
      <w:r>
        <w:tab/>
      </w:r>
      <w:r w:rsidR="00E477FD">
        <w:t xml:space="preserve">The requirement of </w:t>
      </w:r>
      <w:r w:rsidR="00712D53">
        <w:t xml:space="preserve">the </w:t>
      </w:r>
      <w:r w:rsidRPr="00D96D51">
        <w:t xml:space="preserve">NPPF </w:t>
      </w:r>
      <w:r w:rsidR="00E477FD">
        <w:t xml:space="preserve">(para. 86) </w:t>
      </w:r>
      <w:r w:rsidR="00712D53">
        <w:t xml:space="preserve">is that </w:t>
      </w:r>
      <w:r w:rsidR="00DC7860">
        <w:t>planning policies should</w:t>
      </w:r>
      <w:r w:rsidR="00DD488E">
        <w:t xml:space="preserve"> </w:t>
      </w:r>
      <w:r w:rsidRPr="00D96D51">
        <w:t xml:space="preserve">define the extent of </w:t>
      </w:r>
      <w:r w:rsidR="00DD488E">
        <w:t>t</w:t>
      </w:r>
      <w:r w:rsidRPr="00D96D51">
        <w:t xml:space="preserve">own </w:t>
      </w:r>
      <w:r w:rsidR="00DD488E">
        <w:t>c</w:t>
      </w:r>
      <w:r w:rsidRPr="00D96D51">
        <w:t xml:space="preserve">entres and primary shopping </w:t>
      </w:r>
      <w:r w:rsidR="00DD488E" w:rsidRPr="00D96D51">
        <w:t>areas and</w:t>
      </w:r>
      <w:r w:rsidRPr="00D96D51">
        <w:t xml:space="preserve"> make clear the range of uses permitted in such locations, as part of a positive strategy for the future of each centre</w:t>
      </w:r>
      <w:r w:rsidR="00DD488E">
        <w:t>.</w:t>
      </w:r>
    </w:p>
    <w:p w14:paraId="72BC10E1" w14:textId="77777777" w:rsidR="00712D53" w:rsidRDefault="00E477FD" w:rsidP="00E477FD">
      <w:pPr>
        <w:ind w:left="720" w:hanging="720"/>
        <w:jc w:val="left"/>
      </w:pPr>
      <w:r>
        <w:t>4.15.5</w:t>
      </w:r>
      <w:r>
        <w:tab/>
        <w:t>Strategic Policy S11:</w:t>
      </w:r>
      <w:r w:rsidRPr="000C2B36">
        <w:t xml:space="preserve"> </w:t>
      </w:r>
      <w:r>
        <w:t xml:space="preserve">Vibrant Town Centres, sets out </w:t>
      </w:r>
      <w:r w:rsidR="00712D53">
        <w:t xml:space="preserve">at criteria 4 </w:t>
      </w:r>
      <w:r>
        <w:t xml:space="preserve">- ‘The extent of the Town Centres and Primary Shopping Areas are identified on the Policies Map.’ </w:t>
      </w:r>
      <w:r w:rsidR="00712D53">
        <w:t xml:space="preserve"> </w:t>
      </w:r>
    </w:p>
    <w:p w14:paraId="5E8826B3" w14:textId="5448EE92" w:rsidR="00712D53" w:rsidRDefault="00DD488E" w:rsidP="00712D53">
      <w:pPr>
        <w:ind w:left="720" w:hanging="720"/>
        <w:jc w:val="left"/>
      </w:pPr>
      <w:r>
        <w:t>4.15.</w:t>
      </w:r>
      <w:r w:rsidR="00E477FD">
        <w:t>6</w:t>
      </w:r>
      <w:r>
        <w:tab/>
      </w:r>
      <w:r w:rsidR="00712D53">
        <w:t xml:space="preserve">The specific elements of the Town Centre Masterplans shown on the Polices Map include the Town Centre boundaries </w:t>
      </w:r>
      <w:r w:rsidR="002E5640">
        <w:t>and</w:t>
      </w:r>
      <w:r w:rsidR="00712D53">
        <w:t xml:space="preserve"> the key development opportunity sites.</w:t>
      </w:r>
    </w:p>
    <w:p w14:paraId="4191E2D1" w14:textId="4C4CEA12" w:rsidR="00F0691A" w:rsidRDefault="002E5640" w:rsidP="002E5640">
      <w:pPr>
        <w:ind w:left="720" w:hanging="720"/>
        <w:jc w:val="left"/>
        <w:rPr>
          <w:lang w:val="en-US"/>
        </w:rPr>
      </w:pPr>
      <w:r>
        <w:t>4.15.7</w:t>
      </w:r>
      <w:r>
        <w:tab/>
        <w:t>T</w:t>
      </w:r>
      <w:r w:rsidRPr="002B5FA8">
        <w:t xml:space="preserve">he </w:t>
      </w:r>
      <w:r w:rsidR="00F0691A">
        <w:t>Council considers that this approach is appropriate given that the Policies M</w:t>
      </w:r>
      <w:r w:rsidRPr="002B5FA8">
        <w:t xml:space="preserve">ap is fixed for the period of the </w:t>
      </w:r>
      <w:r w:rsidR="00F0691A">
        <w:t>P</w:t>
      </w:r>
      <w:r w:rsidRPr="002B5FA8">
        <w:t>lan</w:t>
      </w:r>
      <w:r w:rsidR="00F0691A">
        <w:t>, whereas the T</w:t>
      </w:r>
      <w:r w:rsidRPr="002B5FA8">
        <w:t xml:space="preserve">own </w:t>
      </w:r>
      <w:r w:rsidR="00F0691A">
        <w:t>C</w:t>
      </w:r>
      <w:r w:rsidRPr="002B5FA8">
        <w:t xml:space="preserve">entre </w:t>
      </w:r>
      <w:r w:rsidR="00F0691A">
        <w:t>M</w:t>
      </w:r>
      <w:r w:rsidRPr="002B5FA8">
        <w:t xml:space="preserve">asterplans are documents are over a </w:t>
      </w:r>
      <w:r w:rsidR="00F0691A">
        <w:t xml:space="preserve">10-year </w:t>
      </w:r>
      <w:r w:rsidRPr="002B5FA8">
        <w:t>period</w:t>
      </w:r>
      <w:r w:rsidR="00F0691A">
        <w:t xml:space="preserve">, </w:t>
      </w:r>
      <w:r w:rsidRPr="002B5FA8">
        <w:t xml:space="preserve">which will be reviewed </w:t>
      </w:r>
      <w:r>
        <w:t xml:space="preserve">after </w:t>
      </w:r>
      <w:r w:rsidR="00F0691A">
        <w:t>5 y</w:t>
      </w:r>
      <w:r>
        <w:t>ear</w:t>
      </w:r>
      <w:r w:rsidR="00F0691A">
        <w:t>s:</w:t>
      </w:r>
      <w:r w:rsidR="00F0691A">
        <w:rPr>
          <w:lang w:val="en-US"/>
        </w:rPr>
        <w:t xml:space="preserve">  </w:t>
      </w:r>
    </w:p>
    <w:p w14:paraId="457A932F" w14:textId="6D3E5CDA" w:rsidR="00F0691A" w:rsidRDefault="00F0691A" w:rsidP="002E5640">
      <w:pPr>
        <w:pStyle w:val="ListParagraph"/>
        <w:numPr>
          <w:ilvl w:val="0"/>
          <w:numId w:val="8"/>
        </w:numPr>
        <w:jc w:val="left"/>
        <w:rPr>
          <w:lang w:val="en-US"/>
        </w:rPr>
      </w:pPr>
      <w:r>
        <w:rPr>
          <w:lang w:val="en-US"/>
        </w:rPr>
        <w:lastRenderedPageBreak/>
        <w:t>Sutton Town Centre M</w:t>
      </w:r>
      <w:r w:rsidRPr="00F0691A">
        <w:rPr>
          <w:lang w:val="en-US"/>
        </w:rPr>
        <w:t>asterplan will be reviewed</w:t>
      </w:r>
      <w:r w:rsidR="002E5640" w:rsidRPr="00F0691A">
        <w:rPr>
          <w:lang w:val="en-US"/>
        </w:rPr>
        <w:t xml:space="preserve"> in 2025.</w:t>
      </w:r>
    </w:p>
    <w:p w14:paraId="75CA37D7" w14:textId="15E81B2E" w:rsidR="00F0691A" w:rsidRDefault="002E5640" w:rsidP="002E5640">
      <w:pPr>
        <w:pStyle w:val="ListParagraph"/>
        <w:numPr>
          <w:ilvl w:val="0"/>
          <w:numId w:val="8"/>
        </w:numPr>
        <w:jc w:val="left"/>
        <w:rPr>
          <w:lang w:val="en-US"/>
        </w:rPr>
      </w:pPr>
      <w:r w:rsidRPr="00F0691A">
        <w:rPr>
          <w:lang w:val="en-US"/>
        </w:rPr>
        <w:t xml:space="preserve">Kirkby </w:t>
      </w:r>
      <w:r w:rsidR="00F0691A">
        <w:rPr>
          <w:lang w:val="en-US"/>
        </w:rPr>
        <w:t xml:space="preserve">Town Centre Masterplan will be </w:t>
      </w:r>
      <w:r w:rsidRPr="00F0691A">
        <w:rPr>
          <w:lang w:val="en-US"/>
        </w:rPr>
        <w:t>review</w:t>
      </w:r>
      <w:r w:rsidR="00F0691A">
        <w:rPr>
          <w:lang w:val="en-US"/>
        </w:rPr>
        <w:t>ed</w:t>
      </w:r>
      <w:r w:rsidRPr="00F0691A">
        <w:rPr>
          <w:lang w:val="en-US"/>
        </w:rPr>
        <w:t xml:space="preserve"> in 2026</w:t>
      </w:r>
      <w:r w:rsidR="00F0691A">
        <w:rPr>
          <w:lang w:val="en-US"/>
        </w:rPr>
        <w:t>.</w:t>
      </w:r>
    </w:p>
    <w:p w14:paraId="6A6D469C" w14:textId="23C68A0C" w:rsidR="002E5640" w:rsidRPr="00F0691A" w:rsidRDefault="002E5640" w:rsidP="002E5640">
      <w:pPr>
        <w:pStyle w:val="ListParagraph"/>
        <w:numPr>
          <w:ilvl w:val="0"/>
          <w:numId w:val="8"/>
        </w:numPr>
        <w:jc w:val="left"/>
        <w:rPr>
          <w:lang w:val="en-US"/>
        </w:rPr>
      </w:pPr>
      <w:r w:rsidRPr="00F0691A">
        <w:rPr>
          <w:lang w:val="en-US"/>
        </w:rPr>
        <w:t xml:space="preserve">Hucknall </w:t>
      </w:r>
      <w:r w:rsidR="00F0691A">
        <w:rPr>
          <w:lang w:val="en-US"/>
        </w:rPr>
        <w:t xml:space="preserve">Town Centre masterplan will be reviewed </w:t>
      </w:r>
      <w:r w:rsidRPr="00F0691A">
        <w:rPr>
          <w:lang w:val="en-US"/>
        </w:rPr>
        <w:t>in 2027</w:t>
      </w:r>
      <w:r w:rsidR="00F0691A">
        <w:rPr>
          <w:lang w:val="en-US"/>
        </w:rPr>
        <w:t>.</w:t>
      </w:r>
    </w:p>
    <w:p w14:paraId="216B9A33" w14:textId="25954557" w:rsidR="00712D53" w:rsidRPr="00712D53" w:rsidRDefault="00712D53" w:rsidP="00712D53">
      <w:pPr>
        <w:jc w:val="left"/>
        <w:rPr>
          <w:b/>
          <w:i/>
        </w:rPr>
      </w:pPr>
      <w:r>
        <w:rPr>
          <w:b/>
          <w:i/>
        </w:rPr>
        <w:t>Policy to support</w:t>
      </w:r>
      <w:r w:rsidR="002E5640">
        <w:rPr>
          <w:b/>
          <w:i/>
        </w:rPr>
        <w:t xml:space="preserve"> these </w:t>
      </w:r>
      <w:proofErr w:type="gramStart"/>
      <w:r w:rsidR="002E5640">
        <w:rPr>
          <w:b/>
          <w:i/>
        </w:rPr>
        <w:t>particular elements</w:t>
      </w:r>
      <w:proofErr w:type="gramEnd"/>
      <w:r w:rsidR="002E5640">
        <w:rPr>
          <w:b/>
          <w:i/>
        </w:rPr>
        <w:t>:</w:t>
      </w:r>
    </w:p>
    <w:p w14:paraId="3F8EB978" w14:textId="77777777" w:rsidR="002E5640" w:rsidRDefault="000C2B36" w:rsidP="00FE707D">
      <w:pPr>
        <w:ind w:left="720" w:hanging="720"/>
        <w:jc w:val="left"/>
      </w:pPr>
      <w:r>
        <w:t>4.15.</w:t>
      </w:r>
      <w:r w:rsidR="00E477FD">
        <w:t>7</w:t>
      </w:r>
      <w:r>
        <w:tab/>
      </w:r>
      <w:r w:rsidR="002E5640">
        <w:t xml:space="preserve">Both Strategic Policy S11: Vibrant Town Centres, and </w:t>
      </w:r>
      <w:r>
        <w:t>Policy SH1: Retail, Leisure, Commercial and Town Centre Uses, provide</w:t>
      </w:r>
      <w:r w:rsidR="00B42FAA">
        <w:t>s</w:t>
      </w:r>
      <w:r>
        <w:t xml:space="preserve"> criteria to </w:t>
      </w:r>
      <w:r w:rsidR="002E5640">
        <w:t>ensure that development for main town centre uses</w:t>
      </w:r>
      <w:r w:rsidR="002E5640">
        <w:rPr>
          <w:rStyle w:val="FootnoteReference"/>
        </w:rPr>
        <w:footnoteReference w:id="13"/>
      </w:r>
      <w:r w:rsidR="002E5640">
        <w:t xml:space="preserve"> have regard to the delivery of the vision, objectives and projects set out in Town Centre Masterplans.   </w:t>
      </w:r>
    </w:p>
    <w:p w14:paraId="4BB3B6F4" w14:textId="77777777" w:rsidR="008E5A72" w:rsidRDefault="008E5A72" w:rsidP="00E76EC3">
      <w:pPr>
        <w:rPr>
          <w:b/>
          <w:bCs/>
          <w:i/>
          <w:iCs/>
        </w:rPr>
      </w:pPr>
    </w:p>
    <w:p w14:paraId="1944A884" w14:textId="63702622" w:rsidR="00E76EC3" w:rsidRPr="002A269E" w:rsidRDefault="00E76EC3" w:rsidP="00E76EC3">
      <w:pPr>
        <w:rPr>
          <w:b/>
          <w:bCs/>
          <w:i/>
          <w:iCs/>
        </w:rPr>
      </w:pPr>
      <w:bookmarkStart w:id="15" w:name="_Hlk184751286"/>
      <w:r w:rsidRPr="002A269E">
        <w:rPr>
          <w:b/>
          <w:bCs/>
          <w:i/>
          <w:iCs/>
        </w:rPr>
        <w:t>4.16 Are the requirements of the protecting what is special and improving our areas policies</w:t>
      </w:r>
      <w:r w:rsidR="002A269E">
        <w:rPr>
          <w:b/>
          <w:bCs/>
          <w:i/>
          <w:iCs/>
        </w:rPr>
        <w:t xml:space="preserve"> </w:t>
      </w:r>
      <w:r w:rsidRPr="002A269E">
        <w:rPr>
          <w:b/>
          <w:bCs/>
          <w:i/>
          <w:iCs/>
        </w:rPr>
        <w:t>justified by appropriate available evidence, having regard to national guidance, and</w:t>
      </w:r>
      <w:r w:rsidR="002A269E">
        <w:rPr>
          <w:b/>
          <w:bCs/>
          <w:i/>
          <w:iCs/>
        </w:rPr>
        <w:t xml:space="preserve"> </w:t>
      </w:r>
      <w:r w:rsidRPr="002A269E">
        <w:rPr>
          <w:b/>
          <w:bCs/>
          <w:i/>
          <w:iCs/>
        </w:rPr>
        <w:t>local context?</w:t>
      </w:r>
      <w:r w:rsidR="00FE4967">
        <w:rPr>
          <w:b/>
          <w:bCs/>
          <w:i/>
          <w:iCs/>
        </w:rPr>
        <w:t xml:space="preserve"> </w:t>
      </w:r>
      <w:bookmarkEnd w:id="15"/>
    </w:p>
    <w:p w14:paraId="1D7804E2" w14:textId="77777777" w:rsidR="0018581C" w:rsidRPr="0018581C" w:rsidRDefault="0018581C" w:rsidP="0018581C">
      <w:pPr>
        <w:rPr>
          <w:b/>
          <w:bCs/>
          <w:i/>
          <w:iCs/>
          <w:u w:val="single"/>
        </w:rPr>
      </w:pPr>
      <w:r w:rsidRPr="0018581C">
        <w:rPr>
          <w:u w:val="single"/>
        </w:rPr>
        <w:t>Council’s response</w:t>
      </w:r>
    </w:p>
    <w:p w14:paraId="7BD9D9E0" w14:textId="37DB8B1D" w:rsidR="00707441" w:rsidRPr="00707441" w:rsidRDefault="0018581C" w:rsidP="0018581C">
      <w:pPr>
        <w:ind w:left="720" w:hanging="720"/>
      </w:pPr>
      <w:r>
        <w:t>4.1</w:t>
      </w:r>
      <w:r w:rsidR="00BA634C">
        <w:t>6</w:t>
      </w:r>
      <w:r>
        <w:t>.</w:t>
      </w:r>
      <w:r w:rsidR="00BA634C">
        <w:t>1</w:t>
      </w:r>
      <w:r>
        <w:tab/>
      </w:r>
      <w:r w:rsidR="00707441">
        <w:t xml:space="preserve">We have assumed that the Inspector is referring to Policies SH1 and SH2.  </w:t>
      </w:r>
      <w:r w:rsidR="00427239">
        <w:t>T</w:t>
      </w:r>
      <w:r w:rsidR="00707441">
        <w:t xml:space="preserve">hese policies seek to support the role of the town </w:t>
      </w:r>
      <w:r w:rsidR="00427239">
        <w:t xml:space="preserve">and local </w:t>
      </w:r>
      <w:r w:rsidR="00707441">
        <w:t>centres and to maintain their distinctive qualities</w:t>
      </w:r>
      <w:r w:rsidR="00427239">
        <w:t xml:space="preserve"> and their wider role within local communities</w:t>
      </w:r>
      <w:r w:rsidR="00707441">
        <w:t>.</w:t>
      </w:r>
      <w:r w:rsidR="009C6449">
        <w:t xml:space="preserve">  </w:t>
      </w:r>
      <w:r w:rsidR="00427239">
        <w:t>The requirements set out in Policies SH1 and SH2 seek to ensure that development within the centres positively contributes towards their regeneration</w:t>
      </w:r>
      <w:r w:rsidR="00C91E6F">
        <w:t xml:space="preserve"> and ongoing vitality</w:t>
      </w:r>
      <w:r w:rsidR="00427239">
        <w:t xml:space="preserve">.  </w:t>
      </w:r>
      <w:r w:rsidR="00707441">
        <w:t xml:space="preserve">Further detail on the </w:t>
      </w:r>
      <w:r w:rsidR="00707441" w:rsidRPr="00707441">
        <w:t xml:space="preserve">vision, objectives and projects </w:t>
      </w:r>
      <w:r w:rsidR="00707441">
        <w:t xml:space="preserve">for the town centres is </w:t>
      </w:r>
      <w:r w:rsidR="00707441" w:rsidRPr="00707441">
        <w:t xml:space="preserve">set out in </w:t>
      </w:r>
      <w:r w:rsidR="00427239">
        <w:t xml:space="preserve">the </w:t>
      </w:r>
      <w:r w:rsidR="00707441" w:rsidRPr="00707441">
        <w:t>Town Centre Masterplans.</w:t>
      </w:r>
      <w:r w:rsidR="00707441">
        <w:t xml:space="preserve">  </w:t>
      </w:r>
      <w:r w:rsidR="00707441" w:rsidRPr="00707441">
        <w:t xml:space="preserve">   </w:t>
      </w:r>
    </w:p>
    <w:p w14:paraId="541F8BB6" w14:textId="240A7E72" w:rsidR="00707441" w:rsidRDefault="0018581C" w:rsidP="0018581C">
      <w:pPr>
        <w:ind w:left="720" w:hanging="720"/>
      </w:pPr>
      <w:r>
        <w:t>4.1</w:t>
      </w:r>
      <w:r w:rsidR="00BA634C">
        <w:t>6</w:t>
      </w:r>
      <w:r>
        <w:t>.</w:t>
      </w:r>
      <w:r w:rsidR="00BA634C">
        <w:t>2</w:t>
      </w:r>
      <w:r>
        <w:tab/>
      </w:r>
      <w:r w:rsidR="00BF6AF5">
        <w:t xml:space="preserve">Chapter 7 of the NPPF provides guidance on protecting the vitality of town centres.  Para </w:t>
      </w:r>
      <w:r w:rsidR="00465221">
        <w:t>86 requires that:</w:t>
      </w:r>
    </w:p>
    <w:p w14:paraId="291E2F18" w14:textId="755C1361" w:rsidR="00465221" w:rsidRDefault="00465221" w:rsidP="0018581C">
      <w:pPr>
        <w:ind w:left="720"/>
      </w:pPr>
      <w:r>
        <w:t xml:space="preserve">‘Planning policies and decisions should support the role that town centres play at the heart of local communities, by taking a positive approach to their growth, </w:t>
      </w:r>
      <w:r w:rsidR="00F0066C">
        <w:t>management and adaptation’.</w:t>
      </w:r>
      <w:r>
        <w:t xml:space="preserve">    </w:t>
      </w:r>
    </w:p>
    <w:p w14:paraId="5EFE1A5C" w14:textId="7054F715" w:rsidR="000C6913" w:rsidRDefault="0018581C" w:rsidP="00BA634C">
      <w:pPr>
        <w:ind w:left="720" w:hanging="720"/>
      </w:pPr>
      <w:r>
        <w:t>4.1</w:t>
      </w:r>
      <w:r w:rsidR="00BA634C">
        <w:t>6</w:t>
      </w:r>
      <w:r>
        <w:t>.</w:t>
      </w:r>
      <w:r w:rsidR="00BA634C">
        <w:t>3</w:t>
      </w:r>
      <w:r w:rsidR="00BA634C">
        <w:tab/>
      </w:r>
      <w:r w:rsidR="000C6913">
        <w:t xml:space="preserve">Paragraph 15.8 of the Town Centre – Local Centre Study (SEV.32) </w:t>
      </w:r>
      <w:r w:rsidR="002E6B38">
        <w:t xml:space="preserve">concludes, having conducted health checks on the centres as part of this study, that ‘the </w:t>
      </w:r>
      <w:proofErr w:type="gramStart"/>
      <w:r w:rsidR="002E6B38">
        <w:t>District’s</w:t>
      </w:r>
      <w:proofErr w:type="gramEnd"/>
      <w:r w:rsidR="002E6B38">
        <w:t xml:space="preserve"> centres are already experiencing a range of commercial and economic pressures’.   </w:t>
      </w:r>
    </w:p>
    <w:p w14:paraId="72F54DE3" w14:textId="0715911E" w:rsidR="00F0066C" w:rsidRDefault="00BA634C" w:rsidP="00E76EC3">
      <w:r>
        <w:t>4.16.4</w:t>
      </w:r>
      <w:r>
        <w:tab/>
      </w:r>
      <w:r w:rsidR="00F0066C">
        <w:t xml:space="preserve">It is considered that the requirements of Policies SH1 and SH2 are justified.  </w:t>
      </w:r>
    </w:p>
    <w:p w14:paraId="77879CC5" w14:textId="77777777" w:rsidR="00B71673" w:rsidRPr="002A269E" w:rsidRDefault="00B71673" w:rsidP="00E76EC3">
      <w:pPr>
        <w:rPr>
          <w:b/>
          <w:bCs/>
          <w:i/>
          <w:iCs/>
        </w:rPr>
      </w:pPr>
    </w:p>
    <w:p w14:paraId="1EFF978E" w14:textId="4C1B689B" w:rsidR="00E76EC3" w:rsidRDefault="00E76EC3" w:rsidP="00E76EC3">
      <w:pPr>
        <w:rPr>
          <w:i/>
          <w:iCs/>
        </w:rPr>
      </w:pPr>
      <w:r w:rsidRPr="002A269E">
        <w:rPr>
          <w:b/>
          <w:bCs/>
          <w:i/>
          <w:iCs/>
        </w:rPr>
        <w:t xml:space="preserve">4.17 </w:t>
      </w:r>
      <w:bookmarkStart w:id="16" w:name="_Hlk183182776"/>
      <w:r w:rsidRPr="002A269E">
        <w:rPr>
          <w:b/>
          <w:bCs/>
          <w:i/>
          <w:iCs/>
        </w:rPr>
        <w:t>Has Policy SH1 been shaped by engagement with all stakeholders, including</w:t>
      </w:r>
      <w:r w:rsidR="002A269E">
        <w:rPr>
          <w:b/>
          <w:bCs/>
          <w:i/>
          <w:iCs/>
        </w:rPr>
        <w:t xml:space="preserve"> </w:t>
      </w:r>
      <w:r w:rsidRPr="002A269E">
        <w:rPr>
          <w:b/>
          <w:bCs/>
          <w:i/>
          <w:iCs/>
        </w:rPr>
        <w:t xml:space="preserve">infrastructure providers and statutory consultees? </w:t>
      </w:r>
      <w:bookmarkEnd w:id="16"/>
      <w:r w:rsidRPr="002A269E">
        <w:rPr>
          <w:b/>
          <w:bCs/>
          <w:i/>
          <w:iCs/>
        </w:rPr>
        <w:t>Is the locally applied threshold of</w:t>
      </w:r>
      <w:r w:rsidR="002A269E">
        <w:rPr>
          <w:b/>
          <w:bCs/>
          <w:i/>
          <w:iCs/>
        </w:rPr>
        <w:t xml:space="preserve"> </w:t>
      </w:r>
      <w:r w:rsidRPr="002A269E">
        <w:rPr>
          <w:b/>
          <w:bCs/>
          <w:i/>
          <w:iCs/>
        </w:rPr>
        <w:t>developments exceeding 300 sq. m requiring a sequential test supported by best</w:t>
      </w:r>
      <w:r w:rsidR="002A269E">
        <w:rPr>
          <w:b/>
          <w:bCs/>
          <w:i/>
          <w:iCs/>
        </w:rPr>
        <w:t xml:space="preserve"> </w:t>
      </w:r>
      <w:r w:rsidRPr="002A269E">
        <w:rPr>
          <w:b/>
          <w:bCs/>
          <w:i/>
          <w:iCs/>
        </w:rPr>
        <w:t>available evidence?</w:t>
      </w:r>
      <w:r w:rsidR="00FE4967">
        <w:rPr>
          <w:b/>
          <w:bCs/>
          <w:i/>
          <w:iCs/>
        </w:rPr>
        <w:t xml:space="preserve"> </w:t>
      </w:r>
    </w:p>
    <w:p w14:paraId="459D7FC0" w14:textId="0268A7CC" w:rsidR="00D25086" w:rsidRDefault="00D25086" w:rsidP="00E76EC3">
      <w:pPr>
        <w:rPr>
          <w:u w:val="single"/>
        </w:rPr>
      </w:pPr>
      <w:proofErr w:type="gramStart"/>
      <w:r>
        <w:rPr>
          <w:u w:val="single"/>
        </w:rPr>
        <w:t>Councils</w:t>
      </w:r>
      <w:proofErr w:type="gramEnd"/>
      <w:r>
        <w:rPr>
          <w:u w:val="single"/>
        </w:rPr>
        <w:t xml:space="preserve"> response</w:t>
      </w:r>
    </w:p>
    <w:p w14:paraId="2952260F" w14:textId="4DD08576" w:rsidR="007C7B02" w:rsidRPr="007C7B02" w:rsidRDefault="00E443CE" w:rsidP="00723055">
      <w:pPr>
        <w:ind w:left="360" w:hanging="360"/>
      </w:pPr>
      <w:r w:rsidRPr="00E443CE">
        <w:lastRenderedPageBreak/>
        <w:t>4.17.1</w:t>
      </w:r>
      <w:r w:rsidRPr="00E443CE">
        <w:tab/>
      </w:r>
      <w:r w:rsidR="00723055">
        <w:t>Yes. Engagement</w:t>
      </w:r>
      <w:r w:rsidR="00723055" w:rsidRPr="001A26E5">
        <w:t xml:space="preserve"> </w:t>
      </w:r>
      <w:r w:rsidR="00723055">
        <w:t xml:space="preserve">has been undertaken as part of the work undertaken on the preparation for and consultation on the three town centre masterplans, the Council’s work on the Towns Fund projects in Sutton and Kirkby, and the production of the Hucknall Levelling up Fund bid. This engagement </w:t>
      </w:r>
      <w:proofErr w:type="gramStart"/>
      <w:r w:rsidR="00723055">
        <w:t>work</w:t>
      </w:r>
      <w:proofErr w:type="gramEnd"/>
      <w:r w:rsidR="00723055">
        <w:t xml:space="preserve"> along with the Local Plan Regulation 18 consultation and the production of the Town Centre - Local Centre Study </w:t>
      </w:r>
      <w:r w:rsidR="00683EBC">
        <w:t xml:space="preserve">(SEV.32) </w:t>
      </w:r>
      <w:r w:rsidR="00723055">
        <w:t>fed into the shaping of Policy SH1.</w:t>
      </w:r>
    </w:p>
    <w:p w14:paraId="4D951003" w14:textId="328C24CD" w:rsidR="000631CD" w:rsidRPr="000631CD" w:rsidRDefault="00C86845" w:rsidP="00C86845">
      <w:pPr>
        <w:ind w:left="720" w:hanging="720"/>
      </w:pPr>
      <w:r>
        <w:t>4.17.2</w:t>
      </w:r>
      <w:r>
        <w:tab/>
      </w:r>
      <w:r w:rsidR="000631CD" w:rsidRPr="000631CD">
        <w:t xml:space="preserve">In terms of the second question, we have assumed that the Inspector is in fact referring to the locally applied threshold applying </w:t>
      </w:r>
      <w:r w:rsidR="00443A9F">
        <w:t>t</w:t>
      </w:r>
      <w:r w:rsidR="000631CD" w:rsidRPr="000631CD">
        <w:t xml:space="preserve">o developments exceeding 300 </w:t>
      </w:r>
      <w:proofErr w:type="spellStart"/>
      <w:r w:rsidR="000631CD" w:rsidRPr="000631CD">
        <w:t>sq</w:t>
      </w:r>
      <w:proofErr w:type="spellEnd"/>
      <w:r w:rsidR="000631CD" w:rsidRPr="000631CD">
        <w:t xml:space="preserve"> m relating to the </w:t>
      </w:r>
      <w:r w:rsidR="000631CD" w:rsidRPr="000631CD">
        <w:rPr>
          <w:u w:val="single"/>
        </w:rPr>
        <w:t>impact test</w:t>
      </w:r>
      <w:r w:rsidR="000631CD" w:rsidRPr="000631CD">
        <w:t xml:space="preserve">, rather than the sequential test.  These are the words of SH1(4b).  </w:t>
      </w:r>
    </w:p>
    <w:p w14:paraId="6A941FA0" w14:textId="46B50E0F" w:rsidR="000631CD" w:rsidRPr="000631CD" w:rsidRDefault="00C86845" w:rsidP="00C86845">
      <w:pPr>
        <w:ind w:left="720" w:hanging="720"/>
      </w:pPr>
      <w:r>
        <w:t>4.17.3</w:t>
      </w:r>
      <w:r>
        <w:tab/>
      </w:r>
      <w:r w:rsidR="000631CD" w:rsidRPr="000631CD">
        <w:t xml:space="preserve">On this matter, in accordance with national planning policy, retail and leisure developments greater than 2,500 </w:t>
      </w:r>
      <w:proofErr w:type="spellStart"/>
      <w:r w:rsidR="000631CD" w:rsidRPr="000631CD">
        <w:t>sq</w:t>
      </w:r>
      <w:proofErr w:type="spellEnd"/>
      <w:r w:rsidR="000631CD" w:rsidRPr="000631CD">
        <w:t xml:space="preserve"> m proposed in edge-of-centre and out-of-centre locations would ordinarily be subject to the assessment of the impact criteria set out by Paragraph 90 of the NPPF.  However, where appropriate, Local Authorities are entitled to identify local thresholds in accordance with the following considerations identified within the NPPG (‘Ensuring the vitality of town centres’):</w:t>
      </w:r>
    </w:p>
    <w:p w14:paraId="4F8E237A" w14:textId="77777777" w:rsidR="000631CD" w:rsidRPr="000631CD" w:rsidRDefault="000631CD" w:rsidP="000631CD">
      <w:pPr>
        <w:numPr>
          <w:ilvl w:val="0"/>
          <w:numId w:val="9"/>
        </w:numPr>
      </w:pPr>
      <w:r w:rsidRPr="000631CD">
        <w:t xml:space="preserve">Scale of proposals relative to town </w:t>
      </w:r>
      <w:proofErr w:type="gramStart"/>
      <w:r w:rsidRPr="000631CD">
        <w:t>centres;</w:t>
      </w:r>
      <w:proofErr w:type="gramEnd"/>
    </w:p>
    <w:p w14:paraId="1AF3DDCF" w14:textId="77777777" w:rsidR="000631CD" w:rsidRPr="000631CD" w:rsidRDefault="000631CD" w:rsidP="000631CD">
      <w:pPr>
        <w:numPr>
          <w:ilvl w:val="0"/>
          <w:numId w:val="9"/>
        </w:numPr>
      </w:pPr>
      <w:r w:rsidRPr="000631CD">
        <w:t xml:space="preserve">the existing viability and vitality of town </w:t>
      </w:r>
      <w:proofErr w:type="gramStart"/>
      <w:r w:rsidRPr="000631CD">
        <w:t>centres;</w:t>
      </w:r>
      <w:proofErr w:type="gramEnd"/>
    </w:p>
    <w:p w14:paraId="1891038D" w14:textId="77777777" w:rsidR="000631CD" w:rsidRPr="000631CD" w:rsidRDefault="000631CD" w:rsidP="000631CD">
      <w:pPr>
        <w:numPr>
          <w:ilvl w:val="0"/>
          <w:numId w:val="9"/>
        </w:numPr>
      </w:pPr>
      <w:r w:rsidRPr="000631CD">
        <w:t xml:space="preserve">cumulative effects of recent </w:t>
      </w:r>
      <w:proofErr w:type="gramStart"/>
      <w:r w:rsidRPr="000631CD">
        <w:t>developments;</w:t>
      </w:r>
      <w:proofErr w:type="gramEnd"/>
    </w:p>
    <w:p w14:paraId="0E41F84A" w14:textId="77777777" w:rsidR="000631CD" w:rsidRPr="000631CD" w:rsidRDefault="000631CD" w:rsidP="000631CD">
      <w:pPr>
        <w:numPr>
          <w:ilvl w:val="0"/>
          <w:numId w:val="9"/>
        </w:numPr>
      </w:pPr>
      <w:r w:rsidRPr="000631CD">
        <w:t xml:space="preserve">whether local town centres are </w:t>
      </w:r>
      <w:proofErr w:type="gramStart"/>
      <w:r w:rsidRPr="000631CD">
        <w:t>vulnerable;</w:t>
      </w:r>
      <w:proofErr w:type="gramEnd"/>
    </w:p>
    <w:p w14:paraId="13DEEDFA" w14:textId="77777777" w:rsidR="000631CD" w:rsidRPr="000631CD" w:rsidRDefault="000631CD" w:rsidP="000631CD">
      <w:pPr>
        <w:numPr>
          <w:ilvl w:val="0"/>
          <w:numId w:val="9"/>
        </w:numPr>
      </w:pPr>
      <w:r w:rsidRPr="000631CD">
        <w:t>likely effects of development on any town centre strategy; and</w:t>
      </w:r>
    </w:p>
    <w:p w14:paraId="6A5C410C" w14:textId="77777777" w:rsidR="000631CD" w:rsidRPr="000631CD" w:rsidRDefault="000631CD" w:rsidP="000631CD">
      <w:pPr>
        <w:numPr>
          <w:ilvl w:val="0"/>
          <w:numId w:val="9"/>
        </w:numPr>
      </w:pPr>
      <w:r w:rsidRPr="000631CD">
        <w:t>impact on any other planned investment.</w:t>
      </w:r>
    </w:p>
    <w:p w14:paraId="70385029" w14:textId="56E19F7F" w:rsidR="000631CD" w:rsidRPr="000631CD" w:rsidRDefault="00C86845" w:rsidP="00C86845">
      <w:pPr>
        <w:ind w:left="720" w:hanging="720"/>
      </w:pPr>
      <w:r>
        <w:t>4.17.4</w:t>
      </w:r>
      <w:r>
        <w:tab/>
      </w:r>
      <w:r w:rsidR="006B0F06">
        <w:t>Paragraph 15.20 of t</w:t>
      </w:r>
      <w:r w:rsidR="00443A9F">
        <w:t xml:space="preserve">he </w:t>
      </w:r>
      <w:r w:rsidR="000631CD" w:rsidRPr="000631CD">
        <w:t>2016 ‘Ashfield District Retail and Leisure Study’</w:t>
      </w:r>
      <w:r w:rsidR="006B0F06">
        <w:t>,</w:t>
      </w:r>
      <w:r w:rsidR="000631CD" w:rsidRPr="000631CD">
        <w:t xml:space="preserve"> </w:t>
      </w:r>
      <w:r w:rsidR="00443A9F">
        <w:t xml:space="preserve">prepared </w:t>
      </w:r>
      <w:r w:rsidR="006B0F06">
        <w:t xml:space="preserve">by Nexus </w:t>
      </w:r>
      <w:r w:rsidR="000631CD" w:rsidRPr="000631CD">
        <w:t>on behalf of the Council</w:t>
      </w:r>
      <w:r w:rsidR="006B0F06">
        <w:t>,</w:t>
      </w:r>
      <w:r w:rsidR="000631CD" w:rsidRPr="000631CD">
        <w:t xml:space="preserve"> concluded that a flat local retail impact threshold of 300 sq. m should be applied to the three primary town centres of Kirkby, Sutton and Hucknall.  This matter was evaluated in detail at 9.53 to 9.62 of that Study, adopting the considerations set out in the NPPG.  </w:t>
      </w:r>
    </w:p>
    <w:p w14:paraId="3B6816D4" w14:textId="190044D0" w:rsidR="000631CD" w:rsidRPr="000631CD" w:rsidRDefault="00C86845" w:rsidP="00C86845">
      <w:pPr>
        <w:ind w:left="720" w:hanging="720"/>
      </w:pPr>
      <w:r>
        <w:t>4.17.5</w:t>
      </w:r>
      <w:r>
        <w:tab/>
      </w:r>
      <w:r w:rsidR="000631CD" w:rsidRPr="000631CD">
        <w:t xml:space="preserve">Notably, the previous Council Retail Study to </w:t>
      </w:r>
      <w:r w:rsidR="00443A9F">
        <w:t>that</w:t>
      </w:r>
      <w:r w:rsidR="000631CD" w:rsidRPr="000631CD">
        <w:t xml:space="preserve"> (WYG, 2011) had already recommended lower impact thresholds of 500 </w:t>
      </w:r>
      <w:proofErr w:type="spellStart"/>
      <w:r w:rsidR="000631CD" w:rsidRPr="000631CD">
        <w:t>sq</w:t>
      </w:r>
      <w:proofErr w:type="spellEnd"/>
      <w:r w:rsidR="000631CD" w:rsidRPr="000631CD">
        <w:t xml:space="preserve"> m in Sutton, 300 </w:t>
      </w:r>
      <w:proofErr w:type="spellStart"/>
      <w:r w:rsidR="000631CD" w:rsidRPr="000631CD">
        <w:t>sq</w:t>
      </w:r>
      <w:proofErr w:type="spellEnd"/>
      <w:r w:rsidR="000631CD" w:rsidRPr="000631CD">
        <w:t xml:space="preserve"> m in Hucknall and </w:t>
      </w:r>
      <w:r w:rsidR="001B2F3D">
        <w:t>K</w:t>
      </w:r>
      <w:r w:rsidR="000631CD" w:rsidRPr="000631CD">
        <w:t>ir</w:t>
      </w:r>
      <w:r w:rsidR="001B2F3D">
        <w:t>k</w:t>
      </w:r>
      <w:r w:rsidR="000631CD" w:rsidRPr="000631CD">
        <w:t xml:space="preserve">by, and 200 </w:t>
      </w:r>
      <w:proofErr w:type="spellStart"/>
      <w:r w:rsidR="000631CD" w:rsidRPr="000631CD">
        <w:t>sq</w:t>
      </w:r>
      <w:proofErr w:type="spellEnd"/>
      <w:r w:rsidR="000631CD" w:rsidRPr="000631CD">
        <w:t xml:space="preserve"> m in local shopping centres.  </w:t>
      </w:r>
    </w:p>
    <w:p w14:paraId="23408614" w14:textId="2B231FBF" w:rsidR="000631CD" w:rsidRPr="000631CD" w:rsidRDefault="00C86845" w:rsidP="00C86845">
      <w:pPr>
        <w:ind w:left="720" w:hanging="720"/>
      </w:pPr>
      <w:r>
        <w:t>4.17.6</w:t>
      </w:r>
      <w:r>
        <w:tab/>
      </w:r>
      <w:r w:rsidR="000631CD" w:rsidRPr="000631CD">
        <w:t>At each date, it is important to re-consider up-to-date evidence in respect of the NPPG criterion.  Therefore, the</w:t>
      </w:r>
      <w:r w:rsidR="001B2F3D">
        <w:t xml:space="preserve">se thresholds were </w:t>
      </w:r>
      <w:r w:rsidR="000631CD" w:rsidRPr="000631CD">
        <w:t>re-consider</w:t>
      </w:r>
      <w:r w:rsidR="001B2F3D">
        <w:t>ed</w:t>
      </w:r>
      <w:r w:rsidR="000631CD" w:rsidRPr="000631CD">
        <w:t xml:space="preserve"> in </w:t>
      </w:r>
      <w:r w:rsidR="001B2F3D">
        <w:t>the</w:t>
      </w:r>
      <w:r w:rsidR="000631CD" w:rsidRPr="000631CD">
        <w:t xml:space="preserve"> Town Centre</w:t>
      </w:r>
      <w:r w:rsidR="001B2F3D">
        <w:t>-</w:t>
      </w:r>
      <w:r w:rsidR="000631CD" w:rsidRPr="000631CD">
        <w:t>Local Centre Study (2023)</w:t>
      </w:r>
      <w:r w:rsidR="001B2F3D">
        <w:t xml:space="preserve"> (SEV.32) </w:t>
      </w:r>
      <w:r w:rsidR="000631CD" w:rsidRPr="000631CD">
        <w:t xml:space="preserve">and </w:t>
      </w:r>
      <w:r w:rsidR="001B2F3D">
        <w:t xml:space="preserve">the </w:t>
      </w:r>
      <w:r w:rsidR="000631CD" w:rsidRPr="000631CD">
        <w:t>update</w:t>
      </w:r>
      <w:r w:rsidR="001B2F3D">
        <w:t>d</w:t>
      </w:r>
      <w:r w:rsidR="000631CD" w:rsidRPr="000631CD">
        <w:t xml:space="preserve"> analysis is set out at 15.18 to 15.24 of that Study.  In short, </w:t>
      </w:r>
      <w:r w:rsidR="001B2F3D">
        <w:t xml:space="preserve">the study </w:t>
      </w:r>
      <w:r w:rsidR="000631CD" w:rsidRPr="000631CD">
        <w:t>considered whether there had been any changes to circumstances which would warrant any different impact thresholds being applied at that date.  This assessment was underpinned by the detailed ‘health-check’ exercise carried out</w:t>
      </w:r>
      <w:r w:rsidR="001B2F3D">
        <w:t xml:space="preserve"> by Nexus</w:t>
      </w:r>
      <w:r w:rsidR="000631CD" w:rsidRPr="000631CD">
        <w:t xml:space="preserve"> in Sections 5-14 of that report, which enabled a detailed understanding of the composition and general prosperity of each of the </w:t>
      </w:r>
      <w:proofErr w:type="gramStart"/>
      <w:r w:rsidR="000631CD" w:rsidRPr="000631CD">
        <w:t>District’s</w:t>
      </w:r>
      <w:proofErr w:type="gramEnd"/>
      <w:r w:rsidR="000631CD" w:rsidRPr="000631CD">
        <w:t xml:space="preserve"> centres.  The culmination of that exercise was that </w:t>
      </w:r>
      <w:r w:rsidR="001B2F3D">
        <w:t>Nexus</w:t>
      </w:r>
      <w:r w:rsidR="000631CD" w:rsidRPr="000631CD">
        <w:t xml:space="preserve"> were satisfied that the existing thresholds remained appropriate, primarily because there was little difference in unit sizes (one of the NPPG tests) and that there had been some obvious </w:t>
      </w:r>
      <w:r w:rsidR="000631CD" w:rsidRPr="000631CD">
        <w:lastRenderedPageBreak/>
        <w:t>deterioration in the health of the centres (especially vacancy rates), particularly in Sutton and Kirkby.</w:t>
      </w:r>
    </w:p>
    <w:p w14:paraId="7D64768B" w14:textId="42FD5579" w:rsidR="000631CD" w:rsidRPr="000631CD" w:rsidRDefault="00C86845" w:rsidP="00C86845">
      <w:pPr>
        <w:ind w:left="720" w:hanging="720"/>
      </w:pPr>
      <w:r>
        <w:t>4.17.7</w:t>
      </w:r>
      <w:r>
        <w:tab/>
      </w:r>
      <w:r w:rsidR="000631CD" w:rsidRPr="000631CD">
        <w:t xml:space="preserve">We are therefore content that the requirement for a locally set impact threshold has been approached in a consistent and evidence-driven manner in both 2016 and 2023.   </w:t>
      </w:r>
    </w:p>
    <w:p w14:paraId="259D1948" w14:textId="77777777" w:rsidR="000631CD" w:rsidRDefault="000631CD" w:rsidP="00E76EC3"/>
    <w:p w14:paraId="427C1C24" w14:textId="77777777" w:rsidR="00D55D25" w:rsidRDefault="00E76EC3" w:rsidP="00E76EC3">
      <w:pPr>
        <w:rPr>
          <w:b/>
          <w:bCs/>
          <w:i/>
          <w:iCs/>
        </w:rPr>
      </w:pPr>
      <w:r w:rsidRPr="002A269E">
        <w:rPr>
          <w:b/>
          <w:bCs/>
          <w:i/>
          <w:iCs/>
        </w:rPr>
        <w:t>4.18 Do Policies SH1 – SH3 provide clear direction as to how a decision maker should</w:t>
      </w:r>
      <w:r w:rsidR="002A269E">
        <w:rPr>
          <w:b/>
          <w:bCs/>
          <w:i/>
          <w:iCs/>
        </w:rPr>
        <w:t xml:space="preserve"> </w:t>
      </w:r>
      <w:r w:rsidRPr="002A269E">
        <w:rPr>
          <w:b/>
          <w:bCs/>
          <w:i/>
          <w:iCs/>
        </w:rPr>
        <w:t>react</w:t>
      </w:r>
      <w:r w:rsidR="002A269E">
        <w:rPr>
          <w:b/>
          <w:bCs/>
          <w:i/>
          <w:iCs/>
        </w:rPr>
        <w:t xml:space="preserve"> </w:t>
      </w:r>
      <w:r w:rsidRPr="002A269E">
        <w:rPr>
          <w:b/>
          <w:bCs/>
          <w:i/>
          <w:iCs/>
        </w:rPr>
        <w:t>to a development proposal?</w:t>
      </w:r>
    </w:p>
    <w:p w14:paraId="6DB37546" w14:textId="77777777" w:rsidR="00D55D25" w:rsidRPr="00D55D25" w:rsidRDefault="00D55D25" w:rsidP="00D55D25">
      <w:pPr>
        <w:rPr>
          <w:u w:val="single"/>
        </w:rPr>
      </w:pPr>
      <w:r w:rsidRPr="00D55D25">
        <w:rPr>
          <w:u w:val="single"/>
        </w:rPr>
        <w:t>Council’s response</w:t>
      </w:r>
    </w:p>
    <w:p w14:paraId="04F1A8BA" w14:textId="7B4C1F67" w:rsidR="002671DA" w:rsidRPr="002671DA" w:rsidRDefault="00FE4967" w:rsidP="002671DA">
      <w:r>
        <w:rPr>
          <w:b/>
          <w:bCs/>
          <w:i/>
          <w:iCs/>
        </w:rPr>
        <w:t xml:space="preserve"> </w:t>
      </w:r>
      <w:r w:rsidR="00E443CE">
        <w:t>4.18.1</w:t>
      </w:r>
      <w:r w:rsidR="002671DA" w:rsidRPr="002671DA">
        <w:t>We have considered this question under two different scenarios:</w:t>
      </w:r>
    </w:p>
    <w:p w14:paraId="45E288FD" w14:textId="77777777" w:rsidR="002671DA" w:rsidRPr="002671DA" w:rsidRDefault="002671DA" w:rsidP="002671DA">
      <w:pPr>
        <w:numPr>
          <w:ilvl w:val="0"/>
          <w:numId w:val="10"/>
        </w:numPr>
      </w:pPr>
      <w:r w:rsidRPr="002671DA">
        <w:t xml:space="preserve">The route through these policies if the decision-maker received a planning application </w:t>
      </w:r>
      <w:r w:rsidRPr="002671DA">
        <w:rPr>
          <w:u w:val="single"/>
        </w:rPr>
        <w:t>within</w:t>
      </w:r>
      <w:r w:rsidRPr="002671DA">
        <w:t xml:space="preserve"> an identified centre; and</w:t>
      </w:r>
    </w:p>
    <w:p w14:paraId="1EAE2C33" w14:textId="77777777" w:rsidR="002671DA" w:rsidRPr="002671DA" w:rsidRDefault="002671DA" w:rsidP="002671DA">
      <w:pPr>
        <w:numPr>
          <w:ilvl w:val="0"/>
          <w:numId w:val="10"/>
        </w:numPr>
      </w:pPr>
      <w:r w:rsidRPr="002671DA">
        <w:t xml:space="preserve">The route through these policies if the decision-maker received a planning application which is </w:t>
      </w:r>
      <w:r w:rsidRPr="002671DA">
        <w:rPr>
          <w:u w:val="single"/>
        </w:rPr>
        <w:t>outside</w:t>
      </w:r>
      <w:r w:rsidRPr="002671DA">
        <w:t xml:space="preserve"> an identified centre.  </w:t>
      </w:r>
    </w:p>
    <w:p w14:paraId="1AE275A6" w14:textId="59C010A0" w:rsidR="002671DA" w:rsidRPr="002671DA" w:rsidRDefault="00E443CE" w:rsidP="00E443CE">
      <w:pPr>
        <w:rPr>
          <w:u w:val="single"/>
        </w:rPr>
      </w:pPr>
      <w:r w:rsidRPr="00E443CE">
        <w:t>4.18.2</w:t>
      </w:r>
      <w:r w:rsidRPr="00E443CE">
        <w:tab/>
      </w:r>
      <w:r w:rsidR="002671DA" w:rsidRPr="002671DA">
        <w:rPr>
          <w:u w:val="single"/>
        </w:rPr>
        <w:t>Scenario 1 – Proposals Inside Designated Centres</w:t>
      </w:r>
    </w:p>
    <w:p w14:paraId="7CC821F7" w14:textId="77777777" w:rsidR="002671DA" w:rsidRPr="002671DA" w:rsidRDefault="002671DA" w:rsidP="00E443CE">
      <w:pPr>
        <w:ind w:left="720"/>
      </w:pPr>
      <w:r w:rsidRPr="002671DA">
        <w:t xml:space="preserve">Under the first scenario, the decision-maker would examine in detail the requirements of </w:t>
      </w:r>
      <w:r w:rsidRPr="002671DA">
        <w:rPr>
          <w:b/>
          <w:bCs/>
        </w:rPr>
        <w:t>Policy SH1</w:t>
      </w:r>
      <w:r w:rsidRPr="002671DA">
        <w:t xml:space="preserve"> where proposals come forward in the town centre of Sutton, Kirkby and Hucknall.  The policies inform them that they should support development for town centre uses (defined at Footnote 1 of SH1), as well as residential, health care and education proposals, where they </w:t>
      </w:r>
      <w:proofErr w:type="gramStart"/>
      <w:r w:rsidRPr="002671DA">
        <w:t>are located in</w:t>
      </w:r>
      <w:proofErr w:type="gramEnd"/>
      <w:r w:rsidRPr="002671DA">
        <w:t xml:space="preserve"> town centres, in principle.</w:t>
      </w:r>
    </w:p>
    <w:p w14:paraId="24CBF792" w14:textId="77777777" w:rsidR="002671DA" w:rsidRPr="002671DA" w:rsidRDefault="002671DA" w:rsidP="00E443CE">
      <w:pPr>
        <w:ind w:left="720"/>
      </w:pPr>
      <w:r w:rsidRPr="002671DA">
        <w:t>This is though subject to a range of criterion 1a-j.  We have examined those criteria to ensure that they provide ‘clear direction’ as suggested by the Inspector and comment on each as follows:</w:t>
      </w:r>
    </w:p>
    <w:p w14:paraId="3FE552D0" w14:textId="369AFAC0" w:rsidR="002671DA" w:rsidRPr="002671DA" w:rsidRDefault="002671DA" w:rsidP="002671DA">
      <w:pPr>
        <w:numPr>
          <w:ilvl w:val="0"/>
          <w:numId w:val="11"/>
        </w:numPr>
      </w:pPr>
      <w:r w:rsidRPr="002671DA">
        <w:t xml:space="preserve">Scale – This is a subjective term when it comes to assessing appropriate development.  However, </w:t>
      </w:r>
      <w:r w:rsidR="005E7D56">
        <w:t>we have</w:t>
      </w:r>
      <w:r w:rsidRPr="002671DA">
        <w:t xml:space="preserve"> sought to qualify this through being in general accord with the</w:t>
      </w:r>
      <w:r w:rsidR="005E7D56">
        <w:t xml:space="preserve"> Council’s</w:t>
      </w:r>
      <w:r w:rsidRPr="002671DA">
        <w:t xml:space="preserve"> published Town Centre Masterplans.  We therefore consider this to be a clear and concise requirement.  </w:t>
      </w:r>
    </w:p>
    <w:p w14:paraId="5BA6C6EF" w14:textId="70A13132" w:rsidR="002671DA" w:rsidRPr="002671DA" w:rsidRDefault="002671DA" w:rsidP="002671DA">
      <w:pPr>
        <w:numPr>
          <w:ilvl w:val="0"/>
          <w:numId w:val="11"/>
        </w:numPr>
      </w:pPr>
      <w:r w:rsidRPr="002671DA">
        <w:t xml:space="preserve">Impact on Character, Quality, Amenity and Safety – These </w:t>
      </w:r>
      <w:r w:rsidR="004A4E01">
        <w:t>factors</w:t>
      </w:r>
      <w:r w:rsidRPr="002671DA">
        <w:t xml:space="preserve"> feature in the health-check assessments prepared under our Town Centr</w:t>
      </w:r>
      <w:r w:rsidR="005E7D56">
        <w:t>e-</w:t>
      </w:r>
      <w:r w:rsidRPr="002671DA">
        <w:t xml:space="preserve">Local Centre Study (2023) </w:t>
      </w:r>
      <w:r w:rsidR="005E7D56">
        <w:t xml:space="preserve">(SEV.32) </w:t>
      </w:r>
      <w:r w:rsidRPr="002671DA">
        <w:t xml:space="preserve">as well as the Town Centre Masterplans.  This provides a quantum of measurable baseline material against which the decision-maker can make a judgment on the acceptability of a proposal.  </w:t>
      </w:r>
    </w:p>
    <w:p w14:paraId="282AA2B5" w14:textId="77777777" w:rsidR="002671DA" w:rsidRPr="002671DA" w:rsidRDefault="002671DA" w:rsidP="002671DA">
      <w:pPr>
        <w:numPr>
          <w:ilvl w:val="0"/>
          <w:numId w:val="11"/>
        </w:numPr>
      </w:pPr>
      <w:r w:rsidRPr="002671DA">
        <w:t xml:space="preserve">Retail Vitality – This term is reflective of the wording of the NPPF (Paragraph 90a).  The requirement to demonstrate that there is ‘no adverse effect’ is more ordinarily reflective of the requirements for out-of-centre development under the impact test (NPPF, Paragraph 95).  Notwithstanding, it is conceivable that despite a proposal coming forwards in a town centre, and being within acceptable use, that it could still have a significant adverse effect on the vitality of the retailing in that town centre.  An example would be where there was partial, or total, loss of a retail frontage to a residential development.  We therefore consider this to be justifiable criterion.  </w:t>
      </w:r>
    </w:p>
    <w:p w14:paraId="06B0B21B" w14:textId="77777777" w:rsidR="002671DA" w:rsidRPr="002671DA" w:rsidRDefault="002671DA" w:rsidP="002671DA">
      <w:pPr>
        <w:numPr>
          <w:ilvl w:val="0"/>
          <w:numId w:val="11"/>
        </w:numPr>
      </w:pPr>
      <w:r w:rsidRPr="002671DA">
        <w:lastRenderedPageBreak/>
        <w:t xml:space="preserve">Range of Uses – This criterion seeks to encourage additional choice and competition in a centre, in keeping with NPPF objectives.  It would be important to recognise that by ‘widening’ the range of town centre uses, this does not necessarily mean that it is essential to provide something new, but that ‘more of the same’ would also expand choice and competition.  We consider this criterion to be unambiguous.     </w:t>
      </w:r>
    </w:p>
    <w:p w14:paraId="43AD59B3" w14:textId="77777777" w:rsidR="002671DA" w:rsidRPr="002671DA" w:rsidRDefault="002671DA" w:rsidP="002671DA">
      <w:pPr>
        <w:numPr>
          <w:ilvl w:val="0"/>
          <w:numId w:val="11"/>
        </w:numPr>
      </w:pPr>
      <w:r w:rsidRPr="002671DA">
        <w:t xml:space="preserve">Range of Day/Evening Uses – This is crucial aspect of town centre health.  The town centres in Ashfield (especially Kirkby, for example) were shown in our 2023 Study to have very limited offer in the evening economy.  Policy support for broadening the appeal to evening users is appropriate </w:t>
      </w:r>
      <w:proofErr w:type="gramStart"/>
      <w:r w:rsidRPr="002671DA">
        <w:t>in order to</w:t>
      </w:r>
      <w:proofErr w:type="gramEnd"/>
      <w:r w:rsidRPr="002671DA">
        <w:t xml:space="preserve"> increase utilisation and for aspects of safety and general vitality.  </w:t>
      </w:r>
    </w:p>
    <w:p w14:paraId="6C570217" w14:textId="77777777" w:rsidR="002671DA" w:rsidRPr="002671DA" w:rsidRDefault="002671DA" w:rsidP="002671DA">
      <w:pPr>
        <w:numPr>
          <w:ilvl w:val="0"/>
          <w:numId w:val="11"/>
        </w:numPr>
      </w:pPr>
      <w:r w:rsidRPr="002671DA">
        <w:t>Street Frontage – This links to criterion c) as described above.  The decision-maker should resist proposals which would undermine the breakages in the Primary Shopping Areas which could result in footfall reductions.</w:t>
      </w:r>
    </w:p>
    <w:p w14:paraId="60F812EE" w14:textId="77777777" w:rsidR="002671DA" w:rsidRPr="002671DA" w:rsidRDefault="002671DA" w:rsidP="002671DA">
      <w:pPr>
        <w:numPr>
          <w:ilvl w:val="0"/>
          <w:numId w:val="11"/>
        </w:numPr>
      </w:pPr>
      <w:r w:rsidRPr="002671DA">
        <w:t xml:space="preserve">Residential on Upper Floors – this is encouraged at all tiers of planning policy and is an excellent means of encouraging footfall and associated vitality in town centres.  The criterion is suitable clear that this should apply to above ground floor spaces. </w:t>
      </w:r>
    </w:p>
    <w:p w14:paraId="27FB27ED" w14:textId="77777777" w:rsidR="002671DA" w:rsidRPr="002671DA" w:rsidRDefault="002671DA" w:rsidP="002671DA">
      <w:pPr>
        <w:numPr>
          <w:ilvl w:val="0"/>
          <w:numId w:val="11"/>
        </w:numPr>
      </w:pPr>
      <w:r w:rsidRPr="002671DA">
        <w:t xml:space="preserve">Signage – Clutter and clarify in wayfinding is an important factor in considering the health of a town centre and the requirements of this criterion are well-founded and clear.  </w:t>
      </w:r>
    </w:p>
    <w:p w14:paraId="6937856A" w14:textId="77777777" w:rsidR="002671DA" w:rsidRPr="002671DA" w:rsidRDefault="002671DA" w:rsidP="002671DA">
      <w:pPr>
        <w:numPr>
          <w:ilvl w:val="0"/>
          <w:numId w:val="11"/>
        </w:numPr>
      </w:pPr>
      <w:r w:rsidRPr="002671DA">
        <w:t xml:space="preserve">Design – Support for good design, which is in keeping with the streetscape, is encouraged at all tiers of plan policy.  </w:t>
      </w:r>
    </w:p>
    <w:p w14:paraId="120616F1" w14:textId="77777777" w:rsidR="002671DA" w:rsidRPr="002671DA" w:rsidRDefault="002671DA" w:rsidP="002671DA">
      <w:pPr>
        <w:numPr>
          <w:ilvl w:val="0"/>
          <w:numId w:val="11"/>
        </w:numPr>
      </w:pPr>
      <w:r w:rsidRPr="002671DA">
        <w:t xml:space="preserve">Servicing – This criterion is also relevant and clear in its purpose.  Conflict with pedestrian and/or access by other modes of transport should be avoided in the interest of vitality and viability.  </w:t>
      </w:r>
    </w:p>
    <w:p w14:paraId="0EAAD074" w14:textId="3A0089EF" w:rsidR="002671DA" w:rsidRPr="002671DA" w:rsidRDefault="005B31B7" w:rsidP="005B31B7">
      <w:pPr>
        <w:ind w:left="720" w:hanging="720"/>
      </w:pPr>
      <w:r>
        <w:t>4.18.3</w:t>
      </w:r>
      <w:r>
        <w:tab/>
      </w:r>
      <w:r w:rsidR="002671DA" w:rsidRPr="002671DA">
        <w:t xml:space="preserve">We are therefore content that there is both justification for, and clarity in, the provisions of criterion 1a-j of Policy SH1 when they are viewed by the decision-maker.  </w:t>
      </w:r>
    </w:p>
    <w:p w14:paraId="4A0BAEC2" w14:textId="611F3BCC" w:rsidR="002671DA" w:rsidRDefault="005B31B7" w:rsidP="005B31B7">
      <w:pPr>
        <w:ind w:left="720" w:hanging="720"/>
      </w:pPr>
      <w:r>
        <w:t>4.18.4</w:t>
      </w:r>
      <w:r>
        <w:tab/>
      </w:r>
      <w:r w:rsidR="002671DA" w:rsidRPr="002671DA">
        <w:t xml:space="preserve">Part 2 of Policy SH1 considers the issue of conversion of ‘surplus shop units’ to residential use.  There is cross-reference to Part 1 of the Policy which makes it clear that this relates to in-centre proposals, but for added clarity, we </w:t>
      </w:r>
      <w:r w:rsidR="00C96BBE">
        <w:t xml:space="preserve">suggest </w:t>
      </w:r>
      <w:r w:rsidR="002671DA" w:rsidRPr="002671DA">
        <w:t xml:space="preserve">that specific wording is added to this effect.  Our suggestion is that this would </w:t>
      </w:r>
      <w:r>
        <w:t>be as set out below:</w:t>
      </w:r>
    </w:p>
    <w:tbl>
      <w:tblPr>
        <w:tblStyle w:val="TableGrid"/>
        <w:tblW w:w="8788" w:type="dxa"/>
        <w:tblInd w:w="846" w:type="dxa"/>
        <w:shd w:val="clear" w:color="auto" w:fill="D9D9D9" w:themeFill="background1" w:themeFillShade="D9"/>
        <w:tblLook w:val="04A0" w:firstRow="1" w:lastRow="0" w:firstColumn="1" w:lastColumn="0" w:noHBand="0" w:noVBand="1"/>
      </w:tblPr>
      <w:tblGrid>
        <w:gridCol w:w="8788"/>
      </w:tblGrid>
      <w:tr w:rsidR="005B31B7" w14:paraId="1D756339" w14:textId="77777777" w:rsidTr="0036476B">
        <w:tc>
          <w:tcPr>
            <w:tcW w:w="8788" w:type="dxa"/>
            <w:shd w:val="clear" w:color="auto" w:fill="D9D9D9" w:themeFill="background1" w:themeFillShade="D9"/>
          </w:tcPr>
          <w:p w14:paraId="4A9A7D65" w14:textId="23C960AA" w:rsidR="005B31B7" w:rsidRPr="005B31B7" w:rsidRDefault="005B31B7" w:rsidP="005B31B7">
            <w:pPr>
              <w:spacing w:after="160" w:line="252" w:lineRule="auto"/>
              <w:jc w:val="left"/>
              <w:rPr>
                <w:b/>
                <w:bCs/>
                <w:kern w:val="2"/>
                <w14:ligatures w14:val="standardContextual"/>
              </w:rPr>
            </w:pPr>
            <w:r w:rsidRPr="00E86EB5">
              <w:rPr>
                <w:b/>
                <w:bCs/>
                <w:kern w:val="2"/>
                <w14:ligatures w14:val="standardContextual"/>
              </w:rPr>
              <w:t>P</w:t>
            </w:r>
            <w:r>
              <w:rPr>
                <w:b/>
                <w:bCs/>
                <w:kern w:val="2"/>
                <w14:ligatures w14:val="standardContextual"/>
              </w:rPr>
              <w:t>roposed</w:t>
            </w:r>
            <w:r w:rsidRPr="00E86EB5">
              <w:rPr>
                <w:b/>
                <w:bCs/>
                <w:kern w:val="2"/>
                <w14:ligatures w14:val="standardContextual"/>
              </w:rPr>
              <w:t xml:space="preserve"> </w:t>
            </w:r>
            <w:r>
              <w:rPr>
                <w:b/>
                <w:bCs/>
                <w:kern w:val="2"/>
                <w14:ligatures w14:val="standardContextual"/>
              </w:rPr>
              <w:t xml:space="preserve">Modification </w:t>
            </w:r>
          </w:p>
          <w:p w14:paraId="0ECB066F" w14:textId="1DC285FA" w:rsidR="005B31B7" w:rsidRDefault="005B31B7" w:rsidP="005B31B7">
            <w:pPr>
              <w:rPr>
                <w:i/>
                <w:iCs/>
              </w:rPr>
            </w:pPr>
            <w:r w:rsidRPr="002671DA">
              <w:rPr>
                <w:i/>
                <w:iCs/>
              </w:rPr>
              <w:t xml:space="preserve">“Subject to the provisions of Policy SH1 – 1, the Council will support the conversion of surplus shop units </w:t>
            </w:r>
            <w:r w:rsidRPr="002671DA">
              <w:rPr>
                <w:i/>
                <w:iCs/>
                <w:u w:val="single"/>
              </w:rPr>
              <w:t>within town centres</w:t>
            </w:r>
            <w:r w:rsidRPr="002671DA">
              <w:rPr>
                <w:i/>
                <w:iCs/>
              </w:rPr>
              <w:t xml:space="preserve"> to residential use where….”</w:t>
            </w:r>
          </w:p>
          <w:p w14:paraId="350860C6" w14:textId="66880919" w:rsidR="005B31B7" w:rsidRPr="005B31B7" w:rsidRDefault="005B31B7" w:rsidP="005B31B7">
            <w:pPr>
              <w:rPr>
                <w:i/>
                <w:iCs/>
              </w:rPr>
            </w:pPr>
          </w:p>
        </w:tc>
      </w:tr>
    </w:tbl>
    <w:p w14:paraId="2D10DAE7" w14:textId="77777777" w:rsidR="005B31B7" w:rsidRPr="002671DA" w:rsidRDefault="005B31B7" w:rsidP="005B31B7">
      <w:pPr>
        <w:ind w:left="720" w:hanging="720"/>
      </w:pPr>
    </w:p>
    <w:p w14:paraId="46AFB297" w14:textId="080120A6" w:rsidR="002671DA" w:rsidRPr="002671DA" w:rsidRDefault="005B31B7" w:rsidP="005B31B7">
      <w:pPr>
        <w:ind w:left="720" w:hanging="720"/>
      </w:pPr>
      <w:r>
        <w:t>4.18.5</w:t>
      </w:r>
      <w:r>
        <w:tab/>
      </w:r>
      <w:r w:rsidR="002671DA" w:rsidRPr="002671DA">
        <w:t xml:space="preserve">It may also be appropriate to better help define what is meant by ‘surplus shop units’, so that there is no perceived conflict with criterion c or f of Part 1.  Part 2a is helpful for the decision-maker as it clarifies that siting and design are relevant factors. Part 2b also assists as it requires that there is a demonstrable lack of demand for the unit. We suggest that some additional wording around a potential period of vacancy and/or lengths of marketing efforts may be appropriate (12 months is a common yardstick).    </w:t>
      </w:r>
    </w:p>
    <w:p w14:paraId="5D63206C" w14:textId="22A11476" w:rsidR="002671DA" w:rsidRPr="002671DA" w:rsidRDefault="00A81BE8" w:rsidP="00A81BE8">
      <w:pPr>
        <w:ind w:left="720" w:hanging="720"/>
      </w:pPr>
      <w:r>
        <w:lastRenderedPageBreak/>
        <w:t>4.18.6</w:t>
      </w:r>
      <w:r>
        <w:tab/>
      </w:r>
      <w:r w:rsidR="002671DA" w:rsidRPr="002671DA">
        <w:t>Part 3 is a now well-established requirement not to seek an agglomeration of ‘unhealthy’ uses in a town centre.  The Town Centre</w:t>
      </w:r>
      <w:r w:rsidR="00FE0394">
        <w:t>-</w:t>
      </w:r>
      <w:r w:rsidR="002671DA" w:rsidRPr="002671DA">
        <w:t>Local Centre Study (2023)</w:t>
      </w:r>
      <w:r w:rsidR="00FE0394">
        <w:t xml:space="preserve"> (SEV.32)</w:t>
      </w:r>
      <w:r w:rsidR="002671DA" w:rsidRPr="002671DA">
        <w:t xml:space="preserve"> provides a benchmark assessment in this respect where it considered the number and spread of unhealthy units in its Section 5-14 for each centre.  The decision-maker would be able to refer to this assessment.   </w:t>
      </w:r>
    </w:p>
    <w:p w14:paraId="3EDFB9B5" w14:textId="1AED3C70" w:rsidR="002671DA" w:rsidRPr="002671DA" w:rsidRDefault="00A81BE8" w:rsidP="00A81BE8">
      <w:r>
        <w:t>4.18.7</w:t>
      </w:r>
      <w:r>
        <w:tab/>
      </w:r>
      <w:r w:rsidR="002671DA" w:rsidRPr="002671DA">
        <w:t>Part 4 of Policy S</w:t>
      </w:r>
      <w:r w:rsidR="00FE0394">
        <w:t>H</w:t>
      </w:r>
      <w:r w:rsidR="002671DA" w:rsidRPr="002671DA">
        <w:t xml:space="preserve">1 would not be applicable to proposals in town centres.  </w:t>
      </w:r>
    </w:p>
    <w:p w14:paraId="27E432DE" w14:textId="54066373" w:rsidR="002671DA" w:rsidRPr="002671DA" w:rsidRDefault="00A81BE8" w:rsidP="00A81BE8">
      <w:pPr>
        <w:ind w:left="720" w:hanging="720"/>
      </w:pPr>
      <w:r>
        <w:t>4.18.8</w:t>
      </w:r>
      <w:r>
        <w:tab/>
      </w:r>
      <w:r w:rsidR="002671DA" w:rsidRPr="002671DA">
        <w:t xml:space="preserve">The decision-maker would refer to </w:t>
      </w:r>
      <w:r w:rsidR="002671DA" w:rsidRPr="002671DA">
        <w:rPr>
          <w:b/>
          <w:bCs/>
        </w:rPr>
        <w:t>Policy SH2</w:t>
      </w:r>
      <w:r w:rsidR="002671DA" w:rsidRPr="002671DA">
        <w:t xml:space="preserve"> where proposals came forward in a Local Shopping Centre, Shopping Parade or Single Shop, as set out within the policy itself.  We do not repeat the same analysis as above in respect of each of the criterion listed as this would be repetitive.  We therefore isolate our comments in terms of thinking about the role of the decision-maker as follows:</w:t>
      </w:r>
    </w:p>
    <w:p w14:paraId="78802784" w14:textId="77777777" w:rsidR="002671DA" w:rsidRPr="002671DA" w:rsidRDefault="002671DA" w:rsidP="002671DA">
      <w:pPr>
        <w:numPr>
          <w:ilvl w:val="0"/>
          <w:numId w:val="12"/>
        </w:numPr>
      </w:pPr>
      <w:r w:rsidRPr="002671DA">
        <w:t xml:space="preserve">Part 2 – it would be helpful to insert the word </w:t>
      </w:r>
      <w:r w:rsidRPr="002671DA">
        <w:rPr>
          <w:i/>
          <w:iCs/>
        </w:rPr>
        <w:t>‘main’</w:t>
      </w:r>
      <w:r w:rsidRPr="002671DA">
        <w:t xml:space="preserve"> town centre uses for consistency.  </w:t>
      </w:r>
    </w:p>
    <w:p w14:paraId="6778EDFC" w14:textId="77777777" w:rsidR="002671DA" w:rsidRPr="002671DA" w:rsidRDefault="002671DA" w:rsidP="002671DA">
      <w:pPr>
        <w:numPr>
          <w:ilvl w:val="0"/>
          <w:numId w:val="12"/>
        </w:numPr>
      </w:pPr>
      <w:r w:rsidRPr="002671DA">
        <w:t xml:space="preserve">Part 2a and 2b – Again, it would be helpful to insert the word Local </w:t>
      </w:r>
      <w:r w:rsidRPr="002671DA">
        <w:rPr>
          <w:i/>
          <w:iCs/>
        </w:rPr>
        <w:t xml:space="preserve">‘Shopping’ </w:t>
      </w:r>
      <w:r w:rsidRPr="002671DA">
        <w:t xml:space="preserve">Centre for consistency.  </w:t>
      </w:r>
    </w:p>
    <w:p w14:paraId="254EC047" w14:textId="53997C52" w:rsidR="002671DA" w:rsidRPr="002671DA" w:rsidRDefault="002671DA" w:rsidP="002671DA">
      <w:pPr>
        <w:numPr>
          <w:ilvl w:val="0"/>
          <w:numId w:val="12"/>
        </w:numPr>
      </w:pPr>
      <w:r w:rsidRPr="002671DA">
        <w:t xml:space="preserve">Part 3c – in keeping with our comment on Policy SH1 Part 2, we </w:t>
      </w:r>
      <w:r w:rsidR="000058FA">
        <w:t>consider</w:t>
      </w:r>
      <w:r w:rsidRPr="002671DA">
        <w:t xml:space="preserve"> it would be helpful to quantify </w:t>
      </w:r>
      <w:proofErr w:type="gramStart"/>
      <w:r w:rsidRPr="002671DA">
        <w:t>a time period</w:t>
      </w:r>
      <w:proofErr w:type="gramEnd"/>
      <w:r w:rsidRPr="002671DA">
        <w:t xml:space="preserve"> for evidencing a lack of demand.  </w:t>
      </w:r>
    </w:p>
    <w:p w14:paraId="59333491" w14:textId="77777777" w:rsidR="002671DA" w:rsidRPr="002671DA" w:rsidRDefault="002671DA" w:rsidP="002671DA">
      <w:pPr>
        <w:numPr>
          <w:ilvl w:val="0"/>
          <w:numId w:val="12"/>
        </w:numPr>
      </w:pPr>
      <w:r w:rsidRPr="002671DA">
        <w:t xml:space="preserve">Part 6 – protection of convenience </w:t>
      </w:r>
      <w:proofErr w:type="spellStart"/>
      <w:r w:rsidRPr="002671DA">
        <w:t>foodstores</w:t>
      </w:r>
      <w:proofErr w:type="spellEnd"/>
      <w:r w:rsidRPr="002671DA">
        <w:t xml:space="preserve"> which provide for the day-to-day needs of the community is a bespoke consideration for Local Shopping Centres.  This is squarely in line though with the thinking behind Use Class F.2 of the Use Classes Order (UCO, 2021) which seeks to protect community shops, and therefore assist the decision-maker with consistency of treatment alongside the UCO.  </w:t>
      </w:r>
    </w:p>
    <w:p w14:paraId="1C74712D" w14:textId="77777777" w:rsidR="002671DA" w:rsidRPr="002671DA" w:rsidRDefault="002671DA" w:rsidP="002671DA">
      <w:pPr>
        <w:numPr>
          <w:ilvl w:val="0"/>
          <w:numId w:val="12"/>
        </w:numPr>
      </w:pPr>
      <w:r w:rsidRPr="002671DA">
        <w:t xml:space="preserve">Part 7 – we would again suggest that it would be useful to quantify a suggested period of vacancy before community use conversions might be considered appropriate.  </w:t>
      </w:r>
    </w:p>
    <w:p w14:paraId="3A267E4D" w14:textId="77777777" w:rsidR="002671DA" w:rsidRPr="002671DA" w:rsidRDefault="002671DA" w:rsidP="002671DA">
      <w:pPr>
        <w:numPr>
          <w:ilvl w:val="0"/>
          <w:numId w:val="12"/>
        </w:numPr>
      </w:pPr>
      <w:r w:rsidRPr="002671DA">
        <w:t xml:space="preserve">Part 10 - we would again suggest that it would be useful to quantify a suggested period of vacancy before alternative uses to retail might be considered appropriate.  </w:t>
      </w:r>
    </w:p>
    <w:p w14:paraId="71C8173A" w14:textId="77777777" w:rsidR="002671DA" w:rsidRPr="002671DA" w:rsidRDefault="002671DA" w:rsidP="002671DA">
      <w:pPr>
        <w:numPr>
          <w:ilvl w:val="0"/>
          <w:numId w:val="12"/>
        </w:numPr>
      </w:pPr>
      <w:r w:rsidRPr="002671DA">
        <w:t xml:space="preserve">Part 11 – The restriction to 200 </w:t>
      </w:r>
      <w:proofErr w:type="spellStart"/>
      <w:r w:rsidRPr="002671DA">
        <w:t>sq</w:t>
      </w:r>
      <w:proofErr w:type="spellEnd"/>
      <w:r w:rsidRPr="002671DA">
        <w:t xml:space="preserve"> m is in line with the local impact thresholds.  The restriction to the primary sale of convenience goods is also appropriate as the Council would not want to see a proliferation of retail sales outside of day-to-day convenience goods shopping (i.e. comparison goods shopping or service uses) which would more appropriately bolster the vitality and viability of Town Centres or Local Shopping Centres.  </w:t>
      </w:r>
    </w:p>
    <w:p w14:paraId="2430024F" w14:textId="10A302B4" w:rsidR="002671DA" w:rsidRPr="002671DA" w:rsidRDefault="00A81BE8" w:rsidP="00A81BE8">
      <w:pPr>
        <w:ind w:left="720" w:hanging="720"/>
      </w:pPr>
      <w:r w:rsidRPr="00A81BE8">
        <w:t>4.18.9</w:t>
      </w:r>
      <w:r w:rsidRPr="00A81BE8">
        <w:tab/>
      </w:r>
      <w:r w:rsidR="002671DA" w:rsidRPr="002671DA">
        <w:rPr>
          <w:b/>
          <w:bCs/>
        </w:rPr>
        <w:t>Policy SH3</w:t>
      </w:r>
      <w:r w:rsidR="002671DA" w:rsidRPr="002671DA">
        <w:t xml:space="preserve"> relates to shopfronts.  The criterion within Policy SH3 </w:t>
      </w:r>
      <w:proofErr w:type="gramStart"/>
      <w:r w:rsidR="002671DA" w:rsidRPr="002671DA">
        <w:t>are</w:t>
      </w:r>
      <w:proofErr w:type="gramEnd"/>
      <w:r w:rsidR="002671DA" w:rsidRPr="002671DA">
        <w:t xml:space="preserve"> readily understandable for the decision-maker and the evidence base quoted provides appropriate baseline material for the decision-maker to make subjective design judgments.  </w:t>
      </w:r>
    </w:p>
    <w:p w14:paraId="60D55C73" w14:textId="64F2BF51" w:rsidR="002671DA" w:rsidRPr="002671DA" w:rsidRDefault="00E443CE" w:rsidP="002671DA">
      <w:pPr>
        <w:rPr>
          <w:u w:val="single"/>
        </w:rPr>
      </w:pPr>
      <w:r w:rsidRPr="00E443CE">
        <w:t>4.18.</w:t>
      </w:r>
      <w:r w:rsidR="00A81BE8">
        <w:t>10</w:t>
      </w:r>
      <w:r w:rsidR="00A81BE8">
        <w:tab/>
      </w:r>
      <w:r w:rsidR="002671DA" w:rsidRPr="002671DA">
        <w:rPr>
          <w:u w:val="single"/>
        </w:rPr>
        <w:t>Scenario 2 – Proposals Outside Designated Centres</w:t>
      </w:r>
    </w:p>
    <w:p w14:paraId="74489A1D" w14:textId="77777777" w:rsidR="002671DA" w:rsidRPr="002671DA" w:rsidRDefault="002671DA" w:rsidP="00A81BE8">
      <w:pPr>
        <w:ind w:left="720"/>
      </w:pPr>
      <w:r w:rsidRPr="002671DA">
        <w:t xml:space="preserve">Under this scenario, the decision-maker would consider Part 4 of </w:t>
      </w:r>
      <w:r w:rsidRPr="002671DA">
        <w:rPr>
          <w:b/>
          <w:bCs/>
        </w:rPr>
        <w:t>Policy SH1</w:t>
      </w:r>
      <w:r w:rsidRPr="002671DA">
        <w:t xml:space="preserve"> in detail.  The policy explains at the outset that the Council will apply the sequential test and, </w:t>
      </w:r>
      <w:r w:rsidRPr="002671DA">
        <w:lastRenderedPageBreak/>
        <w:t xml:space="preserve">where appropriate, the impact test to the location of main town centre uses.  This is unambiguous.  </w:t>
      </w:r>
    </w:p>
    <w:p w14:paraId="204D51C8" w14:textId="14B91515" w:rsidR="002671DA" w:rsidRPr="002671DA" w:rsidRDefault="00A81BE8" w:rsidP="00A81BE8">
      <w:pPr>
        <w:ind w:left="720" w:hanging="720"/>
      </w:pPr>
      <w:r>
        <w:t>4.18.11</w:t>
      </w:r>
      <w:r>
        <w:tab/>
      </w:r>
      <w:r w:rsidR="002671DA" w:rsidRPr="002671DA">
        <w:t>Turning first to Part 4a, which concerns the sequential test, the wording of this requirement has been carefully constructed by officers to reflect the guidance contained within the NPPF (2023) and relevant case law.  W</w:t>
      </w:r>
      <w:r w:rsidR="00577A4D">
        <w:rPr>
          <w:szCs w:val="24"/>
        </w:rPr>
        <w:t xml:space="preserve">e suggest some minor wording changes </w:t>
      </w:r>
      <w:r w:rsidR="002671DA" w:rsidRPr="002671DA">
        <w:t xml:space="preserve">to provide additional clarify for the decision-maker.  This centres around clarification of the three tests which form part of the sequential assessment (suitability, viability and availability), and the removal of any confusing wording around ‘availability’ which is otherwise a </w:t>
      </w:r>
      <w:proofErr w:type="gramStart"/>
      <w:r w:rsidR="002671DA" w:rsidRPr="002671DA">
        <w:t>test in its own right</w:t>
      </w:r>
      <w:proofErr w:type="gramEnd"/>
      <w:r w:rsidR="002671DA" w:rsidRPr="002671DA">
        <w:t xml:space="preserve">.  </w:t>
      </w:r>
    </w:p>
    <w:tbl>
      <w:tblPr>
        <w:tblStyle w:val="TableGrid"/>
        <w:tblW w:w="8788" w:type="dxa"/>
        <w:tblInd w:w="846" w:type="dxa"/>
        <w:shd w:val="clear" w:color="auto" w:fill="D9D9D9" w:themeFill="background1" w:themeFillShade="D9"/>
        <w:tblLook w:val="04A0" w:firstRow="1" w:lastRow="0" w:firstColumn="1" w:lastColumn="0" w:noHBand="0" w:noVBand="1"/>
      </w:tblPr>
      <w:tblGrid>
        <w:gridCol w:w="8788"/>
      </w:tblGrid>
      <w:tr w:rsidR="00A81BE8" w14:paraId="45B1E1B9" w14:textId="77777777" w:rsidTr="0036476B">
        <w:tc>
          <w:tcPr>
            <w:tcW w:w="8788" w:type="dxa"/>
            <w:shd w:val="clear" w:color="auto" w:fill="D9D9D9" w:themeFill="background1" w:themeFillShade="D9"/>
          </w:tcPr>
          <w:p w14:paraId="7F82820A" w14:textId="77777777" w:rsidR="00A81BE8" w:rsidRPr="00E86EB5" w:rsidRDefault="00A81BE8" w:rsidP="0036476B">
            <w:pPr>
              <w:spacing w:after="160" w:line="252" w:lineRule="auto"/>
              <w:jc w:val="left"/>
              <w:rPr>
                <w:b/>
                <w:bCs/>
                <w:kern w:val="2"/>
                <w14:ligatures w14:val="standardContextual"/>
              </w:rPr>
            </w:pPr>
            <w:r w:rsidRPr="00E86EB5">
              <w:rPr>
                <w:b/>
                <w:bCs/>
                <w:kern w:val="2"/>
                <w14:ligatures w14:val="standardContextual"/>
              </w:rPr>
              <w:t>P</w:t>
            </w:r>
            <w:r>
              <w:rPr>
                <w:b/>
                <w:bCs/>
                <w:kern w:val="2"/>
                <w14:ligatures w14:val="standardContextual"/>
              </w:rPr>
              <w:t>roposed</w:t>
            </w:r>
            <w:r w:rsidRPr="00E86EB5">
              <w:rPr>
                <w:b/>
                <w:bCs/>
                <w:kern w:val="2"/>
                <w14:ligatures w14:val="standardContextual"/>
              </w:rPr>
              <w:t xml:space="preserve"> </w:t>
            </w:r>
            <w:r>
              <w:rPr>
                <w:b/>
                <w:bCs/>
                <w:kern w:val="2"/>
                <w14:ligatures w14:val="standardContextual"/>
              </w:rPr>
              <w:t xml:space="preserve">Modification </w:t>
            </w:r>
          </w:p>
          <w:p w14:paraId="10630053" w14:textId="1BF6F7E9" w:rsidR="00A81BE8" w:rsidRPr="002671DA" w:rsidRDefault="00A81BE8" w:rsidP="00A81BE8">
            <w:pPr>
              <w:rPr>
                <w:i/>
                <w:iCs/>
              </w:rPr>
            </w:pPr>
            <w:r w:rsidRPr="002671DA">
              <w:rPr>
                <w:i/>
                <w:iCs/>
              </w:rPr>
              <w:t xml:space="preserve">“Sequential Test - The sequential test requires main town centre uses to </w:t>
            </w:r>
            <w:proofErr w:type="gramStart"/>
            <w:r w:rsidRPr="002671DA">
              <w:rPr>
                <w:i/>
                <w:iCs/>
              </w:rPr>
              <w:t>be located in</w:t>
            </w:r>
            <w:proofErr w:type="gramEnd"/>
            <w:r w:rsidRPr="002671DA">
              <w:rPr>
                <w:i/>
                <w:iCs/>
              </w:rPr>
              <w:t xml:space="preserve"> town centre locations.  Only where no suitable, </w:t>
            </w:r>
            <w:r w:rsidRPr="002671DA">
              <w:rPr>
                <w:i/>
                <w:iCs/>
                <w:u w:val="single"/>
              </w:rPr>
              <w:t>viable,</w:t>
            </w:r>
            <w:r w:rsidRPr="002671DA">
              <w:rPr>
                <w:i/>
                <w:iCs/>
              </w:rPr>
              <w:t xml:space="preserve"> and available sites exist, or expect to become available within a reasonable period, will alternative locations be considered, </w:t>
            </w:r>
            <w:proofErr w:type="gramStart"/>
            <w:r w:rsidRPr="002671DA">
              <w:rPr>
                <w:i/>
                <w:iCs/>
              </w:rPr>
              <w:t>taking into account</w:t>
            </w:r>
            <w:proofErr w:type="gramEnd"/>
            <w:r w:rsidRPr="002671DA">
              <w:rPr>
                <w:i/>
                <w:iCs/>
              </w:rPr>
              <w:t xml:space="preserve"> proximity and access to Primary Shopping Areas. If </w:t>
            </w:r>
            <w:r w:rsidRPr="002671DA">
              <w:rPr>
                <w:i/>
                <w:iCs/>
                <w:u w:val="single"/>
              </w:rPr>
              <w:t>there are</w:t>
            </w:r>
            <w:r w:rsidRPr="002671DA">
              <w:rPr>
                <w:i/>
                <w:iCs/>
              </w:rPr>
              <w:t xml:space="preserve"> no suitable, </w:t>
            </w:r>
            <w:r w:rsidRPr="002671DA">
              <w:rPr>
                <w:i/>
                <w:iCs/>
                <w:u w:val="single"/>
              </w:rPr>
              <w:t>viable or available</w:t>
            </w:r>
            <w:r w:rsidRPr="002671DA">
              <w:rPr>
                <w:i/>
                <w:iCs/>
              </w:rPr>
              <w:t xml:space="preserve"> sites within a town centre location </w:t>
            </w:r>
            <w:r w:rsidRPr="00EB4CF3">
              <w:rPr>
                <w:i/>
                <w:iCs/>
                <w:strike/>
              </w:rPr>
              <w:t>are available</w:t>
            </w:r>
            <w:r w:rsidRPr="002671DA">
              <w:rPr>
                <w:i/>
                <w:iCs/>
              </w:rPr>
              <w:t xml:space="preserve">, development should be located to </w:t>
            </w:r>
            <w:r w:rsidRPr="002671DA">
              <w:rPr>
                <w:i/>
                <w:iCs/>
                <w:u w:val="single"/>
              </w:rPr>
              <w:t>an</w:t>
            </w:r>
            <w:r w:rsidRPr="002671DA">
              <w:rPr>
                <w:i/>
                <w:iCs/>
              </w:rPr>
              <w:t xml:space="preserve"> edge of centre location, and, if neither town centre locations nor edge of centre locations </w:t>
            </w:r>
            <w:r w:rsidRPr="002671DA">
              <w:rPr>
                <w:i/>
                <w:iCs/>
                <w:u w:val="single"/>
              </w:rPr>
              <w:t>are found to exist</w:t>
            </w:r>
            <w:r w:rsidRPr="002671DA">
              <w:rPr>
                <w:i/>
                <w:iCs/>
              </w:rPr>
              <w:t xml:space="preserve"> available, to out of centre locations.  Flexibility will be required on the format and scale of the development proposed with preference given to accessible sites, which are well connected to the town centre.  Where an application fails to satisfy the sequential test, it will be refused.</w:t>
            </w:r>
          </w:p>
          <w:p w14:paraId="41101C49" w14:textId="77777777" w:rsidR="00A81BE8" w:rsidRPr="002671DA" w:rsidRDefault="00A81BE8" w:rsidP="00A81BE8">
            <w:pPr>
              <w:rPr>
                <w:i/>
                <w:iCs/>
              </w:rPr>
            </w:pPr>
          </w:p>
          <w:p w14:paraId="2219F5D6" w14:textId="77777777" w:rsidR="00A81BE8" w:rsidRPr="002671DA" w:rsidRDefault="00A81BE8" w:rsidP="00A81BE8">
            <w:pPr>
              <w:rPr>
                <w:i/>
                <w:iCs/>
              </w:rPr>
            </w:pPr>
            <w:r w:rsidRPr="002671DA">
              <w:rPr>
                <w:i/>
                <w:iCs/>
              </w:rPr>
              <w:t>If after applying the sequential test, out-of-centre sites are necessary, preference will be given to sites that are, or will be, served by a choice of means of transport, which are close to the centre and have a high likelihood of forming links with the town centre”.</w:t>
            </w:r>
          </w:p>
          <w:p w14:paraId="69504C7A" w14:textId="77777777" w:rsidR="00A81BE8" w:rsidRDefault="00A81BE8" w:rsidP="0036476B">
            <w:pPr>
              <w:jc w:val="left"/>
            </w:pPr>
          </w:p>
          <w:p w14:paraId="4892E040" w14:textId="77777777" w:rsidR="00A81BE8" w:rsidRPr="00422976" w:rsidRDefault="00A81BE8" w:rsidP="0036476B">
            <w:pPr>
              <w:jc w:val="left"/>
            </w:pPr>
            <w:r>
              <w:t xml:space="preserve"> </w:t>
            </w:r>
          </w:p>
        </w:tc>
      </w:tr>
    </w:tbl>
    <w:p w14:paraId="6D705AB3" w14:textId="77777777" w:rsidR="002671DA" w:rsidRPr="002671DA" w:rsidRDefault="002671DA" w:rsidP="002671DA">
      <w:pPr>
        <w:rPr>
          <w:i/>
          <w:iCs/>
        </w:rPr>
      </w:pPr>
    </w:p>
    <w:p w14:paraId="0A5475F3" w14:textId="63FA4565" w:rsidR="002671DA" w:rsidRPr="002671DA" w:rsidRDefault="00A81BE8" w:rsidP="00A81BE8">
      <w:pPr>
        <w:ind w:left="720" w:hanging="720"/>
      </w:pPr>
      <w:r>
        <w:t>4.18.12</w:t>
      </w:r>
      <w:r>
        <w:tab/>
      </w:r>
      <w:r w:rsidR="002671DA" w:rsidRPr="002671DA">
        <w:t xml:space="preserve">Turning next to the impact test at Policy SH1 4b, we would again recommend some minor wording changes to aide clarity and understanding.  This specifically links to our previous analysis </w:t>
      </w:r>
      <w:proofErr w:type="gramStart"/>
      <w:r w:rsidR="002671DA" w:rsidRPr="002671DA">
        <w:t>and also</w:t>
      </w:r>
      <w:proofErr w:type="gramEnd"/>
      <w:r w:rsidR="002671DA" w:rsidRPr="002671DA">
        <w:t xml:space="preserve"> Inspectors Question 4.14. Our recommended minor changes are </w:t>
      </w:r>
      <w:r>
        <w:t>below:</w:t>
      </w:r>
    </w:p>
    <w:tbl>
      <w:tblPr>
        <w:tblStyle w:val="TableGrid"/>
        <w:tblW w:w="8788" w:type="dxa"/>
        <w:tblInd w:w="846" w:type="dxa"/>
        <w:shd w:val="clear" w:color="auto" w:fill="D9D9D9" w:themeFill="background1" w:themeFillShade="D9"/>
        <w:tblLook w:val="04A0" w:firstRow="1" w:lastRow="0" w:firstColumn="1" w:lastColumn="0" w:noHBand="0" w:noVBand="1"/>
      </w:tblPr>
      <w:tblGrid>
        <w:gridCol w:w="8788"/>
      </w:tblGrid>
      <w:tr w:rsidR="00A81BE8" w14:paraId="080BF929" w14:textId="77777777" w:rsidTr="0036476B">
        <w:tc>
          <w:tcPr>
            <w:tcW w:w="8788" w:type="dxa"/>
            <w:shd w:val="clear" w:color="auto" w:fill="D9D9D9" w:themeFill="background1" w:themeFillShade="D9"/>
          </w:tcPr>
          <w:p w14:paraId="5E8032A2" w14:textId="77777777" w:rsidR="00A81BE8" w:rsidRPr="00E86EB5" w:rsidRDefault="00A81BE8" w:rsidP="0036476B">
            <w:pPr>
              <w:spacing w:after="160" w:line="252" w:lineRule="auto"/>
              <w:jc w:val="left"/>
              <w:rPr>
                <w:b/>
                <w:bCs/>
                <w:kern w:val="2"/>
                <w14:ligatures w14:val="standardContextual"/>
              </w:rPr>
            </w:pPr>
            <w:r w:rsidRPr="00E86EB5">
              <w:rPr>
                <w:b/>
                <w:bCs/>
                <w:kern w:val="2"/>
                <w14:ligatures w14:val="standardContextual"/>
              </w:rPr>
              <w:t>P</w:t>
            </w:r>
            <w:r>
              <w:rPr>
                <w:b/>
                <w:bCs/>
                <w:kern w:val="2"/>
                <w14:ligatures w14:val="standardContextual"/>
              </w:rPr>
              <w:t>roposed</w:t>
            </w:r>
            <w:r w:rsidRPr="00E86EB5">
              <w:rPr>
                <w:b/>
                <w:bCs/>
                <w:kern w:val="2"/>
                <w14:ligatures w14:val="standardContextual"/>
              </w:rPr>
              <w:t xml:space="preserve"> </w:t>
            </w:r>
            <w:r>
              <w:rPr>
                <w:b/>
                <w:bCs/>
                <w:kern w:val="2"/>
                <w14:ligatures w14:val="standardContextual"/>
              </w:rPr>
              <w:t xml:space="preserve">Modification </w:t>
            </w:r>
          </w:p>
          <w:p w14:paraId="1E2732D4" w14:textId="77777777" w:rsidR="00EE5136" w:rsidRDefault="00EE5136" w:rsidP="00EE5136">
            <w:pPr>
              <w:rPr>
                <w:i/>
                <w:iCs/>
              </w:rPr>
            </w:pPr>
            <w:r w:rsidRPr="002671DA">
              <w:rPr>
                <w:i/>
                <w:iCs/>
              </w:rPr>
              <w:t xml:space="preserve">“Impact Test – Where considered necessary by the Council, </w:t>
            </w:r>
            <w:r>
              <w:rPr>
                <w:i/>
                <w:iCs/>
                <w:u w:val="single"/>
              </w:rPr>
              <w:t>a</w:t>
            </w:r>
            <w:r w:rsidRPr="002671DA">
              <w:rPr>
                <w:i/>
                <w:iCs/>
                <w:u w:val="single"/>
              </w:rPr>
              <w:t>n</w:t>
            </w:r>
            <w:r w:rsidRPr="002671DA">
              <w:rPr>
                <w:i/>
                <w:iCs/>
              </w:rPr>
              <w:t xml:space="preserve"> impact test will be required for retail or leisure proposals exceeding 300 square metres gross of floorspace </w:t>
            </w:r>
            <w:r w:rsidRPr="002671DA">
              <w:rPr>
                <w:i/>
                <w:iCs/>
                <w:u w:val="single"/>
              </w:rPr>
              <w:t>which are outside the town centres</w:t>
            </w:r>
            <w:r w:rsidRPr="002671DA">
              <w:rPr>
                <w:i/>
                <w:iCs/>
              </w:rPr>
              <w:t>.  This will include significant extensions to existing facilities for retail or leisure uses falling outside the designated town centres (or local centres). Where the development is likely to have a significant adverse impact on:</w:t>
            </w:r>
          </w:p>
          <w:p w14:paraId="080EF907" w14:textId="77777777" w:rsidR="00EE5136" w:rsidRPr="002671DA" w:rsidRDefault="00EE5136" w:rsidP="00EE5136">
            <w:pPr>
              <w:rPr>
                <w:i/>
                <w:iCs/>
              </w:rPr>
            </w:pPr>
          </w:p>
          <w:p w14:paraId="60D5AFFA" w14:textId="77777777" w:rsidR="00EE5136" w:rsidRPr="002671DA" w:rsidRDefault="00EE5136" w:rsidP="00EE5136">
            <w:pPr>
              <w:numPr>
                <w:ilvl w:val="0"/>
                <w:numId w:val="13"/>
              </w:numPr>
              <w:rPr>
                <w:i/>
                <w:iCs/>
              </w:rPr>
            </w:pPr>
            <w:r w:rsidRPr="002671DA">
              <w:rPr>
                <w:i/>
                <w:iCs/>
              </w:rPr>
              <w:t>existing, committed and planned public and private investment in a centre or centres in the catchment area of the proposal, and/or</w:t>
            </w:r>
          </w:p>
          <w:p w14:paraId="00CCF62C" w14:textId="77777777" w:rsidR="00EE5136" w:rsidRPr="002671DA" w:rsidRDefault="00EE5136" w:rsidP="00EE5136">
            <w:pPr>
              <w:rPr>
                <w:i/>
                <w:iCs/>
              </w:rPr>
            </w:pPr>
          </w:p>
          <w:p w14:paraId="520C9C1F" w14:textId="77777777" w:rsidR="00EE5136" w:rsidRPr="002671DA" w:rsidRDefault="00EE5136" w:rsidP="00EE5136">
            <w:pPr>
              <w:numPr>
                <w:ilvl w:val="0"/>
                <w:numId w:val="13"/>
              </w:numPr>
              <w:rPr>
                <w:i/>
                <w:iCs/>
              </w:rPr>
            </w:pPr>
            <w:r w:rsidRPr="002671DA">
              <w:rPr>
                <w:i/>
                <w:iCs/>
              </w:rPr>
              <w:lastRenderedPageBreak/>
              <w:t xml:space="preserve">town centre vitality and viability, including local consumer choice and trade in the town centre and the wider retail catchment (as applicable to the scale and nature of the scheme), </w:t>
            </w:r>
          </w:p>
          <w:p w14:paraId="1FF52B94" w14:textId="77777777" w:rsidR="00EE5136" w:rsidRDefault="00EE5136" w:rsidP="00EE5136">
            <w:pPr>
              <w:ind w:firstLine="680"/>
              <w:rPr>
                <w:i/>
                <w:iCs/>
              </w:rPr>
            </w:pPr>
          </w:p>
          <w:p w14:paraId="48CE3C8F" w14:textId="4174267C" w:rsidR="00EE5136" w:rsidRPr="002671DA" w:rsidRDefault="00EE5136" w:rsidP="00EE5136">
            <w:pPr>
              <w:ind w:firstLine="680"/>
              <w:rPr>
                <w:i/>
                <w:iCs/>
              </w:rPr>
            </w:pPr>
            <w:r w:rsidRPr="002671DA">
              <w:rPr>
                <w:i/>
                <w:iCs/>
              </w:rPr>
              <w:t>it will be refused”.</w:t>
            </w:r>
          </w:p>
          <w:p w14:paraId="0E590470" w14:textId="027406BD" w:rsidR="00A81BE8" w:rsidRPr="00422976" w:rsidRDefault="00A81BE8" w:rsidP="0036476B">
            <w:pPr>
              <w:jc w:val="left"/>
            </w:pPr>
          </w:p>
        </w:tc>
      </w:tr>
    </w:tbl>
    <w:p w14:paraId="653D9490" w14:textId="77777777" w:rsidR="002671DA" w:rsidRPr="002671DA" w:rsidRDefault="002671DA" w:rsidP="002671DA"/>
    <w:p w14:paraId="03134417" w14:textId="77777777" w:rsidR="002671DA" w:rsidRPr="002671DA" w:rsidRDefault="002671DA" w:rsidP="002671DA">
      <w:pPr>
        <w:rPr>
          <w:i/>
          <w:iCs/>
        </w:rPr>
      </w:pPr>
    </w:p>
    <w:p w14:paraId="1527E4B3" w14:textId="19C9883D" w:rsidR="002671DA" w:rsidRDefault="00E443CE" w:rsidP="00E443CE">
      <w:pPr>
        <w:ind w:left="680" w:hanging="680"/>
      </w:pPr>
      <w:r>
        <w:t>4.18.</w:t>
      </w:r>
      <w:r w:rsidR="00C73D1F">
        <w:t>13</w:t>
      </w:r>
      <w:r>
        <w:tab/>
      </w:r>
      <w:r w:rsidR="002671DA" w:rsidRPr="002671DA">
        <w:t xml:space="preserve">If a proposal comes forward for development outside Local Shopping Centre, it would be subject to </w:t>
      </w:r>
      <w:r w:rsidR="002671DA" w:rsidRPr="002671DA">
        <w:rPr>
          <w:b/>
          <w:bCs/>
        </w:rPr>
        <w:t>Policy SH2</w:t>
      </w:r>
      <w:r w:rsidR="002671DA" w:rsidRPr="002671DA">
        <w:t xml:space="preserve">.  Part 5 of that policy deals with the sequential test and impact test.  In line with local impact thresholds, this would then apply to developments of 200 </w:t>
      </w:r>
      <w:proofErr w:type="spellStart"/>
      <w:r w:rsidR="002671DA" w:rsidRPr="002671DA">
        <w:t>sq</w:t>
      </w:r>
      <w:proofErr w:type="spellEnd"/>
      <w:r w:rsidR="002671DA" w:rsidRPr="002671DA">
        <w:t xml:space="preserve"> m gross floorspace and above.  In keeping with our treatment of Policy SH1, we would also recommend a minor wording change to ensure consistency and clarity of approach, as follows:</w:t>
      </w:r>
    </w:p>
    <w:tbl>
      <w:tblPr>
        <w:tblStyle w:val="TableGrid"/>
        <w:tblW w:w="8788" w:type="dxa"/>
        <w:tblInd w:w="846" w:type="dxa"/>
        <w:shd w:val="clear" w:color="auto" w:fill="D9D9D9" w:themeFill="background1" w:themeFillShade="D9"/>
        <w:tblLook w:val="04A0" w:firstRow="1" w:lastRow="0" w:firstColumn="1" w:lastColumn="0" w:noHBand="0" w:noVBand="1"/>
      </w:tblPr>
      <w:tblGrid>
        <w:gridCol w:w="8788"/>
      </w:tblGrid>
      <w:tr w:rsidR="00C73D1F" w14:paraId="48E611C3" w14:textId="77777777" w:rsidTr="0036476B">
        <w:tc>
          <w:tcPr>
            <w:tcW w:w="8788" w:type="dxa"/>
            <w:shd w:val="clear" w:color="auto" w:fill="D9D9D9" w:themeFill="background1" w:themeFillShade="D9"/>
          </w:tcPr>
          <w:p w14:paraId="50E9E4D2" w14:textId="1A2A43D6" w:rsidR="00C73D1F" w:rsidRPr="00C73D1F" w:rsidRDefault="00C73D1F" w:rsidP="00C73D1F">
            <w:pPr>
              <w:spacing w:after="160" w:line="252" w:lineRule="auto"/>
              <w:jc w:val="left"/>
              <w:rPr>
                <w:b/>
                <w:bCs/>
                <w:kern w:val="2"/>
                <w14:ligatures w14:val="standardContextual"/>
              </w:rPr>
            </w:pPr>
            <w:r w:rsidRPr="00E86EB5">
              <w:rPr>
                <w:b/>
                <w:bCs/>
                <w:kern w:val="2"/>
                <w14:ligatures w14:val="standardContextual"/>
              </w:rPr>
              <w:t>P</w:t>
            </w:r>
            <w:r>
              <w:rPr>
                <w:b/>
                <w:bCs/>
                <w:kern w:val="2"/>
                <w14:ligatures w14:val="standardContextual"/>
              </w:rPr>
              <w:t>roposed</w:t>
            </w:r>
            <w:r w:rsidRPr="00E86EB5">
              <w:rPr>
                <w:b/>
                <w:bCs/>
                <w:kern w:val="2"/>
                <w14:ligatures w14:val="standardContextual"/>
              </w:rPr>
              <w:t xml:space="preserve"> </w:t>
            </w:r>
            <w:proofErr w:type="gramStart"/>
            <w:r>
              <w:rPr>
                <w:b/>
                <w:bCs/>
                <w:kern w:val="2"/>
                <w14:ligatures w14:val="standardContextual"/>
              </w:rPr>
              <w:t xml:space="preserve">Modification </w:t>
            </w:r>
            <w:r>
              <w:t>:</w:t>
            </w:r>
            <w:proofErr w:type="gramEnd"/>
          </w:p>
          <w:p w14:paraId="60815775" w14:textId="77777777" w:rsidR="00C73D1F" w:rsidRPr="002671DA" w:rsidRDefault="00C73D1F" w:rsidP="00C73D1F">
            <w:pPr>
              <w:rPr>
                <w:bCs/>
                <w:i/>
                <w:iCs/>
              </w:rPr>
            </w:pPr>
            <w:r w:rsidRPr="002671DA">
              <w:rPr>
                <w:bCs/>
                <w:i/>
                <w:iCs/>
              </w:rPr>
              <w:t xml:space="preserve">“The Council will apply the sequential test and, where appropriate, the impact test.  An impact test will be required for retail or leisure proposals exceeding 200 square metres gross of floorspace in relation to Local Shopping Centres. Where the development proposal fails to satisfy the sequential test </w:t>
            </w:r>
            <w:r w:rsidRPr="002671DA">
              <w:rPr>
                <w:bCs/>
                <w:i/>
                <w:iCs/>
                <w:u w:val="single"/>
              </w:rPr>
              <w:t>(as prescribed at Policy SH1(4a)</w:t>
            </w:r>
            <w:proofErr w:type="gramStart"/>
            <w:r w:rsidRPr="002671DA">
              <w:rPr>
                <w:bCs/>
                <w:i/>
                <w:iCs/>
                <w:u w:val="single"/>
              </w:rPr>
              <w:t xml:space="preserve">), </w:t>
            </w:r>
            <w:r w:rsidRPr="002671DA">
              <w:rPr>
                <w:bCs/>
                <w:i/>
                <w:iCs/>
              </w:rPr>
              <w:t>or</w:t>
            </w:r>
            <w:proofErr w:type="gramEnd"/>
            <w:r w:rsidRPr="002671DA">
              <w:rPr>
                <w:bCs/>
                <w:i/>
                <w:iCs/>
              </w:rPr>
              <w:t xml:space="preserve"> is likely to have a significant adverse impact on the local centre, it will be refused”.</w:t>
            </w:r>
          </w:p>
          <w:p w14:paraId="068C214C" w14:textId="5D04FB18" w:rsidR="00C73D1F" w:rsidRPr="00422976" w:rsidRDefault="00C73D1F" w:rsidP="0036476B">
            <w:pPr>
              <w:jc w:val="left"/>
            </w:pPr>
          </w:p>
        </w:tc>
      </w:tr>
    </w:tbl>
    <w:p w14:paraId="1EBD3BE4" w14:textId="77777777" w:rsidR="00C73D1F" w:rsidRPr="002671DA" w:rsidRDefault="00C73D1F" w:rsidP="00E443CE">
      <w:pPr>
        <w:ind w:left="680" w:hanging="680"/>
      </w:pPr>
    </w:p>
    <w:p w14:paraId="02BDE744" w14:textId="7C682D9D" w:rsidR="002671DA" w:rsidRPr="002671DA" w:rsidRDefault="00E443CE" w:rsidP="00E443CE">
      <w:pPr>
        <w:ind w:left="680" w:hanging="680"/>
      </w:pPr>
      <w:r>
        <w:t>4.18.</w:t>
      </w:r>
      <w:r w:rsidR="00C73D1F">
        <w:t>14</w:t>
      </w:r>
      <w:r>
        <w:tab/>
      </w:r>
      <w:r w:rsidR="002671DA" w:rsidRPr="002671DA">
        <w:t xml:space="preserve">Subject to these minor amendments to the wording of Policies SH1 and SH2 (and elsewhere Policy S11 – see our response to Inspector’s Question 4.14), we are satisfied that the decision-maker will have clarity of approach for applications for main town centre use proposals outside designated centres.  </w:t>
      </w:r>
    </w:p>
    <w:p w14:paraId="6F06C00D" w14:textId="77777777" w:rsidR="00B71673" w:rsidRPr="002A269E" w:rsidRDefault="00B71673" w:rsidP="00E76EC3">
      <w:pPr>
        <w:rPr>
          <w:b/>
          <w:bCs/>
          <w:i/>
          <w:iCs/>
        </w:rPr>
      </w:pPr>
    </w:p>
    <w:p w14:paraId="4DAB6ACB" w14:textId="6A50225F" w:rsidR="00D54C0F" w:rsidRDefault="00E76EC3" w:rsidP="00E76EC3">
      <w:pPr>
        <w:rPr>
          <w:b/>
          <w:bCs/>
          <w:i/>
          <w:iCs/>
        </w:rPr>
      </w:pPr>
      <w:r w:rsidRPr="002A269E">
        <w:rPr>
          <w:b/>
          <w:bCs/>
          <w:i/>
          <w:iCs/>
        </w:rPr>
        <w:t>4.19 Do policies SH1 – SH3 serve a clear purpose, avoiding unnecessary duplication</w:t>
      </w:r>
      <w:r w:rsidR="002A269E">
        <w:rPr>
          <w:b/>
          <w:bCs/>
          <w:i/>
          <w:iCs/>
        </w:rPr>
        <w:t xml:space="preserve"> </w:t>
      </w:r>
      <w:r w:rsidRPr="002A269E">
        <w:rPr>
          <w:b/>
          <w:bCs/>
          <w:i/>
          <w:iCs/>
        </w:rPr>
        <w:t>of</w:t>
      </w:r>
      <w:r w:rsidR="002A269E">
        <w:rPr>
          <w:b/>
          <w:bCs/>
          <w:i/>
          <w:iCs/>
        </w:rPr>
        <w:t xml:space="preserve"> </w:t>
      </w:r>
      <w:r w:rsidRPr="002A269E">
        <w:rPr>
          <w:b/>
          <w:bCs/>
          <w:i/>
          <w:iCs/>
        </w:rPr>
        <w:t>national policy? Is the wording consistent with national policy?</w:t>
      </w:r>
      <w:r w:rsidR="00FE4967">
        <w:rPr>
          <w:b/>
          <w:bCs/>
          <w:i/>
          <w:iCs/>
        </w:rPr>
        <w:t xml:space="preserve"> </w:t>
      </w:r>
    </w:p>
    <w:p w14:paraId="50B9CCAE" w14:textId="68BAEB0F" w:rsidR="00D55D25" w:rsidRPr="00D55D25" w:rsidRDefault="00D55D25" w:rsidP="00E76EC3">
      <w:pPr>
        <w:rPr>
          <w:b/>
          <w:bCs/>
          <w:i/>
          <w:iCs/>
          <w:u w:val="single"/>
        </w:rPr>
      </w:pPr>
      <w:r w:rsidRPr="00D55D25">
        <w:rPr>
          <w:u w:val="single"/>
        </w:rPr>
        <w:t>Council’s response</w:t>
      </w:r>
    </w:p>
    <w:p w14:paraId="4EC87164" w14:textId="4412C5E8" w:rsidR="00236FEC" w:rsidRPr="00236FEC" w:rsidRDefault="00E443CE" w:rsidP="00E443CE">
      <w:pPr>
        <w:ind w:left="720" w:hanging="720"/>
      </w:pPr>
      <w:r>
        <w:t>4.19.1</w:t>
      </w:r>
      <w:r>
        <w:tab/>
      </w:r>
      <w:r w:rsidR="00236FEC" w:rsidRPr="00236FEC">
        <w:t xml:space="preserve">Throughout our response to Inspector’s Question 4.18 we have sought to ensure that there is consistency both within the Plan itself, and with National Policy in either the NPPF or NPPG.  We have recommended a small number of wording changes to ensure this.  </w:t>
      </w:r>
    </w:p>
    <w:p w14:paraId="7AB2F1DA" w14:textId="7FBEE574" w:rsidR="00236FEC" w:rsidRPr="00236FEC" w:rsidRDefault="00E443CE" w:rsidP="00E443CE">
      <w:pPr>
        <w:ind w:left="720" w:hanging="720"/>
      </w:pPr>
      <w:r>
        <w:t>4.19.2</w:t>
      </w:r>
      <w:r>
        <w:tab/>
      </w:r>
      <w:r w:rsidR="00236FEC" w:rsidRPr="00236FEC">
        <w:t xml:space="preserve">In terms of duplication, we are satisfied that Policies SH1 – SH3 avoid unnecessary repetition of national policy.  The suite of main town centre use policies presented align with the scope and content of many other suites of policies we have seen presented to Examination in Public since the latest iteration of the NPPF (at the time of writing, 2023).     </w:t>
      </w:r>
    </w:p>
    <w:p w14:paraId="584E2201" w14:textId="77777777" w:rsidR="002671DA" w:rsidRPr="002671DA" w:rsidRDefault="002671DA" w:rsidP="00E76EC3">
      <w:pPr>
        <w:rPr>
          <w:b/>
          <w:bCs/>
        </w:rPr>
      </w:pPr>
    </w:p>
    <w:sectPr w:rsidR="002671DA" w:rsidRPr="002671DA" w:rsidSect="002102E6">
      <w:footerReference w:type="default" r:id="rId12"/>
      <w:pgSz w:w="11906" w:h="16838"/>
      <w:pgMar w:top="1440" w:right="1077" w:bottom="1440" w:left="107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9AEAA" w14:textId="77777777" w:rsidR="00285F32" w:rsidRDefault="00285F32" w:rsidP="002E5640">
      <w:pPr>
        <w:spacing w:after="0" w:line="240" w:lineRule="auto"/>
      </w:pPr>
      <w:r>
        <w:separator/>
      </w:r>
    </w:p>
  </w:endnote>
  <w:endnote w:type="continuationSeparator" w:id="0">
    <w:p w14:paraId="4B8D6FA3" w14:textId="77777777" w:rsidR="00285F32" w:rsidRDefault="00285F32" w:rsidP="002E5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4553759"/>
      <w:docPartObj>
        <w:docPartGallery w:val="Page Numbers (Bottom of Page)"/>
        <w:docPartUnique/>
      </w:docPartObj>
    </w:sdtPr>
    <w:sdtEndPr>
      <w:rPr>
        <w:color w:val="7F7F7F" w:themeColor="background1" w:themeShade="7F"/>
        <w:spacing w:val="60"/>
      </w:rPr>
    </w:sdtEndPr>
    <w:sdtContent>
      <w:p w14:paraId="36EA5579" w14:textId="77777777" w:rsidR="002102E6" w:rsidRDefault="002102E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6DDC69E" w14:textId="77777777" w:rsidR="002102E6" w:rsidRDefault="00210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8417C" w14:textId="77777777" w:rsidR="00285F32" w:rsidRDefault="00285F32" w:rsidP="002E5640">
      <w:pPr>
        <w:spacing w:after="0" w:line="240" w:lineRule="auto"/>
      </w:pPr>
      <w:r>
        <w:separator/>
      </w:r>
    </w:p>
  </w:footnote>
  <w:footnote w:type="continuationSeparator" w:id="0">
    <w:p w14:paraId="469640F6" w14:textId="77777777" w:rsidR="00285F32" w:rsidRDefault="00285F32" w:rsidP="002E5640">
      <w:pPr>
        <w:spacing w:after="0" w:line="240" w:lineRule="auto"/>
      </w:pPr>
      <w:r>
        <w:continuationSeparator/>
      </w:r>
    </w:p>
  </w:footnote>
  <w:footnote w:id="1">
    <w:p w14:paraId="30B63F28" w14:textId="77777777" w:rsidR="00B10545" w:rsidRDefault="00B10545" w:rsidP="00B10545">
      <w:pPr>
        <w:pStyle w:val="FootnoteText"/>
        <w:rPr>
          <w:sz w:val="16"/>
          <w:szCs w:val="16"/>
        </w:rPr>
      </w:pPr>
      <w:r>
        <w:rPr>
          <w:rStyle w:val="FootnoteReference"/>
          <w:sz w:val="16"/>
          <w:szCs w:val="16"/>
        </w:rPr>
        <w:footnoteRef/>
      </w:r>
      <w:r>
        <w:rPr>
          <w:sz w:val="16"/>
          <w:szCs w:val="16"/>
        </w:rPr>
        <w:t xml:space="preserve"> HCA (November 2015): </w:t>
      </w:r>
      <w:r>
        <w:rPr>
          <w:i/>
          <w:sz w:val="16"/>
          <w:szCs w:val="16"/>
        </w:rPr>
        <w:t>Employment Densities Guide, 3</w:t>
      </w:r>
      <w:r>
        <w:rPr>
          <w:i/>
          <w:sz w:val="16"/>
          <w:szCs w:val="16"/>
          <w:vertAlign w:val="superscript"/>
        </w:rPr>
        <w:t>rd</w:t>
      </w:r>
      <w:r>
        <w:rPr>
          <w:i/>
          <w:sz w:val="16"/>
          <w:szCs w:val="16"/>
        </w:rPr>
        <w:t xml:space="preserve"> Edition</w:t>
      </w:r>
    </w:p>
  </w:footnote>
  <w:footnote w:id="2">
    <w:p w14:paraId="5AA1A856" w14:textId="77777777" w:rsidR="00B10545" w:rsidRDefault="00B10545" w:rsidP="00B10545">
      <w:pPr>
        <w:pStyle w:val="FootnoteText"/>
        <w:rPr>
          <w:sz w:val="16"/>
          <w:szCs w:val="16"/>
        </w:rPr>
      </w:pPr>
      <w:r>
        <w:rPr>
          <w:rStyle w:val="FootnoteReference"/>
          <w:sz w:val="16"/>
          <w:szCs w:val="16"/>
        </w:rPr>
        <w:footnoteRef/>
      </w:r>
      <w:r>
        <w:rPr>
          <w:sz w:val="16"/>
          <w:szCs w:val="16"/>
        </w:rPr>
        <w:t xml:space="preserve"> Including the Welsh Government (August 2015): Practice Guidance – Building an Economic Development Evidence Base to Support a Local Development Plan</w:t>
      </w:r>
    </w:p>
  </w:footnote>
  <w:footnote w:id="3">
    <w:p w14:paraId="06C3DE09" w14:textId="77777777" w:rsidR="00B10545" w:rsidRDefault="00B10545" w:rsidP="00B10545">
      <w:pPr>
        <w:pStyle w:val="FootnoteText"/>
        <w:rPr>
          <w:sz w:val="16"/>
          <w:szCs w:val="16"/>
        </w:rPr>
      </w:pPr>
      <w:r>
        <w:rPr>
          <w:rStyle w:val="FootnoteReference"/>
          <w:sz w:val="16"/>
          <w:szCs w:val="16"/>
        </w:rPr>
        <w:footnoteRef/>
      </w:r>
      <w:r>
        <w:rPr>
          <w:sz w:val="16"/>
          <w:szCs w:val="16"/>
        </w:rPr>
        <w:t xml:space="preserve"> 2a-027-20190220.  Note: the Planning Practice Guidance [PPG] on housing and economic development needs assessment sets out how future needs for employment land should be calculated.  Alongside labour demand, past take up and consultation, this includes </w:t>
      </w:r>
      <w:r>
        <w:rPr>
          <w:i/>
          <w:iCs/>
          <w:sz w:val="16"/>
          <w:szCs w:val="16"/>
        </w:rPr>
        <w:t>“demographically derived assessments of current and future local labour supply (labour supply techniques)”.</w:t>
      </w:r>
    </w:p>
  </w:footnote>
  <w:footnote w:id="4">
    <w:p w14:paraId="2329BD3D" w14:textId="77777777" w:rsidR="00B10545" w:rsidRDefault="00B10545" w:rsidP="00B10545">
      <w:pPr>
        <w:pStyle w:val="FootnoteText"/>
        <w:rPr>
          <w:sz w:val="16"/>
          <w:szCs w:val="16"/>
        </w:rPr>
      </w:pPr>
      <w:r>
        <w:rPr>
          <w:rStyle w:val="FootnoteReference"/>
        </w:rPr>
        <w:footnoteRef/>
      </w:r>
      <w:r>
        <w:rPr>
          <w:sz w:val="16"/>
          <w:szCs w:val="16"/>
        </w:rPr>
        <w:t>NPPF (February 2019): “</w:t>
      </w:r>
      <w:r>
        <w:rPr>
          <w:i/>
          <w:iCs/>
          <w:sz w:val="16"/>
          <w:szCs w:val="16"/>
        </w:rPr>
        <w:t>Planning policies should (inter alia): be flexible enough to accommodate needs not anticipated in the plan, allow for new and flexible working practices (such as live-work accommodation), and to enable a rapid response to changes in economic circumstances</w:t>
      </w:r>
      <w:r>
        <w:rPr>
          <w:sz w:val="16"/>
          <w:szCs w:val="16"/>
        </w:rPr>
        <w:t>” [Paragraph 81d].</w:t>
      </w:r>
    </w:p>
  </w:footnote>
  <w:footnote w:id="5">
    <w:p w14:paraId="745738E1" w14:textId="77777777" w:rsidR="00417551" w:rsidRDefault="00417551" w:rsidP="00417551">
      <w:pPr>
        <w:pStyle w:val="FootnoteText"/>
      </w:pPr>
      <w:r>
        <w:rPr>
          <w:rStyle w:val="FootnoteReference"/>
        </w:rPr>
        <w:footnoteRef/>
      </w:r>
      <w:r>
        <w:t xml:space="preserve"> </w:t>
      </w:r>
      <w:hyperlink r:id="rId1" w:history="1">
        <w:r>
          <w:rPr>
            <w:rStyle w:val="Hyperlink"/>
          </w:rPr>
          <w:t>https://www.gnplan.org.uk/media/rzsd115f/gnsp-strategic-distribution-and-logistics-background-paper-september-2023.pdf</w:t>
        </w:r>
      </w:hyperlink>
      <w:r>
        <w:t xml:space="preserve"> </w:t>
      </w:r>
    </w:p>
  </w:footnote>
  <w:footnote w:id="6">
    <w:p w14:paraId="512E15DC" w14:textId="77777777" w:rsidR="00417551" w:rsidRDefault="00417551" w:rsidP="00417551">
      <w:pPr>
        <w:pStyle w:val="FootnoteText"/>
      </w:pPr>
      <w:r>
        <w:rPr>
          <w:rStyle w:val="FootnoteReference"/>
        </w:rPr>
        <w:footnoteRef/>
      </w:r>
      <w:r>
        <w:t xml:space="preserve"> </w:t>
      </w:r>
      <w:hyperlink r:id="rId2" w:history="1">
        <w:r>
          <w:rPr>
            <w:rStyle w:val="Hyperlink"/>
          </w:rPr>
          <w:t>https://www.gnplan.org.uk/media/yt4lms5x/employment-background-paper-publication-draft-september-2024.pdf</w:t>
        </w:r>
      </w:hyperlink>
      <w:r>
        <w:t xml:space="preserve"> </w:t>
      </w:r>
    </w:p>
  </w:footnote>
  <w:footnote w:id="7">
    <w:p w14:paraId="50C89383" w14:textId="77777777" w:rsidR="00417551" w:rsidRDefault="00417551" w:rsidP="00417551">
      <w:pPr>
        <w:pStyle w:val="FootnoteText"/>
      </w:pPr>
      <w:r>
        <w:rPr>
          <w:rStyle w:val="FootnoteReference"/>
        </w:rPr>
        <w:footnoteRef/>
      </w:r>
      <w:r>
        <w:t xml:space="preserve"> </w:t>
      </w:r>
      <w:hyperlink r:id="rId3" w:history="1">
        <w:r>
          <w:rPr>
            <w:rStyle w:val="Hyperlink"/>
          </w:rPr>
          <w:t>https://www.gnplan.org.uk/media/yt4lms5x/employment-background-paper-publication-draft-september-2024.pdf</w:t>
        </w:r>
      </w:hyperlink>
      <w:r>
        <w:t xml:space="preserve"> </w:t>
      </w:r>
    </w:p>
  </w:footnote>
  <w:footnote w:id="8">
    <w:p w14:paraId="174D0A14" w14:textId="77777777" w:rsidR="00D22138" w:rsidRPr="005A5D53" w:rsidRDefault="00D22138" w:rsidP="00D22138">
      <w:pPr>
        <w:pStyle w:val="FootnoteText"/>
        <w:rPr>
          <w:sz w:val="16"/>
          <w:szCs w:val="16"/>
        </w:rPr>
      </w:pPr>
      <w:r>
        <w:rPr>
          <w:rStyle w:val="FootnoteReference"/>
        </w:rPr>
        <w:footnoteRef/>
      </w:r>
      <w:r>
        <w:t xml:space="preserve"> </w:t>
      </w:r>
      <w:r w:rsidRPr="005A5D53">
        <w:rPr>
          <w:sz w:val="16"/>
          <w:szCs w:val="16"/>
        </w:rPr>
        <w:t>Source: ONS Annual Population Survey, Employment and Unemployment (Jul 2023-Jun 2024)</w:t>
      </w:r>
    </w:p>
  </w:footnote>
  <w:footnote w:id="9">
    <w:p w14:paraId="018851AD" w14:textId="77777777" w:rsidR="00D22138" w:rsidRPr="003937D4" w:rsidRDefault="00D22138" w:rsidP="00D22138">
      <w:pPr>
        <w:pStyle w:val="FootnoteText"/>
        <w:rPr>
          <w:sz w:val="16"/>
          <w:szCs w:val="16"/>
        </w:rPr>
      </w:pPr>
      <w:r>
        <w:rPr>
          <w:rStyle w:val="FootnoteReference"/>
        </w:rPr>
        <w:footnoteRef/>
      </w:r>
      <w:r>
        <w:t xml:space="preserve"> </w:t>
      </w:r>
      <w:r w:rsidRPr="003937D4">
        <w:rPr>
          <w:sz w:val="16"/>
          <w:szCs w:val="16"/>
        </w:rPr>
        <w:t>Note – the 2021 Census suggests that 22,616 people commuted into Ashfield District for work, with 22,637 Ashfield residents commuting out on a daily basis, a net out commute of just 21; however</w:t>
      </w:r>
      <w:r>
        <w:rPr>
          <w:sz w:val="16"/>
          <w:szCs w:val="16"/>
        </w:rPr>
        <w:t>,</w:t>
      </w:r>
      <w:r w:rsidRPr="003937D4">
        <w:rPr>
          <w:sz w:val="16"/>
          <w:szCs w:val="16"/>
        </w:rPr>
        <w:t xml:space="preserve"> these figures are severely distorted by the Covid-19 pandemic, which recorded 20,109 Ashfield residents working from home, many of whom would not be undertaking their usual commute to work in March 2021.</w:t>
      </w:r>
    </w:p>
  </w:footnote>
  <w:footnote w:id="10">
    <w:p w14:paraId="65B20B00" w14:textId="77777777" w:rsidR="00D22138" w:rsidRPr="003937D4" w:rsidRDefault="00D22138" w:rsidP="00D22138">
      <w:pPr>
        <w:pStyle w:val="FootnoteText"/>
        <w:rPr>
          <w:sz w:val="16"/>
          <w:szCs w:val="16"/>
        </w:rPr>
      </w:pPr>
      <w:r w:rsidRPr="003937D4">
        <w:rPr>
          <w:rStyle w:val="FootnoteReference"/>
          <w:sz w:val="16"/>
          <w:szCs w:val="16"/>
        </w:rPr>
        <w:footnoteRef/>
      </w:r>
      <w:r w:rsidRPr="003937D4">
        <w:rPr>
          <w:sz w:val="16"/>
          <w:szCs w:val="16"/>
        </w:rPr>
        <w:t xml:space="preserve"> ONS Business Register and Employment Survey – Employee jobs by industry, 2023</w:t>
      </w:r>
    </w:p>
  </w:footnote>
  <w:footnote w:id="11">
    <w:p w14:paraId="7A5CDED5" w14:textId="77777777" w:rsidR="00D22138" w:rsidRPr="003937D4" w:rsidRDefault="00D22138" w:rsidP="00D22138">
      <w:pPr>
        <w:pStyle w:val="FootnoteText"/>
        <w:rPr>
          <w:sz w:val="16"/>
          <w:szCs w:val="16"/>
        </w:rPr>
      </w:pPr>
      <w:r w:rsidRPr="003937D4">
        <w:rPr>
          <w:rStyle w:val="FootnoteReference"/>
          <w:sz w:val="16"/>
          <w:szCs w:val="16"/>
        </w:rPr>
        <w:footnoteRef/>
      </w:r>
      <w:r w:rsidRPr="003937D4">
        <w:rPr>
          <w:sz w:val="16"/>
          <w:szCs w:val="16"/>
        </w:rPr>
        <w:t xml:space="preserve"> ONS annual survey of hours and earnings - resident analysis, 2024</w:t>
      </w:r>
    </w:p>
  </w:footnote>
  <w:footnote w:id="12">
    <w:p w14:paraId="77D3A0FB" w14:textId="77777777" w:rsidR="00E5474C" w:rsidRPr="006323F0" w:rsidRDefault="00E5474C" w:rsidP="00E5474C">
      <w:pPr>
        <w:pStyle w:val="FootnoteText"/>
        <w:rPr>
          <w:sz w:val="16"/>
          <w:szCs w:val="16"/>
        </w:rPr>
      </w:pPr>
      <w:r>
        <w:rPr>
          <w:rStyle w:val="FootnoteReference"/>
        </w:rPr>
        <w:footnoteRef/>
      </w:r>
      <w:r>
        <w:t xml:space="preserve"> </w:t>
      </w:r>
      <w:r w:rsidRPr="006323F0">
        <w:rPr>
          <w:sz w:val="16"/>
          <w:szCs w:val="16"/>
        </w:rPr>
        <w:t>Taken from the 2015 HCA Employment Density Guide 3rd Edition</w:t>
      </w:r>
    </w:p>
  </w:footnote>
  <w:footnote w:id="13">
    <w:p w14:paraId="60341E7A" w14:textId="7AE2A664" w:rsidR="002E5640" w:rsidRDefault="002E5640" w:rsidP="002E5640">
      <w:pPr>
        <w:tabs>
          <w:tab w:val="left" w:pos="680"/>
          <w:tab w:val="left" w:pos="1133"/>
          <w:tab w:val="left" w:pos="2267"/>
        </w:tabs>
        <w:ind w:right="283"/>
        <w:rPr>
          <w:rFonts w:eastAsia="Arial" w:cs="Arial"/>
          <w:bCs/>
          <w:sz w:val="20"/>
        </w:rPr>
      </w:pPr>
      <w:r>
        <w:rPr>
          <w:rStyle w:val="FootnoteReference"/>
        </w:rPr>
        <w:footnoteRef/>
      </w:r>
      <w:r>
        <w:t xml:space="preserve"> </w:t>
      </w:r>
      <w:r>
        <w:rPr>
          <w:rFonts w:eastAsia="Arial" w:cs="Arial"/>
          <w:bCs/>
          <w:sz w:val="20"/>
        </w:rPr>
        <w:t>Main Town Centre uses reflect the definition of main town centre uses set out in the NPPF 2023 or any subsequent replacement.</w:t>
      </w:r>
    </w:p>
    <w:p w14:paraId="6D7B34A9" w14:textId="4A8205C3" w:rsidR="002E5640" w:rsidRDefault="002E564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B1E52"/>
    <w:multiLevelType w:val="multilevel"/>
    <w:tmpl w:val="40F69B42"/>
    <w:lvl w:ilvl="0">
      <w:start w:val="1"/>
      <w:numFmt w:val="bullet"/>
      <w:pStyle w:val="bullets"/>
      <w:lvlText w:val=""/>
      <w:lvlJc w:val="left"/>
      <w:pPr>
        <w:ind w:left="4668" w:hanging="360"/>
      </w:pPr>
      <w:rPr>
        <w:rFonts w:ascii="Symbol" w:hAnsi="Symbol" w:hint="default"/>
        <w:sz w:val="12"/>
        <w:szCs w:val="16"/>
      </w:rPr>
    </w:lvl>
    <w:lvl w:ilvl="1">
      <w:start w:val="1"/>
      <w:numFmt w:val="bullet"/>
      <w:lvlText w:val="-"/>
      <w:lvlJc w:val="left"/>
      <w:pPr>
        <w:ind w:left="3894" w:hanging="360"/>
      </w:pPr>
      <w:rPr>
        <w:rFonts w:ascii="Arial" w:hAnsi="Arial" w:hint="default"/>
      </w:rPr>
    </w:lvl>
    <w:lvl w:ilvl="2">
      <w:start w:val="1"/>
      <w:numFmt w:val="lowerRoman"/>
      <w:lvlText w:val="%3)"/>
      <w:lvlJc w:val="left"/>
      <w:pPr>
        <w:ind w:left="4254" w:hanging="360"/>
      </w:pPr>
      <w:rPr>
        <w:rFonts w:hint="default"/>
      </w:rPr>
    </w:lvl>
    <w:lvl w:ilvl="3">
      <w:start w:val="1"/>
      <w:numFmt w:val="decimal"/>
      <w:lvlText w:val="(%4)"/>
      <w:lvlJc w:val="left"/>
      <w:pPr>
        <w:ind w:left="4614" w:hanging="360"/>
      </w:pPr>
      <w:rPr>
        <w:rFonts w:hint="default"/>
      </w:rPr>
    </w:lvl>
    <w:lvl w:ilvl="4">
      <w:start w:val="1"/>
      <w:numFmt w:val="lowerLetter"/>
      <w:lvlText w:val="(%5)"/>
      <w:lvlJc w:val="left"/>
      <w:pPr>
        <w:ind w:left="4974" w:hanging="360"/>
      </w:pPr>
      <w:rPr>
        <w:rFonts w:hint="default"/>
      </w:rPr>
    </w:lvl>
    <w:lvl w:ilvl="5">
      <w:start w:val="1"/>
      <w:numFmt w:val="lowerRoman"/>
      <w:lvlText w:val="(%6)"/>
      <w:lvlJc w:val="left"/>
      <w:pPr>
        <w:ind w:left="5334" w:hanging="360"/>
      </w:pPr>
      <w:rPr>
        <w:rFonts w:hint="default"/>
      </w:rPr>
    </w:lvl>
    <w:lvl w:ilvl="6">
      <w:start w:val="1"/>
      <w:numFmt w:val="decimal"/>
      <w:lvlText w:val="%7."/>
      <w:lvlJc w:val="left"/>
      <w:pPr>
        <w:ind w:left="5694" w:hanging="360"/>
      </w:pPr>
      <w:rPr>
        <w:rFonts w:hint="default"/>
      </w:rPr>
    </w:lvl>
    <w:lvl w:ilvl="7">
      <w:start w:val="1"/>
      <w:numFmt w:val="lowerLetter"/>
      <w:lvlText w:val="%8."/>
      <w:lvlJc w:val="left"/>
      <w:pPr>
        <w:ind w:left="6054" w:hanging="360"/>
      </w:pPr>
      <w:rPr>
        <w:rFonts w:hint="default"/>
      </w:rPr>
    </w:lvl>
    <w:lvl w:ilvl="8">
      <w:start w:val="1"/>
      <w:numFmt w:val="lowerRoman"/>
      <w:lvlText w:val="%9."/>
      <w:lvlJc w:val="left"/>
      <w:pPr>
        <w:ind w:left="6414" w:hanging="360"/>
      </w:pPr>
      <w:rPr>
        <w:rFonts w:hint="default"/>
      </w:rPr>
    </w:lvl>
  </w:abstractNum>
  <w:abstractNum w:abstractNumId="1" w15:restartNumberingAfterBreak="0">
    <w:nsid w:val="06DD0BC2"/>
    <w:multiLevelType w:val="hybridMultilevel"/>
    <w:tmpl w:val="01A456C0"/>
    <w:lvl w:ilvl="0" w:tplc="08090017">
      <w:start w:val="1"/>
      <w:numFmt w:val="lowerLetter"/>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9A67C9"/>
    <w:multiLevelType w:val="hybridMultilevel"/>
    <w:tmpl w:val="572ED31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411773B"/>
    <w:multiLevelType w:val="hybridMultilevel"/>
    <w:tmpl w:val="E646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F31C17"/>
    <w:multiLevelType w:val="hybridMultilevel"/>
    <w:tmpl w:val="DD3CE4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3C4455"/>
    <w:multiLevelType w:val="hybridMultilevel"/>
    <w:tmpl w:val="5A4CA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D111A1"/>
    <w:multiLevelType w:val="hybridMultilevel"/>
    <w:tmpl w:val="D96EF3F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2EDB428D"/>
    <w:multiLevelType w:val="hybridMultilevel"/>
    <w:tmpl w:val="E01E5B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3B4063"/>
    <w:multiLevelType w:val="hybridMultilevel"/>
    <w:tmpl w:val="B9BE2D5A"/>
    <w:lvl w:ilvl="0" w:tplc="3FCAB9B4">
      <w:start w:val="1"/>
      <w:numFmt w:val="bullet"/>
      <w:lvlText w:val=""/>
      <w:lvlJc w:val="left"/>
      <w:pPr>
        <w:ind w:left="1080" w:hanging="360"/>
      </w:pPr>
      <w:rPr>
        <w:rFonts w:ascii="Symbol" w:hAnsi="Symbol" w:hint="default"/>
        <w:color w:val="156082" w:themeColor="accent1"/>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E667D4B"/>
    <w:multiLevelType w:val="hybridMultilevel"/>
    <w:tmpl w:val="FF309826"/>
    <w:lvl w:ilvl="0" w:tplc="934C6A4A">
      <w:numFmt w:val="bullet"/>
      <w:lvlText w:val="•"/>
      <w:lvlJc w:val="left"/>
      <w:pPr>
        <w:ind w:left="2126" w:hanging="360"/>
      </w:pPr>
      <w:rPr>
        <w:rFonts w:ascii="Trebuchet MS" w:eastAsia="Trebuchet MS" w:hAnsi="Trebuchet MS" w:cs="Trebuchet MS" w:hint="default"/>
        <w:b w:val="0"/>
        <w:bCs w:val="0"/>
        <w:i w:val="0"/>
        <w:iCs w:val="0"/>
        <w:color w:val="231F20"/>
        <w:w w:val="78"/>
        <w:sz w:val="22"/>
        <w:szCs w:val="22"/>
        <w:lang w:val="en-US" w:eastAsia="en-US" w:bidi="ar-SA"/>
      </w:rPr>
    </w:lvl>
    <w:lvl w:ilvl="1" w:tplc="F82C5622">
      <w:numFmt w:val="bullet"/>
      <w:lvlText w:val="•"/>
      <w:lvlJc w:val="left"/>
      <w:pPr>
        <w:ind w:left="3098" w:hanging="360"/>
      </w:pPr>
      <w:rPr>
        <w:lang w:val="en-US" w:eastAsia="en-US" w:bidi="ar-SA"/>
      </w:rPr>
    </w:lvl>
    <w:lvl w:ilvl="2" w:tplc="BDEECEA6">
      <w:numFmt w:val="bullet"/>
      <w:lvlText w:val="•"/>
      <w:lvlJc w:val="left"/>
      <w:pPr>
        <w:ind w:left="4077" w:hanging="360"/>
      </w:pPr>
      <w:rPr>
        <w:lang w:val="en-US" w:eastAsia="en-US" w:bidi="ar-SA"/>
      </w:rPr>
    </w:lvl>
    <w:lvl w:ilvl="3" w:tplc="2C1C7D74">
      <w:numFmt w:val="bullet"/>
      <w:lvlText w:val="•"/>
      <w:lvlJc w:val="left"/>
      <w:pPr>
        <w:ind w:left="5055" w:hanging="360"/>
      </w:pPr>
      <w:rPr>
        <w:lang w:val="en-US" w:eastAsia="en-US" w:bidi="ar-SA"/>
      </w:rPr>
    </w:lvl>
    <w:lvl w:ilvl="4" w:tplc="29F293E4">
      <w:numFmt w:val="bullet"/>
      <w:lvlText w:val="•"/>
      <w:lvlJc w:val="left"/>
      <w:pPr>
        <w:ind w:left="6034" w:hanging="360"/>
      </w:pPr>
      <w:rPr>
        <w:lang w:val="en-US" w:eastAsia="en-US" w:bidi="ar-SA"/>
      </w:rPr>
    </w:lvl>
    <w:lvl w:ilvl="5" w:tplc="13B462F8">
      <w:numFmt w:val="bullet"/>
      <w:lvlText w:val="•"/>
      <w:lvlJc w:val="left"/>
      <w:pPr>
        <w:ind w:left="7012" w:hanging="360"/>
      </w:pPr>
      <w:rPr>
        <w:lang w:val="en-US" w:eastAsia="en-US" w:bidi="ar-SA"/>
      </w:rPr>
    </w:lvl>
    <w:lvl w:ilvl="6" w:tplc="57502476">
      <w:numFmt w:val="bullet"/>
      <w:lvlText w:val="•"/>
      <w:lvlJc w:val="left"/>
      <w:pPr>
        <w:ind w:left="7991" w:hanging="360"/>
      </w:pPr>
      <w:rPr>
        <w:lang w:val="en-US" w:eastAsia="en-US" w:bidi="ar-SA"/>
      </w:rPr>
    </w:lvl>
    <w:lvl w:ilvl="7" w:tplc="483ED770">
      <w:numFmt w:val="bullet"/>
      <w:lvlText w:val="•"/>
      <w:lvlJc w:val="left"/>
      <w:pPr>
        <w:ind w:left="8969" w:hanging="360"/>
      </w:pPr>
      <w:rPr>
        <w:lang w:val="en-US" w:eastAsia="en-US" w:bidi="ar-SA"/>
      </w:rPr>
    </w:lvl>
    <w:lvl w:ilvl="8" w:tplc="70E0E02C">
      <w:numFmt w:val="bullet"/>
      <w:lvlText w:val="•"/>
      <w:lvlJc w:val="left"/>
      <w:pPr>
        <w:ind w:left="9948" w:hanging="360"/>
      </w:pPr>
      <w:rPr>
        <w:lang w:val="en-US" w:eastAsia="en-US" w:bidi="ar-SA"/>
      </w:rPr>
    </w:lvl>
  </w:abstractNum>
  <w:abstractNum w:abstractNumId="10" w15:restartNumberingAfterBreak="0">
    <w:nsid w:val="50C6062D"/>
    <w:multiLevelType w:val="hybridMultilevel"/>
    <w:tmpl w:val="A1C20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364CD"/>
    <w:multiLevelType w:val="hybridMultilevel"/>
    <w:tmpl w:val="905E0E4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A6E644B"/>
    <w:multiLevelType w:val="hybridMultilevel"/>
    <w:tmpl w:val="B2CA8D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91054CD"/>
    <w:multiLevelType w:val="hybridMultilevel"/>
    <w:tmpl w:val="141858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4CE4435"/>
    <w:multiLevelType w:val="hybridMultilevel"/>
    <w:tmpl w:val="5DC85DEC"/>
    <w:lvl w:ilvl="0" w:tplc="00DA0A46">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580F3B"/>
    <w:multiLevelType w:val="hybridMultilevel"/>
    <w:tmpl w:val="1F569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7B502E"/>
    <w:multiLevelType w:val="hybridMultilevel"/>
    <w:tmpl w:val="57DA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E06512"/>
    <w:multiLevelType w:val="hybridMultilevel"/>
    <w:tmpl w:val="F06ABC3A"/>
    <w:lvl w:ilvl="0" w:tplc="D58C03C4">
      <w:start w:val="1"/>
      <w:numFmt w:val="lowerLetter"/>
      <w:lvlText w:val="%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num w:numId="1" w16cid:durableId="534971656">
    <w:abstractNumId w:val="9"/>
  </w:num>
  <w:num w:numId="2" w16cid:durableId="1795559889">
    <w:abstractNumId w:val="9"/>
  </w:num>
  <w:num w:numId="3" w16cid:durableId="372851459">
    <w:abstractNumId w:val="3"/>
  </w:num>
  <w:num w:numId="4" w16cid:durableId="1660427131">
    <w:abstractNumId w:val="16"/>
  </w:num>
  <w:num w:numId="5" w16cid:durableId="1598295320">
    <w:abstractNumId w:val="14"/>
  </w:num>
  <w:num w:numId="6" w16cid:durableId="773283226">
    <w:abstractNumId w:val="5"/>
  </w:num>
  <w:num w:numId="7" w16cid:durableId="1241868891">
    <w:abstractNumId w:val="15"/>
  </w:num>
  <w:num w:numId="8" w16cid:durableId="704788492">
    <w:abstractNumId w:val="12"/>
  </w:num>
  <w:num w:numId="9" w16cid:durableId="2014990926">
    <w:abstractNumId w:val="8"/>
  </w:num>
  <w:num w:numId="10" w16cid:durableId="1775402334">
    <w:abstractNumId w:val="11"/>
  </w:num>
  <w:num w:numId="11" w16cid:durableId="1334987890">
    <w:abstractNumId w:val="4"/>
  </w:num>
  <w:num w:numId="12" w16cid:durableId="875973349">
    <w:abstractNumId w:val="13"/>
  </w:num>
  <w:num w:numId="13" w16cid:durableId="355469931">
    <w:abstractNumId w:val="17"/>
  </w:num>
  <w:num w:numId="14" w16cid:durableId="442504844">
    <w:abstractNumId w:val="2"/>
  </w:num>
  <w:num w:numId="15" w16cid:durableId="122385777">
    <w:abstractNumId w:val="6"/>
  </w:num>
  <w:num w:numId="16" w16cid:durableId="592014714">
    <w:abstractNumId w:val="0"/>
  </w:num>
  <w:num w:numId="17" w16cid:durableId="183713251">
    <w:abstractNumId w:val="1"/>
  </w:num>
  <w:num w:numId="18" w16cid:durableId="1945110232">
    <w:abstractNumId w:val="7"/>
  </w:num>
  <w:num w:numId="19" w16cid:durableId="1345865035">
    <w:abstractNumId w:val="6"/>
  </w:num>
  <w:num w:numId="20" w16cid:durableId="18508254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AA"/>
    <w:rsid w:val="000006AC"/>
    <w:rsid w:val="000058FA"/>
    <w:rsid w:val="0001076F"/>
    <w:rsid w:val="000117F6"/>
    <w:rsid w:val="000136A7"/>
    <w:rsid w:val="0001673A"/>
    <w:rsid w:val="00021D15"/>
    <w:rsid w:val="00033649"/>
    <w:rsid w:val="000368F3"/>
    <w:rsid w:val="00041EAA"/>
    <w:rsid w:val="00047435"/>
    <w:rsid w:val="00051277"/>
    <w:rsid w:val="000551F8"/>
    <w:rsid w:val="00060236"/>
    <w:rsid w:val="00060C4D"/>
    <w:rsid w:val="00061AFC"/>
    <w:rsid w:val="000631CD"/>
    <w:rsid w:val="00063D6D"/>
    <w:rsid w:val="00065002"/>
    <w:rsid w:val="00067509"/>
    <w:rsid w:val="00077638"/>
    <w:rsid w:val="00084AE5"/>
    <w:rsid w:val="0009105B"/>
    <w:rsid w:val="0009587C"/>
    <w:rsid w:val="000A2455"/>
    <w:rsid w:val="000A2A84"/>
    <w:rsid w:val="000A554A"/>
    <w:rsid w:val="000B1560"/>
    <w:rsid w:val="000B5A9D"/>
    <w:rsid w:val="000C1DCC"/>
    <w:rsid w:val="000C2B36"/>
    <w:rsid w:val="000C4865"/>
    <w:rsid w:val="000C6913"/>
    <w:rsid w:val="000E7380"/>
    <w:rsid w:val="00105F3F"/>
    <w:rsid w:val="0010642D"/>
    <w:rsid w:val="0011779C"/>
    <w:rsid w:val="00117876"/>
    <w:rsid w:val="00122139"/>
    <w:rsid w:val="00123137"/>
    <w:rsid w:val="00161100"/>
    <w:rsid w:val="0016145C"/>
    <w:rsid w:val="00163975"/>
    <w:rsid w:val="0017178B"/>
    <w:rsid w:val="00176837"/>
    <w:rsid w:val="0017742F"/>
    <w:rsid w:val="0018581C"/>
    <w:rsid w:val="00191786"/>
    <w:rsid w:val="001950AE"/>
    <w:rsid w:val="001A00FA"/>
    <w:rsid w:val="001A16B7"/>
    <w:rsid w:val="001A2A6E"/>
    <w:rsid w:val="001B2F3D"/>
    <w:rsid w:val="001B583A"/>
    <w:rsid w:val="001C3D10"/>
    <w:rsid w:val="001C4993"/>
    <w:rsid w:val="001C51F7"/>
    <w:rsid w:val="001C717A"/>
    <w:rsid w:val="001E372F"/>
    <w:rsid w:val="001E7BF9"/>
    <w:rsid w:val="00206E49"/>
    <w:rsid w:val="002102E6"/>
    <w:rsid w:val="00220D24"/>
    <w:rsid w:val="00222788"/>
    <w:rsid w:val="00223135"/>
    <w:rsid w:val="00227626"/>
    <w:rsid w:val="00236FEC"/>
    <w:rsid w:val="00252289"/>
    <w:rsid w:val="002540F9"/>
    <w:rsid w:val="0026422E"/>
    <w:rsid w:val="00266AE3"/>
    <w:rsid w:val="002671DA"/>
    <w:rsid w:val="002709B9"/>
    <w:rsid w:val="0027600A"/>
    <w:rsid w:val="00280C23"/>
    <w:rsid w:val="002834B4"/>
    <w:rsid w:val="002834DE"/>
    <w:rsid w:val="00285F32"/>
    <w:rsid w:val="00295495"/>
    <w:rsid w:val="002A269E"/>
    <w:rsid w:val="002A6C6F"/>
    <w:rsid w:val="002B55F6"/>
    <w:rsid w:val="002B5FA8"/>
    <w:rsid w:val="002B71AB"/>
    <w:rsid w:val="002C1E17"/>
    <w:rsid w:val="002C7664"/>
    <w:rsid w:val="002D120B"/>
    <w:rsid w:val="002D1D9F"/>
    <w:rsid w:val="002D28A5"/>
    <w:rsid w:val="002D6728"/>
    <w:rsid w:val="002E121B"/>
    <w:rsid w:val="002E5640"/>
    <w:rsid w:val="002E6B38"/>
    <w:rsid w:val="00314DF1"/>
    <w:rsid w:val="00325C34"/>
    <w:rsid w:val="003340C5"/>
    <w:rsid w:val="0034460F"/>
    <w:rsid w:val="00345DEC"/>
    <w:rsid w:val="00365F17"/>
    <w:rsid w:val="00380944"/>
    <w:rsid w:val="00380C14"/>
    <w:rsid w:val="003850FC"/>
    <w:rsid w:val="003A1825"/>
    <w:rsid w:val="003A4387"/>
    <w:rsid w:val="003A4473"/>
    <w:rsid w:val="003A5277"/>
    <w:rsid w:val="003A6411"/>
    <w:rsid w:val="003B6118"/>
    <w:rsid w:val="003B7F8F"/>
    <w:rsid w:val="003C0A2B"/>
    <w:rsid w:val="003D6128"/>
    <w:rsid w:val="003E1CAB"/>
    <w:rsid w:val="003E4451"/>
    <w:rsid w:val="003E58E9"/>
    <w:rsid w:val="003F376C"/>
    <w:rsid w:val="003F6754"/>
    <w:rsid w:val="003F7014"/>
    <w:rsid w:val="0040053E"/>
    <w:rsid w:val="004038FF"/>
    <w:rsid w:val="00413B36"/>
    <w:rsid w:val="00414503"/>
    <w:rsid w:val="00415BD9"/>
    <w:rsid w:val="00417551"/>
    <w:rsid w:val="00427239"/>
    <w:rsid w:val="0043267B"/>
    <w:rsid w:val="0043474E"/>
    <w:rsid w:val="0044217E"/>
    <w:rsid w:val="00443A9F"/>
    <w:rsid w:val="00465221"/>
    <w:rsid w:val="0047066D"/>
    <w:rsid w:val="00477CB5"/>
    <w:rsid w:val="00484C03"/>
    <w:rsid w:val="00484C84"/>
    <w:rsid w:val="004A355E"/>
    <w:rsid w:val="004A4E01"/>
    <w:rsid w:val="004B586E"/>
    <w:rsid w:val="004B6C92"/>
    <w:rsid w:val="004C29E8"/>
    <w:rsid w:val="004C7095"/>
    <w:rsid w:val="004C784E"/>
    <w:rsid w:val="004D2775"/>
    <w:rsid w:val="004D357F"/>
    <w:rsid w:val="004D408C"/>
    <w:rsid w:val="004E2F7C"/>
    <w:rsid w:val="004E6E00"/>
    <w:rsid w:val="004F2F26"/>
    <w:rsid w:val="004F42C6"/>
    <w:rsid w:val="004F55D7"/>
    <w:rsid w:val="004F7DDC"/>
    <w:rsid w:val="00507001"/>
    <w:rsid w:val="00512776"/>
    <w:rsid w:val="005365BF"/>
    <w:rsid w:val="00550749"/>
    <w:rsid w:val="00552BC9"/>
    <w:rsid w:val="00554987"/>
    <w:rsid w:val="00564C0B"/>
    <w:rsid w:val="00565824"/>
    <w:rsid w:val="00566B7C"/>
    <w:rsid w:val="00572F82"/>
    <w:rsid w:val="005753A9"/>
    <w:rsid w:val="00577A4D"/>
    <w:rsid w:val="00590451"/>
    <w:rsid w:val="0059799A"/>
    <w:rsid w:val="005B2FA0"/>
    <w:rsid w:val="005B31B7"/>
    <w:rsid w:val="005D2B5B"/>
    <w:rsid w:val="005E7D56"/>
    <w:rsid w:val="005F11D6"/>
    <w:rsid w:val="005F4FF3"/>
    <w:rsid w:val="005F7667"/>
    <w:rsid w:val="0064290E"/>
    <w:rsid w:val="00666F85"/>
    <w:rsid w:val="006714DE"/>
    <w:rsid w:val="00683EBC"/>
    <w:rsid w:val="00694143"/>
    <w:rsid w:val="0069466D"/>
    <w:rsid w:val="006958DD"/>
    <w:rsid w:val="00696B9B"/>
    <w:rsid w:val="006B0F06"/>
    <w:rsid w:val="006B1D97"/>
    <w:rsid w:val="006C01F0"/>
    <w:rsid w:val="006C4F04"/>
    <w:rsid w:val="006C501F"/>
    <w:rsid w:val="006D6C35"/>
    <w:rsid w:val="006E181F"/>
    <w:rsid w:val="006E556B"/>
    <w:rsid w:val="00706497"/>
    <w:rsid w:val="00707441"/>
    <w:rsid w:val="0071180D"/>
    <w:rsid w:val="00712D53"/>
    <w:rsid w:val="00714B60"/>
    <w:rsid w:val="0072265C"/>
    <w:rsid w:val="00723055"/>
    <w:rsid w:val="007241F8"/>
    <w:rsid w:val="00733ABD"/>
    <w:rsid w:val="00734CEE"/>
    <w:rsid w:val="007414E4"/>
    <w:rsid w:val="00750190"/>
    <w:rsid w:val="00750BD3"/>
    <w:rsid w:val="00752858"/>
    <w:rsid w:val="007665EE"/>
    <w:rsid w:val="00772491"/>
    <w:rsid w:val="007754C8"/>
    <w:rsid w:val="00784B16"/>
    <w:rsid w:val="00790769"/>
    <w:rsid w:val="00792C93"/>
    <w:rsid w:val="00793B46"/>
    <w:rsid w:val="007B00A6"/>
    <w:rsid w:val="007B51D8"/>
    <w:rsid w:val="007B66CE"/>
    <w:rsid w:val="007C0AD4"/>
    <w:rsid w:val="007C2B3F"/>
    <w:rsid w:val="007C2F1C"/>
    <w:rsid w:val="007C5494"/>
    <w:rsid w:val="007C671F"/>
    <w:rsid w:val="007C70FF"/>
    <w:rsid w:val="007C711F"/>
    <w:rsid w:val="007C746B"/>
    <w:rsid w:val="007C7B02"/>
    <w:rsid w:val="008248E8"/>
    <w:rsid w:val="00835875"/>
    <w:rsid w:val="00850F3B"/>
    <w:rsid w:val="008611F4"/>
    <w:rsid w:val="008655AA"/>
    <w:rsid w:val="00874304"/>
    <w:rsid w:val="00875084"/>
    <w:rsid w:val="008924D1"/>
    <w:rsid w:val="008A0A3D"/>
    <w:rsid w:val="008B0A50"/>
    <w:rsid w:val="008B2122"/>
    <w:rsid w:val="008C3BC1"/>
    <w:rsid w:val="008C7FE1"/>
    <w:rsid w:val="008E0A76"/>
    <w:rsid w:val="008E1600"/>
    <w:rsid w:val="008E5A72"/>
    <w:rsid w:val="008F1E9C"/>
    <w:rsid w:val="008F3160"/>
    <w:rsid w:val="008F52A2"/>
    <w:rsid w:val="008F72C7"/>
    <w:rsid w:val="00901B6F"/>
    <w:rsid w:val="0090351C"/>
    <w:rsid w:val="0090467C"/>
    <w:rsid w:val="009160BF"/>
    <w:rsid w:val="00921AF1"/>
    <w:rsid w:val="00926C25"/>
    <w:rsid w:val="00926E80"/>
    <w:rsid w:val="00932B1D"/>
    <w:rsid w:val="00934C6C"/>
    <w:rsid w:val="009512AA"/>
    <w:rsid w:val="0095450E"/>
    <w:rsid w:val="009567F1"/>
    <w:rsid w:val="009637EE"/>
    <w:rsid w:val="00965845"/>
    <w:rsid w:val="00981FA1"/>
    <w:rsid w:val="00997B96"/>
    <w:rsid w:val="009B5C4C"/>
    <w:rsid w:val="009C3EAE"/>
    <w:rsid w:val="009C60B3"/>
    <w:rsid w:val="009C6318"/>
    <w:rsid w:val="009C6449"/>
    <w:rsid w:val="009D2FBA"/>
    <w:rsid w:val="009D3183"/>
    <w:rsid w:val="009E5B4D"/>
    <w:rsid w:val="009E6A6A"/>
    <w:rsid w:val="009E72E9"/>
    <w:rsid w:val="009F3DB8"/>
    <w:rsid w:val="009F50B6"/>
    <w:rsid w:val="00A227D5"/>
    <w:rsid w:val="00A2408B"/>
    <w:rsid w:val="00A32B99"/>
    <w:rsid w:val="00A41A77"/>
    <w:rsid w:val="00A56519"/>
    <w:rsid w:val="00A64740"/>
    <w:rsid w:val="00A81BAC"/>
    <w:rsid w:val="00A81BE8"/>
    <w:rsid w:val="00A856DB"/>
    <w:rsid w:val="00AA1EE4"/>
    <w:rsid w:val="00AA539E"/>
    <w:rsid w:val="00AA6E0A"/>
    <w:rsid w:val="00AB4BCC"/>
    <w:rsid w:val="00AB70C7"/>
    <w:rsid w:val="00AC636E"/>
    <w:rsid w:val="00AC67B6"/>
    <w:rsid w:val="00AD5114"/>
    <w:rsid w:val="00AD693C"/>
    <w:rsid w:val="00AF2076"/>
    <w:rsid w:val="00B04272"/>
    <w:rsid w:val="00B04ED1"/>
    <w:rsid w:val="00B066A6"/>
    <w:rsid w:val="00B10545"/>
    <w:rsid w:val="00B24FA1"/>
    <w:rsid w:val="00B3418E"/>
    <w:rsid w:val="00B370E7"/>
    <w:rsid w:val="00B3731A"/>
    <w:rsid w:val="00B42FAA"/>
    <w:rsid w:val="00B55743"/>
    <w:rsid w:val="00B5658E"/>
    <w:rsid w:val="00B63898"/>
    <w:rsid w:val="00B71673"/>
    <w:rsid w:val="00B73558"/>
    <w:rsid w:val="00B76E58"/>
    <w:rsid w:val="00B836E7"/>
    <w:rsid w:val="00B83DA2"/>
    <w:rsid w:val="00B96E21"/>
    <w:rsid w:val="00BA634C"/>
    <w:rsid w:val="00BB61EC"/>
    <w:rsid w:val="00BC04B7"/>
    <w:rsid w:val="00BD4241"/>
    <w:rsid w:val="00BF3DE6"/>
    <w:rsid w:val="00BF6AF5"/>
    <w:rsid w:val="00C1387B"/>
    <w:rsid w:val="00C154A6"/>
    <w:rsid w:val="00C16B0A"/>
    <w:rsid w:val="00C17BC9"/>
    <w:rsid w:val="00C24E67"/>
    <w:rsid w:val="00C30B82"/>
    <w:rsid w:val="00C33F1B"/>
    <w:rsid w:val="00C36C1A"/>
    <w:rsid w:val="00C51986"/>
    <w:rsid w:val="00C56173"/>
    <w:rsid w:val="00C636B6"/>
    <w:rsid w:val="00C70ABB"/>
    <w:rsid w:val="00C73D1F"/>
    <w:rsid w:val="00C77003"/>
    <w:rsid w:val="00C86845"/>
    <w:rsid w:val="00C91E6F"/>
    <w:rsid w:val="00C92E3F"/>
    <w:rsid w:val="00C954C2"/>
    <w:rsid w:val="00C96BBE"/>
    <w:rsid w:val="00CA044C"/>
    <w:rsid w:val="00CA3BDD"/>
    <w:rsid w:val="00CB4F88"/>
    <w:rsid w:val="00CC0C87"/>
    <w:rsid w:val="00CC60C2"/>
    <w:rsid w:val="00CD2175"/>
    <w:rsid w:val="00CD59EA"/>
    <w:rsid w:val="00CD6F66"/>
    <w:rsid w:val="00CE569C"/>
    <w:rsid w:val="00CF33DD"/>
    <w:rsid w:val="00CF6B84"/>
    <w:rsid w:val="00D0221F"/>
    <w:rsid w:val="00D0394B"/>
    <w:rsid w:val="00D05AD6"/>
    <w:rsid w:val="00D108A4"/>
    <w:rsid w:val="00D1489D"/>
    <w:rsid w:val="00D22138"/>
    <w:rsid w:val="00D2408D"/>
    <w:rsid w:val="00D25086"/>
    <w:rsid w:val="00D27A7D"/>
    <w:rsid w:val="00D30BF0"/>
    <w:rsid w:val="00D31796"/>
    <w:rsid w:val="00D41D60"/>
    <w:rsid w:val="00D44150"/>
    <w:rsid w:val="00D447FF"/>
    <w:rsid w:val="00D44C81"/>
    <w:rsid w:val="00D45009"/>
    <w:rsid w:val="00D52C4F"/>
    <w:rsid w:val="00D54C0F"/>
    <w:rsid w:val="00D55D25"/>
    <w:rsid w:val="00D57EA0"/>
    <w:rsid w:val="00D91FFB"/>
    <w:rsid w:val="00D96D51"/>
    <w:rsid w:val="00DB0378"/>
    <w:rsid w:val="00DC22E5"/>
    <w:rsid w:val="00DC63E1"/>
    <w:rsid w:val="00DC6D8A"/>
    <w:rsid w:val="00DC7860"/>
    <w:rsid w:val="00DD488E"/>
    <w:rsid w:val="00DF0E36"/>
    <w:rsid w:val="00DF2FE3"/>
    <w:rsid w:val="00DF7854"/>
    <w:rsid w:val="00E00890"/>
    <w:rsid w:val="00E03279"/>
    <w:rsid w:val="00E0558A"/>
    <w:rsid w:val="00E1235A"/>
    <w:rsid w:val="00E16ECC"/>
    <w:rsid w:val="00E230E5"/>
    <w:rsid w:val="00E246D9"/>
    <w:rsid w:val="00E267C8"/>
    <w:rsid w:val="00E404B1"/>
    <w:rsid w:val="00E40957"/>
    <w:rsid w:val="00E41DF3"/>
    <w:rsid w:val="00E43A21"/>
    <w:rsid w:val="00E443CE"/>
    <w:rsid w:val="00E46D0D"/>
    <w:rsid w:val="00E477FD"/>
    <w:rsid w:val="00E51EE5"/>
    <w:rsid w:val="00E5474C"/>
    <w:rsid w:val="00E56D67"/>
    <w:rsid w:val="00E61595"/>
    <w:rsid w:val="00E71D88"/>
    <w:rsid w:val="00E73873"/>
    <w:rsid w:val="00E748FF"/>
    <w:rsid w:val="00E76EC3"/>
    <w:rsid w:val="00E7771C"/>
    <w:rsid w:val="00E8169E"/>
    <w:rsid w:val="00EA56AD"/>
    <w:rsid w:val="00EB22EB"/>
    <w:rsid w:val="00EB2722"/>
    <w:rsid w:val="00EB4CF3"/>
    <w:rsid w:val="00EC67FF"/>
    <w:rsid w:val="00ED1504"/>
    <w:rsid w:val="00EE1A6B"/>
    <w:rsid w:val="00EE3E1B"/>
    <w:rsid w:val="00EE5136"/>
    <w:rsid w:val="00EF5A00"/>
    <w:rsid w:val="00EF6246"/>
    <w:rsid w:val="00F00081"/>
    <w:rsid w:val="00F0066C"/>
    <w:rsid w:val="00F016FF"/>
    <w:rsid w:val="00F0691A"/>
    <w:rsid w:val="00F07300"/>
    <w:rsid w:val="00F1191A"/>
    <w:rsid w:val="00F16AEA"/>
    <w:rsid w:val="00F37BF7"/>
    <w:rsid w:val="00F41FD2"/>
    <w:rsid w:val="00F44426"/>
    <w:rsid w:val="00F55DAB"/>
    <w:rsid w:val="00F65809"/>
    <w:rsid w:val="00F70F99"/>
    <w:rsid w:val="00F832ED"/>
    <w:rsid w:val="00F83F27"/>
    <w:rsid w:val="00F92F91"/>
    <w:rsid w:val="00F95CB9"/>
    <w:rsid w:val="00FA05A9"/>
    <w:rsid w:val="00FA3002"/>
    <w:rsid w:val="00FD6C27"/>
    <w:rsid w:val="00FE0394"/>
    <w:rsid w:val="00FE0642"/>
    <w:rsid w:val="00FE4967"/>
    <w:rsid w:val="00FE707D"/>
    <w:rsid w:val="00FF1F1C"/>
    <w:rsid w:val="00FF5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195CE"/>
  <w15:chartTrackingRefBased/>
  <w15:docId w15:val="{9114E89B-D17E-4AB4-A51A-561FE6E3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241"/>
    <w:rPr>
      <w:rFonts w:ascii="Arial" w:hAnsi="Arial"/>
      <w:kern w:val="0"/>
      <w:sz w:val="24"/>
      <w14:ligatures w14:val="none"/>
    </w:rPr>
  </w:style>
  <w:style w:type="paragraph" w:styleId="Heading1">
    <w:name w:val="heading 1"/>
    <w:basedOn w:val="Normal"/>
    <w:next w:val="Normal"/>
    <w:link w:val="Heading1Char"/>
    <w:uiPriority w:val="9"/>
    <w:qFormat/>
    <w:rsid w:val="00A2408B"/>
    <w:pPr>
      <w:keepNext/>
      <w:keepLines/>
      <w:spacing w:before="320" w:after="40"/>
      <w:jc w:val="center"/>
      <w:outlineLvl w:val="0"/>
    </w:pPr>
    <w:rPr>
      <w:rFonts w:eastAsiaTheme="majorEastAsia" w:cstheme="majorBidi"/>
      <w:b/>
      <w:bCs/>
      <w:spacing w:val="4"/>
      <w:sz w:val="36"/>
      <w:szCs w:val="36"/>
    </w:rPr>
  </w:style>
  <w:style w:type="paragraph" w:styleId="Heading2">
    <w:name w:val="heading 2"/>
    <w:basedOn w:val="Normal"/>
    <w:next w:val="Normal"/>
    <w:link w:val="Heading2Char"/>
    <w:uiPriority w:val="9"/>
    <w:unhideWhenUsed/>
    <w:qFormat/>
    <w:rsid w:val="00BD4241"/>
    <w:pPr>
      <w:keepNext/>
      <w:keepLines/>
      <w:spacing w:before="120" w:after="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325C34"/>
    <w:pPr>
      <w:keepNext/>
      <w:keepLines/>
      <w:spacing w:before="120" w:after="0"/>
      <w:outlineLvl w:val="2"/>
    </w:pPr>
    <w:rPr>
      <w:rFonts w:eastAsiaTheme="majorEastAsia" w:cstheme="majorBidi"/>
      <w:b/>
      <w:bCs/>
      <w:spacing w:val="4"/>
      <w:szCs w:val="24"/>
    </w:rPr>
  </w:style>
  <w:style w:type="paragraph" w:styleId="Heading4">
    <w:name w:val="heading 4"/>
    <w:basedOn w:val="Normal"/>
    <w:next w:val="Normal"/>
    <w:link w:val="Heading4Char"/>
    <w:unhideWhenUsed/>
    <w:qFormat/>
    <w:rsid w:val="00BD4241"/>
    <w:pPr>
      <w:keepNext/>
      <w:keepLines/>
      <w:spacing w:before="120"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before="120"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after="0"/>
      <w:outlineLvl w:val="5"/>
    </w:pPr>
    <w:rPr>
      <w:rFonts w:eastAsiaTheme="majorEastAsia" w:cstheme="majorBidi"/>
      <w:b/>
      <w:bCs/>
      <w:i/>
      <w:iCs/>
    </w:rPr>
  </w:style>
  <w:style w:type="paragraph" w:styleId="Heading7">
    <w:name w:val="heading 7"/>
    <w:basedOn w:val="Normal"/>
    <w:next w:val="Normal"/>
    <w:link w:val="Heading7Char"/>
    <w:uiPriority w:val="9"/>
    <w:semiHidden/>
    <w:unhideWhenUsed/>
    <w:rsid w:val="008655A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8655A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8655A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08B"/>
    <w:rPr>
      <w:rFonts w:ascii="Arial" w:eastAsiaTheme="majorEastAsia" w:hAnsi="Arial" w:cstheme="majorBidi"/>
      <w:b/>
      <w:bCs/>
      <w:spacing w:val="4"/>
      <w:kern w:val="0"/>
      <w:sz w:val="36"/>
      <w:szCs w:val="36"/>
      <w14:ligatures w14:val="none"/>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325C34"/>
    <w:rPr>
      <w:rFonts w:ascii="Arial" w:eastAsiaTheme="majorEastAsia" w:hAnsi="Arial" w:cstheme="majorBidi"/>
      <w:b/>
      <w:bCs/>
      <w:spacing w:val="4"/>
      <w:kern w:val="0"/>
      <w:sz w:val="24"/>
      <w:szCs w:val="24"/>
      <w14:ligatures w14:val="none"/>
    </w:rPr>
  </w:style>
  <w:style w:type="character" w:customStyle="1" w:styleId="Heading4Char">
    <w:name w:val="Heading 4 Char"/>
    <w:basedOn w:val="DefaultParagraphFont"/>
    <w:link w:val="Heading4"/>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aliases w:val="Paragraph 1"/>
    <w:basedOn w:val="Normal"/>
    <w:link w:val="ListParagraphChar"/>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character" w:customStyle="1" w:styleId="Heading7Char">
    <w:name w:val="Heading 7 Char"/>
    <w:basedOn w:val="DefaultParagraphFont"/>
    <w:link w:val="Heading7"/>
    <w:uiPriority w:val="9"/>
    <w:semiHidden/>
    <w:rsid w:val="008655AA"/>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8655AA"/>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8655AA"/>
    <w:rPr>
      <w:rFonts w:eastAsiaTheme="majorEastAsia" w:cstheme="majorBidi"/>
      <w:color w:val="272727" w:themeColor="text1" w:themeTint="D8"/>
      <w:kern w:val="0"/>
      <w:sz w:val="24"/>
      <w14:ligatures w14:val="none"/>
    </w:rPr>
  </w:style>
  <w:style w:type="character" w:styleId="Hyperlink">
    <w:name w:val="Hyperlink"/>
    <w:basedOn w:val="DefaultParagraphFont"/>
    <w:uiPriority w:val="99"/>
    <w:unhideWhenUsed/>
    <w:rsid w:val="002709B9"/>
    <w:rPr>
      <w:color w:val="467886" w:themeColor="hyperlink"/>
      <w:u w:val="single"/>
    </w:rPr>
  </w:style>
  <w:style w:type="table" w:styleId="TableGrid">
    <w:name w:val="Table Grid"/>
    <w:aliases w:val="Report Table"/>
    <w:basedOn w:val="TableNormal"/>
    <w:uiPriority w:val="39"/>
    <w:rsid w:val="002709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RSK-FT,RSK-FT1,RSK-FT2,Harestanes Ref,RSK-FT3,RSK-FT11,RSK-FT21,RSK-FT4,RSK-FT12,RSK-FT22,Footnote Reference 2,NZDF Footnote,Footnote Text Char Char,Footnote Text Char Char Char Char Char Char, Char1,Footnote Text Char Char1,Char1"/>
    <w:basedOn w:val="Normal"/>
    <w:link w:val="FootnoteTextChar"/>
    <w:uiPriority w:val="99"/>
    <w:unhideWhenUsed/>
    <w:qFormat/>
    <w:rsid w:val="002E5640"/>
    <w:pPr>
      <w:spacing w:after="0" w:line="240" w:lineRule="auto"/>
    </w:pPr>
    <w:rPr>
      <w:sz w:val="20"/>
      <w:szCs w:val="20"/>
    </w:rPr>
  </w:style>
  <w:style w:type="character" w:customStyle="1" w:styleId="FootnoteTextChar">
    <w:name w:val="Footnote Text Char"/>
    <w:aliases w:val="RSK-FT Char,RSK-FT1 Char,RSK-FT2 Char,Harestanes Ref Char,RSK-FT3 Char,RSK-FT11 Char,RSK-FT21 Char,RSK-FT4 Char,RSK-FT12 Char,RSK-FT22 Char,Footnote Reference 2 Char,NZDF Footnote Char,Footnote Text Char Char Char, Char1 Char"/>
    <w:basedOn w:val="DefaultParagraphFont"/>
    <w:link w:val="FootnoteText"/>
    <w:uiPriority w:val="99"/>
    <w:rsid w:val="002E5640"/>
    <w:rPr>
      <w:rFonts w:ascii="Arial" w:hAnsi="Arial"/>
      <w:kern w:val="0"/>
      <w:sz w:val="20"/>
      <w:szCs w:val="20"/>
      <w14:ligatures w14:val="none"/>
    </w:rPr>
  </w:style>
  <w:style w:type="character" w:styleId="FootnoteReference">
    <w:name w:val="footnote reference"/>
    <w:aliases w:val="EN Footnote Reference,Footnote Reference (EKOS)"/>
    <w:basedOn w:val="DefaultParagraphFont"/>
    <w:uiPriority w:val="99"/>
    <w:unhideWhenUsed/>
    <w:rsid w:val="002E5640"/>
    <w:rPr>
      <w:vertAlign w:val="superscript"/>
    </w:rPr>
  </w:style>
  <w:style w:type="table" w:customStyle="1" w:styleId="ReportTable1">
    <w:name w:val="Report Table1"/>
    <w:basedOn w:val="TableNormal"/>
    <w:next w:val="TableGrid"/>
    <w:uiPriority w:val="59"/>
    <w:rsid w:val="00B10545"/>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portSourceChar">
    <w:name w:val="Report Source Char"/>
    <w:basedOn w:val="DefaultParagraphFont"/>
    <w:link w:val="ReportSource"/>
    <w:rsid w:val="00B10545"/>
  </w:style>
  <w:style w:type="paragraph" w:customStyle="1" w:styleId="Maintext">
    <w:name w:val="Main text"/>
    <w:basedOn w:val="Normal"/>
    <w:link w:val="MaintextChar"/>
    <w:qFormat/>
    <w:rsid w:val="00B10545"/>
    <w:pPr>
      <w:tabs>
        <w:tab w:val="num" w:pos="1134"/>
      </w:tabs>
      <w:spacing w:before="160" w:after="0" w:line="280" w:lineRule="atLeast"/>
      <w:ind w:left="1134" w:hanging="1134"/>
      <w:jc w:val="left"/>
    </w:pPr>
    <w:rPr>
      <w:rFonts w:ascii="Georgia" w:eastAsia="Times New Roman" w:hAnsi="Georgia" w:cs="Times New Roman"/>
      <w:sz w:val="21"/>
      <w:szCs w:val="20"/>
      <w:lang w:eastAsia="en-GB"/>
    </w:rPr>
  </w:style>
  <w:style w:type="paragraph" w:customStyle="1" w:styleId="ReportSource">
    <w:name w:val="Report Source"/>
    <w:basedOn w:val="Normal"/>
    <w:next w:val="Maintext"/>
    <w:link w:val="ReportSourceChar"/>
    <w:qFormat/>
    <w:rsid w:val="00B10545"/>
    <w:pPr>
      <w:spacing w:before="140" w:after="0" w:line="180" w:lineRule="atLeast"/>
      <w:ind w:left="1134"/>
      <w:jc w:val="left"/>
    </w:pPr>
    <w:rPr>
      <w:rFonts w:asciiTheme="minorHAnsi" w:hAnsiTheme="minorHAnsi"/>
      <w:kern w:val="2"/>
      <w:sz w:val="22"/>
      <w14:ligatures w14:val="standardContextual"/>
    </w:rPr>
  </w:style>
  <w:style w:type="character" w:customStyle="1" w:styleId="TableStyleChar">
    <w:name w:val="Table Style Char"/>
    <w:basedOn w:val="DefaultParagraphFont"/>
    <w:link w:val="TableStyle"/>
    <w:uiPriority w:val="15"/>
    <w:locked/>
    <w:rsid w:val="00B10545"/>
    <w:rPr>
      <w:rFonts w:ascii="Georgia" w:eastAsia="Times New Roman" w:hAnsi="Georgia" w:cs="Arial"/>
      <w:kern w:val="0"/>
      <w:sz w:val="21"/>
      <w:szCs w:val="20"/>
      <w14:ligatures w14:val="none"/>
    </w:rPr>
  </w:style>
  <w:style w:type="paragraph" w:customStyle="1" w:styleId="TableStyle">
    <w:name w:val="Table Style"/>
    <w:basedOn w:val="Normal"/>
    <w:link w:val="TableStyleChar"/>
    <w:uiPriority w:val="15"/>
    <w:qFormat/>
    <w:rsid w:val="00B10545"/>
    <w:pPr>
      <w:spacing w:before="20" w:after="20" w:line="240" w:lineRule="auto"/>
      <w:jc w:val="left"/>
    </w:pPr>
    <w:rPr>
      <w:rFonts w:ascii="Georgia" w:eastAsia="Times New Roman" w:hAnsi="Georgia" w:cs="Arial"/>
      <w:sz w:val="21"/>
      <w:szCs w:val="20"/>
    </w:rPr>
  </w:style>
  <w:style w:type="character" w:customStyle="1" w:styleId="MaintextChar">
    <w:name w:val="Main text Char"/>
    <w:link w:val="Maintext"/>
    <w:locked/>
    <w:rsid w:val="00B10545"/>
    <w:rPr>
      <w:rFonts w:ascii="Georgia" w:eastAsia="Times New Roman" w:hAnsi="Georgia" w:cs="Times New Roman"/>
      <w:kern w:val="0"/>
      <w:sz w:val="21"/>
      <w:szCs w:val="20"/>
      <w:lang w:eastAsia="en-GB"/>
      <w14:ligatures w14:val="none"/>
    </w:rPr>
  </w:style>
  <w:style w:type="paragraph" w:customStyle="1" w:styleId="ReportCaption">
    <w:name w:val="Report Caption"/>
    <w:basedOn w:val="ReportSource"/>
    <w:link w:val="ReportCaptionChar"/>
    <w:uiPriority w:val="15"/>
    <w:qFormat/>
    <w:rsid w:val="00B10545"/>
    <w:pPr>
      <w:keepNext/>
      <w:pBdr>
        <w:top w:val="single" w:sz="4" w:space="1" w:color="auto"/>
      </w:pBdr>
      <w:spacing w:after="140"/>
    </w:pPr>
  </w:style>
  <w:style w:type="character" w:customStyle="1" w:styleId="ReportCaptionChar">
    <w:name w:val="Report Caption Char"/>
    <w:link w:val="ReportCaption"/>
    <w:uiPriority w:val="15"/>
    <w:locked/>
    <w:rsid w:val="00B10545"/>
  </w:style>
  <w:style w:type="table" w:customStyle="1" w:styleId="NLPColour">
    <w:name w:val="NLP Colour"/>
    <w:basedOn w:val="TableNormal"/>
    <w:uiPriority w:val="99"/>
    <w:rsid w:val="00B10545"/>
    <w:pPr>
      <w:spacing w:after="0" w:line="240" w:lineRule="auto"/>
      <w:jc w:val="left"/>
    </w:pPr>
    <w:rPr>
      <w:rFonts w:ascii="Calibri" w:eastAsia="Times New Roman" w:hAnsi="Calibri" w:cs="Arial"/>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
    <w:tcPr>
      <w:shd w:val="clear" w:color="auto" w:fill="FFFFFF" w:themeFill="background1"/>
      <w:noWrap/>
    </w:tcPr>
    <w:tblStylePr w:type="firstRow">
      <w:rPr>
        <w:rFonts w:ascii="Calibri" w:hAnsi="Calibri" w:cs="Calibri" w:hint="default"/>
        <w:b w:val="0"/>
        <w:color w:val="auto"/>
        <w:sz w:val="20"/>
        <w:szCs w:val="20"/>
      </w:rPr>
      <w:tblPr/>
      <w:tcPr>
        <w:shd w:val="clear" w:color="auto" w:fill="4EA72E" w:themeFill="accent6"/>
      </w:tcPr>
    </w:tblStylePr>
  </w:style>
  <w:style w:type="paragraph" w:customStyle="1" w:styleId="bullets">
    <w:name w:val="bullets"/>
    <w:basedOn w:val="Normal"/>
    <w:link w:val="bulletsChar"/>
    <w:uiPriority w:val="2"/>
    <w:qFormat/>
    <w:rsid w:val="00D22138"/>
    <w:pPr>
      <w:numPr>
        <w:numId w:val="16"/>
      </w:numPr>
      <w:tabs>
        <w:tab w:val="left" w:pos="1531"/>
      </w:tabs>
      <w:spacing w:before="100" w:after="20" w:line="260" w:lineRule="atLeast"/>
      <w:jc w:val="left"/>
    </w:pPr>
    <w:rPr>
      <w:rFonts w:ascii="Georgia" w:eastAsia="Times New Roman" w:hAnsi="Georgia" w:cs="Times New Roman"/>
      <w:sz w:val="20"/>
      <w:szCs w:val="20"/>
      <w:lang w:eastAsia="en-GB"/>
    </w:rPr>
  </w:style>
  <w:style w:type="character" w:customStyle="1" w:styleId="bulletsChar">
    <w:name w:val="bullets Char"/>
    <w:link w:val="bullets"/>
    <w:uiPriority w:val="2"/>
    <w:locked/>
    <w:rsid w:val="00D22138"/>
    <w:rPr>
      <w:rFonts w:ascii="Georgia" w:eastAsia="Times New Roman" w:hAnsi="Georgia" w:cs="Times New Roman"/>
      <w:kern w:val="0"/>
      <w:sz w:val="20"/>
      <w:szCs w:val="20"/>
      <w:lang w:eastAsia="en-GB"/>
      <w14:ligatures w14:val="none"/>
    </w:rPr>
  </w:style>
  <w:style w:type="character" w:customStyle="1" w:styleId="ListParagraphChar">
    <w:name w:val="List Paragraph Char"/>
    <w:aliases w:val="Paragraph 1 Char"/>
    <w:link w:val="ListParagraph"/>
    <w:uiPriority w:val="34"/>
    <w:locked/>
    <w:rsid w:val="00E5474C"/>
    <w:rPr>
      <w:rFonts w:ascii="Arial" w:hAnsi="Arial"/>
      <w:kern w:val="0"/>
      <w:sz w:val="24"/>
      <w14:ligatures w14:val="none"/>
    </w:rPr>
  </w:style>
  <w:style w:type="paragraph" w:styleId="Header">
    <w:name w:val="header"/>
    <w:basedOn w:val="Normal"/>
    <w:link w:val="HeaderChar"/>
    <w:uiPriority w:val="99"/>
    <w:unhideWhenUsed/>
    <w:rsid w:val="00210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2E6"/>
    <w:rPr>
      <w:rFonts w:ascii="Arial" w:hAnsi="Arial"/>
      <w:kern w:val="0"/>
      <w:sz w:val="24"/>
      <w14:ligatures w14:val="none"/>
    </w:rPr>
  </w:style>
  <w:style w:type="paragraph" w:styleId="Footer">
    <w:name w:val="footer"/>
    <w:basedOn w:val="Normal"/>
    <w:link w:val="FooterChar"/>
    <w:uiPriority w:val="99"/>
    <w:unhideWhenUsed/>
    <w:rsid w:val="00210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2E6"/>
    <w:rPr>
      <w:rFonts w:ascii="Arial" w:hAnsi="Arial"/>
      <w:kern w:val="0"/>
      <w:sz w:val="24"/>
      <w14:ligatures w14:val="none"/>
    </w:rPr>
  </w:style>
  <w:style w:type="character" w:customStyle="1" w:styleId="Normal1">
    <w:name w:val="Normal1"/>
    <w:rsid w:val="00934C6C"/>
    <w:rPr>
      <w:rFonts w:ascii="Arial" w:eastAsia="Arial" w:hAnsi="Arial"/>
      <w:noProof w:val="0"/>
      <w:sz w:val="24"/>
      <w:lang w:val="en-GB"/>
    </w:rPr>
  </w:style>
  <w:style w:type="paragraph" w:customStyle="1" w:styleId="Heading">
    <w:name w:val="Heading"/>
    <w:link w:val="Heading10"/>
    <w:rsid w:val="00934C6C"/>
    <w:pPr>
      <w:tabs>
        <w:tab w:val="left" w:pos="680"/>
      </w:tabs>
      <w:spacing w:after="170" w:line="240" w:lineRule="auto"/>
      <w:jc w:val="left"/>
    </w:pPr>
    <w:rPr>
      <w:rFonts w:ascii="Arial" w:eastAsia="Arial" w:hAnsi="Arial" w:cs="Times New Roman"/>
      <w:b/>
      <w:color w:val="A91A37"/>
      <w:kern w:val="0"/>
      <w:sz w:val="24"/>
      <w:szCs w:val="20"/>
      <w:lang w:eastAsia="en-GB"/>
      <w14:ligatures w14:val="none"/>
    </w:rPr>
  </w:style>
  <w:style w:type="character" w:customStyle="1" w:styleId="Heading10">
    <w:name w:val="Heading1"/>
    <w:link w:val="Heading"/>
    <w:locked/>
    <w:rsid w:val="00934C6C"/>
    <w:rPr>
      <w:rFonts w:ascii="Arial" w:eastAsia="Arial" w:hAnsi="Arial" w:cs="Times New Roman"/>
      <w:b/>
      <w:color w:val="A91A37"/>
      <w:kern w:val="0"/>
      <w:sz w:val="24"/>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335369">
      <w:bodyDiv w:val="1"/>
      <w:marLeft w:val="0"/>
      <w:marRight w:val="0"/>
      <w:marTop w:val="0"/>
      <w:marBottom w:val="0"/>
      <w:divBdr>
        <w:top w:val="none" w:sz="0" w:space="0" w:color="auto"/>
        <w:left w:val="none" w:sz="0" w:space="0" w:color="auto"/>
        <w:bottom w:val="none" w:sz="0" w:space="0" w:color="auto"/>
        <w:right w:val="none" w:sz="0" w:space="0" w:color="auto"/>
      </w:divBdr>
    </w:div>
    <w:div w:id="145366682">
      <w:bodyDiv w:val="1"/>
      <w:marLeft w:val="0"/>
      <w:marRight w:val="0"/>
      <w:marTop w:val="0"/>
      <w:marBottom w:val="0"/>
      <w:divBdr>
        <w:top w:val="none" w:sz="0" w:space="0" w:color="auto"/>
        <w:left w:val="none" w:sz="0" w:space="0" w:color="auto"/>
        <w:bottom w:val="none" w:sz="0" w:space="0" w:color="auto"/>
        <w:right w:val="none" w:sz="0" w:space="0" w:color="auto"/>
      </w:divBdr>
    </w:div>
    <w:div w:id="272371625">
      <w:bodyDiv w:val="1"/>
      <w:marLeft w:val="0"/>
      <w:marRight w:val="0"/>
      <w:marTop w:val="0"/>
      <w:marBottom w:val="0"/>
      <w:divBdr>
        <w:top w:val="none" w:sz="0" w:space="0" w:color="auto"/>
        <w:left w:val="none" w:sz="0" w:space="0" w:color="auto"/>
        <w:bottom w:val="none" w:sz="0" w:space="0" w:color="auto"/>
        <w:right w:val="none" w:sz="0" w:space="0" w:color="auto"/>
      </w:divBdr>
    </w:div>
    <w:div w:id="443842356">
      <w:bodyDiv w:val="1"/>
      <w:marLeft w:val="0"/>
      <w:marRight w:val="0"/>
      <w:marTop w:val="0"/>
      <w:marBottom w:val="0"/>
      <w:divBdr>
        <w:top w:val="none" w:sz="0" w:space="0" w:color="auto"/>
        <w:left w:val="none" w:sz="0" w:space="0" w:color="auto"/>
        <w:bottom w:val="none" w:sz="0" w:space="0" w:color="auto"/>
        <w:right w:val="none" w:sz="0" w:space="0" w:color="auto"/>
      </w:divBdr>
    </w:div>
    <w:div w:id="522935474">
      <w:bodyDiv w:val="1"/>
      <w:marLeft w:val="0"/>
      <w:marRight w:val="0"/>
      <w:marTop w:val="0"/>
      <w:marBottom w:val="0"/>
      <w:divBdr>
        <w:top w:val="none" w:sz="0" w:space="0" w:color="auto"/>
        <w:left w:val="none" w:sz="0" w:space="0" w:color="auto"/>
        <w:bottom w:val="none" w:sz="0" w:space="0" w:color="auto"/>
        <w:right w:val="none" w:sz="0" w:space="0" w:color="auto"/>
      </w:divBdr>
    </w:div>
    <w:div w:id="564294128">
      <w:bodyDiv w:val="1"/>
      <w:marLeft w:val="0"/>
      <w:marRight w:val="0"/>
      <w:marTop w:val="0"/>
      <w:marBottom w:val="0"/>
      <w:divBdr>
        <w:top w:val="none" w:sz="0" w:space="0" w:color="auto"/>
        <w:left w:val="none" w:sz="0" w:space="0" w:color="auto"/>
        <w:bottom w:val="none" w:sz="0" w:space="0" w:color="auto"/>
        <w:right w:val="none" w:sz="0" w:space="0" w:color="auto"/>
      </w:divBdr>
    </w:div>
    <w:div w:id="606818361">
      <w:bodyDiv w:val="1"/>
      <w:marLeft w:val="0"/>
      <w:marRight w:val="0"/>
      <w:marTop w:val="0"/>
      <w:marBottom w:val="0"/>
      <w:divBdr>
        <w:top w:val="none" w:sz="0" w:space="0" w:color="auto"/>
        <w:left w:val="none" w:sz="0" w:space="0" w:color="auto"/>
        <w:bottom w:val="none" w:sz="0" w:space="0" w:color="auto"/>
        <w:right w:val="none" w:sz="0" w:space="0" w:color="auto"/>
      </w:divBdr>
    </w:div>
    <w:div w:id="620110538">
      <w:bodyDiv w:val="1"/>
      <w:marLeft w:val="0"/>
      <w:marRight w:val="0"/>
      <w:marTop w:val="0"/>
      <w:marBottom w:val="0"/>
      <w:divBdr>
        <w:top w:val="none" w:sz="0" w:space="0" w:color="auto"/>
        <w:left w:val="none" w:sz="0" w:space="0" w:color="auto"/>
        <w:bottom w:val="none" w:sz="0" w:space="0" w:color="auto"/>
        <w:right w:val="none" w:sz="0" w:space="0" w:color="auto"/>
      </w:divBdr>
    </w:div>
    <w:div w:id="620453299">
      <w:bodyDiv w:val="1"/>
      <w:marLeft w:val="0"/>
      <w:marRight w:val="0"/>
      <w:marTop w:val="0"/>
      <w:marBottom w:val="0"/>
      <w:divBdr>
        <w:top w:val="none" w:sz="0" w:space="0" w:color="auto"/>
        <w:left w:val="none" w:sz="0" w:space="0" w:color="auto"/>
        <w:bottom w:val="none" w:sz="0" w:space="0" w:color="auto"/>
        <w:right w:val="none" w:sz="0" w:space="0" w:color="auto"/>
      </w:divBdr>
    </w:div>
    <w:div w:id="624048351">
      <w:bodyDiv w:val="1"/>
      <w:marLeft w:val="0"/>
      <w:marRight w:val="0"/>
      <w:marTop w:val="0"/>
      <w:marBottom w:val="0"/>
      <w:divBdr>
        <w:top w:val="none" w:sz="0" w:space="0" w:color="auto"/>
        <w:left w:val="none" w:sz="0" w:space="0" w:color="auto"/>
        <w:bottom w:val="none" w:sz="0" w:space="0" w:color="auto"/>
        <w:right w:val="none" w:sz="0" w:space="0" w:color="auto"/>
      </w:divBdr>
    </w:div>
    <w:div w:id="671220459">
      <w:bodyDiv w:val="1"/>
      <w:marLeft w:val="0"/>
      <w:marRight w:val="0"/>
      <w:marTop w:val="0"/>
      <w:marBottom w:val="0"/>
      <w:divBdr>
        <w:top w:val="none" w:sz="0" w:space="0" w:color="auto"/>
        <w:left w:val="none" w:sz="0" w:space="0" w:color="auto"/>
        <w:bottom w:val="none" w:sz="0" w:space="0" w:color="auto"/>
        <w:right w:val="none" w:sz="0" w:space="0" w:color="auto"/>
      </w:divBdr>
    </w:div>
    <w:div w:id="682559049">
      <w:bodyDiv w:val="1"/>
      <w:marLeft w:val="0"/>
      <w:marRight w:val="0"/>
      <w:marTop w:val="0"/>
      <w:marBottom w:val="0"/>
      <w:divBdr>
        <w:top w:val="none" w:sz="0" w:space="0" w:color="auto"/>
        <w:left w:val="none" w:sz="0" w:space="0" w:color="auto"/>
        <w:bottom w:val="none" w:sz="0" w:space="0" w:color="auto"/>
        <w:right w:val="none" w:sz="0" w:space="0" w:color="auto"/>
      </w:divBdr>
    </w:div>
    <w:div w:id="789595830">
      <w:bodyDiv w:val="1"/>
      <w:marLeft w:val="0"/>
      <w:marRight w:val="0"/>
      <w:marTop w:val="0"/>
      <w:marBottom w:val="0"/>
      <w:divBdr>
        <w:top w:val="none" w:sz="0" w:space="0" w:color="auto"/>
        <w:left w:val="none" w:sz="0" w:space="0" w:color="auto"/>
        <w:bottom w:val="none" w:sz="0" w:space="0" w:color="auto"/>
        <w:right w:val="none" w:sz="0" w:space="0" w:color="auto"/>
      </w:divBdr>
    </w:div>
    <w:div w:id="804737388">
      <w:bodyDiv w:val="1"/>
      <w:marLeft w:val="0"/>
      <w:marRight w:val="0"/>
      <w:marTop w:val="0"/>
      <w:marBottom w:val="0"/>
      <w:divBdr>
        <w:top w:val="none" w:sz="0" w:space="0" w:color="auto"/>
        <w:left w:val="none" w:sz="0" w:space="0" w:color="auto"/>
        <w:bottom w:val="none" w:sz="0" w:space="0" w:color="auto"/>
        <w:right w:val="none" w:sz="0" w:space="0" w:color="auto"/>
      </w:divBdr>
    </w:div>
    <w:div w:id="934627556">
      <w:bodyDiv w:val="1"/>
      <w:marLeft w:val="0"/>
      <w:marRight w:val="0"/>
      <w:marTop w:val="0"/>
      <w:marBottom w:val="0"/>
      <w:divBdr>
        <w:top w:val="none" w:sz="0" w:space="0" w:color="auto"/>
        <w:left w:val="none" w:sz="0" w:space="0" w:color="auto"/>
        <w:bottom w:val="none" w:sz="0" w:space="0" w:color="auto"/>
        <w:right w:val="none" w:sz="0" w:space="0" w:color="auto"/>
      </w:divBdr>
    </w:div>
    <w:div w:id="941693694">
      <w:bodyDiv w:val="1"/>
      <w:marLeft w:val="0"/>
      <w:marRight w:val="0"/>
      <w:marTop w:val="0"/>
      <w:marBottom w:val="0"/>
      <w:divBdr>
        <w:top w:val="none" w:sz="0" w:space="0" w:color="auto"/>
        <w:left w:val="none" w:sz="0" w:space="0" w:color="auto"/>
        <w:bottom w:val="none" w:sz="0" w:space="0" w:color="auto"/>
        <w:right w:val="none" w:sz="0" w:space="0" w:color="auto"/>
      </w:divBdr>
    </w:div>
    <w:div w:id="960693797">
      <w:bodyDiv w:val="1"/>
      <w:marLeft w:val="0"/>
      <w:marRight w:val="0"/>
      <w:marTop w:val="0"/>
      <w:marBottom w:val="0"/>
      <w:divBdr>
        <w:top w:val="none" w:sz="0" w:space="0" w:color="auto"/>
        <w:left w:val="none" w:sz="0" w:space="0" w:color="auto"/>
        <w:bottom w:val="none" w:sz="0" w:space="0" w:color="auto"/>
        <w:right w:val="none" w:sz="0" w:space="0" w:color="auto"/>
      </w:divBdr>
    </w:div>
    <w:div w:id="1011756614">
      <w:bodyDiv w:val="1"/>
      <w:marLeft w:val="0"/>
      <w:marRight w:val="0"/>
      <w:marTop w:val="0"/>
      <w:marBottom w:val="0"/>
      <w:divBdr>
        <w:top w:val="none" w:sz="0" w:space="0" w:color="auto"/>
        <w:left w:val="none" w:sz="0" w:space="0" w:color="auto"/>
        <w:bottom w:val="none" w:sz="0" w:space="0" w:color="auto"/>
        <w:right w:val="none" w:sz="0" w:space="0" w:color="auto"/>
      </w:divBdr>
    </w:div>
    <w:div w:id="1078483170">
      <w:bodyDiv w:val="1"/>
      <w:marLeft w:val="0"/>
      <w:marRight w:val="0"/>
      <w:marTop w:val="0"/>
      <w:marBottom w:val="0"/>
      <w:divBdr>
        <w:top w:val="none" w:sz="0" w:space="0" w:color="auto"/>
        <w:left w:val="none" w:sz="0" w:space="0" w:color="auto"/>
        <w:bottom w:val="none" w:sz="0" w:space="0" w:color="auto"/>
        <w:right w:val="none" w:sz="0" w:space="0" w:color="auto"/>
      </w:divBdr>
    </w:div>
    <w:div w:id="1143503849">
      <w:bodyDiv w:val="1"/>
      <w:marLeft w:val="0"/>
      <w:marRight w:val="0"/>
      <w:marTop w:val="0"/>
      <w:marBottom w:val="0"/>
      <w:divBdr>
        <w:top w:val="none" w:sz="0" w:space="0" w:color="auto"/>
        <w:left w:val="none" w:sz="0" w:space="0" w:color="auto"/>
        <w:bottom w:val="none" w:sz="0" w:space="0" w:color="auto"/>
        <w:right w:val="none" w:sz="0" w:space="0" w:color="auto"/>
      </w:divBdr>
    </w:div>
    <w:div w:id="1159267122">
      <w:bodyDiv w:val="1"/>
      <w:marLeft w:val="0"/>
      <w:marRight w:val="0"/>
      <w:marTop w:val="0"/>
      <w:marBottom w:val="0"/>
      <w:divBdr>
        <w:top w:val="none" w:sz="0" w:space="0" w:color="auto"/>
        <w:left w:val="none" w:sz="0" w:space="0" w:color="auto"/>
        <w:bottom w:val="none" w:sz="0" w:space="0" w:color="auto"/>
        <w:right w:val="none" w:sz="0" w:space="0" w:color="auto"/>
      </w:divBdr>
    </w:div>
    <w:div w:id="1183588976">
      <w:bodyDiv w:val="1"/>
      <w:marLeft w:val="0"/>
      <w:marRight w:val="0"/>
      <w:marTop w:val="0"/>
      <w:marBottom w:val="0"/>
      <w:divBdr>
        <w:top w:val="none" w:sz="0" w:space="0" w:color="auto"/>
        <w:left w:val="none" w:sz="0" w:space="0" w:color="auto"/>
        <w:bottom w:val="none" w:sz="0" w:space="0" w:color="auto"/>
        <w:right w:val="none" w:sz="0" w:space="0" w:color="auto"/>
      </w:divBdr>
    </w:div>
    <w:div w:id="1267619683">
      <w:bodyDiv w:val="1"/>
      <w:marLeft w:val="0"/>
      <w:marRight w:val="0"/>
      <w:marTop w:val="0"/>
      <w:marBottom w:val="0"/>
      <w:divBdr>
        <w:top w:val="none" w:sz="0" w:space="0" w:color="auto"/>
        <w:left w:val="none" w:sz="0" w:space="0" w:color="auto"/>
        <w:bottom w:val="none" w:sz="0" w:space="0" w:color="auto"/>
        <w:right w:val="none" w:sz="0" w:space="0" w:color="auto"/>
      </w:divBdr>
    </w:div>
    <w:div w:id="1321541835">
      <w:bodyDiv w:val="1"/>
      <w:marLeft w:val="0"/>
      <w:marRight w:val="0"/>
      <w:marTop w:val="0"/>
      <w:marBottom w:val="0"/>
      <w:divBdr>
        <w:top w:val="none" w:sz="0" w:space="0" w:color="auto"/>
        <w:left w:val="none" w:sz="0" w:space="0" w:color="auto"/>
        <w:bottom w:val="none" w:sz="0" w:space="0" w:color="auto"/>
        <w:right w:val="none" w:sz="0" w:space="0" w:color="auto"/>
      </w:divBdr>
    </w:div>
    <w:div w:id="1358699303">
      <w:bodyDiv w:val="1"/>
      <w:marLeft w:val="0"/>
      <w:marRight w:val="0"/>
      <w:marTop w:val="0"/>
      <w:marBottom w:val="0"/>
      <w:divBdr>
        <w:top w:val="none" w:sz="0" w:space="0" w:color="auto"/>
        <w:left w:val="none" w:sz="0" w:space="0" w:color="auto"/>
        <w:bottom w:val="none" w:sz="0" w:space="0" w:color="auto"/>
        <w:right w:val="none" w:sz="0" w:space="0" w:color="auto"/>
      </w:divBdr>
    </w:div>
    <w:div w:id="1371880038">
      <w:bodyDiv w:val="1"/>
      <w:marLeft w:val="0"/>
      <w:marRight w:val="0"/>
      <w:marTop w:val="0"/>
      <w:marBottom w:val="0"/>
      <w:divBdr>
        <w:top w:val="none" w:sz="0" w:space="0" w:color="auto"/>
        <w:left w:val="none" w:sz="0" w:space="0" w:color="auto"/>
        <w:bottom w:val="none" w:sz="0" w:space="0" w:color="auto"/>
        <w:right w:val="none" w:sz="0" w:space="0" w:color="auto"/>
      </w:divBdr>
    </w:div>
    <w:div w:id="1429039270">
      <w:bodyDiv w:val="1"/>
      <w:marLeft w:val="0"/>
      <w:marRight w:val="0"/>
      <w:marTop w:val="0"/>
      <w:marBottom w:val="0"/>
      <w:divBdr>
        <w:top w:val="none" w:sz="0" w:space="0" w:color="auto"/>
        <w:left w:val="none" w:sz="0" w:space="0" w:color="auto"/>
        <w:bottom w:val="none" w:sz="0" w:space="0" w:color="auto"/>
        <w:right w:val="none" w:sz="0" w:space="0" w:color="auto"/>
      </w:divBdr>
    </w:div>
    <w:div w:id="1488329204">
      <w:bodyDiv w:val="1"/>
      <w:marLeft w:val="0"/>
      <w:marRight w:val="0"/>
      <w:marTop w:val="0"/>
      <w:marBottom w:val="0"/>
      <w:divBdr>
        <w:top w:val="none" w:sz="0" w:space="0" w:color="auto"/>
        <w:left w:val="none" w:sz="0" w:space="0" w:color="auto"/>
        <w:bottom w:val="none" w:sz="0" w:space="0" w:color="auto"/>
        <w:right w:val="none" w:sz="0" w:space="0" w:color="auto"/>
      </w:divBdr>
    </w:div>
    <w:div w:id="1687752281">
      <w:bodyDiv w:val="1"/>
      <w:marLeft w:val="0"/>
      <w:marRight w:val="0"/>
      <w:marTop w:val="0"/>
      <w:marBottom w:val="0"/>
      <w:divBdr>
        <w:top w:val="none" w:sz="0" w:space="0" w:color="auto"/>
        <w:left w:val="none" w:sz="0" w:space="0" w:color="auto"/>
        <w:bottom w:val="none" w:sz="0" w:space="0" w:color="auto"/>
        <w:right w:val="none" w:sz="0" w:space="0" w:color="auto"/>
      </w:divBdr>
    </w:div>
    <w:div w:id="1790587669">
      <w:bodyDiv w:val="1"/>
      <w:marLeft w:val="0"/>
      <w:marRight w:val="0"/>
      <w:marTop w:val="0"/>
      <w:marBottom w:val="0"/>
      <w:divBdr>
        <w:top w:val="none" w:sz="0" w:space="0" w:color="auto"/>
        <w:left w:val="none" w:sz="0" w:space="0" w:color="auto"/>
        <w:bottom w:val="none" w:sz="0" w:space="0" w:color="auto"/>
        <w:right w:val="none" w:sz="0" w:space="0" w:color="auto"/>
      </w:divBdr>
    </w:div>
    <w:div w:id="1936398461">
      <w:bodyDiv w:val="1"/>
      <w:marLeft w:val="0"/>
      <w:marRight w:val="0"/>
      <w:marTop w:val="0"/>
      <w:marBottom w:val="0"/>
      <w:divBdr>
        <w:top w:val="none" w:sz="0" w:space="0" w:color="auto"/>
        <w:left w:val="none" w:sz="0" w:space="0" w:color="auto"/>
        <w:bottom w:val="none" w:sz="0" w:space="0" w:color="auto"/>
        <w:right w:val="none" w:sz="0" w:space="0" w:color="auto"/>
      </w:divBdr>
    </w:div>
    <w:div w:id="196938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ashfield.gov.uk/local-plan-examination/examination-library/"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nplan.org.uk/media/yt4lms5x/employment-background-paper-publication-draft-september-2024.pdf" TargetMode="External"/><Relationship Id="rId2" Type="http://schemas.openxmlformats.org/officeDocument/2006/relationships/hyperlink" Target="https://www.gnplan.org.uk/media/yt4lms5x/employment-background-paper-publication-draft-september-2024.pdf" TargetMode="External"/><Relationship Id="rId1" Type="http://schemas.openxmlformats.org/officeDocument/2006/relationships/hyperlink" Target="https://www.gnplan.org.uk/media/rzsd115f/gnsp-strategic-distribution-and-logistics-background-paper-september-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75CCF-9720-4E80-9D63-338E9B4F7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4048</TotalTime>
  <Pages>36</Pages>
  <Words>13989</Words>
  <Characters>79741</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 4.1 Matter 4 Ashfield District Council  - Economy, retail and town centres</dc:title>
  <dc:subject/>
  <dc:creator>Lisa.Furness</dc:creator>
  <cp:keywords/>
  <dc:description/>
  <cp:lastModifiedBy>Sharon.Simcox</cp:lastModifiedBy>
  <cp:revision>323</cp:revision>
  <dcterms:created xsi:type="dcterms:W3CDTF">2024-10-08T14:55:00Z</dcterms:created>
  <dcterms:modified xsi:type="dcterms:W3CDTF">2024-12-13T15:08:00Z</dcterms:modified>
</cp:coreProperties>
</file>