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6C35" w14:textId="77777777" w:rsidR="00432D04" w:rsidRDefault="00432D04" w:rsidP="00A2408B">
      <w:pPr>
        <w:pStyle w:val="Heading1"/>
      </w:pPr>
    </w:p>
    <w:p w14:paraId="684DF43E" w14:textId="56586E86" w:rsidR="00432D04" w:rsidRDefault="00432D04" w:rsidP="00A2408B">
      <w:pPr>
        <w:pStyle w:val="Heading1"/>
      </w:pPr>
      <w:r>
        <w:rPr>
          <w:noProof/>
        </w:rPr>
        <w:drawing>
          <wp:inline distT="0" distB="0" distL="0" distR="0" wp14:anchorId="1994E1C0" wp14:editId="35F0E0E8">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3AF5DC86" w14:textId="77777777" w:rsidR="00432D04" w:rsidRDefault="00432D04" w:rsidP="00A2408B">
      <w:pPr>
        <w:pStyle w:val="Heading1"/>
      </w:pPr>
    </w:p>
    <w:p w14:paraId="4400D2B1" w14:textId="119FCFDC"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5CC35A08" w14:textId="53217CD9" w:rsidR="00E15ACB" w:rsidRDefault="008655AA" w:rsidP="00A2408B">
      <w:pPr>
        <w:pStyle w:val="Heading1"/>
      </w:pPr>
      <w:r w:rsidRPr="00A2408B">
        <w:t>Matter</w:t>
      </w:r>
      <w:r w:rsidR="00030B25">
        <w:t xml:space="preserve"> </w:t>
      </w:r>
      <w:r w:rsidR="0050306D">
        <w:t>9</w:t>
      </w:r>
      <w:r w:rsidRPr="00A2408B">
        <w:t>:</w:t>
      </w:r>
    </w:p>
    <w:p w14:paraId="37CB9A8B" w14:textId="606E9253" w:rsidR="008655AA" w:rsidRDefault="000C09F3" w:rsidP="007C6C7B">
      <w:pPr>
        <w:pStyle w:val="Heading1"/>
      </w:pPr>
      <w:r w:rsidRPr="000C09F3">
        <w:t xml:space="preserve">The </w:t>
      </w:r>
      <w:r w:rsidR="00432D04">
        <w:t>S</w:t>
      </w:r>
      <w:r w:rsidRPr="000C09F3">
        <w:t xml:space="preserve">upply and </w:t>
      </w:r>
      <w:r w:rsidR="00432D04">
        <w:t>D</w:t>
      </w:r>
      <w:r w:rsidRPr="000C09F3">
        <w:t xml:space="preserve">elivery of </w:t>
      </w:r>
      <w:r w:rsidR="00432D04">
        <w:t>H</w:t>
      </w:r>
      <w:r w:rsidRPr="000C09F3">
        <w:t xml:space="preserve">ousing </w:t>
      </w:r>
      <w:r w:rsidR="00432D04">
        <w:t>L</w:t>
      </w:r>
      <w:r w:rsidRPr="000C09F3">
        <w:t>and</w:t>
      </w:r>
    </w:p>
    <w:p w14:paraId="7A2E06A1" w14:textId="77777777" w:rsidR="00432D04" w:rsidRDefault="00432D04" w:rsidP="00432D04"/>
    <w:p w14:paraId="5B42A180" w14:textId="0717DB49" w:rsidR="00432D04" w:rsidRPr="00274CAA" w:rsidRDefault="00274CAA" w:rsidP="00274CAA">
      <w:pPr>
        <w:jc w:val="center"/>
        <w:rPr>
          <w:b/>
          <w:bCs/>
          <w:color w:val="A02B93" w:themeColor="accent5"/>
          <w:sz w:val="32"/>
          <w:szCs w:val="32"/>
        </w:rPr>
      </w:pPr>
      <w:r w:rsidRPr="00274CAA">
        <w:rPr>
          <w:b/>
          <w:bCs/>
          <w:color w:val="A02B93" w:themeColor="accent5"/>
          <w:sz w:val="32"/>
          <w:szCs w:val="32"/>
        </w:rPr>
        <w:t>Version 2</w:t>
      </w:r>
    </w:p>
    <w:p w14:paraId="2F4DBE71" w14:textId="77777777" w:rsidR="00432D04" w:rsidRDefault="00432D04" w:rsidP="00432D04"/>
    <w:p w14:paraId="291853FF" w14:textId="77777777" w:rsidR="00432D04" w:rsidRDefault="00432D04" w:rsidP="00432D04"/>
    <w:p w14:paraId="3655418A" w14:textId="77777777" w:rsidR="00432D04" w:rsidRDefault="00432D04" w:rsidP="00432D04"/>
    <w:p w14:paraId="05F03D52" w14:textId="77777777" w:rsidR="00432D04" w:rsidRDefault="00432D04" w:rsidP="00432D04"/>
    <w:p w14:paraId="2FBB6EE6" w14:textId="77777777" w:rsidR="00432D04" w:rsidRDefault="00432D04" w:rsidP="00432D04"/>
    <w:p w14:paraId="69EBEAD1" w14:textId="77777777" w:rsidR="00432D04" w:rsidRDefault="00432D04" w:rsidP="00432D04"/>
    <w:p w14:paraId="750D4471" w14:textId="37E20766" w:rsidR="00432D04" w:rsidRPr="00274CAA" w:rsidRDefault="00274CAA" w:rsidP="00432D04">
      <w:pPr>
        <w:jc w:val="center"/>
        <w:rPr>
          <w:b/>
          <w:bCs/>
          <w:color w:val="A02B93" w:themeColor="accent5"/>
          <w:sz w:val="36"/>
          <w:szCs w:val="36"/>
        </w:rPr>
        <w:sectPr w:rsidR="00432D04" w:rsidRPr="00274CAA" w:rsidSect="00432D04">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bookmarkStart w:id="0" w:name="_Hlk180070057"/>
      <w:r w:rsidRPr="00274CAA">
        <w:rPr>
          <w:b/>
          <w:bCs/>
          <w:color w:val="A02B93" w:themeColor="accent5"/>
          <w:sz w:val="36"/>
          <w:szCs w:val="36"/>
        </w:rPr>
        <w:t>November 2025</w:t>
      </w:r>
    </w:p>
    <w:bookmarkEnd w:id="0"/>
    <w:p w14:paraId="77916C54" w14:textId="77777777" w:rsidR="00FC565B" w:rsidRPr="00B3397C" w:rsidRDefault="00FC565B" w:rsidP="00FC565B">
      <w:pPr>
        <w:spacing w:after="120"/>
        <w:rPr>
          <w:b/>
          <w:bCs/>
          <w:sz w:val="28"/>
          <w:szCs w:val="28"/>
        </w:rPr>
      </w:pPr>
      <w:r w:rsidRPr="00B3397C">
        <w:rPr>
          <w:b/>
          <w:bCs/>
          <w:sz w:val="28"/>
          <w:szCs w:val="28"/>
        </w:rPr>
        <w:lastRenderedPageBreak/>
        <w:t xml:space="preserve">Ashfield District Council’s response to Inspectors’ Document INS03 </w:t>
      </w:r>
    </w:p>
    <w:p w14:paraId="20F5D0D9" w14:textId="77777777" w:rsidR="00FC565B" w:rsidRDefault="00FC565B" w:rsidP="00FC565B">
      <w:pPr>
        <w:spacing w:after="120"/>
      </w:pPr>
    </w:p>
    <w:p w14:paraId="1159D1E7" w14:textId="77777777" w:rsidR="00FC565B" w:rsidRDefault="00FC565B" w:rsidP="00FC565B">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3DD63FD1" w14:textId="77777777" w:rsidR="00FC565B" w:rsidRDefault="00FC565B" w:rsidP="00FC565B">
      <w:pPr>
        <w:spacing w:after="120"/>
        <w:jc w:val="left"/>
      </w:pPr>
    </w:p>
    <w:p w14:paraId="3B4F4E25" w14:textId="28586F88" w:rsidR="00140E14" w:rsidRDefault="00FC565B" w:rsidP="00FC565B">
      <w:pPr>
        <w:spacing w:after="120"/>
        <w:jc w:val="left"/>
      </w:pPr>
      <w:r>
        <w:t xml:space="preserve">Each response paper includes </w:t>
      </w:r>
      <w:proofErr w:type="gramStart"/>
      <w:r>
        <w:t>a number of</w:t>
      </w:r>
      <w:proofErr w:type="gramEnd"/>
      <w:r>
        <w:t xml:space="preserve">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8" w:history="1">
        <w:r w:rsidR="00140E14" w:rsidRPr="001F2FC8">
          <w:rPr>
            <w:rStyle w:val="Hyperlink"/>
          </w:rPr>
          <w:t>https://www.ashfield.gov.uk/examination-library/</w:t>
        </w:r>
      </w:hyperlink>
    </w:p>
    <w:p w14:paraId="44B0F719" w14:textId="77777777" w:rsidR="00FC565B" w:rsidRDefault="00FC565B" w:rsidP="00FC565B"/>
    <w:p w14:paraId="54044F6D" w14:textId="77777777" w:rsidR="00FC565B" w:rsidRDefault="00FC565B" w:rsidP="00FC565B">
      <w:r>
        <w:t xml:space="preserve">The Inspectors’ questions are shown below in </w:t>
      </w:r>
      <w:r w:rsidRPr="00222B10">
        <w:rPr>
          <w:b/>
          <w:bCs/>
          <w:i/>
          <w:iCs/>
        </w:rPr>
        <w:t>bold italics</w:t>
      </w:r>
      <w:r>
        <w:t xml:space="preserve">. </w:t>
      </w:r>
    </w:p>
    <w:p w14:paraId="4467DE2A" w14:textId="77777777" w:rsidR="00FC565B" w:rsidRDefault="00FC565B" w:rsidP="00FC565B">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FC565B" w14:paraId="516F481A" w14:textId="77777777" w:rsidTr="0065202C">
        <w:trPr>
          <w:trHeight w:val="475"/>
        </w:trPr>
        <w:tc>
          <w:tcPr>
            <w:tcW w:w="9742" w:type="dxa"/>
            <w:shd w:val="clear" w:color="auto" w:fill="D9D9D9" w:themeFill="background1" w:themeFillShade="D9"/>
          </w:tcPr>
          <w:p w14:paraId="5FC2DBBB" w14:textId="77777777" w:rsidR="00FC565B" w:rsidRPr="007F0DDA" w:rsidRDefault="00FC565B" w:rsidP="0065202C">
            <w:pPr>
              <w:spacing w:after="160"/>
              <w:jc w:val="center"/>
              <w:rPr>
                <w:sz w:val="16"/>
                <w:szCs w:val="16"/>
              </w:rPr>
            </w:pPr>
          </w:p>
          <w:p w14:paraId="5174730B" w14:textId="77777777" w:rsidR="00FC565B" w:rsidRDefault="00FC565B" w:rsidP="0065202C">
            <w:pPr>
              <w:spacing w:after="160"/>
              <w:jc w:val="center"/>
            </w:pPr>
            <w:r w:rsidRPr="0059588C">
              <w:t>Proposed Modifications</w:t>
            </w:r>
            <w:r>
              <w:t xml:space="preserve"> arising from the Inspectors’ MIQs are set out in grey tint boxes.</w:t>
            </w:r>
          </w:p>
          <w:p w14:paraId="7B6E4C3A" w14:textId="77777777" w:rsidR="00FC565B" w:rsidRPr="007F0DDA" w:rsidRDefault="00FC565B" w:rsidP="0065202C">
            <w:pPr>
              <w:spacing w:after="160"/>
              <w:jc w:val="center"/>
              <w:rPr>
                <w:sz w:val="16"/>
                <w:szCs w:val="16"/>
              </w:rPr>
            </w:pPr>
          </w:p>
        </w:tc>
      </w:tr>
    </w:tbl>
    <w:p w14:paraId="6F159C03" w14:textId="77777777" w:rsidR="00FB260A" w:rsidRDefault="00FB260A" w:rsidP="00FB260A"/>
    <w:p w14:paraId="482F3E35" w14:textId="160F14AE" w:rsidR="004C7B46" w:rsidRPr="00C02F62" w:rsidRDefault="004C7B46" w:rsidP="004C7B46">
      <w:pPr>
        <w:jc w:val="left"/>
        <w:rPr>
          <w:rFonts w:cs="Arial"/>
          <w:color w:val="A02B93" w:themeColor="accent5"/>
        </w:rPr>
      </w:pPr>
      <w:r w:rsidRPr="00C02F62">
        <w:rPr>
          <w:rFonts w:cs="Arial"/>
          <w:color w:val="A02B93" w:themeColor="accent5"/>
        </w:rPr>
        <w:t>This paper updates the Hearing Statement [HS</w:t>
      </w:r>
      <w:r>
        <w:rPr>
          <w:rFonts w:cs="Arial"/>
          <w:color w:val="A02B93" w:themeColor="accent5"/>
        </w:rPr>
        <w:t>9</w:t>
      </w:r>
      <w:r w:rsidRPr="00C02F62">
        <w:rPr>
          <w:rFonts w:cs="Arial"/>
          <w:color w:val="A02B93" w:themeColor="accent5"/>
        </w:rPr>
        <w:t xml:space="preserve">.1] previously submitted by the Council in respect of Matter </w:t>
      </w:r>
      <w:r>
        <w:rPr>
          <w:rFonts w:cs="Arial"/>
          <w:color w:val="A02B93" w:themeColor="accent5"/>
        </w:rPr>
        <w:t>2</w:t>
      </w:r>
      <w:r w:rsidRPr="00C02F62">
        <w:rPr>
          <w:rFonts w:cs="Arial"/>
          <w:color w:val="A02B93" w:themeColor="accent5"/>
        </w:rPr>
        <w:t>. It incorporates the additional questions posed by the inspectors under</w:t>
      </w:r>
      <w:r w:rsidR="00687008">
        <w:rPr>
          <w:rFonts w:cs="Arial"/>
          <w:color w:val="A02B93" w:themeColor="accent5"/>
        </w:rPr>
        <w:t xml:space="preserve"> the July 2025 addendum available here: </w:t>
      </w:r>
      <w:hyperlink r:id="rId9" w:history="1">
        <w:r w:rsidR="00687008" w:rsidRPr="001A5C3C">
          <w:rPr>
            <w:rStyle w:val="Hyperlink"/>
            <w:rFonts w:cs="Arial"/>
          </w:rPr>
          <w:t>https://www.ashfield.gov.uk/hearing-statements/</w:t>
        </w:r>
      </w:hyperlink>
      <w:r w:rsidR="00687008">
        <w:rPr>
          <w:rFonts w:cs="Arial"/>
          <w:color w:val="A02B93" w:themeColor="accent5"/>
        </w:rPr>
        <w:t xml:space="preserve"> </w:t>
      </w:r>
      <w:r w:rsidRPr="00C02F62">
        <w:rPr>
          <w:rFonts w:cs="Arial"/>
          <w:color w:val="A02B93" w:themeColor="accent5"/>
        </w:rPr>
        <w:t xml:space="preserve">and sets out the Council’s response in purple text. </w:t>
      </w:r>
    </w:p>
    <w:p w14:paraId="577263D3" w14:textId="77777777" w:rsidR="004C7B46" w:rsidRPr="00C02F62" w:rsidRDefault="004C7B46" w:rsidP="004C7B46">
      <w:pPr>
        <w:rPr>
          <w:color w:val="A02B93" w:themeColor="accent5"/>
        </w:rPr>
      </w:pPr>
      <w:r w:rsidRPr="00C02F62">
        <w:rPr>
          <w:rFonts w:cs="Arial"/>
          <w:color w:val="A02B93" w:themeColor="accent5"/>
        </w:rPr>
        <w:t xml:space="preserve">Please note that brackets have also been added into the Inspectors’ new MIQ references, e.g., </w:t>
      </w:r>
      <w:r>
        <w:rPr>
          <w:rFonts w:cs="Arial"/>
          <w:color w:val="A02B93" w:themeColor="accent5"/>
        </w:rPr>
        <w:t>2.7(.1</w:t>
      </w:r>
      <w:r w:rsidRPr="00C02F62">
        <w:rPr>
          <w:rFonts w:cs="Arial"/>
          <w:color w:val="A02B93" w:themeColor="accent5"/>
        </w:rPr>
        <w:t xml:space="preserve">), </w:t>
      </w:r>
      <w:proofErr w:type="gramStart"/>
      <w:r w:rsidRPr="00C02F62">
        <w:rPr>
          <w:rFonts w:cs="Arial"/>
          <w:color w:val="A02B93" w:themeColor="accent5"/>
        </w:rPr>
        <w:t>in order to</w:t>
      </w:r>
      <w:proofErr w:type="gramEnd"/>
      <w:r w:rsidRPr="00C02F62">
        <w:rPr>
          <w:rFonts w:cs="Arial"/>
          <w:color w:val="A02B93" w:themeColor="accent5"/>
        </w:rPr>
        <w:t xml:space="preserve"> differentiate them from the Council’s existing paragraph numbering.</w:t>
      </w:r>
    </w:p>
    <w:p w14:paraId="18CE1CBC" w14:textId="77777777" w:rsidR="00FF1403" w:rsidRDefault="00FF1403" w:rsidP="00B14523">
      <w:pPr>
        <w:jc w:val="left"/>
        <w:rPr>
          <w:color w:val="FF0000"/>
          <w:u w:val="single"/>
        </w:rPr>
      </w:pPr>
      <w:bookmarkStart w:id="1" w:name="_Hlk211432160"/>
    </w:p>
    <w:bookmarkEnd w:id="1"/>
    <w:p w14:paraId="7EF0E966" w14:textId="77777777" w:rsidR="00FB260A" w:rsidRDefault="00FB260A">
      <w:pPr>
        <w:rPr>
          <w:rFonts w:eastAsiaTheme="majorEastAsia" w:cstheme="majorBidi"/>
          <w:b/>
          <w:bCs/>
          <w:sz w:val="28"/>
          <w:szCs w:val="28"/>
        </w:rPr>
      </w:pPr>
      <w:r>
        <w:br w:type="page"/>
      </w:r>
    </w:p>
    <w:p w14:paraId="7F1EA0B8" w14:textId="2B0F2450" w:rsidR="000C09F3" w:rsidRPr="007C6C7B" w:rsidRDefault="000C09F3" w:rsidP="007C6C7B">
      <w:pPr>
        <w:pStyle w:val="Heading2"/>
      </w:pPr>
      <w:r w:rsidRPr="007C6C7B">
        <w:lastRenderedPageBreak/>
        <w:t>Issue: Whether there would be a deliverable housing land supply in years 1-5 and developable supply in years 6-15.</w:t>
      </w:r>
    </w:p>
    <w:p w14:paraId="1926E6CE" w14:textId="77777777" w:rsidR="000C09F3" w:rsidRDefault="000C09F3" w:rsidP="000C09F3"/>
    <w:p w14:paraId="4A9B7B97" w14:textId="77777777" w:rsidR="000C09F3" w:rsidRPr="00687008" w:rsidRDefault="000C09F3" w:rsidP="007C6C7B">
      <w:pPr>
        <w:pStyle w:val="Heading3"/>
        <w:rPr>
          <w:u w:val="none"/>
        </w:rPr>
      </w:pPr>
      <w:r w:rsidRPr="00687008">
        <w:rPr>
          <w:u w:val="none"/>
        </w:rPr>
        <w:t>Overall Supply</w:t>
      </w:r>
    </w:p>
    <w:p w14:paraId="414CD5E2" w14:textId="77777777" w:rsidR="000C09F3" w:rsidRPr="007C6C7B" w:rsidRDefault="000C09F3" w:rsidP="000C09F3">
      <w:pPr>
        <w:rPr>
          <w:rFonts w:cs="Arial"/>
          <w:b/>
          <w:bCs/>
          <w:i/>
          <w:iCs/>
          <w:szCs w:val="24"/>
        </w:rPr>
      </w:pPr>
    </w:p>
    <w:p w14:paraId="5EE0F9A3" w14:textId="1743A9DF" w:rsidR="000C09F3" w:rsidRPr="001D5114" w:rsidRDefault="000C09F3" w:rsidP="006D04FB">
      <w:pPr>
        <w:pStyle w:val="Heading4"/>
        <w:numPr>
          <w:ilvl w:val="1"/>
          <w:numId w:val="4"/>
        </w:numPr>
      </w:pPr>
      <w:r w:rsidRPr="001D5114">
        <w:t>What is the estimated total supply of new housing over the period 2023/24-2039/40?</w:t>
      </w:r>
      <w:r w:rsidR="00087493" w:rsidRPr="001D5114">
        <w:t xml:space="preserve"> </w:t>
      </w:r>
      <w:r w:rsidRPr="001D5114">
        <w:t>How has this been determined?</w:t>
      </w:r>
      <w:r w:rsidR="007C6C7B" w:rsidRPr="001D5114">
        <w:t xml:space="preserve"> </w:t>
      </w:r>
      <w:r w:rsidRPr="001D5114">
        <w:t>Is the housing trajectory justified?</w:t>
      </w:r>
      <w:r w:rsidR="00651481" w:rsidRPr="001D5114">
        <w:t xml:space="preserve"> </w:t>
      </w:r>
    </w:p>
    <w:p w14:paraId="77ECE742" w14:textId="77777777" w:rsidR="001D5114" w:rsidRDefault="001D5114" w:rsidP="00432D04">
      <w:pPr>
        <w:jc w:val="left"/>
        <w:rPr>
          <w:u w:val="single"/>
        </w:rPr>
      </w:pPr>
    </w:p>
    <w:p w14:paraId="3FF9A038" w14:textId="5B991147" w:rsidR="00432D04" w:rsidRPr="00687008" w:rsidRDefault="00432D04" w:rsidP="00432D04">
      <w:pPr>
        <w:jc w:val="left"/>
      </w:pPr>
      <w:r w:rsidRPr="00687008">
        <w:t>Council’s response</w:t>
      </w:r>
      <w:r w:rsidR="00687008">
        <w:t>:</w:t>
      </w:r>
    </w:p>
    <w:p w14:paraId="1E09E691" w14:textId="4B484D6D" w:rsidR="00A21016" w:rsidRDefault="003A4E2A" w:rsidP="003A4E2A">
      <w:pPr>
        <w:ind w:left="720" w:hanging="720"/>
        <w:jc w:val="left"/>
      </w:pPr>
      <w:r w:rsidRPr="003A4E2A">
        <w:t>9.1.1</w:t>
      </w:r>
      <w:r w:rsidRPr="003A4E2A">
        <w:tab/>
      </w:r>
      <w:r w:rsidRPr="004D6DAA">
        <w:t xml:space="preserve">The estimated total supply of housing for the Plan period of 2023-2040 </w:t>
      </w:r>
      <w:r w:rsidR="00A21016" w:rsidRPr="004D6DAA">
        <w:t xml:space="preserve">is set out </w:t>
      </w:r>
      <w:r w:rsidRPr="004D6DAA">
        <w:t xml:space="preserve">in the Council’s </w:t>
      </w:r>
      <w:r w:rsidRPr="004D6DAA">
        <w:rPr>
          <w:strike/>
        </w:rPr>
        <w:t>Housing Land Position Statement, October 2024 [ADC.04]</w:t>
      </w:r>
      <w:r w:rsidR="00A21016" w:rsidRPr="004D6DAA">
        <w:rPr>
          <w:strike/>
        </w:rPr>
        <w:t xml:space="preserve"> Table B.</w:t>
      </w:r>
      <w:r w:rsidR="00087493" w:rsidRPr="004D6DAA">
        <w:t xml:space="preserve"> </w:t>
      </w:r>
      <w:r w:rsidR="004D6DAA" w:rsidRPr="004D6DAA">
        <w:rPr>
          <w:color w:val="7030A0"/>
        </w:rPr>
        <w:t>Updated Housing Trajectory Paper [ADC.20]</w:t>
      </w:r>
      <w:r w:rsidR="004D6DAA">
        <w:t xml:space="preserve">. </w:t>
      </w:r>
      <w:r w:rsidR="00A21016" w:rsidRPr="004D6DAA">
        <w:t xml:space="preserve">This identifies a total of </w:t>
      </w:r>
      <w:r w:rsidR="00A21016" w:rsidRPr="004D6DAA">
        <w:rPr>
          <w:strike/>
        </w:rPr>
        <w:t>7345</w:t>
      </w:r>
      <w:r w:rsidR="00A21016" w:rsidRPr="004D6DAA">
        <w:t xml:space="preserve"> </w:t>
      </w:r>
      <w:r w:rsidR="004D6DAA" w:rsidRPr="004D6DAA">
        <w:rPr>
          <w:color w:val="7030A0"/>
        </w:rPr>
        <w:t xml:space="preserve">8173 </w:t>
      </w:r>
      <w:r w:rsidR="00A21016" w:rsidRPr="004D6DAA">
        <w:t xml:space="preserve">dwellings, made up of </w:t>
      </w:r>
      <w:r w:rsidR="00A21016" w:rsidRPr="004D6DAA">
        <w:rPr>
          <w:strike/>
        </w:rPr>
        <w:t>451</w:t>
      </w:r>
      <w:r w:rsidR="004D6DAA" w:rsidRPr="004D6DAA">
        <w:t xml:space="preserve"> </w:t>
      </w:r>
      <w:r w:rsidR="004D6DAA" w:rsidRPr="004D6DAA">
        <w:rPr>
          <w:color w:val="7030A0"/>
        </w:rPr>
        <w:t>907</w:t>
      </w:r>
      <w:r w:rsidR="00A21016" w:rsidRPr="004D6DAA">
        <w:t xml:space="preserve"> completions for year</w:t>
      </w:r>
      <w:r w:rsidR="004D6DAA">
        <w:rPr>
          <w:color w:val="7030A0"/>
        </w:rPr>
        <w:t>s</w:t>
      </w:r>
      <w:r w:rsidR="00A21016" w:rsidRPr="004D6DAA">
        <w:t xml:space="preserve"> 2023/24,</w:t>
      </w:r>
      <w:r w:rsidR="004D6DAA">
        <w:t xml:space="preserve"> </w:t>
      </w:r>
      <w:r w:rsidR="004D6DAA" w:rsidRPr="004D6DAA">
        <w:rPr>
          <w:color w:val="7030A0"/>
        </w:rPr>
        <w:t>2024/2025</w:t>
      </w:r>
      <w:r w:rsidR="00A21016" w:rsidRPr="004D6DAA">
        <w:rPr>
          <w:color w:val="7030A0"/>
        </w:rPr>
        <w:t xml:space="preserve"> </w:t>
      </w:r>
      <w:r w:rsidR="00A21016" w:rsidRPr="004D6DAA">
        <w:t>a</w:t>
      </w:r>
      <w:r w:rsidR="00A21016">
        <w:t>nd future supply from the following sources:</w:t>
      </w:r>
    </w:p>
    <w:p w14:paraId="63C75023" w14:textId="7D9B51A8" w:rsidR="00432D04" w:rsidRDefault="00A21016" w:rsidP="00A21016">
      <w:pPr>
        <w:pStyle w:val="ListParagraph"/>
        <w:numPr>
          <w:ilvl w:val="0"/>
          <w:numId w:val="1"/>
        </w:numPr>
        <w:jc w:val="left"/>
      </w:pPr>
      <w:r>
        <w:t>Planning permissions (commitments), including C2 and C3</w:t>
      </w:r>
    </w:p>
    <w:p w14:paraId="1B8C3A09" w14:textId="1099BF61" w:rsidR="00A21016" w:rsidRDefault="00A21016" w:rsidP="00A21016">
      <w:pPr>
        <w:pStyle w:val="ListParagraph"/>
        <w:numPr>
          <w:ilvl w:val="0"/>
          <w:numId w:val="1"/>
        </w:numPr>
        <w:jc w:val="left"/>
      </w:pPr>
      <w:r>
        <w:t>Known permitted development/prior approvals</w:t>
      </w:r>
    </w:p>
    <w:p w14:paraId="4BDF55B9" w14:textId="70EE742E" w:rsidR="00A21016" w:rsidRDefault="00A21016" w:rsidP="00A21016">
      <w:pPr>
        <w:pStyle w:val="ListParagraph"/>
        <w:numPr>
          <w:ilvl w:val="0"/>
          <w:numId w:val="1"/>
        </w:numPr>
        <w:jc w:val="left"/>
      </w:pPr>
      <w:r>
        <w:t>Sites allocated under Policy H1</w:t>
      </w:r>
    </w:p>
    <w:p w14:paraId="2416D91C" w14:textId="09E5F46F" w:rsidR="00A21016" w:rsidRDefault="00A21016" w:rsidP="00A21016">
      <w:pPr>
        <w:pStyle w:val="ListParagraph"/>
        <w:numPr>
          <w:ilvl w:val="0"/>
          <w:numId w:val="1"/>
        </w:numPr>
        <w:jc w:val="left"/>
      </w:pPr>
      <w:r>
        <w:t>Small site windfall allowance</w:t>
      </w:r>
      <w:r w:rsidR="004F3E03">
        <w:t xml:space="preserve"> beyond 3 years</w:t>
      </w:r>
    </w:p>
    <w:p w14:paraId="6583E641" w14:textId="48CFD068" w:rsidR="004F3E03" w:rsidRDefault="004F3E03" w:rsidP="004F3E03">
      <w:pPr>
        <w:ind w:left="720" w:hanging="720"/>
        <w:jc w:val="left"/>
      </w:pPr>
      <w:r>
        <w:t>9.1.2</w:t>
      </w:r>
      <w:r>
        <w:tab/>
        <w:t>A non-implementation rate is applied based on historic rates</w:t>
      </w:r>
      <w:r w:rsidR="00E8051C">
        <w:t xml:space="preserve"> (as set out in Background Paper 2: Housing [BP.02]</w:t>
      </w:r>
      <w:r>
        <w:t xml:space="preserve">, and any known demolitions or losses with planning approval are also </w:t>
      </w:r>
      <w:proofErr w:type="gramStart"/>
      <w:r>
        <w:t>taken into account</w:t>
      </w:r>
      <w:proofErr w:type="gramEnd"/>
      <w:r>
        <w:t>.</w:t>
      </w:r>
    </w:p>
    <w:p w14:paraId="6FC45D08" w14:textId="63C4A17D" w:rsidR="004365DA" w:rsidRDefault="004365DA" w:rsidP="004F3E03">
      <w:pPr>
        <w:ind w:left="720" w:hanging="720"/>
        <w:jc w:val="left"/>
      </w:pPr>
      <w:r>
        <w:t>9.1.3</w:t>
      </w:r>
      <w:r>
        <w:tab/>
      </w:r>
      <w:r w:rsidRPr="004D6DAA">
        <w:t xml:space="preserve">The housing trajectory </w:t>
      </w:r>
      <w:r w:rsidR="00E8051C" w:rsidRPr="004D6DAA">
        <w:t>in ADC.</w:t>
      </w:r>
      <w:r w:rsidR="00E8051C" w:rsidRPr="004D6DAA">
        <w:rPr>
          <w:strike/>
        </w:rPr>
        <w:t>04</w:t>
      </w:r>
      <w:r w:rsidR="00E8051C">
        <w:t xml:space="preserve"> </w:t>
      </w:r>
      <w:r w:rsidR="004D6DAA" w:rsidRPr="004D6DAA">
        <w:rPr>
          <w:color w:val="7030A0"/>
        </w:rPr>
        <w:t xml:space="preserve">20 </w:t>
      </w:r>
      <w:r>
        <w:t xml:space="preserve">is based on the most recent information available for each individual </w:t>
      </w:r>
      <w:r w:rsidR="00375F16">
        <w:t>site and</w:t>
      </w:r>
      <w:r w:rsidR="006274C2">
        <w:t xml:space="preserve"> breaks down supply from each individual source.</w:t>
      </w:r>
      <w:r>
        <w:t xml:space="preserve"> Lead in times and annual delivery are based on a series of assumptions where more </w:t>
      </w:r>
      <w:r w:rsidR="00375F16">
        <w:t>site-specific</w:t>
      </w:r>
      <w:r>
        <w:t xml:space="preserve"> details are not known (as set out in Background Paper 2: Housing [BP.02]). The Council have engaged with developers in respect of delivery and </w:t>
      </w:r>
      <w:r w:rsidR="00E8051C">
        <w:t xml:space="preserve">have </w:t>
      </w:r>
      <w:r>
        <w:t xml:space="preserve">also take account of recent </w:t>
      </w:r>
      <w:r w:rsidR="00E8051C">
        <w:t xml:space="preserve">on </w:t>
      </w:r>
      <w:r>
        <w:t xml:space="preserve">site </w:t>
      </w:r>
      <w:r w:rsidR="00E8051C">
        <w:t xml:space="preserve">and/or Development Management </w:t>
      </w:r>
      <w:r>
        <w:t>activity.</w:t>
      </w:r>
    </w:p>
    <w:p w14:paraId="5897105A" w14:textId="79D0F765" w:rsidR="00A07E74" w:rsidRPr="00132ACC" w:rsidRDefault="00A07E74" w:rsidP="00132ACC">
      <w:pPr>
        <w:pStyle w:val="ListParagraph"/>
        <w:numPr>
          <w:ilvl w:val="2"/>
          <w:numId w:val="31"/>
        </w:numPr>
        <w:jc w:val="left"/>
        <w:rPr>
          <w:color w:val="7030A0"/>
        </w:rPr>
      </w:pPr>
      <w:r w:rsidRPr="00132ACC">
        <w:rPr>
          <w:color w:val="7030A0"/>
        </w:rPr>
        <w:t xml:space="preserve">Assumptions are only used where no other evidence exists. The information in ADC.20 update draws on the most recent monitoring data (in latest Housing Land Monitoring Report – ADC.13). The timeframe for delivery has been reviewed </w:t>
      </w:r>
      <w:proofErr w:type="gramStart"/>
      <w:r w:rsidRPr="00132ACC">
        <w:rPr>
          <w:color w:val="7030A0"/>
        </w:rPr>
        <w:t>as a consequence of</w:t>
      </w:r>
      <w:proofErr w:type="gramEnd"/>
      <w:r w:rsidRPr="00132ACC">
        <w:rPr>
          <w:color w:val="7030A0"/>
        </w:rPr>
        <w:t xml:space="preserve"> having moved on a year, and </w:t>
      </w:r>
      <w:proofErr w:type="gramStart"/>
      <w:r w:rsidRPr="00132ACC">
        <w:rPr>
          <w:color w:val="7030A0"/>
        </w:rPr>
        <w:t>in light of</w:t>
      </w:r>
      <w:proofErr w:type="gramEnd"/>
      <w:r w:rsidRPr="00132ACC">
        <w:rPr>
          <w:color w:val="7030A0"/>
        </w:rPr>
        <w:t xml:space="preserve"> the best information available at the time plus any other known activity/ information from developers etc.</w:t>
      </w:r>
      <w:r w:rsidR="00132ACC" w:rsidRPr="00132ACC">
        <w:rPr>
          <w:color w:val="7030A0"/>
        </w:rPr>
        <w:t xml:space="preserve"> For instance,</w:t>
      </w:r>
      <w:r w:rsidRPr="00132ACC">
        <w:rPr>
          <w:color w:val="7030A0"/>
        </w:rPr>
        <w:t xml:space="preserve"> where a site is known to have commenced it will be brought forwards in the trajectory</w:t>
      </w:r>
      <w:r w:rsidR="00132ACC" w:rsidRPr="00132ACC">
        <w:rPr>
          <w:color w:val="7030A0"/>
        </w:rPr>
        <w:t xml:space="preserve">; </w:t>
      </w:r>
      <w:r w:rsidRPr="00132ACC">
        <w:rPr>
          <w:color w:val="7030A0"/>
        </w:rPr>
        <w:t>where a developer may be consistently delivering higher numbers of homes per year on a site, the remaining years will be updated to reflect their track performance</w:t>
      </w:r>
      <w:r w:rsidR="00132ACC" w:rsidRPr="00132ACC">
        <w:rPr>
          <w:color w:val="7030A0"/>
        </w:rPr>
        <w:t>;</w:t>
      </w:r>
      <w:r w:rsidRPr="00132ACC">
        <w:rPr>
          <w:color w:val="7030A0"/>
        </w:rPr>
        <w:t xml:space="preserve"> or where there has been little or no activity, expected delivery has been pushed back.</w:t>
      </w:r>
    </w:p>
    <w:p w14:paraId="26E8A599" w14:textId="11952191" w:rsidR="00391A7A" w:rsidRDefault="00391A7A" w:rsidP="004F3E03">
      <w:pPr>
        <w:ind w:left="720" w:hanging="720"/>
        <w:jc w:val="left"/>
      </w:pPr>
      <w:r>
        <w:t>9.1.4</w:t>
      </w:r>
      <w:r>
        <w:tab/>
        <w:t xml:space="preserve">The Council anticipates that additional delivery is likely on large windfall sites </w:t>
      </w:r>
      <w:r w:rsidR="00F634F6" w:rsidRPr="00F634F6">
        <w:rPr>
          <w:color w:val="7030A0"/>
        </w:rPr>
        <w:t xml:space="preserve">(10+ dwellings) </w:t>
      </w:r>
      <w:r>
        <w:t xml:space="preserve">within the Plan period, </w:t>
      </w:r>
      <w:r w:rsidR="007A48DC">
        <w:t>but</w:t>
      </w:r>
      <w:r>
        <w:t xml:space="preserve"> this is not relied upon </w:t>
      </w:r>
      <w:r w:rsidR="007A48DC">
        <w:t xml:space="preserve">and, as such, no allowance is made for this </w:t>
      </w:r>
      <w:r>
        <w:t>in the housing land supply calculations.</w:t>
      </w:r>
      <w:r w:rsidR="00E35C59">
        <w:t xml:space="preserve"> There is also potential for further development of new homes via the Council’s own building </w:t>
      </w:r>
      <w:r w:rsidR="00E35C59">
        <w:lastRenderedPageBreak/>
        <w:t xml:space="preserve">programme, </w:t>
      </w:r>
      <w:proofErr w:type="gramStart"/>
      <w:r w:rsidR="00E35C59">
        <w:t>and also</w:t>
      </w:r>
      <w:proofErr w:type="gramEnd"/>
      <w:r w:rsidR="00E35C59">
        <w:t xml:space="preserve"> under Policy H4 Rural Exceptions. More detail regarding these aspects is set out in answer to Question 9.4</w:t>
      </w:r>
      <w:r w:rsidR="00F759CC">
        <w:t>.</w:t>
      </w:r>
    </w:p>
    <w:p w14:paraId="1B567215" w14:textId="0DA93E59" w:rsidR="00F759CC" w:rsidRDefault="00F759CC" w:rsidP="004F3E03">
      <w:pPr>
        <w:ind w:left="720" w:hanging="720"/>
        <w:jc w:val="left"/>
      </w:pPr>
      <w:r>
        <w:t>9.1.5</w:t>
      </w:r>
      <w:r>
        <w:tab/>
      </w:r>
      <w:r w:rsidRPr="00A07E74">
        <w:rPr>
          <w:color w:val="7030A0"/>
        </w:rPr>
        <w:t>The 2025 trajectories illustrate progression with delivery, with a higher actual delivery for 2023/24 and 2024/5 than was originally assumed in the submitted LP – this goes some way to demonstrating that our assumptions are not only realistic, but generally conservative.</w:t>
      </w:r>
    </w:p>
    <w:p w14:paraId="6F8D1865" w14:textId="77777777" w:rsidR="000A07C6" w:rsidRPr="0075764D" w:rsidRDefault="000A07C6" w:rsidP="0075764D">
      <w:pPr>
        <w:pStyle w:val="ListParagraph"/>
        <w:jc w:val="left"/>
        <w:rPr>
          <w:color w:val="A02B93" w:themeColor="accent5"/>
        </w:rPr>
      </w:pPr>
    </w:p>
    <w:p w14:paraId="394D0FC5" w14:textId="25AD40EB" w:rsidR="000C09F3" w:rsidRDefault="000C09F3" w:rsidP="00132ACC">
      <w:pPr>
        <w:pStyle w:val="Heading4"/>
        <w:numPr>
          <w:ilvl w:val="1"/>
          <w:numId w:val="31"/>
        </w:numPr>
      </w:pPr>
      <w:r w:rsidRPr="007C6C7B">
        <w:t>What is the estimated supply from site allocations? What is the evidence to support</w:t>
      </w:r>
      <w:r w:rsidR="00375F16">
        <w:t xml:space="preserve"> </w:t>
      </w:r>
      <w:r w:rsidRPr="007C6C7B">
        <w:t>their deliverability? Are the estimates of dwelling completions and their timing</w:t>
      </w:r>
      <w:r w:rsidR="00375F16">
        <w:t xml:space="preserve"> </w:t>
      </w:r>
      <w:r w:rsidRPr="007C6C7B">
        <w:t>justified?</w:t>
      </w:r>
    </w:p>
    <w:p w14:paraId="2750709A" w14:textId="77777777" w:rsidR="00507A3E" w:rsidRDefault="00507A3E" w:rsidP="0078451E">
      <w:pPr>
        <w:jc w:val="left"/>
        <w:rPr>
          <w:u w:val="single"/>
        </w:rPr>
      </w:pPr>
    </w:p>
    <w:p w14:paraId="3FB3701B" w14:textId="1A38C83B" w:rsidR="0078451E" w:rsidRPr="00687008" w:rsidRDefault="0078451E" w:rsidP="0078451E">
      <w:pPr>
        <w:jc w:val="left"/>
      </w:pPr>
      <w:r w:rsidRPr="00687008">
        <w:t>Council’s response</w:t>
      </w:r>
      <w:r w:rsidR="00687008" w:rsidRPr="00687008">
        <w:t>:</w:t>
      </w:r>
    </w:p>
    <w:p w14:paraId="093AB9F7" w14:textId="0E0A6F02" w:rsidR="0078451E" w:rsidRPr="00F634F6" w:rsidRDefault="0078451E" w:rsidP="00132ACC">
      <w:pPr>
        <w:pStyle w:val="ListParagraph"/>
        <w:numPr>
          <w:ilvl w:val="2"/>
          <w:numId w:val="31"/>
        </w:numPr>
        <w:jc w:val="left"/>
        <w:rPr>
          <w:rFonts w:cs="Arial"/>
          <w:szCs w:val="24"/>
        </w:rPr>
      </w:pPr>
      <w:r w:rsidRPr="0078451E">
        <w:rPr>
          <w:rFonts w:cs="Arial"/>
          <w:szCs w:val="24"/>
        </w:rPr>
        <w:t>The estimated supply from site allocations (as updated</w:t>
      </w:r>
      <w:r w:rsidR="0063354B">
        <w:rPr>
          <w:rFonts w:cs="Arial"/>
          <w:szCs w:val="24"/>
        </w:rPr>
        <w:t xml:space="preserve"> </w:t>
      </w:r>
      <w:r w:rsidR="0063354B" w:rsidRPr="00F634F6">
        <w:rPr>
          <w:rFonts w:cs="Arial"/>
          <w:szCs w:val="24"/>
        </w:rPr>
        <w:t>in ADC.</w:t>
      </w:r>
      <w:r w:rsidR="0063354B" w:rsidRPr="00F634F6">
        <w:rPr>
          <w:rFonts w:cs="Arial"/>
          <w:strike/>
          <w:szCs w:val="24"/>
        </w:rPr>
        <w:t>04</w:t>
      </w:r>
      <w:r w:rsidR="00F634F6" w:rsidRPr="00F634F6">
        <w:rPr>
          <w:rFonts w:cs="Arial"/>
          <w:szCs w:val="24"/>
        </w:rPr>
        <w:t xml:space="preserve"> </w:t>
      </w:r>
      <w:r w:rsidR="00F634F6" w:rsidRPr="00F634F6">
        <w:rPr>
          <w:rFonts w:cs="Arial"/>
          <w:color w:val="7030A0"/>
          <w:szCs w:val="24"/>
        </w:rPr>
        <w:t>20</w:t>
      </w:r>
      <w:r w:rsidRPr="00F634F6">
        <w:rPr>
          <w:rFonts w:cs="Arial"/>
          <w:szCs w:val="24"/>
        </w:rPr>
        <w:t xml:space="preserve">) is </w:t>
      </w:r>
      <w:r w:rsidR="00097970" w:rsidRPr="00F634F6">
        <w:rPr>
          <w:rFonts w:cs="Arial"/>
          <w:strike/>
          <w:szCs w:val="24"/>
        </w:rPr>
        <w:t>5,454</w:t>
      </w:r>
      <w:r w:rsidR="00097970" w:rsidRPr="00F634F6">
        <w:rPr>
          <w:rFonts w:cs="Arial"/>
          <w:szCs w:val="24"/>
        </w:rPr>
        <w:t xml:space="preserve"> </w:t>
      </w:r>
      <w:r w:rsidR="00F634F6">
        <w:rPr>
          <w:rFonts w:cs="Arial"/>
          <w:color w:val="7030A0"/>
          <w:szCs w:val="24"/>
        </w:rPr>
        <w:t xml:space="preserve">5,966 </w:t>
      </w:r>
      <w:r w:rsidR="00097970" w:rsidRPr="00F634F6">
        <w:rPr>
          <w:rFonts w:cs="Arial"/>
          <w:szCs w:val="24"/>
        </w:rPr>
        <w:t>dwellings</w:t>
      </w:r>
      <w:r w:rsidRPr="00F634F6">
        <w:rPr>
          <w:rFonts w:cs="Arial"/>
          <w:szCs w:val="24"/>
        </w:rPr>
        <w:t>. This is made up of:</w:t>
      </w:r>
    </w:p>
    <w:p w14:paraId="708F0130" w14:textId="77777777" w:rsidR="0078451E" w:rsidRPr="0078451E" w:rsidRDefault="0078451E" w:rsidP="00355C36">
      <w:pPr>
        <w:pStyle w:val="ListParagraph"/>
        <w:jc w:val="left"/>
        <w:rPr>
          <w:rFonts w:cs="Arial"/>
          <w:szCs w:val="24"/>
        </w:rPr>
      </w:pPr>
    </w:p>
    <w:p w14:paraId="240E6F9F" w14:textId="0A46F163" w:rsidR="0078451E" w:rsidRPr="0046715B" w:rsidRDefault="00097970" w:rsidP="00355C36">
      <w:pPr>
        <w:pStyle w:val="ListParagraph"/>
        <w:numPr>
          <w:ilvl w:val="0"/>
          <w:numId w:val="5"/>
        </w:numPr>
        <w:jc w:val="left"/>
        <w:rPr>
          <w:rFonts w:cs="Arial"/>
          <w:szCs w:val="24"/>
        </w:rPr>
      </w:pPr>
      <w:r w:rsidRPr="0046715B">
        <w:rPr>
          <w:rFonts w:cs="Arial"/>
          <w:strike/>
          <w:szCs w:val="24"/>
        </w:rPr>
        <w:t>1,931</w:t>
      </w:r>
      <w:r w:rsidRPr="0046715B">
        <w:rPr>
          <w:rFonts w:cs="Arial"/>
          <w:szCs w:val="24"/>
        </w:rPr>
        <w:t xml:space="preserve"> </w:t>
      </w:r>
      <w:r w:rsidR="0046715B" w:rsidRPr="0046715B">
        <w:rPr>
          <w:rFonts w:cs="Arial"/>
          <w:color w:val="7030A0"/>
          <w:szCs w:val="24"/>
        </w:rPr>
        <w:t>2</w:t>
      </w:r>
      <w:r w:rsidR="0046715B">
        <w:rPr>
          <w:rFonts w:cs="Arial"/>
          <w:color w:val="7030A0"/>
          <w:szCs w:val="24"/>
        </w:rPr>
        <w:t>,</w:t>
      </w:r>
      <w:r w:rsidR="0046715B" w:rsidRPr="0046715B">
        <w:rPr>
          <w:rFonts w:cs="Arial"/>
          <w:color w:val="7030A0"/>
          <w:szCs w:val="24"/>
        </w:rPr>
        <w:t>256</w:t>
      </w:r>
      <w:r w:rsidR="00F634F6" w:rsidRPr="0046715B">
        <w:rPr>
          <w:rFonts w:cs="Arial"/>
          <w:szCs w:val="24"/>
        </w:rPr>
        <w:t xml:space="preserve"> </w:t>
      </w:r>
      <w:r w:rsidRPr="0046715B">
        <w:rPr>
          <w:rFonts w:cs="Arial"/>
          <w:szCs w:val="24"/>
        </w:rPr>
        <w:t xml:space="preserve">dwellings on </w:t>
      </w:r>
      <w:r w:rsidR="0078451E" w:rsidRPr="0046715B">
        <w:rPr>
          <w:rFonts w:cs="Arial"/>
          <w:szCs w:val="24"/>
        </w:rPr>
        <w:t>permitted sites,</w:t>
      </w:r>
    </w:p>
    <w:p w14:paraId="40A74563" w14:textId="4284BB44" w:rsidR="0078451E" w:rsidRPr="0046715B" w:rsidRDefault="00193D3C" w:rsidP="00355C36">
      <w:pPr>
        <w:pStyle w:val="ListParagraph"/>
        <w:numPr>
          <w:ilvl w:val="0"/>
          <w:numId w:val="5"/>
        </w:numPr>
        <w:jc w:val="left"/>
        <w:rPr>
          <w:rFonts w:cs="Arial"/>
          <w:szCs w:val="24"/>
        </w:rPr>
      </w:pPr>
      <w:r w:rsidRPr="0046715B">
        <w:rPr>
          <w:rFonts w:cs="Arial"/>
          <w:strike/>
          <w:szCs w:val="24"/>
        </w:rPr>
        <w:t>226</w:t>
      </w:r>
      <w:r w:rsidRPr="0046715B">
        <w:rPr>
          <w:rFonts w:cs="Arial"/>
          <w:szCs w:val="24"/>
        </w:rPr>
        <w:t xml:space="preserve"> </w:t>
      </w:r>
      <w:r w:rsidR="0046715B" w:rsidRPr="0046715B">
        <w:rPr>
          <w:rFonts w:cs="Arial"/>
          <w:color w:val="7030A0"/>
          <w:szCs w:val="24"/>
        </w:rPr>
        <w:t xml:space="preserve">816 </w:t>
      </w:r>
      <w:r w:rsidRPr="0046715B">
        <w:rPr>
          <w:rFonts w:cs="Arial"/>
          <w:szCs w:val="24"/>
        </w:rPr>
        <w:t xml:space="preserve">dwellings </w:t>
      </w:r>
      <w:r w:rsidR="0078451E" w:rsidRPr="0046715B">
        <w:rPr>
          <w:rFonts w:cs="Arial"/>
          <w:szCs w:val="24"/>
        </w:rPr>
        <w:t>which benefit from a resolution to grant planning permission subject to the signing of a s106 agreement, and</w:t>
      </w:r>
    </w:p>
    <w:p w14:paraId="73245035" w14:textId="4AA5E19E" w:rsidR="0078451E" w:rsidRPr="0046715B" w:rsidRDefault="00193D3C" w:rsidP="00355C36">
      <w:pPr>
        <w:pStyle w:val="ListParagraph"/>
        <w:numPr>
          <w:ilvl w:val="0"/>
          <w:numId w:val="5"/>
        </w:numPr>
        <w:jc w:val="left"/>
        <w:rPr>
          <w:rFonts w:cs="Arial"/>
          <w:strike/>
          <w:szCs w:val="24"/>
        </w:rPr>
      </w:pPr>
      <w:proofErr w:type="gramStart"/>
      <w:r w:rsidRPr="0046715B">
        <w:rPr>
          <w:rFonts w:cs="Arial"/>
          <w:strike/>
          <w:szCs w:val="24"/>
        </w:rPr>
        <w:t>3,256</w:t>
      </w:r>
      <w:r w:rsidRPr="0046715B">
        <w:rPr>
          <w:rFonts w:cs="Arial"/>
          <w:szCs w:val="24"/>
        </w:rPr>
        <w:t xml:space="preserve"> </w:t>
      </w:r>
      <w:r w:rsidR="0046715B">
        <w:rPr>
          <w:rFonts w:cs="Arial"/>
          <w:color w:val="7030A0"/>
          <w:szCs w:val="24"/>
        </w:rPr>
        <w:t xml:space="preserve"> 2,894</w:t>
      </w:r>
      <w:proofErr w:type="gramEnd"/>
      <w:r w:rsidR="0046715B">
        <w:rPr>
          <w:rFonts w:cs="Arial"/>
          <w:color w:val="7030A0"/>
          <w:szCs w:val="24"/>
        </w:rPr>
        <w:t xml:space="preserve"> </w:t>
      </w:r>
      <w:r w:rsidRPr="0046715B">
        <w:rPr>
          <w:rFonts w:cs="Arial"/>
          <w:szCs w:val="24"/>
        </w:rPr>
        <w:t xml:space="preserve">dwellings on </w:t>
      </w:r>
      <w:r w:rsidR="0078451E" w:rsidRPr="0046715B">
        <w:rPr>
          <w:rFonts w:cs="Arial"/>
          <w:szCs w:val="24"/>
        </w:rPr>
        <w:t>non-permitted sites</w:t>
      </w:r>
      <w:r w:rsidR="00E72B9D">
        <w:rPr>
          <w:rFonts w:cs="Arial"/>
          <w:szCs w:val="24"/>
        </w:rPr>
        <w:t xml:space="preserve">. </w:t>
      </w:r>
      <w:r w:rsidR="00E72B9D" w:rsidRPr="00E72B9D">
        <w:rPr>
          <w:rFonts w:cs="Arial"/>
          <w:color w:val="7030A0"/>
          <w:szCs w:val="24"/>
        </w:rPr>
        <w:t>(Please note this figure excludes the 816 dwellings counted above)</w:t>
      </w:r>
      <w:r w:rsidRPr="00E72B9D">
        <w:rPr>
          <w:rFonts w:cs="Arial"/>
          <w:color w:val="7030A0"/>
          <w:szCs w:val="24"/>
        </w:rPr>
        <w:t xml:space="preserve"> </w:t>
      </w:r>
      <w:r w:rsidRPr="0046715B">
        <w:rPr>
          <w:rFonts w:cs="Arial"/>
          <w:strike/>
          <w:szCs w:val="24"/>
        </w:rPr>
        <w:t xml:space="preserve">(NB this includes </w:t>
      </w:r>
      <w:r w:rsidR="00355C36" w:rsidRPr="0046715B">
        <w:rPr>
          <w:rFonts w:cs="Arial"/>
          <w:strike/>
          <w:szCs w:val="24"/>
        </w:rPr>
        <w:t xml:space="preserve">one site for </w:t>
      </w:r>
      <w:r w:rsidRPr="0046715B">
        <w:rPr>
          <w:rFonts w:cs="Arial"/>
          <w:strike/>
          <w:szCs w:val="24"/>
        </w:rPr>
        <w:t>40 dwellings which ha</w:t>
      </w:r>
      <w:r w:rsidR="00355C36" w:rsidRPr="0046715B">
        <w:rPr>
          <w:rFonts w:cs="Arial"/>
          <w:strike/>
          <w:szCs w:val="24"/>
        </w:rPr>
        <w:t>s now</w:t>
      </w:r>
      <w:r w:rsidRPr="0046715B">
        <w:rPr>
          <w:rFonts w:cs="Arial"/>
          <w:strike/>
          <w:szCs w:val="24"/>
        </w:rPr>
        <w:t xml:space="preserve"> secured full planning permission since </w:t>
      </w:r>
      <w:r w:rsidR="00355C36" w:rsidRPr="0046715B">
        <w:rPr>
          <w:rFonts w:cs="Arial"/>
          <w:strike/>
          <w:szCs w:val="24"/>
        </w:rPr>
        <w:t>October 2024)</w:t>
      </w:r>
    </w:p>
    <w:p w14:paraId="20817079" w14:textId="77777777" w:rsidR="00D05BCE" w:rsidRDefault="00D05BCE" w:rsidP="00355C36">
      <w:pPr>
        <w:pStyle w:val="ListParagraph"/>
        <w:ind w:left="1440"/>
        <w:jc w:val="left"/>
        <w:rPr>
          <w:rFonts w:cs="Arial"/>
          <w:szCs w:val="24"/>
        </w:rPr>
      </w:pPr>
    </w:p>
    <w:p w14:paraId="41C88508" w14:textId="0CD80A27" w:rsidR="00355C36" w:rsidRPr="00507A3E" w:rsidRDefault="00355C36" w:rsidP="00132ACC">
      <w:pPr>
        <w:pStyle w:val="ListParagraph"/>
        <w:numPr>
          <w:ilvl w:val="2"/>
          <w:numId w:val="31"/>
        </w:numPr>
        <w:jc w:val="left"/>
        <w:rPr>
          <w:rFonts w:cs="Arial"/>
          <w:szCs w:val="24"/>
        </w:rPr>
      </w:pPr>
      <w:r>
        <w:rPr>
          <w:rFonts w:cs="Arial"/>
          <w:szCs w:val="24"/>
        </w:rPr>
        <w:t xml:space="preserve">In addition to the allocated large sites, a further </w:t>
      </w:r>
      <w:r w:rsidRPr="00E72B9D">
        <w:rPr>
          <w:rFonts w:cs="Arial"/>
          <w:strike/>
          <w:szCs w:val="24"/>
        </w:rPr>
        <w:t>3</w:t>
      </w:r>
      <w:r w:rsidR="00095A71" w:rsidRPr="00E72B9D">
        <w:rPr>
          <w:rFonts w:cs="Arial"/>
          <w:strike/>
          <w:szCs w:val="24"/>
        </w:rPr>
        <w:t>5</w:t>
      </w:r>
      <w:r w:rsidRPr="00E72B9D">
        <w:rPr>
          <w:rFonts w:cs="Arial"/>
          <w:strike/>
          <w:szCs w:val="24"/>
        </w:rPr>
        <w:t>3</w:t>
      </w:r>
      <w:r w:rsidR="00E72B9D">
        <w:rPr>
          <w:rFonts w:cs="Arial"/>
          <w:szCs w:val="24"/>
        </w:rPr>
        <w:t xml:space="preserve"> </w:t>
      </w:r>
      <w:r w:rsidR="00E72B9D" w:rsidRPr="00E72B9D">
        <w:rPr>
          <w:rFonts w:cs="Arial"/>
          <w:color w:val="7030A0"/>
          <w:szCs w:val="24"/>
        </w:rPr>
        <w:t>342</w:t>
      </w:r>
      <w:r>
        <w:rPr>
          <w:rFonts w:cs="Arial"/>
          <w:szCs w:val="24"/>
        </w:rPr>
        <w:t xml:space="preserve"> dwellings have permission on small sites which</w:t>
      </w:r>
      <w:r w:rsidR="00095A71">
        <w:rPr>
          <w:rFonts w:cs="Arial"/>
          <w:szCs w:val="24"/>
        </w:rPr>
        <w:t xml:space="preserve"> fall below the threshold for allocation</w:t>
      </w:r>
      <w:r w:rsidR="00E72B9D">
        <w:rPr>
          <w:rFonts w:cs="Arial"/>
          <w:szCs w:val="24"/>
        </w:rPr>
        <w:t xml:space="preserve"> </w:t>
      </w:r>
      <w:r w:rsidR="00E72B9D" w:rsidRPr="00E72B9D">
        <w:rPr>
          <w:rFonts w:cs="Arial"/>
          <w:color w:val="7030A0"/>
          <w:szCs w:val="24"/>
        </w:rPr>
        <w:t>(i.e. 9 or less dwellings)</w:t>
      </w:r>
      <w:r w:rsidR="00095A71" w:rsidRPr="00E72B9D">
        <w:rPr>
          <w:rFonts w:cs="Arial"/>
          <w:color w:val="7030A0"/>
          <w:szCs w:val="24"/>
        </w:rPr>
        <w:t>.</w:t>
      </w:r>
      <w:r w:rsidRPr="00E72B9D">
        <w:rPr>
          <w:rFonts w:cs="Arial"/>
          <w:color w:val="7030A0"/>
          <w:szCs w:val="24"/>
        </w:rPr>
        <w:t xml:space="preserve"> </w:t>
      </w:r>
    </w:p>
    <w:p w14:paraId="7D4022AF" w14:textId="77777777" w:rsidR="00507A3E" w:rsidRPr="00507A3E" w:rsidRDefault="00507A3E" w:rsidP="00507A3E">
      <w:pPr>
        <w:pStyle w:val="ListParagraph"/>
        <w:jc w:val="left"/>
        <w:rPr>
          <w:rFonts w:cs="Arial"/>
          <w:szCs w:val="24"/>
        </w:rPr>
      </w:pPr>
    </w:p>
    <w:p w14:paraId="3B273464" w14:textId="4E797C94" w:rsidR="00507A3E" w:rsidRPr="00507A3E" w:rsidRDefault="00507A3E" w:rsidP="00507A3E">
      <w:pPr>
        <w:pStyle w:val="ListParagraph"/>
        <w:numPr>
          <w:ilvl w:val="2"/>
          <w:numId w:val="31"/>
        </w:numPr>
        <w:jc w:val="left"/>
        <w:rPr>
          <w:rFonts w:cs="Arial"/>
          <w:szCs w:val="24"/>
        </w:rPr>
      </w:pPr>
      <w:bookmarkStart w:id="2" w:name="_Hlk215136004"/>
      <w:proofErr w:type="gramStart"/>
      <w:r w:rsidRPr="00507A3E">
        <w:rPr>
          <w:color w:val="7030A0"/>
        </w:rPr>
        <w:t>All of</w:t>
      </w:r>
      <w:proofErr w:type="gramEnd"/>
      <w:r w:rsidRPr="00507A3E">
        <w:rPr>
          <w:color w:val="7030A0"/>
        </w:rPr>
        <w:t xml:space="preserve"> the non-permitted site allocations have been determined to be ‘developable’ as defined in the NPPF. They have been assessed via the SHELAA in respect of the 3 requisites ‘available’, ‘suitable’ and ‘achievable’</w:t>
      </w:r>
      <w:r>
        <w:rPr>
          <w:color w:val="0070C0"/>
        </w:rPr>
        <w:t>.</w:t>
      </w:r>
    </w:p>
    <w:bookmarkEnd w:id="2"/>
    <w:p w14:paraId="6FDB637F" w14:textId="77777777" w:rsidR="00355C36" w:rsidRDefault="00355C36" w:rsidP="00355C36">
      <w:pPr>
        <w:pStyle w:val="ListParagraph"/>
        <w:jc w:val="left"/>
        <w:rPr>
          <w:rFonts w:cs="Arial"/>
          <w:szCs w:val="24"/>
        </w:rPr>
      </w:pPr>
    </w:p>
    <w:p w14:paraId="6D1EF64B" w14:textId="0C16D086" w:rsidR="00D10E40" w:rsidRDefault="006274C2" w:rsidP="00132ACC">
      <w:pPr>
        <w:pStyle w:val="ListParagraph"/>
        <w:numPr>
          <w:ilvl w:val="2"/>
          <w:numId w:val="31"/>
        </w:numPr>
        <w:jc w:val="left"/>
        <w:rPr>
          <w:rFonts w:cs="Arial"/>
          <w:szCs w:val="24"/>
        </w:rPr>
      </w:pPr>
      <w:r w:rsidRPr="00095A71">
        <w:rPr>
          <w:rFonts w:cs="Arial"/>
          <w:szCs w:val="24"/>
        </w:rPr>
        <w:t>Many of the permitted sites are under construction</w:t>
      </w:r>
      <w:r w:rsidR="00095A71" w:rsidRPr="00095A71">
        <w:rPr>
          <w:rFonts w:cs="Arial"/>
          <w:szCs w:val="24"/>
        </w:rPr>
        <w:t xml:space="preserve"> and it has been assumed that these sites will continue to deliver at approximately the same rate, unless </w:t>
      </w:r>
      <w:r w:rsidR="00E72B9D">
        <w:rPr>
          <w:rFonts w:cs="Arial"/>
          <w:szCs w:val="24"/>
        </w:rPr>
        <w:t>evidence</w:t>
      </w:r>
      <w:r w:rsidR="00095A71" w:rsidRPr="00095A71">
        <w:rPr>
          <w:rFonts w:cs="Arial"/>
          <w:szCs w:val="24"/>
        </w:rPr>
        <w:t xml:space="preserve"> suggests otherwise.</w:t>
      </w:r>
      <w:r w:rsidR="00095A71">
        <w:rPr>
          <w:rFonts w:cs="Arial"/>
          <w:szCs w:val="24"/>
        </w:rPr>
        <w:t xml:space="preserve"> As already mentioned in answer to Qu. 9.1, the Council does engage with developers of specific sites where possible to gain an understanding of progress and delivery.</w:t>
      </w:r>
    </w:p>
    <w:p w14:paraId="57DB8245" w14:textId="77777777" w:rsidR="00D10E40" w:rsidRPr="00D10E40" w:rsidRDefault="00D10E40" w:rsidP="00D10E40">
      <w:pPr>
        <w:pStyle w:val="ListParagraph"/>
        <w:rPr>
          <w:rFonts w:cs="Arial"/>
          <w:szCs w:val="24"/>
        </w:rPr>
      </w:pPr>
    </w:p>
    <w:p w14:paraId="5D9C4D55" w14:textId="59645049" w:rsidR="00BA1B5F" w:rsidRPr="003B7C40" w:rsidRDefault="00D05BCE" w:rsidP="00132ACC">
      <w:pPr>
        <w:pStyle w:val="ListParagraph"/>
        <w:numPr>
          <w:ilvl w:val="2"/>
          <w:numId w:val="31"/>
        </w:numPr>
        <w:jc w:val="left"/>
        <w:rPr>
          <w:rFonts w:cs="Arial"/>
          <w:szCs w:val="24"/>
        </w:rPr>
      </w:pPr>
      <w:r w:rsidRPr="00D10E40">
        <w:rPr>
          <w:rFonts w:cs="Arial"/>
          <w:szCs w:val="24"/>
        </w:rPr>
        <w:t xml:space="preserve">The Council is confident that </w:t>
      </w:r>
      <w:r w:rsidR="00D10E40" w:rsidRPr="00D10E40">
        <w:rPr>
          <w:rFonts w:cs="Arial"/>
          <w:szCs w:val="24"/>
        </w:rPr>
        <w:t>potential annual delivery rates</w:t>
      </w:r>
      <w:r w:rsidRPr="00D10E40">
        <w:rPr>
          <w:rFonts w:cs="Arial"/>
          <w:szCs w:val="24"/>
        </w:rPr>
        <w:t xml:space="preserve"> for each individual site are realistic and are based on </w:t>
      </w:r>
      <w:r w:rsidR="00D10E40" w:rsidRPr="00D10E40">
        <w:rPr>
          <w:rFonts w:cs="Arial"/>
          <w:szCs w:val="24"/>
        </w:rPr>
        <w:t>known activity or standard assumptions which are locally derived (as set out in BP.02)</w:t>
      </w:r>
      <w:r w:rsidR="00BE6094" w:rsidRPr="00D10E40">
        <w:rPr>
          <w:rFonts w:cs="Arial"/>
          <w:szCs w:val="24"/>
        </w:rPr>
        <w:t xml:space="preserve">. </w:t>
      </w:r>
      <w:r w:rsidR="00BA1B5F" w:rsidRPr="00B41672">
        <w:rPr>
          <w:strike/>
        </w:rPr>
        <w:t>Chart A</w:t>
      </w:r>
      <w:r w:rsidR="00D10E40" w:rsidRPr="00B41672">
        <w:t xml:space="preserve"> </w:t>
      </w:r>
      <w:r w:rsidR="00B41672" w:rsidRPr="00B41672">
        <w:rPr>
          <w:color w:val="7030A0"/>
        </w:rPr>
        <w:t xml:space="preserve">The </w:t>
      </w:r>
      <w:proofErr w:type="gramStart"/>
      <w:r w:rsidR="00B41672" w:rsidRPr="00B41672">
        <w:rPr>
          <w:color w:val="7030A0"/>
        </w:rPr>
        <w:t>latest</w:t>
      </w:r>
      <w:proofErr w:type="gramEnd"/>
      <w:r w:rsidR="00B41672" w:rsidRPr="00B41672">
        <w:rPr>
          <w:color w:val="7030A0"/>
        </w:rPr>
        <w:t xml:space="preserve"> Trajectory Chart (ADC.20, page 11) </w:t>
      </w:r>
      <w:r w:rsidR="00D10E40" w:rsidRPr="00B41672">
        <w:rPr>
          <w:strike/>
        </w:rPr>
        <w:t>in paper ADC.04</w:t>
      </w:r>
      <w:r w:rsidR="00BA1B5F" w:rsidRPr="00B41672">
        <w:t xml:space="preserve"> illustrates potential delivery from varying sources and draws from </w:t>
      </w:r>
      <w:r w:rsidR="00B41672" w:rsidRPr="00B41672">
        <w:t xml:space="preserve">the Trajectory </w:t>
      </w:r>
      <w:r w:rsidR="00BA1B5F" w:rsidRPr="00B41672">
        <w:t>Table</w:t>
      </w:r>
      <w:r w:rsidR="00B41672" w:rsidRPr="00B41672">
        <w:t xml:space="preserve"> </w:t>
      </w:r>
      <w:r w:rsidR="00B41672" w:rsidRPr="00B41672">
        <w:rPr>
          <w:color w:val="7030A0"/>
        </w:rPr>
        <w:t>(ADC.20, page 10)</w:t>
      </w:r>
      <w:r w:rsidR="00BA1B5F" w:rsidRPr="00B41672">
        <w:rPr>
          <w:color w:val="7030A0"/>
        </w:rPr>
        <w:t xml:space="preserve">. </w:t>
      </w:r>
      <w:r w:rsidR="00BA1B5F" w:rsidRPr="00B41672">
        <w:t>The data used for year</w:t>
      </w:r>
      <w:r w:rsidR="00B41672">
        <w:t>s</w:t>
      </w:r>
      <w:r w:rsidR="00BA1B5F" w:rsidRPr="00B41672">
        <w:t xml:space="preserve"> 2023/24</w:t>
      </w:r>
      <w:r w:rsidR="00B41672">
        <w:t xml:space="preserve"> </w:t>
      </w:r>
      <w:r w:rsidR="00B41672" w:rsidRPr="005075E1">
        <w:rPr>
          <w:color w:val="7030A0"/>
        </w:rPr>
        <w:t>and 2024/25</w:t>
      </w:r>
      <w:r w:rsidR="00BA1B5F" w:rsidRPr="005075E1">
        <w:rPr>
          <w:color w:val="7030A0"/>
        </w:rPr>
        <w:t xml:space="preserve"> </w:t>
      </w:r>
      <w:r w:rsidR="00BA1B5F" w:rsidRPr="000575AD">
        <w:t xml:space="preserve">reflect actual delivery </w:t>
      </w:r>
      <w:r w:rsidR="00BA1B5F" w:rsidRPr="005075E1">
        <w:rPr>
          <w:strike/>
        </w:rPr>
        <w:t>for that year</w:t>
      </w:r>
      <w:r w:rsidR="00BA1B5F" w:rsidRPr="003B7C40">
        <w:t xml:space="preserve">. Whilst the chart identifies some </w:t>
      </w:r>
      <w:proofErr w:type="gramStart"/>
      <w:r w:rsidR="00BA1B5F" w:rsidRPr="003B7C40">
        <w:t>fairly significant</w:t>
      </w:r>
      <w:proofErr w:type="gramEnd"/>
      <w:r w:rsidR="00BA1B5F" w:rsidRPr="003B7C40">
        <w:t xml:space="preserve"> peaks </w:t>
      </w:r>
      <w:r w:rsidR="00BA1B5F" w:rsidRPr="003B7C40">
        <w:rPr>
          <w:strike/>
        </w:rPr>
        <w:t>at year 2026/27 and again at year 2030/31</w:t>
      </w:r>
      <w:r w:rsidR="00BA1B5F" w:rsidRPr="003B7C40">
        <w:t xml:space="preserve">, in real terms this is unlikely to be the case. It is clearly difficult to predict with certainty when </w:t>
      </w:r>
      <w:r w:rsidR="00BA1B5F" w:rsidRPr="003B7C40">
        <w:lastRenderedPageBreak/>
        <w:t xml:space="preserve">development might come </w:t>
      </w:r>
      <w:proofErr w:type="gramStart"/>
      <w:r w:rsidR="00BA1B5F" w:rsidRPr="003B7C40">
        <w:t>forward</w:t>
      </w:r>
      <w:proofErr w:type="gramEnd"/>
      <w:r w:rsidR="00BA1B5F" w:rsidRPr="003B7C40">
        <w:t xml:space="preserve"> and the Council relies on </w:t>
      </w:r>
      <w:proofErr w:type="gramStart"/>
      <w:r w:rsidR="00BA1B5F" w:rsidRPr="003B7C40">
        <w:t>a number of</w:t>
      </w:r>
      <w:proofErr w:type="gramEnd"/>
      <w:r w:rsidR="00BA1B5F" w:rsidRPr="003B7C40">
        <w:t xml:space="preserve"> aspects to make an informed decision. This includes (but is not limited to):</w:t>
      </w:r>
    </w:p>
    <w:p w14:paraId="1BCFC366" w14:textId="77777777" w:rsidR="00BA1B5F" w:rsidRPr="000575AD" w:rsidRDefault="00BA1B5F" w:rsidP="00BA1B5F">
      <w:pPr>
        <w:numPr>
          <w:ilvl w:val="0"/>
          <w:numId w:val="7"/>
        </w:numPr>
        <w:spacing w:line="276" w:lineRule="auto"/>
        <w:contextualSpacing/>
        <w:jc w:val="left"/>
      </w:pPr>
      <w:r w:rsidRPr="000575AD">
        <w:t xml:space="preserve">current planning </w:t>
      </w:r>
      <w:proofErr w:type="gramStart"/>
      <w:r w:rsidRPr="000575AD">
        <w:t>status;</w:t>
      </w:r>
      <w:proofErr w:type="gramEnd"/>
    </w:p>
    <w:p w14:paraId="0C87EE49" w14:textId="77777777" w:rsidR="00BA1B5F" w:rsidRPr="000575AD" w:rsidRDefault="00BA1B5F" w:rsidP="00BA1B5F">
      <w:pPr>
        <w:numPr>
          <w:ilvl w:val="0"/>
          <w:numId w:val="7"/>
        </w:numPr>
        <w:spacing w:line="276" w:lineRule="auto"/>
        <w:contextualSpacing/>
        <w:jc w:val="left"/>
      </w:pPr>
      <w:r w:rsidRPr="000575AD">
        <w:t xml:space="preserve">commencement on </w:t>
      </w:r>
      <w:proofErr w:type="gramStart"/>
      <w:r w:rsidRPr="000575AD">
        <w:t>site;</w:t>
      </w:r>
      <w:proofErr w:type="gramEnd"/>
    </w:p>
    <w:p w14:paraId="55CD0BE8" w14:textId="77777777" w:rsidR="00BA1B5F" w:rsidRPr="000575AD" w:rsidRDefault="00BA1B5F" w:rsidP="00BA1B5F">
      <w:pPr>
        <w:numPr>
          <w:ilvl w:val="0"/>
          <w:numId w:val="7"/>
        </w:numPr>
        <w:spacing w:line="276" w:lineRule="auto"/>
        <w:contextualSpacing/>
        <w:jc w:val="left"/>
      </w:pPr>
      <w:r w:rsidRPr="000575AD">
        <w:t xml:space="preserve">firm progress being made towards the submission of an application, e.g. correspondence with developers to set out their delivery intentions including anticipated start and build out </w:t>
      </w:r>
      <w:proofErr w:type="gramStart"/>
      <w:r w:rsidRPr="000575AD">
        <w:t>rates;</w:t>
      </w:r>
      <w:proofErr w:type="gramEnd"/>
    </w:p>
    <w:p w14:paraId="364EB59F" w14:textId="77777777" w:rsidR="00BA1B5F" w:rsidRPr="000575AD" w:rsidRDefault="00BA1B5F" w:rsidP="00BA1B5F">
      <w:pPr>
        <w:numPr>
          <w:ilvl w:val="0"/>
          <w:numId w:val="7"/>
        </w:numPr>
        <w:spacing w:line="276" w:lineRule="auto"/>
        <w:contextualSpacing/>
        <w:jc w:val="left"/>
      </w:pPr>
      <w:r w:rsidRPr="000575AD">
        <w:t xml:space="preserve">firm progress with site assessment </w:t>
      </w:r>
      <w:proofErr w:type="gramStart"/>
      <w:r w:rsidRPr="000575AD">
        <w:t>work;</w:t>
      </w:r>
      <w:proofErr w:type="gramEnd"/>
    </w:p>
    <w:p w14:paraId="34A00F76" w14:textId="46ABD98D" w:rsidR="00BA1B5F" w:rsidRPr="003B7C40" w:rsidRDefault="00BA1B5F" w:rsidP="00DE578E">
      <w:pPr>
        <w:numPr>
          <w:ilvl w:val="0"/>
          <w:numId w:val="7"/>
        </w:numPr>
        <w:spacing w:line="276" w:lineRule="auto"/>
        <w:contextualSpacing/>
        <w:jc w:val="left"/>
      </w:pPr>
      <w:r w:rsidRPr="000575AD">
        <w:t xml:space="preserve">information derived from the Strategic Housing and Economic Land Availability </w:t>
      </w:r>
      <w:r w:rsidRPr="003B7C40">
        <w:t xml:space="preserve">Assessment (SHELAA), </w:t>
      </w:r>
      <w:r w:rsidR="00E47720" w:rsidRPr="003B7C40">
        <w:t>e.g.</w:t>
      </w:r>
      <w:r w:rsidRPr="003B7C40">
        <w:t>, in respect of site constraints.</w:t>
      </w:r>
    </w:p>
    <w:p w14:paraId="12AFAE79" w14:textId="1C49A4B0" w:rsidR="00D10E40" w:rsidRPr="003B7C40" w:rsidRDefault="00BA1B5F" w:rsidP="00132ACC">
      <w:pPr>
        <w:pStyle w:val="ListParagraph"/>
        <w:numPr>
          <w:ilvl w:val="2"/>
          <w:numId w:val="31"/>
        </w:numPr>
        <w:jc w:val="left"/>
      </w:pPr>
      <w:r w:rsidRPr="003B7C40">
        <w:t xml:space="preserve">Where sites have not been commenced, and in the absence of </w:t>
      </w:r>
      <w:r w:rsidR="00507A3E" w:rsidRPr="003B7C40">
        <w:t>site-specific</w:t>
      </w:r>
      <w:r w:rsidRPr="003B7C40">
        <w:t xml:space="preserve"> information from developers/agents, the Council takes an approach to delivery based on the NPPF definition of ‘deliverable’ alongside a standard set of </w:t>
      </w:r>
      <w:r w:rsidR="00D10E40" w:rsidRPr="003B7C40">
        <w:t xml:space="preserve">locally derived </w:t>
      </w:r>
      <w:r w:rsidRPr="003B7C40">
        <w:t xml:space="preserve">delivery assumptions (included in BP02: Housing). This will naturally result in ‘peaks’ where commencement is possible and equally likely for many sites. For instance, </w:t>
      </w:r>
      <w:r w:rsidR="000976E1">
        <w:t xml:space="preserve">not all developable </w:t>
      </w:r>
      <w:r w:rsidRPr="003B7C40">
        <w:t xml:space="preserve">sites </w:t>
      </w:r>
      <w:r w:rsidR="000976E1">
        <w:t>will meet</w:t>
      </w:r>
      <w:r w:rsidRPr="003B7C40">
        <w:t xml:space="preserve"> the definition of ‘deliverable’ and cannot therefore be included within the first 5 years, </w:t>
      </w:r>
      <w:r w:rsidR="003B7C40" w:rsidRPr="003B7C40">
        <w:t>however,</w:t>
      </w:r>
      <w:r w:rsidRPr="003B7C40">
        <w:t xml:space="preserve"> there may not be any reason why they cannot or w</w:t>
      </w:r>
      <w:r w:rsidR="00AE3F5F" w:rsidRPr="003B7C40">
        <w:t>ill not</w:t>
      </w:r>
      <w:r w:rsidRPr="003B7C40">
        <w:t xml:space="preserve"> progress and</w:t>
      </w:r>
      <w:r w:rsidR="00AE3F5F" w:rsidRPr="003B7C40">
        <w:t>,</w:t>
      </w:r>
      <w:r w:rsidRPr="003B7C40">
        <w:t xml:space="preserve"> </w:t>
      </w:r>
      <w:r w:rsidR="00AE3F5F" w:rsidRPr="003B7C40">
        <w:t>hence,</w:t>
      </w:r>
      <w:r w:rsidRPr="003B7C40">
        <w:t xml:space="preserve"> </w:t>
      </w:r>
      <w:r w:rsidR="00AE3F5F" w:rsidRPr="003B7C40">
        <w:t>can</w:t>
      </w:r>
      <w:r w:rsidRPr="003B7C40">
        <w:t xml:space="preserve"> be included in the trajectory from year 6 onwards. </w:t>
      </w:r>
    </w:p>
    <w:p w14:paraId="3C797A4C" w14:textId="77777777" w:rsidR="00D10E40" w:rsidRPr="000575AD" w:rsidRDefault="00D10E40" w:rsidP="00D10E40">
      <w:pPr>
        <w:pStyle w:val="ListParagraph"/>
        <w:jc w:val="left"/>
      </w:pPr>
    </w:p>
    <w:p w14:paraId="0437A544" w14:textId="483D6F1A" w:rsidR="00BA1B5F" w:rsidRDefault="00A05D0A" w:rsidP="00132ACC">
      <w:pPr>
        <w:pStyle w:val="ListParagraph"/>
        <w:numPr>
          <w:ilvl w:val="2"/>
          <w:numId w:val="31"/>
        </w:numPr>
        <w:jc w:val="left"/>
      </w:pPr>
      <w:r w:rsidRPr="000575AD">
        <w:t>Evidently</w:t>
      </w:r>
      <w:r w:rsidR="00BA1B5F" w:rsidRPr="000575AD">
        <w:t xml:space="preserve"> the housing market has a role, and it is not in developer interests to </w:t>
      </w:r>
      <w:r>
        <w:t xml:space="preserve">saturate </w:t>
      </w:r>
      <w:r w:rsidR="00BA1B5F" w:rsidRPr="000575AD">
        <w:t>the market. However, it is not always possible to ascertain the order in which sites will start to deliver.</w:t>
      </w:r>
      <w:r w:rsidR="00D10E40" w:rsidRPr="000575AD">
        <w:t xml:space="preserve"> </w:t>
      </w:r>
      <w:r w:rsidR="00BA1B5F" w:rsidRPr="000575AD">
        <w:t xml:space="preserve">As such, it is important to focus on the quantum of development planned for, </w:t>
      </w:r>
      <w:proofErr w:type="gramStart"/>
      <w:r w:rsidR="00BA1B5F" w:rsidRPr="000575AD">
        <w:t>making the assumption</w:t>
      </w:r>
      <w:proofErr w:type="gramEnd"/>
      <w:r w:rsidR="00BA1B5F" w:rsidRPr="000575AD">
        <w:t xml:space="preserve"> that peaks and troughs identified in the trajectory chart will naturally smooth as the market delivers.</w:t>
      </w:r>
    </w:p>
    <w:p w14:paraId="420F4F15" w14:textId="77777777" w:rsidR="00585F04" w:rsidRDefault="00585F04" w:rsidP="00585F04">
      <w:pPr>
        <w:pStyle w:val="ListParagraph"/>
      </w:pPr>
    </w:p>
    <w:p w14:paraId="07CC4212" w14:textId="543B0573" w:rsidR="00585F04" w:rsidRPr="00585F04" w:rsidRDefault="00585F04" w:rsidP="00132ACC">
      <w:pPr>
        <w:pStyle w:val="ListParagraph"/>
        <w:numPr>
          <w:ilvl w:val="2"/>
          <w:numId w:val="31"/>
        </w:numPr>
        <w:jc w:val="left"/>
        <w:rPr>
          <w:color w:val="7030A0"/>
        </w:rPr>
      </w:pPr>
      <w:bookmarkStart w:id="3" w:name="_Hlk215136433"/>
      <w:r>
        <w:rPr>
          <w:color w:val="7030A0"/>
        </w:rPr>
        <w:t xml:space="preserve">The Updated Housing Trajectory 2025 Paper [ADC.20] sets out the anticipated annual delivery from site allocations and summarises the </w:t>
      </w:r>
      <w:proofErr w:type="gramStart"/>
      <w:r>
        <w:rPr>
          <w:color w:val="7030A0"/>
        </w:rPr>
        <w:t>current status</w:t>
      </w:r>
      <w:proofErr w:type="gramEnd"/>
      <w:r>
        <w:rPr>
          <w:color w:val="7030A0"/>
        </w:rPr>
        <w:t xml:space="preserve"> as of October 2025.</w:t>
      </w:r>
    </w:p>
    <w:p w14:paraId="036454D6" w14:textId="77777777" w:rsidR="00876BF2" w:rsidRDefault="00876BF2" w:rsidP="00876BF2">
      <w:pPr>
        <w:pStyle w:val="ListParagraph"/>
      </w:pPr>
    </w:p>
    <w:bookmarkEnd w:id="3"/>
    <w:p w14:paraId="734D0A68" w14:textId="77777777" w:rsidR="00025FDD" w:rsidRPr="00976DE5" w:rsidRDefault="00025FDD" w:rsidP="00025FDD">
      <w:pPr>
        <w:pStyle w:val="ListParagraph"/>
        <w:rPr>
          <w:rFonts w:cs="Arial"/>
          <w:color w:val="FF0000"/>
          <w:szCs w:val="24"/>
        </w:rPr>
      </w:pPr>
    </w:p>
    <w:p w14:paraId="412A8071" w14:textId="1EE4608D" w:rsidR="000C09F3" w:rsidRPr="00A05DCF" w:rsidRDefault="000C09F3" w:rsidP="00132ACC">
      <w:pPr>
        <w:pStyle w:val="Heading4"/>
        <w:numPr>
          <w:ilvl w:val="1"/>
          <w:numId w:val="31"/>
        </w:numPr>
      </w:pPr>
      <w:r w:rsidRPr="00A05DCF">
        <w:t>What evidence is there to support the timing of projected completions from each of the</w:t>
      </w:r>
      <w:r w:rsidR="007C6C7B" w:rsidRPr="00A05DCF">
        <w:t xml:space="preserve"> </w:t>
      </w:r>
      <w:r w:rsidRPr="00A05DCF">
        <w:t>large sites (50 dwellings and above) without planning permission that are relied upon</w:t>
      </w:r>
      <w:r w:rsidR="007C6C7B" w:rsidRPr="00A05DCF">
        <w:t xml:space="preserve"> </w:t>
      </w:r>
      <w:r w:rsidRPr="00A05DCF">
        <w:t>within the housing trajectory?</w:t>
      </w:r>
    </w:p>
    <w:p w14:paraId="0DD7E124" w14:textId="77777777" w:rsidR="005A5931" w:rsidRDefault="005A5931" w:rsidP="005A5931">
      <w:pPr>
        <w:pStyle w:val="ListParagraph"/>
        <w:ind w:left="530"/>
        <w:jc w:val="left"/>
        <w:rPr>
          <w:u w:val="single"/>
        </w:rPr>
      </w:pPr>
    </w:p>
    <w:p w14:paraId="7BAAA62E" w14:textId="0F664771" w:rsidR="005A5931" w:rsidRPr="00687008" w:rsidRDefault="005A5931" w:rsidP="005A5931">
      <w:pPr>
        <w:pStyle w:val="ListParagraph"/>
        <w:ind w:left="530" w:hanging="530"/>
        <w:jc w:val="left"/>
      </w:pPr>
      <w:r w:rsidRPr="00687008">
        <w:t>Council’s response</w:t>
      </w:r>
      <w:r w:rsidR="00687008" w:rsidRPr="00687008">
        <w:t>:</w:t>
      </w:r>
    </w:p>
    <w:p w14:paraId="4170DCC6" w14:textId="77777777" w:rsidR="005A5931" w:rsidRDefault="005A5931" w:rsidP="005A5931">
      <w:pPr>
        <w:pStyle w:val="ListParagraph"/>
        <w:ind w:left="530"/>
        <w:jc w:val="left"/>
        <w:rPr>
          <w:u w:val="single"/>
        </w:rPr>
      </w:pPr>
    </w:p>
    <w:p w14:paraId="1E7DC59B" w14:textId="22611025" w:rsidR="005A5931" w:rsidRPr="005A5931" w:rsidRDefault="005A5931" w:rsidP="00132ACC">
      <w:pPr>
        <w:pStyle w:val="ListParagraph"/>
        <w:numPr>
          <w:ilvl w:val="2"/>
          <w:numId w:val="31"/>
        </w:numPr>
        <w:jc w:val="left"/>
      </w:pPr>
      <w:r>
        <w:t xml:space="preserve">All sites put forward as potential allocations have been assessed as developable, and no viability issues have been raised via the Whole Plan Viability assessment (to be discussed at Matter 12). As discussed in response to Questions 9.1 and 9.2, the housing trajectory </w:t>
      </w:r>
      <w:r w:rsidRPr="006F370D">
        <w:t xml:space="preserve">in </w:t>
      </w:r>
      <w:r w:rsidRPr="006F370D">
        <w:rPr>
          <w:strike/>
        </w:rPr>
        <w:t>ADC.04</w:t>
      </w:r>
      <w:r w:rsidR="0020453A" w:rsidRPr="006F370D">
        <w:t xml:space="preserve"> </w:t>
      </w:r>
      <w:r w:rsidR="0020453A" w:rsidRPr="0020453A">
        <w:rPr>
          <w:color w:val="7030A0"/>
        </w:rPr>
        <w:t>ADC.20</w:t>
      </w:r>
      <w:r w:rsidRPr="0020453A">
        <w:rPr>
          <w:color w:val="7030A0"/>
        </w:rPr>
        <w:t xml:space="preserve"> </w:t>
      </w:r>
      <w:r>
        <w:t>is based on the most recent information available for each individual site. P</w:t>
      </w:r>
      <w:r w:rsidRPr="00D10E40">
        <w:rPr>
          <w:rFonts w:cs="Arial"/>
          <w:szCs w:val="24"/>
        </w:rPr>
        <w:t xml:space="preserve">otential annual delivery rates for each individual site are realistic and are based on known activity </w:t>
      </w:r>
      <w:r>
        <w:rPr>
          <w:rFonts w:cs="Arial"/>
          <w:szCs w:val="24"/>
        </w:rPr>
        <w:t>and/</w:t>
      </w:r>
      <w:r w:rsidRPr="00D10E40">
        <w:rPr>
          <w:rFonts w:cs="Arial"/>
          <w:szCs w:val="24"/>
        </w:rPr>
        <w:t>or standard assumptions which are locally derived</w:t>
      </w:r>
      <w:r>
        <w:rPr>
          <w:rFonts w:cs="Arial"/>
          <w:szCs w:val="24"/>
        </w:rPr>
        <w:t xml:space="preserve">. The table below sets out the </w:t>
      </w:r>
      <w:proofErr w:type="gramStart"/>
      <w:r>
        <w:rPr>
          <w:rFonts w:cs="Arial"/>
          <w:szCs w:val="24"/>
        </w:rPr>
        <w:t>current status</w:t>
      </w:r>
      <w:proofErr w:type="gramEnd"/>
      <w:r>
        <w:rPr>
          <w:rFonts w:cs="Arial"/>
          <w:szCs w:val="24"/>
        </w:rPr>
        <w:t xml:space="preserve"> and assumed delivery timescale for each site of </w:t>
      </w:r>
      <w:r w:rsidRPr="006F370D">
        <w:rPr>
          <w:rFonts w:cs="Arial"/>
          <w:szCs w:val="24"/>
        </w:rPr>
        <w:t>5</w:t>
      </w:r>
      <w:r w:rsidR="006F370D" w:rsidRPr="006F370D">
        <w:rPr>
          <w:rFonts w:cs="Arial"/>
          <w:szCs w:val="24"/>
        </w:rPr>
        <w:t>0</w:t>
      </w:r>
      <w:r>
        <w:rPr>
          <w:rFonts w:cs="Arial"/>
          <w:szCs w:val="24"/>
        </w:rPr>
        <w:t xml:space="preserve"> dwellings and above.</w:t>
      </w:r>
    </w:p>
    <w:p w14:paraId="3B87A112" w14:textId="77777777" w:rsidR="00A05DCF" w:rsidRPr="00A05DCF" w:rsidRDefault="00A05DCF" w:rsidP="00A05DCF">
      <w:pPr>
        <w:pStyle w:val="ListParagraph"/>
        <w:ind w:left="530"/>
        <w:rPr>
          <w:rFonts w:cs="Arial"/>
          <w:b/>
          <w:bCs/>
          <w:i/>
          <w:iCs/>
          <w:szCs w:val="24"/>
        </w:rPr>
      </w:pPr>
    </w:p>
    <w:tbl>
      <w:tblPr>
        <w:tblW w:w="9776" w:type="dxa"/>
        <w:tblLook w:val="04A0" w:firstRow="1" w:lastRow="0" w:firstColumn="1" w:lastColumn="0" w:noHBand="0" w:noVBand="1"/>
      </w:tblPr>
      <w:tblGrid>
        <w:gridCol w:w="846"/>
        <w:gridCol w:w="1807"/>
        <w:gridCol w:w="1293"/>
        <w:gridCol w:w="1305"/>
        <w:gridCol w:w="1304"/>
        <w:gridCol w:w="3221"/>
      </w:tblGrid>
      <w:tr w:rsidR="006237D4" w:rsidRPr="006237D4" w14:paraId="55DC861E" w14:textId="77777777" w:rsidTr="00274CAA">
        <w:trPr>
          <w:trHeight w:val="840"/>
        </w:trPr>
        <w:tc>
          <w:tcPr>
            <w:tcW w:w="846" w:type="dxa"/>
            <w:tcBorders>
              <w:top w:val="single" w:sz="4" w:space="0" w:color="auto"/>
              <w:left w:val="single" w:sz="4" w:space="0" w:color="auto"/>
              <w:bottom w:val="single" w:sz="4" w:space="0" w:color="auto"/>
              <w:right w:val="single" w:sz="4" w:space="0" w:color="auto"/>
            </w:tcBorders>
            <w:shd w:val="clear" w:color="000000" w:fill="D9D9D9"/>
            <w:hideMark/>
          </w:tcPr>
          <w:p w14:paraId="4EAEF15B"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Site Ref.</w:t>
            </w:r>
          </w:p>
        </w:tc>
        <w:tc>
          <w:tcPr>
            <w:tcW w:w="1826" w:type="dxa"/>
            <w:tcBorders>
              <w:top w:val="single" w:sz="4" w:space="0" w:color="auto"/>
              <w:left w:val="nil"/>
              <w:bottom w:val="single" w:sz="4" w:space="0" w:color="auto"/>
              <w:right w:val="single" w:sz="4" w:space="0" w:color="auto"/>
            </w:tcBorders>
            <w:shd w:val="clear" w:color="000000" w:fill="D9D9D9"/>
            <w:hideMark/>
          </w:tcPr>
          <w:p w14:paraId="286E20FA"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Site Name</w:t>
            </w:r>
          </w:p>
        </w:tc>
        <w:tc>
          <w:tcPr>
            <w:tcW w:w="1293" w:type="dxa"/>
            <w:tcBorders>
              <w:top w:val="single" w:sz="4" w:space="0" w:color="auto"/>
              <w:left w:val="nil"/>
              <w:bottom w:val="single" w:sz="4" w:space="0" w:color="auto"/>
              <w:right w:val="single" w:sz="4" w:space="0" w:color="auto"/>
            </w:tcBorders>
            <w:shd w:val="clear" w:color="000000" w:fill="D9D9D9"/>
            <w:hideMark/>
          </w:tcPr>
          <w:p w14:paraId="23F3E665"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Greenfield/ Brownfield</w:t>
            </w:r>
          </w:p>
        </w:tc>
        <w:tc>
          <w:tcPr>
            <w:tcW w:w="1305" w:type="dxa"/>
            <w:tcBorders>
              <w:top w:val="single" w:sz="4" w:space="0" w:color="auto"/>
              <w:left w:val="nil"/>
              <w:bottom w:val="single" w:sz="4" w:space="0" w:color="auto"/>
              <w:right w:val="single" w:sz="4" w:space="0" w:color="auto"/>
            </w:tcBorders>
            <w:shd w:val="clear" w:color="000000" w:fill="D9D9D9"/>
            <w:hideMark/>
          </w:tcPr>
          <w:p w14:paraId="5EDA86C8" w14:textId="15BDE204"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Planning Permission</w:t>
            </w:r>
          </w:p>
        </w:tc>
        <w:tc>
          <w:tcPr>
            <w:tcW w:w="1246" w:type="dxa"/>
            <w:tcBorders>
              <w:top w:val="single" w:sz="4" w:space="0" w:color="auto"/>
              <w:left w:val="nil"/>
              <w:bottom w:val="single" w:sz="4" w:space="0" w:color="auto"/>
              <w:right w:val="single" w:sz="4" w:space="0" w:color="auto"/>
            </w:tcBorders>
            <w:shd w:val="clear" w:color="000000" w:fill="D9D9D9"/>
            <w:hideMark/>
          </w:tcPr>
          <w:p w14:paraId="00719B8C" w14:textId="77777777" w:rsidR="006237D4" w:rsidRPr="00C364E8" w:rsidRDefault="006237D4" w:rsidP="006237D4">
            <w:pPr>
              <w:spacing w:after="0" w:line="240" w:lineRule="auto"/>
              <w:rPr>
                <w:rFonts w:eastAsia="Times New Roman" w:cs="Arial"/>
                <w:color w:val="000000"/>
                <w:sz w:val="22"/>
                <w:lang w:eastAsia="en-GB"/>
              </w:rPr>
            </w:pPr>
            <w:r w:rsidRPr="00C364E8">
              <w:rPr>
                <w:rFonts w:eastAsia="Times New Roman" w:cs="Arial"/>
                <w:color w:val="000000"/>
                <w:sz w:val="22"/>
                <w:lang w:eastAsia="en-GB"/>
              </w:rPr>
              <w:t>Potential Yield (Dwellings)</w:t>
            </w:r>
          </w:p>
        </w:tc>
        <w:tc>
          <w:tcPr>
            <w:tcW w:w="3260" w:type="dxa"/>
            <w:tcBorders>
              <w:top w:val="single" w:sz="4" w:space="0" w:color="auto"/>
              <w:left w:val="nil"/>
              <w:bottom w:val="single" w:sz="4" w:space="0" w:color="auto"/>
              <w:right w:val="single" w:sz="4" w:space="0" w:color="auto"/>
            </w:tcBorders>
            <w:shd w:val="clear" w:color="000000" w:fill="D9D9D9"/>
            <w:hideMark/>
          </w:tcPr>
          <w:p w14:paraId="21690B20" w14:textId="6B5E24FD" w:rsidR="006237D4" w:rsidRPr="00C364E8" w:rsidRDefault="006237D4" w:rsidP="00A05DCF">
            <w:pPr>
              <w:spacing w:after="0" w:line="240" w:lineRule="auto"/>
              <w:jc w:val="left"/>
              <w:rPr>
                <w:rFonts w:eastAsia="Times New Roman" w:cs="Arial"/>
                <w:color w:val="000000"/>
                <w:sz w:val="22"/>
                <w:lang w:eastAsia="en-GB"/>
              </w:rPr>
            </w:pPr>
            <w:r w:rsidRPr="00C364E8">
              <w:rPr>
                <w:rFonts w:eastAsia="Times New Roman" w:cs="Arial"/>
                <w:color w:val="000000"/>
                <w:sz w:val="22"/>
                <w:lang w:eastAsia="en-GB"/>
              </w:rPr>
              <w:t xml:space="preserve">Current Status </w:t>
            </w:r>
            <w:r w:rsidR="00DE343F" w:rsidRPr="00C364E8">
              <w:rPr>
                <w:rFonts w:eastAsia="Times New Roman" w:cs="Arial"/>
                <w:color w:val="000000"/>
                <w:sz w:val="22"/>
                <w:lang w:eastAsia="en-GB"/>
              </w:rPr>
              <w:t xml:space="preserve">&amp; </w:t>
            </w:r>
            <w:r w:rsidRPr="00C364E8">
              <w:rPr>
                <w:rFonts w:eastAsia="Times New Roman" w:cs="Arial"/>
                <w:color w:val="000000"/>
                <w:sz w:val="22"/>
                <w:lang w:eastAsia="en-GB"/>
              </w:rPr>
              <w:t>Delivery Timescales</w:t>
            </w:r>
          </w:p>
        </w:tc>
      </w:tr>
      <w:tr w:rsidR="006237D4" w:rsidRPr="006237D4" w14:paraId="73EA9630" w14:textId="77777777" w:rsidTr="00274CAA">
        <w:trPr>
          <w:trHeight w:val="1120"/>
        </w:trPr>
        <w:tc>
          <w:tcPr>
            <w:tcW w:w="846" w:type="dxa"/>
            <w:tcBorders>
              <w:top w:val="nil"/>
              <w:left w:val="single" w:sz="4" w:space="0" w:color="auto"/>
              <w:bottom w:val="single" w:sz="4" w:space="0" w:color="auto"/>
              <w:right w:val="single" w:sz="4" w:space="0" w:color="auto"/>
            </w:tcBorders>
            <w:noWrap/>
            <w:hideMark/>
          </w:tcPr>
          <w:p w14:paraId="2838ACED" w14:textId="77777777" w:rsidR="006237D4" w:rsidRPr="006237D4" w:rsidRDefault="006237D4" w:rsidP="006237D4">
            <w:pPr>
              <w:spacing w:after="0" w:line="240" w:lineRule="auto"/>
              <w:rPr>
                <w:rFonts w:eastAsia="Times New Roman" w:cs="Arial"/>
                <w:sz w:val="22"/>
                <w:lang w:eastAsia="en-GB"/>
              </w:rPr>
            </w:pPr>
            <w:r w:rsidRPr="006237D4">
              <w:rPr>
                <w:rFonts w:eastAsia="Times New Roman" w:cs="Arial"/>
                <w:sz w:val="22"/>
                <w:lang w:eastAsia="en-GB"/>
              </w:rPr>
              <w:t>H1Hc</w:t>
            </w:r>
          </w:p>
        </w:tc>
        <w:tc>
          <w:tcPr>
            <w:tcW w:w="1826" w:type="dxa"/>
            <w:tcBorders>
              <w:top w:val="nil"/>
              <w:left w:val="nil"/>
              <w:bottom w:val="single" w:sz="4" w:space="0" w:color="auto"/>
              <w:right w:val="single" w:sz="4" w:space="0" w:color="auto"/>
            </w:tcBorders>
            <w:hideMark/>
          </w:tcPr>
          <w:p w14:paraId="214EC050" w14:textId="77777777" w:rsidR="006237D4" w:rsidRPr="006237D4" w:rsidRDefault="006237D4" w:rsidP="006237D4">
            <w:pPr>
              <w:spacing w:after="0" w:line="240" w:lineRule="auto"/>
              <w:jc w:val="left"/>
              <w:rPr>
                <w:rFonts w:eastAsia="Times New Roman" w:cs="Arial"/>
                <w:sz w:val="22"/>
                <w:lang w:eastAsia="en-GB"/>
              </w:rPr>
            </w:pPr>
            <w:r w:rsidRPr="006237D4">
              <w:rPr>
                <w:rFonts w:eastAsia="Times New Roman" w:cs="Arial"/>
                <w:sz w:val="22"/>
                <w:lang w:eastAsia="en-GB"/>
              </w:rPr>
              <w:t>Land north of A611 / South of Broomhill Farm, Hucknall</w:t>
            </w:r>
          </w:p>
        </w:tc>
        <w:tc>
          <w:tcPr>
            <w:tcW w:w="1293" w:type="dxa"/>
            <w:tcBorders>
              <w:top w:val="nil"/>
              <w:left w:val="nil"/>
              <w:bottom w:val="single" w:sz="4" w:space="0" w:color="auto"/>
              <w:right w:val="single" w:sz="4" w:space="0" w:color="auto"/>
            </w:tcBorders>
            <w:noWrap/>
            <w:hideMark/>
          </w:tcPr>
          <w:p w14:paraId="65348A16"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G</w:t>
            </w:r>
          </w:p>
        </w:tc>
        <w:tc>
          <w:tcPr>
            <w:tcW w:w="1305" w:type="dxa"/>
            <w:tcBorders>
              <w:top w:val="nil"/>
              <w:left w:val="nil"/>
              <w:bottom w:val="single" w:sz="4" w:space="0" w:color="auto"/>
              <w:right w:val="single" w:sz="4" w:space="0" w:color="auto"/>
            </w:tcBorders>
            <w:noWrap/>
            <w:hideMark/>
          </w:tcPr>
          <w:p w14:paraId="2BA263B5"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No</w:t>
            </w:r>
          </w:p>
        </w:tc>
        <w:tc>
          <w:tcPr>
            <w:tcW w:w="1246" w:type="dxa"/>
            <w:tcBorders>
              <w:top w:val="nil"/>
              <w:left w:val="nil"/>
              <w:bottom w:val="single" w:sz="4" w:space="0" w:color="auto"/>
              <w:right w:val="single" w:sz="4" w:space="0" w:color="auto"/>
            </w:tcBorders>
            <w:noWrap/>
            <w:hideMark/>
          </w:tcPr>
          <w:p w14:paraId="0FD7D7F2" w14:textId="77777777" w:rsidR="006237D4" w:rsidRPr="006237D4" w:rsidRDefault="006237D4" w:rsidP="00DE343F">
            <w:pPr>
              <w:spacing w:after="0" w:line="240" w:lineRule="auto"/>
              <w:jc w:val="center"/>
              <w:rPr>
                <w:rFonts w:eastAsia="Times New Roman" w:cs="Arial"/>
                <w:sz w:val="22"/>
                <w:lang w:eastAsia="en-GB"/>
              </w:rPr>
            </w:pPr>
            <w:r w:rsidRPr="006237D4">
              <w:rPr>
                <w:rFonts w:eastAsia="Times New Roman" w:cs="Arial"/>
                <w:sz w:val="22"/>
                <w:lang w:eastAsia="en-GB"/>
              </w:rPr>
              <w:t>499</w:t>
            </w:r>
          </w:p>
        </w:tc>
        <w:tc>
          <w:tcPr>
            <w:tcW w:w="3260" w:type="dxa"/>
            <w:tcBorders>
              <w:top w:val="nil"/>
              <w:left w:val="nil"/>
              <w:bottom w:val="single" w:sz="4" w:space="0" w:color="auto"/>
              <w:right w:val="single" w:sz="4" w:space="0" w:color="auto"/>
            </w:tcBorders>
            <w:hideMark/>
          </w:tcPr>
          <w:p w14:paraId="66841370" w14:textId="6A85F296" w:rsidR="00DE343F" w:rsidRPr="00FC696B" w:rsidRDefault="005F6912" w:rsidP="006F370D">
            <w:pPr>
              <w:spacing w:after="0" w:line="240" w:lineRule="auto"/>
              <w:jc w:val="left"/>
              <w:rPr>
                <w:rFonts w:eastAsia="Times New Roman" w:cs="Arial"/>
                <w:sz w:val="22"/>
                <w:highlight w:val="yellow"/>
                <w:lang w:eastAsia="en-GB"/>
              </w:rPr>
            </w:pPr>
            <w:r w:rsidRPr="006F370D">
              <w:rPr>
                <w:rFonts w:eastAsia="Times New Roman" w:cs="Arial"/>
                <w:strike/>
                <w:sz w:val="22"/>
                <w:lang w:eastAsia="en-GB"/>
              </w:rPr>
              <w:t>2024 pre-application enquiry from developer</w:t>
            </w:r>
            <w:r w:rsidR="006237D4" w:rsidRPr="006F370D">
              <w:rPr>
                <w:rFonts w:eastAsia="Times New Roman" w:cs="Arial"/>
                <w:sz w:val="22"/>
                <w:lang w:eastAsia="en-GB"/>
              </w:rPr>
              <w:t xml:space="preserve"> </w:t>
            </w:r>
            <w:r w:rsidR="006F370D" w:rsidRPr="006F370D">
              <w:rPr>
                <w:rFonts w:eastAsia="Times New Roman" w:cs="Arial"/>
                <w:color w:val="7030A0"/>
                <w:sz w:val="22"/>
                <w:lang w:eastAsia="en-GB"/>
              </w:rPr>
              <w:t xml:space="preserve">A Full planning application </w:t>
            </w:r>
            <w:r w:rsidR="006F370D" w:rsidRPr="006F370D">
              <w:rPr>
                <w:rFonts w:eastAsia="Times New Roman" w:cs="Arial"/>
                <w:sz w:val="22"/>
                <w:lang w:eastAsia="en-GB"/>
              </w:rPr>
              <w:t>was</w:t>
            </w:r>
            <w:r w:rsidR="006237D4" w:rsidRPr="006F370D">
              <w:rPr>
                <w:rFonts w:eastAsia="Times New Roman" w:cs="Arial"/>
                <w:sz w:val="22"/>
                <w:lang w:eastAsia="en-GB"/>
              </w:rPr>
              <w:t xml:space="preserve"> received </w:t>
            </w:r>
            <w:r w:rsidR="006237D4" w:rsidRPr="006F370D">
              <w:rPr>
                <w:rFonts w:eastAsia="Times New Roman" w:cs="Arial"/>
                <w:color w:val="7030A0"/>
                <w:sz w:val="22"/>
                <w:lang w:eastAsia="en-GB"/>
              </w:rPr>
              <w:t xml:space="preserve">in </w:t>
            </w:r>
            <w:r w:rsidR="006F370D" w:rsidRPr="006F370D">
              <w:rPr>
                <w:rFonts w:eastAsia="Times New Roman" w:cs="Arial"/>
                <w:color w:val="7030A0"/>
                <w:sz w:val="22"/>
                <w:lang w:eastAsia="en-GB"/>
              </w:rPr>
              <w:t xml:space="preserve">July 2025 </w:t>
            </w:r>
            <w:r w:rsidR="006F370D" w:rsidRPr="006F370D">
              <w:rPr>
                <w:rFonts w:eastAsia="Times New Roman" w:cs="Arial"/>
                <w:sz w:val="22"/>
                <w:lang w:eastAsia="en-GB"/>
              </w:rPr>
              <w:t xml:space="preserve">in </w:t>
            </w:r>
            <w:r w:rsidR="006237D4" w:rsidRPr="006F370D">
              <w:rPr>
                <w:rFonts w:eastAsia="Times New Roman" w:cs="Arial"/>
                <w:sz w:val="22"/>
                <w:lang w:eastAsia="en-GB"/>
              </w:rPr>
              <w:t>respect of the area encompassed by the existing allotments.</w:t>
            </w:r>
            <w:r w:rsidR="00A05DCF" w:rsidRPr="006F370D">
              <w:rPr>
                <w:rFonts w:eastAsia="Times New Roman" w:cs="Arial"/>
                <w:sz w:val="22"/>
                <w:lang w:eastAsia="en-GB"/>
              </w:rPr>
              <w:t xml:space="preserve"> </w:t>
            </w:r>
            <w:r w:rsidR="00DE343F" w:rsidRPr="006F370D">
              <w:rPr>
                <w:rFonts w:eastAsia="Times New Roman" w:cs="Arial"/>
                <w:sz w:val="22"/>
                <w:lang w:eastAsia="en-GB"/>
              </w:rPr>
              <w:t xml:space="preserve">Anticipated </w:t>
            </w:r>
            <w:r w:rsidR="006F370D" w:rsidRPr="006F370D">
              <w:rPr>
                <w:rFonts w:eastAsia="Times New Roman" w:cs="Arial"/>
                <w:sz w:val="22"/>
                <w:lang w:eastAsia="en-GB"/>
              </w:rPr>
              <w:t xml:space="preserve">delivery to </w:t>
            </w:r>
            <w:r w:rsidR="00DE343F" w:rsidRPr="006F370D">
              <w:rPr>
                <w:rFonts w:eastAsia="Times New Roman" w:cs="Arial"/>
                <w:sz w:val="22"/>
                <w:lang w:eastAsia="en-GB"/>
              </w:rPr>
              <w:t xml:space="preserve">commence year </w:t>
            </w:r>
            <w:r w:rsidR="006F370D" w:rsidRPr="006F370D">
              <w:rPr>
                <w:rFonts w:eastAsia="Times New Roman" w:cs="Arial"/>
                <w:color w:val="7030A0"/>
                <w:sz w:val="22"/>
                <w:lang w:eastAsia="en-GB"/>
              </w:rPr>
              <w:t xml:space="preserve">6 </w:t>
            </w:r>
            <w:r w:rsidR="00DE343F" w:rsidRPr="006F370D">
              <w:rPr>
                <w:rFonts w:eastAsia="Times New Roman" w:cs="Arial"/>
                <w:strike/>
                <w:sz w:val="22"/>
                <w:lang w:eastAsia="en-GB"/>
              </w:rPr>
              <w:t>2029/30</w:t>
            </w:r>
            <w:r w:rsidR="00DE343F" w:rsidRPr="006F370D">
              <w:rPr>
                <w:rFonts w:eastAsia="Times New Roman" w:cs="Arial"/>
                <w:sz w:val="22"/>
                <w:lang w:eastAsia="en-GB"/>
              </w:rPr>
              <w:t>.</w:t>
            </w:r>
            <w:r w:rsidR="006F370D" w:rsidRPr="006F370D">
              <w:rPr>
                <w:rFonts w:eastAsia="Times New Roman" w:cs="Arial"/>
                <w:color w:val="7030A0"/>
                <w:sz w:val="22"/>
                <w:lang w:eastAsia="en-GB"/>
              </w:rPr>
              <w:t>2030/31</w:t>
            </w:r>
          </w:p>
        </w:tc>
      </w:tr>
      <w:tr w:rsidR="006237D4" w:rsidRPr="006237D4" w14:paraId="74DD8977" w14:textId="77777777" w:rsidTr="00274CAA">
        <w:trPr>
          <w:trHeight w:val="560"/>
        </w:trPr>
        <w:tc>
          <w:tcPr>
            <w:tcW w:w="846" w:type="dxa"/>
            <w:tcBorders>
              <w:top w:val="nil"/>
              <w:left w:val="single" w:sz="4" w:space="0" w:color="auto"/>
              <w:bottom w:val="single" w:sz="4" w:space="0" w:color="auto"/>
              <w:right w:val="single" w:sz="4" w:space="0" w:color="auto"/>
            </w:tcBorders>
            <w:noWrap/>
            <w:hideMark/>
          </w:tcPr>
          <w:p w14:paraId="09909BDD" w14:textId="77777777" w:rsidR="006237D4" w:rsidRPr="006237D4" w:rsidRDefault="006237D4" w:rsidP="006237D4">
            <w:pPr>
              <w:spacing w:after="0" w:line="240" w:lineRule="auto"/>
              <w:rPr>
                <w:rFonts w:eastAsia="Times New Roman" w:cs="Arial"/>
                <w:sz w:val="22"/>
                <w:lang w:eastAsia="en-GB"/>
              </w:rPr>
            </w:pPr>
            <w:r w:rsidRPr="006237D4">
              <w:rPr>
                <w:rFonts w:eastAsia="Times New Roman" w:cs="Arial"/>
                <w:sz w:val="22"/>
                <w:lang w:eastAsia="en-GB"/>
              </w:rPr>
              <w:t>H1Hd</w:t>
            </w:r>
          </w:p>
        </w:tc>
        <w:tc>
          <w:tcPr>
            <w:tcW w:w="1826" w:type="dxa"/>
            <w:tcBorders>
              <w:top w:val="nil"/>
              <w:left w:val="nil"/>
              <w:bottom w:val="single" w:sz="4" w:space="0" w:color="auto"/>
              <w:right w:val="single" w:sz="4" w:space="0" w:color="auto"/>
            </w:tcBorders>
            <w:hideMark/>
          </w:tcPr>
          <w:p w14:paraId="0BB81A78" w14:textId="77777777" w:rsidR="006237D4" w:rsidRPr="006237D4" w:rsidRDefault="006237D4" w:rsidP="006237D4">
            <w:pPr>
              <w:spacing w:after="0" w:line="240" w:lineRule="auto"/>
              <w:jc w:val="left"/>
              <w:rPr>
                <w:rFonts w:eastAsia="Times New Roman" w:cs="Arial"/>
                <w:sz w:val="22"/>
                <w:lang w:eastAsia="en-GB"/>
              </w:rPr>
            </w:pPr>
            <w:r w:rsidRPr="006237D4">
              <w:rPr>
                <w:rFonts w:eastAsia="Times New Roman" w:cs="Arial"/>
                <w:sz w:val="22"/>
                <w:lang w:eastAsia="en-GB"/>
              </w:rPr>
              <w:t>Land adjoining Stubbing Wood Farm, Watnall Road, Hucknall</w:t>
            </w:r>
          </w:p>
        </w:tc>
        <w:tc>
          <w:tcPr>
            <w:tcW w:w="1293" w:type="dxa"/>
            <w:tcBorders>
              <w:top w:val="nil"/>
              <w:left w:val="nil"/>
              <w:bottom w:val="single" w:sz="4" w:space="0" w:color="auto"/>
              <w:right w:val="single" w:sz="4" w:space="0" w:color="auto"/>
            </w:tcBorders>
            <w:noWrap/>
            <w:hideMark/>
          </w:tcPr>
          <w:p w14:paraId="30DC3560"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G</w:t>
            </w:r>
          </w:p>
        </w:tc>
        <w:tc>
          <w:tcPr>
            <w:tcW w:w="1305" w:type="dxa"/>
            <w:tcBorders>
              <w:top w:val="nil"/>
              <w:left w:val="nil"/>
              <w:bottom w:val="single" w:sz="4" w:space="0" w:color="auto"/>
              <w:right w:val="single" w:sz="4" w:space="0" w:color="auto"/>
            </w:tcBorders>
            <w:noWrap/>
            <w:hideMark/>
          </w:tcPr>
          <w:p w14:paraId="0AF87E2B" w14:textId="77777777" w:rsidR="006237D4" w:rsidRPr="006237D4" w:rsidRDefault="006237D4" w:rsidP="006237D4">
            <w:pPr>
              <w:spacing w:after="0" w:line="240" w:lineRule="auto"/>
              <w:jc w:val="center"/>
              <w:rPr>
                <w:rFonts w:eastAsia="Times New Roman" w:cs="Arial"/>
                <w:sz w:val="22"/>
                <w:lang w:eastAsia="en-GB"/>
              </w:rPr>
            </w:pPr>
            <w:r w:rsidRPr="006237D4">
              <w:rPr>
                <w:rFonts w:eastAsia="Times New Roman" w:cs="Arial"/>
                <w:sz w:val="22"/>
                <w:lang w:eastAsia="en-GB"/>
              </w:rPr>
              <w:t>No</w:t>
            </w:r>
          </w:p>
        </w:tc>
        <w:tc>
          <w:tcPr>
            <w:tcW w:w="1246" w:type="dxa"/>
            <w:tcBorders>
              <w:top w:val="nil"/>
              <w:left w:val="nil"/>
              <w:bottom w:val="single" w:sz="4" w:space="0" w:color="auto"/>
              <w:right w:val="single" w:sz="4" w:space="0" w:color="auto"/>
            </w:tcBorders>
            <w:noWrap/>
            <w:hideMark/>
          </w:tcPr>
          <w:p w14:paraId="7A0CE660" w14:textId="77777777" w:rsidR="006237D4" w:rsidRPr="006237D4" w:rsidRDefault="006237D4" w:rsidP="00DE343F">
            <w:pPr>
              <w:spacing w:after="0" w:line="240" w:lineRule="auto"/>
              <w:jc w:val="center"/>
              <w:rPr>
                <w:rFonts w:eastAsia="Times New Roman" w:cs="Arial"/>
                <w:sz w:val="22"/>
                <w:lang w:eastAsia="en-GB"/>
              </w:rPr>
            </w:pPr>
            <w:r w:rsidRPr="006237D4">
              <w:rPr>
                <w:rFonts w:eastAsia="Times New Roman" w:cs="Arial"/>
                <w:sz w:val="22"/>
                <w:lang w:eastAsia="en-GB"/>
              </w:rPr>
              <w:t>198</w:t>
            </w:r>
          </w:p>
        </w:tc>
        <w:tc>
          <w:tcPr>
            <w:tcW w:w="3260" w:type="dxa"/>
            <w:tcBorders>
              <w:top w:val="nil"/>
              <w:left w:val="nil"/>
              <w:bottom w:val="single" w:sz="4" w:space="0" w:color="auto"/>
              <w:right w:val="single" w:sz="4" w:space="0" w:color="auto"/>
            </w:tcBorders>
            <w:hideMark/>
          </w:tcPr>
          <w:p w14:paraId="3945F660" w14:textId="77777777" w:rsidR="006237D4" w:rsidRPr="006F370D" w:rsidRDefault="00DE343F" w:rsidP="006237D4">
            <w:pPr>
              <w:spacing w:after="0" w:line="240" w:lineRule="auto"/>
              <w:jc w:val="left"/>
              <w:rPr>
                <w:rFonts w:eastAsia="Times New Roman" w:cs="Arial"/>
                <w:sz w:val="22"/>
                <w:lang w:eastAsia="en-GB"/>
              </w:rPr>
            </w:pPr>
            <w:r w:rsidRPr="006F370D">
              <w:rPr>
                <w:rFonts w:eastAsia="Times New Roman" w:cs="Arial"/>
                <w:sz w:val="22"/>
                <w:lang w:eastAsia="en-GB"/>
              </w:rPr>
              <w:t>Developer interest presently u</w:t>
            </w:r>
            <w:r w:rsidR="006237D4" w:rsidRPr="006F370D">
              <w:rPr>
                <w:rFonts w:eastAsia="Times New Roman" w:cs="Arial"/>
                <w:sz w:val="22"/>
                <w:lang w:eastAsia="en-GB"/>
              </w:rPr>
              <w:t>nclear</w:t>
            </w:r>
            <w:r w:rsidRPr="006F370D">
              <w:rPr>
                <w:rFonts w:eastAsia="Times New Roman" w:cs="Arial"/>
                <w:sz w:val="22"/>
                <w:lang w:eastAsia="en-GB"/>
              </w:rPr>
              <w:t>.</w:t>
            </w:r>
          </w:p>
          <w:p w14:paraId="5BEED7E6" w14:textId="0344937D" w:rsidR="00DE343F" w:rsidRPr="00FC696B" w:rsidRDefault="00DE343F" w:rsidP="006237D4">
            <w:pPr>
              <w:spacing w:after="0" w:line="240" w:lineRule="auto"/>
              <w:jc w:val="left"/>
              <w:rPr>
                <w:rFonts w:eastAsia="Times New Roman" w:cs="Arial"/>
                <w:sz w:val="22"/>
                <w:highlight w:val="yellow"/>
                <w:lang w:eastAsia="en-GB"/>
              </w:rPr>
            </w:pPr>
            <w:r w:rsidRPr="006F370D">
              <w:rPr>
                <w:rFonts w:eastAsia="Times New Roman" w:cs="Arial"/>
                <w:sz w:val="22"/>
                <w:lang w:eastAsia="en-GB"/>
              </w:rPr>
              <w:t xml:space="preserve">Anticipated </w:t>
            </w:r>
            <w:r w:rsidR="006F370D" w:rsidRPr="006F370D">
              <w:rPr>
                <w:rFonts w:eastAsia="Times New Roman" w:cs="Arial"/>
                <w:sz w:val="22"/>
                <w:lang w:eastAsia="en-GB"/>
              </w:rPr>
              <w:t>delivery to commence</w:t>
            </w:r>
            <w:r w:rsidRPr="006F370D">
              <w:rPr>
                <w:rFonts w:eastAsia="Times New Roman" w:cs="Arial"/>
                <w:sz w:val="22"/>
                <w:lang w:eastAsia="en-GB"/>
              </w:rPr>
              <w:t xml:space="preserve"> year </w:t>
            </w:r>
            <w:r w:rsidR="006F370D" w:rsidRPr="006F370D">
              <w:rPr>
                <w:rFonts w:eastAsia="Times New Roman" w:cs="Arial"/>
                <w:sz w:val="22"/>
                <w:lang w:eastAsia="en-GB"/>
              </w:rPr>
              <w:t xml:space="preserve">9 </w:t>
            </w:r>
            <w:r w:rsidRPr="006F370D">
              <w:rPr>
                <w:rFonts w:eastAsia="Times New Roman" w:cs="Arial"/>
                <w:sz w:val="22"/>
                <w:lang w:eastAsia="en-GB"/>
              </w:rPr>
              <w:t>2033/34.</w:t>
            </w:r>
          </w:p>
        </w:tc>
      </w:tr>
    </w:tbl>
    <w:p w14:paraId="370CE5D1" w14:textId="77777777" w:rsidR="006237D4" w:rsidRPr="00A05DCF" w:rsidRDefault="006237D4" w:rsidP="000C09F3">
      <w:pPr>
        <w:rPr>
          <w:rFonts w:cs="Arial"/>
          <w:szCs w:val="24"/>
        </w:rPr>
      </w:pPr>
    </w:p>
    <w:tbl>
      <w:tblPr>
        <w:tblW w:w="9776" w:type="dxa"/>
        <w:tblLook w:val="04A0" w:firstRow="1" w:lastRow="0" w:firstColumn="1" w:lastColumn="0" w:noHBand="0" w:noVBand="1"/>
      </w:tblPr>
      <w:tblGrid>
        <w:gridCol w:w="846"/>
        <w:gridCol w:w="1763"/>
        <w:gridCol w:w="1300"/>
        <w:gridCol w:w="1322"/>
        <w:gridCol w:w="1304"/>
        <w:gridCol w:w="3241"/>
      </w:tblGrid>
      <w:tr w:rsidR="00FB020F" w:rsidRPr="00DF7F96" w14:paraId="4CC40FB8" w14:textId="77777777" w:rsidTr="00DD7C55">
        <w:trPr>
          <w:trHeight w:val="780"/>
        </w:trPr>
        <w:tc>
          <w:tcPr>
            <w:tcW w:w="846" w:type="dxa"/>
            <w:tcBorders>
              <w:top w:val="single" w:sz="4" w:space="0" w:color="auto"/>
              <w:left w:val="single" w:sz="4" w:space="0" w:color="auto"/>
              <w:bottom w:val="single" w:sz="4" w:space="0" w:color="auto"/>
              <w:right w:val="single" w:sz="4" w:space="0" w:color="auto"/>
            </w:tcBorders>
            <w:shd w:val="clear" w:color="000000" w:fill="D9D9D9"/>
            <w:hideMark/>
          </w:tcPr>
          <w:p w14:paraId="667165EC" w14:textId="77777777" w:rsidR="00DF7F96" w:rsidRPr="00DF7F96" w:rsidRDefault="00DF7F96" w:rsidP="00DF7F96">
            <w:pPr>
              <w:spacing w:after="0" w:line="240" w:lineRule="auto"/>
              <w:rPr>
                <w:rFonts w:eastAsia="Times New Roman" w:cs="Arial"/>
                <w:color w:val="000000"/>
                <w:sz w:val="22"/>
                <w:lang w:eastAsia="en-GB"/>
              </w:rPr>
            </w:pPr>
            <w:r w:rsidRPr="00DF7F96">
              <w:rPr>
                <w:rFonts w:eastAsia="Times New Roman" w:cs="Arial"/>
                <w:color w:val="000000"/>
                <w:sz w:val="22"/>
                <w:lang w:eastAsia="en-GB"/>
              </w:rPr>
              <w:t>Site Ref.</w:t>
            </w:r>
          </w:p>
        </w:tc>
        <w:tc>
          <w:tcPr>
            <w:tcW w:w="1763" w:type="dxa"/>
            <w:tcBorders>
              <w:top w:val="single" w:sz="4" w:space="0" w:color="auto"/>
              <w:left w:val="nil"/>
              <w:bottom w:val="single" w:sz="4" w:space="0" w:color="auto"/>
              <w:right w:val="single" w:sz="4" w:space="0" w:color="auto"/>
            </w:tcBorders>
            <w:shd w:val="clear" w:color="000000" w:fill="D9D9D9"/>
            <w:hideMark/>
          </w:tcPr>
          <w:p w14:paraId="275FF730" w14:textId="77777777" w:rsidR="00DF7F96" w:rsidRPr="00DF7F96" w:rsidRDefault="00DF7F96" w:rsidP="00DF7F96">
            <w:pPr>
              <w:spacing w:after="0" w:line="240" w:lineRule="auto"/>
              <w:rPr>
                <w:rFonts w:eastAsia="Times New Roman" w:cs="Arial"/>
                <w:color w:val="000000"/>
                <w:sz w:val="22"/>
                <w:lang w:eastAsia="en-GB"/>
              </w:rPr>
            </w:pPr>
            <w:r w:rsidRPr="00DF7F96">
              <w:rPr>
                <w:rFonts w:eastAsia="Times New Roman" w:cs="Arial"/>
                <w:color w:val="000000"/>
                <w:sz w:val="22"/>
                <w:lang w:eastAsia="en-GB"/>
              </w:rPr>
              <w:t>Site Name</w:t>
            </w:r>
          </w:p>
        </w:tc>
        <w:tc>
          <w:tcPr>
            <w:tcW w:w="1300" w:type="dxa"/>
            <w:tcBorders>
              <w:top w:val="single" w:sz="4" w:space="0" w:color="auto"/>
              <w:left w:val="nil"/>
              <w:bottom w:val="single" w:sz="4" w:space="0" w:color="auto"/>
              <w:right w:val="single" w:sz="4" w:space="0" w:color="auto"/>
            </w:tcBorders>
            <w:shd w:val="clear" w:color="000000" w:fill="D9D9D9"/>
            <w:hideMark/>
          </w:tcPr>
          <w:p w14:paraId="279AA7DC" w14:textId="77777777" w:rsidR="00DF7F96" w:rsidRPr="00DF7F96" w:rsidRDefault="00DF7F96" w:rsidP="00DF7F96">
            <w:pPr>
              <w:spacing w:after="0" w:line="240" w:lineRule="auto"/>
              <w:jc w:val="center"/>
              <w:rPr>
                <w:rFonts w:eastAsia="Times New Roman" w:cs="Arial"/>
                <w:color w:val="000000"/>
                <w:sz w:val="22"/>
                <w:lang w:eastAsia="en-GB"/>
              </w:rPr>
            </w:pPr>
            <w:r w:rsidRPr="00DF7F96">
              <w:rPr>
                <w:rFonts w:eastAsia="Times New Roman" w:cs="Arial"/>
                <w:color w:val="000000"/>
                <w:sz w:val="22"/>
                <w:lang w:eastAsia="en-GB"/>
              </w:rPr>
              <w:t>Greenfield/ Brownfield</w:t>
            </w:r>
          </w:p>
        </w:tc>
        <w:tc>
          <w:tcPr>
            <w:tcW w:w="1322" w:type="dxa"/>
            <w:tcBorders>
              <w:top w:val="single" w:sz="4" w:space="0" w:color="auto"/>
              <w:left w:val="nil"/>
              <w:bottom w:val="single" w:sz="4" w:space="0" w:color="auto"/>
              <w:right w:val="single" w:sz="4" w:space="0" w:color="auto"/>
            </w:tcBorders>
            <w:shd w:val="clear" w:color="000000" w:fill="D9D9D9"/>
            <w:hideMark/>
          </w:tcPr>
          <w:p w14:paraId="732657F8" w14:textId="05169C08" w:rsidR="00DF7F96" w:rsidRPr="00DF7F96" w:rsidRDefault="00DF7F96" w:rsidP="00DF7F96">
            <w:pPr>
              <w:spacing w:after="0" w:line="240" w:lineRule="auto"/>
              <w:jc w:val="center"/>
              <w:rPr>
                <w:rFonts w:eastAsia="Times New Roman" w:cs="Arial"/>
                <w:color w:val="000000"/>
                <w:sz w:val="22"/>
                <w:lang w:eastAsia="en-GB"/>
              </w:rPr>
            </w:pPr>
            <w:r w:rsidRPr="00DF7F96">
              <w:rPr>
                <w:rFonts w:eastAsia="Times New Roman" w:cs="Arial"/>
                <w:color w:val="000000"/>
                <w:sz w:val="22"/>
                <w:lang w:eastAsia="en-GB"/>
              </w:rPr>
              <w:t>Planning Permission</w:t>
            </w:r>
          </w:p>
        </w:tc>
        <w:tc>
          <w:tcPr>
            <w:tcW w:w="1304" w:type="dxa"/>
            <w:tcBorders>
              <w:top w:val="single" w:sz="4" w:space="0" w:color="auto"/>
              <w:left w:val="nil"/>
              <w:bottom w:val="single" w:sz="4" w:space="0" w:color="auto"/>
              <w:right w:val="single" w:sz="4" w:space="0" w:color="auto"/>
            </w:tcBorders>
            <w:shd w:val="clear" w:color="000000" w:fill="D9D9D9"/>
            <w:hideMark/>
          </w:tcPr>
          <w:p w14:paraId="2109B603" w14:textId="77777777" w:rsidR="00DF7F96" w:rsidRPr="00DF7F96" w:rsidRDefault="00DF7F96" w:rsidP="00DF7F96">
            <w:pPr>
              <w:spacing w:after="0" w:line="240" w:lineRule="auto"/>
              <w:rPr>
                <w:rFonts w:eastAsia="Times New Roman" w:cs="Arial"/>
                <w:color w:val="000000"/>
                <w:sz w:val="22"/>
                <w:lang w:eastAsia="en-GB"/>
              </w:rPr>
            </w:pPr>
            <w:r w:rsidRPr="00DF7F96">
              <w:rPr>
                <w:rFonts w:eastAsia="Times New Roman" w:cs="Arial"/>
                <w:color w:val="000000"/>
                <w:sz w:val="22"/>
                <w:lang w:eastAsia="en-GB"/>
              </w:rPr>
              <w:t>Potential Yield (Dwellings)</w:t>
            </w:r>
          </w:p>
        </w:tc>
        <w:tc>
          <w:tcPr>
            <w:tcW w:w="3241" w:type="dxa"/>
            <w:tcBorders>
              <w:top w:val="single" w:sz="4" w:space="0" w:color="auto"/>
              <w:left w:val="nil"/>
              <w:bottom w:val="single" w:sz="4" w:space="0" w:color="auto"/>
              <w:right w:val="single" w:sz="4" w:space="0" w:color="auto"/>
            </w:tcBorders>
            <w:shd w:val="clear" w:color="000000" w:fill="D9D9D9"/>
            <w:hideMark/>
          </w:tcPr>
          <w:p w14:paraId="0C9860BE" w14:textId="4CC59333" w:rsidR="00DF7F96" w:rsidRPr="00DF7F96" w:rsidRDefault="006F4F5F" w:rsidP="006F4F5F">
            <w:pPr>
              <w:spacing w:after="0" w:line="240" w:lineRule="auto"/>
              <w:jc w:val="left"/>
              <w:rPr>
                <w:rFonts w:eastAsia="Times New Roman" w:cs="Arial"/>
                <w:color w:val="000000"/>
                <w:sz w:val="22"/>
                <w:lang w:eastAsia="en-GB"/>
              </w:rPr>
            </w:pPr>
            <w:r w:rsidRPr="00C364E8">
              <w:rPr>
                <w:rFonts w:eastAsia="Times New Roman" w:cs="Arial"/>
                <w:color w:val="000000"/>
                <w:sz w:val="22"/>
                <w:lang w:eastAsia="en-GB"/>
              </w:rPr>
              <w:t>Current Status &amp; Delivery Timescales</w:t>
            </w:r>
          </w:p>
        </w:tc>
      </w:tr>
      <w:tr w:rsidR="00FB020F" w:rsidRPr="00DF7F96" w14:paraId="2B4C4FC4" w14:textId="77777777" w:rsidTr="00DD7C55">
        <w:trPr>
          <w:trHeight w:val="837"/>
        </w:trPr>
        <w:tc>
          <w:tcPr>
            <w:tcW w:w="846" w:type="dxa"/>
            <w:tcBorders>
              <w:top w:val="nil"/>
              <w:left w:val="single" w:sz="4" w:space="0" w:color="auto"/>
              <w:bottom w:val="single" w:sz="4" w:space="0" w:color="auto"/>
              <w:right w:val="single" w:sz="4" w:space="0" w:color="auto"/>
            </w:tcBorders>
            <w:noWrap/>
          </w:tcPr>
          <w:p w14:paraId="20E099D5" w14:textId="709820C5" w:rsidR="00FB020F" w:rsidRPr="00DF7F96"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H1Kc</w:t>
            </w:r>
          </w:p>
        </w:tc>
        <w:tc>
          <w:tcPr>
            <w:tcW w:w="1763" w:type="dxa"/>
            <w:tcBorders>
              <w:top w:val="nil"/>
              <w:left w:val="nil"/>
              <w:bottom w:val="single" w:sz="4" w:space="0" w:color="auto"/>
              <w:right w:val="single" w:sz="4" w:space="0" w:color="auto"/>
            </w:tcBorders>
          </w:tcPr>
          <w:p w14:paraId="637A46F6" w14:textId="6EE76F45" w:rsidR="00FB020F" w:rsidRPr="00DF7F96"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Land at Doles Lane, Kirkby</w:t>
            </w:r>
          </w:p>
        </w:tc>
        <w:tc>
          <w:tcPr>
            <w:tcW w:w="1300" w:type="dxa"/>
            <w:tcBorders>
              <w:top w:val="nil"/>
              <w:left w:val="nil"/>
              <w:bottom w:val="single" w:sz="4" w:space="0" w:color="auto"/>
              <w:right w:val="single" w:sz="4" w:space="0" w:color="auto"/>
            </w:tcBorders>
            <w:noWrap/>
          </w:tcPr>
          <w:p w14:paraId="65012940" w14:textId="5D412CC8" w:rsidR="00FB020F" w:rsidRPr="00DF7F96" w:rsidRDefault="00FB020F" w:rsidP="006F4F5F">
            <w:pPr>
              <w:spacing w:after="0" w:line="240" w:lineRule="auto"/>
              <w:jc w:val="center"/>
              <w:rPr>
                <w:rFonts w:eastAsia="Times New Roman" w:cs="Arial"/>
                <w:sz w:val="22"/>
                <w:lang w:eastAsia="en-GB"/>
              </w:rPr>
            </w:pPr>
            <w:r w:rsidRPr="00FB020F">
              <w:rPr>
                <w:rFonts w:eastAsia="Times New Roman" w:cs="Arial"/>
                <w:sz w:val="22"/>
                <w:lang w:eastAsia="en-GB"/>
              </w:rPr>
              <w:t>B</w:t>
            </w:r>
          </w:p>
        </w:tc>
        <w:tc>
          <w:tcPr>
            <w:tcW w:w="1322" w:type="dxa"/>
            <w:tcBorders>
              <w:top w:val="nil"/>
              <w:left w:val="nil"/>
              <w:bottom w:val="single" w:sz="4" w:space="0" w:color="auto"/>
              <w:right w:val="single" w:sz="4" w:space="0" w:color="auto"/>
            </w:tcBorders>
            <w:noWrap/>
          </w:tcPr>
          <w:p w14:paraId="78986CF0" w14:textId="285FE041" w:rsidR="00FB020F" w:rsidRPr="00DF7F96"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304" w:type="dxa"/>
            <w:tcBorders>
              <w:top w:val="nil"/>
              <w:left w:val="nil"/>
              <w:bottom w:val="single" w:sz="4" w:space="0" w:color="auto"/>
              <w:right w:val="single" w:sz="4" w:space="0" w:color="auto"/>
            </w:tcBorders>
            <w:noWrap/>
          </w:tcPr>
          <w:p w14:paraId="0A983A96" w14:textId="012AF12A" w:rsidR="00FB020F" w:rsidRPr="00DF7F96"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54</w:t>
            </w:r>
          </w:p>
        </w:tc>
        <w:tc>
          <w:tcPr>
            <w:tcW w:w="3241" w:type="dxa"/>
            <w:tcBorders>
              <w:top w:val="nil"/>
              <w:left w:val="nil"/>
              <w:bottom w:val="single" w:sz="4" w:space="0" w:color="auto"/>
              <w:right w:val="single" w:sz="4" w:space="0" w:color="auto"/>
            </w:tcBorders>
          </w:tcPr>
          <w:p w14:paraId="77B1EA32" w14:textId="6D798E21" w:rsidR="00AE2FD8" w:rsidRPr="00963904" w:rsidRDefault="00D35883" w:rsidP="00DE343F">
            <w:pPr>
              <w:spacing w:after="0" w:line="240" w:lineRule="auto"/>
              <w:jc w:val="left"/>
              <w:rPr>
                <w:rFonts w:eastAsia="Times New Roman" w:cs="Arial"/>
                <w:sz w:val="22"/>
                <w:lang w:eastAsia="en-GB"/>
              </w:rPr>
            </w:pPr>
            <w:r w:rsidRPr="00963904">
              <w:rPr>
                <w:rFonts w:eastAsia="Times New Roman" w:cs="Arial"/>
                <w:sz w:val="22"/>
                <w:lang w:eastAsia="en-GB"/>
              </w:rPr>
              <w:t>P</w:t>
            </w:r>
            <w:r w:rsidR="00AE2FD8" w:rsidRPr="00963904">
              <w:rPr>
                <w:rFonts w:eastAsia="Times New Roman" w:cs="Arial"/>
                <w:sz w:val="22"/>
                <w:lang w:eastAsia="en-GB"/>
              </w:rPr>
              <w:t xml:space="preserve">re-application </w:t>
            </w:r>
            <w:r w:rsidRPr="00963904">
              <w:rPr>
                <w:rFonts w:eastAsia="Times New Roman" w:cs="Arial"/>
                <w:sz w:val="22"/>
                <w:lang w:eastAsia="en-GB"/>
              </w:rPr>
              <w:t>sought in December 2024</w:t>
            </w:r>
            <w:r w:rsidR="00531BE3" w:rsidRPr="00963904">
              <w:rPr>
                <w:rFonts w:eastAsia="Times New Roman" w:cs="Arial"/>
                <w:sz w:val="22"/>
                <w:lang w:eastAsia="en-GB"/>
              </w:rPr>
              <w:t xml:space="preserve"> which </w:t>
            </w:r>
            <w:r w:rsidR="00AE2FD8" w:rsidRPr="00963904">
              <w:rPr>
                <w:rFonts w:eastAsia="Times New Roman" w:cs="Arial"/>
                <w:sz w:val="22"/>
                <w:lang w:eastAsia="en-GB"/>
              </w:rPr>
              <w:t>encompasses</w:t>
            </w:r>
            <w:r w:rsidR="00531BE3" w:rsidRPr="00963904">
              <w:rPr>
                <w:rFonts w:eastAsia="Times New Roman" w:cs="Arial"/>
                <w:sz w:val="22"/>
                <w:lang w:eastAsia="en-GB"/>
              </w:rPr>
              <w:t xml:space="preserve"> this site and </w:t>
            </w:r>
            <w:r w:rsidRPr="00963904">
              <w:rPr>
                <w:rFonts w:eastAsia="Times New Roman" w:cs="Arial"/>
                <w:sz w:val="22"/>
                <w:lang w:eastAsia="en-GB"/>
              </w:rPr>
              <w:t xml:space="preserve">additional </w:t>
            </w:r>
            <w:r w:rsidR="00531BE3" w:rsidRPr="00963904">
              <w:rPr>
                <w:rFonts w:eastAsia="Times New Roman" w:cs="Arial"/>
                <w:sz w:val="22"/>
                <w:lang w:eastAsia="en-GB"/>
              </w:rPr>
              <w:t>land to south.</w:t>
            </w:r>
            <w:r w:rsidR="00AE2FD8" w:rsidRPr="00963904">
              <w:rPr>
                <w:rFonts w:eastAsia="Times New Roman" w:cs="Arial"/>
                <w:sz w:val="22"/>
                <w:lang w:eastAsia="en-GB"/>
              </w:rPr>
              <w:t xml:space="preserve"> </w:t>
            </w:r>
          </w:p>
          <w:p w14:paraId="0D0C48AA" w14:textId="561B55C0" w:rsidR="00FB020F" w:rsidRPr="00DF7F96" w:rsidRDefault="00DE343F" w:rsidP="00DE343F">
            <w:pPr>
              <w:spacing w:after="0" w:line="240" w:lineRule="auto"/>
              <w:jc w:val="left"/>
              <w:rPr>
                <w:rFonts w:eastAsia="Times New Roman" w:cs="Arial"/>
                <w:sz w:val="22"/>
                <w:lang w:eastAsia="en-GB"/>
              </w:rPr>
            </w:pPr>
            <w:r w:rsidRPr="00963904">
              <w:rPr>
                <w:rFonts w:eastAsia="Times New Roman" w:cs="Arial"/>
                <w:sz w:val="22"/>
                <w:lang w:eastAsia="en-GB"/>
              </w:rPr>
              <w:t xml:space="preserve">Anticipated </w:t>
            </w:r>
            <w:r w:rsidR="006F370D" w:rsidRPr="00963904">
              <w:rPr>
                <w:rFonts w:eastAsia="Times New Roman" w:cs="Arial"/>
                <w:sz w:val="22"/>
                <w:lang w:eastAsia="en-GB"/>
              </w:rPr>
              <w:t>delivery to commence</w:t>
            </w:r>
            <w:r w:rsidRPr="00963904">
              <w:rPr>
                <w:rFonts w:eastAsia="Times New Roman" w:cs="Arial"/>
                <w:sz w:val="22"/>
                <w:lang w:eastAsia="en-GB"/>
              </w:rPr>
              <w:t xml:space="preserve"> year </w:t>
            </w:r>
            <w:r w:rsidR="00963904" w:rsidRPr="00963904">
              <w:rPr>
                <w:rFonts w:eastAsia="Times New Roman" w:cs="Arial"/>
                <w:color w:val="7030A0"/>
                <w:sz w:val="22"/>
                <w:lang w:eastAsia="en-GB"/>
              </w:rPr>
              <w:t>9</w:t>
            </w:r>
            <w:r w:rsidR="00963904">
              <w:rPr>
                <w:rFonts w:eastAsia="Times New Roman" w:cs="Arial"/>
                <w:sz w:val="22"/>
                <w:lang w:eastAsia="en-GB"/>
              </w:rPr>
              <w:t xml:space="preserve"> </w:t>
            </w:r>
            <w:r w:rsidRPr="00963904">
              <w:rPr>
                <w:rFonts w:eastAsia="Times New Roman" w:cs="Arial"/>
                <w:strike/>
                <w:sz w:val="22"/>
                <w:lang w:eastAsia="en-GB"/>
              </w:rPr>
              <w:t>20</w:t>
            </w:r>
            <w:r w:rsidR="00C364E8" w:rsidRPr="00963904">
              <w:rPr>
                <w:rFonts w:eastAsia="Times New Roman" w:cs="Arial"/>
                <w:strike/>
                <w:sz w:val="22"/>
                <w:lang w:eastAsia="en-GB"/>
              </w:rPr>
              <w:t>29</w:t>
            </w:r>
            <w:r w:rsidRPr="00963904">
              <w:rPr>
                <w:rFonts w:eastAsia="Times New Roman" w:cs="Arial"/>
                <w:strike/>
                <w:sz w:val="22"/>
                <w:lang w:eastAsia="en-GB"/>
              </w:rPr>
              <w:t>/3</w:t>
            </w:r>
            <w:r w:rsidR="00C364E8" w:rsidRPr="00963904">
              <w:rPr>
                <w:rFonts w:eastAsia="Times New Roman" w:cs="Arial"/>
                <w:strike/>
                <w:sz w:val="22"/>
                <w:lang w:eastAsia="en-GB"/>
              </w:rPr>
              <w:t>0</w:t>
            </w:r>
            <w:r w:rsidR="00963904">
              <w:rPr>
                <w:rFonts w:eastAsia="Times New Roman" w:cs="Arial"/>
                <w:strike/>
                <w:sz w:val="22"/>
                <w:lang w:eastAsia="en-GB"/>
              </w:rPr>
              <w:t xml:space="preserve"> </w:t>
            </w:r>
            <w:r w:rsidR="00963904" w:rsidRPr="00963904">
              <w:rPr>
                <w:rFonts w:eastAsia="Times New Roman" w:cs="Arial"/>
                <w:color w:val="7030A0"/>
                <w:sz w:val="22"/>
                <w:lang w:eastAsia="en-GB"/>
              </w:rPr>
              <w:t>2033/34</w:t>
            </w:r>
            <w:r w:rsidR="00963904">
              <w:rPr>
                <w:rFonts w:eastAsia="Times New Roman" w:cs="Arial"/>
                <w:color w:val="7030A0"/>
                <w:sz w:val="22"/>
                <w:lang w:eastAsia="en-GB"/>
              </w:rPr>
              <w:t>.</w:t>
            </w:r>
          </w:p>
        </w:tc>
      </w:tr>
      <w:tr w:rsidR="00DD7C55" w:rsidRPr="00DF7F96" w14:paraId="4C239AAD" w14:textId="77777777" w:rsidTr="00DD7C55">
        <w:trPr>
          <w:trHeight w:val="837"/>
        </w:trPr>
        <w:tc>
          <w:tcPr>
            <w:tcW w:w="846" w:type="dxa"/>
            <w:tcBorders>
              <w:top w:val="single" w:sz="4" w:space="0" w:color="auto"/>
              <w:left w:val="single" w:sz="4" w:space="0" w:color="auto"/>
              <w:bottom w:val="single" w:sz="4" w:space="0" w:color="auto"/>
              <w:right w:val="single" w:sz="4" w:space="0" w:color="auto"/>
            </w:tcBorders>
            <w:noWrap/>
          </w:tcPr>
          <w:p w14:paraId="35B9502D" w14:textId="7D2E7B9D" w:rsidR="00DD7C55" w:rsidRPr="00DD7C55" w:rsidRDefault="00DD7C55" w:rsidP="00FB020F">
            <w:pPr>
              <w:spacing w:after="0" w:line="240" w:lineRule="auto"/>
              <w:jc w:val="left"/>
              <w:rPr>
                <w:rFonts w:eastAsia="Times New Roman" w:cs="Arial"/>
                <w:color w:val="7030A0"/>
                <w:sz w:val="22"/>
                <w:lang w:eastAsia="en-GB"/>
              </w:rPr>
            </w:pPr>
            <w:r w:rsidRPr="00DD7C55">
              <w:rPr>
                <w:rFonts w:eastAsia="Times New Roman" w:cs="Arial"/>
                <w:color w:val="7030A0"/>
                <w:sz w:val="22"/>
                <w:lang w:eastAsia="en-GB"/>
              </w:rPr>
              <w:t>H1Ke</w:t>
            </w:r>
          </w:p>
        </w:tc>
        <w:tc>
          <w:tcPr>
            <w:tcW w:w="1763" w:type="dxa"/>
            <w:tcBorders>
              <w:top w:val="single" w:sz="4" w:space="0" w:color="auto"/>
              <w:left w:val="nil"/>
              <w:bottom w:val="single" w:sz="4" w:space="0" w:color="auto"/>
              <w:right w:val="single" w:sz="4" w:space="0" w:color="auto"/>
            </w:tcBorders>
          </w:tcPr>
          <w:p w14:paraId="2145AE68" w14:textId="091B1453" w:rsidR="00DD7C55" w:rsidRPr="00DD7C55" w:rsidRDefault="00DD7C55" w:rsidP="00FB020F">
            <w:pPr>
              <w:spacing w:after="0" w:line="240" w:lineRule="auto"/>
              <w:jc w:val="left"/>
              <w:rPr>
                <w:rFonts w:eastAsia="Times New Roman" w:cs="Arial"/>
                <w:color w:val="7030A0"/>
                <w:sz w:val="22"/>
                <w:lang w:eastAsia="en-GB"/>
              </w:rPr>
            </w:pPr>
            <w:r w:rsidRPr="00DD7C55">
              <w:rPr>
                <w:rFonts w:eastAsia="Times New Roman" w:cs="Arial"/>
                <w:color w:val="7030A0"/>
                <w:sz w:val="22"/>
                <w:lang w:eastAsia="en-GB"/>
              </w:rPr>
              <w:t>Land off Diamond Avenue, Kirkby</w:t>
            </w:r>
          </w:p>
        </w:tc>
        <w:tc>
          <w:tcPr>
            <w:tcW w:w="1300" w:type="dxa"/>
            <w:tcBorders>
              <w:top w:val="single" w:sz="4" w:space="0" w:color="auto"/>
              <w:left w:val="nil"/>
              <w:bottom w:val="single" w:sz="4" w:space="0" w:color="auto"/>
              <w:right w:val="single" w:sz="4" w:space="0" w:color="auto"/>
            </w:tcBorders>
            <w:noWrap/>
          </w:tcPr>
          <w:p w14:paraId="0940A061" w14:textId="3FA48FF8" w:rsidR="00DD7C55" w:rsidRPr="00DD7C55" w:rsidRDefault="00DD7C55" w:rsidP="006F4F5F">
            <w:pPr>
              <w:spacing w:after="0" w:line="240" w:lineRule="auto"/>
              <w:jc w:val="center"/>
              <w:rPr>
                <w:rFonts w:eastAsia="Times New Roman" w:cs="Arial"/>
                <w:color w:val="7030A0"/>
                <w:sz w:val="22"/>
                <w:lang w:eastAsia="en-GB"/>
              </w:rPr>
            </w:pPr>
            <w:r w:rsidRPr="00DD7C55">
              <w:rPr>
                <w:rFonts w:eastAsia="Times New Roman" w:cs="Arial"/>
                <w:color w:val="7030A0"/>
                <w:sz w:val="22"/>
                <w:lang w:eastAsia="en-GB"/>
              </w:rPr>
              <w:t>G</w:t>
            </w:r>
          </w:p>
        </w:tc>
        <w:tc>
          <w:tcPr>
            <w:tcW w:w="1322" w:type="dxa"/>
            <w:tcBorders>
              <w:top w:val="single" w:sz="4" w:space="0" w:color="auto"/>
              <w:left w:val="nil"/>
              <w:bottom w:val="single" w:sz="4" w:space="0" w:color="auto"/>
              <w:right w:val="single" w:sz="4" w:space="0" w:color="auto"/>
            </w:tcBorders>
            <w:noWrap/>
          </w:tcPr>
          <w:p w14:paraId="0F555F7D" w14:textId="0FC2FE6E" w:rsidR="00DD7C55" w:rsidRPr="00DD7C55" w:rsidRDefault="00DD7C55" w:rsidP="00FB020F">
            <w:pPr>
              <w:spacing w:after="0" w:line="240" w:lineRule="auto"/>
              <w:jc w:val="center"/>
              <w:rPr>
                <w:rFonts w:eastAsia="Times New Roman" w:cs="Arial"/>
                <w:color w:val="7030A0"/>
                <w:sz w:val="22"/>
                <w:lang w:eastAsia="en-GB"/>
              </w:rPr>
            </w:pPr>
            <w:r w:rsidRPr="00DD7C55">
              <w:rPr>
                <w:rFonts w:eastAsia="Times New Roman" w:cs="Arial"/>
                <w:color w:val="7030A0"/>
                <w:sz w:val="22"/>
                <w:lang w:eastAsia="en-GB"/>
              </w:rPr>
              <w:t>No</w:t>
            </w:r>
          </w:p>
        </w:tc>
        <w:tc>
          <w:tcPr>
            <w:tcW w:w="1304" w:type="dxa"/>
            <w:tcBorders>
              <w:top w:val="single" w:sz="4" w:space="0" w:color="auto"/>
              <w:left w:val="nil"/>
              <w:bottom w:val="single" w:sz="4" w:space="0" w:color="auto"/>
              <w:right w:val="single" w:sz="4" w:space="0" w:color="auto"/>
            </w:tcBorders>
            <w:noWrap/>
          </w:tcPr>
          <w:p w14:paraId="593D055E" w14:textId="22DDC984" w:rsidR="00DD7C55" w:rsidRPr="00DD7C55" w:rsidRDefault="00DD7C55" w:rsidP="00FB020F">
            <w:pPr>
              <w:spacing w:after="0" w:line="240" w:lineRule="auto"/>
              <w:jc w:val="right"/>
              <w:rPr>
                <w:rFonts w:eastAsia="Times New Roman" w:cs="Arial"/>
                <w:color w:val="7030A0"/>
                <w:sz w:val="22"/>
                <w:lang w:eastAsia="en-GB"/>
              </w:rPr>
            </w:pPr>
            <w:r w:rsidRPr="00DD7C55">
              <w:rPr>
                <w:rFonts w:eastAsia="Times New Roman" w:cs="Arial"/>
                <w:color w:val="7030A0"/>
                <w:sz w:val="22"/>
                <w:lang w:eastAsia="en-GB"/>
              </w:rPr>
              <w:t>63</w:t>
            </w:r>
          </w:p>
        </w:tc>
        <w:tc>
          <w:tcPr>
            <w:tcW w:w="3241" w:type="dxa"/>
            <w:tcBorders>
              <w:top w:val="single" w:sz="4" w:space="0" w:color="auto"/>
              <w:left w:val="nil"/>
              <w:bottom w:val="single" w:sz="4" w:space="0" w:color="auto"/>
              <w:right w:val="single" w:sz="4" w:space="0" w:color="auto"/>
            </w:tcBorders>
          </w:tcPr>
          <w:p w14:paraId="19572AB9" w14:textId="77777777" w:rsidR="004530A2" w:rsidRDefault="00DD7C55" w:rsidP="00DE343F">
            <w:pPr>
              <w:spacing w:after="0" w:line="240" w:lineRule="auto"/>
              <w:jc w:val="left"/>
              <w:rPr>
                <w:rFonts w:eastAsia="Times New Roman" w:cs="Arial"/>
                <w:color w:val="7030A0"/>
                <w:sz w:val="22"/>
                <w:lang w:eastAsia="en-GB"/>
              </w:rPr>
            </w:pPr>
            <w:r w:rsidRPr="00DD7C55">
              <w:rPr>
                <w:rFonts w:eastAsia="Times New Roman" w:cs="Arial"/>
                <w:color w:val="7030A0"/>
                <w:sz w:val="22"/>
                <w:lang w:eastAsia="en-GB"/>
              </w:rPr>
              <w:t>ADC ownership. Full permission for 63 dwellings currently being considered</w:t>
            </w:r>
            <w:r>
              <w:rPr>
                <w:rFonts w:eastAsia="Times New Roman" w:cs="Arial"/>
                <w:color w:val="7030A0"/>
                <w:sz w:val="22"/>
                <w:lang w:eastAsia="en-GB"/>
              </w:rPr>
              <w:t xml:space="preserve"> (V/2024/0637).</w:t>
            </w:r>
          </w:p>
          <w:p w14:paraId="1503C184" w14:textId="400EAD1C" w:rsidR="00DD7C55" w:rsidRPr="00DD7C55" w:rsidRDefault="001D12BE" w:rsidP="00DE343F">
            <w:pPr>
              <w:spacing w:after="0" w:line="240" w:lineRule="auto"/>
              <w:jc w:val="left"/>
              <w:rPr>
                <w:rFonts w:eastAsia="Times New Roman" w:cs="Arial"/>
                <w:color w:val="7030A0"/>
                <w:sz w:val="22"/>
                <w:lang w:eastAsia="en-GB"/>
              </w:rPr>
            </w:pPr>
            <w:r w:rsidRPr="001D12BE">
              <w:rPr>
                <w:rFonts w:eastAsia="Times New Roman" w:cs="Arial"/>
                <w:color w:val="7030A0"/>
                <w:sz w:val="22"/>
                <w:lang w:eastAsia="en-GB"/>
              </w:rPr>
              <w:t>Anticipated delivery to commence year 6</w:t>
            </w:r>
            <w:r>
              <w:rPr>
                <w:rFonts w:eastAsia="Times New Roman" w:cs="Arial"/>
                <w:color w:val="7030A0"/>
                <w:sz w:val="22"/>
                <w:lang w:eastAsia="en-GB"/>
              </w:rPr>
              <w:t xml:space="preserve"> </w:t>
            </w:r>
            <w:r w:rsidRPr="001D12BE">
              <w:rPr>
                <w:rFonts w:eastAsia="Times New Roman" w:cs="Arial"/>
                <w:color w:val="7030A0"/>
                <w:sz w:val="22"/>
                <w:lang w:eastAsia="en-GB"/>
              </w:rPr>
              <w:t>2030/31</w:t>
            </w:r>
            <w:r>
              <w:rPr>
                <w:rFonts w:eastAsia="Times New Roman" w:cs="Arial"/>
                <w:color w:val="7030A0"/>
                <w:sz w:val="22"/>
                <w:lang w:eastAsia="en-GB"/>
              </w:rPr>
              <w:t>.</w:t>
            </w:r>
          </w:p>
        </w:tc>
      </w:tr>
      <w:tr w:rsidR="00DD7C55" w:rsidRPr="00DF7F96" w14:paraId="5E872566" w14:textId="77777777" w:rsidTr="004530A2">
        <w:trPr>
          <w:trHeight w:val="699"/>
        </w:trPr>
        <w:tc>
          <w:tcPr>
            <w:tcW w:w="846" w:type="dxa"/>
            <w:tcBorders>
              <w:top w:val="single" w:sz="4" w:space="0" w:color="auto"/>
              <w:left w:val="single" w:sz="4" w:space="0" w:color="auto"/>
              <w:bottom w:val="single" w:sz="4" w:space="0" w:color="auto"/>
              <w:right w:val="single" w:sz="4" w:space="0" w:color="auto"/>
            </w:tcBorders>
            <w:noWrap/>
          </w:tcPr>
          <w:p w14:paraId="0834D81B" w14:textId="7768B77E" w:rsidR="00DD7C55" w:rsidRPr="00DD7C55" w:rsidRDefault="00DD7C55" w:rsidP="00FB020F">
            <w:pPr>
              <w:spacing w:after="0" w:line="240" w:lineRule="auto"/>
              <w:jc w:val="left"/>
              <w:rPr>
                <w:rFonts w:eastAsia="Times New Roman" w:cs="Arial"/>
                <w:color w:val="7030A0"/>
                <w:sz w:val="22"/>
                <w:lang w:eastAsia="en-GB"/>
              </w:rPr>
            </w:pPr>
            <w:r w:rsidRPr="00DD7C55">
              <w:rPr>
                <w:rFonts w:eastAsia="Times New Roman" w:cs="Arial"/>
                <w:color w:val="7030A0"/>
                <w:sz w:val="22"/>
                <w:lang w:eastAsia="en-GB"/>
              </w:rPr>
              <w:t>H1Kn</w:t>
            </w:r>
          </w:p>
        </w:tc>
        <w:tc>
          <w:tcPr>
            <w:tcW w:w="1763" w:type="dxa"/>
            <w:tcBorders>
              <w:top w:val="single" w:sz="4" w:space="0" w:color="auto"/>
              <w:left w:val="nil"/>
              <w:bottom w:val="single" w:sz="4" w:space="0" w:color="auto"/>
              <w:right w:val="single" w:sz="4" w:space="0" w:color="auto"/>
            </w:tcBorders>
          </w:tcPr>
          <w:p w14:paraId="6E5342F8" w14:textId="68B1E283" w:rsidR="00DD7C55" w:rsidRPr="00DD7C55" w:rsidRDefault="00940C84" w:rsidP="00FB020F">
            <w:pPr>
              <w:spacing w:after="0" w:line="240" w:lineRule="auto"/>
              <w:jc w:val="left"/>
              <w:rPr>
                <w:rFonts w:eastAsia="Times New Roman" w:cs="Arial"/>
                <w:color w:val="7030A0"/>
                <w:sz w:val="22"/>
                <w:lang w:eastAsia="en-GB"/>
              </w:rPr>
            </w:pPr>
            <w:r>
              <w:rPr>
                <w:rFonts w:eastAsia="Times New Roman" w:cs="Arial"/>
                <w:color w:val="7030A0"/>
                <w:sz w:val="22"/>
                <w:lang w:eastAsia="en-GB"/>
              </w:rPr>
              <w:t>Southwell Lane, Kirkby</w:t>
            </w:r>
          </w:p>
        </w:tc>
        <w:tc>
          <w:tcPr>
            <w:tcW w:w="1300" w:type="dxa"/>
            <w:tcBorders>
              <w:top w:val="single" w:sz="4" w:space="0" w:color="auto"/>
              <w:left w:val="nil"/>
              <w:bottom w:val="single" w:sz="4" w:space="0" w:color="auto"/>
              <w:right w:val="single" w:sz="4" w:space="0" w:color="auto"/>
            </w:tcBorders>
            <w:noWrap/>
          </w:tcPr>
          <w:p w14:paraId="0B3D2905" w14:textId="052DD57A" w:rsidR="00DD7C55" w:rsidRPr="00DD7C55" w:rsidRDefault="00940C84" w:rsidP="006F4F5F">
            <w:pPr>
              <w:spacing w:after="0" w:line="240" w:lineRule="auto"/>
              <w:jc w:val="center"/>
              <w:rPr>
                <w:rFonts w:eastAsia="Times New Roman" w:cs="Arial"/>
                <w:color w:val="7030A0"/>
                <w:sz w:val="22"/>
                <w:lang w:eastAsia="en-GB"/>
              </w:rPr>
            </w:pPr>
            <w:r>
              <w:rPr>
                <w:rFonts w:eastAsia="Times New Roman" w:cs="Arial"/>
                <w:color w:val="7030A0"/>
                <w:sz w:val="22"/>
                <w:lang w:eastAsia="en-GB"/>
              </w:rPr>
              <w:t>B</w:t>
            </w:r>
          </w:p>
        </w:tc>
        <w:tc>
          <w:tcPr>
            <w:tcW w:w="1322" w:type="dxa"/>
            <w:tcBorders>
              <w:top w:val="single" w:sz="4" w:space="0" w:color="auto"/>
              <w:left w:val="nil"/>
              <w:bottom w:val="single" w:sz="4" w:space="0" w:color="auto"/>
              <w:right w:val="single" w:sz="4" w:space="0" w:color="auto"/>
            </w:tcBorders>
            <w:noWrap/>
          </w:tcPr>
          <w:p w14:paraId="445B6149" w14:textId="6F6CA22D" w:rsidR="00DD7C55" w:rsidRPr="00DD7C55" w:rsidRDefault="00940C84" w:rsidP="00FB020F">
            <w:pPr>
              <w:spacing w:after="0" w:line="240" w:lineRule="auto"/>
              <w:jc w:val="center"/>
              <w:rPr>
                <w:rFonts w:eastAsia="Times New Roman" w:cs="Arial"/>
                <w:color w:val="7030A0"/>
                <w:sz w:val="22"/>
                <w:lang w:eastAsia="en-GB"/>
              </w:rPr>
            </w:pPr>
            <w:r>
              <w:rPr>
                <w:rFonts w:eastAsia="Times New Roman" w:cs="Arial"/>
                <w:color w:val="7030A0"/>
                <w:sz w:val="22"/>
                <w:lang w:eastAsia="en-GB"/>
              </w:rPr>
              <w:t>No</w:t>
            </w:r>
          </w:p>
        </w:tc>
        <w:tc>
          <w:tcPr>
            <w:tcW w:w="1304" w:type="dxa"/>
            <w:tcBorders>
              <w:top w:val="single" w:sz="4" w:space="0" w:color="auto"/>
              <w:left w:val="nil"/>
              <w:bottom w:val="single" w:sz="4" w:space="0" w:color="auto"/>
              <w:right w:val="single" w:sz="4" w:space="0" w:color="auto"/>
            </w:tcBorders>
            <w:noWrap/>
          </w:tcPr>
          <w:p w14:paraId="00AFF767" w14:textId="3BFFE707" w:rsidR="00DD7C55" w:rsidRPr="00DD7C55" w:rsidRDefault="00940C84" w:rsidP="00FB020F">
            <w:pPr>
              <w:spacing w:after="0" w:line="240" w:lineRule="auto"/>
              <w:jc w:val="right"/>
              <w:rPr>
                <w:rFonts w:eastAsia="Times New Roman" w:cs="Arial"/>
                <w:color w:val="7030A0"/>
                <w:sz w:val="22"/>
                <w:lang w:eastAsia="en-GB"/>
              </w:rPr>
            </w:pPr>
            <w:r>
              <w:rPr>
                <w:rFonts w:eastAsia="Times New Roman" w:cs="Arial"/>
                <w:color w:val="7030A0"/>
                <w:sz w:val="22"/>
                <w:lang w:eastAsia="en-GB"/>
              </w:rPr>
              <w:t>60</w:t>
            </w:r>
          </w:p>
        </w:tc>
        <w:tc>
          <w:tcPr>
            <w:tcW w:w="3241" w:type="dxa"/>
            <w:tcBorders>
              <w:top w:val="single" w:sz="4" w:space="0" w:color="auto"/>
              <w:left w:val="nil"/>
              <w:bottom w:val="single" w:sz="4" w:space="0" w:color="auto"/>
              <w:right w:val="single" w:sz="4" w:space="0" w:color="auto"/>
            </w:tcBorders>
          </w:tcPr>
          <w:p w14:paraId="089CE6B8" w14:textId="77777777" w:rsidR="00DD7C55" w:rsidRDefault="004530A2" w:rsidP="00DE343F">
            <w:pPr>
              <w:spacing w:after="0" w:line="240" w:lineRule="auto"/>
              <w:jc w:val="left"/>
              <w:rPr>
                <w:rFonts w:eastAsia="Times New Roman" w:cs="Arial"/>
                <w:color w:val="7030A0"/>
                <w:sz w:val="22"/>
                <w:lang w:eastAsia="en-GB"/>
              </w:rPr>
            </w:pPr>
            <w:r>
              <w:rPr>
                <w:rFonts w:eastAsia="Times New Roman" w:cs="Arial"/>
                <w:color w:val="7030A0"/>
                <w:sz w:val="22"/>
                <w:lang w:eastAsia="en-GB"/>
              </w:rPr>
              <w:t>Vacant brownfield site within Main Urban Area. ADC have received cabinet approval to purchase and develop the site as part of its Affordable Housing Development Programme (June 2025). Pre application advice has been sought.</w:t>
            </w:r>
          </w:p>
          <w:p w14:paraId="79B2E1A3" w14:textId="0D7B0F36" w:rsidR="004530A2" w:rsidRPr="00DD7C55" w:rsidRDefault="004530A2" w:rsidP="00DE343F">
            <w:pPr>
              <w:spacing w:after="0" w:line="240" w:lineRule="auto"/>
              <w:jc w:val="left"/>
              <w:rPr>
                <w:rFonts w:eastAsia="Times New Roman" w:cs="Arial"/>
                <w:color w:val="7030A0"/>
                <w:sz w:val="22"/>
                <w:lang w:eastAsia="en-GB"/>
              </w:rPr>
            </w:pPr>
            <w:r w:rsidRPr="001D12BE">
              <w:rPr>
                <w:rFonts w:eastAsia="Times New Roman" w:cs="Arial"/>
                <w:color w:val="7030A0"/>
                <w:sz w:val="22"/>
                <w:lang w:eastAsia="en-GB"/>
              </w:rPr>
              <w:t xml:space="preserve">Anticipated delivery to commence year </w:t>
            </w:r>
            <w:r>
              <w:rPr>
                <w:rFonts w:eastAsia="Times New Roman" w:cs="Arial"/>
                <w:color w:val="7030A0"/>
                <w:sz w:val="22"/>
                <w:lang w:eastAsia="en-GB"/>
              </w:rPr>
              <w:t xml:space="preserve">5 </w:t>
            </w:r>
            <w:r w:rsidRPr="001D12BE">
              <w:rPr>
                <w:rFonts w:eastAsia="Times New Roman" w:cs="Arial"/>
                <w:color w:val="7030A0"/>
                <w:sz w:val="22"/>
                <w:lang w:eastAsia="en-GB"/>
              </w:rPr>
              <w:t>20</w:t>
            </w:r>
            <w:r>
              <w:rPr>
                <w:rFonts w:eastAsia="Times New Roman" w:cs="Arial"/>
                <w:color w:val="7030A0"/>
                <w:sz w:val="22"/>
                <w:lang w:eastAsia="en-GB"/>
              </w:rPr>
              <w:t>29</w:t>
            </w:r>
            <w:r w:rsidRPr="001D12BE">
              <w:rPr>
                <w:rFonts w:eastAsia="Times New Roman" w:cs="Arial"/>
                <w:color w:val="7030A0"/>
                <w:sz w:val="22"/>
                <w:lang w:eastAsia="en-GB"/>
              </w:rPr>
              <w:t>/3</w:t>
            </w:r>
            <w:r>
              <w:rPr>
                <w:rFonts w:eastAsia="Times New Roman" w:cs="Arial"/>
                <w:color w:val="7030A0"/>
                <w:sz w:val="22"/>
                <w:lang w:eastAsia="en-GB"/>
              </w:rPr>
              <w:t>0.</w:t>
            </w:r>
          </w:p>
        </w:tc>
      </w:tr>
      <w:tr w:rsidR="00DD7C55" w:rsidRPr="00DF7F96" w14:paraId="10DBC763" w14:textId="77777777" w:rsidTr="00DD7C55">
        <w:trPr>
          <w:trHeight w:val="837"/>
        </w:trPr>
        <w:tc>
          <w:tcPr>
            <w:tcW w:w="846" w:type="dxa"/>
            <w:tcBorders>
              <w:top w:val="single" w:sz="4" w:space="0" w:color="auto"/>
              <w:left w:val="single" w:sz="4" w:space="0" w:color="auto"/>
              <w:bottom w:val="single" w:sz="4" w:space="0" w:color="auto"/>
              <w:right w:val="single" w:sz="4" w:space="0" w:color="auto"/>
            </w:tcBorders>
            <w:noWrap/>
          </w:tcPr>
          <w:p w14:paraId="03833160" w14:textId="69FFBAFB" w:rsidR="00DD7C55" w:rsidRPr="00DD7C55" w:rsidRDefault="00DD7C55" w:rsidP="00FB020F">
            <w:pPr>
              <w:spacing w:after="0" w:line="240" w:lineRule="auto"/>
              <w:jc w:val="left"/>
              <w:rPr>
                <w:rFonts w:eastAsia="Times New Roman" w:cs="Arial"/>
                <w:color w:val="7030A0"/>
                <w:sz w:val="22"/>
                <w:lang w:eastAsia="en-GB"/>
              </w:rPr>
            </w:pPr>
            <w:r w:rsidRPr="00DD7C55">
              <w:rPr>
                <w:rFonts w:eastAsia="Times New Roman" w:cs="Arial"/>
                <w:color w:val="7030A0"/>
                <w:sz w:val="22"/>
                <w:lang w:eastAsia="en-GB"/>
              </w:rPr>
              <w:t>H1Kp</w:t>
            </w:r>
          </w:p>
        </w:tc>
        <w:tc>
          <w:tcPr>
            <w:tcW w:w="1763" w:type="dxa"/>
            <w:tcBorders>
              <w:top w:val="single" w:sz="4" w:space="0" w:color="auto"/>
              <w:left w:val="nil"/>
              <w:bottom w:val="single" w:sz="4" w:space="0" w:color="auto"/>
              <w:right w:val="single" w:sz="4" w:space="0" w:color="auto"/>
            </w:tcBorders>
          </w:tcPr>
          <w:p w14:paraId="5B09E1B3" w14:textId="295D8E6E" w:rsidR="00DD7C55" w:rsidRPr="00DD7C55" w:rsidRDefault="00940C84" w:rsidP="00FB020F">
            <w:pPr>
              <w:spacing w:after="0" w:line="240" w:lineRule="auto"/>
              <w:jc w:val="left"/>
              <w:rPr>
                <w:rFonts w:eastAsia="Times New Roman" w:cs="Arial"/>
                <w:color w:val="7030A0"/>
                <w:sz w:val="22"/>
                <w:lang w:eastAsia="en-GB"/>
              </w:rPr>
            </w:pPr>
            <w:r>
              <w:rPr>
                <w:rFonts w:eastAsia="Times New Roman" w:cs="Arial"/>
                <w:color w:val="7030A0"/>
                <w:sz w:val="22"/>
                <w:lang w:eastAsia="en-GB"/>
              </w:rPr>
              <w:t>Pond Hole, Kirkby</w:t>
            </w:r>
          </w:p>
        </w:tc>
        <w:tc>
          <w:tcPr>
            <w:tcW w:w="1300" w:type="dxa"/>
            <w:tcBorders>
              <w:top w:val="single" w:sz="4" w:space="0" w:color="auto"/>
              <w:left w:val="nil"/>
              <w:bottom w:val="single" w:sz="4" w:space="0" w:color="auto"/>
              <w:right w:val="single" w:sz="4" w:space="0" w:color="auto"/>
            </w:tcBorders>
            <w:noWrap/>
          </w:tcPr>
          <w:p w14:paraId="25248837" w14:textId="4A634FAF" w:rsidR="00DD7C55" w:rsidRPr="00DD7C55" w:rsidRDefault="00940C84" w:rsidP="006F4F5F">
            <w:pPr>
              <w:spacing w:after="0" w:line="240" w:lineRule="auto"/>
              <w:jc w:val="center"/>
              <w:rPr>
                <w:rFonts w:eastAsia="Times New Roman" w:cs="Arial"/>
                <w:color w:val="7030A0"/>
                <w:sz w:val="22"/>
                <w:lang w:eastAsia="en-GB"/>
              </w:rPr>
            </w:pPr>
            <w:r>
              <w:rPr>
                <w:rFonts w:eastAsia="Times New Roman" w:cs="Arial"/>
                <w:color w:val="7030A0"/>
                <w:sz w:val="22"/>
                <w:lang w:eastAsia="en-GB"/>
              </w:rPr>
              <w:t>B</w:t>
            </w:r>
          </w:p>
        </w:tc>
        <w:tc>
          <w:tcPr>
            <w:tcW w:w="1322" w:type="dxa"/>
            <w:tcBorders>
              <w:top w:val="single" w:sz="4" w:space="0" w:color="auto"/>
              <w:left w:val="nil"/>
              <w:bottom w:val="single" w:sz="4" w:space="0" w:color="auto"/>
              <w:right w:val="single" w:sz="4" w:space="0" w:color="auto"/>
            </w:tcBorders>
            <w:noWrap/>
          </w:tcPr>
          <w:p w14:paraId="058A66F2" w14:textId="6D55EBBE" w:rsidR="00DD7C55" w:rsidRPr="00DD7C55" w:rsidRDefault="00940C84" w:rsidP="00FB020F">
            <w:pPr>
              <w:spacing w:after="0" w:line="240" w:lineRule="auto"/>
              <w:jc w:val="center"/>
              <w:rPr>
                <w:rFonts w:eastAsia="Times New Roman" w:cs="Arial"/>
                <w:color w:val="7030A0"/>
                <w:sz w:val="22"/>
                <w:lang w:eastAsia="en-GB"/>
              </w:rPr>
            </w:pPr>
            <w:r>
              <w:rPr>
                <w:rFonts w:eastAsia="Times New Roman" w:cs="Arial"/>
                <w:color w:val="7030A0"/>
                <w:sz w:val="22"/>
                <w:lang w:eastAsia="en-GB"/>
              </w:rPr>
              <w:t>No</w:t>
            </w:r>
          </w:p>
        </w:tc>
        <w:tc>
          <w:tcPr>
            <w:tcW w:w="1304" w:type="dxa"/>
            <w:tcBorders>
              <w:top w:val="single" w:sz="4" w:space="0" w:color="auto"/>
              <w:left w:val="nil"/>
              <w:bottom w:val="single" w:sz="4" w:space="0" w:color="auto"/>
              <w:right w:val="single" w:sz="4" w:space="0" w:color="auto"/>
            </w:tcBorders>
            <w:noWrap/>
          </w:tcPr>
          <w:p w14:paraId="299C17E6" w14:textId="62E00178" w:rsidR="00DD7C55" w:rsidRPr="00DD7C55" w:rsidRDefault="00940C84" w:rsidP="00FB020F">
            <w:pPr>
              <w:spacing w:after="0" w:line="240" w:lineRule="auto"/>
              <w:jc w:val="right"/>
              <w:rPr>
                <w:rFonts w:eastAsia="Times New Roman" w:cs="Arial"/>
                <w:color w:val="7030A0"/>
                <w:sz w:val="22"/>
                <w:lang w:eastAsia="en-GB"/>
              </w:rPr>
            </w:pPr>
            <w:r>
              <w:rPr>
                <w:rFonts w:eastAsia="Times New Roman" w:cs="Arial"/>
                <w:color w:val="7030A0"/>
                <w:sz w:val="22"/>
                <w:lang w:eastAsia="en-GB"/>
              </w:rPr>
              <w:t>54</w:t>
            </w:r>
          </w:p>
        </w:tc>
        <w:tc>
          <w:tcPr>
            <w:tcW w:w="3241" w:type="dxa"/>
            <w:tcBorders>
              <w:top w:val="single" w:sz="4" w:space="0" w:color="auto"/>
              <w:left w:val="nil"/>
              <w:bottom w:val="single" w:sz="4" w:space="0" w:color="auto"/>
              <w:right w:val="single" w:sz="4" w:space="0" w:color="auto"/>
            </w:tcBorders>
          </w:tcPr>
          <w:p w14:paraId="38650873" w14:textId="597F4A9E" w:rsidR="00070F6C" w:rsidRDefault="00070F6C" w:rsidP="00DE343F">
            <w:pPr>
              <w:spacing w:after="0" w:line="240" w:lineRule="auto"/>
              <w:jc w:val="left"/>
              <w:rPr>
                <w:rFonts w:eastAsia="Times New Roman" w:cs="Arial"/>
                <w:color w:val="7030A0"/>
                <w:sz w:val="22"/>
                <w:lang w:eastAsia="en-GB"/>
              </w:rPr>
            </w:pPr>
            <w:r>
              <w:rPr>
                <w:rFonts w:eastAsia="Times New Roman" w:cs="Arial"/>
                <w:color w:val="7030A0"/>
                <w:sz w:val="22"/>
                <w:lang w:eastAsia="en-GB"/>
              </w:rPr>
              <w:t xml:space="preserve">Town centre vacant brownfield site. Forms part of the Towns </w:t>
            </w:r>
            <w:r w:rsidR="00E47AC2">
              <w:rPr>
                <w:rFonts w:eastAsia="Times New Roman" w:cs="Arial"/>
                <w:color w:val="7030A0"/>
                <w:sz w:val="22"/>
                <w:lang w:eastAsia="en-GB"/>
              </w:rPr>
              <w:t>F</w:t>
            </w:r>
            <w:r>
              <w:rPr>
                <w:rFonts w:eastAsia="Times New Roman" w:cs="Arial"/>
                <w:color w:val="7030A0"/>
                <w:sz w:val="22"/>
                <w:lang w:eastAsia="en-GB"/>
              </w:rPr>
              <w:t xml:space="preserve">unds </w:t>
            </w:r>
            <w:r w:rsidR="00E47AC2">
              <w:rPr>
                <w:rFonts w:eastAsia="Times New Roman" w:cs="Arial"/>
                <w:color w:val="7030A0"/>
                <w:sz w:val="22"/>
                <w:lang w:eastAsia="en-GB"/>
              </w:rPr>
              <w:t>P</w:t>
            </w:r>
            <w:r>
              <w:rPr>
                <w:rFonts w:eastAsia="Times New Roman" w:cs="Arial"/>
                <w:color w:val="7030A0"/>
                <w:sz w:val="22"/>
                <w:lang w:eastAsia="en-GB"/>
              </w:rPr>
              <w:t>rogramme with a grant secured for remediation work.</w:t>
            </w:r>
          </w:p>
          <w:p w14:paraId="644D9F0E" w14:textId="76216323" w:rsidR="00DD7C55" w:rsidRPr="00DD7C55" w:rsidRDefault="00070F6C" w:rsidP="00DE343F">
            <w:pPr>
              <w:spacing w:after="0" w:line="240" w:lineRule="auto"/>
              <w:jc w:val="left"/>
              <w:rPr>
                <w:rFonts w:eastAsia="Times New Roman" w:cs="Arial"/>
                <w:color w:val="7030A0"/>
                <w:sz w:val="22"/>
                <w:lang w:eastAsia="en-GB"/>
              </w:rPr>
            </w:pPr>
            <w:r w:rsidRPr="001D12BE">
              <w:rPr>
                <w:rFonts w:eastAsia="Times New Roman" w:cs="Arial"/>
                <w:color w:val="7030A0"/>
                <w:sz w:val="22"/>
                <w:lang w:eastAsia="en-GB"/>
              </w:rPr>
              <w:t xml:space="preserve">Anticipated delivery to commence year </w:t>
            </w:r>
            <w:r>
              <w:rPr>
                <w:rFonts w:eastAsia="Times New Roman" w:cs="Arial"/>
                <w:color w:val="7030A0"/>
                <w:sz w:val="22"/>
                <w:lang w:eastAsia="en-GB"/>
              </w:rPr>
              <w:t xml:space="preserve">2 </w:t>
            </w:r>
            <w:r w:rsidRPr="001D12BE">
              <w:rPr>
                <w:rFonts w:eastAsia="Times New Roman" w:cs="Arial"/>
                <w:color w:val="7030A0"/>
                <w:sz w:val="22"/>
                <w:lang w:eastAsia="en-GB"/>
              </w:rPr>
              <w:t>20</w:t>
            </w:r>
            <w:r>
              <w:rPr>
                <w:rFonts w:eastAsia="Times New Roman" w:cs="Arial"/>
                <w:color w:val="7030A0"/>
                <w:sz w:val="22"/>
                <w:lang w:eastAsia="en-GB"/>
              </w:rPr>
              <w:t xml:space="preserve">26/27, </w:t>
            </w:r>
            <w:r>
              <w:rPr>
                <w:rFonts w:eastAsia="Times New Roman" w:cs="Arial"/>
                <w:color w:val="7030A0"/>
                <w:sz w:val="22"/>
                <w:lang w:eastAsia="en-GB"/>
              </w:rPr>
              <w:lastRenderedPageBreak/>
              <w:t>accounting for grant conditions.</w:t>
            </w:r>
          </w:p>
        </w:tc>
      </w:tr>
    </w:tbl>
    <w:p w14:paraId="20431E5D" w14:textId="77777777" w:rsidR="006237D4" w:rsidRPr="007C6C7B" w:rsidRDefault="006237D4" w:rsidP="000C09F3">
      <w:pPr>
        <w:rPr>
          <w:rFonts w:cs="Arial"/>
          <w:b/>
          <w:bCs/>
          <w:i/>
          <w:iCs/>
          <w:szCs w:val="24"/>
        </w:rPr>
      </w:pPr>
    </w:p>
    <w:tbl>
      <w:tblPr>
        <w:tblW w:w="9875" w:type="dxa"/>
        <w:tblLayout w:type="fixed"/>
        <w:tblLook w:val="04A0" w:firstRow="1" w:lastRow="0" w:firstColumn="1" w:lastColumn="0" w:noHBand="0" w:noVBand="1"/>
      </w:tblPr>
      <w:tblGrid>
        <w:gridCol w:w="846"/>
        <w:gridCol w:w="1843"/>
        <w:gridCol w:w="1275"/>
        <w:gridCol w:w="1418"/>
        <w:gridCol w:w="1417"/>
        <w:gridCol w:w="3076"/>
      </w:tblGrid>
      <w:tr w:rsidR="00BE61B7" w:rsidRPr="00FB020F" w14:paraId="3CC9A502" w14:textId="77777777" w:rsidTr="00164192">
        <w:trPr>
          <w:trHeight w:val="840"/>
        </w:trPr>
        <w:tc>
          <w:tcPr>
            <w:tcW w:w="846" w:type="dxa"/>
            <w:tcBorders>
              <w:top w:val="single" w:sz="4" w:space="0" w:color="auto"/>
              <w:left w:val="single" w:sz="4" w:space="0" w:color="auto"/>
              <w:bottom w:val="single" w:sz="4" w:space="0" w:color="auto"/>
              <w:right w:val="single" w:sz="4" w:space="0" w:color="auto"/>
            </w:tcBorders>
            <w:shd w:val="clear" w:color="000000" w:fill="D9D9D9"/>
            <w:hideMark/>
          </w:tcPr>
          <w:p w14:paraId="5FC1269A" w14:textId="77777777" w:rsidR="00FB020F" w:rsidRPr="00FB020F" w:rsidRDefault="00FB020F" w:rsidP="00FB020F">
            <w:pPr>
              <w:spacing w:after="0" w:line="240" w:lineRule="auto"/>
              <w:rPr>
                <w:rFonts w:eastAsia="Times New Roman" w:cs="Arial"/>
                <w:color w:val="000000"/>
                <w:sz w:val="22"/>
                <w:lang w:eastAsia="en-GB"/>
              </w:rPr>
            </w:pPr>
            <w:bookmarkStart w:id="4" w:name="_Hlk214798800"/>
            <w:r w:rsidRPr="00FB020F">
              <w:rPr>
                <w:rFonts w:eastAsia="Times New Roman" w:cs="Arial"/>
                <w:color w:val="000000"/>
                <w:sz w:val="22"/>
                <w:lang w:eastAsia="en-GB"/>
              </w:rPr>
              <w:t>Site Ref.</w:t>
            </w:r>
          </w:p>
        </w:tc>
        <w:tc>
          <w:tcPr>
            <w:tcW w:w="1843" w:type="dxa"/>
            <w:tcBorders>
              <w:top w:val="single" w:sz="4" w:space="0" w:color="auto"/>
              <w:left w:val="nil"/>
              <w:bottom w:val="single" w:sz="4" w:space="0" w:color="auto"/>
              <w:right w:val="single" w:sz="4" w:space="0" w:color="auto"/>
            </w:tcBorders>
            <w:shd w:val="clear" w:color="000000" w:fill="D9D9D9"/>
            <w:hideMark/>
          </w:tcPr>
          <w:p w14:paraId="0FF2C7C7"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t>Site Name</w:t>
            </w:r>
          </w:p>
        </w:tc>
        <w:tc>
          <w:tcPr>
            <w:tcW w:w="1275" w:type="dxa"/>
            <w:tcBorders>
              <w:top w:val="single" w:sz="4" w:space="0" w:color="auto"/>
              <w:left w:val="nil"/>
              <w:bottom w:val="single" w:sz="4" w:space="0" w:color="auto"/>
              <w:right w:val="single" w:sz="4" w:space="0" w:color="auto"/>
            </w:tcBorders>
            <w:shd w:val="clear" w:color="000000" w:fill="D9D9D9"/>
            <w:hideMark/>
          </w:tcPr>
          <w:p w14:paraId="6FE6CAFF" w14:textId="77777777" w:rsidR="00FB020F" w:rsidRPr="00FB020F" w:rsidRDefault="00FB020F" w:rsidP="00FB020F">
            <w:pPr>
              <w:spacing w:after="0" w:line="240" w:lineRule="auto"/>
              <w:jc w:val="center"/>
              <w:rPr>
                <w:rFonts w:eastAsia="Times New Roman" w:cs="Arial"/>
                <w:color w:val="000000"/>
                <w:sz w:val="22"/>
                <w:lang w:eastAsia="en-GB"/>
              </w:rPr>
            </w:pPr>
            <w:r w:rsidRPr="00FB020F">
              <w:rPr>
                <w:rFonts w:eastAsia="Times New Roman" w:cs="Arial"/>
                <w:color w:val="000000"/>
                <w:sz w:val="22"/>
                <w:lang w:eastAsia="en-GB"/>
              </w:rPr>
              <w:t>Greenfield/ Brownfield</w:t>
            </w:r>
          </w:p>
        </w:tc>
        <w:tc>
          <w:tcPr>
            <w:tcW w:w="1418" w:type="dxa"/>
            <w:tcBorders>
              <w:top w:val="single" w:sz="4" w:space="0" w:color="auto"/>
              <w:left w:val="nil"/>
              <w:bottom w:val="single" w:sz="4" w:space="0" w:color="auto"/>
              <w:right w:val="single" w:sz="4" w:space="0" w:color="auto"/>
            </w:tcBorders>
            <w:shd w:val="clear" w:color="000000" w:fill="D9D9D9"/>
            <w:hideMark/>
          </w:tcPr>
          <w:p w14:paraId="04069133" w14:textId="6A1BEB6F" w:rsidR="00FB020F" w:rsidRPr="00FB020F" w:rsidRDefault="00FB020F" w:rsidP="00FB020F">
            <w:pPr>
              <w:spacing w:after="0" w:line="240" w:lineRule="auto"/>
              <w:jc w:val="center"/>
              <w:rPr>
                <w:rFonts w:eastAsia="Times New Roman" w:cs="Arial"/>
                <w:color w:val="000000"/>
                <w:sz w:val="22"/>
                <w:lang w:eastAsia="en-GB"/>
              </w:rPr>
            </w:pPr>
            <w:r w:rsidRPr="00FB020F">
              <w:rPr>
                <w:rFonts w:eastAsia="Times New Roman" w:cs="Arial"/>
                <w:color w:val="000000"/>
                <w:sz w:val="22"/>
                <w:lang w:eastAsia="en-GB"/>
              </w:rPr>
              <w:t>Planning Permission</w:t>
            </w:r>
          </w:p>
        </w:tc>
        <w:tc>
          <w:tcPr>
            <w:tcW w:w="1417" w:type="dxa"/>
            <w:tcBorders>
              <w:top w:val="single" w:sz="4" w:space="0" w:color="auto"/>
              <w:left w:val="nil"/>
              <w:bottom w:val="single" w:sz="4" w:space="0" w:color="auto"/>
              <w:right w:val="single" w:sz="4" w:space="0" w:color="auto"/>
            </w:tcBorders>
            <w:shd w:val="clear" w:color="000000" w:fill="D9D9D9"/>
            <w:hideMark/>
          </w:tcPr>
          <w:p w14:paraId="0AFD0F0C"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t>Potential Yield (Dwellings)</w:t>
            </w:r>
          </w:p>
        </w:tc>
        <w:tc>
          <w:tcPr>
            <w:tcW w:w="3076" w:type="dxa"/>
            <w:tcBorders>
              <w:top w:val="single" w:sz="4" w:space="0" w:color="auto"/>
              <w:left w:val="nil"/>
              <w:bottom w:val="single" w:sz="4" w:space="0" w:color="auto"/>
              <w:right w:val="single" w:sz="4" w:space="0" w:color="auto"/>
            </w:tcBorders>
            <w:shd w:val="clear" w:color="000000" w:fill="D9D9D9"/>
            <w:hideMark/>
          </w:tcPr>
          <w:p w14:paraId="2936F7B5" w14:textId="77777777" w:rsidR="00FB020F" w:rsidRPr="00FB020F" w:rsidRDefault="00FB020F" w:rsidP="00FB020F">
            <w:pPr>
              <w:spacing w:after="0" w:line="240" w:lineRule="auto"/>
              <w:rPr>
                <w:rFonts w:eastAsia="Times New Roman" w:cs="Arial"/>
                <w:color w:val="000000"/>
                <w:sz w:val="22"/>
                <w:lang w:eastAsia="en-GB"/>
              </w:rPr>
            </w:pPr>
            <w:r w:rsidRPr="00FB020F">
              <w:rPr>
                <w:rFonts w:eastAsia="Times New Roman" w:cs="Arial"/>
                <w:color w:val="000000"/>
                <w:sz w:val="22"/>
                <w:lang w:eastAsia="en-GB"/>
              </w:rPr>
              <w:t>Current Status</w:t>
            </w:r>
          </w:p>
        </w:tc>
      </w:tr>
      <w:bookmarkEnd w:id="4"/>
      <w:tr w:rsidR="00A05DCF" w:rsidRPr="00FB020F" w14:paraId="365A01C2" w14:textId="77777777" w:rsidTr="00164192">
        <w:trPr>
          <w:trHeight w:val="1120"/>
        </w:trPr>
        <w:tc>
          <w:tcPr>
            <w:tcW w:w="846" w:type="dxa"/>
            <w:tcBorders>
              <w:top w:val="nil"/>
              <w:left w:val="single" w:sz="4" w:space="0" w:color="auto"/>
              <w:bottom w:val="single" w:sz="4" w:space="0" w:color="auto"/>
              <w:right w:val="single" w:sz="4" w:space="0" w:color="auto"/>
            </w:tcBorders>
            <w:noWrap/>
            <w:hideMark/>
          </w:tcPr>
          <w:p w14:paraId="3EA2E212"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H1Sb</w:t>
            </w:r>
          </w:p>
        </w:tc>
        <w:tc>
          <w:tcPr>
            <w:tcW w:w="1843" w:type="dxa"/>
            <w:tcBorders>
              <w:top w:val="nil"/>
              <w:left w:val="nil"/>
              <w:bottom w:val="single" w:sz="4" w:space="0" w:color="auto"/>
              <w:right w:val="single" w:sz="4" w:space="0" w:color="auto"/>
            </w:tcBorders>
            <w:hideMark/>
          </w:tcPr>
          <w:p w14:paraId="09C7A003"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South of Vision West Nottinghamshire College, Cauldwell Road, Sutton-In-Ashfield</w:t>
            </w:r>
          </w:p>
        </w:tc>
        <w:tc>
          <w:tcPr>
            <w:tcW w:w="1275" w:type="dxa"/>
            <w:tcBorders>
              <w:top w:val="nil"/>
              <w:left w:val="nil"/>
              <w:bottom w:val="single" w:sz="4" w:space="0" w:color="auto"/>
              <w:right w:val="single" w:sz="4" w:space="0" w:color="auto"/>
            </w:tcBorders>
            <w:noWrap/>
            <w:hideMark/>
          </w:tcPr>
          <w:p w14:paraId="4A5253E7"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nil"/>
              <w:left w:val="nil"/>
              <w:bottom w:val="single" w:sz="4" w:space="0" w:color="auto"/>
              <w:right w:val="single" w:sz="4" w:space="0" w:color="auto"/>
            </w:tcBorders>
            <w:noWrap/>
            <w:hideMark/>
          </w:tcPr>
          <w:p w14:paraId="5369A354"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nil"/>
              <w:left w:val="nil"/>
              <w:bottom w:val="single" w:sz="4" w:space="0" w:color="auto"/>
              <w:right w:val="single" w:sz="4" w:space="0" w:color="auto"/>
            </w:tcBorders>
            <w:noWrap/>
            <w:hideMark/>
          </w:tcPr>
          <w:p w14:paraId="16ABA243" w14:textId="1478C7BF" w:rsidR="00FB020F" w:rsidRPr="00FB020F" w:rsidRDefault="00FB020F" w:rsidP="00FB020F">
            <w:pPr>
              <w:spacing w:after="0" w:line="240" w:lineRule="auto"/>
              <w:jc w:val="right"/>
              <w:rPr>
                <w:rFonts w:eastAsia="Times New Roman" w:cs="Arial"/>
                <w:color w:val="00B050"/>
                <w:sz w:val="22"/>
                <w:lang w:eastAsia="en-GB"/>
              </w:rPr>
            </w:pPr>
            <w:r w:rsidRPr="0030544F">
              <w:rPr>
                <w:rFonts w:eastAsia="Times New Roman" w:cs="Arial"/>
                <w:sz w:val="22"/>
                <w:lang w:eastAsia="en-GB"/>
              </w:rPr>
              <w:t>2</w:t>
            </w:r>
            <w:r w:rsidR="00760C7B">
              <w:rPr>
                <w:rFonts w:eastAsia="Times New Roman" w:cs="Arial"/>
                <w:sz w:val="22"/>
                <w:lang w:eastAsia="en-GB"/>
              </w:rPr>
              <w:t>08</w:t>
            </w:r>
          </w:p>
        </w:tc>
        <w:tc>
          <w:tcPr>
            <w:tcW w:w="3076" w:type="dxa"/>
            <w:tcBorders>
              <w:top w:val="nil"/>
              <w:left w:val="nil"/>
              <w:bottom w:val="single" w:sz="4" w:space="0" w:color="auto"/>
              <w:right w:val="single" w:sz="4" w:space="0" w:color="auto"/>
            </w:tcBorders>
            <w:hideMark/>
          </w:tcPr>
          <w:p w14:paraId="0E6D2181" w14:textId="3A3D0540" w:rsidR="00FB020F" w:rsidRPr="00E919EC" w:rsidRDefault="0030544F" w:rsidP="00FB020F">
            <w:pPr>
              <w:spacing w:after="0" w:line="240" w:lineRule="auto"/>
              <w:jc w:val="left"/>
              <w:rPr>
                <w:rFonts w:eastAsia="Times New Roman" w:cs="Arial"/>
                <w:sz w:val="22"/>
                <w:lang w:eastAsia="en-GB"/>
              </w:rPr>
            </w:pPr>
            <w:r w:rsidRPr="00E919EC">
              <w:rPr>
                <w:rFonts w:eastAsia="Times New Roman" w:cs="Arial"/>
                <w:sz w:val="22"/>
                <w:lang w:eastAsia="en-GB"/>
              </w:rPr>
              <w:t>Resolved in March 2023</w:t>
            </w:r>
            <w:r w:rsidR="00FB020F" w:rsidRPr="00E919EC">
              <w:rPr>
                <w:rFonts w:eastAsia="Times New Roman" w:cs="Arial"/>
                <w:sz w:val="22"/>
                <w:lang w:eastAsia="en-GB"/>
              </w:rPr>
              <w:t xml:space="preserve"> to grant </w:t>
            </w:r>
            <w:r w:rsidRPr="00E919EC">
              <w:rPr>
                <w:rFonts w:eastAsia="Times New Roman" w:cs="Arial"/>
                <w:sz w:val="22"/>
                <w:lang w:eastAsia="en-GB"/>
              </w:rPr>
              <w:t xml:space="preserve">outline permission </w:t>
            </w:r>
            <w:r w:rsidR="00FB020F" w:rsidRPr="00E919EC">
              <w:rPr>
                <w:rFonts w:eastAsia="Times New Roman" w:cs="Arial"/>
                <w:sz w:val="22"/>
                <w:lang w:eastAsia="en-GB"/>
              </w:rPr>
              <w:t>subject to S106 22/03/2023 (V/2021/0792) for up to 235 dwgs. Arc Partnership on behalf of Nottinghamshire</w:t>
            </w:r>
            <w:r w:rsidR="00FB020F" w:rsidRPr="00E919EC">
              <w:rPr>
                <w:rFonts w:eastAsia="Times New Roman" w:cs="Arial"/>
                <w:sz w:val="22"/>
                <w:lang w:eastAsia="en-GB"/>
              </w:rPr>
              <w:br/>
              <w:t>County Council</w:t>
            </w:r>
            <w:r w:rsidRPr="00E919EC">
              <w:rPr>
                <w:rFonts w:eastAsia="Times New Roman" w:cs="Arial"/>
                <w:sz w:val="22"/>
                <w:lang w:eastAsia="en-GB"/>
              </w:rPr>
              <w:t>.</w:t>
            </w:r>
            <w:r w:rsidR="00E919EC" w:rsidRPr="00E919EC">
              <w:rPr>
                <w:rFonts w:eastAsia="Times New Roman" w:cs="Arial"/>
                <w:sz w:val="22"/>
                <w:lang w:eastAsia="en-GB"/>
              </w:rPr>
              <w:t xml:space="preserve"> </w:t>
            </w:r>
            <w:r w:rsidR="00E919EC" w:rsidRPr="00E919EC">
              <w:rPr>
                <w:rFonts w:eastAsia="Times New Roman" w:cs="Arial"/>
                <w:color w:val="7030A0"/>
                <w:sz w:val="22"/>
                <w:lang w:eastAsia="en-GB"/>
              </w:rPr>
              <w:t>Draft s106 agreement in place.</w:t>
            </w:r>
          </w:p>
          <w:p w14:paraId="517CA886" w14:textId="2DEB681E" w:rsidR="0030544F" w:rsidRPr="00FC696B" w:rsidRDefault="0030544F" w:rsidP="00FB020F">
            <w:pPr>
              <w:spacing w:after="0" w:line="240" w:lineRule="auto"/>
              <w:jc w:val="left"/>
              <w:rPr>
                <w:rFonts w:eastAsia="Times New Roman" w:cs="Arial"/>
                <w:sz w:val="22"/>
                <w:highlight w:val="yellow"/>
                <w:lang w:eastAsia="en-GB"/>
              </w:rPr>
            </w:pPr>
            <w:r w:rsidRPr="00E919EC">
              <w:rPr>
                <w:rFonts w:eastAsia="Times New Roman" w:cs="Arial"/>
                <w:sz w:val="22"/>
                <w:lang w:eastAsia="en-GB"/>
              </w:rPr>
              <w:t xml:space="preserve">Anticipated </w:t>
            </w:r>
            <w:r w:rsidR="006F370D" w:rsidRPr="00E919EC">
              <w:rPr>
                <w:rFonts w:eastAsia="Times New Roman" w:cs="Arial"/>
                <w:sz w:val="22"/>
                <w:lang w:eastAsia="en-GB"/>
              </w:rPr>
              <w:t xml:space="preserve">delivery to commence </w:t>
            </w:r>
            <w:r w:rsidRPr="00E919EC">
              <w:rPr>
                <w:rFonts w:eastAsia="Times New Roman" w:cs="Arial"/>
                <w:sz w:val="22"/>
                <w:lang w:eastAsia="en-GB"/>
              </w:rPr>
              <w:t xml:space="preserve">year </w:t>
            </w:r>
            <w:r w:rsidR="00E919EC" w:rsidRPr="00E919EC">
              <w:rPr>
                <w:rFonts w:eastAsia="Times New Roman" w:cs="Arial"/>
                <w:color w:val="7030A0"/>
                <w:sz w:val="22"/>
                <w:lang w:eastAsia="en-GB"/>
              </w:rPr>
              <w:t xml:space="preserve">6 </w:t>
            </w:r>
            <w:r w:rsidRPr="00E919EC">
              <w:rPr>
                <w:rFonts w:eastAsia="Times New Roman" w:cs="Arial"/>
                <w:strike/>
                <w:sz w:val="22"/>
                <w:lang w:eastAsia="en-GB"/>
              </w:rPr>
              <w:t>202</w:t>
            </w:r>
            <w:r w:rsidR="007B5420" w:rsidRPr="00E919EC">
              <w:rPr>
                <w:rFonts w:eastAsia="Times New Roman" w:cs="Arial"/>
                <w:strike/>
                <w:sz w:val="22"/>
                <w:lang w:eastAsia="en-GB"/>
              </w:rPr>
              <w:t>8</w:t>
            </w:r>
            <w:r w:rsidRPr="00E919EC">
              <w:rPr>
                <w:rFonts w:eastAsia="Times New Roman" w:cs="Arial"/>
                <w:strike/>
                <w:sz w:val="22"/>
                <w:lang w:eastAsia="en-GB"/>
              </w:rPr>
              <w:t>/</w:t>
            </w:r>
            <w:r w:rsidR="007B5420" w:rsidRPr="00E919EC">
              <w:rPr>
                <w:rFonts w:eastAsia="Times New Roman" w:cs="Arial"/>
                <w:strike/>
                <w:sz w:val="22"/>
                <w:lang w:eastAsia="en-GB"/>
              </w:rPr>
              <w:t>29</w:t>
            </w:r>
            <w:r w:rsidRPr="00E919EC">
              <w:rPr>
                <w:rFonts w:eastAsia="Times New Roman" w:cs="Arial"/>
                <w:sz w:val="22"/>
                <w:lang w:eastAsia="en-GB"/>
              </w:rPr>
              <w:t>.</w:t>
            </w:r>
            <w:r w:rsidR="00E919EC">
              <w:rPr>
                <w:rFonts w:eastAsia="Times New Roman" w:cs="Arial"/>
                <w:sz w:val="22"/>
                <w:lang w:eastAsia="en-GB"/>
              </w:rPr>
              <w:t xml:space="preserve"> </w:t>
            </w:r>
            <w:r w:rsidR="00E919EC" w:rsidRPr="00E919EC">
              <w:rPr>
                <w:rFonts w:eastAsia="Times New Roman" w:cs="Arial"/>
                <w:color w:val="7030A0"/>
                <w:sz w:val="22"/>
                <w:lang w:eastAsia="en-GB"/>
              </w:rPr>
              <w:t>2030/31.</w:t>
            </w:r>
          </w:p>
        </w:tc>
      </w:tr>
      <w:tr w:rsidR="00A05DCF" w:rsidRPr="00FB020F" w14:paraId="4F946118" w14:textId="77777777" w:rsidTr="00164192">
        <w:trPr>
          <w:trHeight w:val="700"/>
        </w:trPr>
        <w:tc>
          <w:tcPr>
            <w:tcW w:w="846" w:type="dxa"/>
            <w:tcBorders>
              <w:top w:val="single" w:sz="4" w:space="0" w:color="auto"/>
              <w:left w:val="single" w:sz="4" w:space="0" w:color="auto"/>
              <w:bottom w:val="single" w:sz="4" w:space="0" w:color="auto"/>
              <w:right w:val="single" w:sz="4" w:space="0" w:color="auto"/>
            </w:tcBorders>
            <w:noWrap/>
            <w:hideMark/>
          </w:tcPr>
          <w:p w14:paraId="1A4D8B9E"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H1Sd</w:t>
            </w:r>
          </w:p>
        </w:tc>
        <w:tc>
          <w:tcPr>
            <w:tcW w:w="1843" w:type="dxa"/>
            <w:tcBorders>
              <w:top w:val="single" w:sz="4" w:space="0" w:color="auto"/>
              <w:left w:val="nil"/>
              <w:bottom w:val="single" w:sz="4" w:space="0" w:color="auto"/>
              <w:right w:val="single" w:sz="4" w:space="0" w:color="auto"/>
            </w:tcBorders>
            <w:hideMark/>
          </w:tcPr>
          <w:p w14:paraId="2BF1E4D2"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Adj Oakham Business Park, off Hamilton Road </w:t>
            </w:r>
          </w:p>
        </w:tc>
        <w:tc>
          <w:tcPr>
            <w:tcW w:w="1275" w:type="dxa"/>
            <w:tcBorders>
              <w:top w:val="single" w:sz="4" w:space="0" w:color="auto"/>
              <w:left w:val="nil"/>
              <w:bottom w:val="single" w:sz="4" w:space="0" w:color="auto"/>
              <w:right w:val="single" w:sz="4" w:space="0" w:color="auto"/>
            </w:tcBorders>
            <w:noWrap/>
            <w:hideMark/>
          </w:tcPr>
          <w:p w14:paraId="79E41D82"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single" w:sz="4" w:space="0" w:color="auto"/>
              <w:left w:val="nil"/>
              <w:bottom w:val="single" w:sz="4" w:space="0" w:color="auto"/>
              <w:right w:val="single" w:sz="4" w:space="0" w:color="auto"/>
            </w:tcBorders>
            <w:noWrap/>
            <w:hideMark/>
          </w:tcPr>
          <w:p w14:paraId="3F4D0088"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single" w:sz="4" w:space="0" w:color="auto"/>
              <w:left w:val="nil"/>
              <w:bottom w:val="single" w:sz="4" w:space="0" w:color="auto"/>
              <w:right w:val="single" w:sz="4" w:space="0" w:color="auto"/>
            </w:tcBorders>
            <w:noWrap/>
            <w:hideMark/>
          </w:tcPr>
          <w:p w14:paraId="081A4870"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225</w:t>
            </w:r>
          </w:p>
        </w:tc>
        <w:tc>
          <w:tcPr>
            <w:tcW w:w="3076" w:type="dxa"/>
            <w:tcBorders>
              <w:top w:val="nil"/>
              <w:left w:val="nil"/>
              <w:bottom w:val="single" w:sz="4" w:space="0" w:color="auto"/>
              <w:right w:val="single" w:sz="4" w:space="0" w:color="auto"/>
            </w:tcBorders>
            <w:hideMark/>
          </w:tcPr>
          <w:p w14:paraId="425CD925" w14:textId="3E1FCD75" w:rsidR="00E919EC" w:rsidRPr="00E919EC" w:rsidRDefault="00E919EC" w:rsidP="00E919EC">
            <w:pPr>
              <w:spacing w:after="0" w:line="240" w:lineRule="auto"/>
              <w:jc w:val="left"/>
              <w:rPr>
                <w:rFonts w:eastAsia="Times New Roman" w:cs="Arial"/>
                <w:sz w:val="22"/>
                <w:lang w:eastAsia="en-GB"/>
              </w:rPr>
            </w:pPr>
            <w:r w:rsidRPr="00E919EC">
              <w:rPr>
                <w:rFonts w:eastAsia="Times New Roman" w:cs="Arial"/>
                <w:color w:val="7030A0"/>
                <w:sz w:val="22"/>
                <w:lang w:eastAsia="en-GB"/>
              </w:rPr>
              <w:t xml:space="preserve">Resolved in </w:t>
            </w:r>
            <w:r w:rsidR="00F7650B">
              <w:rPr>
                <w:rFonts w:eastAsia="Times New Roman" w:cs="Arial"/>
                <w:color w:val="7030A0"/>
                <w:sz w:val="22"/>
                <w:lang w:eastAsia="en-GB"/>
              </w:rPr>
              <w:t>June 2025</w:t>
            </w:r>
            <w:r w:rsidRPr="00E919EC">
              <w:rPr>
                <w:rFonts w:eastAsia="Times New Roman" w:cs="Arial"/>
                <w:color w:val="7030A0"/>
                <w:sz w:val="22"/>
                <w:lang w:eastAsia="en-GB"/>
              </w:rPr>
              <w:t xml:space="preserve"> to grant outline permission subject to S106 </w:t>
            </w:r>
            <w:r w:rsidR="00FB020F" w:rsidRPr="00E919EC">
              <w:rPr>
                <w:rFonts w:eastAsia="Times New Roman" w:cs="Arial"/>
                <w:strike/>
                <w:sz w:val="22"/>
                <w:lang w:eastAsia="en-GB"/>
              </w:rPr>
              <w:t>Application</w:t>
            </w:r>
            <w:r w:rsidR="00FB020F" w:rsidRPr="00E919EC">
              <w:rPr>
                <w:rFonts w:eastAsia="Times New Roman" w:cs="Arial"/>
                <w:sz w:val="22"/>
                <w:lang w:eastAsia="en-GB"/>
              </w:rPr>
              <w:t xml:space="preserve"> </w:t>
            </w:r>
            <w:r w:rsidR="00FB020F" w:rsidRPr="00E919EC">
              <w:rPr>
                <w:rFonts w:eastAsia="Times New Roman" w:cs="Arial"/>
                <w:strike/>
                <w:sz w:val="22"/>
                <w:lang w:eastAsia="en-GB"/>
              </w:rPr>
              <w:t>for outline permission</w:t>
            </w:r>
            <w:r w:rsidR="00FB020F" w:rsidRPr="00E919EC">
              <w:rPr>
                <w:rFonts w:eastAsia="Times New Roman" w:cs="Arial"/>
                <w:sz w:val="22"/>
                <w:lang w:eastAsia="en-GB"/>
              </w:rPr>
              <w:t xml:space="preserve"> </w:t>
            </w:r>
            <w:r w:rsidR="007B5420" w:rsidRPr="00E919EC">
              <w:rPr>
                <w:rFonts w:eastAsia="Times New Roman" w:cs="Arial"/>
                <w:sz w:val="22"/>
                <w:lang w:eastAsia="en-GB"/>
              </w:rPr>
              <w:t>for up to 250</w:t>
            </w:r>
            <w:r w:rsidRPr="00E919EC">
              <w:rPr>
                <w:rFonts w:eastAsia="Times New Roman" w:cs="Arial"/>
                <w:sz w:val="22"/>
                <w:lang w:eastAsia="en-GB"/>
              </w:rPr>
              <w:t xml:space="preserve"> dwellings</w:t>
            </w:r>
            <w:r w:rsidR="007B5420" w:rsidRPr="00E919EC">
              <w:rPr>
                <w:rFonts w:eastAsia="Times New Roman" w:cs="Arial"/>
                <w:sz w:val="22"/>
                <w:lang w:eastAsia="en-GB"/>
              </w:rPr>
              <w:t xml:space="preserve"> </w:t>
            </w:r>
            <w:r w:rsidR="00FB020F" w:rsidRPr="00E919EC">
              <w:rPr>
                <w:rFonts w:eastAsia="Times New Roman" w:cs="Arial"/>
                <w:strike/>
                <w:sz w:val="22"/>
                <w:lang w:eastAsia="en-GB"/>
              </w:rPr>
              <w:t>currently being assessed</w:t>
            </w:r>
            <w:r w:rsidR="00FB020F" w:rsidRPr="00E919EC">
              <w:rPr>
                <w:rFonts w:eastAsia="Times New Roman" w:cs="Arial"/>
                <w:sz w:val="22"/>
                <w:lang w:eastAsia="en-GB"/>
              </w:rPr>
              <w:t xml:space="preserve"> (V/2023/0275).</w:t>
            </w:r>
            <w:r w:rsidRPr="00E919EC">
              <w:rPr>
                <w:rFonts w:eastAsia="Times New Roman" w:cs="Arial"/>
                <w:color w:val="7030A0"/>
                <w:sz w:val="22"/>
                <w:lang w:eastAsia="en-GB"/>
              </w:rPr>
              <w:t xml:space="preserve"> Draft s106 agreement in place.</w:t>
            </w:r>
          </w:p>
          <w:p w14:paraId="73599ACB" w14:textId="0F4AE39E" w:rsidR="00760C7B" w:rsidRPr="00FC696B" w:rsidRDefault="007B5420" w:rsidP="00FB020F">
            <w:pPr>
              <w:spacing w:after="0" w:line="240" w:lineRule="auto"/>
              <w:jc w:val="left"/>
              <w:rPr>
                <w:rFonts w:eastAsia="Times New Roman" w:cs="Arial"/>
                <w:sz w:val="22"/>
                <w:highlight w:val="yellow"/>
                <w:lang w:eastAsia="en-GB"/>
              </w:rPr>
            </w:pPr>
            <w:r w:rsidRPr="00E919EC">
              <w:rPr>
                <w:rFonts w:eastAsia="Times New Roman" w:cs="Arial"/>
                <w:sz w:val="22"/>
                <w:lang w:eastAsia="en-GB"/>
              </w:rPr>
              <w:t xml:space="preserve">Anticipated </w:t>
            </w:r>
            <w:r w:rsidR="006F370D" w:rsidRPr="00E919EC">
              <w:rPr>
                <w:rFonts w:eastAsia="Times New Roman" w:cs="Arial"/>
                <w:sz w:val="22"/>
                <w:lang w:eastAsia="en-GB"/>
              </w:rPr>
              <w:t>delivery to commence</w:t>
            </w:r>
            <w:r w:rsidRPr="00E919EC">
              <w:rPr>
                <w:rFonts w:eastAsia="Times New Roman" w:cs="Arial"/>
                <w:sz w:val="22"/>
                <w:lang w:eastAsia="en-GB"/>
              </w:rPr>
              <w:t xml:space="preserve"> year </w:t>
            </w:r>
            <w:r w:rsidR="00E919EC" w:rsidRPr="00E919EC">
              <w:rPr>
                <w:rFonts w:eastAsia="Times New Roman" w:cs="Arial"/>
                <w:color w:val="7030A0"/>
                <w:sz w:val="22"/>
                <w:lang w:eastAsia="en-GB"/>
              </w:rPr>
              <w:t>5</w:t>
            </w:r>
            <w:r w:rsidR="00E919EC">
              <w:rPr>
                <w:rFonts w:eastAsia="Times New Roman" w:cs="Arial"/>
                <w:sz w:val="22"/>
                <w:lang w:eastAsia="en-GB"/>
              </w:rPr>
              <w:t xml:space="preserve"> </w:t>
            </w:r>
            <w:r w:rsidRPr="00E919EC">
              <w:rPr>
                <w:rFonts w:eastAsia="Times New Roman" w:cs="Arial"/>
                <w:sz w:val="22"/>
                <w:lang w:eastAsia="en-GB"/>
              </w:rPr>
              <w:t>2029/30.</w:t>
            </w:r>
          </w:p>
        </w:tc>
      </w:tr>
      <w:tr w:rsidR="00A05DCF" w:rsidRPr="00FB020F" w14:paraId="444A47DD" w14:textId="77777777" w:rsidTr="00164192">
        <w:trPr>
          <w:trHeight w:val="690"/>
        </w:trPr>
        <w:tc>
          <w:tcPr>
            <w:tcW w:w="846" w:type="dxa"/>
            <w:tcBorders>
              <w:top w:val="nil"/>
              <w:left w:val="single" w:sz="4" w:space="0" w:color="auto"/>
              <w:bottom w:val="single" w:sz="4" w:space="0" w:color="auto"/>
              <w:right w:val="single" w:sz="4" w:space="0" w:color="auto"/>
            </w:tcBorders>
            <w:noWrap/>
            <w:hideMark/>
          </w:tcPr>
          <w:p w14:paraId="6070B708" w14:textId="77777777" w:rsidR="00FB020F" w:rsidRPr="001E1DC6" w:rsidRDefault="00FB020F" w:rsidP="00FB020F">
            <w:pPr>
              <w:spacing w:after="0" w:line="240" w:lineRule="auto"/>
              <w:rPr>
                <w:rFonts w:eastAsia="Times New Roman" w:cs="Arial"/>
                <w:strike/>
                <w:sz w:val="22"/>
                <w:lang w:eastAsia="en-GB"/>
              </w:rPr>
            </w:pPr>
            <w:r w:rsidRPr="001E1DC6">
              <w:rPr>
                <w:rFonts w:eastAsia="Times New Roman" w:cs="Arial"/>
                <w:strike/>
                <w:sz w:val="22"/>
                <w:lang w:eastAsia="en-GB"/>
              </w:rPr>
              <w:t>H1Sg</w:t>
            </w:r>
          </w:p>
        </w:tc>
        <w:tc>
          <w:tcPr>
            <w:tcW w:w="1843" w:type="dxa"/>
            <w:tcBorders>
              <w:top w:val="nil"/>
              <w:left w:val="nil"/>
              <w:bottom w:val="single" w:sz="4" w:space="0" w:color="auto"/>
              <w:right w:val="single" w:sz="4" w:space="0" w:color="auto"/>
            </w:tcBorders>
            <w:hideMark/>
          </w:tcPr>
          <w:p w14:paraId="5F2AA33E" w14:textId="77777777" w:rsidR="00FB020F" w:rsidRPr="001E1DC6" w:rsidRDefault="00FB020F" w:rsidP="00FB020F">
            <w:pPr>
              <w:spacing w:after="0" w:line="240" w:lineRule="auto"/>
              <w:jc w:val="left"/>
              <w:rPr>
                <w:rFonts w:eastAsia="Times New Roman" w:cs="Arial"/>
                <w:strike/>
                <w:sz w:val="22"/>
                <w:lang w:eastAsia="en-GB"/>
              </w:rPr>
            </w:pPr>
            <w:r w:rsidRPr="001E1DC6">
              <w:rPr>
                <w:rFonts w:eastAsia="Times New Roman" w:cs="Arial"/>
                <w:strike/>
                <w:sz w:val="22"/>
                <w:lang w:eastAsia="en-GB"/>
              </w:rPr>
              <w:t>Former Miner's Welfare Sports Ground, Stanton Hill</w:t>
            </w:r>
          </w:p>
        </w:tc>
        <w:tc>
          <w:tcPr>
            <w:tcW w:w="1275" w:type="dxa"/>
            <w:tcBorders>
              <w:top w:val="nil"/>
              <w:left w:val="nil"/>
              <w:bottom w:val="single" w:sz="4" w:space="0" w:color="auto"/>
              <w:right w:val="single" w:sz="4" w:space="0" w:color="auto"/>
            </w:tcBorders>
            <w:noWrap/>
            <w:hideMark/>
          </w:tcPr>
          <w:p w14:paraId="01C56C9A" w14:textId="77777777" w:rsidR="00FB020F" w:rsidRPr="001E1DC6" w:rsidRDefault="00FB020F" w:rsidP="00FB020F">
            <w:pPr>
              <w:spacing w:after="0" w:line="240" w:lineRule="auto"/>
              <w:jc w:val="center"/>
              <w:rPr>
                <w:rFonts w:eastAsia="Times New Roman" w:cs="Arial"/>
                <w:strike/>
                <w:sz w:val="22"/>
                <w:lang w:eastAsia="en-GB"/>
              </w:rPr>
            </w:pPr>
            <w:r w:rsidRPr="001E1DC6">
              <w:rPr>
                <w:rFonts w:eastAsia="Times New Roman" w:cs="Arial"/>
                <w:strike/>
                <w:sz w:val="22"/>
                <w:lang w:eastAsia="en-GB"/>
              </w:rPr>
              <w:t>G</w:t>
            </w:r>
          </w:p>
        </w:tc>
        <w:tc>
          <w:tcPr>
            <w:tcW w:w="1418" w:type="dxa"/>
            <w:tcBorders>
              <w:top w:val="nil"/>
              <w:left w:val="nil"/>
              <w:bottom w:val="single" w:sz="4" w:space="0" w:color="auto"/>
              <w:right w:val="single" w:sz="4" w:space="0" w:color="auto"/>
            </w:tcBorders>
            <w:noWrap/>
            <w:hideMark/>
          </w:tcPr>
          <w:p w14:paraId="0DE3F2B7" w14:textId="77777777" w:rsidR="00FB020F" w:rsidRPr="001E1DC6" w:rsidRDefault="00FB020F" w:rsidP="00FB020F">
            <w:pPr>
              <w:spacing w:after="0" w:line="240" w:lineRule="auto"/>
              <w:jc w:val="center"/>
              <w:rPr>
                <w:rFonts w:eastAsia="Times New Roman" w:cs="Arial"/>
                <w:strike/>
                <w:sz w:val="22"/>
                <w:lang w:eastAsia="en-GB"/>
              </w:rPr>
            </w:pPr>
            <w:r w:rsidRPr="001E1DC6">
              <w:rPr>
                <w:rFonts w:eastAsia="Times New Roman" w:cs="Arial"/>
                <w:strike/>
                <w:sz w:val="22"/>
                <w:lang w:eastAsia="en-GB"/>
              </w:rPr>
              <w:t>No</w:t>
            </w:r>
          </w:p>
        </w:tc>
        <w:tc>
          <w:tcPr>
            <w:tcW w:w="1417" w:type="dxa"/>
            <w:tcBorders>
              <w:top w:val="nil"/>
              <w:left w:val="nil"/>
              <w:bottom w:val="single" w:sz="4" w:space="0" w:color="auto"/>
              <w:right w:val="single" w:sz="4" w:space="0" w:color="auto"/>
            </w:tcBorders>
            <w:noWrap/>
            <w:hideMark/>
          </w:tcPr>
          <w:p w14:paraId="7CE314BF" w14:textId="77777777" w:rsidR="00FB020F" w:rsidRPr="001E1DC6" w:rsidRDefault="00FB020F" w:rsidP="00FB020F">
            <w:pPr>
              <w:spacing w:after="0" w:line="240" w:lineRule="auto"/>
              <w:jc w:val="right"/>
              <w:rPr>
                <w:rFonts w:eastAsia="Times New Roman" w:cs="Arial"/>
                <w:strike/>
                <w:sz w:val="22"/>
                <w:lang w:eastAsia="en-GB"/>
              </w:rPr>
            </w:pPr>
            <w:r w:rsidRPr="001E1DC6">
              <w:rPr>
                <w:rFonts w:eastAsia="Times New Roman" w:cs="Arial"/>
                <w:strike/>
                <w:sz w:val="22"/>
                <w:lang w:eastAsia="en-GB"/>
              </w:rPr>
              <w:t>112</w:t>
            </w:r>
          </w:p>
        </w:tc>
        <w:tc>
          <w:tcPr>
            <w:tcW w:w="3076" w:type="dxa"/>
            <w:tcBorders>
              <w:top w:val="nil"/>
              <w:left w:val="nil"/>
              <w:bottom w:val="single" w:sz="4" w:space="0" w:color="auto"/>
              <w:right w:val="single" w:sz="4" w:space="0" w:color="auto"/>
            </w:tcBorders>
            <w:hideMark/>
          </w:tcPr>
          <w:p w14:paraId="1F87CF65" w14:textId="77777777" w:rsidR="00FB020F" w:rsidRPr="001E1DC6" w:rsidRDefault="00FB020F" w:rsidP="00FB020F">
            <w:pPr>
              <w:spacing w:after="0" w:line="240" w:lineRule="auto"/>
              <w:jc w:val="left"/>
              <w:rPr>
                <w:rFonts w:eastAsia="Times New Roman" w:cs="Arial"/>
                <w:strike/>
                <w:sz w:val="22"/>
                <w:lang w:eastAsia="en-GB"/>
              </w:rPr>
            </w:pPr>
            <w:r w:rsidRPr="001E1DC6">
              <w:rPr>
                <w:rFonts w:eastAsia="Times New Roman" w:cs="Arial"/>
                <w:strike/>
                <w:sz w:val="22"/>
                <w:lang w:eastAsia="en-GB"/>
              </w:rPr>
              <w:t>Ongoing Full application for 112 dwellings (V/2023/0540). Yield increased accordingly</w:t>
            </w:r>
          </w:p>
          <w:p w14:paraId="1570F0B1" w14:textId="77777777" w:rsidR="00D000B7" w:rsidRPr="001E1DC6" w:rsidRDefault="00D000B7" w:rsidP="00FB020F">
            <w:pPr>
              <w:spacing w:after="0" w:line="240" w:lineRule="auto"/>
              <w:jc w:val="left"/>
              <w:rPr>
                <w:rFonts w:eastAsia="Times New Roman" w:cs="Arial"/>
                <w:strike/>
                <w:sz w:val="22"/>
                <w:lang w:eastAsia="en-GB"/>
              </w:rPr>
            </w:pPr>
            <w:r w:rsidRPr="001E1DC6">
              <w:rPr>
                <w:rFonts w:eastAsia="Times New Roman" w:cs="Arial"/>
                <w:strike/>
                <w:sz w:val="22"/>
                <w:lang w:eastAsia="en-GB"/>
              </w:rPr>
              <w:t>Developer currently active on adjoining site.</w:t>
            </w:r>
          </w:p>
          <w:p w14:paraId="56751F28" w14:textId="77777777" w:rsidR="007B5420" w:rsidRPr="001E1DC6" w:rsidRDefault="007B5420" w:rsidP="00FB020F">
            <w:pPr>
              <w:spacing w:after="0" w:line="240" w:lineRule="auto"/>
              <w:jc w:val="left"/>
              <w:rPr>
                <w:rFonts w:eastAsia="Times New Roman" w:cs="Arial"/>
                <w:strike/>
                <w:sz w:val="22"/>
                <w:lang w:eastAsia="en-GB"/>
              </w:rPr>
            </w:pPr>
            <w:r w:rsidRPr="001E1DC6">
              <w:rPr>
                <w:rFonts w:eastAsia="Times New Roman" w:cs="Arial"/>
                <w:strike/>
                <w:sz w:val="22"/>
                <w:lang w:eastAsia="en-GB"/>
              </w:rPr>
              <w:t xml:space="preserve">Anticipated </w:t>
            </w:r>
            <w:r w:rsidR="006F370D" w:rsidRPr="001E1DC6">
              <w:rPr>
                <w:rFonts w:eastAsia="Times New Roman" w:cs="Arial"/>
                <w:strike/>
                <w:sz w:val="22"/>
                <w:lang w:eastAsia="en-GB"/>
              </w:rPr>
              <w:t xml:space="preserve">delivery to commence </w:t>
            </w:r>
            <w:r w:rsidRPr="001E1DC6">
              <w:rPr>
                <w:rFonts w:eastAsia="Times New Roman" w:cs="Arial"/>
                <w:strike/>
                <w:sz w:val="22"/>
                <w:lang w:eastAsia="en-GB"/>
              </w:rPr>
              <w:t>year 202</w:t>
            </w:r>
            <w:r w:rsidR="00D000B7" w:rsidRPr="001E1DC6">
              <w:rPr>
                <w:rFonts w:eastAsia="Times New Roman" w:cs="Arial"/>
                <w:strike/>
                <w:sz w:val="22"/>
                <w:lang w:eastAsia="en-GB"/>
              </w:rPr>
              <w:t>7</w:t>
            </w:r>
            <w:r w:rsidRPr="001E1DC6">
              <w:rPr>
                <w:rFonts w:eastAsia="Times New Roman" w:cs="Arial"/>
                <w:strike/>
                <w:sz w:val="22"/>
                <w:lang w:eastAsia="en-GB"/>
              </w:rPr>
              <w:t>/</w:t>
            </w:r>
            <w:r w:rsidR="00D000B7" w:rsidRPr="001E1DC6">
              <w:rPr>
                <w:rFonts w:eastAsia="Times New Roman" w:cs="Arial"/>
                <w:strike/>
                <w:sz w:val="22"/>
                <w:lang w:eastAsia="en-GB"/>
              </w:rPr>
              <w:t>28</w:t>
            </w:r>
            <w:r w:rsidRPr="001E1DC6">
              <w:rPr>
                <w:rFonts w:eastAsia="Times New Roman" w:cs="Arial"/>
                <w:strike/>
                <w:sz w:val="22"/>
                <w:lang w:eastAsia="en-GB"/>
              </w:rPr>
              <w:t>.</w:t>
            </w:r>
          </w:p>
          <w:p w14:paraId="2E9FD20F" w14:textId="2B45D7EC" w:rsidR="001E1DC6" w:rsidRPr="001E1DC6" w:rsidRDefault="001E1DC6" w:rsidP="00FB020F">
            <w:pPr>
              <w:spacing w:after="0" w:line="240" w:lineRule="auto"/>
              <w:jc w:val="left"/>
              <w:rPr>
                <w:rFonts w:eastAsia="Times New Roman" w:cs="Arial"/>
                <w:sz w:val="22"/>
                <w:highlight w:val="yellow"/>
                <w:lang w:eastAsia="en-GB"/>
              </w:rPr>
            </w:pPr>
            <w:r w:rsidRPr="001E1DC6">
              <w:rPr>
                <w:rFonts w:eastAsia="Times New Roman" w:cs="Arial"/>
                <w:color w:val="7030A0"/>
                <w:sz w:val="22"/>
                <w:lang w:eastAsia="en-GB"/>
              </w:rPr>
              <w:t>Site now has Full permission.</w:t>
            </w:r>
          </w:p>
        </w:tc>
      </w:tr>
      <w:tr w:rsidR="00A05DCF" w:rsidRPr="00FB020F" w14:paraId="0929A3DA" w14:textId="77777777" w:rsidTr="00164192">
        <w:trPr>
          <w:trHeight w:val="560"/>
        </w:trPr>
        <w:tc>
          <w:tcPr>
            <w:tcW w:w="846" w:type="dxa"/>
            <w:tcBorders>
              <w:top w:val="nil"/>
              <w:left w:val="single" w:sz="4" w:space="0" w:color="auto"/>
              <w:bottom w:val="single" w:sz="4" w:space="0" w:color="auto"/>
              <w:right w:val="single" w:sz="4" w:space="0" w:color="auto"/>
            </w:tcBorders>
            <w:noWrap/>
            <w:hideMark/>
          </w:tcPr>
          <w:p w14:paraId="12E95EDE"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H1Si</w:t>
            </w:r>
          </w:p>
        </w:tc>
        <w:tc>
          <w:tcPr>
            <w:tcW w:w="1843" w:type="dxa"/>
            <w:tcBorders>
              <w:top w:val="nil"/>
              <w:left w:val="nil"/>
              <w:bottom w:val="single" w:sz="4" w:space="0" w:color="auto"/>
              <w:right w:val="single" w:sz="4" w:space="0" w:color="auto"/>
            </w:tcBorders>
            <w:hideMark/>
          </w:tcPr>
          <w:p w14:paraId="1DE929F7"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Rear Kingsmill Hospital</w:t>
            </w:r>
          </w:p>
        </w:tc>
        <w:tc>
          <w:tcPr>
            <w:tcW w:w="1275" w:type="dxa"/>
            <w:tcBorders>
              <w:top w:val="nil"/>
              <w:left w:val="nil"/>
              <w:bottom w:val="single" w:sz="4" w:space="0" w:color="auto"/>
              <w:right w:val="single" w:sz="4" w:space="0" w:color="auto"/>
            </w:tcBorders>
            <w:noWrap/>
            <w:hideMark/>
          </w:tcPr>
          <w:p w14:paraId="14FBAEDE"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nil"/>
              <w:left w:val="nil"/>
              <w:bottom w:val="single" w:sz="4" w:space="0" w:color="auto"/>
              <w:right w:val="single" w:sz="4" w:space="0" w:color="auto"/>
            </w:tcBorders>
            <w:noWrap/>
            <w:hideMark/>
          </w:tcPr>
          <w:p w14:paraId="16702EBA"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nil"/>
              <w:left w:val="nil"/>
              <w:bottom w:val="single" w:sz="4" w:space="0" w:color="auto"/>
              <w:right w:val="single" w:sz="4" w:space="0" w:color="auto"/>
            </w:tcBorders>
            <w:noWrap/>
            <w:hideMark/>
          </w:tcPr>
          <w:p w14:paraId="68BD5243"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264</w:t>
            </w:r>
          </w:p>
        </w:tc>
        <w:tc>
          <w:tcPr>
            <w:tcW w:w="3076" w:type="dxa"/>
            <w:tcBorders>
              <w:top w:val="nil"/>
              <w:left w:val="nil"/>
              <w:bottom w:val="single" w:sz="4" w:space="0" w:color="auto"/>
              <w:right w:val="single" w:sz="4" w:space="0" w:color="auto"/>
            </w:tcBorders>
            <w:hideMark/>
          </w:tcPr>
          <w:p w14:paraId="0C4DC59D" w14:textId="1240E769" w:rsidR="00D000B7" w:rsidRPr="008C4F41" w:rsidRDefault="008C4F41" w:rsidP="00D000B7">
            <w:pPr>
              <w:spacing w:after="0" w:line="240" w:lineRule="auto"/>
              <w:jc w:val="left"/>
              <w:rPr>
                <w:rFonts w:eastAsia="Times New Roman" w:cs="Arial"/>
                <w:sz w:val="22"/>
                <w:lang w:eastAsia="en-GB"/>
              </w:rPr>
            </w:pPr>
            <w:r w:rsidRPr="008C4F41">
              <w:rPr>
                <w:rFonts w:eastAsia="Times New Roman" w:cs="Arial"/>
                <w:sz w:val="22"/>
                <w:lang w:eastAsia="en-GB"/>
              </w:rPr>
              <w:t xml:space="preserve">NCC owned. </w:t>
            </w:r>
            <w:r w:rsidR="00D000B7" w:rsidRPr="008C4F41">
              <w:rPr>
                <w:rFonts w:eastAsia="Times New Roman" w:cs="Arial"/>
                <w:sz w:val="22"/>
                <w:lang w:eastAsia="en-GB"/>
              </w:rPr>
              <w:t>Developer interest presently unclear.</w:t>
            </w:r>
          </w:p>
          <w:p w14:paraId="4209B320" w14:textId="4508FC38" w:rsidR="00FB020F" w:rsidRPr="00FC696B" w:rsidRDefault="00D000B7" w:rsidP="00D000B7">
            <w:pPr>
              <w:spacing w:after="0" w:line="240" w:lineRule="auto"/>
              <w:jc w:val="left"/>
              <w:rPr>
                <w:rFonts w:eastAsia="Times New Roman" w:cs="Arial"/>
                <w:sz w:val="22"/>
                <w:highlight w:val="yellow"/>
                <w:lang w:eastAsia="en-GB"/>
              </w:rPr>
            </w:pPr>
            <w:r w:rsidRPr="008C4F41">
              <w:rPr>
                <w:rFonts w:eastAsia="Times New Roman" w:cs="Arial"/>
                <w:sz w:val="22"/>
                <w:lang w:eastAsia="en-GB"/>
              </w:rPr>
              <w:t xml:space="preserve">Anticipated </w:t>
            </w:r>
            <w:r w:rsidR="006F370D" w:rsidRPr="008C4F41">
              <w:rPr>
                <w:rFonts w:eastAsia="Times New Roman" w:cs="Arial"/>
                <w:sz w:val="22"/>
                <w:lang w:eastAsia="en-GB"/>
              </w:rPr>
              <w:t xml:space="preserve">delivery to commence </w:t>
            </w:r>
            <w:r w:rsidRPr="008C4F41">
              <w:rPr>
                <w:rFonts w:eastAsia="Times New Roman" w:cs="Arial"/>
                <w:sz w:val="22"/>
                <w:lang w:eastAsia="en-GB"/>
              </w:rPr>
              <w:t xml:space="preserve">year </w:t>
            </w:r>
            <w:r w:rsidR="008C4F41" w:rsidRPr="008C4F41">
              <w:rPr>
                <w:rFonts w:eastAsia="Times New Roman" w:cs="Arial"/>
                <w:color w:val="7030A0"/>
                <w:sz w:val="22"/>
                <w:lang w:eastAsia="en-GB"/>
              </w:rPr>
              <w:t>8</w:t>
            </w:r>
            <w:r w:rsidR="008C4F41">
              <w:rPr>
                <w:rFonts w:eastAsia="Times New Roman" w:cs="Arial"/>
                <w:sz w:val="22"/>
                <w:lang w:eastAsia="en-GB"/>
              </w:rPr>
              <w:t xml:space="preserve"> </w:t>
            </w:r>
            <w:r w:rsidRPr="008C4F41">
              <w:rPr>
                <w:rFonts w:eastAsia="Times New Roman" w:cs="Arial"/>
                <w:sz w:val="22"/>
                <w:lang w:eastAsia="en-GB"/>
              </w:rPr>
              <w:t>2032/33.</w:t>
            </w:r>
          </w:p>
        </w:tc>
      </w:tr>
      <w:tr w:rsidR="00A05DCF" w:rsidRPr="00FB020F" w14:paraId="09095E04" w14:textId="77777777" w:rsidTr="00164192">
        <w:trPr>
          <w:trHeight w:val="1204"/>
        </w:trPr>
        <w:tc>
          <w:tcPr>
            <w:tcW w:w="846" w:type="dxa"/>
            <w:tcBorders>
              <w:top w:val="nil"/>
              <w:left w:val="single" w:sz="4" w:space="0" w:color="auto"/>
              <w:bottom w:val="single" w:sz="4" w:space="0" w:color="auto"/>
              <w:right w:val="single" w:sz="4" w:space="0" w:color="auto"/>
            </w:tcBorders>
            <w:noWrap/>
            <w:hideMark/>
          </w:tcPr>
          <w:p w14:paraId="1D7F91C7"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H1Sj</w:t>
            </w:r>
          </w:p>
        </w:tc>
        <w:tc>
          <w:tcPr>
            <w:tcW w:w="1843" w:type="dxa"/>
            <w:tcBorders>
              <w:top w:val="nil"/>
              <w:left w:val="nil"/>
              <w:bottom w:val="single" w:sz="4" w:space="0" w:color="auto"/>
              <w:right w:val="single" w:sz="4" w:space="0" w:color="auto"/>
            </w:tcBorders>
            <w:hideMark/>
          </w:tcPr>
          <w:p w14:paraId="42083FE2"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Clegg Hill Drive, Huthwaite</w:t>
            </w:r>
          </w:p>
        </w:tc>
        <w:tc>
          <w:tcPr>
            <w:tcW w:w="1275" w:type="dxa"/>
            <w:tcBorders>
              <w:top w:val="nil"/>
              <w:left w:val="nil"/>
              <w:bottom w:val="single" w:sz="4" w:space="0" w:color="auto"/>
              <w:right w:val="single" w:sz="4" w:space="0" w:color="auto"/>
            </w:tcBorders>
            <w:noWrap/>
            <w:hideMark/>
          </w:tcPr>
          <w:p w14:paraId="51878A9B"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nil"/>
              <w:left w:val="nil"/>
              <w:bottom w:val="single" w:sz="4" w:space="0" w:color="auto"/>
              <w:right w:val="single" w:sz="4" w:space="0" w:color="auto"/>
            </w:tcBorders>
            <w:noWrap/>
            <w:hideMark/>
          </w:tcPr>
          <w:p w14:paraId="57DD3D6A"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nil"/>
              <w:left w:val="nil"/>
              <w:bottom w:val="single" w:sz="4" w:space="0" w:color="auto"/>
              <w:right w:val="single" w:sz="4" w:space="0" w:color="auto"/>
            </w:tcBorders>
            <w:noWrap/>
            <w:hideMark/>
          </w:tcPr>
          <w:p w14:paraId="5D89F4EE"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104</w:t>
            </w:r>
          </w:p>
        </w:tc>
        <w:tc>
          <w:tcPr>
            <w:tcW w:w="3076" w:type="dxa"/>
            <w:tcBorders>
              <w:top w:val="nil"/>
              <w:left w:val="nil"/>
              <w:bottom w:val="single" w:sz="4" w:space="0" w:color="auto"/>
              <w:right w:val="single" w:sz="4" w:space="0" w:color="auto"/>
            </w:tcBorders>
            <w:hideMark/>
          </w:tcPr>
          <w:p w14:paraId="14D5FD00" w14:textId="5D0E293C" w:rsidR="00FB020F" w:rsidRPr="00AC5908" w:rsidRDefault="00FB020F" w:rsidP="00FB020F">
            <w:pPr>
              <w:spacing w:after="0" w:line="240" w:lineRule="auto"/>
              <w:jc w:val="left"/>
              <w:rPr>
                <w:rFonts w:eastAsia="Times New Roman" w:cs="Arial"/>
                <w:sz w:val="22"/>
                <w:lang w:eastAsia="en-GB"/>
              </w:rPr>
            </w:pPr>
            <w:r w:rsidRPr="00AC5908">
              <w:rPr>
                <w:rFonts w:eastAsia="Times New Roman" w:cs="Arial"/>
                <w:sz w:val="22"/>
                <w:lang w:eastAsia="en-GB"/>
              </w:rPr>
              <w:t>O/L pp on western part of site for 37 dw</w:t>
            </w:r>
            <w:r w:rsidR="00164192">
              <w:rPr>
                <w:rFonts w:eastAsia="Times New Roman" w:cs="Arial"/>
                <w:sz w:val="22"/>
                <w:lang w:eastAsia="en-GB"/>
              </w:rPr>
              <w:t>ellin</w:t>
            </w:r>
            <w:r w:rsidRPr="00AC5908">
              <w:rPr>
                <w:rFonts w:eastAsia="Times New Roman" w:cs="Arial"/>
                <w:sz w:val="22"/>
                <w:lang w:eastAsia="en-GB"/>
              </w:rPr>
              <w:t>gs now lapsed - V/2015/0391. Owned by A</w:t>
            </w:r>
            <w:r w:rsidR="00D000B7" w:rsidRPr="00AC5908">
              <w:rPr>
                <w:rFonts w:eastAsia="Times New Roman" w:cs="Arial"/>
                <w:sz w:val="22"/>
                <w:lang w:eastAsia="en-GB"/>
              </w:rPr>
              <w:t xml:space="preserve">shfield </w:t>
            </w:r>
            <w:r w:rsidRPr="00AC5908">
              <w:rPr>
                <w:rFonts w:eastAsia="Times New Roman" w:cs="Arial"/>
                <w:sz w:val="22"/>
                <w:lang w:eastAsia="en-GB"/>
              </w:rPr>
              <w:t>DC</w:t>
            </w:r>
            <w:r w:rsidR="00D000B7" w:rsidRPr="00AC5908">
              <w:rPr>
                <w:rFonts w:eastAsia="Times New Roman" w:cs="Arial"/>
                <w:sz w:val="22"/>
                <w:lang w:eastAsia="en-GB"/>
              </w:rPr>
              <w:t xml:space="preserve"> – Estates team currently exploring development options.</w:t>
            </w:r>
          </w:p>
          <w:p w14:paraId="10863E1B" w14:textId="54D7D6AD" w:rsidR="00D000B7" w:rsidRPr="00FC696B" w:rsidRDefault="00D000B7" w:rsidP="00FB020F">
            <w:pPr>
              <w:spacing w:after="0" w:line="240" w:lineRule="auto"/>
              <w:jc w:val="left"/>
              <w:rPr>
                <w:rFonts w:eastAsia="Times New Roman" w:cs="Arial"/>
                <w:sz w:val="22"/>
                <w:highlight w:val="yellow"/>
                <w:lang w:eastAsia="en-GB"/>
              </w:rPr>
            </w:pPr>
            <w:r w:rsidRPr="00AC5908">
              <w:rPr>
                <w:rFonts w:eastAsia="Times New Roman" w:cs="Arial"/>
                <w:sz w:val="22"/>
                <w:lang w:eastAsia="en-GB"/>
              </w:rPr>
              <w:t xml:space="preserve">Anticipated </w:t>
            </w:r>
            <w:r w:rsidR="006F370D" w:rsidRPr="00AC5908">
              <w:rPr>
                <w:rFonts w:eastAsia="Times New Roman" w:cs="Arial"/>
                <w:sz w:val="22"/>
                <w:lang w:eastAsia="en-GB"/>
              </w:rPr>
              <w:t xml:space="preserve">delivery to commence </w:t>
            </w:r>
            <w:r w:rsidRPr="00AC5908">
              <w:rPr>
                <w:rFonts w:eastAsia="Times New Roman" w:cs="Arial"/>
                <w:sz w:val="22"/>
                <w:lang w:eastAsia="en-GB"/>
              </w:rPr>
              <w:t xml:space="preserve">year </w:t>
            </w:r>
            <w:r w:rsidR="00AC5908" w:rsidRPr="00AC5908">
              <w:rPr>
                <w:rFonts w:eastAsia="Times New Roman" w:cs="Arial"/>
                <w:color w:val="7030A0"/>
                <w:sz w:val="22"/>
                <w:lang w:eastAsia="en-GB"/>
              </w:rPr>
              <w:t>8</w:t>
            </w:r>
            <w:r w:rsidR="00AC5908" w:rsidRPr="00AC5908">
              <w:rPr>
                <w:rFonts w:eastAsia="Times New Roman" w:cs="Arial"/>
                <w:sz w:val="22"/>
                <w:lang w:eastAsia="en-GB"/>
              </w:rPr>
              <w:t xml:space="preserve"> </w:t>
            </w:r>
            <w:r w:rsidRPr="00AC5908">
              <w:rPr>
                <w:rFonts w:eastAsia="Times New Roman" w:cs="Arial"/>
                <w:strike/>
                <w:sz w:val="22"/>
                <w:lang w:eastAsia="en-GB"/>
              </w:rPr>
              <w:t>2031/32</w:t>
            </w:r>
            <w:r w:rsidRPr="00AC5908">
              <w:rPr>
                <w:rFonts w:eastAsia="Times New Roman" w:cs="Arial"/>
                <w:sz w:val="22"/>
                <w:lang w:eastAsia="en-GB"/>
              </w:rPr>
              <w:t>.</w:t>
            </w:r>
            <w:r w:rsidR="00AC5908" w:rsidRPr="00AC5908">
              <w:rPr>
                <w:rFonts w:eastAsia="Times New Roman" w:cs="Arial"/>
                <w:sz w:val="22"/>
                <w:lang w:eastAsia="en-GB"/>
              </w:rPr>
              <w:t xml:space="preserve"> </w:t>
            </w:r>
            <w:r w:rsidR="00AC5908" w:rsidRPr="00AC5908">
              <w:rPr>
                <w:rFonts w:eastAsia="Times New Roman" w:cs="Arial"/>
                <w:color w:val="7030A0"/>
                <w:sz w:val="22"/>
                <w:lang w:eastAsia="en-GB"/>
              </w:rPr>
              <w:t>2032/33</w:t>
            </w:r>
          </w:p>
        </w:tc>
      </w:tr>
      <w:tr w:rsidR="00A05DCF" w:rsidRPr="00FB020F" w14:paraId="0BC94C19" w14:textId="77777777" w:rsidTr="00164192">
        <w:trPr>
          <w:trHeight w:val="2106"/>
        </w:trPr>
        <w:tc>
          <w:tcPr>
            <w:tcW w:w="846" w:type="dxa"/>
            <w:tcBorders>
              <w:top w:val="nil"/>
              <w:left w:val="single" w:sz="4" w:space="0" w:color="auto"/>
              <w:bottom w:val="single" w:sz="4" w:space="0" w:color="auto"/>
              <w:right w:val="single" w:sz="4" w:space="0" w:color="auto"/>
            </w:tcBorders>
            <w:noWrap/>
            <w:hideMark/>
          </w:tcPr>
          <w:p w14:paraId="47686884"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lastRenderedPageBreak/>
              <w:t>H1Sk</w:t>
            </w:r>
          </w:p>
        </w:tc>
        <w:tc>
          <w:tcPr>
            <w:tcW w:w="1843" w:type="dxa"/>
            <w:tcBorders>
              <w:top w:val="nil"/>
              <w:left w:val="nil"/>
              <w:bottom w:val="single" w:sz="4" w:space="0" w:color="auto"/>
              <w:right w:val="single" w:sz="4" w:space="0" w:color="auto"/>
            </w:tcBorders>
            <w:hideMark/>
          </w:tcPr>
          <w:p w14:paraId="0B7E581D"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Sunnyside Farm, Blackwell Road, Huthwaite</w:t>
            </w:r>
          </w:p>
        </w:tc>
        <w:tc>
          <w:tcPr>
            <w:tcW w:w="1275" w:type="dxa"/>
            <w:tcBorders>
              <w:top w:val="nil"/>
              <w:left w:val="nil"/>
              <w:bottom w:val="single" w:sz="4" w:space="0" w:color="auto"/>
              <w:right w:val="single" w:sz="4" w:space="0" w:color="auto"/>
            </w:tcBorders>
            <w:noWrap/>
            <w:hideMark/>
          </w:tcPr>
          <w:p w14:paraId="090700F1"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nil"/>
              <w:left w:val="nil"/>
              <w:bottom w:val="single" w:sz="4" w:space="0" w:color="auto"/>
              <w:right w:val="single" w:sz="4" w:space="0" w:color="auto"/>
            </w:tcBorders>
            <w:noWrap/>
            <w:hideMark/>
          </w:tcPr>
          <w:p w14:paraId="6CBBDE10"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nil"/>
              <w:left w:val="nil"/>
              <w:bottom w:val="single" w:sz="4" w:space="0" w:color="auto"/>
              <w:right w:val="single" w:sz="4" w:space="0" w:color="auto"/>
            </w:tcBorders>
            <w:noWrap/>
            <w:hideMark/>
          </w:tcPr>
          <w:p w14:paraId="539C5F5B" w14:textId="77777777" w:rsidR="00FB020F" w:rsidRDefault="00D000B7" w:rsidP="00FB020F">
            <w:pPr>
              <w:spacing w:after="0" w:line="240" w:lineRule="auto"/>
              <w:jc w:val="right"/>
              <w:rPr>
                <w:rFonts w:eastAsia="Times New Roman" w:cs="Arial"/>
                <w:strike/>
                <w:sz w:val="22"/>
                <w:lang w:eastAsia="en-GB"/>
              </w:rPr>
            </w:pPr>
            <w:r w:rsidRPr="00F94EE0">
              <w:rPr>
                <w:rFonts w:eastAsia="Times New Roman" w:cs="Arial"/>
                <w:strike/>
                <w:sz w:val="22"/>
                <w:lang w:eastAsia="en-GB"/>
              </w:rPr>
              <w:t>283</w:t>
            </w:r>
          </w:p>
          <w:p w14:paraId="7E42F4B5" w14:textId="29AACFBF" w:rsidR="00F94EE0" w:rsidRPr="00F94EE0" w:rsidRDefault="00F94EE0" w:rsidP="00FB020F">
            <w:pPr>
              <w:spacing w:after="0" w:line="240" w:lineRule="auto"/>
              <w:jc w:val="right"/>
              <w:rPr>
                <w:rFonts w:eastAsia="Times New Roman" w:cs="Arial"/>
                <w:color w:val="00B050"/>
                <w:sz w:val="22"/>
                <w:lang w:eastAsia="en-GB"/>
              </w:rPr>
            </w:pPr>
            <w:r w:rsidRPr="00F94EE0">
              <w:rPr>
                <w:rFonts w:eastAsia="Times New Roman" w:cs="Arial"/>
                <w:color w:val="7030A0"/>
                <w:sz w:val="22"/>
                <w:lang w:eastAsia="en-GB"/>
              </w:rPr>
              <w:t>350</w:t>
            </w:r>
          </w:p>
        </w:tc>
        <w:tc>
          <w:tcPr>
            <w:tcW w:w="3076" w:type="dxa"/>
            <w:tcBorders>
              <w:top w:val="nil"/>
              <w:left w:val="nil"/>
              <w:bottom w:val="single" w:sz="4" w:space="0" w:color="auto"/>
              <w:right w:val="single" w:sz="4" w:space="0" w:color="auto"/>
            </w:tcBorders>
            <w:hideMark/>
          </w:tcPr>
          <w:p w14:paraId="69B2CF58" w14:textId="651B70DE" w:rsidR="00FB020F" w:rsidRPr="00FC696B" w:rsidRDefault="00F94EE0" w:rsidP="00F94EE0">
            <w:pPr>
              <w:spacing w:after="0" w:line="240" w:lineRule="auto"/>
              <w:jc w:val="left"/>
              <w:rPr>
                <w:rFonts w:eastAsia="Times New Roman" w:cs="Arial"/>
                <w:sz w:val="22"/>
                <w:highlight w:val="yellow"/>
                <w:lang w:eastAsia="en-GB"/>
              </w:rPr>
            </w:pPr>
            <w:r w:rsidRPr="00F94EE0">
              <w:rPr>
                <w:rFonts w:eastAsia="Times New Roman" w:cs="Arial"/>
                <w:sz w:val="22"/>
                <w:lang w:eastAsia="en-GB"/>
              </w:rPr>
              <w:t>P</w:t>
            </w:r>
            <w:r w:rsidR="00D000B7" w:rsidRPr="00F94EE0">
              <w:rPr>
                <w:rFonts w:eastAsia="Times New Roman" w:cs="Arial"/>
                <w:sz w:val="22"/>
                <w:lang w:eastAsia="en-GB"/>
              </w:rPr>
              <w:t xml:space="preserve">re-application </w:t>
            </w:r>
            <w:r w:rsidRPr="00F94EE0">
              <w:rPr>
                <w:rFonts w:eastAsia="Times New Roman" w:cs="Arial"/>
                <w:sz w:val="22"/>
                <w:lang w:eastAsia="en-GB"/>
              </w:rPr>
              <w:t xml:space="preserve">advice sought </w:t>
            </w:r>
            <w:r w:rsidR="00FB020F" w:rsidRPr="00F94EE0">
              <w:rPr>
                <w:rFonts w:eastAsia="Times New Roman" w:cs="Arial"/>
                <w:sz w:val="22"/>
                <w:lang w:eastAsia="en-GB"/>
              </w:rPr>
              <w:t>for approximately 350 dwellings Oct 2023</w:t>
            </w:r>
            <w:r w:rsidR="00D000B7" w:rsidRPr="00F94EE0">
              <w:rPr>
                <w:rFonts w:eastAsia="Times New Roman" w:cs="Arial"/>
                <w:sz w:val="22"/>
                <w:lang w:eastAsia="en-GB"/>
              </w:rPr>
              <w:t xml:space="preserve">. Illustrative layout would conform with density policy Anticipated </w:t>
            </w:r>
            <w:r w:rsidR="006F370D" w:rsidRPr="00F94EE0">
              <w:rPr>
                <w:rFonts w:eastAsia="Times New Roman" w:cs="Arial"/>
                <w:sz w:val="22"/>
                <w:lang w:eastAsia="en-GB"/>
              </w:rPr>
              <w:t>delivery to commence</w:t>
            </w:r>
            <w:r w:rsidR="00D000B7" w:rsidRPr="00F94EE0">
              <w:rPr>
                <w:rFonts w:eastAsia="Times New Roman" w:cs="Arial"/>
                <w:sz w:val="22"/>
                <w:lang w:eastAsia="en-GB"/>
              </w:rPr>
              <w:t xml:space="preserve"> year </w:t>
            </w:r>
            <w:r w:rsidRPr="00F94EE0">
              <w:rPr>
                <w:rFonts w:eastAsia="Times New Roman" w:cs="Arial"/>
                <w:color w:val="7030A0"/>
                <w:sz w:val="22"/>
                <w:lang w:eastAsia="en-GB"/>
              </w:rPr>
              <w:t>6</w:t>
            </w:r>
            <w:r w:rsidRPr="00F94EE0">
              <w:rPr>
                <w:rFonts w:eastAsia="Times New Roman" w:cs="Arial"/>
                <w:sz w:val="22"/>
                <w:lang w:eastAsia="en-GB"/>
              </w:rPr>
              <w:t xml:space="preserve"> </w:t>
            </w:r>
            <w:r w:rsidR="00D000B7" w:rsidRPr="00F94EE0">
              <w:rPr>
                <w:rFonts w:eastAsia="Times New Roman" w:cs="Arial"/>
                <w:strike/>
                <w:sz w:val="22"/>
                <w:lang w:eastAsia="en-GB"/>
              </w:rPr>
              <w:t>2031/32</w:t>
            </w:r>
            <w:r w:rsidR="00D000B7" w:rsidRPr="00F94EE0">
              <w:rPr>
                <w:rFonts w:eastAsia="Times New Roman" w:cs="Arial"/>
                <w:sz w:val="22"/>
                <w:lang w:eastAsia="en-GB"/>
              </w:rPr>
              <w:t>.</w:t>
            </w:r>
            <w:r w:rsidRPr="00F94EE0">
              <w:rPr>
                <w:rFonts w:eastAsia="Times New Roman" w:cs="Arial"/>
                <w:sz w:val="22"/>
                <w:lang w:eastAsia="en-GB"/>
              </w:rPr>
              <w:t xml:space="preserve"> </w:t>
            </w:r>
            <w:r w:rsidRPr="00F94EE0">
              <w:rPr>
                <w:rFonts w:eastAsia="Times New Roman" w:cs="Arial"/>
                <w:color w:val="7030A0"/>
                <w:sz w:val="22"/>
                <w:lang w:eastAsia="en-GB"/>
              </w:rPr>
              <w:t>2030/31</w:t>
            </w:r>
            <w:r>
              <w:rPr>
                <w:rFonts w:eastAsia="Times New Roman" w:cs="Arial"/>
                <w:color w:val="7030A0"/>
                <w:sz w:val="22"/>
                <w:lang w:eastAsia="en-GB"/>
              </w:rPr>
              <w:t>.</w:t>
            </w:r>
          </w:p>
        </w:tc>
      </w:tr>
      <w:tr w:rsidR="00A05DCF" w:rsidRPr="00FB020F" w14:paraId="4A33D7B3" w14:textId="77777777" w:rsidTr="00164192">
        <w:trPr>
          <w:trHeight w:val="1200"/>
        </w:trPr>
        <w:tc>
          <w:tcPr>
            <w:tcW w:w="846" w:type="dxa"/>
            <w:tcBorders>
              <w:top w:val="nil"/>
              <w:left w:val="single" w:sz="4" w:space="0" w:color="auto"/>
              <w:bottom w:val="single" w:sz="4" w:space="0" w:color="auto"/>
              <w:right w:val="single" w:sz="4" w:space="0" w:color="auto"/>
            </w:tcBorders>
            <w:noWrap/>
            <w:hideMark/>
          </w:tcPr>
          <w:p w14:paraId="4479087D" w14:textId="77777777" w:rsidR="00FB020F" w:rsidRPr="00BB18BD" w:rsidRDefault="00FB020F" w:rsidP="00FB020F">
            <w:pPr>
              <w:spacing w:after="0" w:line="240" w:lineRule="auto"/>
              <w:rPr>
                <w:rFonts w:eastAsia="Times New Roman" w:cs="Arial"/>
                <w:strike/>
                <w:sz w:val="22"/>
                <w:lang w:eastAsia="en-GB"/>
              </w:rPr>
            </w:pPr>
            <w:r w:rsidRPr="00BB18BD">
              <w:rPr>
                <w:rFonts w:eastAsia="Times New Roman" w:cs="Arial"/>
                <w:strike/>
                <w:sz w:val="22"/>
                <w:lang w:eastAsia="en-GB"/>
              </w:rPr>
              <w:t>H1Sl</w:t>
            </w:r>
          </w:p>
        </w:tc>
        <w:tc>
          <w:tcPr>
            <w:tcW w:w="1843" w:type="dxa"/>
            <w:tcBorders>
              <w:top w:val="nil"/>
              <w:left w:val="nil"/>
              <w:bottom w:val="single" w:sz="4" w:space="0" w:color="auto"/>
              <w:right w:val="single" w:sz="4" w:space="0" w:color="auto"/>
            </w:tcBorders>
            <w:hideMark/>
          </w:tcPr>
          <w:p w14:paraId="72478018" w14:textId="77777777" w:rsidR="00FB020F" w:rsidRPr="00BB18BD" w:rsidRDefault="00FB020F" w:rsidP="00FB020F">
            <w:pPr>
              <w:spacing w:after="0" w:line="240" w:lineRule="auto"/>
              <w:jc w:val="left"/>
              <w:rPr>
                <w:rFonts w:eastAsia="Times New Roman" w:cs="Arial"/>
                <w:strike/>
                <w:sz w:val="22"/>
                <w:lang w:eastAsia="en-GB"/>
              </w:rPr>
            </w:pPr>
            <w:r w:rsidRPr="00BB18BD">
              <w:rPr>
                <w:rFonts w:eastAsia="Times New Roman" w:cs="Arial"/>
                <w:strike/>
                <w:sz w:val="22"/>
                <w:lang w:eastAsia="en-GB"/>
              </w:rPr>
              <w:t>North of Fackley Road, Teversal</w:t>
            </w:r>
          </w:p>
        </w:tc>
        <w:tc>
          <w:tcPr>
            <w:tcW w:w="1275" w:type="dxa"/>
            <w:tcBorders>
              <w:top w:val="nil"/>
              <w:left w:val="nil"/>
              <w:bottom w:val="single" w:sz="4" w:space="0" w:color="auto"/>
              <w:right w:val="single" w:sz="4" w:space="0" w:color="auto"/>
            </w:tcBorders>
            <w:noWrap/>
            <w:hideMark/>
          </w:tcPr>
          <w:p w14:paraId="3C0A0D02" w14:textId="77777777" w:rsidR="00FB020F" w:rsidRPr="00BB18BD" w:rsidRDefault="00FB020F" w:rsidP="00FB020F">
            <w:pPr>
              <w:spacing w:after="0" w:line="240" w:lineRule="auto"/>
              <w:jc w:val="center"/>
              <w:rPr>
                <w:rFonts w:eastAsia="Times New Roman" w:cs="Arial"/>
                <w:strike/>
                <w:sz w:val="22"/>
                <w:lang w:eastAsia="en-GB"/>
              </w:rPr>
            </w:pPr>
            <w:r w:rsidRPr="00BB18BD">
              <w:rPr>
                <w:rFonts w:eastAsia="Times New Roman" w:cs="Arial"/>
                <w:strike/>
                <w:sz w:val="22"/>
                <w:lang w:eastAsia="en-GB"/>
              </w:rPr>
              <w:t>G</w:t>
            </w:r>
          </w:p>
        </w:tc>
        <w:tc>
          <w:tcPr>
            <w:tcW w:w="1418" w:type="dxa"/>
            <w:tcBorders>
              <w:top w:val="nil"/>
              <w:left w:val="nil"/>
              <w:bottom w:val="single" w:sz="4" w:space="0" w:color="auto"/>
              <w:right w:val="single" w:sz="4" w:space="0" w:color="auto"/>
            </w:tcBorders>
            <w:noWrap/>
            <w:hideMark/>
          </w:tcPr>
          <w:p w14:paraId="68A1DBF8" w14:textId="77777777" w:rsidR="00FB020F" w:rsidRPr="00BB18BD" w:rsidRDefault="00FB020F" w:rsidP="00FB020F">
            <w:pPr>
              <w:spacing w:after="0" w:line="240" w:lineRule="auto"/>
              <w:jc w:val="center"/>
              <w:rPr>
                <w:rFonts w:eastAsia="Times New Roman" w:cs="Arial"/>
                <w:strike/>
                <w:sz w:val="22"/>
                <w:lang w:eastAsia="en-GB"/>
              </w:rPr>
            </w:pPr>
            <w:r w:rsidRPr="00BB18BD">
              <w:rPr>
                <w:rFonts w:eastAsia="Times New Roman" w:cs="Arial"/>
                <w:strike/>
                <w:sz w:val="22"/>
                <w:lang w:eastAsia="en-GB"/>
              </w:rPr>
              <w:t>No</w:t>
            </w:r>
          </w:p>
        </w:tc>
        <w:tc>
          <w:tcPr>
            <w:tcW w:w="1417" w:type="dxa"/>
            <w:tcBorders>
              <w:top w:val="nil"/>
              <w:left w:val="nil"/>
              <w:bottom w:val="single" w:sz="4" w:space="0" w:color="auto"/>
              <w:right w:val="single" w:sz="4" w:space="0" w:color="auto"/>
            </w:tcBorders>
            <w:noWrap/>
            <w:hideMark/>
          </w:tcPr>
          <w:p w14:paraId="2480958F" w14:textId="77777777" w:rsidR="00FB020F" w:rsidRPr="00BB18BD" w:rsidRDefault="00FB020F" w:rsidP="00FB020F">
            <w:pPr>
              <w:spacing w:after="0" w:line="240" w:lineRule="auto"/>
              <w:jc w:val="right"/>
              <w:rPr>
                <w:rFonts w:eastAsia="Times New Roman" w:cs="Arial"/>
                <w:strike/>
                <w:sz w:val="22"/>
                <w:lang w:eastAsia="en-GB"/>
              </w:rPr>
            </w:pPr>
            <w:r w:rsidRPr="00BB18BD">
              <w:rPr>
                <w:rFonts w:eastAsia="Times New Roman" w:cs="Arial"/>
                <w:strike/>
                <w:sz w:val="22"/>
                <w:lang w:eastAsia="en-GB"/>
              </w:rPr>
              <w:t>124</w:t>
            </w:r>
          </w:p>
        </w:tc>
        <w:tc>
          <w:tcPr>
            <w:tcW w:w="3076" w:type="dxa"/>
            <w:tcBorders>
              <w:top w:val="nil"/>
              <w:left w:val="nil"/>
              <w:bottom w:val="single" w:sz="4" w:space="0" w:color="auto"/>
              <w:right w:val="single" w:sz="4" w:space="0" w:color="auto"/>
            </w:tcBorders>
            <w:hideMark/>
          </w:tcPr>
          <w:p w14:paraId="2A112015" w14:textId="2D37AFC1" w:rsidR="00FB020F" w:rsidRPr="00BB18BD" w:rsidRDefault="00FB020F" w:rsidP="00FB020F">
            <w:pPr>
              <w:spacing w:after="0" w:line="240" w:lineRule="auto"/>
              <w:jc w:val="left"/>
              <w:rPr>
                <w:rFonts w:eastAsia="Times New Roman" w:cs="Arial"/>
                <w:strike/>
                <w:sz w:val="22"/>
                <w:lang w:eastAsia="en-GB"/>
              </w:rPr>
            </w:pPr>
            <w:r w:rsidRPr="00BB18BD">
              <w:rPr>
                <w:rFonts w:eastAsia="Times New Roman" w:cs="Arial"/>
                <w:strike/>
                <w:sz w:val="22"/>
                <w:lang w:eastAsia="en-GB"/>
              </w:rPr>
              <w:t xml:space="preserve">Currently awaiting the outcome of appeal for V/2022/0295. </w:t>
            </w:r>
            <w:r w:rsidR="009F5D0A" w:rsidRPr="00BB18BD">
              <w:rPr>
                <w:rFonts w:eastAsia="Times New Roman" w:cs="Arial"/>
                <w:strike/>
                <w:sz w:val="22"/>
                <w:lang w:eastAsia="en-GB"/>
              </w:rPr>
              <w:t>R</w:t>
            </w:r>
            <w:r w:rsidRPr="00BB18BD">
              <w:rPr>
                <w:rFonts w:eastAsia="Times New Roman" w:cs="Arial"/>
                <w:strike/>
                <w:sz w:val="22"/>
                <w:lang w:eastAsia="en-GB"/>
              </w:rPr>
              <w:t xml:space="preserve">efused </w:t>
            </w:r>
            <w:r w:rsidR="009F5D0A" w:rsidRPr="00BB18BD">
              <w:rPr>
                <w:rFonts w:eastAsia="Times New Roman" w:cs="Arial"/>
                <w:strike/>
                <w:sz w:val="22"/>
                <w:lang w:eastAsia="en-GB"/>
              </w:rPr>
              <w:t>scheme</w:t>
            </w:r>
            <w:r w:rsidRPr="00BB18BD">
              <w:rPr>
                <w:rFonts w:eastAsia="Times New Roman" w:cs="Arial"/>
                <w:strike/>
                <w:sz w:val="22"/>
                <w:lang w:eastAsia="en-GB"/>
              </w:rPr>
              <w:t xml:space="preserve"> over concerns on landscape character impact, </w:t>
            </w:r>
            <w:r w:rsidR="009F5D0A" w:rsidRPr="00BB18BD">
              <w:rPr>
                <w:rFonts w:eastAsia="Times New Roman" w:cs="Arial"/>
                <w:strike/>
                <w:sz w:val="22"/>
                <w:lang w:eastAsia="en-GB"/>
              </w:rPr>
              <w:t>and surface water</w:t>
            </w:r>
            <w:r w:rsidRPr="00BB18BD">
              <w:rPr>
                <w:rFonts w:eastAsia="Times New Roman" w:cs="Arial"/>
                <w:strike/>
                <w:sz w:val="22"/>
                <w:lang w:eastAsia="en-GB"/>
              </w:rPr>
              <w:t xml:space="preserve"> flooding.</w:t>
            </w:r>
            <w:r w:rsidR="009F5D0A" w:rsidRPr="00BB18BD">
              <w:rPr>
                <w:rFonts w:eastAsia="Times New Roman" w:cs="Arial"/>
                <w:strike/>
                <w:sz w:val="22"/>
                <w:lang w:eastAsia="en-GB"/>
              </w:rPr>
              <w:t xml:space="preserve"> Principle of development accepted.</w:t>
            </w:r>
          </w:p>
          <w:p w14:paraId="1663E865" w14:textId="7F237652" w:rsidR="00196FDC" w:rsidRPr="00BB18BD" w:rsidRDefault="00196FDC" w:rsidP="00FB020F">
            <w:pPr>
              <w:spacing w:after="0" w:line="240" w:lineRule="auto"/>
              <w:jc w:val="left"/>
              <w:rPr>
                <w:rFonts w:eastAsia="Times New Roman" w:cs="Arial"/>
                <w:strike/>
                <w:sz w:val="22"/>
                <w:lang w:eastAsia="en-GB"/>
              </w:rPr>
            </w:pPr>
            <w:r w:rsidRPr="00BB18BD">
              <w:rPr>
                <w:rFonts w:eastAsia="Times New Roman" w:cs="Arial"/>
                <w:strike/>
                <w:sz w:val="22"/>
                <w:lang w:eastAsia="en-GB"/>
              </w:rPr>
              <w:t xml:space="preserve">Anticipated </w:t>
            </w:r>
            <w:r w:rsidR="006F370D" w:rsidRPr="00BB18BD">
              <w:rPr>
                <w:rFonts w:eastAsia="Times New Roman" w:cs="Arial"/>
                <w:strike/>
                <w:sz w:val="22"/>
                <w:lang w:eastAsia="en-GB"/>
              </w:rPr>
              <w:t>delivery to commence</w:t>
            </w:r>
            <w:r w:rsidRPr="00BB18BD">
              <w:rPr>
                <w:rFonts w:eastAsia="Times New Roman" w:cs="Arial"/>
                <w:strike/>
                <w:sz w:val="22"/>
                <w:lang w:eastAsia="en-GB"/>
              </w:rPr>
              <w:t xml:space="preserve"> year 2028/29.</w:t>
            </w:r>
          </w:p>
          <w:p w14:paraId="73F647F8" w14:textId="316D0CFC" w:rsidR="009F5D0A" w:rsidRPr="00BB18BD" w:rsidRDefault="00BB18BD" w:rsidP="00BB18BD">
            <w:pPr>
              <w:spacing w:after="0" w:line="240" w:lineRule="auto"/>
              <w:jc w:val="left"/>
              <w:rPr>
                <w:rFonts w:eastAsia="Times New Roman" w:cs="Arial"/>
                <w:strike/>
                <w:sz w:val="22"/>
                <w:lang w:eastAsia="en-GB"/>
              </w:rPr>
            </w:pPr>
            <w:r w:rsidRPr="001E1DC6">
              <w:rPr>
                <w:rFonts w:eastAsia="Times New Roman" w:cs="Arial"/>
                <w:color w:val="7030A0"/>
                <w:sz w:val="22"/>
                <w:lang w:eastAsia="en-GB"/>
              </w:rPr>
              <w:t>Site now has Full permission</w:t>
            </w:r>
            <w:r>
              <w:rPr>
                <w:rFonts w:eastAsia="Times New Roman" w:cs="Arial"/>
                <w:color w:val="7030A0"/>
                <w:sz w:val="22"/>
                <w:lang w:eastAsia="en-GB"/>
              </w:rPr>
              <w:t xml:space="preserve"> and is under construction.</w:t>
            </w:r>
          </w:p>
        </w:tc>
      </w:tr>
      <w:tr w:rsidR="00A05DCF" w:rsidRPr="00FB020F" w14:paraId="7669B0D2" w14:textId="77777777" w:rsidTr="00164192">
        <w:trPr>
          <w:trHeight w:val="560"/>
        </w:trPr>
        <w:tc>
          <w:tcPr>
            <w:tcW w:w="846" w:type="dxa"/>
            <w:tcBorders>
              <w:top w:val="nil"/>
              <w:left w:val="single" w:sz="4" w:space="0" w:color="auto"/>
              <w:bottom w:val="single" w:sz="4" w:space="0" w:color="auto"/>
              <w:right w:val="single" w:sz="4" w:space="0" w:color="auto"/>
            </w:tcBorders>
            <w:noWrap/>
            <w:hideMark/>
          </w:tcPr>
          <w:p w14:paraId="0FE74F49"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H1Ss</w:t>
            </w:r>
          </w:p>
        </w:tc>
        <w:tc>
          <w:tcPr>
            <w:tcW w:w="1843" w:type="dxa"/>
            <w:tcBorders>
              <w:top w:val="nil"/>
              <w:left w:val="nil"/>
              <w:bottom w:val="single" w:sz="4" w:space="0" w:color="auto"/>
              <w:right w:val="single" w:sz="4" w:space="0" w:color="auto"/>
            </w:tcBorders>
            <w:hideMark/>
          </w:tcPr>
          <w:p w14:paraId="37D96DA0"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 xml:space="preserve">Land East of A6075 Beck Lane, Skegby </w:t>
            </w:r>
          </w:p>
        </w:tc>
        <w:tc>
          <w:tcPr>
            <w:tcW w:w="1275" w:type="dxa"/>
            <w:tcBorders>
              <w:top w:val="nil"/>
              <w:left w:val="nil"/>
              <w:bottom w:val="single" w:sz="4" w:space="0" w:color="auto"/>
              <w:right w:val="single" w:sz="4" w:space="0" w:color="auto"/>
            </w:tcBorders>
            <w:noWrap/>
            <w:hideMark/>
          </w:tcPr>
          <w:p w14:paraId="2B4F5F41"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nil"/>
              <w:left w:val="nil"/>
              <w:bottom w:val="single" w:sz="4" w:space="0" w:color="auto"/>
              <w:right w:val="single" w:sz="4" w:space="0" w:color="auto"/>
            </w:tcBorders>
            <w:noWrap/>
            <w:hideMark/>
          </w:tcPr>
          <w:p w14:paraId="1F060912"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nil"/>
              <w:left w:val="nil"/>
              <w:bottom w:val="single" w:sz="4" w:space="0" w:color="auto"/>
              <w:right w:val="single" w:sz="4" w:space="0" w:color="auto"/>
            </w:tcBorders>
            <w:noWrap/>
            <w:hideMark/>
          </w:tcPr>
          <w:p w14:paraId="4596C3D1" w14:textId="77777777" w:rsidR="00FB020F" w:rsidRPr="00FB020F" w:rsidRDefault="00FB020F" w:rsidP="00FB020F">
            <w:pPr>
              <w:spacing w:after="0" w:line="240" w:lineRule="auto"/>
              <w:jc w:val="right"/>
              <w:rPr>
                <w:rFonts w:eastAsia="Times New Roman" w:cs="Arial"/>
                <w:sz w:val="22"/>
                <w:lang w:eastAsia="en-GB"/>
              </w:rPr>
            </w:pPr>
            <w:r w:rsidRPr="00FB020F">
              <w:rPr>
                <w:rFonts w:eastAsia="Times New Roman" w:cs="Arial"/>
                <w:sz w:val="22"/>
                <w:lang w:eastAsia="en-GB"/>
              </w:rPr>
              <w:t>212</w:t>
            </w:r>
          </w:p>
        </w:tc>
        <w:tc>
          <w:tcPr>
            <w:tcW w:w="3076" w:type="dxa"/>
            <w:tcBorders>
              <w:top w:val="nil"/>
              <w:left w:val="nil"/>
              <w:bottom w:val="single" w:sz="4" w:space="0" w:color="auto"/>
              <w:right w:val="single" w:sz="4" w:space="0" w:color="auto"/>
            </w:tcBorders>
            <w:hideMark/>
          </w:tcPr>
          <w:p w14:paraId="2CA74924" w14:textId="654C812A" w:rsidR="00F7650B" w:rsidRDefault="00F7650B" w:rsidP="00B249CC">
            <w:pPr>
              <w:spacing w:after="0" w:line="240" w:lineRule="auto"/>
              <w:jc w:val="left"/>
              <w:rPr>
                <w:rFonts w:eastAsia="Times New Roman" w:cs="Arial"/>
                <w:sz w:val="22"/>
                <w:lang w:eastAsia="en-GB"/>
              </w:rPr>
            </w:pPr>
            <w:r w:rsidRPr="00E919EC">
              <w:rPr>
                <w:rFonts w:eastAsia="Times New Roman" w:cs="Arial"/>
                <w:color w:val="7030A0"/>
                <w:sz w:val="22"/>
                <w:lang w:eastAsia="en-GB"/>
              </w:rPr>
              <w:t xml:space="preserve">Resolved in </w:t>
            </w:r>
            <w:r>
              <w:rPr>
                <w:rFonts w:eastAsia="Times New Roman" w:cs="Arial"/>
                <w:color w:val="7030A0"/>
                <w:sz w:val="22"/>
                <w:lang w:eastAsia="en-GB"/>
              </w:rPr>
              <w:t>June 2025</w:t>
            </w:r>
            <w:r w:rsidRPr="00E919EC">
              <w:rPr>
                <w:rFonts w:eastAsia="Times New Roman" w:cs="Arial"/>
                <w:color w:val="7030A0"/>
                <w:sz w:val="22"/>
                <w:lang w:eastAsia="en-GB"/>
              </w:rPr>
              <w:t xml:space="preserve"> to grant outline permission subject to S106 </w:t>
            </w:r>
            <w:r w:rsidR="00FB020F" w:rsidRPr="00F7650B">
              <w:rPr>
                <w:rFonts w:eastAsia="Times New Roman" w:cs="Arial"/>
                <w:strike/>
                <w:sz w:val="22"/>
                <w:lang w:eastAsia="en-GB"/>
              </w:rPr>
              <w:t>Ongoing outline application</w:t>
            </w:r>
            <w:r w:rsidR="00FB020F" w:rsidRPr="00F7650B">
              <w:rPr>
                <w:rFonts w:eastAsia="Times New Roman" w:cs="Arial"/>
                <w:sz w:val="22"/>
                <w:lang w:eastAsia="en-GB"/>
              </w:rPr>
              <w:t xml:space="preserve"> for up to 230 dwellings.</w:t>
            </w:r>
            <w:r w:rsidRPr="00E919EC">
              <w:rPr>
                <w:rFonts w:eastAsia="Times New Roman" w:cs="Arial"/>
                <w:color w:val="7030A0"/>
                <w:sz w:val="22"/>
                <w:lang w:eastAsia="en-GB"/>
              </w:rPr>
              <w:t xml:space="preserve"> Draft s106 agreement in place</w:t>
            </w:r>
            <w:r>
              <w:rPr>
                <w:rFonts w:eastAsia="Times New Roman" w:cs="Arial"/>
                <w:color w:val="7030A0"/>
                <w:sz w:val="22"/>
                <w:lang w:eastAsia="en-GB"/>
              </w:rPr>
              <w:t>.</w:t>
            </w:r>
          </w:p>
          <w:p w14:paraId="43E2FF51" w14:textId="707606E9" w:rsidR="00FB020F" w:rsidRPr="00FC696B" w:rsidRDefault="00B249CC" w:rsidP="00B249CC">
            <w:pPr>
              <w:spacing w:after="0" w:line="240" w:lineRule="auto"/>
              <w:jc w:val="left"/>
              <w:rPr>
                <w:rFonts w:eastAsia="Times New Roman" w:cs="Arial"/>
                <w:sz w:val="22"/>
                <w:highlight w:val="yellow"/>
                <w:lang w:eastAsia="en-GB"/>
              </w:rPr>
            </w:pPr>
            <w:r w:rsidRPr="00F7650B">
              <w:rPr>
                <w:rFonts w:eastAsia="Times New Roman" w:cs="Arial"/>
                <w:sz w:val="22"/>
                <w:lang w:eastAsia="en-GB"/>
              </w:rPr>
              <w:t xml:space="preserve">Anticipated </w:t>
            </w:r>
            <w:r w:rsidR="006F370D" w:rsidRPr="00F7650B">
              <w:rPr>
                <w:rFonts w:eastAsia="Times New Roman" w:cs="Arial"/>
                <w:sz w:val="22"/>
                <w:lang w:eastAsia="en-GB"/>
              </w:rPr>
              <w:t xml:space="preserve">delivery to commence </w:t>
            </w:r>
            <w:r w:rsidRPr="00F7650B">
              <w:rPr>
                <w:rFonts w:eastAsia="Times New Roman" w:cs="Arial"/>
                <w:sz w:val="22"/>
                <w:lang w:eastAsia="en-GB"/>
              </w:rPr>
              <w:t xml:space="preserve">year </w:t>
            </w:r>
            <w:r w:rsidR="00F7650B" w:rsidRPr="00F7650B">
              <w:rPr>
                <w:rFonts w:eastAsia="Times New Roman" w:cs="Arial"/>
                <w:color w:val="7030A0"/>
                <w:sz w:val="22"/>
                <w:lang w:eastAsia="en-GB"/>
              </w:rPr>
              <w:t xml:space="preserve">5 </w:t>
            </w:r>
            <w:r w:rsidRPr="00F7650B">
              <w:rPr>
                <w:rFonts w:eastAsia="Times New Roman" w:cs="Arial"/>
                <w:strike/>
                <w:sz w:val="22"/>
                <w:lang w:eastAsia="en-GB"/>
              </w:rPr>
              <w:t>2031/32.</w:t>
            </w:r>
            <w:r w:rsidR="00F7650B">
              <w:rPr>
                <w:rFonts w:eastAsia="Times New Roman" w:cs="Arial"/>
                <w:strike/>
                <w:sz w:val="22"/>
                <w:lang w:eastAsia="en-GB"/>
              </w:rPr>
              <w:t xml:space="preserve"> </w:t>
            </w:r>
            <w:r w:rsidR="00F7650B" w:rsidRPr="00F7650B">
              <w:rPr>
                <w:rFonts w:eastAsia="Times New Roman" w:cs="Arial"/>
                <w:color w:val="7030A0"/>
                <w:sz w:val="22"/>
                <w:lang w:eastAsia="en-GB"/>
              </w:rPr>
              <w:t>2029/30.</w:t>
            </w:r>
            <w:r w:rsidR="00F7650B">
              <w:rPr>
                <w:rFonts w:eastAsia="Times New Roman" w:cs="Arial"/>
                <w:color w:val="7030A0"/>
                <w:sz w:val="22"/>
                <w:lang w:eastAsia="en-GB"/>
              </w:rPr>
              <w:t xml:space="preserve"> NB developers anticipate earlier delivery.</w:t>
            </w:r>
          </w:p>
        </w:tc>
      </w:tr>
      <w:tr w:rsidR="00F7650B" w:rsidRPr="00FB020F" w14:paraId="6A9AB01E" w14:textId="77777777" w:rsidTr="00164192">
        <w:trPr>
          <w:trHeight w:val="1426"/>
        </w:trPr>
        <w:tc>
          <w:tcPr>
            <w:tcW w:w="846" w:type="dxa"/>
            <w:tcBorders>
              <w:top w:val="nil"/>
              <w:left w:val="single" w:sz="4" w:space="0" w:color="auto"/>
              <w:bottom w:val="single" w:sz="4" w:space="0" w:color="auto"/>
              <w:right w:val="single" w:sz="4" w:space="0" w:color="auto"/>
            </w:tcBorders>
            <w:noWrap/>
          </w:tcPr>
          <w:p w14:paraId="07EE4A18" w14:textId="7C7D8271" w:rsidR="00F7650B" w:rsidRPr="00F7650B" w:rsidRDefault="00F7650B" w:rsidP="00FB020F">
            <w:pPr>
              <w:spacing w:after="0" w:line="240" w:lineRule="auto"/>
              <w:rPr>
                <w:rFonts w:eastAsia="Times New Roman" w:cs="Arial"/>
                <w:color w:val="7030A0"/>
                <w:sz w:val="22"/>
                <w:lang w:eastAsia="en-GB"/>
              </w:rPr>
            </w:pPr>
            <w:r w:rsidRPr="00F7650B">
              <w:rPr>
                <w:rFonts w:eastAsia="Times New Roman" w:cs="Arial"/>
                <w:color w:val="7030A0"/>
                <w:sz w:val="22"/>
                <w:lang w:eastAsia="en-GB"/>
              </w:rPr>
              <w:t>H1St</w:t>
            </w:r>
          </w:p>
        </w:tc>
        <w:tc>
          <w:tcPr>
            <w:tcW w:w="1843" w:type="dxa"/>
            <w:tcBorders>
              <w:top w:val="nil"/>
              <w:left w:val="nil"/>
              <w:bottom w:val="single" w:sz="4" w:space="0" w:color="auto"/>
              <w:right w:val="single" w:sz="4" w:space="0" w:color="auto"/>
            </w:tcBorders>
          </w:tcPr>
          <w:p w14:paraId="5B9D2DD2" w14:textId="0D31977E" w:rsidR="00F7650B" w:rsidRPr="00F7650B" w:rsidRDefault="00F7650B" w:rsidP="00FB020F">
            <w:pPr>
              <w:spacing w:after="0" w:line="240" w:lineRule="auto"/>
              <w:jc w:val="left"/>
              <w:rPr>
                <w:rFonts w:eastAsia="Times New Roman" w:cs="Arial"/>
                <w:color w:val="7030A0"/>
                <w:sz w:val="22"/>
                <w:lang w:eastAsia="en-GB"/>
              </w:rPr>
            </w:pPr>
            <w:r w:rsidRPr="00F7650B">
              <w:rPr>
                <w:rFonts w:eastAsia="Times New Roman" w:cs="Arial"/>
                <w:color w:val="7030A0"/>
                <w:sz w:val="22"/>
                <w:lang w:eastAsia="en-GB"/>
              </w:rPr>
              <w:t xml:space="preserve">Blackwell Road/Main Street, Huthwaite </w:t>
            </w:r>
          </w:p>
        </w:tc>
        <w:tc>
          <w:tcPr>
            <w:tcW w:w="1275" w:type="dxa"/>
            <w:tcBorders>
              <w:top w:val="nil"/>
              <w:left w:val="nil"/>
              <w:bottom w:val="single" w:sz="4" w:space="0" w:color="auto"/>
              <w:right w:val="single" w:sz="4" w:space="0" w:color="auto"/>
            </w:tcBorders>
            <w:noWrap/>
          </w:tcPr>
          <w:p w14:paraId="37F3BD7A" w14:textId="428D7F63" w:rsidR="00F7650B" w:rsidRPr="00F7650B" w:rsidRDefault="00F7650B" w:rsidP="00FB020F">
            <w:pPr>
              <w:spacing w:after="0" w:line="240" w:lineRule="auto"/>
              <w:jc w:val="center"/>
              <w:rPr>
                <w:rFonts w:eastAsia="Times New Roman" w:cs="Arial"/>
                <w:color w:val="7030A0"/>
                <w:sz w:val="22"/>
                <w:lang w:eastAsia="en-GB"/>
              </w:rPr>
            </w:pPr>
            <w:r w:rsidRPr="00F7650B">
              <w:rPr>
                <w:rFonts w:eastAsia="Times New Roman" w:cs="Arial"/>
                <w:color w:val="7030A0"/>
                <w:sz w:val="22"/>
                <w:lang w:eastAsia="en-GB"/>
              </w:rPr>
              <w:t>G</w:t>
            </w:r>
          </w:p>
        </w:tc>
        <w:tc>
          <w:tcPr>
            <w:tcW w:w="1418" w:type="dxa"/>
            <w:tcBorders>
              <w:top w:val="nil"/>
              <w:left w:val="nil"/>
              <w:bottom w:val="single" w:sz="4" w:space="0" w:color="auto"/>
              <w:right w:val="single" w:sz="4" w:space="0" w:color="auto"/>
            </w:tcBorders>
            <w:noWrap/>
          </w:tcPr>
          <w:p w14:paraId="1CB8C6F7" w14:textId="06107D0B" w:rsidR="00F7650B" w:rsidRPr="00F7650B" w:rsidRDefault="00F7650B" w:rsidP="00FB020F">
            <w:pPr>
              <w:spacing w:after="0" w:line="240" w:lineRule="auto"/>
              <w:jc w:val="center"/>
              <w:rPr>
                <w:rFonts w:eastAsia="Times New Roman" w:cs="Arial"/>
                <w:color w:val="7030A0"/>
                <w:sz w:val="22"/>
                <w:lang w:eastAsia="en-GB"/>
              </w:rPr>
            </w:pPr>
            <w:r w:rsidRPr="00F7650B">
              <w:rPr>
                <w:rFonts w:eastAsia="Times New Roman" w:cs="Arial"/>
                <w:color w:val="7030A0"/>
                <w:sz w:val="22"/>
                <w:lang w:eastAsia="en-GB"/>
              </w:rPr>
              <w:t>No</w:t>
            </w:r>
          </w:p>
        </w:tc>
        <w:tc>
          <w:tcPr>
            <w:tcW w:w="1417" w:type="dxa"/>
            <w:tcBorders>
              <w:top w:val="nil"/>
              <w:left w:val="nil"/>
              <w:bottom w:val="single" w:sz="4" w:space="0" w:color="auto"/>
              <w:right w:val="single" w:sz="4" w:space="0" w:color="auto"/>
            </w:tcBorders>
            <w:noWrap/>
          </w:tcPr>
          <w:p w14:paraId="77B5BCCE" w14:textId="17728A70" w:rsidR="00F7650B" w:rsidRPr="00F7650B" w:rsidRDefault="00F7650B" w:rsidP="00FB020F">
            <w:pPr>
              <w:spacing w:after="0" w:line="240" w:lineRule="auto"/>
              <w:jc w:val="right"/>
              <w:rPr>
                <w:rFonts w:eastAsia="Times New Roman" w:cs="Arial"/>
                <w:color w:val="7030A0"/>
                <w:sz w:val="22"/>
                <w:lang w:eastAsia="en-GB"/>
              </w:rPr>
            </w:pPr>
            <w:r>
              <w:rPr>
                <w:rFonts w:eastAsia="Times New Roman" w:cs="Arial"/>
                <w:color w:val="7030A0"/>
                <w:sz w:val="22"/>
                <w:lang w:eastAsia="en-GB"/>
              </w:rPr>
              <w:t>99</w:t>
            </w:r>
          </w:p>
        </w:tc>
        <w:tc>
          <w:tcPr>
            <w:tcW w:w="3076" w:type="dxa"/>
            <w:tcBorders>
              <w:top w:val="nil"/>
              <w:left w:val="nil"/>
              <w:bottom w:val="single" w:sz="4" w:space="0" w:color="auto"/>
              <w:right w:val="single" w:sz="4" w:space="0" w:color="auto"/>
            </w:tcBorders>
          </w:tcPr>
          <w:p w14:paraId="295A26EF" w14:textId="6FE4FEA7" w:rsidR="00F7650B" w:rsidRPr="00F7650B" w:rsidRDefault="00F7650B" w:rsidP="00F7650B">
            <w:pPr>
              <w:spacing w:after="0" w:line="240" w:lineRule="auto"/>
              <w:jc w:val="left"/>
              <w:rPr>
                <w:rFonts w:eastAsia="Times New Roman" w:cs="Arial"/>
                <w:color w:val="7030A0"/>
                <w:sz w:val="22"/>
                <w:lang w:eastAsia="en-GB"/>
              </w:rPr>
            </w:pPr>
            <w:r w:rsidRPr="00F7650B">
              <w:rPr>
                <w:rFonts w:eastAsia="Times New Roman" w:cs="Arial"/>
                <w:color w:val="7030A0"/>
                <w:sz w:val="22"/>
                <w:lang w:eastAsia="en-GB"/>
              </w:rPr>
              <w:t xml:space="preserve">Planning permission for 9 dwellings </w:t>
            </w:r>
            <w:r w:rsidR="00117C17" w:rsidRPr="00F7650B">
              <w:rPr>
                <w:rFonts w:eastAsia="Times New Roman" w:cs="Arial"/>
                <w:color w:val="7030A0"/>
                <w:sz w:val="22"/>
                <w:lang w:eastAsia="en-GB"/>
              </w:rPr>
              <w:t>granted June</w:t>
            </w:r>
            <w:r w:rsidRPr="00F7650B">
              <w:rPr>
                <w:rFonts w:eastAsia="Times New Roman" w:cs="Arial"/>
                <w:color w:val="7030A0"/>
                <w:sz w:val="22"/>
                <w:lang w:eastAsia="en-GB"/>
              </w:rPr>
              <w:t xml:space="preserve"> 2024 on a small part of site for 9 dwellings. Some conditions now discharged.</w:t>
            </w:r>
          </w:p>
          <w:p w14:paraId="12192B31" w14:textId="76F722C4" w:rsidR="00F7650B" w:rsidRPr="00F7650B" w:rsidRDefault="00F7650B" w:rsidP="00F7650B">
            <w:pPr>
              <w:spacing w:after="0" w:line="240" w:lineRule="auto"/>
              <w:jc w:val="left"/>
              <w:rPr>
                <w:rFonts w:eastAsia="Times New Roman" w:cs="Arial"/>
                <w:color w:val="7030A0"/>
                <w:sz w:val="22"/>
                <w:lang w:eastAsia="en-GB"/>
              </w:rPr>
            </w:pPr>
            <w:r w:rsidRPr="00F7650B">
              <w:rPr>
                <w:rFonts w:eastAsia="Times New Roman" w:cs="Arial"/>
                <w:color w:val="7030A0"/>
                <w:sz w:val="22"/>
                <w:lang w:eastAsia="en-GB"/>
              </w:rPr>
              <w:t xml:space="preserve">Anticipated delivery to commence year </w:t>
            </w:r>
            <w:r>
              <w:rPr>
                <w:rFonts w:eastAsia="Times New Roman" w:cs="Arial"/>
                <w:color w:val="7030A0"/>
                <w:sz w:val="22"/>
                <w:lang w:eastAsia="en-GB"/>
              </w:rPr>
              <w:t xml:space="preserve">6 </w:t>
            </w:r>
            <w:r w:rsidRPr="00F7650B">
              <w:rPr>
                <w:rFonts w:eastAsia="Times New Roman" w:cs="Arial"/>
                <w:color w:val="7030A0"/>
                <w:sz w:val="22"/>
                <w:lang w:eastAsia="en-GB"/>
              </w:rPr>
              <w:t>203</w:t>
            </w:r>
            <w:r>
              <w:rPr>
                <w:rFonts w:eastAsia="Times New Roman" w:cs="Arial"/>
                <w:color w:val="7030A0"/>
                <w:sz w:val="22"/>
                <w:lang w:eastAsia="en-GB"/>
              </w:rPr>
              <w:t>0</w:t>
            </w:r>
            <w:r w:rsidRPr="00F7650B">
              <w:rPr>
                <w:rFonts w:eastAsia="Times New Roman" w:cs="Arial"/>
                <w:color w:val="7030A0"/>
                <w:sz w:val="22"/>
                <w:lang w:eastAsia="en-GB"/>
              </w:rPr>
              <w:t>/3</w:t>
            </w:r>
            <w:r>
              <w:rPr>
                <w:rFonts w:eastAsia="Times New Roman" w:cs="Arial"/>
                <w:color w:val="7030A0"/>
                <w:sz w:val="22"/>
                <w:lang w:eastAsia="en-GB"/>
              </w:rPr>
              <w:t>1</w:t>
            </w:r>
            <w:r w:rsidRPr="00F7650B">
              <w:rPr>
                <w:rFonts w:eastAsia="Times New Roman" w:cs="Arial"/>
                <w:color w:val="7030A0"/>
                <w:sz w:val="22"/>
                <w:lang w:eastAsia="en-GB"/>
              </w:rPr>
              <w:t>.</w:t>
            </w:r>
          </w:p>
        </w:tc>
      </w:tr>
      <w:tr w:rsidR="00A05DCF" w:rsidRPr="00FB020F" w14:paraId="07552B52" w14:textId="77777777" w:rsidTr="00164192">
        <w:trPr>
          <w:trHeight w:val="1426"/>
        </w:trPr>
        <w:tc>
          <w:tcPr>
            <w:tcW w:w="846" w:type="dxa"/>
            <w:tcBorders>
              <w:top w:val="nil"/>
              <w:left w:val="single" w:sz="4" w:space="0" w:color="auto"/>
              <w:bottom w:val="single" w:sz="4" w:space="0" w:color="auto"/>
              <w:right w:val="single" w:sz="4" w:space="0" w:color="auto"/>
            </w:tcBorders>
            <w:noWrap/>
            <w:hideMark/>
          </w:tcPr>
          <w:p w14:paraId="7C9D10A9" w14:textId="77777777" w:rsidR="00FB020F" w:rsidRPr="00FB020F" w:rsidRDefault="00FB020F" w:rsidP="00FB020F">
            <w:pPr>
              <w:spacing w:after="0" w:line="240" w:lineRule="auto"/>
              <w:rPr>
                <w:rFonts w:eastAsia="Times New Roman" w:cs="Arial"/>
                <w:sz w:val="22"/>
                <w:lang w:eastAsia="en-GB"/>
              </w:rPr>
            </w:pPr>
            <w:r w:rsidRPr="00FB020F">
              <w:rPr>
                <w:rFonts w:eastAsia="Times New Roman" w:cs="Arial"/>
                <w:sz w:val="22"/>
                <w:lang w:eastAsia="en-GB"/>
              </w:rPr>
              <w:t>H1Su</w:t>
            </w:r>
          </w:p>
        </w:tc>
        <w:tc>
          <w:tcPr>
            <w:tcW w:w="1843" w:type="dxa"/>
            <w:tcBorders>
              <w:top w:val="nil"/>
              <w:left w:val="nil"/>
              <w:bottom w:val="single" w:sz="4" w:space="0" w:color="auto"/>
              <w:right w:val="single" w:sz="4" w:space="0" w:color="auto"/>
            </w:tcBorders>
            <w:hideMark/>
          </w:tcPr>
          <w:p w14:paraId="309527DE" w14:textId="77777777" w:rsidR="00FB020F" w:rsidRPr="00FB020F" w:rsidRDefault="00FB020F" w:rsidP="00FB020F">
            <w:pPr>
              <w:spacing w:after="0" w:line="240" w:lineRule="auto"/>
              <w:jc w:val="left"/>
              <w:rPr>
                <w:rFonts w:eastAsia="Times New Roman" w:cs="Arial"/>
                <w:sz w:val="22"/>
                <w:lang w:eastAsia="en-GB"/>
              </w:rPr>
            </w:pPr>
            <w:r w:rsidRPr="00FB020F">
              <w:rPr>
                <w:rFonts w:eastAsia="Times New Roman" w:cs="Arial"/>
                <w:sz w:val="22"/>
                <w:lang w:eastAsia="en-GB"/>
              </w:rPr>
              <w:t>Rear 113 to 139 Beck Lane, Skegby</w:t>
            </w:r>
          </w:p>
        </w:tc>
        <w:tc>
          <w:tcPr>
            <w:tcW w:w="1275" w:type="dxa"/>
            <w:tcBorders>
              <w:top w:val="nil"/>
              <w:left w:val="nil"/>
              <w:bottom w:val="single" w:sz="4" w:space="0" w:color="auto"/>
              <w:right w:val="single" w:sz="4" w:space="0" w:color="auto"/>
            </w:tcBorders>
            <w:noWrap/>
            <w:hideMark/>
          </w:tcPr>
          <w:p w14:paraId="65274EE1"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G</w:t>
            </w:r>
          </w:p>
        </w:tc>
        <w:tc>
          <w:tcPr>
            <w:tcW w:w="1418" w:type="dxa"/>
            <w:tcBorders>
              <w:top w:val="nil"/>
              <w:left w:val="nil"/>
              <w:bottom w:val="single" w:sz="4" w:space="0" w:color="auto"/>
              <w:right w:val="single" w:sz="4" w:space="0" w:color="auto"/>
            </w:tcBorders>
            <w:noWrap/>
            <w:hideMark/>
          </w:tcPr>
          <w:p w14:paraId="300A08C6" w14:textId="77777777" w:rsidR="00FB020F" w:rsidRPr="00FB020F" w:rsidRDefault="00FB020F" w:rsidP="00FB020F">
            <w:pPr>
              <w:spacing w:after="0" w:line="240" w:lineRule="auto"/>
              <w:jc w:val="center"/>
              <w:rPr>
                <w:rFonts w:eastAsia="Times New Roman" w:cs="Arial"/>
                <w:sz w:val="22"/>
                <w:lang w:eastAsia="en-GB"/>
              </w:rPr>
            </w:pPr>
            <w:r w:rsidRPr="00FB020F">
              <w:rPr>
                <w:rFonts w:eastAsia="Times New Roman" w:cs="Arial"/>
                <w:sz w:val="22"/>
                <w:lang w:eastAsia="en-GB"/>
              </w:rPr>
              <w:t>No</w:t>
            </w:r>
          </w:p>
        </w:tc>
        <w:tc>
          <w:tcPr>
            <w:tcW w:w="1417" w:type="dxa"/>
            <w:tcBorders>
              <w:top w:val="nil"/>
              <w:left w:val="nil"/>
              <w:bottom w:val="single" w:sz="4" w:space="0" w:color="auto"/>
              <w:right w:val="single" w:sz="4" w:space="0" w:color="auto"/>
            </w:tcBorders>
            <w:noWrap/>
            <w:hideMark/>
          </w:tcPr>
          <w:p w14:paraId="7CE4265A" w14:textId="77777777" w:rsidR="00FB020F" w:rsidRDefault="00FB020F" w:rsidP="00FB020F">
            <w:pPr>
              <w:spacing w:after="0" w:line="240" w:lineRule="auto"/>
              <w:jc w:val="right"/>
              <w:rPr>
                <w:rFonts w:eastAsia="Times New Roman" w:cs="Arial"/>
                <w:strike/>
                <w:sz w:val="22"/>
                <w:lang w:eastAsia="en-GB"/>
              </w:rPr>
            </w:pPr>
            <w:r w:rsidRPr="00F7650B">
              <w:rPr>
                <w:rFonts w:eastAsia="Times New Roman" w:cs="Arial"/>
                <w:strike/>
                <w:sz w:val="22"/>
                <w:lang w:eastAsia="en-GB"/>
              </w:rPr>
              <w:t>100</w:t>
            </w:r>
          </w:p>
          <w:p w14:paraId="0BFF5126" w14:textId="3D51CC31" w:rsidR="00F7650B" w:rsidRPr="00F7650B" w:rsidRDefault="00F7650B" w:rsidP="00FB020F">
            <w:pPr>
              <w:spacing w:after="0" w:line="240" w:lineRule="auto"/>
              <w:jc w:val="right"/>
              <w:rPr>
                <w:rFonts w:eastAsia="Times New Roman" w:cs="Arial"/>
                <w:sz w:val="22"/>
                <w:lang w:eastAsia="en-GB"/>
              </w:rPr>
            </w:pPr>
            <w:r w:rsidRPr="00F7650B">
              <w:rPr>
                <w:rFonts w:eastAsia="Times New Roman" w:cs="Arial"/>
                <w:color w:val="7030A0"/>
                <w:sz w:val="22"/>
                <w:lang w:eastAsia="en-GB"/>
              </w:rPr>
              <w:t>91</w:t>
            </w:r>
          </w:p>
        </w:tc>
        <w:tc>
          <w:tcPr>
            <w:tcW w:w="3076" w:type="dxa"/>
            <w:tcBorders>
              <w:top w:val="nil"/>
              <w:left w:val="nil"/>
              <w:bottom w:val="single" w:sz="4" w:space="0" w:color="auto"/>
              <w:right w:val="single" w:sz="4" w:space="0" w:color="auto"/>
            </w:tcBorders>
            <w:hideMark/>
          </w:tcPr>
          <w:p w14:paraId="5CD8E1A4" w14:textId="6D545905" w:rsidR="00B249CC" w:rsidRPr="00FC696B" w:rsidRDefault="00FB020F" w:rsidP="00F7650B">
            <w:pPr>
              <w:spacing w:after="0" w:line="240" w:lineRule="auto"/>
              <w:jc w:val="left"/>
              <w:rPr>
                <w:rFonts w:eastAsia="Times New Roman" w:cs="Arial"/>
                <w:sz w:val="22"/>
                <w:highlight w:val="yellow"/>
                <w:lang w:eastAsia="en-GB"/>
              </w:rPr>
            </w:pPr>
            <w:r w:rsidRPr="00F7650B">
              <w:rPr>
                <w:rFonts w:eastAsia="Times New Roman" w:cs="Arial"/>
                <w:sz w:val="22"/>
                <w:lang w:eastAsia="en-GB"/>
              </w:rPr>
              <w:t>P</w:t>
            </w:r>
            <w:r w:rsidR="00B249CC" w:rsidRPr="00F7650B">
              <w:rPr>
                <w:rFonts w:eastAsia="Times New Roman" w:cs="Arial"/>
                <w:sz w:val="22"/>
                <w:lang w:eastAsia="en-GB"/>
              </w:rPr>
              <w:t xml:space="preserve">lanning permission </w:t>
            </w:r>
            <w:r w:rsidRPr="00F7650B">
              <w:rPr>
                <w:rFonts w:eastAsia="Times New Roman" w:cs="Arial"/>
                <w:sz w:val="22"/>
                <w:lang w:eastAsia="en-GB"/>
              </w:rPr>
              <w:t>for 9 dwellings granted Feb 2024</w:t>
            </w:r>
            <w:r w:rsidR="00B249CC" w:rsidRPr="00F7650B">
              <w:rPr>
                <w:rFonts w:eastAsia="Times New Roman" w:cs="Arial"/>
                <w:sz w:val="22"/>
                <w:lang w:eastAsia="en-GB"/>
              </w:rPr>
              <w:t xml:space="preserve"> on a small part of site</w:t>
            </w:r>
            <w:r w:rsidR="00F7650B">
              <w:rPr>
                <w:rFonts w:eastAsia="Times New Roman" w:cs="Arial"/>
                <w:sz w:val="22"/>
                <w:lang w:eastAsia="en-GB"/>
              </w:rPr>
              <w:t xml:space="preserve"> </w:t>
            </w:r>
            <w:r w:rsidR="00F7650B" w:rsidRPr="00F7650B">
              <w:rPr>
                <w:rFonts w:eastAsia="Times New Roman" w:cs="Arial"/>
                <w:color w:val="7030A0"/>
                <w:sz w:val="22"/>
                <w:lang w:eastAsia="en-GB"/>
              </w:rPr>
              <w:t>for 9 dwellings</w:t>
            </w:r>
            <w:r w:rsidR="00B249CC" w:rsidRPr="00F7650B">
              <w:rPr>
                <w:rFonts w:eastAsia="Times New Roman" w:cs="Arial"/>
                <w:color w:val="7030A0"/>
                <w:sz w:val="22"/>
                <w:lang w:eastAsia="en-GB"/>
              </w:rPr>
              <w:t>.</w:t>
            </w:r>
            <w:r w:rsidR="00F7650B">
              <w:rPr>
                <w:rFonts w:eastAsia="Times New Roman" w:cs="Arial"/>
                <w:color w:val="7030A0"/>
                <w:sz w:val="22"/>
                <w:lang w:eastAsia="en-GB"/>
              </w:rPr>
              <w:t xml:space="preserve"> </w:t>
            </w:r>
            <w:r w:rsidR="00B249CC" w:rsidRPr="00F7650B">
              <w:rPr>
                <w:rFonts w:eastAsia="Times New Roman" w:cs="Arial"/>
                <w:sz w:val="22"/>
                <w:lang w:eastAsia="en-GB"/>
              </w:rPr>
              <w:t xml:space="preserve">Anticipated </w:t>
            </w:r>
            <w:r w:rsidR="006F370D" w:rsidRPr="00F7650B">
              <w:rPr>
                <w:rFonts w:eastAsia="Times New Roman" w:cs="Arial"/>
                <w:sz w:val="22"/>
                <w:lang w:eastAsia="en-GB"/>
              </w:rPr>
              <w:t xml:space="preserve">delivery to commence </w:t>
            </w:r>
            <w:r w:rsidR="00B249CC" w:rsidRPr="00F7650B">
              <w:rPr>
                <w:rFonts w:eastAsia="Times New Roman" w:cs="Arial"/>
                <w:sz w:val="22"/>
                <w:lang w:eastAsia="en-GB"/>
              </w:rPr>
              <w:t>year</w:t>
            </w:r>
            <w:r w:rsidR="00F7650B">
              <w:rPr>
                <w:rFonts w:eastAsia="Times New Roman" w:cs="Arial"/>
                <w:sz w:val="22"/>
                <w:lang w:eastAsia="en-GB"/>
              </w:rPr>
              <w:t xml:space="preserve"> </w:t>
            </w:r>
            <w:r w:rsidR="00F7650B" w:rsidRPr="00F7650B">
              <w:rPr>
                <w:rFonts w:eastAsia="Times New Roman" w:cs="Arial"/>
                <w:color w:val="7030A0"/>
                <w:sz w:val="22"/>
                <w:lang w:eastAsia="en-GB"/>
              </w:rPr>
              <w:t>8</w:t>
            </w:r>
            <w:r w:rsidR="00B249CC" w:rsidRPr="00F7650B">
              <w:rPr>
                <w:rFonts w:eastAsia="Times New Roman" w:cs="Arial"/>
                <w:sz w:val="22"/>
                <w:lang w:eastAsia="en-GB"/>
              </w:rPr>
              <w:t xml:space="preserve"> 2032/33.</w:t>
            </w:r>
          </w:p>
        </w:tc>
      </w:tr>
      <w:tr w:rsidR="00170A30" w:rsidRPr="00FB020F" w14:paraId="4B2454BC" w14:textId="77777777" w:rsidTr="00164192">
        <w:trPr>
          <w:trHeight w:val="720"/>
        </w:trPr>
        <w:tc>
          <w:tcPr>
            <w:tcW w:w="846" w:type="dxa"/>
            <w:tcBorders>
              <w:top w:val="nil"/>
              <w:left w:val="single" w:sz="4" w:space="0" w:color="auto"/>
              <w:bottom w:val="single" w:sz="4" w:space="0" w:color="auto"/>
              <w:right w:val="single" w:sz="4" w:space="0" w:color="auto"/>
            </w:tcBorders>
            <w:noWrap/>
            <w:hideMark/>
          </w:tcPr>
          <w:p w14:paraId="7E775C67" w14:textId="77777777" w:rsidR="00FB020F" w:rsidRPr="00C744EA" w:rsidRDefault="00FB020F" w:rsidP="00FB020F">
            <w:pPr>
              <w:spacing w:after="0" w:line="240" w:lineRule="auto"/>
              <w:jc w:val="left"/>
              <w:rPr>
                <w:rFonts w:eastAsia="Times New Roman" w:cs="Arial"/>
                <w:strike/>
                <w:sz w:val="22"/>
                <w:lang w:eastAsia="en-GB"/>
              </w:rPr>
            </w:pPr>
            <w:r w:rsidRPr="00C744EA">
              <w:rPr>
                <w:rFonts w:eastAsia="Times New Roman" w:cs="Arial"/>
                <w:strike/>
                <w:sz w:val="22"/>
                <w:lang w:eastAsia="en-GB"/>
              </w:rPr>
              <w:t>H1Sag</w:t>
            </w:r>
          </w:p>
        </w:tc>
        <w:tc>
          <w:tcPr>
            <w:tcW w:w="1843" w:type="dxa"/>
            <w:tcBorders>
              <w:top w:val="nil"/>
              <w:left w:val="nil"/>
              <w:bottom w:val="single" w:sz="4" w:space="0" w:color="auto"/>
              <w:right w:val="single" w:sz="4" w:space="0" w:color="auto"/>
            </w:tcBorders>
            <w:hideMark/>
          </w:tcPr>
          <w:p w14:paraId="4420C691" w14:textId="221499C0" w:rsidR="00FB020F" w:rsidRPr="00C744EA" w:rsidRDefault="00FB020F" w:rsidP="00FB020F">
            <w:pPr>
              <w:spacing w:after="0" w:line="240" w:lineRule="auto"/>
              <w:jc w:val="left"/>
              <w:rPr>
                <w:rFonts w:eastAsia="Times New Roman" w:cs="Arial"/>
                <w:strike/>
                <w:sz w:val="22"/>
                <w:lang w:eastAsia="en-GB"/>
              </w:rPr>
            </w:pPr>
            <w:r w:rsidRPr="00C744EA">
              <w:rPr>
                <w:rFonts w:eastAsia="Times New Roman" w:cs="Arial"/>
                <w:strike/>
                <w:sz w:val="22"/>
                <w:lang w:eastAsia="en-GB"/>
              </w:rPr>
              <w:t xml:space="preserve">Quantum </w:t>
            </w:r>
            <w:r w:rsidR="00375F16" w:rsidRPr="00C744EA">
              <w:rPr>
                <w:rFonts w:eastAsia="Times New Roman" w:cs="Arial"/>
                <w:strike/>
                <w:sz w:val="22"/>
                <w:lang w:eastAsia="en-GB"/>
              </w:rPr>
              <w:t>C</w:t>
            </w:r>
            <w:r w:rsidRPr="00C744EA">
              <w:rPr>
                <w:rFonts w:eastAsia="Times New Roman" w:cs="Arial"/>
                <w:strike/>
                <w:sz w:val="22"/>
                <w:lang w:eastAsia="en-GB"/>
              </w:rPr>
              <w:t>lothing Site, North Street, Huthwaite</w:t>
            </w:r>
          </w:p>
        </w:tc>
        <w:tc>
          <w:tcPr>
            <w:tcW w:w="1275" w:type="dxa"/>
            <w:tcBorders>
              <w:top w:val="nil"/>
              <w:left w:val="nil"/>
              <w:bottom w:val="single" w:sz="4" w:space="0" w:color="auto"/>
              <w:right w:val="single" w:sz="4" w:space="0" w:color="auto"/>
            </w:tcBorders>
            <w:noWrap/>
            <w:hideMark/>
          </w:tcPr>
          <w:p w14:paraId="386E78ED" w14:textId="77777777" w:rsidR="00FB020F" w:rsidRPr="00C744EA" w:rsidRDefault="00FB020F" w:rsidP="00FB020F">
            <w:pPr>
              <w:spacing w:after="0" w:line="240" w:lineRule="auto"/>
              <w:jc w:val="center"/>
              <w:rPr>
                <w:rFonts w:eastAsia="Times New Roman" w:cs="Arial"/>
                <w:strike/>
                <w:sz w:val="22"/>
                <w:lang w:eastAsia="en-GB"/>
              </w:rPr>
            </w:pPr>
            <w:r w:rsidRPr="00C744EA">
              <w:rPr>
                <w:rFonts w:eastAsia="Times New Roman" w:cs="Arial"/>
                <w:strike/>
                <w:sz w:val="22"/>
                <w:lang w:eastAsia="en-GB"/>
              </w:rPr>
              <w:t>B</w:t>
            </w:r>
          </w:p>
        </w:tc>
        <w:tc>
          <w:tcPr>
            <w:tcW w:w="1418" w:type="dxa"/>
            <w:tcBorders>
              <w:top w:val="nil"/>
              <w:left w:val="nil"/>
              <w:bottom w:val="single" w:sz="4" w:space="0" w:color="auto"/>
              <w:right w:val="single" w:sz="4" w:space="0" w:color="auto"/>
            </w:tcBorders>
            <w:noWrap/>
            <w:hideMark/>
          </w:tcPr>
          <w:p w14:paraId="0121E42F" w14:textId="77777777" w:rsidR="00FB020F" w:rsidRPr="00C744EA" w:rsidRDefault="00FB020F" w:rsidP="00FB020F">
            <w:pPr>
              <w:spacing w:after="0" w:line="240" w:lineRule="auto"/>
              <w:jc w:val="center"/>
              <w:rPr>
                <w:rFonts w:eastAsia="Times New Roman" w:cs="Arial"/>
                <w:strike/>
                <w:sz w:val="22"/>
                <w:lang w:eastAsia="en-GB"/>
              </w:rPr>
            </w:pPr>
            <w:r w:rsidRPr="00C744EA">
              <w:rPr>
                <w:rFonts w:eastAsia="Times New Roman" w:cs="Arial"/>
                <w:strike/>
                <w:sz w:val="22"/>
                <w:lang w:eastAsia="en-GB"/>
              </w:rPr>
              <w:t>No</w:t>
            </w:r>
          </w:p>
        </w:tc>
        <w:tc>
          <w:tcPr>
            <w:tcW w:w="1417" w:type="dxa"/>
            <w:tcBorders>
              <w:top w:val="nil"/>
              <w:left w:val="nil"/>
              <w:bottom w:val="single" w:sz="4" w:space="0" w:color="auto"/>
              <w:right w:val="single" w:sz="4" w:space="0" w:color="auto"/>
            </w:tcBorders>
            <w:noWrap/>
            <w:hideMark/>
          </w:tcPr>
          <w:p w14:paraId="0C3B8883" w14:textId="77777777" w:rsidR="00FB020F" w:rsidRPr="00C744EA" w:rsidRDefault="00FB020F" w:rsidP="00FB020F">
            <w:pPr>
              <w:spacing w:after="0" w:line="240" w:lineRule="auto"/>
              <w:jc w:val="right"/>
              <w:rPr>
                <w:rFonts w:eastAsia="Times New Roman" w:cs="Arial"/>
                <w:strike/>
                <w:sz w:val="22"/>
                <w:lang w:eastAsia="en-GB"/>
              </w:rPr>
            </w:pPr>
            <w:r w:rsidRPr="00C744EA">
              <w:rPr>
                <w:rFonts w:eastAsia="Times New Roman" w:cs="Arial"/>
                <w:strike/>
                <w:sz w:val="22"/>
                <w:lang w:eastAsia="en-GB"/>
              </w:rPr>
              <w:t>71</w:t>
            </w:r>
          </w:p>
        </w:tc>
        <w:tc>
          <w:tcPr>
            <w:tcW w:w="3076" w:type="dxa"/>
            <w:tcBorders>
              <w:top w:val="nil"/>
              <w:left w:val="nil"/>
              <w:bottom w:val="single" w:sz="4" w:space="0" w:color="auto"/>
              <w:right w:val="single" w:sz="4" w:space="0" w:color="auto"/>
            </w:tcBorders>
            <w:hideMark/>
          </w:tcPr>
          <w:p w14:paraId="65D40054" w14:textId="77777777" w:rsidR="00FB020F" w:rsidRPr="00C744EA" w:rsidRDefault="00B249CC" w:rsidP="00FB020F">
            <w:pPr>
              <w:spacing w:after="0" w:line="240" w:lineRule="auto"/>
              <w:jc w:val="left"/>
              <w:rPr>
                <w:rFonts w:eastAsia="Times New Roman" w:cs="Arial"/>
                <w:strike/>
                <w:sz w:val="22"/>
                <w:lang w:eastAsia="en-GB"/>
              </w:rPr>
            </w:pPr>
            <w:r w:rsidRPr="00C744EA">
              <w:rPr>
                <w:rFonts w:eastAsia="Times New Roman" w:cs="Arial"/>
                <w:strike/>
                <w:sz w:val="22"/>
                <w:lang w:eastAsia="en-GB"/>
              </w:rPr>
              <w:t xml:space="preserve">Previous permission lapsed. </w:t>
            </w:r>
            <w:r w:rsidR="00FB020F" w:rsidRPr="00C744EA">
              <w:rPr>
                <w:rFonts w:eastAsia="Times New Roman" w:cs="Arial"/>
                <w:strike/>
                <w:sz w:val="22"/>
                <w:lang w:eastAsia="en-GB"/>
              </w:rPr>
              <w:t xml:space="preserve">Ongoing application for 61 dwellings (V/2022/0109) </w:t>
            </w:r>
          </w:p>
          <w:p w14:paraId="22D6831D" w14:textId="77777777" w:rsidR="00B249CC" w:rsidRDefault="00B249CC" w:rsidP="00FB020F">
            <w:pPr>
              <w:spacing w:after="0" w:line="240" w:lineRule="auto"/>
              <w:jc w:val="left"/>
              <w:rPr>
                <w:rFonts w:eastAsia="Times New Roman" w:cs="Arial"/>
                <w:strike/>
                <w:sz w:val="22"/>
                <w:lang w:eastAsia="en-GB"/>
              </w:rPr>
            </w:pPr>
            <w:r w:rsidRPr="00C744EA">
              <w:rPr>
                <w:rFonts w:eastAsia="Times New Roman" w:cs="Arial"/>
                <w:strike/>
                <w:sz w:val="22"/>
                <w:lang w:eastAsia="en-GB"/>
              </w:rPr>
              <w:t xml:space="preserve">Anticipated </w:t>
            </w:r>
            <w:r w:rsidR="006F370D" w:rsidRPr="00C744EA">
              <w:rPr>
                <w:rFonts w:eastAsia="Times New Roman" w:cs="Arial"/>
                <w:strike/>
                <w:sz w:val="22"/>
                <w:lang w:eastAsia="en-GB"/>
              </w:rPr>
              <w:t xml:space="preserve">delivery to commence </w:t>
            </w:r>
            <w:r w:rsidRPr="00C744EA">
              <w:rPr>
                <w:rFonts w:eastAsia="Times New Roman" w:cs="Arial"/>
                <w:strike/>
                <w:sz w:val="22"/>
                <w:lang w:eastAsia="en-GB"/>
              </w:rPr>
              <w:t>year 2026/27.</w:t>
            </w:r>
          </w:p>
          <w:p w14:paraId="62F0CE39" w14:textId="7049C351" w:rsidR="00C744EA" w:rsidRPr="00C744EA" w:rsidRDefault="00C744EA" w:rsidP="00FB020F">
            <w:pPr>
              <w:spacing w:after="0" w:line="240" w:lineRule="auto"/>
              <w:jc w:val="left"/>
              <w:rPr>
                <w:rFonts w:eastAsia="Times New Roman" w:cs="Arial"/>
                <w:strike/>
                <w:sz w:val="22"/>
                <w:lang w:eastAsia="en-GB"/>
              </w:rPr>
            </w:pPr>
            <w:r w:rsidRPr="001E1DC6">
              <w:rPr>
                <w:rFonts w:eastAsia="Times New Roman" w:cs="Arial"/>
                <w:color w:val="7030A0"/>
                <w:sz w:val="22"/>
                <w:lang w:eastAsia="en-GB"/>
              </w:rPr>
              <w:t>Site now has Full permission</w:t>
            </w:r>
            <w:r>
              <w:rPr>
                <w:rFonts w:eastAsia="Times New Roman" w:cs="Arial"/>
                <w:color w:val="7030A0"/>
                <w:sz w:val="22"/>
                <w:lang w:eastAsia="en-GB"/>
              </w:rPr>
              <w:t>.</w:t>
            </w:r>
          </w:p>
        </w:tc>
      </w:tr>
      <w:tr w:rsidR="00C744EA" w:rsidRPr="00FB020F" w14:paraId="3779AD68" w14:textId="77777777" w:rsidTr="00164192">
        <w:trPr>
          <w:trHeight w:val="720"/>
        </w:trPr>
        <w:tc>
          <w:tcPr>
            <w:tcW w:w="846" w:type="dxa"/>
            <w:tcBorders>
              <w:top w:val="single" w:sz="4" w:space="0" w:color="auto"/>
              <w:left w:val="single" w:sz="4" w:space="0" w:color="auto"/>
              <w:bottom w:val="single" w:sz="4" w:space="0" w:color="auto"/>
              <w:right w:val="single" w:sz="4" w:space="0" w:color="auto"/>
            </w:tcBorders>
            <w:noWrap/>
          </w:tcPr>
          <w:p w14:paraId="24329826" w14:textId="1CB714B3" w:rsidR="00C744EA" w:rsidRPr="00C744EA" w:rsidRDefault="00C744EA" w:rsidP="00FB020F">
            <w:pPr>
              <w:spacing w:after="0" w:line="240" w:lineRule="auto"/>
              <w:jc w:val="left"/>
              <w:rPr>
                <w:rFonts w:eastAsia="Times New Roman" w:cs="Arial"/>
                <w:color w:val="7030A0"/>
                <w:sz w:val="22"/>
                <w:lang w:eastAsia="en-GB"/>
              </w:rPr>
            </w:pPr>
            <w:r w:rsidRPr="00C744EA">
              <w:rPr>
                <w:rFonts w:eastAsia="Times New Roman" w:cs="Arial"/>
                <w:color w:val="7030A0"/>
                <w:sz w:val="22"/>
                <w:lang w:eastAsia="en-GB"/>
              </w:rPr>
              <w:t>H1Sam</w:t>
            </w:r>
          </w:p>
        </w:tc>
        <w:tc>
          <w:tcPr>
            <w:tcW w:w="1843" w:type="dxa"/>
            <w:tcBorders>
              <w:top w:val="single" w:sz="4" w:space="0" w:color="auto"/>
              <w:left w:val="nil"/>
              <w:bottom w:val="single" w:sz="4" w:space="0" w:color="auto"/>
              <w:right w:val="single" w:sz="4" w:space="0" w:color="auto"/>
            </w:tcBorders>
          </w:tcPr>
          <w:p w14:paraId="4403A719" w14:textId="365454A7" w:rsidR="00C744EA" w:rsidRPr="00C744EA" w:rsidRDefault="00C744EA" w:rsidP="00FB020F">
            <w:pPr>
              <w:spacing w:after="0" w:line="240" w:lineRule="auto"/>
              <w:jc w:val="left"/>
              <w:rPr>
                <w:rFonts w:eastAsia="Times New Roman" w:cs="Arial"/>
                <w:color w:val="7030A0"/>
                <w:sz w:val="22"/>
                <w:lang w:eastAsia="en-GB"/>
              </w:rPr>
            </w:pPr>
            <w:r w:rsidRPr="00C744EA">
              <w:rPr>
                <w:rFonts w:eastAsia="Times New Roman" w:cs="Arial"/>
                <w:color w:val="7030A0"/>
                <w:sz w:val="22"/>
                <w:lang w:eastAsia="en-GB"/>
              </w:rPr>
              <w:t>Beck Lane South, Skegby</w:t>
            </w:r>
          </w:p>
        </w:tc>
        <w:tc>
          <w:tcPr>
            <w:tcW w:w="1275" w:type="dxa"/>
            <w:tcBorders>
              <w:top w:val="single" w:sz="4" w:space="0" w:color="auto"/>
              <w:left w:val="nil"/>
              <w:bottom w:val="single" w:sz="4" w:space="0" w:color="auto"/>
              <w:right w:val="single" w:sz="4" w:space="0" w:color="auto"/>
            </w:tcBorders>
            <w:noWrap/>
          </w:tcPr>
          <w:p w14:paraId="5B2E33E3" w14:textId="1E32E7F8" w:rsidR="00C744EA" w:rsidRPr="00C744EA" w:rsidRDefault="00C744EA" w:rsidP="00FB020F">
            <w:pPr>
              <w:spacing w:after="0" w:line="240" w:lineRule="auto"/>
              <w:jc w:val="center"/>
              <w:rPr>
                <w:rFonts w:eastAsia="Times New Roman" w:cs="Arial"/>
                <w:color w:val="7030A0"/>
                <w:sz w:val="22"/>
                <w:lang w:eastAsia="en-GB"/>
              </w:rPr>
            </w:pPr>
            <w:r w:rsidRPr="00C744EA">
              <w:rPr>
                <w:rFonts w:eastAsia="Times New Roman" w:cs="Arial"/>
                <w:color w:val="7030A0"/>
                <w:sz w:val="22"/>
                <w:lang w:eastAsia="en-GB"/>
              </w:rPr>
              <w:t>G</w:t>
            </w:r>
          </w:p>
        </w:tc>
        <w:tc>
          <w:tcPr>
            <w:tcW w:w="1418" w:type="dxa"/>
            <w:tcBorders>
              <w:top w:val="single" w:sz="4" w:space="0" w:color="auto"/>
              <w:left w:val="nil"/>
              <w:bottom w:val="single" w:sz="4" w:space="0" w:color="auto"/>
              <w:right w:val="single" w:sz="4" w:space="0" w:color="auto"/>
            </w:tcBorders>
            <w:noWrap/>
          </w:tcPr>
          <w:p w14:paraId="16896216" w14:textId="026313D0" w:rsidR="00C744EA" w:rsidRPr="00C744EA" w:rsidRDefault="00C744EA" w:rsidP="00FB020F">
            <w:pPr>
              <w:spacing w:after="0" w:line="240" w:lineRule="auto"/>
              <w:jc w:val="center"/>
              <w:rPr>
                <w:rFonts w:eastAsia="Times New Roman" w:cs="Arial"/>
                <w:color w:val="7030A0"/>
                <w:sz w:val="22"/>
                <w:lang w:eastAsia="en-GB"/>
              </w:rPr>
            </w:pPr>
            <w:r>
              <w:rPr>
                <w:rFonts w:eastAsia="Times New Roman" w:cs="Arial"/>
                <w:color w:val="7030A0"/>
                <w:sz w:val="22"/>
                <w:lang w:eastAsia="en-GB"/>
              </w:rPr>
              <w:t>No</w:t>
            </w:r>
          </w:p>
        </w:tc>
        <w:tc>
          <w:tcPr>
            <w:tcW w:w="1417" w:type="dxa"/>
            <w:tcBorders>
              <w:top w:val="single" w:sz="4" w:space="0" w:color="auto"/>
              <w:left w:val="nil"/>
              <w:bottom w:val="single" w:sz="4" w:space="0" w:color="auto"/>
              <w:right w:val="single" w:sz="4" w:space="0" w:color="auto"/>
            </w:tcBorders>
            <w:noWrap/>
          </w:tcPr>
          <w:p w14:paraId="2F849892" w14:textId="0150F298" w:rsidR="00C744EA" w:rsidRPr="00C744EA" w:rsidRDefault="00C744EA" w:rsidP="00FB020F">
            <w:pPr>
              <w:spacing w:after="0" w:line="240" w:lineRule="auto"/>
              <w:jc w:val="right"/>
              <w:rPr>
                <w:rFonts w:eastAsia="Times New Roman" w:cs="Arial"/>
                <w:color w:val="7030A0"/>
                <w:sz w:val="22"/>
                <w:lang w:eastAsia="en-GB"/>
              </w:rPr>
            </w:pPr>
            <w:r>
              <w:rPr>
                <w:rFonts w:eastAsia="Times New Roman" w:cs="Arial"/>
                <w:color w:val="7030A0"/>
                <w:sz w:val="22"/>
                <w:lang w:eastAsia="en-GB"/>
              </w:rPr>
              <w:t>106</w:t>
            </w:r>
          </w:p>
        </w:tc>
        <w:tc>
          <w:tcPr>
            <w:tcW w:w="3076" w:type="dxa"/>
            <w:tcBorders>
              <w:top w:val="single" w:sz="4" w:space="0" w:color="auto"/>
              <w:left w:val="nil"/>
              <w:bottom w:val="single" w:sz="4" w:space="0" w:color="auto"/>
              <w:right w:val="single" w:sz="4" w:space="0" w:color="auto"/>
            </w:tcBorders>
          </w:tcPr>
          <w:p w14:paraId="0660B48B" w14:textId="77777777" w:rsidR="0040105A" w:rsidRDefault="00C70D3F" w:rsidP="00FB020F">
            <w:pPr>
              <w:spacing w:after="0" w:line="240" w:lineRule="auto"/>
              <w:jc w:val="left"/>
              <w:rPr>
                <w:rFonts w:eastAsia="Times New Roman" w:cs="Arial"/>
                <w:color w:val="7030A0"/>
                <w:sz w:val="22"/>
                <w:lang w:eastAsia="en-GB"/>
              </w:rPr>
            </w:pPr>
            <w:r w:rsidRPr="0040105A">
              <w:rPr>
                <w:rFonts w:eastAsia="Times New Roman" w:cs="Arial"/>
                <w:color w:val="7030A0"/>
                <w:sz w:val="22"/>
                <w:lang w:eastAsia="en-GB"/>
              </w:rPr>
              <w:t>NCC owned. A collaboration agreement has been reached between</w:t>
            </w:r>
            <w:r w:rsidR="0040105A">
              <w:rPr>
                <w:rFonts w:eastAsia="Times New Roman" w:cs="Arial"/>
                <w:color w:val="7030A0"/>
                <w:sz w:val="22"/>
                <w:lang w:eastAsia="en-GB"/>
              </w:rPr>
              <w:t xml:space="preserve"> the</w:t>
            </w:r>
            <w:r w:rsidRPr="0040105A">
              <w:rPr>
                <w:rFonts w:eastAsia="Times New Roman" w:cs="Arial"/>
                <w:color w:val="7030A0"/>
                <w:sz w:val="22"/>
                <w:lang w:eastAsia="en-GB"/>
              </w:rPr>
              <w:t xml:space="preserve"> 2 landowners in respect of </w:t>
            </w:r>
            <w:r w:rsidRPr="0040105A">
              <w:rPr>
                <w:rFonts w:eastAsia="Times New Roman" w:cs="Arial"/>
                <w:color w:val="7030A0"/>
                <w:sz w:val="22"/>
                <w:lang w:eastAsia="en-GB"/>
              </w:rPr>
              <w:lastRenderedPageBreak/>
              <w:t>access from Omberley Avenue</w:t>
            </w:r>
            <w:r w:rsidR="0040105A">
              <w:rPr>
                <w:rFonts w:eastAsia="Times New Roman" w:cs="Arial"/>
                <w:color w:val="7030A0"/>
                <w:sz w:val="22"/>
                <w:lang w:eastAsia="en-GB"/>
              </w:rPr>
              <w:t xml:space="preserve"> and included within the PP for H1Sf. </w:t>
            </w:r>
          </w:p>
          <w:p w14:paraId="77EFC135" w14:textId="513F59B1" w:rsidR="00C744EA" w:rsidRPr="0040105A" w:rsidRDefault="00C70D3F" w:rsidP="00FB020F">
            <w:pPr>
              <w:spacing w:after="0" w:line="240" w:lineRule="auto"/>
              <w:jc w:val="left"/>
              <w:rPr>
                <w:rFonts w:eastAsia="Times New Roman" w:cs="Arial"/>
                <w:color w:val="7030A0"/>
                <w:sz w:val="22"/>
                <w:lang w:eastAsia="en-GB"/>
              </w:rPr>
            </w:pPr>
            <w:r w:rsidRPr="0040105A">
              <w:rPr>
                <w:rFonts w:eastAsia="Times New Roman" w:cs="Arial"/>
                <w:color w:val="7030A0"/>
                <w:sz w:val="22"/>
                <w:lang w:eastAsia="en-GB"/>
              </w:rPr>
              <w:t>Pre application advice has been sought by a developer.</w:t>
            </w:r>
          </w:p>
          <w:p w14:paraId="0CDDE3D2" w14:textId="3F91C373" w:rsidR="00C70D3F" w:rsidRPr="00C744EA" w:rsidRDefault="00C70D3F" w:rsidP="00FB020F">
            <w:pPr>
              <w:spacing w:after="0" w:line="240" w:lineRule="auto"/>
              <w:jc w:val="left"/>
              <w:rPr>
                <w:rFonts w:eastAsia="Times New Roman" w:cs="Arial"/>
                <w:color w:val="7030A0"/>
                <w:sz w:val="22"/>
                <w:highlight w:val="yellow"/>
                <w:lang w:eastAsia="en-GB"/>
              </w:rPr>
            </w:pPr>
            <w:r w:rsidRPr="00C70D3F">
              <w:rPr>
                <w:rFonts w:eastAsia="Times New Roman" w:cs="Arial"/>
                <w:color w:val="7030A0"/>
                <w:sz w:val="22"/>
                <w:lang w:eastAsia="en-GB"/>
              </w:rPr>
              <w:t>Anticipated delivery to commence year 9</w:t>
            </w:r>
            <w:r w:rsidR="00471C4F">
              <w:rPr>
                <w:rFonts w:eastAsia="Times New Roman" w:cs="Arial"/>
                <w:color w:val="7030A0"/>
                <w:sz w:val="22"/>
                <w:lang w:eastAsia="en-GB"/>
              </w:rPr>
              <w:t>,</w:t>
            </w:r>
            <w:r w:rsidRPr="00C70D3F">
              <w:rPr>
                <w:rFonts w:eastAsia="Times New Roman" w:cs="Arial"/>
                <w:color w:val="7030A0"/>
                <w:sz w:val="22"/>
                <w:lang w:eastAsia="en-GB"/>
              </w:rPr>
              <w:t xml:space="preserve"> 2033/34.</w:t>
            </w:r>
          </w:p>
        </w:tc>
      </w:tr>
      <w:tr w:rsidR="00C744EA" w:rsidRPr="00FB020F" w14:paraId="5BB4F290" w14:textId="77777777" w:rsidTr="00164192">
        <w:trPr>
          <w:trHeight w:val="720"/>
        </w:trPr>
        <w:tc>
          <w:tcPr>
            <w:tcW w:w="846" w:type="dxa"/>
            <w:tcBorders>
              <w:top w:val="single" w:sz="4" w:space="0" w:color="auto"/>
              <w:left w:val="single" w:sz="4" w:space="0" w:color="auto"/>
              <w:bottom w:val="single" w:sz="4" w:space="0" w:color="auto"/>
              <w:right w:val="single" w:sz="4" w:space="0" w:color="auto"/>
            </w:tcBorders>
            <w:noWrap/>
          </w:tcPr>
          <w:p w14:paraId="2ED8FEEA" w14:textId="70870069" w:rsidR="00C744EA" w:rsidRPr="00C744EA" w:rsidRDefault="00C744EA" w:rsidP="00FB020F">
            <w:pPr>
              <w:spacing w:after="0" w:line="240" w:lineRule="auto"/>
              <w:jc w:val="left"/>
              <w:rPr>
                <w:rFonts w:eastAsia="Times New Roman" w:cs="Arial"/>
                <w:color w:val="7030A0"/>
                <w:sz w:val="22"/>
                <w:lang w:eastAsia="en-GB"/>
              </w:rPr>
            </w:pPr>
            <w:r w:rsidRPr="00C744EA">
              <w:rPr>
                <w:rFonts w:eastAsia="Times New Roman" w:cs="Arial"/>
                <w:color w:val="7030A0"/>
                <w:sz w:val="22"/>
                <w:lang w:eastAsia="en-GB"/>
              </w:rPr>
              <w:lastRenderedPageBreak/>
              <w:t>H1San</w:t>
            </w:r>
          </w:p>
        </w:tc>
        <w:tc>
          <w:tcPr>
            <w:tcW w:w="1843" w:type="dxa"/>
            <w:tcBorders>
              <w:top w:val="single" w:sz="4" w:space="0" w:color="auto"/>
              <w:left w:val="nil"/>
              <w:bottom w:val="single" w:sz="4" w:space="0" w:color="auto"/>
              <w:right w:val="single" w:sz="4" w:space="0" w:color="auto"/>
            </w:tcBorders>
          </w:tcPr>
          <w:p w14:paraId="55B82B4D" w14:textId="53206E43" w:rsidR="00C744EA" w:rsidRPr="00C744EA" w:rsidRDefault="00C744EA" w:rsidP="00FB020F">
            <w:pPr>
              <w:spacing w:after="0" w:line="240" w:lineRule="auto"/>
              <w:jc w:val="left"/>
              <w:rPr>
                <w:rFonts w:eastAsia="Times New Roman" w:cs="Arial"/>
                <w:color w:val="7030A0"/>
                <w:sz w:val="22"/>
                <w:lang w:eastAsia="en-GB"/>
              </w:rPr>
            </w:pPr>
            <w:r w:rsidRPr="00C744EA">
              <w:rPr>
                <w:rFonts w:eastAsia="Times New Roman" w:cs="Arial"/>
                <w:color w:val="7030A0"/>
                <w:sz w:val="22"/>
                <w:lang w:eastAsia="en-GB"/>
              </w:rPr>
              <w:t>Radford’s Farm, Skegby</w:t>
            </w:r>
          </w:p>
        </w:tc>
        <w:tc>
          <w:tcPr>
            <w:tcW w:w="1275" w:type="dxa"/>
            <w:tcBorders>
              <w:top w:val="single" w:sz="4" w:space="0" w:color="auto"/>
              <w:left w:val="nil"/>
              <w:bottom w:val="single" w:sz="4" w:space="0" w:color="auto"/>
              <w:right w:val="single" w:sz="4" w:space="0" w:color="auto"/>
            </w:tcBorders>
            <w:noWrap/>
          </w:tcPr>
          <w:p w14:paraId="15621014" w14:textId="21F9D097" w:rsidR="00C744EA" w:rsidRPr="00C744EA" w:rsidRDefault="00C744EA" w:rsidP="00FB020F">
            <w:pPr>
              <w:spacing w:after="0" w:line="240" w:lineRule="auto"/>
              <w:jc w:val="center"/>
              <w:rPr>
                <w:rFonts w:eastAsia="Times New Roman" w:cs="Arial"/>
                <w:color w:val="7030A0"/>
                <w:sz w:val="22"/>
                <w:lang w:eastAsia="en-GB"/>
              </w:rPr>
            </w:pPr>
            <w:r w:rsidRPr="00C744EA">
              <w:rPr>
                <w:rFonts w:eastAsia="Times New Roman" w:cs="Arial"/>
                <w:color w:val="7030A0"/>
                <w:sz w:val="22"/>
                <w:lang w:eastAsia="en-GB"/>
              </w:rPr>
              <w:t>G</w:t>
            </w:r>
          </w:p>
        </w:tc>
        <w:tc>
          <w:tcPr>
            <w:tcW w:w="1418" w:type="dxa"/>
            <w:tcBorders>
              <w:top w:val="single" w:sz="4" w:space="0" w:color="auto"/>
              <w:left w:val="nil"/>
              <w:bottom w:val="single" w:sz="4" w:space="0" w:color="auto"/>
              <w:right w:val="single" w:sz="4" w:space="0" w:color="auto"/>
            </w:tcBorders>
            <w:noWrap/>
          </w:tcPr>
          <w:p w14:paraId="6E0F8057" w14:textId="2D6DD061" w:rsidR="00C744EA" w:rsidRPr="00C744EA" w:rsidRDefault="00C744EA" w:rsidP="00FB020F">
            <w:pPr>
              <w:spacing w:after="0" w:line="240" w:lineRule="auto"/>
              <w:jc w:val="center"/>
              <w:rPr>
                <w:rFonts w:eastAsia="Times New Roman" w:cs="Arial"/>
                <w:color w:val="7030A0"/>
                <w:sz w:val="22"/>
                <w:lang w:eastAsia="en-GB"/>
              </w:rPr>
            </w:pPr>
            <w:r>
              <w:rPr>
                <w:rFonts w:eastAsia="Times New Roman" w:cs="Arial"/>
                <w:color w:val="7030A0"/>
                <w:sz w:val="22"/>
                <w:lang w:eastAsia="en-GB"/>
              </w:rPr>
              <w:t>No</w:t>
            </w:r>
          </w:p>
        </w:tc>
        <w:tc>
          <w:tcPr>
            <w:tcW w:w="1417" w:type="dxa"/>
            <w:tcBorders>
              <w:top w:val="single" w:sz="4" w:space="0" w:color="auto"/>
              <w:left w:val="nil"/>
              <w:bottom w:val="single" w:sz="4" w:space="0" w:color="auto"/>
              <w:right w:val="single" w:sz="4" w:space="0" w:color="auto"/>
            </w:tcBorders>
            <w:noWrap/>
          </w:tcPr>
          <w:p w14:paraId="63BB88D5" w14:textId="11B870DC" w:rsidR="00C744EA" w:rsidRPr="00C744EA" w:rsidRDefault="00C744EA" w:rsidP="00FB020F">
            <w:pPr>
              <w:spacing w:after="0" w:line="240" w:lineRule="auto"/>
              <w:jc w:val="right"/>
              <w:rPr>
                <w:rFonts w:eastAsia="Times New Roman" w:cs="Arial"/>
                <w:color w:val="7030A0"/>
                <w:sz w:val="22"/>
                <w:lang w:eastAsia="en-GB"/>
              </w:rPr>
            </w:pPr>
            <w:r>
              <w:rPr>
                <w:rFonts w:eastAsia="Times New Roman" w:cs="Arial"/>
                <w:color w:val="7030A0"/>
                <w:sz w:val="22"/>
                <w:lang w:eastAsia="en-GB"/>
              </w:rPr>
              <w:t>90</w:t>
            </w:r>
          </w:p>
        </w:tc>
        <w:tc>
          <w:tcPr>
            <w:tcW w:w="3076" w:type="dxa"/>
            <w:tcBorders>
              <w:top w:val="single" w:sz="4" w:space="0" w:color="auto"/>
              <w:left w:val="nil"/>
              <w:bottom w:val="single" w:sz="4" w:space="0" w:color="auto"/>
              <w:right w:val="single" w:sz="4" w:space="0" w:color="auto"/>
            </w:tcBorders>
          </w:tcPr>
          <w:p w14:paraId="1BA845A7" w14:textId="77777777" w:rsidR="00C744EA" w:rsidRDefault="00C03B4B" w:rsidP="00FB020F">
            <w:pPr>
              <w:spacing w:after="0" w:line="240" w:lineRule="auto"/>
              <w:jc w:val="left"/>
              <w:rPr>
                <w:rFonts w:eastAsia="Times New Roman" w:cs="Arial"/>
                <w:color w:val="7030A0"/>
                <w:sz w:val="22"/>
                <w:lang w:eastAsia="en-GB"/>
              </w:rPr>
            </w:pPr>
            <w:r w:rsidRPr="00E919EC">
              <w:rPr>
                <w:rFonts w:eastAsia="Times New Roman" w:cs="Arial"/>
                <w:color w:val="7030A0"/>
                <w:sz w:val="22"/>
                <w:lang w:eastAsia="en-GB"/>
              </w:rPr>
              <w:t xml:space="preserve">Resolved in </w:t>
            </w:r>
            <w:r>
              <w:rPr>
                <w:rFonts w:eastAsia="Times New Roman" w:cs="Arial"/>
                <w:color w:val="7030A0"/>
                <w:sz w:val="22"/>
                <w:lang w:eastAsia="en-GB"/>
              </w:rPr>
              <w:t>February 2025</w:t>
            </w:r>
            <w:r w:rsidRPr="00E919EC">
              <w:rPr>
                <w:rFonts w:eastAsia="Times New Roman" w:cs="Arial"/>
                <w:color w:val="7030A0"/>
                <w:sz w:val="22"/>
                <w:lang w:eastAsia="en-GB"/>
              </w:rPr>
              <w:t xml:space="preserve"> to grant outline permission subject to S106</w:t>
            </w:r>
            <w:r>
              <w:rPr>
                <w:rFonts w:eastAsia="Times New Roman" w:cs="Arial"/>
                <w:color w:val="7030A0"/>
                <w:sz w:val="22"/>
                <w:lang w:eastAsia="en-GB"/>
              </w:rPr>
              <w:t xml:space="preserve"> (V/20204/0489).</w:t>
            </w:r>
          </w:p>
          <w:p w14:paraId="2C7D3DB4" w14:textId="733E579F" w:rsidR="00C03B4B" w:rsidRPr="00C744EA" w:rsidRDefault="00C03B4B" w:rsidP="00FB020F">
            <w:pPr>
              <w:spacing w:after="0" w:line="240" w:lineRule="auto"/>
              <w:jc w:val="left"/>
              <w:rPr>
                <w:rFonts w:eastAsia="Times New Roman" w:cs="Arial"/>
                <w:color w:val="7030A0"/>
                <w:sz w:val="22"/>
                <w:highlight w:val="yellow"/>
                <w:lang w:eastAsia="en-GB"/>
              </w:rPr>
            </w:pPr>
            <w:r w:rsidRPr="00C70D3F">
              <w:rPr>
                <w:rFonts w:eastAsia="Times New Roman" w:cs="Arial"/>
                <w:color w:val="7030A0"/>
                <w:sz w:val="22"/>
                <w:lang w:eastAsia="en-GB"/>
              </w:rPr>
              <w:t xml:space="preserve">Anticipated delivery to commence year </w:t>
            </w:r>
            <w:r>
              <w:rPr>
                <w:rFonts w:eastAsia="Times New Roman" w:cs="Arial"/>
                <w:color w:val="7030A0"/>
                <w:sz w:val="22"/>
                <w:lang w:eastAsia="en-GB"/>
              </w:rPr>
              <w:t>11</w:t>
            </w:r>
            <w:r w:rsidRPr="00C70D3F">
              <w:rPr>
                <w:rFonts w:eastAsia="Times New Roman" w:cs="Arial"/>
                <w:color w:val="7030A0"/>
                <w:sz w:val="22"/>
                <w:lang w:eastAsia="en-GB"/>
              </w:rPr>
              <w:t xml:space="preserve"> 203</w:t>
            </w:r>
            <w:r>
              <w:rPr>
                <w:rFonts w:eastAsia="Times New Roman" w:cs="Arial"/>
                <w:color w:val="7030A0"/>
                <w:sz w:val="22"/>
                <w:lang w:eastAsia="en-GB"/>
              </w:rPr>
              <w:t>5</w:t>
            </w:r>
            <w:r w:rsidRPr="00C70D3F">
              <w:rPr>
                <w:rFonts w:eastAsia="Times New Roman" w:cs="Arial"/>
                <w:color w:val="7030A0"/>
                <w:sz w:val="22"/>
                <w:lang w:eastAsia="en-GB"/>
              </w:rPr>
              <w:t>/3</w:t>
            </w:r>
            <w:r>
              <w:rPr>
                <w:rFonts w:eastAsia="Times New Roman" w:cs="Arial"/>
                <w:color w:val="7030A0"/>
                <w:sz w:val="22"/>
                <w:lang w:eastAsia="en-GB"/>
              </w:rPr>
              <w:t>6</w:t>
            </w:r>
            <w:r w:rsidRPr="00C70D3F">
              <w:rPr>
                <w:rFonts w:eastAsia="Times New Roman" w:cs="Arial"/>
                <w:color w:val="7030A0"/>
                <w:sz w:val="22"/>
                <w:lang w:eastAsia="en-GB"/>
              </w:rPr>
              <w:t>.</w:t>
            </w:r>
          </w:p>
        </w:tc>
      </w:tr>
    </w:tbl>
    <w:p w14:paraId="7EBF0F58" w14:textId="77777777" w:rsidR="000C09F3" w:rsidRDefault="000C09F3" w:rsidP="000C09F3">
      <w:pPr>
        <w:rPr>
          <w:rFonts w:cs="Arial"/>
          <w:b/>
          <w:bCs/>
          <w:i/>
          <w:iCs/>
          <w:szCs w:val="24"/>
        </w:rPr>
      </w:pPr>
    </w:p>
    <w:tbl>
      <w:tblPr>
        <w:tblW w:w="9875" w:type="dxa"/>
        <w:tblLayout w:type="fixed"/>
        <w:tblLook w:val="04A0" w:firstRow="1" w:lastRow="0" w:firstColumn="1" w:lastColumn="0" w:noHBand="0" w:noVBand="1"/>
      </w:tblPr>
      <w:tblGrid>
        <w:gridCol w:w="988"/>
        <w:gridCol w:w="1818"/>
        <w:gridCol w:w="1293"/>
        <w:gridCol w:w="1390"/>
        <w:gridCol w:w="1382"/>
        <w:gridCol w:w="3004"/>
      </w:tblGrid>
      <w:tr w:rsidR="00E36CFB" w:rsidRPr="00FB020F" w14:paraId="3AF49D67" w14:textId="77777777" w:rsidTr="00F57D7A">
        <w:trPr>
          <w:trHeight w:val="840"/>
        </w:trPr>
        <w:tc>
          <w:tcPr>
            <w:tcW w:w="988" w:type="dxa"/>
            <w:tcBorders>
              <w:top w:val="single" w:sz="4" w:space="0" w:color="auto"/>
              <w:left w:val="single" w:sz="4" w:space="0" w:color="auto"/>
              <w:bottom w:val="single" w:sz="4" w:space="0" w:color="auto"/>
              <w:right w:val="single" w:sz="4" w:space="0" w:color="auto"/>
            </w:tcBorders>
            <w:shd w:val="clear" w:color="000000" w:fill="D9D9D9"/>
            <w:hideMark/>
          </w:tcPr>
          <w:p w14:paraId="44960FA9" w14:textId="77777777" w:rsidR="00E36CFB" w:rsidRPr="008C1D1B" w:rsidRDefault="00E36CF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Site Ref.</w:t>
            </w:r>
          </w:p>
        </w:tc>
        <w:tc>
          <w:tcPr>
            <w:tcW w:w="1818" w:type="dxa"/>
            <w:tcBorders>
              <w:top w:val="single" w:sz="4" w:space="0" w:color="auto"/>
              <w:left w:val="nil"/>
              <w:bottom w:val="single" w:sz="4" w:space="0" w:color="auto"/>
              <w:right w:val="single" w:sz="4" w:space="0" w:color="auto"/>
            </w:tcBorders>
            <w:shd w:val="clear" w:color="000000" w:fill="D9D9D9"/>
            <w:hideMark/>
          </w:tcPr>
          <w:p w14:paraId="4BE3A913" w14:textId="77777777" w:rsidR="00E36CFB" w:rsidRPr="008C1D1B" w:rsidRDefault="00E36CF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Site Name</w:t>
            </w:r>
          </w:p>
        </w:tc>
        <w:tc>
          <w:tcPr>
            <w:tcW w:w="1293" w:type="dxa"/>
            <w:tcBorders>
              <w:top w:val="single" w:sz="4" w:space="0" w:color="auto"/>
              <w:left w:val="nil"/>
              <w:bottom w:val="single" w:sz="4" w:space="0" w:color="auto"/>
              <w:right w:val="single" w:sz="4" w:space="0" w:color="auto"/>
            </w:tcBorders>
            <w:shd w:val="clear" w:color="000000" w:fill="D9D9D9"/>
            <w:hideMark/>
          </w:tcPr>
          <w:p w14:paraId="77DA2035" w14:textId="77777777" w:rsidR="00E36CFB" w:rsidRPr="008C1D1B" w:rsidRDefault="00E36CF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Greenfield/ Brownfield</w:t>
            </w:r>
          </w:p>
        </w:tc>
        <w:tc>
          <w:tcPr>
            <w:tcW w:w="1390" w:type="dxa"/>
            <w:tcBorders>
              <w:top w:val="single" w:sz="4" w:space="0" w:color="auto"/>
              <w:left w:val="nil"/>
              <w:bottom w:val="single" w:sz="4" w:space="0" w:color="auto"/>
              <w:right w:val="single" w:sz="4" w:space="0" w:color="auto"/>
            </w:tcBorders>
            <w:shd w:val="clear" w:color="000000" w:fill="D9D9D9"/>
            <w:hideMark/>
          </w:tcPr>
          <w:p w14:paraId="06127716" w14:textId="52083BE4" w:rsidR="00E36CFB" w:rsidRPr="008C1D1B" w:rsidRDefault="00E36CF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Planning Permission</w:t>
            </w:r>
          </w:p>
        </w:tc>
        <w:tc>
          <w:tcPr>
            <w:tcW w:w="1382" w:type="dxa"/>
            <w:tcBorders>
              <w:top w:val="single" w:sz="4" w:space="0" w:color="auto"/>
              <w:left w:val="nil"/>
              <w:bottom w:val="single" w:sz="4" w:space="0" w:color="auto"/>
              <w:right w:val="single" w:sz="4" w:space="0" w:color="auto"/>
            </w:tcBorders>
            <w:shd w:val="clear" w:color="000000" w:fill="D9D9D9"/>
            <w:hideMark/>
          </w:tcPr>
          <w:p w14:paraId="0D6F34C7" w14:textId="77777777" w:rsidR="00E36CFB" w:rsidRPr="008C1D1B" w:rsidRDefault="00E36CF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Potential Yield (Dwellings)</w:t>
            </w:r>
          </w:p>
        </w:tc>
        <w:tc>
          <w:tcPr>
            <w:tcW w:w="3004" w:type="dxa"/>
            <w:tcBorders>
              <w:top w:val="single" w:sz="4" w:space="0" w:color="auto"/>
              <w:left w:val="nil"/>
              <w:bottom w:val="single" w:sz="4" w:space="0" w:color="auto"/>
              <w:right w:val="single" w:sz="4" w:space="0" w:color="auto"/>
            </w:tcBorders>
            <w:shd w:val="clear" w:color="000000" w:fill="D9D9D9"/>
            <w:hideMark/>
          </w:tcPr>
          <w:p w14:paraId="7E486917" w14:textId="77777777" w:rsidR="00E36CFB" w:rsidRPr="008C1D1B" w:rsidRDefault="00E36CF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Current Status</w:t>
            </w:r>
          </w:p>
        </w:tc>
      </w:tr>
      <w:tr w:rsidR="00E36CFB" w:rsidRPr="00FB020F" w14:paraId="3FB6C376" w14:textId="77777777" w:rsidTr="00E36CFB">
        <w:trPr>
          <w:trHeight w:val="840"/>
        </w:trPr>
        <w:tc>
          <w:tcPr>
            <w:tcW w:w="988" w:type="dxa"/>
            <w:tcBorders>
              <w:top w:val="single" w:sz="4" w:space="0" w:color="auto"/>
              <w:left w:val="single" w:sz="4" w:space="0" w:color="auto"/>
              <w:bottom w:val="single" w:sz="4" w:space="0" w:color="auto"/>
              <w:right w:val="single" w:sz="4" w:space="0" w:color="auto"/>
            </w:tcBorders>
          </w:tcPr>
          <w:p w14:paraId="1B32D526" w14:textId="2FA14318" w:rsidR="00E36CFB" w:rsidRPr="008C1D1B" w:rsidRDefault="00E36CF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H1Vb</w:t>
            </w:r>
          </w:p>
        </w:tc>
        <w:tc>
          <w:tcPr>
            <w:tcW w:w="1818" w:type="dxa"/>
            <w:tcBorders>
              <w:top w:val="single" w:sz="4" w:space="0" w:color="auto"/>
              <w:left w:val="nil"/>
              <w:bottom w:val="single" w:sz="4" w:space="0" w:color="auto"/>
              <w:right w:val="single" w:sz="4" w:space="0" w:color="auto"/>
            </w:tcBorders>
          </w:tcPr>
          <w:p w14:paraId="0827D32C" w14:textId="59198C0A" w:rsidR="00E36CFB" w:rsidRPr="008C1D1B" w:rsidRDefault="008C1D1B" w:rsidP="008C1D1B">
            <w:pPr>
              <w:spacing w:after="0" w:line="240" w:lineRule="auto"/>
              <w:jc w:val="left"/>
              <w:rPr>
                <w:rFonts w:eastAsia="Times New Roman" w:cs="Arial"/>
                <w:color w:val="7030A0"/>
                <w:sz w:val="22"/>
                <w:lang w:eastAsia="en-GB"/>
              </w:rPr>
            </w:pPr>
            <w:r w:rsidRPr="008C1D1B">
              <w:rPr>
                <w:rFonts w:eastAsia="Times New Roman" w:cs="Arial"/>
                <w:color w:val="7030A0"/>
                <w:sz w:val="22"/>
                <w:lang w:eastAsia="en-GB"/>
              </w:rPr>
              <w:t>Off Westdale Road, Jacksdale</w:t>
            </w:r>
          </w:p>
        </w:tc>
        <w:tc>
          <w:tcPr>
            <w:tcW w:w="1293" w:type="dxa"/>
            <w:tcBorders>
              <w:top w:val="single" w:sz="4" w:space="0" w:color="auto"/>
              <w:left w:val="nil"/>
              <w:bottom w:val="single" w:sz="4" w:space="0" w:color="auto"/>
              <w:right w:val="single" w:sz="4" w:space="0" w:color="auto"/>
            </w:tcBorders>
          </w:tcPr>
          <w:p w14:paraId="7ADCF395" w14:textId="37C26225" w:rsidR="00E36CF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G</w:t>
            </w:r>
          </w:p>
        </w:tc>
        <w:tc>
          <w:tcPr>
            <w:tcW w:w="1390" w:type="dxa"/>
            <w:tcBorders>
              <w:top w:val="single" w:sz="4" w:space="0" w:color="auto"/>
              <w:left w:val="nil"/>
              <w:bottom w:val="single" w:sz="4" w:space="0" w:color="auto"/>
              <w:right w:val="single" w:sz="4" w:space="0" w:color="auto"/>
            </w:tcBorders>
          </w:tcPr>
          <w:p w14:paraId="0979889A" w14:textId="5B8927EC" w:rsidR="00E36CF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No</w:t>
            </w:r>
          </w:p>
        </w:tc>
        <w:tc>
          <w:tcPr>
            <w:tcW w:w="1382" w:type="dxa"/>
            <w:tcBorders>
              <w:top w:val="single" w:sz="4" w:space="0" w:color="auto"/>
              <w:left w:val="nil"/>
              <w:bottom w:val="single" w:sz="4" w:space="0" w:color="auto"/>
              <w:right w:val="single" w:sz="4" w:space="0" w:color="auto"/>
            </w:tcBorders>
          </w:tcPr>
          <w:p w14:paraId="167A3DF6" w14:textId="251C0C88" w:rsidR="00E36CFB" w:rsidRPr="008C1D1B" w:rsidRDefault="00B609C0" w:rsidP="00B609C0">
            <w:pPr>
              <w:spacing w:after="0" w:line="240" w:lineRule="auto"/>
              <w:jc w:val="right"/>
              <w:rPr>
                <w:rFonts w:eastAsia="Times New Roman" w:cs="Arial"/>
                <w:color w:val="7030A0"/>
                <w:sz w:val="22"/>
                <w:lang w:eastAsia="en-GB"/>
              </w:rPr>
            </w:pPr>
            <w:r>
              <w:rPr>
                <w:rFonts w:eastAsia="Times New Roman" w:cs="Arial"/>
                <w:color w:val="7030A0"/>
                <w:sz w:val="22"/>
                <w:lang w:eastAsia="en-GB"/>
              </w:rPr>
              <w:t>64</w:t>
            </w:r>
          </w:p>
        </w:tc>
        <w:tc>
          <w:tcPr>
            <w:tcW w:w="3004" w:type="dxa"/>
            <w:tcBorders>
              <w:top w:val="single" w:sz="4" w:space="0" w:color="auto"/>
              <w:left w:val="nil"/>
              <w:bottom w:val="single" w:sz="4" w:space="0" w:color="auto"/>
              <w:right w:val="single" w:sz="4" w:space="0" w:color="auto"/>
            </w:tcBorders>
          </w:tcPr>
          <w:p w14:paraId="1646546A" w14:textId="15ABD97D" w:rsidR="00595BBD" w:rsidRDefault="00595BBD" w:rsidP="00914B4F">
            <w:pPr>
              <w:spacing w:after="0" w:line="240" w:lineRule="auto"/>
              <w:jc w:val="left"/>
              <w:rPr>
                <w:rFonts w:eastAsia="Times New Roman" w:cs="Arial"/>
                <w:color w:val="7030A0"/>
                <w:sz w:val="22"/>
                <w:lang w:eastAsia="en-GB"/>
              </w:rPr>
            </w:pPr>
            <w:r>
              <w:rPr>
                <w:rFonts w:eastAsia="Times New Roman" w:cs="Arial"/>
                <w:color w:val="7030A0"/>
                <w:sz w:val="22"/>
                <w:lang w:eastAsia="en-GB"/>
              </w:rPr>
              <w:t>Full application pending for 64 dwellings (V/2023/0416). Yield increased from 49 dwellings to reflect application layout. A draft s106 agreement is in place.</w:t>
            </w:r>
          </w:p>
          <w:p w14:paraId="6AA7BAD1" w14:textId="3C0E93BC" w:rsidR="00E36CFB" w:rsidRPr="008C1D1B" w:rsidRDefault="00914B4F" w:rsidP="00914B4F">
            <w:pPr>
              <w:spacing w:after="0" w:line="240" w:lineRule="auto"/>
              <w:jc w:val="left"/>
              <w:rPr>
                <w:rFonts w:eastAsia="Times New Roman" w:cs="Arial"/>
                <w:color w:val="7030A0"/>
                <w:sz w:val="22"/>
                <w:lang w:eastAsia="en-GB"/>
              </w:rPr>
            </w:pPr>
            <w:r w:rsidRPr="00F7650B">
              <w:rPr>
                <w:rFonts w:eastAsia="Times New Roman" w:cs="Arial"/>
                <w:color w:val="7030A0"/>
                <w:sz w:val="22"/>
                <w:lang w:eastAsia="en-GB"/>
              </w:rPr>
              <w:t xml:space="preserve">Anticipated delivery to commence year </w:t>
            </w:r>
            <w:r>
              <w:rPr>
                <w:rFonts w:eastAsia="Times New Roman" w:cs="Arial"/>
                <w:color w:val="7030A0"/>
                <w:sz w:val="22"/>
                <w:lang w:eastAsia="en-GB"/>
              </w:rPr>
              <w:t xml:space="preserve">6 </w:t>
            </w:r>
            <w:r w:rsidRPr="00F7650B">
              <w:rPr>
                <w:rFonts w:eastAsia="Times New Roman" w:cs="Arial"/>
                <w:color w:val="7030A0"/>
                <w:sz w:val="22"/>
                <w:lang w:eastAsia="en-GB"/>
              </w:rPr>
              <w:t>203</w:t>
            </w:r>
            <w:r>
              <w:rPr>
                <w:rFonts w:eastAsia="Times New Roman" w:cs="Arial"/>
                <w:color w:val="7030A0"/>
                <w:sz w:val="22"/>
                <w:lang w:eastAsia="en-GB"/>
              </w:rPr>
              <w:t>0</w:t>
            </w:r>
            <w:r w:rsidRPr="00F7650B">
              <w:rPr>
                <w:rFonts w:eastAsia="Times New Roman" w:cs="Arial"/>
                <w:color w:val="7030A0"/>
                <w:sz w:val="22"/>
                <w:lang w:eastAsia="en-GB"/>
              </w:rPr>
              <w:t>/3</w:t>
            </w:r>
            <w:r>
              <w:rPr>
                <w:rFonts w:eastAsia="Times New Roman" w:cs="Arial"/>
                <w:color w:val="7030A0"/>
                <w:sz w:val="22"/>
                <w:lang w:eastAsia="en-GB"/>
              </w:rPr>
              <w:t>1</w:t>
            </w:r>
            <w:r w:rsidRPr="00F7650B">
              <w:rPr>
                <w:rFonts w:eastAsia="Times New Roman" w:cs="Arial"/>
                <w:color w:val="7030A0"/>
                <w:sz w:val="22"/>
                <w:lang w:eastAsia="en-GB"/>
              </w:rPr>
              <w:t>.</w:t>
            </w:r>
          </w:p>
        </w:tc>
      </w:tr>
      <w:tr w:rsidR="00E36CFB" w:rsidRPr="00FB020F" w14:paraId="49E190F7" w14:textId="77777777" w:rsidTr="00E36CFB">
        <w:trPr>
          <w:trHeight w:val="840"/>
        </w:trPr>
        <w:tc>
          <w:tcPr>
            <w:tcW w:w="988" w:type="dxa"/>
            <w:tcBorders>
              <w:top w:val="single" w:sz="4" w:space="0" w:color="auto"/>
              <w:left w:val="single" w:sz="4" w:space="0" w:color="auto"/>
              <w:bottom w:val="single" w:sz="4" w:space="0" w:color="auto"/>
              <w:right w:val="single" w:sz="4" w:space="0" w:color="auto"/>
            </w:tcBorders>
          </w:tcPr>
          <w:p w14:paraId="756AFA87" w14:textId="7F720B4D" w:rsidR="00E36CFB" w:rsidRPr="008C1D1B" w:rsidRDefault="008C1D1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H1Vc</w:t>
            </w:r>
          </w:p>
        </w:tc>
        <w:tc>
          <w:tcPr>
            <w:tcW w:w="1818" w:type="dxa"/>
            <w:tcBorders>
              <w:top w:val="single" w:sz="4" w:space="0" w:color="auto"/>
              <w:left w:val="nil"/>
              <w:bottom w:val="single" w:sz="4" w:space="0" w:color="auto"/>
              <w:right w:val="single" w:sz="4" w:space="0" w:color="auto"/>
            </w:tcBorders>
          </w:tcPr>
          <w:p w14:paraId="241A0588" w14:textId="5A43EEE4" w:rsidR="00E36CFB" w:rsidRPr="008C1D1B" w:rsidRDefault="00B609C0" w:rsidP="008C1D1B">
            <w:pPr>
              <w:spacing w:after="0" w:line="240" w:lineRule="auto"/>
              <w:jc w:val="left"/>
              <w:rPr>
                <w:rFonts w:eastAsia="Times New Roman" w:cs="Arial"/>
                <w:color w:val="7030A0"/>
                <w:sz w:val="22"/>
                <w:lang w:eastAsia="en-GB"/>
              </w:rPr>
            </w:pPr>
            <w:r>
              <w:rPr>
                <w:rFonts w:eastAsia="Times New Roman" w:cs="Arial"/>
                <w:color w:val="7030A0"/>
                <w:sz w:val="22"/>
                <w:lang w:eastAsia="en-GB"/>
              </w:rPr>
              <w:t>Land adj. Bull &amp; Butcher PH, Selston</w:t>
            </w:r>
          </w:p>
        </w:tc>
        <w:tc>
          <w:tcPr>
            <w:tcW w:w="1293" w:type="dxa"/>
            <w:tcBorders>
              <w:top w:val="single" w:sz="4" w:space="0" w:color="auto"/>
              <w:left w:val="nil"/>
              <w:bottom w:val="single" w:sz="4" w:space="0" w:color="auto"/>
              <w:right w:val="single" w:sz="4" w:space="0" w:color="auto"/>
            </w:tcBorders>
          </w:tcPr>
          <w:p w14:paraId="1552E8E2" w14:textId="373BE5BB" w:rsidR="00E36CF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G</w:t>
            </w:r>
          </w:p>
        </w:tc>
        <w:tc>
          <w:tcPr>
            <w:tcW w:w="1390" w:type="dxa"/>
            <w:tcBorders>
              <w:top w:val="single" w:sz="4" w:space="0" w:color="auto"/>
              <w:left w:val="nil"/>
              <w:bottom w:val="single" w:sz="4" w:space="0" w:color="auto"/>
              <w:right w:val="single" w:sz="4" w:space="0" w:color="auto"/>
            </w:tcBorders>
          </w:tcPr>
          <w:p w14:paraId="28BCDB9A" w14:textId="37CD68F1" w:rsidR="00E36CF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No</w:t>
            </w:r>
          </w:p>
        </w:tc>
        <w:tc>
          <w:tcPr>
            <w:tcW w:w="1382" w:type="dxa"/>
            <w:tcBorders>
              <w:top w:val="single" w:sz="4" w:space="0" w:color="auto"/>
              <w:left w:val="nil"/>
              <w:bottom w:val="single" w:sz="4" w:space="0" w:color="auto"/>
              <w:right w:val="single" w:sz="4" w:space="0" w:color="auto"/>
            </w:tcBorders>
          </w:tcPr>
          <w:p w14:paraId="704170F1" w14:textId="6A7C5985" w:rsidR="00E36CFB" w:rsidRPr="008C1D1B" w:rsidRDefault="00B609C0" w:rsidP="00B609C0">
            <w:pPr>
              <w:spacing w:after="0" w:line="240" w:lineRule="auto"/>
              <w:jc w:val="right"/>
              <w:rPr>
                <w:rFonts w:eastAsia="Times New Roman" w:cs="Arial"/>
                <w:color w:val="7030A0"/>
                <w:sz w:val="22"/>
                <w:lang w:eastAsia="en-GB"/>
              </w:rPr>
            </w:pPr>
            <w:r>
              <w:rPr>
                <w:rFonts w:eastAsia="Times New Roman" w:cs="Arial"/>
                <w:color w:val="7030A0"/>
                <w:sz w:val="22"/>
                <w:lang w:eastAsia="en-GB"/>
              </w:rPr>
              <w:t>149</w:t>
            </w:r>
          </w:p>
        </w:tc>
        <w:tc>
          <w:tcPr>
            <w:tcW w:w="3004" w:type="dxa"/>
            <w:tcBorders>
              <w:top w:val="single" w:sz="4" w:space="0" w:color="auto"/>
              <w:left w:val="nil"/>
              <w:bottom w:val="single" w:sz="4" w:space="0" w:color="auto"/>
              <w:right w:val="single" w:sz="4" w:space="0" w:color="auto"/>
            </w:tcBorders>
          </w:tcPr>
          <w:p w14:paraId="17927CAB" w14:textId="77777777" w:rsidR="00595BBD" w:rsidRDefault="00595BBD" w:rsidP="00914B4F">
            <w:pPr>
              <w:spacing w:after="0" w:line="240" w:lineRule="auto"/>
              <w:jc w:val="left"/>
              <w:rPr>
                <w:rFonts w:eastAsia="Times New Roman" w:cs="Arial"/>
                <w:color w:val="7030A0"/>
                <w:sz w:val="22"/>
                <w:lang w:eastAsia="en-GB"/>
              </w:rPr>
            </w:pPr>
            <w:r>
              <w:rPr>
                <w:rFonts w:eastAsia="Times New Roman" w:cs="Arial"/>
                <w:color w:val="7030A0"/>
                <w:sz w:val="22"/>
                <w:lang w:eastAsia="en-GB"/>
              </w:rPr>
              <w:t>Outline Application nearing determination Nov. 2025.</w:t>
            </w:r>
          </w:p>
          <w:p w14:paraId="1996D121" w14:textId="667E5512" w:rsidR="00E36CFB" w:rsidRPr="008C1D1B" w:rsidRDefault="00252D68" w:rsidP="00914B4F">
            <w:pPr>
              <w:spacing w:after="0" w:line="240" w:lineRule="auto"/>
              <w:jc w:val="left"/>
              <w:rPr>
                <w:rFonts w:eastAsia="Times New Roman" w:cs="Arial"/>
                <w:color w:val="7030A0"/>
                <w:sz w:val="22"/>
                <w:lang w:eastAsia="en-GB"/>
              </w:rPr>
            </w:pPr>
            <w:r w:rsidRPr="00252D68">
              <w:rPr>
                <w:rFonts w:eastAsia="Times New Roman" w:cs="Arial"/>
                <w:color w:val="7030A0"/>
                <w:sz w:val="22"/>
                <w:lang w:eastAsia="en-GB"/>
              </w:rPr>
              <w:t>Anticipated delivery to commence year 5 2029/30.</w:t>
            </w:r>
          </w:p>
        </w:tc>
      </w:tr>
      <w:tr w:rsidR="008C1D1B" w:rsidRPr="00FB020F" w14:paraId="0200C05F" w14:textId="77777777" w:rsidTr="00E36CFB">
        <w:trPr>
          <w:trHeight w:val="840"/>
        </w:trPr>
        <w:tc>
          <w:tcPr>
            <w:tcW w:w="988" w:type="dxa"/>
            <w:tcBorders>
              <w:top w:val="single" w:sz="4" w:space="0" w:color="auto"/>
              <w:left w:val="single" w:sz="4" w:space="0" w:color="auto"/>
              <w:bottom w:val="single" w:sz="4" w:space="0" w:color="auto"/>
              <w:right w:val="single" w:sz="4" w:space="0" w:color="auto"/>
            </w:tcBorders>
          </w:tcPr>
          <w:p w14:paraId="10BA7DDB" w14:textId="7E5D3F62" w:rsidR="008C1D1B" w:rsidRPr="008C1D1B" w:rsidRDefault="008C1D1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H1Ve</w:t>
            </w:r>
          </w:p>
        </w:tc>
        <w:tc>
          <w:tcPr>
            <w:tcW w:w="1818" w:type="dxa"/>
            <w:tcBorders>
              <w:top w:val="single" w:sz="4" w:space="0" w:color="auto"/>
              <w:left w:val="nil"/>
              <w:bottom w:val="single" w:sz="4" w:space="0" w:color="auto"/>
              <w:right w:val="single" w:sz="4" w:space="0" w:color="auto"/>
            </w:tcBorders>
          </w:tcPr>
          <w:p w14:paraId="5D7AFA05" w14:textId="49D8AF1E" w:rsidR="008C1D1B" w:rsidRPr="008C1D1B" w:rsidRDefault="00B609C0" w:rsidP="008C1D1B">
            <w:pPr>
              <w:spacing w:after="0" w:line="240" w:lineRule="auto"/>
              <w:jc w:val="left"/>
              <w:rPr>
                <w:rFonts w:eastAsia="Times New Roman" w:cs="Arial"/>
                <w:color w:val="7030A0"/>
                <w:sz w:val="22"/>
                <w:lang w:eastAsia="en-GB"/>
              </w:rPr>
            </w:pPr>
            <w:r>
              <w:rPr>
                <w:rFonts w:eastAsia="Times New Roman" w:cs="Arial"/>
                <w:color w:val="7030A0"/>
                <w:sz w:val="22"/>
                <w:lang w:eastAsia="en-GB"/>
              </w:rPr>
              <w:t>Land off Park Lane/South-West M1, Selston</w:t>
            </w:r>
          </w:p>
        </w:tc>
        <w:tc>
          <w:tcPr>
            <w:tcW w:w="1293" w:type="dxa"/>
            <w:tcBorders>
              <w:top w:val="single" w:sz="4" w:space="0" w:color="auto"/>
              <w:left w:val="nil"/>
              <w:bottom w:val="single" w:sz="4" w:space="0" w:color="auto"/>
              <w:right w:val="single" w:sz="4" w:space="0" w:color="auto"/>
            </w:tcBorders>
          </w:tcPr>
          <w:p w14:paraId="51D68C40" w14:textId="2D7AA2DD" w:rsidR="008C1D1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G/B</w:t>
            </w:r>
          </w:p>
        </w:tc>
        <w:tc>
          <w:tcPr>
            <w:tcW w:w="1390" w:type="dxa"/>
            <w:tcBorders>
              <w:top w:val="single" w:sz="4" w:space="0" w:color="auto"/>
              <w:left w:val="nil"/>
              <w:bottom w:val="single" w:sz="4" w:space="0" w:color="auto"/>
              <w:right w:val="single" w:sz="4" w:space="0" w:color="auto"/>
            </w:tcBorders>
          </w:tcPr>
          <w:p w14:paraId="2ECF4573" w14:textId="4FEBA1FF" w:rsidR="008C1D1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No</w:t>
            </w:r>
          </w:p>
        </w:tc>
        <w:tc>
          <w:tcPr>
            <w:tcW w:w="1382" w:type="dxa"/>
            <w:tcBorders>
              <w:top w:val="single" w:sz="4" w:space="0" w:color="auto"/>
              <w:left w:val="nil"/>
              <w:bottom w:val="single" w:sz="4" w:space="0" w:color="auto"/>
              <w:right w:val="single" w:sz="4" w:space="0" w:color="auto"/>
            </w:tcBorders>
          </w:tcPr>
          <w:p w14:paraId="60A80A38" w14:textId="67AAAF86" w:rsidR="008C1D1B" w:rsidRPr="008C1D1B" w:rsidRDefault="00B609C0" w:rsidP="00B609C0">
            <w:pPr>
              <w:spacing w:after="0" w:line="240" w:lineRule="auto"/>
              <w:jc w:val="right"/>
              <w:rPr>
                <w:rFonts w:eastAsia="Times New Roman" w:cs="Arial"/>
                <w:color w:val="7030A0"/>
                <w:sz w:val="22"/>
                <w:lang w:eastAsia="en-GB"/>
              </w:rPr>
            </w:pPr>
            <w:r>
              <w:rPr>
                <w:rFonts w:eastAsia="Times New Roman" w:cs="Arial"/>
                <w:color w:val="7030A0"/>
                <w:sz w:val="22"/>
                <w:lang w:eastAsia="en-GB"/>
              </w:rPr>
              <w:t>137</w:t>
            </w:r>
          </w:p>
        </w:tc>
        <w:tc>
          <w:tcPr>
            <w:tcW w:w="3004" w:type="dxa"/>
            <w:tcBorders>
              <w:top w:val="single" w:sz="4" w:space="0" w:color="auto"/>
              <w:left w:val="nil"/>
              <w:bottom w:val="single" w:sz="4" w:space="0" w:color="auto"/>
              <w:right w:val="single" w:sz="4" w:space="0" w:color="auto"/>
            </w:tcBorders>
          </w:tcPr>
          <w:p w14:paraId="17ABB03F" w14:textId="45B64027" w:rsidR="00595BBD" w:rsidRDefault="00595BBD" w:rsidP="00914B4F">
            <w:pPr>
              <w:spacing w:after="0" w:line="240" w:lineRule="auto"/>
              <w:jc w:val="left"/>
              <w:rPr>
                <w:rFonts w:eastAsia="Times New Roman" w:cs="Arial"/>
                <w:color w:val="7030A0"/>
                <w:sz w:val="22"/>
                <w:lang w:eastAsia="en-GB"/>
              </w:rPr>
            </w:pPr>
            <w:r>
              <w:rPr>
                <w:rFonts w:eastAsia="Times New Roman" w:cs="Arial"/>
                <w:color w:val="7030A0"/>
                <w:sz w:val="22"/>
                <w:lang w:eastAsia="en-GB"/>
              </w:rPr>
              <w:t>Full application for 137 dwellings nearing determination. Yield reduced from 169 to reflect application layout.</w:t>
            </w:r>
          </w:p>
          <w:p w14:paraId="299CDE16" w14:textId="2FC44584" w:rsidR="008C1D1B" w:rsidRPr="008C1D1B" w:rsidRDefault="00252D68" w:rsidP="00914B4F">
            <w:pPr>
              <w:spacing w:after="0" w:line="240" w:lineRule="auto"/>
              <w:jc w:val="left"/>
              <w:rPr>
                <w:rFonts w:eastAsia="Times New Roman" w:cs="Arial"/>
                <w:color w:val="7030A0"/>
                <w:sz w:val="22"/>
                <w:lang w:eastAsia="en-GB"/>
              </w:rPr>
            </w:pPr>
            <w:r w:rsidRPr="00252D68">
              <w:rPr>
                <w:rFonts w:eastAsia="Times New Roman" w:cs="Arial"/>
                <w:color w:val="7030A0"/>
                <w:sz w:val="22"/>
                <w:lang w:eastAsia="en-GB"/>
              </w:rPr>
              <w:t>Anticipated delivery to commence year 3 2027/28.</w:t>
            </w:r>
          </w:p>
        </w:tc>
      </w:tr>
      <w:tr w:rsidR="008C1D1B" w:rsidRPr="00FB020F" w14:paraId="05EC2B60" w14:textId="77777777" w:rsidTr="00E36CFB">
        <w:trPr>
          <w:trHeight w:val="840"/>
        </w:trPr>
        <w:tc>
          <w:tcPr>
            <w:tcW w:w="988" w:type="dxa"/>
            <w:tcBorders>
              <w:top w:val="single" w:sz="4" w:space="0" w:color="auto"/>
              <w:left w:val="single" w:sz="4" w:space="0" w:color="auto"/>
              <w:bottom w:val="single" w:sz="4" w:space="0" w:color="auto"/>
              <w:right w:val="single" w:sz="4" w:space="0" w:color="auto"/>
            </w:tcBorders>
          </w:tcPr>
          <w:p w14:paraId="039E292E" w14:textId="0546ADA6" w:rsidR="008C1D1B" w:rsidRPr="008C1D1B" w:rsidRDefault="008C1D1B" w:rsidP="00F57D7A">
            <w:pPr>
              <w:spacing w:after="0" w:line="240" w:lineRule="auto"/>
              <w:rPr>
                <w:rFonts w:eastAsia="Times New Roman" w:cs="Arial"/>
                <w:color w:val="7030A0"/>
                <w:sz w:val="22"/>
                <w:lang w:eastAsia="en-GB"/>
              </w:rPr>
            </w:pPr>
            <w:r w:rsidRPr="008C1D1B">
              <w:rPr>
                <w:rFonts w:eastAsia="Times New Roman" w:cs="Arial"/>
                <w:color w:val="7030A0"/>
                <w:sz w:val="22"/>
                <w:lang w:eastAsia="en-GB"/>
              </w:rPr>
              <w:t>H1Vg</w:t>
            </w:r>
          </w:p>
        </w:tc>
        <w:tc>
          <w:tcPr>
            <w:tcW w:w="1818" w:type="dxa"/>
            <w:tcBorders>
              <w:top w:val="single" w:sz="4" w:space="0" w:color="auto"/>
              <w:left w:val="nil"/>
              <w:bottom w:val="single" w:sz="4" w:space="0" w:color="auto"/>
              <w:right w:val="single" w:sz="4" w:space="0" w:color="auto"/>
            </w:tcBorders>
          </w:tcPr>
          <w:p w14:paraId="659E8E1E" w14:textId="6575AEEB" w:rsidR="008C1D1B" w:rsidRPr="008C1D1B" w:rsidRDefault="00B609C0" w:rsidP="008C1D1B">
            <w:pPr>
              <w:spacing w:after="0" w:line="240" w:lineRule="auto"/>
              <w:jc w:val="left"/>
              <w:rPr>
                <w:rFonts w:eastAsia="Times New Roman" w:cs="Arial"/>
                <w:color w:val="7030A0"/>
                <w:sz w:val="22"/>
                <w:lang w:eastAsia="en-GB"/>
              </w:rPr>
            </w:pPr>
            <w:r>
              <w:rPr>
                <w:rFonts w:eastAsia="Times New Roman" w:cs="Arial"/>
                <w:color w:val="7030A0"/>
                <w:sz w:val="22"/>
                <w:lang w:eastAsia="en-GB"/>
              </w:rPr>
              <w:t>Land North of Larch Close, Underwood</w:t>
            </w:r>
          </w:p>
        </w:tc>
        <w:tc>
          <w:tcPr>
            <w:tcW w:w="1293" w:type="dxa"/>
            <w:tcBorders>
              <w:top w:val="single" w:sz="4" w:space="0" w:color="auto"/>
              <w:left w:val="nil"/>
              <w:bottom w:val="single" w:sz="4" w:space="0" w:color="auto"/>
              <w:right w:val="single" w:sz="4" w:space="0" w:color="auto"/>
            </w:tcBorders>
          </w:tcPr>
          <w:p w14:paraId="0EBF0EE3" w14:textId="54C6CFBA" w:rsidR="008C1D1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G</w:t>
            </w:r>
          </w:p>
        </w:tc>
        <w:tc>
          <w:tcPr>
            <w:tcW w:w="1390" w:type="dxa"/>
            <w:tcBorders>
              <w:top w:val="single" w:sz="4" w:space="0" w:color="auto"/>
              <w:left w:val="nil"/>
              <w:bottom w:val="single" w:sz="4" w:space="0" w:color="auto"/>
              <w:right w:val="single" w:sz="4" w:space="0" w:color="auto"/>
            </w:tcBorders>
          </w:tcPr>
          <w:p w14:paraId="52AAC2DA" w14:textId="68F27012" w:rsidR="008C1D1B" w:rsidRPr="008C1D1B" w:rsidRDefault="008C1D1B" w:rsidP="00F57D7A">
            <w:pPr>
              <w:spacing w:after="0" w:line="240" w:lineRule="auto"/>
              <w:jc w:val="center"/>
              <w:rPr>
                <w:rFonts w:eastAsia="Times New Roman" w:cs="Arial"/>
                <w:color w:val="7030A0"/>
                <w:sz w:val="22"/>
                <w:lang w:eastAsia="en-GB"/>
              </w:rPr>
            </w:pPr>
            <w:r w:rsidRPr="008C1D1B">
              <w:rPr>
                <w:rFonts w:eastAsia="Times New Roman" w:cs="Arial"/>
                <w:color w:val="7030A0"/>
                <w:sz w:val="22"/>
                <w:lang w:eastAsia="en-GB"/>
              </w:rPr>
              <w:t>No</w:t>
            </w:r>
          </w:p>
        </w:tc>
        <w:tc>
          <w:tcPr>
            <w:tcW w:w="1382" w:type="dxa"/>
            <w:tcBorders>
              <w:top w:val="single" w:sz="4" w:space="0" w:color="auto"/>
              <w:left w:val="nil"/>
              <w:bottom w:val="single" w:sz="4" w:space="0" w:color="auto"/>
              <w:right w:val="single" w:sz="4" w:space="0" w:color="auto"/>
            </w:tcBorders>
          </w:tcPr>
          <w:p w14:paraId="7C01FB5C" w14:textId="0089F3A1" w:rsidR="008C1D1B" w:rsidRPr="008C1D1B" w:rsidRDefault="00B609C0" w:rsidP="00B609C0">
            <w:pPr>
              <w:spacing w:after="0" w:line="240" w:lineRule="auto"/>
              <w:jc w:val="right"/>
              <w:rPr>
                <w:rFonts w:eastAsia="Times New Roman" w:cs="Arial"/>
                <w:color w:val="7030A0"/>
                <w:sz w:val="22"/>
                <w:lang w:eastAsia="en-GB"/>
              </w:rPr>
            </w:pPr>
            <w:r>
              <w:rPr>
                <w:rFonts w:eastAsia="Times New Roman" w:cs="Arial"/>
                <w:color w:val="7030A0"/>
                <w:sz w:val="22"/>
                <w:lang w:eastAsia="en-GB"/>
              </w:rPr>
              <w:t>52</w:t>
            </w:r>
          </w:p>
        </w:tc>
        <w:tc>
          <w:tcPr>
            <w:tcW w:w="3004" w:type="dxa"/>
            <w:tcBorders>
              <w:top w:val="single" w:sz="4" w:space="0" w:color="auto"/>
              <w:left w:val="nil"/>
              <w:bottom w:val="single" w:sz="4" w:space="0" w:color="auto"/>
              <w:right w:val="single" w:sz="4" w:space="0" w:color="auto"/>
            </w:tcBorders>
          </w:tcPr>
          <w:p w14:paraId="7314F447" w14:textId="596C33C3" w:rsidR="008C1D1B" w:rsidRPr="008C1D1B" w:rsidRDefault="0034757E" w:rsidP="00914B4F">
            <w:pPr>
              <w:spacing w:after="0" w:line="240" w:lineRule="auto"/>
              <w:jc w:val="left"/>
              <w:rPr>
                <w:rFonts w:eastAsia="Times New Roman" w:cs="Arial"/>
                <w:color w:val="7030A0"/>
                <w:sz w:val="22"/>
                <w:lang w:eastAsia="en-GB"/>
              </w:rPr>
            </w:pPr>
            <w:r>
              <w:rPr>
                <w:rFonts w:eastAsia="Times New Roman" w:cs="Arial"/>
                <w:color w:val="7030A0"/>
                <w:sz w:val="22"/>
                <w:lang w:eastAsia="en-GB"/>
              </w:rPr>
              <w:t xml:space="preserve">No known current </w:t>
            </w:r>
            <w:proofErr w:type="gramStart"/>
            <w:r>
              <w:rPr>
                <w:rFonts w:eastAsia="Times New Roman" w:cs="Arial"/>
                <w:color w:val="7030A0"/>
                <w:sz w:val="22"/>
                <w:lang w:eastAsia="en-GB"/>
              </w:rPr>
              <w:t>activity, but</w:t>
            </w:r>
            <w:proofErr w:type="gramEnd"/>
            <w:r>
              <w:rPr>
                <w:rFonts w:eastAsia="Times New Roman" w:cs="Arial"/>
                <w:color w:val="7030A0"/>
                <w:sz w:val="22"/>
                <w:lang w:eastAsia="en-GB"/>
              </w:rPr>
              <w:t xml:space="preserve"> assessed as deliverable. </w:t>
            </w:r>
            <w:r w:rsidR="00252D68" w:rsidRPr="00252D68">
              <w:rPr>
                <w:rFonts w:eastAsia="Times New Roman" w:cs="Arial"/>
                <w:color w:val="7030A0"/>
                <w:sz w:val="22"/>
                <w:lang w:eastAsia="en-GB"/>
              </w:rPr>
              <w:t>Anticipated delivery to commence year 9 2033/34.</w:t>
            </w:r>
          </w:p>
        </w:tc>
      </w:tr>
    </w:tbl>
    <w:p w14:paraId="341A3260" w14:textId="77777777" w:rsidR="00E36CFB" w:rsidRDefault="00E36CFB" w:rsidP="000C09F3">
      <w:pPr>
        <w:rPr>
          <w:rFonts w:cs="Arial"/>
          <w:b/>
          <w:bCs/>
          <w:i/>
          <w:iCs/>
          <w:szCs w:val="24"/>
        </w:rPr>
      </w:pPr>
    </w:p>
    <w:p w14:paraId="0373017F" w14:textId="77777777" w:rsidR="00DE5FF5" w:rsidRPr="00DE5FF5" w:rsidRDefault="00DE5FF5" w:rsidP="00DE5FF5">
      <w:pPr>
        <w:pStyle w:val="ListParagraph"/>
        <w:rPr>
          <w:rFonts w:cs="Arial"/>
          <w:color w:val="0070C0"/>
          <w:szCs w:val="24"/>
        </w:rPr>
      </w:pPr>
    </w:p>
    <w:p w14:paraId="6DC28B26" w14:textId="562B1CAE" w:rsidR="000C09F3" w:rsidRPr="004E13EC" w:rsidRDefault="000C09F3" w:rsidP="00132ACC">
      <w:pPr>
        <w:pStyle w:val="Heading4"/>
        <w:numPr>
          <w:ilvl w:val="1"/>
          <w:numId w:val="31"/>
        </w:numPr>
        <w:rPr>
          <w:rFonts w:cs="Arial"/>
          <w:b w:val="0"/>
          <w:bCs/>
          <w:i w:val="0"/>
          <w:iCs w:val="0"/>
        </w:rPr>
      </w:pPr>
      <w:r w:rsidRPr="004E13EC">
        <w:rPr>
          <w:rFonts w:cs="Arial"/>
          <w:bCs/>
        </w:rPr>
        <w:t>Is there compelling evidence that demonstrates windfall development will provide a</w:t>
      </w:r>
      <w:r w:rsidR="007C6C7B" w:rsidRPr="004E13EC">
        <w:rPr>
          <w:rFonts w:cs="Arial"/>
          <w:bCs/>
        </w:rPr>
        <w:t xml:space="preserve"> </w:t>
      </w:r>
      <w:r w:rsidRPr="004E13EC">
        <w:rPr>
          <w:rFonts w:cs="Arial"/>
          <w:bCs/>
        </w:rPr>
        <w:t>reliable source of supply as anticipated?</w:t>
      </w:r>
    </w:p>
    <w:p w14:paraId="21FCCF20" w14:textId="77777777" w:rsidR="00142DD3" w:rsidRDefault="00142DD3" w:rsidP="00142DD3">
      <w:pPr>
        <w:spacing w:after="0"/>
        <w:jc w:val="left"/>
        <w:rPr>
          <w:u w:val="single"/>
        </w:rPr>
      </w:pPr>
      <w:bookmarkStart w:id="5" w:name="_Hlk183102173"/>
    </w:p>
    <w:p w14:paraId="34552D7B" w14:textId="61CF82E1" w:rsidR="004E13EC" w:rsidRPr="00687008" w:rsidRDefault="004E13EC" w:rsidP="004E13EC">
      <w:pPr>
        <w:jc w:val="left"/>
      </w:pPr>
      <w:r w:rsidRPr="00687008">
        <w:t>Council’s response</w:t>
      </w:r>
      <w:r w:rsidR="00687008" w:rsidRPr="00687008">
        <w:t>:</w:t>
      </w:r>
    </w:p>
    <w:bookmarkEnd w:id="5"/>
    <w:p w14:paraId="150DCDA9" w14:textId="30CE57FF" w:rsidR="00DE5FE5" w:rsidRPr="00DE5FE5" w:rsidRDefault="00F0068F" w:rsidP="00DE5FE5">
      <w:pPr>
        <w:ind w:left="720" w:hanging="720"/>
        <w:jc w:val="left"/>
        <w:rPr>
          <w:rFonts w:cs="Arial"/>
          <w:color w:val="7030A0"/>
          <w:szCs w:val="24"/>
        </w:rPr>
      </w:pPr>
      <w:r w:rsidRPr="00DE5FE5">
        <w:rPr>
          <w:rFonts w:cs="Arial"/>
          <w:color w:val="7030A0"/>
          <w:szCs w:val="24"/>
        </w:rPr>
        <w:t>9.4.1</w:t>
      </w:r>
      <w:r>
        <w:rPr>
          <w:rFonts w:cs="Arial"/>
          <w:szCs w:val="24"/>
        </w:rPr>
        <w:tab/>
      </w:r>
      <w:r w:rsidR="00DE5FE5" w:rsidRPr="00DE5FE5">
        <w:rPr>
          <w:rFonts w:cs="Arial"/>
          <w:color w:val="7030A0"/>
          <w:szCs w:val="24"/>
        </w:rPr>
        <w:t xml:space="preserve">Paragraph 73 of the </w:t>
      </w:r>
      <w:proofErr w:type="gramStart"/>
      <w:r w:rsidR="00DE5FE5" w:rsidRPr="00DE5FE5">
        <w:rPr>
          <w:rFonts w:cs="Arial"/>
          <w:color w:val="7030A0"/>
          <w:szCs w:val="24"/>
        </w:rPr>
        <w:t>NPPF(</w:t>
      </w:r>
      <w:proofErr w:type="gramEnd"/>
      <w:r w:rsidR="00DE5FE5" w:rsidRPr="00DE5FE5">
        <w:rPr>
          <w:rFonts w:cs="Arial"/>
          <w:color w:val="7030A0"/>
          <w:szCs w:val="24"/>
        </w:rPr>
        <w:t xml:space="preserve">2024) emphasises the importance of small and medium sites in meeting an areas housing requirement. It sets out that local planning authorities should support the development of windfall sites through policies and </w:t>
      </w:r>
      <w:r w:rsidR="00DE5FE5" w:rsidRPr="00DE5FE5">
        <w:rPr>
          <w:rFonts w:cs="Arial"/>
          <w:color w:val="7030A0"/>
          <w:szCs w:val="24"/>
        </w:rPr>
        <w:lastRenderedPageBreak/>
        <w:t>decisions – giving great weight to the benefits of using suitable sites within existing settlements for homes.</w:t>
      </w:r>
    </w:p>
    <w:p w14:paraId="4292E3D8" w14:textId="470A52D2" w:rsidR="00DE5FE5" w:rsidRPr="00DE5FE5" w:rsidRDefault="00DE5FE5" w:rsidP="00DE5FE5">
      <w:pPr>
        <w:ind w:left="720" w:hanging="720"/>
        <w:jc w:val="left"/>
        <w:rPr>
          <w:rFonts w:cs="Arial"/>
          <w:color w:val="7030A0"/>
          <w:szCs w:val="24"/>
        </w:rPr>
      </w:pPr>
      <w:r w:rsidRPr="00DE5FE5">
        <w:rPr>
          <w:rFonts w:cs="Arial"/>
          <w:color w:val="7030A0"/>
          <w:szCs w:val="24"/>
        </w:rPr>
        <w:t>9.4.2</w:t>
      </w:r>
      <w:r w:rsidRPr="00DE5FE5">
        <w:rPr>
          <w:rFonts w:cs="Arial"/>
          <w:color w:val="7030A0"/>
          <w:szCs w:val="24"/>
        </w:rPr>
        <w:tab/>
        <w:t xml:space="preserve">NPPF paragraph 75 goes on to provide that where an allowance is to be made for windfall sites as part of anticipated supply, there should be compelling evidence that they will provide a reliable source of supply. Any allowance should be realistic having regard to the strategic housing land availability assessment, historic windfall delivery rates and expected future trends. </w:t>
      </w:r>
    </w:p>
    <w:p w14:paraId="64AB19B5" w14:textId="55EAD57D" w:rsidR="00687008" w:rsidRPr="00DE5FE5" w:rsidRDefault="00DE5FE5" w:rsidP="00687008">
      <w:pPr>
        <w:ind w:left="720" w:hanging="720"/>
        <w:jc w:val="left"/>
        <w:rPr>
          <w:rFonts w:cs="Arial"/>
          <w:color w:val="7030A0"/>
          <w:szCs w:val="24"/>
        </w:rPr>
      </w:pPr>
      <w:r>
        <w:rPr>
          <w:rFonts w:cs="Arial"/>
          <w:color w:val="7030A0"/>
          <w:szCs w:val="24"/>
        </w:rPr>
        <w:t>9.4.3</w:t>
      </w:r>
      <w:r>
        <w:rPr>
          <w:rFonts w:cs="Arial"/>
          <w:color w:val="7030A0"/>
          <w:szCs w:val="24"/>
        </w:rPr>
        <w:tab/>
      </w:r>
      <w:r w:rsidRPr="00DE5FE5">
        <w:rPr>
          <w:rFonts w:cs="Arial"/>
          <w:color w:val="7030A0"/>
          <w:szCs w:val="24"/>
        </w:rPr>
        <w:t>The NPPF defines Windfall sites as sites which have not been specifically identified as available in the development plan. It is assumed therefore that the term ‘windfall’ can refer to sites of all sizes.</w:t>
      </w:r>
    </w:p>
    <w:p w14:paraId="62ACEC31" w14:textId="77777777" w:rsidR="00DE5FE5" w:rsidRPr="00391A7A" w:rsidRDefault="00DE5FE5" w:rsidP="00DE5FE5">
      <w:pPr>
        <w:ind w:left="851" w:hanging="142"/>
        <w:jc w:val="left"/>
        <w:rPr>
          <w:b/>
          <w:bCs/>
        </w:rPr>
      </w:pPr>
      <w:r w:rsidRPr="00391A7A">
        <w:rPr>
          <w:b/>
          <w:bCs/>
        </w:rPr>
        <w:t>Small site windfalls</w:t>
      </w:r>
    </w:p>
    <w:p w14:paraId="1BFA47A5" w14:textId="0C568753" w:rsidR="000C09F3" w:rsidRPr="003E6D0D" w:rsidRDefault="003E6D0D" w:rsidP="00DE5FE5">
      <w:pPr>
        <w:ind w:left="720" w:hanging="720"/>
        <w:jc w:val="left"/>
        <w:rPr>
          <w:color w:val="7030A0"/>
        </w:rPr>
      </w:pPr>
      <w:r w:rsidRPr="003E6D0D">
        <w:rPr>
          <w:rFonts w:cs="Arial"/>
          <w:color w:val="7030A0"/>
          <w:szCs w:val="24"/>
        </w:rPr>
        <w:t>9.4.4</w:t>
      </w:r>
      <w:r>
        <w:rPr>
          <w:rFonts w:cs="Arial"/>
          <w:szCs w:val="24"/>
        </w:rPr>
        <w:tab/>
      </w:r>
      <w:r w:rsidR="00A05DCF">
        <w:rPr>
          <w:rFonts w:cs="Arial"/>
          <w:szCs w:val="24"/>
        </w:rPr>
        <w:t xml:space="preserve">The council </w:t>
      </w:r>
      <w:r w:rsidR="00DE5FE5">
        <w:rPr>
          <w:rFonts w:cs="Arial"/>
          <w:color w:val="7030A0"/>
          <w:szCs w:val="24"/>
        </w:rPr>
        <w:t xml:space="preserve">are not proposing the allocation of sites with a total yield of less than 10 dwellings. </w:t>
      </w:r>
      <w:r w:rsidR="00517C93">
        <w:rPr>
          <w:rFonts w:cs="Arial"/>
          <w:color w:val="7030A0"/>
          <w:szCs w:val="24"/>
        </w:rPr>
        <w:t>It should be noted that a</w:t>
      </w:r>
      <w:r w:rsidR="00517C93" w:rsidRPr="00517C93">
        <w:rPr>
          <w:rFonts w:cs="Arial"/>
          <w:color w:val="7030A0"/>
          <w:szCs w:val="24"/>
        </w:rPr>
        <w:t xml:space="preserve">lthough the SHELAA does not have a site size threshold, </w:t>
      </w:r>
      <w:r w:rsidR="00517C93">
        <w:rPr>
          <w:rFonts w:cs="Arial"/>
          <w:color w:val="7030A0"/>
          <w:szCs w:val="24"/>
        </w:rPr>
        <w:t xml:space="preserve">very </w:t>
      </w:r>
      <w:r w:rsidR="00517C93" w:rsidRPr="00517C93">
        <w:rPr>
          <w:rFonts w:cs="Arial"/>
          <w:color w:val="7030A0"/>
          <w:szCs w:val="24"/>
        </w:rPr>
        <w:t xml:space="preserve">few small sites have been submitted for assessment and those deemed deliverable are negligible – these have </w:t>
      </w:r>
      <w:r w:rsidR="00517C93" w:rsidRPr="00517C93">
        <w:rPr>
          <w:rFonts w:cs="Arial"/>
          <w:b/>
          <w:bCs/>
          <w:color w:val="7030A0"/>
          <w:szCs w:val="24"/>
        </w:rPr>
        <w:t>not</w:t>
      </w:r>
      <w:r w:rsidR="00517C93" w:rsidRPr="00517C93">
        <w:rPr>
          <w:rFonts w:cs="Arial"/>
          <w:color w:val="7030A0"/>
          <w:szCs w:val="24"/>
        </w:rPr>
        <w:t xml:space="preserve"> been counted </w:t>
      </w:r>
      <w:r w:rsidR="00332C8E">
        <w:rPr>
          <w:rFonts w:cs="Arial"/>
          <w:color w:val="7030A0"/>
          <w:szCs w:val="24"/>
        </w:rPr>
        <w:t xml:space="preserve">in any calculations </w:t>
      </w:r>
      <w:r w:rsidR="00517C93" w:rsidRPr="00517C93">
        <w:rPr>
          <w:rFonts w:cs="Arial"/>
          <w:color w:val="7030A0"/>
          <w:szCs w:val="24"/>
        </w:rPr>
        <w:t xml:space="preserve">as contributing towards future supply. </w:t>
      </w:r>
      <w:r w:rsidR="00DE5FE5">
        <w:rPr>
          <w:rFonts w:cs="Arial"/>
          <w:color w:val="7030A0"/>
          <w:szCs w:val="24"/>
        </w:rPr>
        <w:t xml:space="preserve">It is therefore </w:t>
      </w:r>
      <w:r>
        <w:rPr>
          <w:rFonts w:cs="Arial"/>
          <w:color w:val="7030A0"/>
          <w:szCs w:val="24"/>
        </w:rPr>
        <w:t xml:space="preserve">wholly appropriate to include an allowance for future supply from this source based on historic trends. </w:t>
      </w:r>
      <w:r w:rsidR="00A05DCF" w:rsidRPr="003E6D0D">
        <w:rPr>
          <w:rFonts w:cs="Arial"/>
          <w:strike/>
          <w:szCs w:val="24"/>
        </w:rPr>
        <w:t xml:space="preserve">currently only relies on small site windfalls in the overall </w:t>
      </w:r>
      <w:r w:rsidR="00F0068F" w:rsidRPr="003E6D0D">
        <w:rPr>
          <w:rFonts w:cs="Arial"/>
          <w:strike/>
          <w:szCs w:val="24"/>
        </w:rPr>
        <w:t>future</w:t>
      </w:r>
      <w:r w:rsidR="00A05DCF" w:rsidRPr="003E6D0D">
        <w:rPr>
          <w:rFonts w:cs="Arial"/>
          <w:strike/>
          <w:szCs w:val="24"/>
        </w:rPr>
        <w:t xml:space="preserve"> housing supply calculations</w:t>
      </w:r>
      <w:r w:rsidR="00A05DCF">
        <w:rPr>
          <w:rFonts w:cs="Arial"/>
          <w:szCs w:val="24"/>
        </w:rPr>
        <w:t xml:space="preserve">. The approach to </w:t>
      </w:r>
      <w:r w:rsidR="00F0068F">
        <w:rPr>
          <w:rFonts w:cs="Arial"/>
          <w:szCs w:val="24"/>
        </w:rPr>
        <w:t xml:space="preserve">the windfall allowance </w:t>
      </w:r>
      <w:proofErr w:type="gramStart"/>
      <w:r w:rsidR="00F0068F" w:rsidRPr="003E6D0D">
        <w:rPr>
          <w:rFonts w:cs="Arial"/>
          <w:strike/>
          <w:szCs w:val="24"/>
        </w:rPr>
        <w:t>is</w:t>
      </w:r>
      <w:proofErr w:type="gramEnd"/>
      <w:r>
        <w:rPr>
          <w:rFonts w:cs="Arial"/>
          <w:szCs w:val="24"/>
        </w:rPr>
        <w:t xml:space="preserve"> </w:t>
      </w:r>
      <w:r w:rsidRPr="003E6D0D">
        <w:rPr>
          <w:rFonts w:cs="Arial"/>
          <w:color w:val="7030A0"/>
          <w:szCs w:val="24"/>
        </w:rPr>
        <w:t>was</w:t>
      </w:r>
      <w:r>
        <w:rPr>
          <w:rFonts w:cs="Arial"/>
          <w:szCs w:val="24"/>
        </w:rPr>
        <w:t xml:space="preserve"> </w:t>
      </w:r>
      <w:r w:rsidR="00F0068F">
        <w:rPr>
          <w:rFonts w:cs="Arial"/>
          <w:szCs w:val="24"/>
        </w:rPr>
        <w:t xml:space="preserve">updated in the </w:t>
      </w:r>
      <w:r w:rsidR="00F0068F">
        <w:t xml:space="preserve">Housing Land Position Statement, October 2024 [ADC.04] and </w:t>
      </w:r>
      <w:r w:rsidR="00F0068F" w:rsidRPr="003E6D0D">
        <w:rPr>
          <w:strike/>
        </w:rPr>
        <w:t>is based on</w:t>
      </w:r>
      <w:r w:rsidR="00F0068F">
        <w:t xml:space="preserve"> </w:t>
      </w:r>
      <w:r w:rsidRPr="003E6D0D">
        <w:rPr>
          <w:color w:val="7030A0"/>
        </w:rPr>
        <w:t>reviews</w:t>
      </w:r>
      <w:r>
        <w:t xml:space="preserve"> </w:t>
      </w:r>
      <w:r w:rsidR="00F0068F">
        <w:t xml:space="preserve">the average annual delivery over </w:t>
      </w:r>
      <w:r w:rsidR="00F0068F" w:rsidRPr="00EF7983">
        <w:rPr>
          <w:strike/>
        </w:rPr>
        <w:t>the latest</w:t>
      </w:r>
      <w:r w:rsidR="00EF7983">
        <w:t xml:space="preserve"> </w:t>
      </w:r>
      <w:r w:rsidR="00EF7983">
        <w:rPr>
          <w:color w:val="7030A0"/>
        </w:rPr>
        <w:t>a</w:t>
      </w:r>
      <w:r w:rsidR="00F0068F">
        <w:t xml:space="preserve"> 10 year </w:t>
      </w:r>
      <w:proofErr w:type="gramStart"/>
      <w:r w:rsidR="00F0068F">
        <w:t>period  (</w:t>
      </w:r>
      <w:proofErr w:type="gramEnd"/>
      <w:r w:rsidR="00F0068F">
        <w:t>2014-2024).</w:t>
      </w:r>
      <w:r>
        <w:t xml:space="preserve"> </w:t>
      </w:r>
      <w:r w:rsidRPr="003E6D0D">
        <w:rPr>
          <w:color w:val="7030A0"/>
        </w:rPr>
        <w:t>This approach has also been adopted in the Annual Housing Monitoring Report 2025</w:t>
      </w:r>
      <w:r>
        <w:rPr>
          <w:color w:val="7030A0"/>
        </w:rPr>
        <w:t xml:space="preserve"> [ADC.13]</w:t>
      </w:r>
      <w:r w:rsidRPr="003E6D0D">
        <w:rPr>
          <w:color w:val="7030A0"/>
        </w:rPr>
        <w:t>.</w:t>
      </w:r>
    </w:p>
    <w:p w14:paraId="34B76DEA" w14:textId="24C76252" w:rsidR="00F0068F" w:rsidRDefault="00F0068F" w:rsidP="00F0068F">
      <w:pPr>
        <w:pStyle w:val="ListParagraph"/>
        <w:numPr>
          <w:ilvl w:val="1"/>
          <w:numId w:val="0"/>
        </w:numPr>
        <w:spacing w:line="276" w:lineRule="auto"/>
        <w:ind w:left="720" w:hanging="720"/>
        <w:jc w:val="left"/>
      </w:pPr>
      <w:r>
        <w:t>9.4.2</w:t>
      </w:r>
      <w:r>
        <w:tab/>
      </w:r>
      <w:r w:rsidRPr="00F0068F">
        <w:t>It is important to acknowledge that th</w:t>
      </w:r>
      <w:r w:rsidR="003E6D0D">
        <w:t>e</w:t>
      </w:r>
      <w:r w:rsidRPr="00F0068F">
        <w:t xml:space="preserve"> period</w:t>
      </w:r>
      <w:r w:rsidR="003E6D0D">
        <w:t xml:space="preserve"> of </w:t>
      </w:r>
      <w:r w:rsidR="00E41D4A">
        <w:t>assessment</w:t>
      </w:r>
      <w:r w:rsidRPr="00F0068F">
        <w:t xml:space="preserve"> includes 3 years where supply from permitted development sources was not recorded, </w:t>
      </w:r>
      <w:proofErr w:type="gramStart"/>
      <w:r w:rsidRPr="00F0068F">
        <w:t>and also</w:t>
      </w:r>
      <w:proofErr w:type="gramEnd"/>
      <w:r w:rsidRPr="00F0068F">
        <w:t xml:space="preserve"> a period of slow delivery </w:t>
      </w:r>
      <w:proofErr w:type="gramStart"/>
      <w:r w:rsidRPr="00F0068F">
        <w:t>as a consequence of</w:t>
      </w:r>
      <w:proofErr w:type="gramEnd"/>
      <w:r w:rsidRPr="00F0068F">
        <w:t xml:space="preserve"> the Covid pandemic. The latter has been acknowledged by Government in its approach to the Housing Delivery Test which applies a reduction of 9.5% for year 2019/20 (11 out of 12 months) and 33% in year 2020/21 (8 out of 12 months), to account for the considerable variations in levels of housing delivery as local planning authorities and construction industry faced disruption on a national, regional, and local level.</w:t>
      </w:r>
    </w:p>
    <w:p w14:paraId="42AA514C" w14:textId="77777777" w:rsidR="00375F16" w:rsidRDefault="00375F16" w:rsidP="00F0068F">
      <w:pPr>
        <w:pStyle w:val="ListParagraph"/>
        <w:numPr>
          <w:ilvl w:val="1"/>
          <w:numId w:val="0"/>
        </w:numPr>
        <w:spacing w:line="276" w:lineRule="auto"/>
        <w:ind w:left="720" w:hanging="720"/>
        <w:jc w:val="left"/>
      </w:pPr>
    </w:p>
    <w:p w14:paraId="3212AECB" w14:textId="77777777" w:rsidR="00A455A6" w:rsidRDefault="00A455A6" w:rsidP="00A455A6">
      <w:pPr>
        <w:pStyle w:val="ListParagraph"/>
        <w:numPr>
          <w:ilvl w:val="1"/>
          <w:numId w:val="0"/>
        </w:numPr>
        <w:spacing w:line="276" w:lineRule="auto"/>
        <w:ind w:left="720" w:hanging="720"/>
        <w:jc w:val="left"/>
      </w:pPr>
      <w:r>
        <w:t>9.4.3</w:t>
      </w:r>
      <w:r>
        <w:tab/>
        <w:t>Despite the above circumstances, the average delivery from small site windfalls over the past decade amounts to 91 dwellings per annum and represents an increase from earlier assessments. The 10 year period has been used to help smooth out the peaks and troughs associated with housing delivery.</w:t>
      </w:r>
    </w:p>
    <w:p w14:paraId="529EC226" w14:textId="77777777" w:rsidR="00A455A6" w:rsidRDefault="00A455A6" w:rsidP="00A455A6">
      <w:pPr>
        <w:pStyle w:val="ListParagraph"/>
        <w:numPr>
          <w:ilvl w:val="1"/>
          <w:numId w:val="0"/>
        </w:numPr>
        <w:spacing w:line="276" w:lineRule="auto"/>
        <w:ind w:left="720" w:hanging="720"/>
        <w:jc w:val="left"/>
      </w:pPr>
    </w:p>
    <w:p w14:paraId="6BE35B39" w14:textId="740F41BA" w:rsidR="00A455A6" w:rsidRDefault="00A455A6" w:rsidP="00A455A6">
      <w:pPr>
        <w:pStyle w:val="ListParagraph"/>
        <w:numPr>
          <w:ilvl w:val="1"/>
          <w:numId w:val="0"/>
        </w:numPr>
        <w:spacing w:line="276" w:lineRule="auto"/>
        <w:ind w:left="720" w:hanging="720"/>
        <w:jc w:val="left"/>
      </w:pPr>
      <w:r>
        <w:t>9.4.4</w:t>
      </w:r>
      <w:r>
        <w:tab/>
        <w:t xml:space="preserve">The previous assessment for small windfall sites included a slight reduction to account for the impact of national policy resisting development in residential gardens, which included re-categorising them from Brownfield (PDL) to Greenfield in 2010. This was a cautious approach intended to reflect that some early/pipeline projects may not have been approved under the new national policy </w:t>
      </w:r>
      <w:r w:rsidR="004D6DAA">
        <w:t>direction and</w:t>
      </w:r>
      <w:r>
        <w:t xml:space="preserve"> hence may result in a reduction of future supply from this source. However, given the timeframe of 2014-2024, and the typical lifespan for planning approvals, this is no longer </w:t>
      </w:r>
      <w:r>
        <w:lastRenderedPageBreak/>
        <w:t xml:space="preserve">considered to be necessary. Indeed, the current trend is an upwards one, likely driven by the relaxation of permitted development rights over recent years. </w:t>
      </w:r>
    </w:p>
    <w:p w14:paraId="0C2F9904" w14:textId="77777777" w:rsidR="00A455A6" w:rsidRDefault="00A455A6" w:rsidP="00A455A6">
      <w:pPr>
        <w:pStyle w:val="ListParagraph"/>
        <w:numPr>
          <w:ilvl w:val="1"/>
          <w:numId w:val="0"/>
        </w:numPr>
        <w:spacing w:line="276" w:lineRule="auto"/>
        <w:ind w:left="720" w:hanging="720"/>
        <w:jc w:val="left"/>
      </w:pPr>
    </w:p>
    <w:p w14:paraId="190DD2F2" w14:textId="4CC2F602" w:rsidR="00A455A6" w:rsidRDefault="00A455A6" w:rsidP="00A455A6">
      <w:pPr>
        <w:pStyle w:val="ListParagraph"/>
        <w:numPr>
          <w:ilvl w:val="1"/>
          <w:numId w:val="0"/>
        </w:numPr>
        <w:spacing w:line="276" w:lineRule="auto"/>
        <w:ind w:left="720" w:hanging="720"/>
        <w:jc w:val="left"/>
      </w:pPr>
      <w:r>
        <w:t>9.4.5</w:t>
      </w:r>
      <w:r>
        <w:tab/>
      </w:r>
      <w:proofErr w:type="gramStart"/>
      <w:r>
        <w:t>At</w:t>
      </w:r>
      <w:proofErr w:type="gramEnd"/>
      <w:r>
        <w:t xml:space="preserve"> 1st April </w:t>
      </w:r>
      <w:r w:rsidRPr="004D6DAA">
        <w:rPr>
          <w:strike/>
        </w:rPr>
        <w:t>2024</w:t>
      </w:r>
      <w:proofErr w:type="gramStart"/>
      <w:r w:rsidR="004D6DAA">
        <w:t xml:space="preserve"> </w:t>
      </w:r>
      <w:r w:rsidR="004D6DAA" w:rsidRPr="004D6DAA">
        <w:rPr>
          <w:color w:val="7030A0"/>
        </w:rPr>
        <w:t>2025</w:t>
      </w:r>
      <w:proofErr w:type="gramEnd"/>
      <w:r>
        <w:t xml:space="preserve"> the </w:t>
      </w:r>
      <w:r w:rsidR="00DF2D5C">
        <w:t>C</w:t>
      </w:r>
      <w:r>
        <w:t xml:space="preserve">ouncil could demonstrate a future supply from small site planning permissions of </w:t>
      </w:r>
      <w:r w:rsidRPr="00EF7983">
        <w:rPr>
          <w:strike/>
        </w:rPr>
        <w:t>353</w:t>
      </w:r>
      <w:r>
        <w:t xml:space="preserve"> </w:t>
      </w:r>
      <w:r w:rsidR="00EF7983" w:rsidRPr="00EF7983">
        <w:rPr>
          <w:color w:val="7030A0"/>
        </w:rPr>
        <w:t>342</w:t>
      </w:r>
      <w:r w:rsidR="00EF7983">
        <w:t xml:space="preserve"> </w:t>
      </w:r>
      <w:r>
        <w:t xml:space="preserve">dwellings </w:t>
      </w:r>
      <w:r w:rsidR="00EF7983">
        <w:t>[ADC 20]</w:t>
      </w:r>
      <w:r>
        <w:t xml:space="preserve"> - These are included in the 5 year housing land supply. After applying a non-implementation rate </w:t>
      </w:r>
      <w:r w:rsidR="003E6D0D" w:rsidRPr="003E6D0D">
        <w:rPr>
          <w:color w:val="7030A0"/>
        </w:rPr>
        <w:t>and committed small demolition permissions</w:t>
      </w:r>
      <w:r w:rsidR="003E6D0D">
        <w:t xml:space="preserve"> </w:t>
      </w:r>
      <w:r>
        <w:t xml:space="preserve">this falls to </w:t>
      </w:r>
      <w:r w:rsidRPr="00EF7983">
        <w:rPr>
          <w:strike/>
        </w:rPr>
        <w:t>258</w:t>
      </w:r>
      <w:r w:rsidR="00EF7983" w:rsidRPr="00EF7983">
        <w:rPr>
          <w:strike/>
        </w:rPr>
        <w:t xml:space="preserve"> </w:t>
      </w:r>
      <w:r w:rsidR="00EF7983" w:rsidRPr="00EF7983">
        <w:rPr>
          <w:color w:val="7030A0"/>
        </w:rPr>
        <w:t>2</w:t>
      </w:r>
      <w:r w:rsidR="003E6D0D">
        <w:rPr>
          <w:color w:val="7030A0"/>
        </w:rPr>
        <w:t>47 dwellings</w:t>
      </w:r>
      <w:r>
        <w:t>. Based on the average annual delivery of 9</w:t>
      </w:r>
      <w:r w:rsidR="00EF7983">
        <w:t>1</w:t>
      </w:r>
      <w:r>
        <w:t xml:space="preserve"> dwellings per annum, this amounts to </w:t>
      </w:r>
      <w:r w:rsidRPr="00EF7983">
        <w:rPr>
          <w:strike/>
        </w:rPr>
        <w:t>2.87</w:t>
      </w:r>
      <w:r w:rsidR="00EF7983">
        <w:t xml:space="preserve"> </w:t>
      </w:r>
      <w:r w:rsidR="00EF7983" w:rsidRPr="00EF7983">
        <w:rPr>
          <w:color w:val="7030A0"/>
        </w:rPr>
        <w:t>2.</w:t>
      </w:r>
      <w:r w:rsidR="003E6D0D">
        <w:rPr>
          <w:color w:val="7030A0"/>
        </w:rPr>
        <w:t>7</w:t>
      </w:r>
      <w:r w:rsidRPr="00EF7983">
        <w:rPr>
          <w:color w:val="7030A0"/>
        </w:rPr>
        <w:t xml:space="preserve"> </w:t>
      </w:r>
      <w:r>
        <w:t xml:space="preserve">years supply of small sites currently in the </w:t>
      </w:r>
      <w:r w:rsidR="00EF7983">
        <w:t>pipeline</w:t>
      </w:r>
      <w:r w:rsidR="00040A4C">
        <w:t>, i.</w:t>
      </w:r>
      <w:r w:rsidR="00EF7983">
        <w:t xml:space="preserve">e., less than </w:t>
      </w:r>
      <w:r w:rsidR="00040A4C">
        <w:t>3 years.</w:t>
      </w:r>
    </w:p>
    <w:p w14:paraId="42625300" w14:textId="77777777" w:rsidR="00A455A6" w:rsidRDefault="00A455A6" w:rsidP="00A455A6">
      <w:pPr>
        <w:pStyle w:val="ListParagraph"/>
        <w:numPr>
          <w:ilvl w:val="1"/>
          <w:numId w:val="0"/>
        </w:numPr>
        <w:spacing w:line="276" w:lineRule="auto"/>
        <w:ind w:left="720" w:hanging="720"/>
        <w:jc w:val="left"/>
      </w:pPr>
    </w:p>
    <w:p w14:paraId="334080CF" w14:textId="77777777" w:rsidR="005E45DE" w:rsidRDefault="00A455A6" w:rsidP="00A455A6">
      <w:pPr>
        <w:pStyle w:val="ListParagraph"/>
        <w:numPr>
          <w:ilvl w:val="1"/>
          <w:numId w:val="0"/>
        </w:numPr>
        <w:spacing w:line="276" w:lineRule="auto"/>
        <w:ind w:left="720" w:hanging="720"/>
        <w:jc w:val="left"/>
      </w:pPr>
      <w:r>
        <w:t>9.4.6</w:t>
      </w:r>
      <w:r>
        <w:tab/>
        <w:t xml:space="preserve">Given the </w:t>
      </w:r>
      <w:r w:rsidR="00DD1927">
        <w:t>up-to-date</w:t>
      </w:r>
      <w:r>
        <w:t xml:space="preserve"> evidence of delivery, </w:t>
      </w:r>
      <w:r w:rsidR="00332C8E" w:rsidRPr="00332C8E">
        <w:rPr>
          <w:color w:val="7030A0"/>
        </w:rPr>
        <w:t>and the typical 3 year lifespan of permitted sites</w:t>
      </w:r>
      <w:r w:rsidR="00332C8E">
        <w:t xml:space="preserve">, </w:t>
      </w:r>
      <w:r>
        <w:t xml:space="preserve">the Council considers it appropriate to revise the approach to small site windfalls as a source of future delivery. </w:t>
      </w:r>
      <w:proofErr w:type="gramStart"/>
      <w:r>
        <w:t>This  increases</w:t>
      </w:r>
      <w:proofErr w:type="gramEnd"/>
      <w:r>
        <w:t xml:space="preserve"> the annual figure by 31 dwellings per annum (to 91 dpa</w:t>
      </w:r>
      <w:r w:rsidR="00274CAA">
        <w:t xml:space="preserve">) </w:t>
      </w:r>
      <w:proofErr w:type="gramStart"/>
      <w:r w:rsidR="00274CAA">
        <w:t>and</w:t>
      </w:r>
      <w:r>
        <w:t xml:space="preserve"> also</w:t>
      </w:r>
      <w:proofErr w:type="gramEnd"/>
      <w:r>
        <w:t xml:space="preserve"> includes an allowance for years 4 and 5. It is considered that this modest increase is fully justified, reflecting an average of actual delivery over the past decade and taking account of the current trend. It maintains a cautious approach through the avoidance of double counting in the first 3 years, whilst acknowledging a steady supply moving forwards.</w:t>
      </w:r>
    </w:p>
    <w:p w14:paraId="5116EC9C" w14:textId="4C9A6688" w:rsidR="00A455A6" w:rsidRDefault="00A455A6" w:rsidP="00A455A6">
      <w:pPr>
        <w:pStyle w:val="ListParagraph"/>
        <w:numPr>
          <w:ilvl w:val="1"/>
          <w:numId w:val="0"/>
        </w:numPr>
        <w:spacing w:line="276" w:lineRule="auto"/>
        <w:ind w:left="720" w:hanging="720"/>
        <w:jc w:val="left"/>
      </w:pPr>
    </w:p>
    <w:p w14:paraId="1FBAC9BB" w14:textId="5F013236" w:rsidR="00DD1927" w:rsidRPr="005E45DE" w:rsidRDefault="005E45DE" w:rsidP="00A455A6">
      <w:pPr>
        <w:pStyle w:val="ListParagraph"/>
        <w:numPr>
          <w:ilvl w:val="1"/>
          <w:numId w:val="0"/>
        </w:numPr>
        <w:spacing w:line="276" w:lineRule="auto"/>
        <w:ind w:left="720" w:hanging="720"/>
        <w:jc w:val="left"/>
        <w:rPr>
          <w:color w:val="7030A0"/>
        </w:rPr>
      </w:pPr>
      <w:r w:rsidRPr="005E45DE">
        <w:rPr>
          <w:color w:val="7030A0"/>
        </w:rPr>
        <w:t>9.4.7</w:t>
      </w:r>
      <w:r w:rsidRPr="005E45DE">
        <w:rPr>
          <w:color w:val="7030A0"/>
        </w:rPr>
        <w:tab/>
      </w:r>
      <w:bookmarkStart w:id="6" w:name="_Hlk215137625"/>
      <w:r w:rsidRPr="005E45DE">
        <w:rPr>
          <w:color w:val="7030A0"/>
        </w:rPr>
        <w:t>It is worth noting that the future housing supply Table (as set out in ADC.20, page12) illustrates that small site windfalls are expected to provide approximately 15% of the overall quantum identified. This compares to actual delivery of 19% on such sites since 2011, evidenced in the Housing Land Monitoring report 2025, Tables 7a, 7b [ADC.13].</w:t>
      </w:r>
    </w:p>
    <w:bookmarkEnd w:id="6"/>
    <w:p w14:paraId="05F62344" w14:textId="2E1AE91D" w:rsidR="00391A7A" w:rsidRPr="00391A7A" w:rsidRDefault="00391A7A" w:rsidP="00391A7A">
      <w:pPr>
        <w:ind w:left="851" w:hanging="142"/>
        <w:jc w:val="left"/>
        <w:rPr>
          <w:b/>
          <w:bCs/>
        </w:rPr>
      </w:pPr>
      <w:r>
        <w:rPr>
          <w:b/>
          <w:bCs/>
        </w:rPr>
        <w:t>Large</w:t>
      </w:r>
      <w:r w:rsidRPr="00391A7A">
        <w:rPr>
          <w:b/>
          <w:bCs/>
        </w:rPr>
        <w:t xml:space="preserve"> site windfalls</w:t>
      </w:r>
    </w:p>
    <w:p w14:paraId="2177C8E9" w14:textId="2CD7A3A6" w:rsidR="005E5649" w:rsidRDefault="00A455A6" w:rsidP="005E5649">
      <w:pPr>
        <w:pStyle w:val="ListParagraph"/>
        <w:numPr>
          <w:ilvl w:val="1"/>
          <w:numId w:val="0"/>
        </w:numPr>
        <w:spacing w:line="276" w:lineRule="auto"/>
        <w:ind w:left="720" w:hanging="720"/>
        <w:jc w:val="left"/>
        <w:rPr>
          <w:rFonts w:cs="Arial"/>
          <w:szCs w:val="24"/>
        </w:rPr>
      </w:pPr>
      <w:r>
        <w:t>9.4.</w:t>
      </w:r>
      <w:r w:rsidR="005E45DE">
        <w:t>8</w:t>
      </w:r>
      <w:r>
        <w:t xml:space="preserve"> </w:t>
      </w:r>
      <w:r>
        <w:tab/>
        <w:t xml:space="preserve">In respect of large site windfall sites </w:t>
      </w:r>
      <w:r w:rsidRPr="00CD2385">
        <w:rPr>
          <w:rFonts w:cs="Arial"/>
          <w:szCs w:val="24"/>
        </w:rPr>
        <w:t xml:space="preserve">the quantum of potential development is difficult to estimate. A significant amount of recent delivery on large sites in Ashfield has come from ‘windfalls’, i.e., not allocated in </w:t>
      </w:r>
      <w:r w:rsidR="000575AD">
        <w:rPr>
          <w:rFonts w:cs="Arial"/>
          <w:szCs w:val="24"/>
        </w:rPr>
        <w:t xml:space="preserve">the </w:t>
      </w:r>
      <w:r w:rsidRPr="00CD2385">
        <w:rPr>
          <w:rFonts w:cs="Arial"/>
          <w:szCs w:val="24"/>
        </w:rPr>
        <w:t>A</w:t>
      </w:r>
      <w:r w:rsidR="000575AD">
        <w:rPr>
          <w:rFonts w:cs="Arial"/>
          <w:szCs w:val="24"/>
        </w:rPr>
        <w:t xml:space="preserve">shfield </w:t>
      </w:r>
      <w:r w:rsidRPr="00CD2385">
        <w:rPr>
          <w:rFonts w:cs="Arial"/>
          <w:szCs w:val="24"/>
        </w:rPr>
        <w:t>L</w:t>
      </w:r>
      <w:r w:rsidR="000575AD">
        <w:rPr>
          <w:rFonts w:cs="Arial"/>
          <w:szCs w:val="24"/>
        </w:rPr>
        <w:t>ocal Plan Review</w:t>
      </w:r>
      <w:r w:rsidRPr="00CD2385">
        <w:rPr>
          <w:rFonts w:cs="Arial"/>
          <w:szCs w:val="24"/>
        </w:rPr>
        <w:t xml:space="preserve"> 2002</w:t>
      </w:r>
      <w:r w:rsidR="000575AD">
        <w:rPr>
          <w:rFonts w:cs="Arial"/>
          <w:szCs w:val="24"/>
        </w:rPr>
        <w:t xml:space="preserve"> (ALPR)</w:t>
      </w:r>
      <w:r w:rsidRPr="00CD2385">
        <w:rPr>
          <w:rFonts w:cs="Arial"/>
          <w:szCs w:val="24"/>
        </w:rPr>
        <w:t xml:space="preserve">. This is unsurprising as the ALPR only planned to meet development needs to 2011 and these </w:t>
      </w:r>
      <w:r w:rsidR="000575AD">
        <w:rPr>
          <w:rFonts w:cs="Arial"/>
          <w:szCs w:val="24"/>
        </w:rPr>
        <w:t>large windfall sites</w:t>
      </w:r>
      <w:r w:rsidRPr="00CD2385">
        <w:rPr>
          <w:rFonts w:cs="Arial"/>
          <w:szCs w:val="24"/>
        </w:rPr>
        <w:t xml:space="preserve"> clearly filled a </w:t>
      </w:r>
      <w:r w:rsidR="000575AD">
        <w:rPr>
          <w:rFonts w:cs="Arial"/>
          <w:szCs w:val="24"/>
        </w:rPr>
        <w:t xml:space="preserve">policy </w:t>
      </w:r>
      <w:r w:rsidRPr="00CD2385">
        <w:rPr>
          <w:rFonts w:cs="Arial"/>
          <w:szCs w:val="24"/>
        </w:rPr>
        <w:t>void.</w:t>
      </w:r>
    </w:p>
    <w:p w14:paraId="7E2EFAC5" w14:textId="77777777" w:rsidR="005E5649" w:rsidRDefault="005E5649" w:rsidP="005E5649">
      <w:pPr>
        <w:pStyle w:val="ListParagraph"/>
        <w:numPr>
          <w:ilvl w:val="1"/>
          <w:numId w:val="0"/>
        </w:numPr>
        <w:spacing w:line="276" w:lineRule="auto"/>
        <w:ind w:left="720" w:hanging="720"/>
        <w:jc w:val="left"/>
        <w:rPr>
          <w:rFonts w:cs="Arial"/>
          <w:szCs w:val="24"/>
        </w:rPr>
      </w:pPr>
    </w:p>
    <w:p w14:paraId="44268FD5" w14:textId="15A47A27" w:rsidR="005E5649" w:rsidRDefault="005E5649" w:rsidP="005E5649">
      <w:pPr>
        <w:pStyle w:val="ListParagraph"/>
        <w:numPr>
          <w:ilvl w:val="1"/>
          <w:numId w:val="0"/>
        </w:numPr>
        <w:spacing w:line="276" w:lineRule="auto"/>
        <w:ind w:left="720" w:hanging="720"/>
        <w:jc w:val="left"/>
        <w:rPr>
          <w:rFonts w:cs="Arial"/>
          <w:szCs w:val="24"/>
        </w:rPr>
      </w:pPr>
      <w:r>
        <w:rPr>
          <w:rFonts w:cs="Arial"/>
          <w:szCs w:val="24"/>
        </w:rPr>
        <w:t>9.4.</w:t>
      </w:r>
      <w:r w:rsidR="005E45DE">
        <w:rPr>
          <w:rFonts w:cs="Arial"/>
          <w:szCs w:val="24"/>
        </w:rPr>
        <w:t>9</w:t>
      </w:r>
      <w:r>
        <w:rPr>
          <w:rFonts w:cs="Arial"/>
          <w:szCs w:val="24"/>
        </w:rPr>
        <w:tab/>
      </w:r>
      <w:r w:rsidR="00A455A6" w:rsidRPr="00CD2385">
        <w:rPr>
          <w:rFonts w:cs="Arial"/>
          <w:szCs w:val="24"/>
        </w:rPr>
        <w:t xml:space="preserve">The council considers that it would be flawed to project these historical completions forward as that policy void will no longer exist with the adoption of the new Local Plan. To all intents and purposes, the </w:t>
      </w:r>
      <w:r w:rsidR="000575AD">
        <w:rPr>
          <w:rFonts w:cs="Arial"/>
          <w:szCs w:val="24"/>
        </w:rPr>
        <w:t>submitted</w:t>
      </w:r>
      <w:r w:rsidR="00A455A6" w:rsidRPr="00CD2385">
        <w:rPr>
          <w:rFonts w:cs="Arial"/>
          <w:szCs w:val="24"/>
        </w:rPr>
        <w:t xml:space="preserve"> Local Plan </w:t>
      </w:r>
      <w:r w:rsidR="000575AD">
        <w:rPr>
          <w:rFonts w:cs="Arial"/>
          <w:szCs w:val="24"/>
        </w:rPr>
        <w:t>identifies</w:t>
      </w:r>
      <w:r w:rsidR="00A455A6" w:rsidRPr="00CD2385">
        <w:rPr>
          <w:rFonts w:cs="Arial"/>
          <w:szCs w:val="24"/>
        </w:rPr>
        <w:t xml:space="preserve"> all developable sites which were </w:t>
      </w:r>
      <w:r w:rsidR="000575AD">
        <w:rPr>
          <w:rFonts w:cs="Arial"/>
          <w:szCs w:val="24"/>
        </w:rPr>
        <w:t xml:space="preserve">available at the time of writing and </w:t>
      </w:r>
      <w:proofErr w:type="gramStart"/>
      <w:r w:rsidR="000575AD">
        <w:rPr>
          <w:rFonts w:cs="Arial"/>
          <w:szCs w:val="24"/>
        </w:rPr>
        <w:t xml:space="preserve">were capable of </w:t>
      </w:r>
      <w:r w:rsidR="00A455A6" w:rsidRPr="00CD2385">
        <w:rPr>
          <w:rFonts w:cs="Arial"/>
          <w:szCs w:val="24"/>
        </w:rPr>
        <w:t>deliver</w:t>
      </w:r>
      <w:r w:rsidR="000575AD">
        <w:rPr>
          <w:rFonts w:cs="Arial"/>
          <w:szCs w:val="24"/>
        </w:rPr>
        <w:t>ing</w:t>
      </w:r>
      <w:proofErr w:type="gramEnd"/>
      <w:r w:rsidR="00A455A6" w:rsidRPr="00CD2385">
        <w:rPr>
          <w:rFonts w:cs="Arial"/>
          <w:szCs w:val="24"/>
        </w:rPr>
        <w:t xml:space="preserve"> the spatial strategy. </w:t>
      </w:r>
      <w:r w:rsidR="000575AD">
        <w:rPr>
          <w:rFonts w:cs="Arial"/>
          <w:szCs w:val="24"/>
        </w:rPr>
        <w:t xml:space="preserve">However, </w:t>
      </w:r>
      <w:r w:rsidR="00ED4880">
        <w:rPr>
          <w:rFonts w:cs="Arial"/>
          <w:szCs w:val="24"/>
        </w:rPr>
        <w:t>t</w:t>
      </w:r>
      <w:r w:rsidR="00A455A6" w:rsidRPr="00CD2385">
        <w:rPr>
          <w:rFonts w:cs="Arial"/>
          <w:szCs w:val="24"/>
        </w:rPr>
        <w:t xml:space="preserve">his does not </w:t>
      </w:r>
      <w:r w:rsidR="000575AD">
        <w:rPr>
          <w:rFonts w:cs="Arial"/>
          <w:szCs w:val="24"/>
        </w:rPr>
        <w:t xml:space="preserve">prohibit additional </w:t>
      </w:r>
      <w:r w:rsidR="00ED4880">
        <w:rPr>
          <w:rFonts w:cs="Arial"/>
          <w:szCs w:val="24"/>
        </w:rPr>
        <w:t xml:space="preserve">large </w:t>
      </w:r>
      <w:r w:rsidR="00A455A6" w:rsidRPr="00CD2385">
        <w:rPr>
          <w:rFonts w:cs="Arial"/>
          <w:szCs w:val="24"/>
        </w:rPr>
        <w:t>sites com</w:t>
      </w:r>
      <w:r w:rsidR="000575AD">
        <w:rPr>
          <w:rFonts w:cs="Arial"/>
          <w:szCs w:val="24"/>
        </w:rPr>
        <w:t>ing</w:t>
      </w:r>
      <w:r w:rsidR="00A455A6" w:rsidRPr="00CD2385">
        <w:rPr>
          <w:rFonts w:cs="Arial"/>
          <w:szCs w:val="24"/>
        </w:rPr>
        <w:t xml:space="preserve"> forward within the Plan period, </w:t>
      </w:r>
      <w:r w:rsidR="00ED4880">
        <w:rPr>
          <w:rFonts w:cs="Arial"/>
          <w:szCs w:val="24"/>
        </w:rPr>
        <w:t>although</w:t>
      </w:r>
      <w:r w:rsidR="00A455A6" w:rsidRPr="00CD2385">
        <w:rPr>
          <w:rFonts w:cs="Arial"/>
          <w:szCs w:val="24"/>
        </w:rPr>
        <w:t xml:space="preserve"> </w:t>
      </w:r>
      <w:r w:rsidR="000575AD">
        <w:rPr>
          <w:rFonts w:cs="Arial"/>
          <w:szCs w:val="24"/>
        </w:rPr>
        <w:t>potential supply from th</w:t>
      </w:r>
      <w:r w:rsidR="00ED4880">
        <w:rPr>
          <w:rFonts w:cs="Arial"/>
          <w:szCs w:val="24"/>
        </w:rPr>
        <w:t>e</w:t>
      </w:r>
      <w:r w:rsidR="000575AD">
        <w:rPr>
          <w:rFonts w:cs="Arial"/>
          <w:szCs w:val="24"/>
        </w:rPr>
        <w:t xml:space="preserve"> source</w:t>
      </w:r>
      <w:r w:rsidR="00A455A6" w:rsidRPr="00CD2385">
        <w:rPr>
          <w:rFonts w:cs="Arial"/>
          <w:szCs w:val="24"/>
        </w:rPr>
        <w:t xml:space="preserve"> is difficult to predict with any </w:t>
      </w:r>
      <w:r w:rsidR="000575AD">
        <w:rPr>
          <w:rFonts w:cs="Arial"/>
          <w:szCs w:val="24"/>
        </w:rPr>
        <w:t xml:space="preserve">level of </w:t>
      </w:r>
      <w:r w:rsidR="00A455A6" w:rsidRPr="00CD2385">
        <w:rPr>
          <w:rFonts w:cs="Arial"/>
          <w:szCs w:val="24"/>
        </w:rPr>
        <w:t>certainty.</w:t>
      </w:r>
    </w:p>
    <w:p w14:paraId="4D27AEB8" w14:textId="77777777" w:rsidR="005E5649" w:rsidRDefault="005E5649" w:rsidP="005E5649">
      <w:pPr>
        <w:pStyle w:val="ListParagraph"/>
        <w:numPr>
          <w:ilvl w:val="1"/>
          <w:numId w:val="0"/>
        </w:numPr>
        <w:spacing w:line="276" w:lineRule="auto"/>
        <w:ind w:left="720" w:hanging="720"/>
        <w:jc w:val="left"/>
        <w:rPr>
          <w:rFonts w:cs="Arial"/>
          <w:szCs w:val="24"/>
        </w:rPr>
      </w:pPr>
    </w:p>
    <w:p w14:paraId="6C3E254A" w14:textId="5BA5A66D" w:rsidR="005E5649" w:rsidRDefault="005E5649" w:rsidP="005E5649">
      <w:pPr>
        <w:pStyle w:val="ListParagraph"/>
        <w:numPr>
          <w:ilvl w:val="1"/>
          <w:numId w:val="0"/>
        </w:numPr>
        <w:spacing w:line="276" w:lineRule="auto"/>
        <w:ind w:left="720" w:hanging="720"/>
        <w:jc w:val="left"/>
        <w:rPr>
          <w:rFonts w:cs="Arial"/>
          <w:szCs w:val="24"/>
        </w:rPr>
      </w:pPr>
      <w:r>
        <w:rPr>
          <w:rFonts w:cs="Arial"/>
          <w:szCs w:val="24"/>
        </w:rPr>
        <w:t>9.4.</w:t>
      </w:r>
      <w:r w:rsidR="005E45DE">
        <w:rPr>
          <w:rFonts w:cs="Arial"/>
          <w:szCs w:val="24"/>
        </w:rPr>
        <w:t>10</w:t>
      </w:r>
      <w:r>
        <w:rPr>
          <w:rFonts w:cs="Arial"/>
          <w:szCs w:val="24"/>
        </w:rPr>
        <w:tab/>
      </w:r>
      <w:r w:rsidR="00A455A6" w:rsidRPr="00CD2385">
        <w:rPr>
          <w:rFonts w:cs="Arial"/>
          <w:szCs w:val="24"/>
        </w:rPr>
        <w:t>Moving forwards, large site windfalls will be classified as any permissioned site</w:t>
      </w:r>
      <w:r w:rsidR="00040A4C" w:rsidRPr="00040A4C">
        <w:rPr>
          <w:rFonts w:cs="Arial"/>
          <w:color w:val="7030A0"/>
          <w:szCs w:val="24"/>
        </w:rPr>
        <w:t>, (of 10 dwellings or more</w:t>
      </w:r>
      <w:r w:rsidR="0076350C">
        <w:rPr>
          <w:rFonts w:cs="Arial"/>
          <w:color w:val="7030A0"/>
          <w:szCs w:val="24"/>
        </w:rPr>
        <w:t>)</w:t>
      </w:r>
      <w:r w:rsidR="0076350C">
        <w:rPr>
          <w:rFonts w:cs="Arial"/>
          <w:szCs w:val="24"/>
        </w:rPr>
        <w:t xml:space="preserve">, </w:t>
      </w:r>
      <w:r w:rsidR="0076350C" w:rsidRPr="00CD2385">
        <w:rPr>
          <w:rFonts w:cs="Arial"/>
          <w:szCs w:val="24"/>
        </w:rPr>
        <w:t>which</w:t>
      </w:r>
      <w:r w:rsidR="00A455A6" w:rsidRPr="00CD2385">
        <w:rPr>
          <w:rFonts w:cs="Arial"/>
          <w:szCs w:val="24"/>
        </w:rPr>
        <w:t xml:space="preserve"> does not constitute a housing land allocation in the new adopted </w:t>
      </w:r>
      <w:r w:rsidR="00ED4880">
        <w:rPr>
          <w:rFonts w:cs="Arial"/>
          <w:szCs w:val="24"/>
        </w:rPr>
        <w:t>L</w:t>
      </w:r>
      <w:r w:rsidR="00A455A6" w:rsidRPr="00CD2385">
        <w:rPr>
          <w:rFonts w:cs="Arial"/>
          <w:szCs w:val="24"/>
        </w:rPr>
        <w:t xml:space="preserve">ocal </w:t>
      </w:r>
      <w:r w:rsidR="00ED4880">
        <w:rPr>
          <w:rFonts w:cs="Arial"/>
          <w:szCs w:val="24"/>
        </w:rPr>
        <w:t>P</w:t>
      </w:r>
      <w:r w:rsidR="00A455A6" w:rsidRPr="00CD2385">
        <w:rPr>
          <w:rFonts w:cs="Arial"/>
          <w:szCs w:val="24"/>
        </w:rPr>
        <w:t>lan.</w:t>
      </w:r>
    </w:p>
    <w:p w14:paraId="7D42BDBC" w14:textId="77777777" w:rsidR="005E5649" w:rsidRDefault="005E5649" w:rsidP="005E5649">
      <w:pPr>
        <w:pStyle w:val="ListParagraph"/>
        <w:numPr>
          <w:ilvl w:val="1"/>
          <w:numId w:val="0"/>
        </w:numPr>
        <w:spacing w:line="276" w:lineRule="auto"/>
        <w:ind w:left="720" w:hanging="720"/>
        <w:jc w:val="left"/>
        <w:rPr>
          <w:rFonts w:cs="Arial"/>
          <w:szCs w:val="24"/>
        </w:rPr>
      </w:pPr>
    </w:p>
    <w:p w14:paraId="16022BF0" w14:textId="076FF546" w:rsidR="00A455A6" w:rsidRPr="00040A4C" w:rsidRDefault="005E5649" w:rsidP="005E5649">
      <w:pPr>
        <w:pStyle w:val="ListParagraph"/>
        <w:numPr>
          <w:ilvl w:val="1"/>
          <w:numId w:val="0"/>
        </w:numPr>
        <w:spacing w:line="276" w:lineRule="auto"/>
        <w:ind w:left="720" w:hanging="720"/>
        <w:jc w:val="left"/>
        <w:rPr>
          <w:rFonts w:cs="Arial"/>
          <w:strike/>
          <w:szCs w:val="24"/>
        </w:rPr>
      </w:pPr>
      <w:r>
        <w:rPr>
          <w:rFonts w:cs="Arial"/>
          <w:szCs w:val="24"/>
        </w:rPr>
        <w:lastRenderedPageBreak/>
        <w:t>9.4.10</w:t>
      </w:r>
      <w:r>
        <w:rPr>
          <w:rFonts w:cs="Arial"/>
          <w:szCs w:val="24"/>
        </w:rPr>
        <w:tab/>
      </w:r>
      <w:r w:rsidR="00ED4880" w:rsidRPr="00040A4C">
        <w:rPr>
          <w:rFonts w:cs="Arial"/>
          <w:strike/>
          <w:szCs w:val="24"/>
        </w:rPr>
        <w:t xml:space="preserve">In view of the above, there </w:t>
      </w:r>
      <w:r w:rsidR="00A455A6" w:rsidRPr="00040A4C">
        <w:rPr>
          <w:rFonts w:cs="Arial"/>
          <w:strike/>
          <w:szCs w:val="24"/>
        </w:rPr>
        <w:t xml:space="preserve">are already some smaller ‘major’ sites coming through the planning application process which are not included within the submitted Local Plan as they were not deemed ‘available’ at that stage. Although they are yet to be permissioned, it is evident that subject to details, the principal of development in some of these locations would be consistent with the site selection process for the local plan – </w:t>
      </w:r>
      <w:proofErr w:type="gramStart"/>
      <w:r w:rsidR="00A455A6" w:rsidRPr="00040A4C">
        <w:rPr>
          <w:rFonts w:cs="Arial"/>
          <w:strike/>
          <w:szCs w:val="24"/>
        </w:rPr>
        <w:t>in particular</w:t>
      </w:r>
      <w:proofErr w:type="gramEnd"/>
      <w:r w:rsidR="00A455A6" w:rsidRPr="00040A4C">
        <w:rPr>
          <w:rFonts w:cs="Arial"/>
          <w:strike/>
          <w:szCs w:val="24"/>
        </w:rPr>
        <w:t xml:space="preserve"> those on brownfield land within the Main Urban Areas</w:t>
      </w:r>
      <w:r w:rsidR="003B7A94" w:rsidRPr="00040A4C">
        <w:rPr>
          <w:rFonts w:cs="Arial"/>
          <w:strike/>
          <w:szCs w:val="24"/>
        </w:rPr>
        <w:t>, for instance:</w:t>
      </w:r>
    </w:p>
    <w:p w14:paraId="6C5C483D" w14:textId="20F93759" w:rsidR="00A455A6" w:rsidRPr="00040A4C" w:rsidRDefault="00A455A6" w:rsidP="00A455A6">
      <w:pPr>
        <w:pStyle w:val="ListParagraph"/>
        <w:numPr>
          <w:ilvl w:val="0"/>
          <w:numId w:val="6"/>
        </w:numPr>
        <w:jc w:val="left"/>
        <w:rPr>
          <w:rFonts w:cs="Arial"/>
          <w:strike/>
          <w:szCs w:val="24"/>
        </w:rPr>
      </w:pPr>
      <w:r w:rsidRPr="00040A4C">
        <w:rPr>
          <w:rFonts w:cs="Arial"/>
          <w:strike/>
          <w:szCs w:val="24"/>
        </w:rPr>
        <w:t>Southwell Lane</w:t>
      </w:r>
      <w:r w:rsidR="003B7A94" w:rsidRPr="00040A4C">
        <w:rPr>
          <w:rFonts w:cs="Arial"/>
          <w:strike/>
          <w:szCs w:val="24"/>
        </w:rPr>
        <w:t>, Kirkby</w:t>
      </w:r>
      <w:r w:rsidR="008D1CD2" w:rsidRPr="00040A4C">
        <w:rPr>
          <w:rFonts w:cs="Arial"/>
          <w:strike/>
          <w:szCs w:val="24"/>
        </w:rPr>
        <w:t xml:space="preserve"> – </w:t>
      </w:r>
      <w:r w:rsidR="00297E15" w:rsidRPr="00040A4C">
        <w:rPr>
          <w:rFonts w:cs="Arial"/>
          <w:strike/>
          <w:szCs w:val="24"/>
        </w:rPr>
        <w:t xml:space="preserve">Identified </w:t>
      </w:r>
      <w:r w:rsidR="008D1CD2" w:rsidRPr="00040A4C">
        <w:rPr>
          <w:rFonts w:cs="Arial"/>
          <w:strike/>
          <w:szCs w:val="24"/>
        </w:rPr>
        <w:t xml:space="preserve">brownfield site which had previous permission for </w:t>
      </w:r>
      <w:r w:rsidR="00040A4C">
        <w:rPr>
          <w:rFonts w:cs="Arial"/>
          <w:strike/>
          <w:szCs w:val="24"/>
        </w:rPr>
        <w:t>6</w:t>
      </w:r>
      <w:r w:rsidR="008D1CD2" w:rsidRPr="00040A4C">
        <w:rPr>
          <w:rFonts w:cs="Arial"/>
          <w:strike/>
          <w:szCs w:val="24"/>
        </w:rPr>
        <w:t>0 homes is now in different ownership and pre-application advice has been sought</w:t>
      </w:r>
      <w:r w:rsidR="000252DA" w:rsidRPr="00040A4C">
        <w:rPr>
          <w:rFonts w:cs="Arial"/>
          <w:strike/>
          <w:szCs w:val="24"/>
        </w:rPr>
        <w:t>.</w:t>
      </w:r>
    </w:p>
    <w:p w14:paraId="2B4C32E3" w14:textId="76D4257F" w:rsidR="00A455A6" w:rsidRPr="00040A4C" w:rsidRDefault="008D1CD2" w:rsidP="00A455A6">
      <w:pPr>
        <w:pStyle w:val="ListParagraph"/>
        <w:numPr>
          <w:ilvl w:val="0"/>
          <w:numId w:val="6"/>
        </w:numPr>
        <w:jc w:val="left"/>
        <w:rPr>
          <w:rFonts w:cs="Arial"/>
          <w:strike/>
          <w:szCs w:val="24"/>
        </w:rPr>
      </w:pPr>
      <w:r w:rsidRPr="00040A4C">
        <w:rPr>
          <w:rFonts w:cs="Arial"/>
          <w:strike/>
          <w:szCs w:val="24"/>
        </w:rPr>
        <w:t>Former</w:t>
      </w:r>
      <w:r w:rsidR="00CE08F7" w:rsidRPr="00040A4C">
        <w:rPr>
          <w:rFonts w:cs="Arial"/>
          <w:strike/>
          <w:szCs w:val="24"/>
        </w:rPr>
        <w:t xml:space="preserve"> site of </w:t>
      </w:r>
      <w:r w:rsidR="00A455A6" w:rsidRPr="00040A4C">
        <w:rPr>
          <w:rFonts w:cs="Arial"/>
          <w:strike/>
          <w:szCs w:val="24"/>
        </w:rPr>
        <w:t>Kirkland</w:t>
      </w:r>
      <w:r w:rsidR="000252DA" w:rsidRPr="00040A4C">
        <w:rPr>
          <w:rFonts w:cs="Arial"/>
          <w:strike/>
          <w:szCs w:val="24"/>
        </w:rPr>
        <w:t>’</w:t>
      </w:r>
      <w:r w:rsidR="00A455A6" w:rsidRPr="00040A4C">
        <w:rPr>
          <w:rFonts w:cs="Arial"/>
          <w:strike/>
          <w:szCs w:val="24"/>
        </w:rPr>
        <w:t>s</w:t>
      </w:r>
      <w:r w:rsidR="00CE08F7" w:rsidRPr="00040A4C">
        <w:rPr>
          <w:rFonts w:cs="Arial"/>
          <w:strike/>
          <w:szCs w:val="24"/>
        </w:rPr>
        <w:t xml:space="preserve"> nursing home, Fairhaven, Kirkby</w:t>
      </w:r>
      <w:r w:rsidR="00A455A6" w:rsidRPr="00040A4C">
        <w:rPr>
          <w:rFonts w:cs="Arial"/>
          <w:strike/>
          <w:szCs w:val="24"/>
        </w:rPr>
        <w:t xml:space="preserve"> – </w:t>
      </w:r>
      <w:r w:rsidR="00297E15" w:rsidRPr="00040A4C">
        <w:rPr>
          <w:rFonts w:cs="Arial"/>
          <w:strike/>
          <w:szCs w:val="24"/>
        </w:rPr>
        <w:t xml:space="preserve">Identified brownfield site with an approximate capacity for 20 homes. </w:t>
      </w:r>
      <w:r w:rsidR="005E5649" w:rsidRPr="00040A4C">
        <w:rPr>
          <w:rFonts w:cs="Arial"/>
          <w:strike/>
          <w:szCs w:val="24"/>
        </w:rPr>
        <w:t>A</w:t>
      </w:r>
      <w:r w:rsidR="000252DA" w:rsidRPr="00040A4C">
        <w:rPr>
          <w:rFonts w:cs="Arial"/>
          <w:strike/>
          <w:szCs w:val="24"/>
        </w:rPr>
        <w:t xml:space="preserve">shfield </w:t>
      </w:r>
      <w:r w:rsidR="005E5649" w:rsidRPr="00040A4C">
        <w:rPr>
          <w:rFonts w:cs="Arial"/>
          <w:strike/>
          <w:szCs w:val="24"/>
        </w:rPr>
        <w:t>DC has option to purchase subject to p</w:t>
      </w:r>
      <w:r w:rsidR="00CE08F7" w:rsidRPr="00040A4C">
        <w:rPr>
          <w:rFonts w:cs="Arial"/>
          <w:strike/>
          <w:szCs w:val="24"/>
        </w:rPr>
        <w:t>lanning approval</w:t>
      </w:r>
      <w:r w:rsidR="000252DA" w:rsidRPr="00040A4C">
        <w:rPr>
          <w:rFonts w:cs="Arial"/>
          <w:strike/>
          <w:szCs w:val="24"/>
        </w:rPr>
        <w:t xml:space="preserve"> and pre-application advice has been sought (approved at Cabinet </w:t>
      </w:r>
      <w:r w:rsidR="000252DA" w:rsidRPr="00040A4C">
        <w:rPr>
          <w:strike/>
          <w:szCs w:val="24"/>
        </w:rPr>
        <w:t>16</w:t>
      </w:r>
      <w:r w:rsidR="000252DA" w:rsidRPr="00040A4C">
        <w:rPr>
          <w:strike/>
          <w:szCs w:val="24"/>
          <w:vertAlign w:val="superscript"/>
        </w:rPr>
        <w:t>th</w:t>
      </w:r>
      <w:r w:rsidR="000252DA" w:rsidRPr="00040A4C">
        <w:rPr>
          <w:strike/>
          <w:szCs w:val="24"/>
        </w:rPr>
        <w:t xml:space="preserve"> Sept 2024)</w:t>
      </w:r>
      <w:r w:rsidR="000252DA" w:rsidRPr="00040A4C">
        <w:rPr>
          <w:rFonts w:cs="Arial"/>
          <w:strike/>
          <w:szCs w:val="24"/>
        </w:rPr>
        <w:t>.</w:t>
      </w:r>
    </w:p>
    <w:p w14:paraId="404DBD53" w14:textId="3F914498" w:rsidR="005E5649" w:rsidRDefault="005E5649" w:rsidP="005E5649">
      <w:pPr>
        <w:ind w:left="720" w:hanging="720"/>
        <w:jc w:val="left"/>
        <w:rPr>
          <w:rFonts w:cs="Arial"/>
          <w:szCs w:val="24"/>
        </w:rPr>
      </w:pPr>
      <w:r>
        <w:rPr>
          <w:rFonts w:cs="Arial"/>
          <w:szCs w:val="24"/>
        </w:rPr>
        <w:t>9.4.11</w:t>
      </w:r>
      <w:r>
        <w:rPr>
          <w:rFonts w:cs="Arial"/>
          <w:szCs w:val="24"/>
        </w:rPr>
        <w:tab/>
      </w:r>
      <w:r w:rsidR="00391A7A">
        <w:rPr>
          <w:rFonts w:cs="Arial"/>
          <w:szCs w:val="24"/>
        </w:rPr>
        <w:t>T</w:t>
      </w:r>
      <w:r>
        <w:rPr>
          <w:rFonts w:cs="Arial"/>
          <w:szCs w:val="24"/>
        </w:rPr>
        <w:t xml:space="preserve">he Council </w:t>
      </w:r>
      <w:r w:rsidR="00391A7A">
        <w:rPr>
          <w:rFonts w:cs="Arial"/>
          <w:szCs w:val="24"/>
        </w:rPr>
        <w:t>has</w:t>
      </w:r>
      <w:r>
        <w:rPr>
          <w:rFonts w:cs="Arial"/>
          <w:szCs w:val="24"/>
        </w:rPr>
        <w:t xml:space="preserve"> an evolving programme </w:t>
      </w:r>
      <w:r w:rsidR="00391A7A">
        <w:rPr>
          <w:rFonts w:cs="Arial"/>
          <w:szCs w:val="24"/>
        </w:rPr>
        <w:t>to</w:t>
      </w:r>
      <w:r>
        <w:rPr>
          <w:rFonts w:cs="Arial"/>
          <w:szCs w:val="24"/>
        </w:rPr>
        <w:t xml:space="preserve"> delivery </w:t>
      </w:r>
      <w:r w:rsidR="00391A7A">
        <w:rPr>
          <w:rFonts w:cs="Arial"/>
          <w:szCs w:val="24"/>
        </w:rPr>
        <w:t>new</w:t>
      </w:r>
      <w:r>
        <w:rPr>
          <w:rFonts w:cs="Arial"/>
          <w:szCs w:val="24"/>
        </w:rPr>
        <w:t xml:space="preserve"> affordable </w:t>
      </w:r>
      <w:proofErr w:type="gramStart"/>
      <w:r>
        <w:rPr>
          <w:rFonts w:cs="Arial"/>
          <w:szCs w:val="24"/>
        </w:rPr>
        <w:t>homes</w:t>
      </w:r>
      <w:proofErr w:type="gramEnd"/>
      <w:r w:rsidR="00117C17">
        <w:rPr>
          <w:rFonts w:cs="Arial"/>
          <w:szCs w:val="24"/>
        </w:rPr>
        <w:t xml:space="preserve"> and</w:t>
      </w:r>
      <w:r>
        <w:rPr>
          <w:rFonts w:cs="Arial"/>
          <w:szCs w:val="24"/>
        </w:rPr>
        <w:t xml:space="preserve"> it is </w:t>
      </w:r>
      <w:r w:rsidR="00A545BC">
        <w:rPr>
          <w:rFonts w:cs="Arial"/>
          <w:szCs w:val="24"/>
        </w:rPr>
        <w:t>envisaged</w:t>
      </w:r>
      <w:r>
        <w:rPr>
          <w:rFonts w:cs="Arial"/>
          <w:szCs w:val="24"/>
        </w:rPr>
        <w:t xml:space="preserve"> that some </w:t>
      </w:r>
      <w:r w:rsidR="00A545BC">
        <w:rPr>
          <w:rFonts w:cs="Arial"/>
          <w:szCs w:val="24"/>
        </w:rPr>
        <w:t xml:space="preserve">additional </w:t>
      </w:r>
      <w:r>
        <w:rPr>
          <w:rFonts w:cs="Arial"/>
          <w:szCs w:val="24"/>
        </w:rPr>
        <w:t>m</w:t>
      </w:r>
      <w:r w:rsidR="00ED4880">
        <w:rPr>
          <w:rFonts w:cs="Arial"/>
          <w:szCs w:val="24"/>
        </w:rPr>
        <w:t>edium</w:t>
      </w:r>
      <w:r>
        <w:rPr>
          <w:rFonts w:cs="Arial"/>
          <w:szCs w:val="24"/>
        </w:rPr>
        <w:t xml:space="preserve"> sized sites will be delivered under this programme within the </w:t>
      </w:r>
      <w:r w:rsidR="00ED4880">
        <w:rPr>
          <w:rFonts w:cs="Arial"/>
          <w:szCs w:val="24"/>
        </w:rPr>
        <w:t>P</w:t>
      </w:r>
      <w:r>
        <w:rPr>
          <w:rFonts w:cs="Arial"/>
          <w:szCs w:val="24"/>
        </w:rPr>
        <w:t>lan period.</w:t>
      </w:r>
    </w:p>
    <w:p w14:paraId="25490981" w14:textId="158DF3F3" w:rsidR="00A455A6" w:rsidRDefault="00A545BC" w:rsidP="005E5649">
      <w:pPr>
        <w:ind w:left="720" w:hanging="720"/>
        <w:jc w:val="left"/>
        <w:rPr>
          <w:rFonts w:cs="Arial"/>
          <w:szCs w:val="24"/>
        </w:rPr>
      </w:pPr>
      <w:r>
        <w:rPr>
          <w:rFonts w:cs="Arial"/>
          <w:szCs w:val="24"/>
        </w:rPr>
        <w:t>9.4.12</w:t>
      </w:r>
      <w:r>
        <w:rPr>
          <w:rFonts w:cs="Arial"/>
          <w:szCs w:val="24"/>
        </w:rPr>
        <w:tab/>
      </w:r>
      <w:r w:rsidR="00A455A6" w:rsidRPr="00CD2385">
        <w:rPr>
          <w:rFonts w:cs="Arial"/>
          <w:szCs w:val="24"/>
        </w:rPr>
        <w:t xml:space="preserve">It is therefore </w:t>
      </w:r>
      <w:r w:rsidR="00ED4880">
        <w:rPr>
          <w:rFonts w:cs="Arial"/>
          <w:szCs w:val="24"/>
        </w:rPr>
        <w:t xml:space="preserve">reasonable to </w:t>
      </w:r>
      <w:r w:rsidR="00A455A6" w:rsidRPr="00CD2385">
        <w:rPr>
          <w:rFonts w:cs="Arial"/>
          <w:szCs w:val="24"/>
        </w:rPr>
        <w:t xml:space="preserve">anticipate that there will be some future delivery from such sites, </w:t>
      </w:r>
      <w:proofErr w:type="gramStart"/>
      <w:r w:rsidR="00A455A6" w:rsidRPr="00CD2385">
        <w:rPr>
          <w:rFonts w:cs="Arial"/>
          <w:szCs w:val="24"/>
        </w:rPr>
        <w:t>despite the fact that</w:t>
      </w:r>
      <w:proofErr w:type="gramEnd"/>
      <w:r w:rsidR="00A455A6" w:rsidRPr="00CD2385">
        <w:rPr>
          <w:rFonts w:cs="Arial"/>
          <w:szCs w:val="24"/>
        </w:rPr>
        <w:t xml:space="preserve"> this source is not relied upon in the Council’s land supply calculations.</w:t>
      </w:r>
    </w:p>
    <w:p w14:paraId="68456455" w14:textId="4B4D5677" w:rsidR="00E03A00" w:rsidRPr="00E03A00" w:rsidRDefault="00E03A00" w:rsidP="00E03A00">
      <w:pPr>
        <w:ind w:left="720" w:hanging="11"/>
        <w:jc w:val="left"/>
        <w:rPr>
          <w:rFonts w:cs="Arial"/>
          <w:b/>
          <w:bCs/>
          <w:szCs w:val="24"/>
        </w:rPr>
      </w:pPr>
      <w:r w:rsidRPr="00E03A00">
        <w:rPr>
          <w:rFonts w:cs="Arial"/>
          <w:b/>
          <w:bCs/>
          <w:szCs w:val="24"/>
        </w:rPr>
        <w:t>Other potential supply</w:t>
      </w:r>
    </w:p>
    <w:p w14:paraId="187539C4" w14:textId="30C81D7A" w:rsidR="00391A7A" w:rsidRPr="00CD2385" w:rsidRDefault="00391A7A" w:rsidP="005E5649">
      <w:pPr>
        <w:ind w:left="720" w:hanging="720"/>
        <w:jc w:val="left"/>
        <w:rPr>
          <w:rFonts w:cs="Arial"/>
          <w:szCs w:val="24"/>
        </w:rPr>
      </w:pPr>
      <w:r>
        <w:rPr>
          <w:rFonts w:cs="Arial"/>
          <w:szCs w:val="24"/>
        </w:rPr>
        <w:t>9.4.13</w:t>
      </w:r>
      <w:r>
        <w:rPr>
          <w:rFonts w:cs="Arial"/>
          <w:szCs w:val="24"/>
        </w:rPr>
        <w:tab/>
        <w:t>In addition to the small sites</w:t>
      </w:r>
      <w:r w:rsidR="00E03A00">
        <w:rPr>
          <w:rFonts w:cs="Arial"/>
          <w:szCs w:val="24"/>
        </w:rPr>
        <w:t xml:space="preserve"> windfall allowance discussed above, plus a realistic potential from large site windfalls, the Local Plan also introduces a new Rural Exceptions Policy (H4). This will facilitate the delivery of additional </w:t>
      </w:r>
      <w:r w:rsidR="00117C17">
        <w:rPr>
          <w:rFonts w:cs="Arial"/>
          <w:szCs w:val="24"/>
        </w:rPr>
        <w:t>small-scale</w:t>
      </w:r>
      <w:r w:rsidR="00E03A00">
        <w:rPr>
          <w:rFonts w:cs="Arial"/>
          <w:szCs w:val="24"/>
        </w:rPr>
        <w:t xml:space="preserve"> developments to meet affordable housing needs </w:t>
      </w:r>
      <w:r w:rsidR="000F35B9">
        <w:t>in perpetuity where sites would not normally be used for housing. Any new homes delivered under this new policy will therefore be supplementary to the historic small site windfall rate currently proposed.</w:t>
      </w:r>
    </w:p>
    <w:p w14:paraId="190A91FC" w14:textId="77777777" w:rsidR="00D200A3" w:rsidRPr="00A80964" w:rsidRDefault="00D200A3" w:rsidP="00A80964">
      <w:pPr>
        <w:jc w:val="left"/>
        <w:rPr>
          <w:rFonts w:cs="Arial"/>
          <w:i/>
          <w:iCs/>
          <w:color w:val="FF0000"/>
          <w:szCs w:val="24"/>
        </w:rPr>
      </w:pPr>
    </w:p>
    <w:p w14:paraId="3A402FDF" w14:textId="59AF0A3E" w:rsidR="000C09F3" w:rsidRPr="007C6C7B" w:rsidRDefault="000C09F3" w:rsidP="00132ACC">
      <w:pPr>
        <w:pStyle w:val="Heading4"/>
        <w:numPr>
          <w:ilvl w:val="1"/>
          <w:numId w:val="31"/>
        </w:numPr>
        <w:rPr>
          <w:rFonts w:cs="Arial"/>
          <w:b w:val="0"/>
          <w:bCs/>
          <w:i w:val="0"/>
          <w:iCs w:val="0"/>
        </w:rPr>
      </w:pPr>
      <w:r w:rsidRPr="007C6C7B">
        <w:rPr>
          <w:rFonts w:cs="Arial"/>
          <w:bCs/>
        </w:rPr>
        <w:t>Is the inclusion of housing falling within Class C2 of the Use Classes Order as part of</w:t>
      </w:r>
      <w:r w:rsidR="007C6C7B">
        <w:rPr>
          <w:rFonts w:cs="Arial"/>
          <w:bCs/>
        </w:rPr>
        <w:t xml:space="preserve"> </w:t>
      </w:r>
      <w:r w:rsidRPr="007C6C7B">
        <w:rPr>
          <w:rFonts w:cs="Arial"/>
          <w:bCs/>
        </w:rPr>
        <w:t xml:space="preserve">the </w:t>
      </w:r>
      <w:r w:rsidRPr="002C4187">
        <w:rPr>
          <w:rFonts w:cs="Arial"/>
          <w:bCs/>
        </w:rPr>
        <w:t>housing requirement</w:t>
      </w:r>
      <w:r w:rsidRPr="007C6C7B">
        <w:rPr>
          <w:rFonts w:cs="Arial"/>
          <w:bCs/>
        </w:rPr>
        <w:t xml:space="preserve"> justified?</w:t>
      </w:r>
    </w:p>
    <w:p w14:paraId="32C25A91" w14:textId="77777777" w:rsidR="00274CAA" w:rsidRDefault="00274CAA" w:rsidP="004E13EC">
      <w:pPr>
        <w:jc w:val="left"/>
        <w:rPr>
          <w:u w:val="single"/>
        </w:rPr>
      </w:pPr>
    </w:p>
    <w:p w14:paraId="1EE06076" w14:textId="7CEE970F" w:rsidR="004E13EC" w:rsidRPr="0076350C" w:rsidRDefault="004E13EC" w:rsidP="004E13EC">
      <w:pPr>
        <w:jc w:val="left"/>
      </w:pPr>
      <w:r w:rsidRPr="0076350C">
        <w:t>Council’s response</w:t>
      </w:r>
      <w:r w:rsidR="0076350C" w:rsidRPr="0076350C">
        <w:t>:</w:t>
      </w:r>
    </w:p>
    <w:p w14:paraId="2593E0EA" w14:textId="23BD29D4" w:rsidR="002C4187" w:rsidRDefault="002C4187" w:rsidP="002C4187">
      <w:pPr>
        <w:ind w:left="720" w:hanging="720"/>
        <w:jc w:val="left"/>
        <w:rPr>
          <w:rFonts w:ascii="Aptos" w:hAnsi="Aptos"/>
          <w:sz w:val="22"/>
        </w:rPr>
      </w:pPr>
      <w:r>
        <w:t>9.5.1   </w:t>
      </w:r>
      <w:proofErr w:type="gramStart"/>
      <w:r>
        <w:t>Yes</w:t>
      </w:r>
      <w:proofErr w:type="gramEnd"/>
      <w:r>
        <w:t xml:space="preserve"> the inclusion of C2 bedspaces within the housing requirement is justified. This is confirmed by the Housing Delivery Test (HDT) Measurement Rule Book (</w:t>
      </w:r>
      <w:r w:rsidRPr="00B7791B">
        <w:rPr>
          <w:strike/>
        </w:rPr>
        <w:t>July 2018</w:t>
      </w:r>
      <w:r w:rsidR="00B7791B">
        <w:t xml:space="preserve"> </w:t>
      </w:r>
      <w:r w:rsidR="00B7791B" w:rsidRPr="00B7791B">
        <w:rPr>
          <w:color w:val="7030A0"/>
        </w:rPr>
        <w:t>updated December 2024</w:t>
      </w:r>
      <w:r>
        <w:t xml:space="preserve">) as set out by the Government which allows for communal accommodation to counted towards housing supply. </w:t>
      </w:r>
    </w:p>
    <w:p w14:paraId="6034B8E8" w14:textId="704610E0" w:rsidR="002C4187" w:rsidRPr="00EB4B4E" w:rsidRDefault="002C4187" w:rsidP="002C4187">
      <w:pPr>
        <w:ind w:left="720" w:hanging="720"/>
        <w:jc w:val="left"/>
        <w:rPr>
          <w:color w:val="7030A0"/>
        </w:rPr>
      </w:pPr>
      <w:r>
        <w:t xml:space="preserve">9.5.2 </w:t>
      </w:r>
      <w:r>
        <w:tab/>
        <w:t xml:space="preserve">The HDT Rule Book explains that the net homes delivered is calculated with adjustments including net other communal accommodation (calculated by applying a nationally set ratio (1 dwelling for every </w:t>
      </w:r>
      <w:r w:rsidRPr="00B7791B">
        <w:rPr>
          <w:strike/>
        </w:rPr>
        <w:t>1.8</w:t>
      </w:r>
      <w:r>
        <w:t xml:space="preserve"> </w:t>
      </w:r>
      <w:r w:rsidR="00B7791B" w:rsidRPr="00B7791B">
        <w:rPr>
          <w:color w:val="7030A0"/>
        </w:rPr>
        <w:t xml:space="preserve">1.9 </w:t>
      </w:r>
      <w:r>
        <w:t>C2 bedspaces delivered). It is therefore reasonable that they should also be factored in the requirement and forward supply in Ashfield at the same ratio applied in the HDT.</w:t>
      </w:r>
      <w:r w:rsidR="00EB4B4E" w:rsidRPr="00EB4B4E">
        <w:rPr>
          <w:color w:val="0070C0"/>
        </w:rPr>
        <w:t xml:space="preserve"> </w:t>
      </w:r>
      <w:r w:rsidR="00EB4B4E" w:rsidRPr="00EB4B4E">
        <w:rPr>
          <w:color w:val="7030A0"/>
        </w:rPr>
        <w:t xml:space="preserve">The Council’s </w:t>
      </w:r>
      <w:r w:rsidR="00EB4B4E" w:rsidRPr="00EB4B4E">
        <w:rPr>
          <w:color w:val="7030A0"/>
        </w:rPr>
        <w:lastRenderedPageBreak/>
        <w:t>approach is clearly set out in Section 3 of the annual HLMR (paras 3.5, 3.6 in 2025 version).</w:t>
      </w:r>
    </w:p>
    <w:p w14:paraId="4CD734DC" w14:textId="304B6BE2" w:rsidR="002C4187" w:rsidRDefault="002C4187" w:rsidP="002C4187">
      <w:pPr>
        <w:ind w:left="720" w:hanging="720"/>
        <w:jc w:val="left"/>
      </w:pPr>
      <w:proofErr w:type="gramStart"/>
      <w:r>
        <w:t>9.5.3  </w:t>
      </w:r>
      <w:r>
        <w:tab/>
      </w:r>
      <w:proofErr w:type="gramEnd"/>
      <w:r>
        <w:t>Furthermore, National Planning Practice Guidance states that local planning authorities will need to count housing provided for older people, including residential institutions in Use Class C2, as part of their housing land supply (Paragraph: 035 Reference ID: 68-035-20190722).</w:t>
      </w:r>
    </w:p>
    <w:p w14:paraId="751D69BE" w14:textId="77777777" w:rsidR="00153AFF" w:rsidRDefault="002C4187" w:rsidP="002C4187">
      <w:pPr>
        <w:ind w:left="720" w:hanging="720"/>
        <w:jc w:val="left"/>
      </w:pPr>
      <w:r>
        <w:t>9.5.4 </w:t>
      </w:r>
      <w:r>
        <w:tab/>
        <w:t>Finally, although not included within the household projections which inform the standard method, C2 dwellings will be occupied in part through people moving from C3 dwellings (which are included) and in many cases this will result in the release of an existing C3 dwelling for other households to reuse.  Therefore, it is reasonable to include the delivery of C2 as part of the housing requirement as it will clearly influence the supply of C3 dwellings.</w:t>
      </w:r>
    </w:p>
    <w:p w14:paraId="0934E787" w14:textId="77777777" w:rsidR="00531412" w:rsidRDefault="00531412" w:rsidP="002C4187">
      <w:pPr>
        <w:ind w:left="720" w:hanging="720"/>
        <w:jc w:val="left"/>
      </w:pPr>
    </w:p>
    <w:p w14:paraId="0DD12F19" w14:textId="3CACDB6E" w:rsidR="000C09F3" w:rsidRPr="007C6C7B" w:rsidRDefault="000C09F3" w:rsidP="00132ACC">
      <w:pPr>
        <w:pStyle w:val="Heading4"/>
        <w:numPr>
          <w:ilvl w:val="1"/>
          <w:numId w:val="31"/>
        </w:numPr>
        <w:rPr>
          <w:rFonts w:cs="Arial"/>
          <w:b w:val="0"/>
          <w:bCs/>
          <w:i w:val="0"/>
          <w:iCs w:val="0"/>
        </w:rPr>
      </w:pPr>
      <w:r w:rsidRPr="007C6C7B">
        <w:rPr>
          <w:rFonts w:cs="Arial"/>
          <w:bCs/>
        </w:rPr>
        <w:t xml:space="preserve">Paragraph 69 of the Framework states that </w:t>
      </w:r>
      <w:proofErr w:type="gramStart"/>
      <w:r w:rsidRPr="007C6C7B">
        <w:rPr>
          <w:rFonts w:cs="Arial"/>
          <w:bCs/>
        </w:rPr>
        <w:t>in order to</w:t>
      </w:r>
      <w:proofErr w:type="gramEnd"/>
      <w:r w:rsidRPr="007C6C7B">
        <w:rPr>
          <w:rFonts w:cs="Arial"/>
          <w:bCs/>
        </w:rPr>
        <w:t xml:space="preserve"> promote the development of a</w:t>
      </w:r>
      <w:r w:rsidR="007C6C7B">
        <w:rPr>
          <w:rFonts w:cs="Arial"/>
          <w:bCs/>
        </w:rPr>
        <w:t xml:space="preserve"> </w:t>
      </w:r>
      <w:r w:rsidRPr="007C6C7B">
        <w:rPr>
          <w:rFonts w:cs="Arial"/>
          <w:bCs/>
        </w:rPr>
        <w:t>good mix of sites, local planning authorities should (amongst other things) identify land</w:t>
      </w:r>
      <w:r w:rsidR="007C6C7B">
        <w:rPr>
          <w:rFonts w:cs="Arial"/>
          <w:bCs/>
        </w:rPr>
        <w:t xml:space="preserve"> </w:t>
      </w:r>
      <w:r w:rsidRPr="007C6C7B">
        <w:rPr>
          <w:rFonts w:cs="Arial"/>
          <w:bCs/>
        </w:rPr>
        <w:t>to accommodate at least 10% of their housing requirement on sites no larger than 1</w:t>
      </w:r>
      <w:r w:rsidR="007C6C7B">
        <w:rPr>
          <w:rFonts w:cs="Arial"/>
          <w:bCs/>
        </w:rPr>
        <w:t xml:space="preserve"> </w:t>
      </w:r>
      <w:r w:rsidRPr="007C6C7B">
        <w:rPr>
          <w:rFonts w:cs="Arial"/>
          <w:bCs/>
        </w:rPr>
        <w:t>hectare, unless there are strong reasons why this cannot be achieved. What proportion</w:t>
      </w:r>
      <w:r w:rsidR="007C6C7B">
        <w:rPr>
          <w:rFonts w:cs="Arial"/>
          <w:bCs/>
        </w:rPr>
        <w:t xml:space="preserve"> </w:t>
      </w:r>
      <w:r w:rsidRPr="007C6C7B">
        <w:rPr>
          <w:rFonts w:cs="Arial"/>
          <w:bCs/>
        </w:rPr>
        <w:t>of the housing requirement will be met from sites no larger than 1 hectare?</w:t>
      </w:r>
    </w:p>
    <w:p w14:paraId="3AA3AD72" w14:textId="77777777" w:rsidR="009C43B3" w:rsidRDefault="009C43B3" w:rsidP="004E13EC">
      <w:pPr>
        <w:jc w:val="left"/>
        <w:rPr>
          <w:u w:val="single"/>
        </w:rPr>
      </w:pPr>
    </w:p>
    <w:p w14:paraId="721D0B3C" w14:textId="68261721" w:rsidR="004E13EC" w:rsidRPr="0076350C" w:rsidRDefault="004E13EC" w:rsidP="004E13EC">
      <w:pPr>
        <w:jc w:val="left"/>
      </w:pPr>
      <w:r w:rsidRPr="0076350C">
        <w:t>Council’s response</w:t>
      </w:r>
      <w:r w:rsidR="0076350C" w:rsidRPr="0076350C">
        <w:t>:</w:t>
      </w:r>
    </w:p>
    <w:p w14:paraId="272DCB05" w14:textId="487AB0F6" w:rsidR="00EE752A" w:rsidRPr="00B64422" w:rsidRDefault="004E13EC" w:rsidP="00132ACC">
      <w:pPr>
        <w:pStyle w:val="ListParagraph"/>
        <w:numPr>
          <w:ilvl w:val="2"/>
          <w:numId w:val="31"/>
        </w:numPr>
        <w:jc w:val="left"/>
        <w:rPr>
          <w:rFonts w:cs="Arial"/>
          <w:strike/>
          <w:szCs w:val="24"/>
        </w:rPr>
      </w:pPr>
      <w:r w:rsidRPr="00B64422">
        <w:rPr>
          <w:rFonts w:cs="Arial"/>
          <w:strike/>
          <w:szCs w:val="24"/>
        </w:rPr>
        <w:t xml:space="preserve">Background Paper 1: Spatial Strategy and Site Selection </w:t>
      </w:r>
      <w:r w:rsidR="00EE752A" w:rsidRPr="00B64422">
        <w:rPr>
          <w:rFonts w:cs="Arial"/>
          <w:strike/>
          <w:szCs w:val="24"/>
        </w:rPr>
        <w:t xml:space="preserve">[BP.01] paragraph 10.4 identifies that local planning authorities are required to identify land to accommodate at least 10% of their housing requirement on sites no larger than one hectare. For Ashfield, </w:t>
      </w:r>
      <w:r w:rsidR="00984726" w:rsidRPr="00B64422">
        <w:rPr>
          <w:rFonts w:cs="Arial"/>
          <w:strike/>
          <w:szCs w:val="24"/>
        </w:rPr>
        <w:t>this means at least 758 dwellings need to be delivered on such sites over</w:t>
      </w:r>
      <w:r w:rsidR="00EE752A" w:rsidRPr="00B64422">
        <w:rPr>
          <w:rFonts w:cs="Arial"/>
          <w:strike/>
          <w:szCs w:val="24"/>
        </w:rPr>
        <w:t xml:space="preserve"> the entire 17-year requirement. The supply as proposed in </w:t>
      </w:r>
      <w:r w:rsidR="00E105F9" w:rsidRPr="00B64422">
        <w:rPr>
          <w:rFonts w:cs="Arial"/>
          <w:strike/>
          <w:szCs w:val="24"/>
        </w:rPr>
        <w:t xml:space="preserve">BP.01 </w:t>
      </w:r>
      <w:r w:rsidR="00EE752A" w:rsidRPr="00B64422">
        <w:rPr>
          <w:rFonts w:cs="Arial"/>
          <w:strike/>
          <w:szCs w:val="24"/>
        </w:rPr>
        <w:t>Table 22</w:t>
      </w:r>
      <w:r w:rsidR="00E105F9" w:rsidRPr="00B64422">
        <w:rPr>
          <w:rFonts w:cs="Arial"/>
          <w:strike/>
          <w:szCs w:val="24"/>
        </w:rPr>
        <w:t xml:space="preserve"> </w:t>
      </w:r>
      <w:r w:rsidR="00EE752A" w:rsidRPr="00B64422">
        <w:rPr>
          <w:rFonts w:cs="Arial"/>
          <w:strike/>
          <w:szCs w:val="24"/>
        </w:rPr>
        <w:t>would more than meet this requirement with a potential for 1,243 dwellings on sites of less than 1 hectare (comprised of a net total of 982 on ‘small’ sites plus 261 from larger allocated sites)</w:t>
      </w:r>
      <w:r w:rsidR="00984726" w:rsidRPr="00B64422">
        <w:rPr>
          <w:rFonts w:cs="Arial"/>
          <w:strike/>
          <w:szCs w:val="24"/>
        </w:rPr>
        <w:t>, representing over 16% of total supply.</w:t>
      </w:r>
    </w:p>
    <w:p w14:paraId="5973BF31" w14:textId="32CB5920" w:rsidR="00B64422" w:rsidRDefault="00B64422" w:rsidP="00B64422">
      <w:pPr>
        <w:ind w:left="720" w:hanging="720"/>
        <w:jc w:val="left"/>
        <w:rPr>
          <w:rFonts w:cs="Arial"/>
          <w:color w:val="7030A0"/>
          <w:szCs w:val="24"/>
        </w:rPr>
      </w:pPr>
      <w:r>
        <w:rPr>
          <w:rFonts w:cs="Arial"/>
          <w:color w:val="7030A0"/>
          <w:szCs w:val="24"/>
        </w:rPr>
        <w:t>9.6.1</w:t>
      </w:r>
      <w:r>
        <w:rPr>
          <w:rFonts w:cs="Arial"/>
          <w:color w:val="7030A0"/>
          <w:szCs w:val="24"/>
        </w:rPr>
        <w:tab/>
      </w:r>
      <w:r w:rsidRPr="00B64422">
        <w:rPr>
          <w:rFonts w:cs="Arial"/>
          <w:color w:val="7030A0"/>
          <w:szCs w:val="24"/>
        </w:rPr>
        <w:t>The Dwelling Requirement and Provision Table in the Housing Trajectory [ADC.20, page 12] shows a net requirement of 6675 dwellings to meet future need between 2025 and 2040. In this respect, the Council are expected to identify land to accommodate at least 668 dwellings on sites no larger than 1 hectare.</w:t>
      </w:r>
    </w:p>
    <w:p w14:paraId="75D70D42" w14:textId="4867DFB4" w:rsidR="00B64422" w:rsidRDefault="00B64422" w:rsidP="00B64422">
      <w:pPr>
        <w:ind w:left="720" w:hanging="720"/>
        <w:jc w:val="left"/>
        <w:rPr>
          <w:rFonts w:cs="Arial"/>
          <w:color w:val="7030A0"/>
          <w:szCs w:val="24"/>
        </w:rPr>
      </w:pPr>
      <w:r>
        <w:rPr>
          <w:rFonts w:cs="Arial"/>
          <w:color w:val="7030A0"/>
          <w:szCs w:val="24"/>
        </w:rPr>
        <w:t>9.6.2</w:t>
      </w:r>
      <w:r>
        <w:rPr>
          <w:rFonts w:cs="Arial"/>
          <w:color w:val="7030A0"/>
          <w:szCs w:val="24"/>
        </w:rPr>
        <w:tab/>
      </w:r>
      <w:r w:rsidR="00F90826">
        <w:rPr>
          <w:rFonts w:cs="Arial"/>
          <w:color w:val="7030A0"/>
          <w:szCs w:val="24"/>
        </w:rPr>
        <w:t>Details contained in the ‘Anticipated Annual housing Delivery by Site Allocation illustrate that 483 dwellings are proposed from this source on sites of less than 1 hectare. In addition, all small site planning applications which total some 340 dwellings are on sites which fall into this category. This gives a total provision from known sites of 823 dwellings, or over 12%. Furthermore, a steady supply of small site windfalls can be expected to supplement this provision beyond the first 3 years.</w:t>
      </w:r>
    </w:p>
    <w:p w14:paraId="7A272527" w14:textId="0EBA2624" w:rsidR="008415AD" w:rsidRPr="00B64422" w:rsidRDefault="008415AD" w:rsidP="008415AD">
      <w:pPr>
        <w:ind w:left="709" w:hanging="720"/>
        <w:jc w:val="left"/>
        <w:rPr>
          <w:rFonts w:cs="Arial"/>
          <w:color w:val="7030A0"/>
          <w:szCs w:val="24"/>
        </w:rPr>
      </w:pPr>
      <w:bookmarkStart w:id="7" w:name="_Hlk215138069"/>
      <w:r>
        <w:rPr>
          <w:rFonts w:cs="Arial"/>
          <w:color w:val="7030A0"/>
          <w:szCs w:val="24"/>
        </w:rPr>
        <w:t xml:space="preserve">9.6.3 </w:t>
      </w:r>
      <w:r>
        <w:rPr>
          <w:rFonts w:cs="Arial"/>
          <w:color w:val="7030A0"/>
          <w:szCs w:val="24"/>
        </w:rPr>
        <w:tab/>
        <w:t>The above information updates evidence set out in BP.01 at paragraph 10.4.</w:t>
      </w:r>
    </w:p>
    <w:bookmarkEnd w:id="7"/>
    <w:p w14:paraId="4A296509" w14:textId="77777777" w:rsidR="00596CE3" w:rsidRDefault="00596CE3" w:rsidP="00596CE3">
      <w:pPr>
        <w:jc w:val="left"/>
        <w:rPr>
          <w:color w:val="FF0000"/>
          <w:u w:val="single"/>
        </w:rPr>
      </w:pPr>
    </w:p>
    <w:p w14:paraId="4B0EB178" w14:textId="77777777" w:rsidR="00596CE3" w:rsidRPr="00596CE3" w:rsidRDefault="00596CE3" w:rsidP="00596CE3">
      <w:pPr>
        <w:rPr>
          <w:rFonts w:cs="Arial"/>
          <w:color w:val="FF0000"/>
          <w:szCs w:val="24"/>
        </w:rPr>
      </w:pPr>
    </w:p>
    <w:p w14:paraId="2D089957" w14:textId="1852306C" w:rsidR="000C09F3" w:rsidRPr="0076350C" w:rsidRDefault="000C09F3" w:rsidP="007C6C7B">
      <w:pPr>
        <w:pStyle w:val="Heading3"/>
        <w:rPr>
          <w:u w:val="none"/>
        </w:rPr>
      </w:pPr>
      <w:r w:rsidRPr="0076350C">
        <w:rPr>
          <w:u w:val="none"/>
        </w:rPr>
        <w:lastRenderedPageBreak/>
        <w:t>Five year housing supply</w:t>
      </w:r>
      <w:r w:rsidR="0076350C" w:rsidRPr="0076350C">
        <w:rPr>
          <w:u w:val="none"/>
        </w:rPr>
        <w:t>:</w:t>
      </w:r>
    </w:p>
    <w:p w14:paraId="3109F09E" w14:textId="77777777" w:rsidR="000C09F3" w:rsidRPr="007C6C7B" w:rsidRDefault="000C09F3" w:rsidP="000C09F3">
      <w:pPr>
        <w:rPr>
          <w:rFonts w:cs="Arial"/>
          <w:b/>
          <w:bCs/>
          <w:i/>
          <w:iCs/>
          <w:szCs w:val="24"/>
        </w:rPr>
      </w:pPr>
    </w:p>
    <w:p w14:paraId="256E304A" w14:textId="355CA1BA" w:rsidR="000C09F3" w:rsidRPr="007C6C7B" w:rsidRDefault="000C09F3" w:rsidP="00132ACC">
      <w:pPr>
        <w:pStyle w:val="Heading4"/>
        <w:numPr>
          <w:ilvl w:val="1"/>
          <w:numId w:val="31"/>
        </w:numPr>
        <w:rPr>
          <w:rFonts w:cs="Arial"/>
          <w:b w:val="0"/>
          <w:bCs/>
          <w:i w:val="0"/>
          <w:iCs w:val="0"/>
        </w:rPr>
      </w:pPr>
      <w:r w:rsidRPr="007C6C7B">
        <w:rPr>
          <w:rFonts w:cs="Arial"/>
          <w:bCs/>
        </w:rPr>
        <w:t xml:space="preserve"> What is the requirement for the first five years following the anticipated adoption of the</w:t>
      </w:r>
      <w:r w:rsidR="00E105F9">
        <w:rPr>
          <w:rFonts w:cs="Arial"/>
          <w:bCs/>
        </w:rPr>
        <w:t xml:space="preserve"> </w:t>
      </w:r>
      <w:r w:rsidRPr="007C6C7B">
        <w:rPr>
          <w:rFonts w:cs="Arial"/>
          <w:bCs/>
        </w:rPr>
        <w:t>plan and what buffer should be applied?</w:t>
      </w:r>
    </w:p>
    <w:p w14:paraId="58E8EB97" w14:textId="77777777" w:rsidR="009C43B3" w:rsidRDefault="009C43B3" w:rsidP="00E105F9">
      <w:pPr>
        <w:jc w:val="left"/>
        <w:rPr>
          <w:u w:val="single"/>
        </w:rPr>
      </w:pPr>
    </w:p>
    <w:p w14:paraId="2CDFB517" w14:textId="24185423" w:rsidR="00E105F9" w:rsidRPr="0076350C" w:rsidRDefault="00E105F9" w:rsidP="00E105F9">
      <w:pPr>
        <w:jc w:val="left"/>
      </w:pPr>
      <w:r w:rsidRPr="0076350C">
        <w:t>Council’s response</w:t>
      </w:r>
      <w:r w:rsidR="0076350C" w:rsidRPr="0076350C">
        <w:t>:</w:t>
      </w:r>
    </w:p>
    <w:p w14:paraId="1A92096A" w14:textId="5EEE4863" w:rsidR="006E5C38" w:rsidRPr="00F525BB" w:rsidRDefault="005F6839" w:rsidP="006E5C38">
      <w:pPr>
        <w:ind w:left="720" w:hanging="720"/>
        <w:jc w:val="left"/>
        <w:rPr>
          <w:strike/>
        </w:rPr>
      </w:pPr>
      <w:r w:rsidRPr="00987CB1">
        <w:rPr>
          <w:strike/>
        </w:rPr>
        <w:t>9.7.1</w:t>
      </w:r>
      <w:r w:rsidRPr="00987CB1">
        <w:rPr>
          <w:strike/>
        </w:rPr>
        <w:tab/>
      </w:r>
      <w:r w:rsidRPr="00F525BB">
        <w:rPr>
          <w:strike/>
        </w:rPr>
        <w:t xml:space="preserve">The Five Year Housing Land Supply </w:t>
      </w:r>
      <w:r w:rsidR="006E5C38" w:rsidRPr="00F525BB">
        <w:rPr>
          <w:strike/>
        </w:rPr>
        <w:t xml:space="preserve">(5YHLS) </w:t>
      </w:r>
      <w:proofErr w:type="gramStart"/>
      <w:r w:rsidRPr="00F525BB">
        <w:rPr>
          <w:strike/>
        </w:rPr>
        <w:t>at</w:t>
      </w:r>
      <w:proofErr w:type="gramEnd"/>
      <w:r w:rsidRPr="00F525BB">
        <w:rPr>
          <w:strike/>
        </w:rPr>
        <w:t xml:space="preserve"> April 2025 (post adoption) is set out at Appendix 2 of the submitted Local Plan. This identified a 5 year baseline </w:t>
      </w:r>
      <w:r w:rsidR="006E5C38" w:rsidRPr="00F525BB">
        <w:rPr>
          <w:strike/>
        </w:rPr>
        <w:t xml:space="preserve">requirement </w:t>
      </w:r>
      <w:r w:rsidRPr="00F525BB">
        <w:rPr>
          <w:strike/>
        </w:rPr>
        <w:t xml:space="preserve">of 2230 </w:t>
      </w:r>
      <w:r w:rsidR="006E5C38" w:rsidRPr="00F525BB">
        <w:rPr>
          <w:strike/>
        </w:rPr>
        <w:t>dwellings</w:t>
      </w:r>
      <w:r w:rsidRPr="00F525BB">
        <w:rPr>
          <w:strike/>
        </w:rPr>
        <w:t xml:space="preserve">, plus a 20% buffer applied </w:t>
      </w:r>
      <w:proofErr w:type="gramStart"/>
      <w:r w:rsidRPr="00F525BB">
        <w:rPr>
          <w:strike/>
        </w:rPr>
        <w:t>as a consequence of</w:t>
      </w:r>
      <w:proofErr w:type="gramEnd"/>
      <w:r w:rsidRPr="00F525BB">
        <w:rPr>
          <w:strike/>
        </w:rPr>
        <w:t xml:space="preserve"> </w:t>
      </w:r>
      <w:r w:rsidR="006E5C38" w:rsidRPr="00F525BB">
        <w:rPr>
          <w:strike/>
        </w:rPr>
        <w:t xml:space="preserve">failing the Housing Delivery Test (an assumption is made that this will remain applicable </w:t>
      </w:r>
      <w:proofErr w:type="gramStart"/>
      <w:r w:rsidR="006E5C38" w:rsidRPr="00F525BB">
        <w:rPr>
          <w:strike/>
        </w:rPr>
        <w:t>at</w:t>
      </w:r>
      <w:proofErr w:type="gramEnd"/>
      <w:r w:rsidR="006E5C38" w:rsidRPr="00F525BB">
        <w:rPr>
          <w:strike/>
        </w:rPr>
        <w:t xml:space="preserve"> April 2025, given the latest HDT result of 74% in December 2023).</w:t>
      </w:r>
      <w:r w:rsidR="006E5C38" w:rsidRPr="00F525BB">
        <w:rPr>
          <w:rFonts w:cs="Arial"/>
          <w:strike/>
        </w:rPr>
        <w:t xml:space="preserve"> This is consistent with</w:t>
      </w:r>
      <w:r w:rsidR="006E5C38" w:rsidRPr="00F525BB">
        <w:rPr>
          <w:strike/>
        </w:rPr>
        <w:t xml:space="preserve"> NPPF para. 79 b) which states “where delivery falls below 85% of the requirement over the previous three years, the authority should include a buffer of 20% to their identified supply of specific deliverable sites”.</w:t>
      </w:r>
    </w:p>
    <w:p w14:paraId="45F745B4" w14:textId="7683E361" w:rsidR="00A92BA0" w:rsidRPr="00F525BB" w:rsidRDefault="006E5C38" w:rsidP="00A92BA0">
      <w:pPr>
        <w:ind w:left="720" w:hanging="720"/>
        <w:jc w:val="left"/>
        <w:rPr>
          <w:strike/>
        </w:rPr>
      </w:pPr>
      <w:r w:rsidRPr="00F525BB">
        <w:rPr>
          <w:strike/>
        </w:rPr>
        <w:t xml:space="preserve"> </w:t>
      </w:r>
      <w:bookmarkStart w:id="8" w:name="_Hlk180076949"/>
      <w:r w:rsidR="005F6839" w:rsidRPr="00F525BB">
        <w:rPr>
          <w:strike/>
        </w:rPr>
        <w:t>9.7.2</w:t>
      </w:r>
      <w:r w:rsidR="005F6839" w:rsidRPr="00F525BB">
        <w:rPr>
          <w:strike/>
        </w:rPr>
        <w:tab/>
      </w:r>
      <w:r w:rsidRPr="00F525BB">
        <w:rPr>
          <w:strike/>
        </w:rPr>
        <w:t>The Council’s Housing Land Supply Position Statement, October 2024 [ADC.04] updates the housing delivery trajectories and 5YHLS</w:t>
      </w:r>
      <w:r w:rsidR="00A92BA0" w:rsidRPr="00F525BB">
        <w:rPr>
          <w:strike/>
        </w:rPr>
        <w:t xml:space="preserve"> (Table E)</w:t>
      </w:r>
      <w:r w:rsidRPr="00F525BB">
        <w:rPr>
          <w:strike/>
        </w:rPr>
        <w:t xml:space="preserve"> to reflect actual delivery for years </w:t>
      </w:r>
      <w:proofErr w:type="gramStart"/>
      <w:r w:rsidRPr="00F525BB">
        <w:rPr>
          <w:strike/>
        </w:rPr>
        <w:t>2023/2024, and</w:t>
      </w:r>
      <w:proofErr w:type="gramEnd"/>
      <w:r w:rsidR="00B85831" w:rsidRPr="00F525BB">
        <w:rPr>
          <w:strike/>
        </w:rPr>
        <w:t xml:space="preserve"> also </w:t>
      </w:r>
      <w:r w:rsidRPr="00F525BB">
        <w:rPr>
          <w:strike/>
        </w:rPr>
        <w:t>update outstanding commitments.</w:t>
      </w:r>
      <w:r w:rsidR="00A92BA0" w:rsidRPr="00F525BB">
        <w:rPr>
          <w:strike/>
        </w:rPr>
        <w:t xml:space="preserve"> The updated 5YHLS</w:t>
      </w:r>
      <w:r w:rsidR="005F6839" w:rsidRPr="00F525BB">
        <w:rPr>
          <w:strike/>
        </w:rPr>
        <w:t xml:space="preserve"> </w:t>
      </w:r>
      <w:r w:rsidR="00A92BA0" w:rsidRPr="00F525BB">
        <w:rPr>
          <w:strike/>
        </w:rPr>
        <w:t xml:space="preserve">table </w:t>
      </w:r>
      <w:r w:rsidR="005F6839" w:rsidRPr="00F525BB">
        <w:rPr>
          <w:strike/>
        </w:rPr>
        <w:t xml:space="preserve">also includes an assumption for under delivery in year 2024/2025 based on the </w:t>
      </w:r>
      <w:r w:rsidR="00C80BB9" w:rsidRPr="00F525BB">
        <w:rPr>
          <w:strike/>
        </w:rPr>
        <w:t xml:space="preserve">updated </w:t>
      </w:r>
      <w:r w:rsidR="005F6839" w:rsidRPr="00F525BB">
        <w:rPr>
          <w:strike/>
        </w:rPr>
        <w:t>housing trajectory.</w:t>
      </w:r>
    </w:p>
    <w:p w14:paraId="1A9C2CA2" w14:textId="51AB91EF" w:rsidR="005F6839" w:rsidRPr="00F525BB" w:rsidRDefault="00A92BA0" w:rsidP="00A92BA0">
      <w:pPr>
        <w:ind w:left="720" w:hanging="720"/>
        <w:jc w:val="left"/>
        <w:rPr>
          <w:strike/>
        </w:rPr>
      </w:pPr>
      <w:r w:rsidRPr="00F525BB">
        <w:rPr>
          <w:strike/>
        </w:rPr>
        <w:t>9.7.3</w:t>
      </w:r>
      <w:r w:rsidRPr="00F525BB">
        <w:rPr>
          <w:strike/>
        </w:rPr>
        <w:tab/>
        <w:t xml:space="preserve">It should be noted that a minor error has since been picked up in one of the calculations in this table – in essence, the negative component of 37 dwellings shortfall had inadvertently been added, rather than subtracted from the total 5 year housing land requirement. This clearly give a different </w:t>
      </w:r>
      <w:proofErr w:type="gramStart"/>
      <w:r w:rsidRPr="00F525BB">
        <w:rPr>
          <w:strike/>
        </w:rPr>
        <w:t>result, but</w:t>
      </w:r>
      <w:proofErr w:type="gramEnd"/>
      <w:r w:rsidRPr="00F525BB">
        <w:rPr>
          <w:strike/>
        </w:rPr>
        <w:t xml:space="preserve"> still demonstrates a 5YHLS post adoption. </w:t>
      </w:r>
      <w:r w:rsidR="005F6839" w:rsidRPr="00F525BB">
        <w:rPr>
          <w:strike/>
        </w:rPr>
        <w:t>Th</w:t>
      </w:r>
      <w:r w:rsidRPr="00F525BB">
        <w:rPr>
          <w:strike/>
        </w:rPr>
        <w:t>is</w:t>
      </w:r>
      <w:r w:rsidR="005F6839" w:rsidRPr="00F525BB">
        <w:rPr>
          <w:strike/>
        </w:rPr>
        <w:t xml:space="preserve"> table is replicated below</w:t>
      </w:r>
      <w:r w:rsidRPr="00F525BB">
        <w:rPr>
          <w:strike/>
        </w:rPr>
        <w:t xml:space="preserve"> with amendments</w:t>
      </w:r>
      <w:r w:rsidR="005F6839" w:rsidRPr="00F525BB">
        <w:rPr>
          <w:strike/>
        </w:rPr>
        <w:t xml:space="preserve"> and </w:t>
      </w:r>
      <w:r w:rsidR="007B0703" w:rsidRPr="00F525BB">
        <w:rPr>
          <w:strike/>
        </w:rPr>
        <w:t xml:space="preserve">continues to </w:t>
      </w:r>
      <w:r w:rsidR="005F6839" w:rsidRPr="00F525BB">
        <w:rPr>
          <w:strike/>
        </w:rPr>
        <w:t>demonstrate a 5YHLS at anticipated point of adoption.</w:t>
      </w:r>
    </w:p>
    <w:p w14:paraId="1844284E" w14:textId="77777777" w:rsidR="003B7A94" w:rsidRPr="00F525BB" w:rsidRDefault="003B7A94" w:rsidP="00A92BA0">
      <w:pPr>
        <w:ind w:left="720" w:hanging="720"/>
        <w:jc w:val="left"/>
        <w:rPr>
          <w:strike/>
        </w:rPr>
      </w:pPr>
    </w:p>
    <w:tbl>
      <w:tblPr>
        <w:tblW w:w="8930" w:type="dxa"/>
        <w:tblInd w:w="704" w:type="dxa"/>
        <w:tblLayout w:type="fixed"/>
        <w:tblLook w:val="04A0" w:firstRow="1" w:lastRow="0" w:firstColumn="1" w:lastColumn="0" w:noHBand="0" w:noVBand="1"/>
      </w:tblPr>
      <w:tblGrid>
        <w:gridCol w:w="7513"/>
        <w:gridCol w:w="1417"/>
      </w:tblGrid>
      <w:tr w:rsidR="00987CB1" w:rsidRPr="00F525BB" w14:paraId="13257EBB" w14:textId="77777777" w:rsidTr="009C5A3D">
        <w:trPr>
          <w:trHeight w:val="327"/>
        </w:trPr>
        <w:tc>
          <w:tcPr>
            <w:tcW w:w="7513" w:type="dxa"/>
            <w:tcBorders>
              <w:top w:val="single" w:sz="4" w:space="0" w:color="auto"/>
              <w:left w:val="single" w:sz="4" w:space="0" w:color="auto"/>
              <w:bottom w:val="single" w:sz="4" w:space="0" w:color="auto"/>
              <w:right w:val="single" w:sz="4" w:space="0" w:color="auto"/>
            </w:tcBorders>
            <w:shd w:val="clear" w:color="000000" w:fill="DDEBF7"/>
            <w:hideMark/>
          </w:tcPr>
          <w:bookmarkEnd w:id="8"/>
          <w:p w14:paraId="47316FE7" w14:textId="77777777" w:rsidR="005F6839" w:rsidRPr="00F525BB" w:rsidRDefault="005F6839" w:rsidP="009C5A3D">
            <w:pPr>
              <w:spacing w:after="0" w:line="240" w:lineRule="auto"/>
              <w:jc w:val="left"/>
              <w:rPr>
                <w:rFonts w:eastAsia="Times New Roman" w:cs="Arial"/>
                <w:b/>
                <w:bCs/>
                <w:strike/>
                <w:sz w:val="22"/>
                <w:lang w:eastAsia="en-GB"/>
              </w:rPr>
            </w:pPr>
            <w:r w:rsidRPr="00F525BB">
              <w:rPr>
                <w:rFonts w:eastAsia="Times New Roman" w:cs="Arial"/>
                <w:b/>
                <w:bCs/>
                <w:strike/>
                <w:sz w:val="22"/>
                <w:lang w:eastAsia="en-GB"/>
              </w:rPr>
              <w:t>Five Year Housing Requirement</w:t>
            </w:r>
          </w:p>
          <w:p w14:paraId="7468F3B4" w14:textId="77777777" w:rsidR="003B7A94" w:rsidRPr="00F525BB" w:rsidRDefault="003B7A94" w:rsidP="009C5A3D">
            <w:pPr>
              <w:spacing w:after="0" w:line="240" w:lineRule="auto"/>
              <w:jc w:val="left"/>
              <w:rPr>
                <w:rFonts w:eastAsia="Times New Roman" w:cs="Arial"/>
                <w:b/>
                <w:bCs/>
                <w:strike/>
                <w:sz w:val="22"/>
                <w:lang w:eastAsia="en-GB"/>
              </w:rPr>
            </w:pPr>
          </w:p>
        </w:tc>
        <w:tc>
          <w:tcPr>
            <w:tcW w:w="1417" w:type="dxa"/>
            <w:tcBorders>
              <w:top w:val="single" w:sz="4" w:space="0" w:color="auto"/>
              <w:left w:val="nil"/>
              <w:bottom w:val="single" w:sz="4" w:space="0" w:color="auto"/>
              <w:right w:val="single" w:sz="4" w:space="0" w:color="auto"/>
            </w:tcBorders>
            <w:shd w:val="clear" w:color="000000" w:fill="DDEBF7"/>
            <w:noWrap/>
            <w:hideMark/>
          </w:tcPr>
          <w:p w14:paraId="795A2AB6"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Dwellings</w:t>
            </w:r>
          </w:p>
        </w:tc>
      </w:tr>
      <w:tr w:rsidR="00987CB1" w:rsidRPr="00F525BB" w14:paraId="041D4524"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207B9417"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Local Housing Need* @ 446 dpa x 5 years</w:t>
            </w:r>
          </w:p>
        </w:tc>
        <w:tc>
          <w:tcPr>
            <w:tcW w:w="1417" w:type="dxa"/>
            <w:tcBorders>
              <w:top w:val="nil"/>
              <w:left w:val="nil"/>
              <w:bottom w:val="single" w:sz="4" w:space="0" w:color="auto"/>
              <w:right w:val="single" w:sz="4" w:space="0" w:color="auto"/>
            </w:tcBorders>
            <w:shd w:val="clear" w:color="000000" w:fill="DDEBF7"/>
            <w:noWrap/>
            <w:hideMark/>
          </w:tcPr>
          <w:p w14:paraId="3FED0D1F"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2230</w:t>
            </w:r>
          </w:p>
        </w:tc>
      </w:tr>
      <w:tr w:rsidR="00987CB1" w:rsidRPr="00F525BB" w14:paraId="71E02776"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71F2389D"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Add 20% buffer</w:t>
            </w:r>
          </w:p>
        </w:tc>
        <w:tc>
          <w:tcPr>
            <w:tcW w:w="1417" w:type="dxa"/>
            <w:tcBorders>
              <w:top w:val="nil"/>
              <w:left w:val="nil"/>
              <w:bottom w:val="single" w:sz="4" w:space="0" w:color="auto"/>
              <w:right w:val="single" w:sz="4" w:space="0" w:color="auto"/>
            </w:tcBorders>
            <w:shd w:val="clear" w:color="000000" w:fill="DDEBF7"/>
            <w:noWrap/>
            <w:hideMark/>
          </w:tcPr>
          <w:p w14:paraId="7472C443"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446</w:t>
            </w:r>
          </w:p>
        </w:tc>
      </w:tr>
      <w:tr w:rsidR="00987CB1" w:rsidRPr="00F525BB" w14:paraId="4774D7A0"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3F56D413"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Under delivery year 2023 to 2025 (actual plus assumed)</w:t>
            </w:r>
          </w:p>
        </w:tc>
        <w:tc>
          <w:tcPr>
            <w:tcW w:w="1417" w:type="dxa"/>
            <w:tcBorders>
              <w:top w:val="nil"/>
              <w:left w:val="nil"/>
              <w:bottom w:val="single" w:sz="4" w:space="0" w:color="auto"/>
              <w:right w:val="single" w:sz="4" w:space="0" w:color="auto"/>
            </w:tcBorders>
            <w:shd w:val="clear" w:color="000000" w:fill="DDEBF7"/>
            <w:noWrap/>
            <w:hideMark/>
          </w:tcPr>
          <w:p w14:paraId="0112C0A3" w14:textId="10620E6A"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37</w:t>
            </w:r>
          </w:p>
        </w:tc>
      </w:tr>
      <w:tr w:rsidR="00987CB1" w:rsidRPr="00F525BB" w14:paraId="7B88CABB"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DEBF7"/>
            <w:hideMark/>
          </w:tcPr>
          <w:p w14:paraId="6880E79F" w14:textId="77777777" w:rsidR="005F6839" w:rsidRPr="00F525BB" w:rsidRDefault="005F6839" w:rsidP="009C5A3D">
            <w:pPr>
              <w:spacing w:after="0" w:line="240" w:lineRule="auto"/>
              <w:jc w:val="left"/>
              <w:rPr>
                <w:rFonts w:eastAsia="Times New Roman" w:cs="Arial"/>
                <w:b/>
                <w:bCs/>
                <w:strike/>
                <w:sz w:val="22"/>
                <w:lang w:eastAsia="en-GB"/>
              </w:rPr>
            </w:pPr>
            <w:r w:rsidRPr="00F525BB">
              <w:rPr>
                <w:rFonts w:eastAsia="Times New Roman" w:cs="Arial"/>
                <w:b/>
                <w:bCs/>
                <w:strike/>
                <w:sz w:val="22"/>
                <w:lang w:eastAsia="en-GB"/>
              </w:rPr>
              <w:t>Total 5 year requirement including buffer</w:t>
            </w:r>
          </w:p>
        </w:tc>
        <w:tc>
          <w:tcPr>
            <w:tcW w:w="1417" w:type="dxa"/>
            <w:tcBorders>
              <w:top w:val="nil"/>
              <w:left w:val="nil"/>
              <w:bottom w:val="single" w:sz="4" w:space="0" w:color="auto"/>
              <w:right w:val="single" w:sz="4" w:space="0" w:color="auto"/>
            </w:tcBorders>
            <w:shd w:val="clear" w:color="000000" w:fill="DDEBF7"/>
            <w:noWrap/>
            <w:hideMark/>
          </w:tcPr>
          <w:p w14:paraId="3442A38B"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2639 2713</w:t>
            </w:r>
          </w:p>
        </w:tc>
      </w:tr>
      <w:tr w:rsidR="00987CB1" w:rsidRPr="00F525BB" w14:paraId="2E168E2B" w14:textId="77777777" w:rsidTr="009C5A3D">
        <w:trPr>
          <w:trHeight w:val="437"/>
        </w:trPr>
        <w:tc>
          <w:tcPr>
            <w:tcW w:w="7513" w:type="dxa"/>
            <w:tcBorders>
              <w:top w:val="nil"/>
              <w:left w:val="single" w:sz="4" w:space="0" w:color="auto"/>
              <w:bottom w:val="single" w:sz="4" w:space="0" w:color="auto"/>
              <w:right w:val="single" w:sz="4" w:space="0" w:color="auto"/>
            </w:tcBorders>
            <w:shd w:val="clear" w:color="000000" w:fill="DDEBF7"/>
            <w:hideMark/>
          </w:tcPr>
          <w:p w14:paraId="49D673D3" w14:textId="77777777" w:rsidR="005F6839" w:rsidRPr="00F525BB" w:rsidRDefault="005F6839" w:rsidP="009C5A3D">
            <w:pPr>
              <w:spacing w:after="0" w:line="240" w:lineRule="auto"/>
              <w:jc w:val="left"/>
              <w:rPr>
                <w:rFonts w:eastAsia="Times New Roman" w:cs="Arial"/>
                <w:b/>
                <w:bCs/>
                <w:strike/>
                <w:sz w:val="22"/>
                <w:lang w:eastAsia="en-GB"/>
              </w:rPr>
            </w:pPr>
            <w:r w:rsidRPr="00F525BB">
              <w:rPr>
                <w:rFonts w:eastAsia="Times New Roman" w:cs="Arial"/>
                <w:b/>
                <w:bCs/>
                <w:strike/>
                <w:sz w:val="22"/>
                <w:lang w:eastAsia="en-GB"/>
              </w:rPr>
              <w:t>Annual requirement including buffer</w:t>
            </w:r>
          </w:p>
        </w:tc>
        <w:tc>
          <w:tcPr>
            <w:tcW w:w="1417" w:type="dxa"/>
            <w:tcBorders>
              <w:top w:val="nil"/>
              <w:left w:val="nil"/>
              <w:bottom w:val="single" w:sz="4" w:space="0" w:color="auto"/>
              <w:right w:val="single" w:sz="4" w:space="0" w:color="auto"/>
            </w:tcBorders>
            <w:shd w:val="clear" w:color="000000" w:fill="DDEBF7"/>
            <w:noWrap/>
            <w:hideMark/>
          </w:tcPr>
          <w:p w14:paraId="43264449"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528 543</w:t>
            </w:r>
          </w:p>
        </w:tc>
      </w:tr>
      <w:tr w:rsidR="00987CB1" w:rsidRPr="00F525BB" w14:paraId="7D0FAE2D" w14:textId="77777777" w:rsidTr="009C5A3D">
        <w:trPr>
          <w:trHeight w:val="369"/>
        </w:trPr>
        <w:tc>
          <w:tcPr>
            <w:tcW w:w="7513" w:type="dxa"/>
            <w:tcBorders>
              <w:top w:val="nil"/>
              <w:left w:val="single" w:sz="4" w:space="0" w:color="auto"/>
              <w:bottom w:val="single" w:sz="4" w:space="0" w:color="auto"/>
              <w:right w:val="single" w:sz="4" w:space="0" w:color="auto"/>
            </w:tcBorders>
            <w:shd w:val="clear" w:color="000000" w:fill="BDD7EE"/>
            <w:hideMark/>
          </w:tcPr>
          <w:p w14:paraId="3E1A1789" w14:textId="77777777" w:rsidR="005F6839" w:rsidRPr="00F525BB" w:rsidRDefault="005F6839" w:rsidP="009C5A3D">
            <w:pPr>
              <w:spacing w:after="0" w:line="240" w:lineRule="auto"/>
              <w:jc w:val="left"/>
              <w:rPr>
                <w:rFonts w:eastAsia="Times New Roman" w:cs="Arial"/>
                <w:b/>
                <w:bCs/>
                <w:strike/>
                <w:sz w:val="22"/>
                <w:lang w:eastAsia="en-GB"/>
              </w:rPr>
            </w:pPr>
            <w:r w:rsidRPr="00F525BB">
              <w:rPr>
                <w:rFonts w:eastAsia="Times New Roman" w:cs="Arial"/>
                <w:b/>
                <w:bCs/>
                <w:strike/>
                <w:sz w:val="22"/>
                <w:lang w:eastAsia="en-GB"/>
              </w:rPr>
              <w:t xml:space="preserve">Supply </w:t>
            </w:r>
            <w:proofErr w:type="gramStart"/>
            <w:r w:rsidRPr="00F525BB">
              <w:rPr>
                <w:rFonts w:eastAsia="Times New Roman" w:cs="Arial"/>
                <w:b/>
                <w:bCs/>
                <w:strike/>
                <w:sz w:val="22"/>
                <w:lang w:eastAsia="en-GB"/>
              </w:rPr>
              <w:t>at</w:t>
            </w:r>
            <w:proofErr w:type="gramEnd"/>
            <w:r w:rsidRPr="00F525BB">
              <w:rPr>
                <w:rFonts w:eastAsia="Times New Roman" w:cs="Arial"/>
                <w:b/>
                <w:bCs/>
                <w:strike/>
                <w:sz w:val="22"/>
                <w:lang w:eastAsia="en-GB"/>
              </w:rPr>
              <w:t xml:space="preserve"> April 2025</w:t>
            </w:r>
          </w:p>
          <w:p w14:paraId="3258E5CF" w14:textId="77777777" w:rsidR="003B7A94" w:rsidRPr="00F525BB" w:rsidRDefault="003B7A94" w:rsidP="009C5A3D">
            <w:pPr>
              <w:spacing w:after="0" w:line="240" w:lineRule="auto"/>
              <w:jc w:val="left"/>
              <w:rPr>
                <w:rFonts w:eastAsia="Times New Roman" w:cs="Arial"/>
                <w:b/>
                <w:bCs/>
                <w:strike/>
                <w:sz w:val="22"/>
                <w:lang w:eastAsia="en-GB"/>
              </w:rPr>
            </w:pPr>
          </w:p>
        </w:tc>
        <w:tc>
          <w:tcPr>
            <w:tcW w:w="1417" w:type="dxa"/>
            <w:tcBorders>
              <w:top w:val="nil"/>
              <w:left w:val="nil"/>
              <w:bottom w:val="single" w:sz="4" w:space="0" w:color="auto"/>
              <w:right w:val="single" w:sz="4" w:space="0" w:color="auto"/>
            </w:tcBorders>
            <w:shd w:val="clear" w:color="000000" w:fill="BDD7EE"/>
            <w:noWrap/>
            <w:hideMark/>
          </w:tcPr>
          <w:p w14:paraId="1774F60A"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Dwellings</w:t>
            </w:r>
          </w:p>
        </w:tc>
      </w:tr>
      <w:tr w:rsidR="00987CB1" w:rsidRPr="00F525BB" w14:paraId="5A9C3F8F"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5D99FEAA"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Supply from large sites without planning permission</w:t>
            </w:r>
          </w:p>
        </w:tc>
        <w:tc>
          <w:tcPr>
            <w:tcW w:w="1417" w:type="dxa"/>
            <w:tcBorders>
              <w:top w:val="nil"/>
              <w:left w:val="nil"/>
              <w:bottom w:val="single" w:sz="4" w:space="0" w:color="auto"/>
              <w:right w:val="single" w:sz="4" w:space="0" w:color="auto"/>
            </w:tcBorders>
            <w:shd w:val="clear" w:color="000000" w:fill="BDD7EE"/>
            <w:noWrap/>
            <w:hideMark/>
          </w:tcPr>
          <w:p w14:paraId="77CBA595"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845</w:t>
            </w:r>
          </w:p>
        </w:tc>
      </w:tr>
      <w:tr w:rsidR="00987CB1" w:rsidRPr="00F525BB" w14:paraId="310CB26E"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373F49A9"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Planning permissions deliverable within 5 years (2025-2030)</w:t>
            </w:r>
          </w:p>
        </w:tc>
        <w:tc>
          <w:tcPr>
            <w:tcW w:w="1417" w:type="dxa"/>
            <w:tcBorders>
              <w:top w:val="nil"/>
              <w:left w:val="nil"/>
              <w:bottom w:val="single" w:sz="4" w:space="0" w:color="auto"/>
              <w:right w:val="single" w:sz="4" w:space="0" w:color="auto"/>
            </w:tcBorders>
            <w:shd w:val="clear" w:color="000000" w:fill="BDD7EE"/>
            <w:noWrap/>
            <w:hideMark/>
          </w:tcPr>
          <w:p w14:paraId="11F9A3C7"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1806</w:t>
            </w:r>
          </w:p>
        </w:tc>
      </w:tr>
      <w:tr w:rsidR="00987CB1" w:rsidRPr="00F525BB" w14:paraId="4A229777" w14:textId="77777777" w:rsidTr="009C5A3D">
        <w:trPr>
          <w:trHeight w:val="330"/>
        </w:trPr>
        <w:tc>
          <w:tcPr>
            <w:tcW w:w="7513" w:type="dxa"/>
            <w:tcBorders>
              <w:top w:val="nil"/>
              <w:left w:val="single" w:sz="4" w:space="0" w:color="auto"/>
              <w:bottom w:val="single" w:sz="4" w:space="0" w:color="auto"/>
              <w:right w:val="single" w:sz="4" w:space="0" w:color="auto"/>
            </w:tcBorders>
            <w:shd w:val="clear" w:color="000000" w:fill="BDD7EE"/>
            <w:hideMark/>
          </w:tcPr>
          <w:p w14:paraId="4F25F516"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Discount applied to permissions based on historic lapse rate</w:t>
            </w:r>
          </w:p>
        </w:tc>
        <w:tc>
          <w:tcPr>
            <w:tcW w:w="1417" w:type="dxa"/>
            <w:tcBorders>
              <w:top w:val="nil"/>
              <w:left w:val="nil"/>
              <w:bottom w:val="single" w:sz="4" w:space="0" w:color="auto"/>
              <w:right w:val="single" w:sz="4" w:space="0" w:color="auto"/>
            </w:tcBorders>
            <w:shd w:val="clear" w:color="000000" w:fill="BDD7EE"/>
            <w:noWrap/>
            <w:hideMark/>
          </w:tcPr>
          <w:p w14:paraId="7E381FA2"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-105</w:t>
            </w:r>
          </w:p>
        </w:tc>
      </w:tr>
      <w:tr w:rsidR="00987CB1" w:rsidRPr="00F525BB" w14:paraId="6127C5F3"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2C1995C3"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Permitted Development deliverable within 5 years</w:t>
            </w:r>
          </w:p>
        </w:tc>
        <w:tc>
          <w:tcPr>
            <w:tcW w:w="1417" w:type="dxa"/>
            <w:tcBorders>
              <w:top w:val="nil"/>
              <w:left w:val="nil"/>
              <w:bottom w:val="single" w:sz="4" w:space="0" w:color="auto"/>
              <w:right w:val="single" w:sz="4" w:space="0" w:color="auto"/>
            </w:tcBorders>
            <w:shd w:val="clear" w:color="000000" w:fill="BDD7EE"/>
            <w:noWrap/>
            <w:hideMark/>
          </w:tcPr>
          <w:p w14:paraId="6C931209"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1</w:t>
            </w:r>
          </w:p>
        </w:tc>
      </w:tr>
      <w:tr w:rsidR="00987CB1" w:rsidRPr="00F525BB" w14:paraId="69392EF6" w14:textId="77777777" w:rsidTr="009C5A3D">
        <w:trPr>
          <w:trHeight w:val="330"/>
        </w:trPr>
        <w:tc>
          <w:tcPr>
            <w:tcW w:w="7513" w:type="dxa"/>
            <w:tcBorders>
              <w:top w:val="nil"/>
              <w:left w:val="single" w:sz="4" w:space="0" w:color="auto"/>
              <w:bottom w:val="single" w:sz="4" w:space="0" w:color="auto"/>
              <w:right w:val="single" w:sz="4" w:space="0" w:color="auto"/>
            </w:tcBorders>
            <w:shd w:val="clear" w:color="000000" w:fill="BDD7EE"/>
            <w:hideMark/>
          </w:tcPr>
          <w:p w14:paraId="4DE1DDA8"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Residential Institutions (C2) deliverable within 5 years</w:t>
            </w:r>
            <w:r w:rsidRPr="00F525BB">
              <w:rPr>
                <w:rFonts w:eastAsia="Times New Roman" w:cs="Arial"/>
                <w:strike/>
                <w:sz w:val="22"/>
                <w:vertAlign w:val="superscript"/>
                <w:lang w:eastAsia="en-GB"/>
              </w:rPr>
              <w:t>#</w:t>
            </w:r>
          </w:p>
        </w:tc>
        <w:tc>
          <w:tcPr>
            <w:tcW w:w="1417" w:type="dxa"/>
            <w:tcBorders>
              <w:top w:val="nil"/>
              <w:left w:val="nil"/>
              <w:bottom w:val="single" w:sz="4" w:space="0" w:color="auto"/>
              <w:right w:val="single" w:sz="4" w:space="0" w:color="auto"/>
            </w:tcBorders>
            <w:shd w:val="clear" w:color="000000" w:fill="BDD7EE"/>
            <w:noWrap/>
            <w:hideMark/>
          </w:tcPr>
          <w:p w14:paraId="6D0162D3"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48</w:t>
            </w:r>
          </w:p>
        </w:tc>
      </w:tr>
      <w:tr w:rsidR="00987CB1" w:rsidRPr="00F525BB" w14:paraId="74247F00"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BDD7EE"/>
            <w:hideMark/>
          </w:tcPr>
          <w:p w14:paraId="51CB8C60"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Small site windfall allowance (2027 to 2030)</w:t>
            </w:r>
          </w:p>
        </w:tc>
        <w:tc>
          <w:tcPr>
            <w:tcW w:w="1417" w:type="dxa"/>
            <w:tcBorders>
              <w:top w:val="nil"/>
              <w:left w:val="nil"/>
              <w:bottom w:val="single" w:sz="4" w:space="0" w:color="auto"/>
              <w:right w:val="single" w:sz="4" w:space="0" w:color="auto"/>
            </w:tcBorders>
            <w:shd w:val="clear" w:color="000000" w:fill="BDD7EE"/>
            <w:noWrap/>
            <w:hideMark/>
          </w:tcPr>
          <w:p w14:paraId="08D52621"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273</w:t>
            </w:r>
          </w:p>
        </w:tc>
      </w:tr>
      <w:tr w:rsidR="00987CB1" w:rsidRPr="00F525BB" w14:paraId="5015B426" w14:textId="77777777" w:rsidTr="009C5A3D">
        <w:trPr>
          <w:trHeight w:val="674"/>
        </w:trPr>
        <w:tc>
          <w:tcPr>
            <w:tcW w:w="7513" w:type="dxa"/>
            <w:tcBorders>
              <w:top w:val="nil"/>
              <w:left w:val="single" w:sz="4" w:space="0" w:color="auto"/>
              <w:bottom w:val="single" w:sz="4" w:space="0" w:color="auto"/>
              <w:right w:val="single" w:sz="4" w:space="0" w:color="auto"/>
            </w:tcBorders>
            <w:shd w:val="clear" w:color="000000" w:fill="BDD7EE"/>
            <w:hideMark/>
          </w:tcPr>
          <w:p w14:paraId="372919FD" w14:textId="77777777" w:rsidR="005F6839" w:rsidRPr="00F525BB" w:rsidRDefault="005F6839" w:rsidP="009C5A3D">
            <w:pPr>
              <w:spacing w:after="0" w:line="240" w:lineRule="auto"/>
              <w:jc w:val="left"/>
              <w:rPr>
                <w:rFonts w:eastAsia="Times New Roman" w:cs="Arial"/>
                <w:b/>
                <w:bCs/>
                <w:strike/>
                <w:sz w:val="22"/>
                <w:lang w:eastAsia="en-GB"/>
              </w:rPr>
            </w:pPr>
            <w:r w:rsidRPr="00F525BB">
              <w:rPr>
                <w:rFonts w:eastAsia="Times New Roman" w:cs="Arial"/>
                <w:b/>
                <w:bCs/>
                <w:strike/>
                <w:sz w:val="22"/>
                <w:lang w:eastAsia="en-GB"/>
              </w:rPr>
              <w:t>Total amount of housing available and deliverable for the 5 year period post adoption</w:t>
            </w:r>
          </w:p>
        </w:tc>
        <w:tc>
          <w:tcPr>
            <w:tcW w:w="1417" w:type="dxa"/>
            <w:tcBorders>
              <w:top w:val="nil"/>
              <w:left w:val="nil"/>
              <w:bottom w:val="single" w:sz="4" w:space="0" w:color="auto"/>
              <w:right w:val="single" w:sz="4" w:space="0" w:color="auto"/>
            </w:tcBorders>
            <w:shd w:val="clear" w:color="000000" w:fill="BDD7EE"/>
            <w:noWrap/>
            <w:hideMark/>
          </w:tcPr>
          <w:p w14:paraId="3ED6C378"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2868</w:t>
            </w:r>
          </w:p>
        </w:tc>
      </w:tr>
      <w:tr w:rsidR="00987CB1" w:rsidRPr="00F525BB" w14:paraId="7C8196A6" w14:textId="77777777" w:rsidTr="009C5A3D">
        <w:trPr>
          <w:trHeight w:val="560"/>
        </w:trPr>
        <w:tc>
          <w:tcPr>
            <w:tcW w:w="7513" w:type="dxa"/>
            <w:tcBorders>
              <w:top w:val="nil"/>
              <w:left w:val="single" w:sz="4" w:space="0" w:color="auto"/>
              <w:bottom w:val="single" w:sz="4" w:space="0" w:color="auto"/>
              <w:right w:val="single" w:sz="4" w:space="0" w:color="auto"/>
            </w:tcBorders>
            <w:shd w:val="clear" w:color="000000" w:fill="D9D9D9"/>
            <w:hideMark/>
          </w:tcPr>
          <w:p w14:paraId="6BAD02AC" w14:textId="77777777" w:rsidR="005F6839" w:rsidRPr="00F525BB" w:rsidRDefault="005F6839" w:rsidP="009C5A3D">
            <w:pPr>
              <w:spacing w:after="0" w:line="240" w:lineRule="auto"/>
              <w:jc w:val="left"/>
              <w:rPr>
                <w:rFonts w:eastAsia="Times New Roman" w:cs="Arial"/>
                <w:b/>
                <w:bCs/>
                <w:strike/>
                <w:sz w:val="22"/>
                <w:lang w:eastAsia="en-GB"/>
              </w:rPr>
            </w:pPr>
            <w:r w:rsidRPr="00F525BB">
              <w:rPr>
                <w:rFonts w:eastAsia="Times New Roman" w:cs="Arial"/>
                <w:b/>
                <w:bCs/>
                <w:strike/>
                <w:sz w:val="22"/>
                <w:lang w:eastAsia="en-GB"/>
              </w:rPr>
              <w:lastRenderedPageBreak/>
              <w:t>Calculation of 5 year housing land supply</w:t>
            </w:r>
          </w:p>
        </w:tc>
        <w:tc>
          <w:tcPr>
            <w:tcW w:w="1417" w:type="dxa"/>
            <w:tcBorders>
              <w:top w:val="nil"/>
              <w:left w:val="nil"/>
              <w:bottom w:val="single" w:sz="4" w:space="0" w:color="auto"/>
              <w:right w:val="single" w:sz="4" w:space="0" w:color="auto"/>
            </w:tcBorders>
            <w:shd w:val="clear" w:color="000000" w:fill="D9D9D9"/>
            <w:hideMark/>
          </w:tcPr>
          <w:p w14:paraId="674C7DC3"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Dwellings/ Years</w:t>
            </w:r>
          </w:p>
        </w:tc>
      </w:tr>
      <w:tr w:rsidR="00987CB1" w:rsidRPr="00F525BB" w14:paraId="29151EBD"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9D9D9"/>
            <w:hideMark/>
          </w:tcPr>
          <w:p w14:paraId="127D6554"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Deliverable sites for the 5 year period</w:t>
            </w:r>
          </w:p>
        </w:tc>
        <w:tc>
          <w:tcPr>
            <w:tcW w:w="1417" w:type="dxa"/>
            <w:tcBorders>
              <w:top w:val="nil"/>
              <w:left w:val="nil"/>
              <w:bottom w:val="single" w:sz="4" w:space="0" w:color="auto"/>
              <w:right w:val="single" w:sz="4" w:space="0" w:color="auto"/>
            </w:tcBorders>
            <w:shd w:val="clear" w:color="000000" w:fill="D9D9D9"/>
            <w:noWrap/>
            <w:hideMark/>
          </w:tcPr>
          <w:p w14:paraId="6FA50747"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2868</w:t>
            </w:r>
          </w:p>
        </w:tc>
      </w:tr>
      <w:tr w:rsidR="00987CB1" w:rsidRPr="00F525BB" w14:paraId="7158365C" w14:textId="77777777" w:rsidTr="009C5A3D">
        <w:trPr>
          <w:trHeight w:val="280"/>
        </w:trPr>
        <w:tc>
          <w:tcPr>
            <w:tcW w:w="7513" w:type="dxa"/>
            <w:tcBorders>
              <w:top w:val="nil"/>
              <w:left w:val="single" w:sz="4" w:space="0" w:color="auto"/>
              <w:bottom w:val="single" w:sz="4" w:space="0" w:color="auto"/>
              <w:right w:val="single" w:sz="4" w:space="0" w:color="auto"/>
            </w:tcBorders>
            <w:shd w:val="clear" w:color="000000" w:fill="D9D9D9"/>
            <w:hideMark/>
          </w:tcPr>
          <w:p w14:paraId="2A48FA86"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Divided by annual requirement for next 5 years</w:t>
            </w:r>
          </w:p>
        </w:tc>
        <w:tc>
          <w:tcPr>
            <w:tcW w:w="1417" w:type="dxa"/>
            <w:tcBorders>
              <w:top w:val="nil"/>
              <w:left w:val="nil"/>
              <w:bottom w:val="single" w:sz="4" w:space="0" w:color="auto"/>
              <w:right w:val="single" w:sz="4" w:space="0" w:color="auto"/>
            </w:tcBorders>
            <w:shd w:val="clear" w:color="000000" w:fill="D9D9D9"/>
            <w:noWrap/>
            <w:hideMark/>
          </w:tcPr>
          <w:p w14:paraId="4CBFB38E" w14:textId="77777777" w:rsidR="005F6839" w:rsidRPr="00F525BB" w:rsidRDefault="005F6839" w:rsidP="009C5A3D">
            <w:pPr>
              <w:spacing w:after="0" w:line="240" w:lineRule="auto"/>
              <w:jc w:val="right"/>
              <w:rPr>
                <w:rFonts w:eastAsia="Times New Roman" w:cs="Arial"/>
                <w:strike/>
                <w:sz w:val="22"/>
                <w:lang w:eastAsia="en-GB"/>
              </w:rPr>
            </w:pPr>
            <w:r w:rsidRPr="00F525BB">
              <w:rPr>
                <w:rFonts w:eastAsia="Times New Roman" w:cs="Arial"/>
                <w:strike/>
                <w:sz w:val="22"/>
                <w:lang w:eastAsia="en-GB"/>
              </w:rPr>
              <w:t>528 543</w:t>
            </w:r>
          </w:p>
        </w:tc>
      </w:tr>
      <w:tr w:rsidR="00987CB1" w:rsidRPr="00F525BB" w14:paraId="3FC47372" w14:textId="77777777" w:rsidTr="009C5A3D">
        <w:trPr>
          <w:trHeight w:val="403"/>
        </w:trPr>
        <w:tc>
          <w:tcPr>
            <w:tcW w:w="7513" w:type="dxa"/>
            <w:tcBorders>
              <w:top w:val="nil"/>
              <w:left w:val="single" w:sz="4" w:space="0" w:color="auto"/>
              <w:bottom w:val="single" w:sz="4" w:space="0" w:color="auto"/>
              <w:right w:val="single" w:sz="4" w:space="0" w:color="auto"/>
            </w:tcBorders>
            <w:shd w:val="clear" w:color="000000" w:fill="D9D9D9"/>
            <w:hideMark/>
          </w:tcPr>
          <w:p w14:paraId="602A5737"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Equates in years to</w:t>
            </w:r>
          </w:p>
        </w:tc>
        <w:tc>
          <w:tcPr>
            <w:tcW w:w="1417" w:type="dxa"/>
            <w:tcBorders>
              <w:top w:val="nil"/>
              <w:left w:val="nil"/>
              <w:bottom w:val="single" w:sz="4" w:space="0" w:color="auto"/>
              <w:right w:val="single" w:sz="4" w:space="0" w:color="auto"/>
            </w:tcBorders>
            <w:shd w:val="clear" w:color="000000" w:fill="D9D9D9"/>
            <w:noWrap/>
            <w:hideMark/>
          </w:tcPr>
          <w:p w14:paraId="5360B31E"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5.43 5.29</w:t>
            </w:r>
          </w:p>
        </w:tc>
      </w:tr>
      <w:tr w:rsidR="00987CB1" w:rsidRPr="00987CB1" w14:paraId="27FC279F" w14:textId="77777777" w:rsidTr="009C5A3D">
        <w:trPr>
          <w:trHeight w:val="423"/>
        </w:trPr>
        <w:tc>
          <w:tcPr>
            <w:tcW w:w="7513" w:type="dxa"/>
            <w:tcBorders>
              <w:top w:val="nil"/>
              <w:left w:val="single" w:sz="4" w:space="0" w:color="auto"/>
              <w:bottom w:val="single" w:sz="4" w:space="0" w:color="auto"/>
              <w:right w:val="single" w:sz="4" w:space="0" w:color="auto"/>
            </w:tcBorders>
            <w:shd w:val="clear" w:color="000000" w:fill="D9D9D9"/>
            <w:hideMark/>
          </w:tcPr>
          <w:p w14:paraId="6E8DA551" w14:textId="77777777" w:rsidR="005F6839" w:rsidRPr="00F525BB" w:rsidRDefault="005F6839" w:rsidP="009C5A3D">
            <w:pPr>
              <w:spacing w:after="0" w:line="240" w:lineRule="auto"/>
              <w:jc w:val="left"/>
              <w:rPr>
                <w:rFonts w:eastAsia="Times New Roman" w:cs="Arial"/>
                <w:strike/>
                <w:sz w:val="22"/>
                <w:lang w:eastAsia="en-GB"/>
              </w:rPr>
            </w:pPr>
            <w:r w:rsidRPr="00F525BB">
              <w:rPr>
                <w:rFonts w:eastAsia="Times New Roman" w:cs="Arial"/>
                <w:strike/>
                <w:sz w:val="22"/>
                <w:lang w:eastAsia="en-GB"/>
              </w:rPr>
              <w:t>Oversupply (+) or undersupply (-) of deliverable dwellings</w:t>
            </w:r>
          </w:p>
        </w:tc>
        <w:tc>
          <w:tcPr>
            <w:tcW w:w="1417" w:type="dxa"/>
            <w:tcBorders>
              <w:top w:val="nil"/>
              <w:left w:val="nil"/>
              <w:bottom w:val="single" w:sz="4" w:space="0" w:color="auto"/>
              <w:right w:val="single" w:sz="4" w:space="0" w:color="auto"/>
            </w:tcBorders>
            <w:shd w:val="clear" w:color="000000" w:fill="D9D9D9"/>
            <w:noWrap/>
            <w:hideMark/>
          </w:tcPr>
          <w:p w14:paraId="4B0C0A83" w14:textId="77777777" w:rsidR="005F6839" w:rsidRPr="00F525BB" w:rsidRDefault="005F6839" w:rsidP="009C5A3D">
            <w:pPr>
              <w:spacing w:after="0" w:line="240" w:lineRule="auto"/>
              <w:jc w:val="right"/>
              <w:rPr>
                <w:rFonts w:eastAsia="Times New Roman" w:cs="Arial"/>
                <w:b/>
                <w:bCs/>
                <w:strike/>
                <w:sz w:val="22"/>
                <w:lang w:eastAsia="en-GB"/>
              </w:rPr>
            </w:pPr>
            <w:r w:rsidRPr="00F525BB">
              <w:rPr>
                <w:rFonts w:eastAsia="Times New Roman" w:cs="Arial"/>
                <w:b/>
                <w:bCs/>
                <w:strike/>
                <w:sz w:val="22"/>
                <w:lang w:eastAsia="en-GB"/>
              </w:rPr>
              <w:t>+229 155</w:t>
            </w:r>
          </w:p>
        </w:tc>
      </w:tr>
    </w:tbl>
    <w:p w14:paraId="434CEF4A" w14:textId="77777777" w:rsidR="00987CB1" w:rsidRDefault="00987CB1" w:rsidP="000C09F3">
      <w:pPr>
        <w:rPr>
          <w:rFonts w:cs="Arial"/>
          <w:b/>
          <w:bCs/>
          <w:i/>
          <w:iCs/>
          <w:szCs w:val="24"/>
        </w:rPr>
      </w:pPr>
    </w:p>
    <w:p w14:paraId="7480AB72" w14:textId="3ED41B5D" w:rsidR="00987CB1" w:rsidRPr="009E7225" w:rsidRDefault="00987CB1" w:rsidP="009E7225">
      <w:pPr>
        <w:ind w:left="720" w:hanging="720"/>
        <w:jc w:val="left"/>
        <w:rPr>
          <w:color w:val="7030A0"/>
        </w:rPr>
      </w:pPr>
      <w:r w:rsidRPr="009E7225">
        <w:rPr>
          <w:color w:val="7030A0"/>
        </w:rPr>
        <w:t>9.7.1</w:t>
      </w:r>
      <w:r w:rsidRPr="009E7225">
        <w:rPr>
          <w:color w:val="7030A0"/>
        </w:rPr>
        <w:tab/>
        <w:t xml:space="preserve">The </w:t>
      </w:r>
      <w:r w:rsidR="00C7183B" w:rsidRPr="009E7225">
        <w:rPr>
          <w:color w:val="7030A0"/>
        </w:rPr>
        <w:t>five-year</w:t>
      </w:r>
      <w:r w:rsidRPr="009E7225">
        <w:rPr>
          <w:color w:val="7030A0"/>
        </w:rPr>
        <w:t xml:space="preserve"> land requirement following adoption is calculated to be 2</w:t>
      </w:r>
      <w:r w:rsidR="00CA3CD6">
        <w:rPr>
          <w:color w:val="7030A0"/>
        </w:rPr>
        <w:t>342</w:t>
      </w:r>
      <w:r w:rsidRPr="009E7225">
        <w:rPr>
          <w:color w:val="7030A0"/>
        </w:rPr>
        <w:t xml:space="preserve"> dwellings (446 x 5 = 2230 plus 5%).  The latest Housing Delivery Test results were published in December 2024 and indicate an improving picture for Ashfield at 86%. </w:t>
      </w:r>
      <w:proofErr w:type="gramStart"/>
      <w:r w:rsidRPr="009E7225">
        <w:rPr>
          <w:color w:val="7030A0"/>
        </w:rPr>
        <w:t>As a consequence</w:t>
      </w:r>
      <w:proofErr w:type="gramEnd"/>
      <w:r w:rsidRPr="009E7225">
        <w:rPr>
          <w:color w:val="7030A0"/>
        </w:rPr>
        <w:t xml:space="preserve">, the NPPF requirement to apply a 20% buffer in the 5 Year Housing Land Supply (moved forward from later in the Plan period) no longer applies and instead reverts to the standard 5% buffer. </w:t>
      </w:r>
    </w:p>
    <w:p w14:paraId="073E3239" w14:textId="44265D55" w:rsidR="00987CB1" w:rsidRPr="009E7225" w:rsidRDefault="00987CB1" w:rsidP="00987CB1">
      <w:pPr>
        <w:ind w:left="720" w:hanging="720"/>
        <w:jc w:val="left"/>
        <w:rPr>
          <w:color w:val="7030A0"/>
        </w:rPr>
      </w:pPr>
      <w:r w:rsidRPr="009E7225">
        <w:rPr>
          <w:color w:val="7030A0"/>
        </w:rPr>
        <w:t xml:space="preserve"> </w:t>
      </w:r>
      <w:r w:rsidR="009E7225" w:rsidRPr="009E7225">
        <w:rPr>
          <w:color w:val="7030A0"/>
        </w:rPr>
        <w:t>9.7.2</w:t>
      </w:r>
      <w:r w:rsidRPr="009E7225">
        <w:rPr>
          <w:color w:val="7030A0"/>
        </w:rPr>
        <w:tab/>
        <w:t>Notably, the Housing Land Monitoring Report 2025 [ADC.13] illustrates that there was no under delivery for the period 2023-2025 (previously assumed based on trajectory estimates).</w:t>
      </w:r>
      <w:r w:rsidR="009E7225" w:rsidRPr="009E7225">
        <w:rPr>
          <w:color w:val="7030A0"/>
        </w:rPr>
        <w:t xml:space="preserve"> The latest trajectory [ADC.20] also estimates no under delivery for the forthcoming accounting period of 2025/26.</w:t>
      </w:r>
    </w:p>
    <w:p w14:paraId="53028D81" w14:textId="77777777" w:rsidR="00C80BB9" w:rsidRPr="007C6C7B" w:rsidRDefault="00C80BB9" w:rsidP="000C09F3">
      <w:pPr>
        <w:rPr>
          <w:rFonts w:cs="Arial"/>
          <w:b/>
          <w:bCs/>
          <w:i/>
          <w:iCs/>
          <w:szCs w:val="24"/>
        </w:rPr>
      </w:pPr>
    </w:p>
    <w:p w14:paraId="417C53D6" w14:textId="2E37E38F" w:rsidR="000664F9" w:rsidRPr="007C6C7B" w:rsidRDefault="000C09F3" w:rsidP="00132ACC">
      <w:pPr>
        <w:pStyle w:val="Heading4"/>
        <w:numPr>
          <w:ilvl w:val="1"/>
          <w:numId w:val="31"/>
        </w:numPr>
        <w:rPr>
          <w:rFonts w:cs="Arial"/>
          <w:b w:val="0"/>
          <w:bCs/>
          <w:i w:val="0"/>
          <w:iCs w:val="0"/>
        </w:rPr>
      </w:pPr>
      <w:r w:rsidRPr="007C6C7B">
        <w:rPr>
          <w:rFonts w:cs="Arial"/>
          <w:bCs/>
        </w:rPr>
        <w:t xml:space="preserve"> What is the estimated total supply of specific deliverable sites for this period?</w:t>
      </w:r>
    </w:p>
    <w:p w14:paraId="71E3B7A7" w14:textId="77777777" w:rsidR="00D065CB" w:rsidRDefault="00D065CB" w:rsidP="00F7430A">
      <w:pPr>
        <w:jc w:val="left"/>
        <w:rPr>
          <w:u w:val="single"/>
        </w:rPr>
      </w:pPr>
    </w:p>
    <w:p w14:paraId="28914D51" w14:textId="54607F55" w:rsidR="00F7430A" w:rsidRPr="0076350C" w:rsidRDefault="00F7430A" w:rsidP="00F7430A">
      <w:pPr>
        <w:jc w:val="left"/>
      </w:pPr>
      <w:r w:rsidRPr="0076350C">
        <w:t>Council’s response</w:t>
      </w:r>
      <w:r w:rsidR="0076350C" w:rsidRPr="0076350C">
        <w:t>:</w:t>
      </w:r>
    </w:p>
    <w:p w14:paraId="167610D3" w14:textId="4CC067B7" w:rsidR="000C09F3" w:rsidRPr="006625CE" w:rsidRDefault="009E7225" w:rsidP="00132ACC">
      <w:pPr>
        <w:pStyle w:val="ListParagraph"/>
        <w:numPr>
          <w:ilvl w:val="2"/>
          <w:numId w:val="31"/>
        </w:numPr>
        <w:jc w:val="left"/>
        <w:rPr>
          <w:rFonts w:cs="Arial"/>
          <w:szCs w:val="24"/>
        </w:rPr>
      </w:pPr>
      <w:bookmarkStart w:id="9" w:name="_Hlk183706969"/>
      <w:r w:rsidRPr="006625CE">
        <w:rPr>
          <w:rFonts w:cs="Arial"/>
          <w:color w:val="7030A0"/>
          <w:szCs w:val="24"/>
        </w:rPr>
        <w:t>The following table has been updated using the latest trajectory information as set out in ADC.20</w:t>
      </w:r>
      <w:r w:rsidR="00C7183B">
        <w:rPr>
          <w:rFonts w:cs="Arial"/>
          <w:color w:val="7030A0"/>
          <w:szCs w:val="24"/>
        </w:rPr>
        <w:t xml:space="preserve"> (page 12)</w:t>
      </w:r>
      <w:r w:rsidRPr="006625CE">
        <w:rPr>
          <w:rFonts w:cs="Arial"/>
          <w:color w:val="7030A0"/>
          <w:szCs w:val="24"/>
        </w:rPr>
        <w:t>. Assuming an adoption date of 2026</w:t>
      </w:r>
      <w:r w:rsidRPr="006625CE">
        <w:rPr>
          <w:rFonts w:cs="Arial"/>
          <w:szCs w:val="24"/>
        </w:rPr>
        <w:t>, t</w:t>
      </w:r>
      <w:r w:rsidR="007B0703" w:rsidRPr="006625CE">
        <w:rPr>
          <w:rFonts w:cs="Arial"/>
          <w:szCs w:val="24"/>
        </w:rPr>
        <w:t xml:space="preserve">he </w:t>
      </w:r>
      <w:r w:rsidR="00D50205" w:rsidRPr="006625CE">
        <w:rPr>
          <w:rFonts w:cs="Arial"/>
          <w:szCs w:val="24"/>
        </w:rPr>
        <w:t>total</w:t>
      </w:r>
      <w:r w:rsidR="006D3D5B" w:rsidRPr="006625CE">
        <w:rPr>
          <w:rFonts w:cs="Arial"/>
          <w:szCs w:val="24"/>
        </w:rPr>
        <w:t xml:space="preserve"> </w:t>
      </w:r>
      <w:r w:rsidR="007B0703" w:rsidRPr="006625CE">
        <w:rPr>
          <w:rFonts w:cs="Arial"/>
          <w:szCs w:val="24"/>
        </w:rPr>
        <w:t>estimated supply f</w:t>
      </w:r>
      <w:r w:rsidR="00D50205" w:rsidRPr="006625CE">
        <w:rPr>
          <w:rFonts w:cs="Arial"/>
          <w:szCs w:val="24"/>
        </w:rPr>
        <w:t>rom</w:t>
      </w:r>
      <w:r w:rsidR="007B0703" w:rsidRPr="006625CE">
        <w:rPr>
          <w:rFonts w:cs="Arial"/>
          <w:szCs w:val="24"/>
        </w:rPr>
        <w:t xml:space="preserve"> </w:t>
      </w:r>
      <w:r w:rsidR="00D50205" w:rsidRPr="006625CE">
        <w:rPr>
          <w:rFonts w:cs="Arial"/>
          <w:szCs w:val="24"/>
        </w:rPr>
        <w:t xml:space="preserve">specific </w:t>
      </w:r>
      <w:r w:rsidR="007B0703" w:rsidRPr="006625CE">
        <w:rPr>
          <w:rFonts w:cs="Arial"/>
          <w:szCs w:val="24"/>
        </w:rPr>
        <w:t xml:space="preserve">deliverable sites is </w:t>
      </w:r>
      <w:r w:rsidR="007B0703" w:rsidRPr="006625CE">
        <w:rPr>
          <w:rFonts w:cs="Arial"/>
          <w:strike/>
          <w:szCs w:val="24"/>
        </w:rPr>
        <w:t>2</w:t>
      </w:r>
      <w:r w:rsidR="00D50205" w:rsidRPr="006625CE">
        <w:rPr>
          <w:rFonts w:cs="Arial"/>
          <w:strike/>
          <w:szCs w:val="24"/>
        </w:rPr>
        <w:t>700</w:t>
      </w:r>
      <w:r w:rsidR="007B0703" w:rsidRPr="006625CE">
        <w:rPr>
          <w:rFonts w:cs="Arial"/>
          <w:szCs w:val="24"/>
        </w:rPr>
        <w:t xml:space="preserve"> </w:t>
      </w:r>
      <w:r w:rsidRPr="006625CE">
        <w:rPr>
          <w:rFonts w:cs="Arial"/>
          <w:color w:val="7030A0"/>
          <w:szCs w:val="24"/>
        </w:rPr>
        <w:t>2589</w:t>
      </w:r>
      <w:r w:rsidRPr="006625CE">
        <w:rPr>
          <w:rFonts w:cs="Arial"/>
          <w:szCs w:val="24"/>
        </w:rPr>
        <w:t xml:space="preserve"> </w:t>
      </w:r>
      <w:r w:rsidR="006D3D5B" w:rsidRPr="006625CE">
        <w:rPr>
          <w:rFonts w:cs="Arial"/>
          <w:szCs w:val="24"/>
        </w:rPr>
        <w:t>dwellings</w:t>
      </w:r>
      <w:r w:rsidRPr="006625CE">
        <w:rPr>
          <w:rFonts w:cs="Arial"/>
          <w:szCs w:val="24"/>
        </w:rPr>
        <w:t xml:space="preserve"> </w:t>
      </w:r>
      <w:r w:rsidRPr="006625CE">
        <w:rPr>
          <w:rFonts w:cs="Arial"/>
          <w:color w:val="7030A0"/>
          <w:szCs w:val="24"/>
        </w:rPr>
        <w:t>(903+1685+1 = 2589)</w:t>
      </w:r>
      <w:r w:rsidR="006D3D5B" w:rsidRPr="006625CE">
        <w:rPr>
          <w:rFonts w:cs="Arial"/>
          <w:szCs w:val="24"/>
        </w:rPr>
        <w:t xml:space="preserve">, </w:t>
      </w:r>
      <w:r w:rsidR="00D50205" w:rsidRPr="006625CE">
        <w:rPr>
          <w:rFonts w:cs="Arial"/>
          <w:szCs w:val="24"/>
        </w:rPr>
        <w:t>within the first 5 years of the Plan post adoption</w:t>
      </w:r>
      <w:r w:rsidR="006D3D5B" w:rsidRPr="006625CE">
        <w:rPr>
          <w:rFonts w:cs="Arial"/>
          <w:szCs w:val="24"/>
        </w:rPr>
        <w:t xml:space="preserve">. This is set out in the table </w:t>
      </w:r>
      <w:r w:rsidR="00C96715" w:rsidRPr="006625CE">
        <w:rPr>
          <w:rFonts w:cs="Arial"/>
          <w:szCs w:val="24"/>
        </w:rPr>
        <w:t>below</w:t>
      </w:r>
      <w:r w:rsidR="00D50205" w:rsidRPr="006625CE">
        <w:rPr>
          <w:rFonts w:cs="Arial"/>
          <w:szCs w:val="24"/>
        </w:rPr>
        <w:t>, which also includes an estimated discounted rate for potential non-delivery, and an allowance for small site windfalls beyond 202</w:t>
      </w:r>
      <w:r w:rsidR="00D50205" w:rsidRPr="006625CE">
        <w:rPr>
          <w:rFonts w:cs="Arial"/>
          <w:strike/>
          <w:szCs w:val="24"/>
        </w:rPr>
        <w:t>7</w:t>
      </w:r>
      <w:r w:rsidRPr="006625CE">
        <w:rPr>
          <w:rFonts w:cs="Arial"/>
          <w:szCs w:val="24"/>
        </w:rPr>
        <w:t xml:space="preserve"> </w:t>
      </w:r>
      <w:r w:rsidRPr="006625CE">
        <w:rPr>
          <w:rFonts w:cs="Arial"/>
          <w:color w:val="7030A0"/>
          <w:szCs w:val="24"/>
        </w:rPr>
        <w:t>8</w:t>
      </w:r>
      <w:r w:rsidR="00D50205" w:rsidRPr="006625CE">
        <w:rPr>
          <w:rFonts w:cs="Arial"/>
          <w:szCs w:val="24"/>
        </w:rPr>
        <w:t>.</w:t>
      </w:r>
      <w:r w:rsidR="00C214FC" w:rsidRPr="006625CE">
        <w:rPr>
          <w:rFonts w:cs="Arial"/>
          <w:szCs w:val="24"/>
        </w:rPr>
        <w:t xml:space="preserve"> </w:t>
      </w:r>
    </w:p>
    <w:p w14:paraId="217CF441" w14:textId="77777777" w:rsidR="006625CE" w:rsidRDefault="006625CE" w:rsidP="006625CE">
      <w:pPr>
        <w:pStyle w:val="ListParagraph"/>
        <w:ind w:left="530"/>
        <w:jc w:val="left"/>
        <w:rPr>
          <w:rFonts w:cs="Arial"/>
          <w:color w:val="0070C0"/>
          <w:szCs w:val="24"/>
        </w:rPr>
      </w:pPr>
    </w:p>
    <w:p w14:paraId="577C8B8C" w14:textId="1E6465CF" w:rsidR="006625CE" w:rsidRPr="006625CE" w:rsidRDefault="006625CE" w:rsidP="006625CE">
      <w:pPr>
        <w:pStyle w:val="ListParagraph"/>
        <w:ind w:left="530" w:firstLine="190"/>
        <w:jc w:val="left"/>
        <w:rPr>
          <w:rFonts w:cs="Arial"/>
          <w:b/>
          <w:bCs/>
          <w:color w:val="7030A0"/>
          <w:szCs w:val="24"/>
        </w:rPr>
      </w:pPr>
      <w:r w:rsidRPr="006625CE">
        <w:rPr>
          <w:rFonts w:cs="Arial"/>
          <w:b/>
          <w:bCs/>
          <w:color w:val="7030A0"/>
          <w:szCs w:val="24"/>
        </w:rPr>
        <w:t>Five Year housing Land Supply post Adoption</w:t>
      </w:r>
    </w:p>
    <w:tbl>
      <w:tblPr>
        <w:tblW w:w="8647" w:type="dxa"/>
        <w:tblInd w:w="704" w:type="dxa"/>
        <w:tblLook w:val="04A0" w:firstRow="1" w:lastRow="0" w:firstColumn="1" w:lastColumn="0" w:noHBand="0" w:noVBand="1"/>
      </w:tblPr>
      <w:tblGrid>
        <w:gridCol w:w="6946"/>
        <w:gridCol w:w="1701"/>
      </w:tblGrid>
      <w:tr w:rsidR="006625CE" w:rsidRPr="006625CE" w14:paraId="7025744E" w14:textId="77777777" w:rsidTr="009E7225">
        <w:trPr>
          <w:trHeight w:val="493"/>
        </w:trPr>
        <w:tc>
          <w:tcPr>
            <w:tcW w:w="6946" w:type="dxa"/>
            <w:tcBorders>
              <w:top w:val="single" w:sz="4" w:space="0" w:color="auto"/>
              <w:left w:val="single" w:sz="4" w:space="0" w:color="auto"/>
              <w:bottom w:val="single" w:sz="4" w:space="0" w:color="auto"/>
              <w:right w:val="single" w:sz="4" w:space="0" w:color="auto"/>
            </w:tcBorders>
            <w:shd w:val="clear" w:color="000000" w:fill="DDEBF7"/>
            <w:hideMark/>
          </w:tcPr>
          <w:bookmarkEnd w:id="9"/>
          <w:p w14:paraId="36FA59E8" w14:textId="77777777" w:rsidR="00C96715" w:rsidRPr="00C96715" w:rsidRDefault="00C96715" w:rsidP="00C96715">
            <w:pPr>
              <w:spacing w:after="0" w:line="240" w:lineRule="auto"/>
              <w:jc w:val="left"/>
              <w:rPr>
                <w:rFonts w:eastAsia="Times New Roman" w:cs="Arial"/>
                <w:b/>
                <w:bCs/>
                <w:color w:val="7030A0"/>
                <w:sz w:val="22"/>
                <w:lang w:eastAsia="en-GB"/>
              </w:rPr>
            </w:pPr>
            <w:r w:rsidRPr="00C96715">
              <w:rPr>
                <w:rFonts w:eastAsia="Times New Roman" w:cs="Arial"/>
                <w:b/>
                <w:bCs/>
                <w:color w:val="7030A0"/>
                <w:sz w:val="22"/>
                <w:lang w:eastAsia="en-GB"/>
              </w:rPr>
              <w:t>Five Year Housing Requirement</w:t>
            </w:r>
          </w:p>
        </w:tc>
        <w:tc>
          <w:tcPr>
            <w:tcW w:w="1701" w:type="dxa"/>
            <w:tcBorders>
              <w:top w:val="single" w:sz="4" w:space="0" w:color="auto"/>
              <w:left w:val="nil"/>
              <w:bottom w:val="single" w:sz="4" w:space="0" w:color="auto"/>
              <w:right w:val="single" w:sz="4" w:space="0" w:color="auto"/>
            </w:tcBorders>
            <w:shd w:val="clear" w:color="000000" w:fill="DDEBF7"/>
            <w:noWrap/>
            <w:hideMark/>
          </w:tcPr>
          <w:p w14:paraId="3D57E628"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Dwellings</w:t>
            </w:r>
          </w:p>
        </w:tc>
      </w:tr>
      <w:tr w:rsidR="006625CE" w:rsidRPr="00C96715" w14:paraId="78A1B92B"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DEBF7"/>
            <w:hideMark/>
          </w:tcPr>
          <w:p w14:paraId="67EBC420" w14:textId="1CBAB931"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Local Housing Need @ 446 dpa x 5 years</w:t>
            </w:r>
          </w:p>
        </w:tc>
        <w:tc>
          <w:tcPr>
            <w:tcW w:w="1701" w:type="dxa"/>
            <w:tcBorders>
              <w:top w:val="nil"/>
              <w:left w:val="nil"/>
              <w:bottom w:val="single" w:sz="4" w:space="0" w:color="auto"/>
              <w:right w:val="single" w:sz="4" w:space="0" w:color="auto"/>
            </w:tcBorders>
            <w:shd w:val="clear" w:color="000000" w:fill="DDEBF7"/>
            <w:noWrap/>
            <w:hideMark/>
          </w:tcPr>
          <w:p w14:paraId="5AD00020"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2230</w:t>
            </w:r>
          </w:p>
        </w:tc>
      </w:tr>
      <w:tr w:rsidR="006625CE" w:rsidRPr="00C96715" w14:paraId="5318B432"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DEBF7"/>
            <w:hideMark/>
          </w:tcPr>
          <w:p w14:paraId="6F4995E3"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Add 5% buffer</w:t>
            </w:r>
          </w:p>
        </w:tc>
        <w:tc>
          <w:tcPr>
            <w:tcW w:w="1701" w:type="dxa"/>
            <w:tcBorders>
              <w:top w:val="nil"/>
              <w:left w:val="nil"/>
              <w:bottom w:val="single" w:sz="4" w:space="0" w:color="auto"/>
              <w:right w:val="single" w:sz="4" w:space="0" w:color="auto"/>
            </w:tcBorders>
            <w:shd w:val="clear" w:color="000000" w:fill="DDEBF7"/>
            <w:noWrap/>
            <w:hideMark/>
          </w:tcPr>
          <w:p w14:paraId="75081BA0"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112</w:t>
            </w:r>
          </w:p>
        </w:tc>
      </w:tr>
      <w:tr w:rsidR="006625CE" w:rsidRPr="00C96715" w14:paraId="7F64DAF3"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DEBF7"/>
            <w:hideMark/>
          </w:tcPr>
          <w:p w14:paraId="75C5D1BB"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Under delivery year 2023 to 2026</w:t>
            </w:r>
          </w:p>
        </w:tc>
        <w:tc>
          <w:tcPr>
            <w:tcW w:w="1701" w:type="dxa"/>
            <w:tcBorders>
              <w:top w:val="nil"/>
              <w:left w:val="nil"/>
              <w:bottom w:val="single" w:sz="4" w:space="0" w:color="auto"/>
              <w:right w:val="single" w:sz="4" w:space="0" w:color="auto"/>
            </w:tcBorders>
            <w:shd w:val="clear" w:color="000000" w:fill="DDEBF7"/>
            <w:noWrap/>
            <w:hideMark/>
          </w:tcPr>
          <w:p w14:paraId="410BDE88"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0</w:t>
            </w:r>
          </w:p>
        </w:tc>
      </w:tr>
      <w:tr w:rsidR="006625CE" w:rsidRPr="00C96715" w14:paraId="2907488B"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DEBF7"/>
            <w:hideMark/>
          </w:tcPr>
          <w:p w14:paraId="5B308A6C" w14:textId="77777777" w:rsidR="00C96715" w:rsidRPr="00C96715" w:rsidRDefault="00C96715" w:rsidP="00C96715">
            <w:pPr>
              <w:spacing w:after="0" w:line="240" w:lineRule="auto"/>
              <w:jc w:val="left"/>
              <w:rPr>
                <w:rFonts w:eastAsia="Times New Roman" w:cs="Arial"/>
                <w:b/>
                <w:bCs/>
                <w:color w:val="7030A0"/>
                <w:sz w:val="22"/>
                <w:lang w:eastAsia="en-GB"/>
              </w:rPr>
            </w:pPr>
            <w:r w:rsidRPr="00C96715">
              <w:rPr>
                <w:rFonts w:eastAsia="Times New Roman" w:cs="Arial"/>
                <w:b/>
                <w:bCs/>
                <w:color w:val="7030A0"/>
                <w:sz w:val="22"/>
                <w:lang w:eastAsia="en-GB"/>
              </w:rPr>
              <w:t>Total 5 year requirement including buffer</w:t>
            </w:r>
          </w:p>
        </w:tc>
        <w:tc>
          <w:tcPr>
            <w:tcW w:w="1701" w:type="dxa"/>
            <w:tcBorders>
              <w:top w:val="nil"/>
              <w:left w:val="nil"/>
              <w:bottom w:val="single" w:sz="4" w:space="0" w:color="auto"/>
              <w:right w:val="single" w:sz="4" w:space="0" w:color="auto"/>
            </w:tcBorders>
            <w:shd w:val="clear" w:color="000000" w:fill="DDEBF7"/>
            <w:noWrap/>
            <w:hideMark/>
          </w:tcPr>
          <w:p w14:paraId="703B2BAC"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2342</w:t>
            </w:r>
          </w:p>
        </w:tc>
      </w:tr>
      <w:tr w:rsidR="006625CE" w:rsidRPr="00C96715" w14:paraId="546AACF1" w14:textId="77777777" w:rsidTr="009E7225">
        <w:trPr>
          <w:trHeight w:val="357"/>
        </w:trPr>
        <w:tc>
          <w:tcPr>
            <w:tcW w:w="6946" w:type="dxa"/>
            <w:tcBorders>
              <w:top w:val="nil"/>
              <w:left w:val="single" w:sz="4" w:space="0" w:color="auto"/>
              <w:bottom w:val="single" w:sz="4" w:space="0" w:color="auto"/>
              <w:right w:val="single" w:sz="4" w:space="0" w:color="auto"/>
            </w:tcBorders>
            <w:shd w:val="clear" w:color="000000" w:fill="DDEBF7"/>
            <w:hideMark/>
          </w:tcPr>
          <w:p w14:paraId="1776B512" w14:textId="77777777" w:rsidR="00C96715" w:rsidRPr="00C96715" w:rsidRDefault="00C96715" w:rsidP="00C96715">
            <w:pPr>
              <w:spacing w:after="0" w:line="240" w:lineRule="auto"/>
              <w:jc w:val="left"/>
              <w:rPr>
                <w:rFonts w:eastAsia="Times New Roman" w:cs="Arial"/>
                <w:b/>
                <w:bCs/>
                <w:color w:val="7030A0"/>
                <w:sz w:val="22"/>
                <w:lang w:eastAsia="en-GB"/>
              </w:rPr>
            </w:pPr>
            <w:r w:rsidRPr="00C96715">
              <w:rPr>
                <w:rFonts w:eastAsia="Times New Roman" w:cs="Arial"/>
                <w:b/>
                <w:bCs/>
                <w:color w:val="7030A0"/>
                <w:sz w:val="22"/>
                <w:lang w:eastAsia="en-GB"/>
              </w:rPr>
              <w:t>Annual requirement including buffer</w:t>
            </w:r>
          </w:p>
        </w:tc>
        <w:tc>
          <w:tcPr>
            <w:tcW w:w="1701" w:type="dxa"/>
            <w:tcBorders>
              <w:top w:val="nil"/>
              <w:left w:val="nil"/>
              <w:bottom w:val="single" w:sz="4" w:space="0" w:color="auto"/>
              <w:right w:val="single" w:sz="4" w:space="0" w:color="auto"/>
            </w:tcBorders>
            <w:shd w:val="clear" w:color="000000" w:fill="DDEBF7"/>
            <w:noWrap/>
            <w:hideMark/>
          </w:tcPr>
          <w:p w14:paraId="400D2C56"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468</w:t>
            </w:r>
          </w:p>
        </w:tc>
      </w:tr>
      <w:tr w:rsidR="006625CE" w:rsidRPr="00C96715" w14:paraId="4EDF8029" w14:textId="77777777" w:rsidTr="009E7225">
        <w:trPr>
          <w:trHeight w:val="433"/>
        </w:trPr>
        <w:tc>
          <w:tcPr>
            <w:tcW w:w="6946" w:type="dxa"/>
            <w:tcBorders>
              <w:top w:val="nil"/>
              <w:left w:val="single" w:sz="4" w:space="0" w:color="auto"/>
              <w:bottom w:val="single" w:sz="4" w:space="0" w:color="auto"/>
              <w:right w:val="single" w:sz="4" w:space="0" w:color="auto"/>
            </w:tcBorders>
            <w:shd w:val="clear" w:color="000000" w:fill="BDD7EE"/>
            <w:hideMark/>
          </w:tcPr>
          <w:p w14:paraId="1B798141" w14:textId="77777777" w:rsidR="00C96715" w:rsidRPr="00C96715" w:rsidRDefault="00C96715" w:rsidP="00C96715">
            <w:pPr>
              <w:spacing w:after="0" w:line="240" w:lineRule="auto"/>
              <w:jc w:val="left"/>
              <w:rPr>
                <w:rFonts w:eastAsia="Times New Roman" w:cs="Arial"/>
                <w:b/>
                <w:bCs/>
                <w:color w:val="7030A0"/>
                <w:sz w:val="22"/>
                <w:lang w:eastAsia="en-GB"/>
              </w:rPr>
            </w:pPr>
            <w:r w:rsidRPr="00C96715">
              <w:rPr>
                <w:rFonts w:eastAsia="Times New Roman" w:cs="Arial"/>
                <w:b/>
                <w:bCs/>
                <w:color w:val="7030A0"/>
                <w:sz w:val="22"/>
                <w:lang w:eastAsia="en-GB"/>
              </w:rPr>
              <w:t>Supply at April 2026</w:t>
            </w:r>
          </w:p>
        </w:tc>
        <w:tc>
          <w:tcPr>
            <w:tcW w:w="1701" w:type="dxa"/>
            <w:tcBorders>
              <w:top w:val="nil"/>
              <w:left w:val="nil"/>
              <w:bottom w:val="single" w:sz="4" w:space="0" w:color="auto"/>
              <w:right w:val="single" w:sz="4" w:space="0" w:color="auto"/>
            </w:tcBorders>
            <w:shd w:val="clear" w:color="000000" w:fill="BDD7EE"/>
            <w:noWrap/>
            <w:hideMark/>
          </w:tcPr>
          <w:p w14:paraId="1F605D14"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Dwellings</w:t>
            </w:r>
          </w:p>
        </w:tc>
      </w:tr>
      <w:tr w:rsidR="006625CE" w:rsidRPr="00C96715" w14:paraId="21679247"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BDD7EE"/>
            <w:hideMark/>
          </w:tcPr>
          <w:p w14:paraId="6F449210"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Supply from large sites without planning permission</w:t>
            </w:r>
          </w:p>
        </w:tc>
        <w:tc>
          <w:tcPr>
            <w:tcW w:w="1701" w:type="dxa"/>
            <w:tcBorders>
              <w:top w:val="nil"/>
              <w:left w:val="nil"/>
              <w:bottom w:val="single" w:sz="4" w:space="0" w:color="auto"/>
              <w:right w:val="single" w:sz="4" w:space="0" w:color="auto"/>
            </w:tcBorders>
            <w:shd w:val="clear" w:color="000000" w:fill="BDD7EE"/>
            <w:noWrap/>
            <w:hideMark/>
          </w:tcPr>
          <w:p w14:paraId="34A4629B"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903</w:t>
            </w:r>
          </w:p>
        </w:tc>
      </w:tr>
      <w:tr w:rsidR="006625CE" w:rsidRPr="00C96715" w14:paraId="03AEC6EB"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BDD7EE"/>
            <w:hideMark/>
          </w:tcPr>
          <w:p w14:paraId="1D636997" w14:textId="65FC00D0"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Planning permissions deliverable within 5 years (202</w:t>
            </w:r>
            <w:r w:rsidR="00130179">
              <w:rPr>
                <w:rFonts w:eastAsia="Times New Roman" w:cs="Arial"/>
                <w:color w:val="7030A0"/>
                <w:sz w:val="22"/>
                <w:lang w:eastAsia="en-GB"/>
              </w:rPr>
              <w:t>6</w:t>
            </w:r>
            <w:r w:rsidRPr="00C96715">
              <w:rPr>
                <w:rFonts w:eastAsia="Times New Roman" w:cs="Arial"/>
                <w:color w:val="7030A0"/>
                <w:sz w:val="22"/>
                <w:lang w:eastAsia="en-GB"/>
              </w:rPr>
              <w:t>-203</w:t>
            </w:r>
            <w:r w:rsidR="00130179">
              <w:rPr>
                <w:rFonts w:eastAsia="Times New Roman" w:cs="Arial"/>
                <w:color w:val="7030A0"/>
                <w:sz w:val="22"/>
                <w:lang w:eastAsia="en-GB"/>
              </w:rPr>
              <w:t>1</w:t>
            </w:r>
            <w:r w:rsidRPr="00C96715">
              <w:rPr>
                <w:rFonts w:eastAsia="Times New Roman" w:cs="Arial"/>
                <w:color w:val="7030A0"/>
                <w:sz w:val="22"/>
                <w:lang w:eastAsia="en-GB"/>
              </w:rPr>
              <w:t>)</w:t>
            </w:r>
          </w:p>
        </w:tc>
        <w:tc>
          <w:tcPr>
            <w:tcW w:w="1701" w:type="dxa"/>
            <w:tcBorders>
              <w:top w:val="nil"/>
              <w:left w:val="nil"/>
              <w:bottom w:val="single" w:sz="4" w:space="0" w:color="auto"/>
              <w:right w:val="single" w:sz="4" w:space="0" w:color="auto"/>
            </w:tcBorders>
            <w:shd w:val="clear" w:color="000000" w:fill="BDD7EE"/>
            <w:noWrap/>
            <w:hideMark/>
          </w:tcPr>
          <w:p w14:paraId="09D67763"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1685</w:t>
            </w:r>
          </w:p>
        </w:tc>
      </w:tr>
      <w:tr w:rsidR="006625CE" w:rsidRPr="00C96715" w14:paraId="1408B080" w14:textId="77777777" w:rsidTr="009E7225">
        <w:trPr>
          <w:trHeight w:val="330"/>
        </w:trPr>
        <w:tc>
          <w:tcPr>
            <w:tcW w:w="6946" w:type="dxa"/>
            <w:tcBorders>
              <w:top w:val="nil"/>
              <w:left w:val="single" w:sz="4" w:space="0" w:color="auto"/>
              <w:bottom w:val="single" w:sz="4" w:space="0" w:color="auto"/>
              <w:right w:val="single" w:sz="4" w:space="0" w:color="auto"/>
            </w:tcBorders>
            <w:shd w:val="clear" w:color="000000" w:fill="BDD7EE"/>
            <w:hideMark/>
          </w:tcPr>
          <w:p w14:paraId="6311D074"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Discount applied to permissions based on historic lapse rate</w:t>
            </w:r>
          </w:p>
        </w:tc>
        <w:tc>
          <w:tcPr>
            <w:tcW w:w="1701" w:type="dxa"/>
            <w:tcBorders>
              <w:top w:val="nil"/>
              <w:left w:val="nil"/>
              <w:bottom w:val="single" w:sz="4" w:space="0" w:color="auto"/>
              <w:right w:val="single" w:sz="4" w:space="0" w:color="auto"/>
            </w:tcBorders>
            <w:shd w:val="clear" w:color="000000" w:fill="BDD7EE"/>
            <w:noWrap/>
            <w:hideMark/>
          </w:tcPr>
          <w:p w14:paraId="3D76DCFD"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-105</w:t>
            </w:r>
          </w:p>
        </w:tc>
      </w:tr>
      <w:tr w:rsidR="006625CE" w:rsidRPr="00C96715" w14:paraId="7FE1CC60"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BDD7EE"/>
            <w:hideMark/>
          </w:tcPr>
          <w:p w14:paraId="2C67E921"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Permitted Development deliverable within 5 years</w:t>
            </w:r>
          </w:p>
        </w:tc>
        <w:tc>
          <w:tcPr>
            <w:tcW w:w="1701" w:type="dxa"/>
            <w:tcBorders>
              <w:top w:val="nil"/>
              <w:left w:val="nil"/>
              <w:bottom w:val="single" w:sz="4" w:space="0" w:color="auto"/>
              <w:right w:val="single" w:sz="4" w:space="0" w:color="auto"/>
            </w:tcBorders>
            <w:shd w:val="clear" w:color="000000" w:fill="BDD7EE"/>
            <w:noWrap/>
            <w:hideMark/>
          </w:tcPr>
          <w:p w14:paraId="29676D88"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0</w:t>
            </w:r>
          </w:p>
        </w:tc>
      </w:tr>
      <w:tr w:rsidR="006625CE" w:rsidRPr="00C96715" w14:paraId="4D0A9369" w14:textId="77777777" w:rsidTr="009E7225">
        <w:trPr>
          <w:trHeight w:val="330"/>
        </w:trPr>
        <w:tc>
          <w:tcPr>
            <w:tcW w:w="6946" w:type="dxa"/>
            <w:tcBorders>
              <w:top w:val="nil"/>
              <w:left w:val="single" w:sz="4" w:space="0" w:color="auto"/>
              <w:bottom w:val="single" w:sz="4" w:space="0" w:color="auto"/>
              <w:right w:val="single" w:sz="4" w:space="0" w:color="auto"/>
            </w:tcBorders>
            <w:shd w:val="clear" w:color="000000" w:fill="BDD7EE"/>
            <w:hideMark/>
          </w:tcPr>
          <w:p w14:paraId="146A7424" w14:textId="425F5329"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Residential Institutions (C2) deliverable within 5 years</w:t>
            </w:r>
          </w:p>
        </w:tc>
        <w:tc>
          <w:tcPr>
            <w:tcW w:w="1701" w:type="dxa"/>
            <w:tcBorders>
              <w:top w:val="nil"/>
              <w:left w:val="nil"/>
              <w:bottom w:val="single" w:sz="4" w:space="0" w:color="auto"/>
              <w:right w:val="single" w:sz="4" w:space="0" w:color="auto"/>
            </w:tcBorders>
            <w:shd w:val="clear" w:color="000000" w:fill="BDD7EE"/>
            <w:noWrap/>
            <w:hideMark/>
          </w:tcPr>
          <w:p w14:paraId="52F646E5"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1</w:t>
            </w:r>
          </w:p>
        </w:tc>
      </w:tr>
      <w:tr w:rsidR="006625CE" w:rsidRPr="00C96715" w14:paraId="292CF98D"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BDD7EE"/>
            <w:hideMark/>
          </w:tcPr>
          <w:p w14:paraId="29C60347"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lastRenderedPageBreak/>
              <w:t>Small site windfall allowance (2028 to 2031)</w:t>
            </w:r>
          </w:p>
        </w:tc>
        <w:tc>
          <w:tcPr>
            <w:tcW w:w="1701" w:type="dxa"/>
            <w:tcBorders>
              <w:top w:val="nil"/>
              <w:left w:val="nil"/>
              <w:bottom w:val="single" w:sz="4" w:space="0" w:color="auto"/>
              <w:right w:val="single" w:sz="4" w:space="0" w:color="auto"/>
            </w:tcBorders>
            <w:shd w:val="clear" w:color="000000" w:fill="BDD7EE"/>
            <w:noWrap/>
            <w:hideMark/>
          </w:tcPr>
          <w:p w14:paraId="2C78965B"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273</w:t>
            </w:r>
          </w:p>
        </w:tc>
      </w:tr>
      <w:tr w:rsidR="006625CE" w:rsidRPr="00C96715" w14:paraId="20462E72" w14:textId="77777777" w:rsidTr="009E7225">
        <w:trPr>
          <w:trHeight w:val="560"/>
        </w:trPr>
        <w:tc>
          <w:tcPr>
            <w:tcW w:w="6946" w:type="dxa"/>
            <w:tcBorders>
              <w:top w:val="nil"/>
              <w:left w:val="single" w:sz="4" w:space="0" w:color="auto"/>
              <w:bottom w:val="single" w:sz="4" w:space="0" w:color="auto"/>
              <w:right w:val="single" w:sz="4" w:space="0" w:color="auto"/>
            </w:tcBorders>
            <w:shd w:val="clear" w:color="000000" w:fill="BDD7EE"/>
            <w:hideMark/>
          </w:tcPr>
          <w:p w14:paraId="3D6E5D8E" w14:textId="77777777" w:rsidR="00C96715" w:rsidRPr="00C96715" w:rsidRDefault="00C96715" w:rsidP="00C96715">
            <w:pPr>
              <w:spacing w:after="0" w:line="240" w:lineRule="auto"/>
              <w:jc w:val="left"/>
              <w:rPr>
                <w:rFonts w:eastAsia="Times New Roman" w:cs="Arial"/>
                <w:b/>
                <w:bCs/>
                <w:color w:val="7030A0"/>
                <w:sz w:val="22"/>
                <w:lang w:eastAsia="en-GB"/>
              </w:rPr>
            </w:pPr>
            <w:r w:rsidRPr="00C96715">
              <w:rPr>
                <w:rFonts w:eastAsia="Times New Roman" w:cs="Arial"/>
                <w:b/>
                <w:bCs/>
                <w:color w:val="7030A0"/>
                <w:sz w:val="22"/>
                <w:lang w:eastAsia="en-GB"/>
              </w:rPr>
              <w:t>Total amount of housing available and deliverable for the 5 year period post adoption</w:t>
            </w:r>
          </w:p>
        </w:tc>
        <w:tc>
          <w:tcPr>
            <w:tcW w:w="1701" w:type="dxa"/>
            <w:tcBorders>
              <w:top w:val="nil"/>
              <w:left w:val="nil"/>
              <w:bottom w:val="single" w:sz="4" w:space="0" w:color="auto"/>
              <w:right w:val="single" w:sz="4" w:space="0" w:color="auto"/>
            </w:tcBorders>
            <w:shd w:val="clear" w:color="000000" w:fill="BDD7EE"/>
            <w:noWrap/>
            <w:hideMark/>
          </w:tcPr>
          <w:p w14:paraId="4E07E76D"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2757</w:t>
            </w:r>
          </w:p>
        </w:tc>
      </w:tr>
      <w:tr w:rsidR="006625CE" w:rsidRPr="00C96715" w14:paraId="371AE5ED" w14:textId="77777777" w:rsidTr="009E7225">
        <w:trPr>
          <w:trHeight w:val="486"/>
        </w:trPr>
        <w:tc>
          <w:tcPr>
            <w:tcW w:w="6946" w:type="dxa"/>
            <w:tcBorders>
              <w:top w:val="nil"/>
              <w:left w:val="single" w:sz="4" w:space="0" w:color="auto"/>
              <w:bottom w:val="single" w:sz="4" w:space="0" w:color="auto"/>
              <w:right w:val="single" w:sz="4" w:space="0" w:color="auto"/>
            </w:tcBorders>
            <w:shd w:val="clear" w:color="000000" w:fill="D9D9D9"/>
            <w:hideMark/>
          </w:tcPr>
          <w:p w14:paraId="3F7089D4" w14:textId="77777777" w:rsidR="00C96715" w:rsidRPr="00C96715" w:rsidRDefault="00C96715" w:rsidP="00C96715">
            <w:pPr>
              <w:spacing w:after="0" w:line="240" w:lineRule="auto"/>
              <w:jc w:val="left"/>
              <w:rPr>
                <w:rFonts w:eastAsia="Times New Roman" w:cs="Arial"/>
                <w:b/>
                <w:bCs/>
                <w:color w:val="7030A0"/>
                <w:sz w:val="22"/>
                <w:lang w:eastAsia="en-GB"/>
              </w:rPr>
            </w:pPr>
            <w:r w:rsidRPr="00C96715">
              <w:rPr>
                <w:rFonts w:eastAsia="Times New Roman" w:cs="Arial"/>
                <w:b/>
                <w:bCs/>
                <w:color w:val="7030A0"/>
                <w:sz w:val="22"/>
                <w:lang w:eastAsia="en-GB"/>
              </w:rPr>
              <w:t>Calculation of 5 year housing land supply</w:t>
            </w:r>
          </w:p>
        </w:tc>
        <w:tc>
          <w:tcPr>
            <w:tcW w:w="1701" w:type="dxa"/>
            <w:tcBorders>
              <w:top w:val="nil"/>
              <w:left w:val="nil"/>
              <w:bottom w:val="single" w:sz="4" w:space="0" w:color="auto"/>
              <w:right w:val="single" w:sz="4" w:space="0" w:color="auto"/>
            </w:tcBorders>
            <w:shd w:val="clear" w:color="000000" w:fill="D9D9D9"/>
            <w:hideMark/>
          </w:tcPr>
          <w:p w14:paraId="5B646F9E"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Dwellings/ Years</w:t>
            </w:r>
          </w:p>
        </w:tc>
      </w:tr>
      <w:tr w:rsidR="006625CE" w:rsidRPr="00C96715" w14:paraId="22FB066D"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9D9D9"/>
            <w:hideMark/>
          </w:tcPr>
          <w:p w14:paraId="1DF393A9"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Deliverable sites for the 5 year period</w:t>
            </w:r>
          </w:p>
        </w:tc>
        <w:tc>
          <w:tcPr>
            <w:tcW w:w="1701" w:type="dxa"/>
            <w:tcBorders>
              <w:top w:val="nil"/>
              <w:left w:val="nil"/>
              <w:bottom w:val="single" w:sz="4" w:space="0" w:color="auto"/>
              <w:right w:val="single" w:sz="4" w:space="0" w:color="auto"/>
            </w:tcBorders>
            <w:shd w:val="clear" w:color="000000" w:fill="D9D9D9"/>
            <w:noWrap/>
            <w:hideMark/>
          </w:tcPr>
          <w:p w14:paraId="247476B7"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2757</w:t>
            </w:r>
          </w:p>
        </w:tc>
      </w:tr>
      <w:tr w:rsidR="006625CE" w:rsidRPr="00C96715" w14:paraId="5D1A004C"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9D9D9"/>
            <w:hideMark/>
          </w:tcPr>
          <w:p w14:paraId="13324311"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Divided by annual requirement for next 5 years</w:t>
            </w:r>
          </w:p>
        </w:tc>
        <w:tc>
          <w:tcPr>
            <w:tcW w:w="1701" w:type="dxa"/>
            <w:tcBorders>
              <w:top w:val="nil"/>
              <w:left w:val="nil"/>
              <w:bottom w:val="single" w:sz="4" w:space="0" w:color="auto"/>
              <w:right w:val="single" w:sz="4" w:space="0" w:color="auto"/>
            </w:tcBorders>
            <w:shd w:val="clear" w:color="000000" w:fill="D9D9D9"/>
            <w:noWrap/>
            <w:hideMark/>
          </w:tcPr>
          <w:p w14:paraId="0A4390E3" w14:textId="77777777" w:rsidR="00C96715" w:rsidRPr="00C96715" w:rsidRDefault="00C96715" w:rsidP="00C96715">
            <w:pPr>
              <w:spacing w:after="0" w:line="240" w:lineRule="auto"/>
              <w:jc w:val="right"/>
              <w:rPr>
                <w:rFonts w:eastAsia="Times New Roman" w:cs="Arial"/>
                <w:color w:val="7030A0"/>
                <w:sz w:val="22"/>
                <w:lang w:eastAsia="en-GB"/>
              </w:rPr>
            </w:pPr>
            <w:r w:rsidRPr="00C96715">
              <w:rPr>
                <w:rFonts w:eastAsia="Times New Roman" w:cs="Arial"/>
                <w:color w:val="7030A0"/>
                <w:sz w:val="22"/>
                <w:lang w:eastAsia="en-GB"/>
              </w:rPr>
              <w:t>468</w:t>
            </w:r>
          </w:p>
        </w:tc>
      </w:tr>
      <w:tr w:rsidR="006625CE" w:rsidRPr="00C96715" w14:paraId="051EB6A1" w14:textId="77777777" w:rsidTr="009E7225">
        <w:trPr>
          <w:trHeight w:val="280"/>
        </w:trPr>
        <w:tc>
          <w:tcPr>
            <w:tcW w:w="6946" w:type="dxa"/>
            <w:tcBorders>
              <w:top w:val="nil"/>
              <w:left w:val="single" w:sz="4" w:space="0" w:color="auto"/>
              <w:bottom w:val="single" w:sz="4" w:space="0" w:color="auto"/>
              <w:right w:val="single" w:sz="4" w:space="0" w:color="auto"/>
            </w:tcBorders>
            <w:shd w:val="clear" w:color="000000" w:fill="D9D9D9"/>
            <w:hideMark/>
          </w:tcPr>
          <w:p w14:paraId="498A476A"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Equates in years to</w:t>
            </w:r>
          </w:p>
        </w:tc>
        <w:tc>
          <w:tcPr>
            <w:tcW w:w="1701" w:type="dxa"/>
            <w:tcBorders>
              <w:top w:val="nil"/>
              <w:left w:val="nil"/>
              <w:bottom w:val="single" w:sz="4" w:space="0" w:color="auto"/>
              <w:right w:val="single" w:sz="4" w:space="0" w:color="auto"/>
            </w:tcBorders>
            <w:shd w:val="clear" w:color="000000" w:fill="D9D9D9"/>
            <w:noWrap/>
            <w:hideMark/>
          </w:tcPr>
          <w:p w14:paraId="58E2853F" w14:textId="77777777" w:rsidR="00C96715" w:rsidRPr="00C96715" w:rsidRDefault="00C96715" w:rsidP="00C96715">
            <w:pPr>
              <w:spacing w:after="0" w:line="240" w:lineRule="auto"/>
              <w:jc w:val="right"/>
              <w:rPr>
                <w:rFonts w:eastAsia="Times New Roman" w:cs="Arial"/>
                <w:b/>
                <w:bCs/>
                <w:color w:val="7030A0"/>
                <w:sz w:val="22"/>
                <w:lang w:eastAsia="en-GB"/>
              </w:rPr>
            </w:pPr>
            <w:r w:rsidRPr="00C96715">
              <w:rPr>
                <w:rFonts w:eastAsia="Times New Roman" w:cs="Arial"/>
                <w:b/>
                <w:bCs/>
                <w:color w:val="7030A0"/>
                <w:sz w:val="22"/>
                <w:lang w:eastAsia="en-GB"/>
              </w:rPr>
              <w:t>5.89</w:t>
            </w:r>
          </w:p>
        </w:tc>
      </w:tr>
      <w:tr w:rsidR="006625CE" w:rsidRPr="00C96715" w14:paraId="0BC20F08" w14:textId="77777777" w:rsidTr="006625CE">
        <w:trPr>
          <w:trHeight w:val="485"/>
        </w:trPr>
        <w:tc>
          <w:tcPr>
            <w:tcW w:w="6946" w:type="dxa"/>
            <w:tcBorders>
              <w:top w:val="nil"/>
              <w:left w:val="single" w:sz="4" w:space="0" w:color="auto"/>
              <w:bottom w:val="single" w:sz="4" w:space="0" w:color="auto"/>
              <w:right w:val="single" w:sz="4" w:space="0" w:color="auto"/>
            </w:tcBorders>
            <w:shd w:val="clear" w:color="000000" w:fill="D9D9D9"/>
            <w:hideMark/>
          </w:tcPr>
          <w:p w14:paraId="0650F1D1" w14:textId="77777777" w:rsidR="00C96715" w:rsidRPr="00C96715" w:rsidRDefault="00C96715" w:rsidP="00C96715">
            <w:pPr>
              <w:spacing w:after="0" w:line="240" w:lineRule="auto"/>
              <w:jc w:val="left"/>
              <w:rPr>
                <w:rFonts w:eastAsia="Times New Roman" w:cs="Arial"/>
                <w:color w:val="7030A0"/>
                <w:sz w:val="22"/>
                <w:lang w:eastAsia="en-GB"/>
              </w:rPr>
            </w:pPr>
            <w:r w:rsidRPr="00C96715">
              <w:rPr>
                <w:rFonts w:eastAsia="Times New Roman" w:cs="Arial"/>
                <w:color w:val="7030A0"/>
                <w:sz w:val="22"/>
                <w:lang w:eastAsia="en-GB"/>
              </w:rPr>
              <w:t>Oversupply (+) or undersupply (-) of deliverable dwellings</w:t>
            </w:r>
          </w:p>
        </w:tc>
        <w:tc>
          <w:tcPr>
            <w:tcW w:w="1701" w:type="dxa"/>
            <w:tcBorders>
              <w:top w:val="nil"/>
              <w:left w:val="nil"/>
              <w:bottom w:val="single" w:sz="4" w:space="0" w:color="auto"/>
              <w:right w:val="single" w:sz="4" w:space="0" w:color="auto"/>
            </w:tcBorders>
            <w:shd w:val="clear" w:color="000000" w:fill="D9D9D9"/>
            <w:noWrap/>
            <w:hideMark/>
          </w:tcPr>
          <w:p w14:paraId="6A59A2A9" w14:textId="5889878C" w:rsidR="00C96715" w:rsidRPr="00C96715" w:rsidRDefault="00C96715" w:rsidP="00C96715">
            <w:pPr>
              <w:spacing w:after="0" w:line="240" w:lineRule="auto"/>
              <w:jc w:val="right"/>
              <w:rPr>
                <w:rFonts w:eastAsia="Times New Roman" w:cs="Arial"/>
                <w:b/>
                <w:bCs/>
                <w:color w:val="7030A0"/>
                <w:sz w:val="22"/>
                <w:lang w:eastAsia="en-GB"/>
              </w:rPr>
            </w:pPr>
            <w:r w:rsidRPr="006625CE">
              <w:rPr>
                <w:rFonts w:eastAsia="Times New Roman" w:cs="Arial"/>
                <w:b/>
                <w:bCs/>
                <w:color w:val="7030A0"/>
                <w:sz w:val="22"/>
                <w:lang w:eastAsia="en-GB"/>
              </w:rPr>
              <w:t xml:space="preserve">+ </w:t>
            </w:r>
            <w:r w:rsidRPr="00C96715">
              <w:rPr>
                <w:rFonts w:eastAsia="Times New Roman" w:cs="Arial"/>
                <w:b/>
                <w:bCs/>
                <w:color w:val="7030A0"/>
                <w:sz w:val="22"/>
                <w:lang w:eastAsia="en-GB"/>
              </w:rPr>
              <w:t>416</w:t>
            </w:r>
          </w:p>
        </w:tc>
      </w:tr>
    </w:tbl>
    <w:p w14:paraId="005DD137" w14:textId="77777777" w:rsidR="00AA1FBF" w:rsidRDefault="00AA1FBF" w:rsidP="00AA1FBF">
      <w:pPr>
        <w:jc w:val="left"/>
        <w:rPr>
          <w:color w:val="FF0000"/>
          <w:u w:val="single"/>
        </w:rPr>
      </w:pPr>
    </w:p>
    <w:p w14:paraId="7AF8ABEE" w14:textId="468D0322" w:rsidR="000C09F3" w:rsidRPr="007C6C7B" w:rsidRDefault="000C09F3" w:rsidP="00132ACC">
      <w:pPr>
        <w:pStyle w:val="Heading4"/>
        <w:numPr>
          <w:ilvl w:val="1"/>
          <w:numId w:val="31"/>
        </w:numPr>
        <w:rPr>
          <w:rFonts w:cs="Arial"/>
          <w:b w:val="0"/>
          <w:bCs/>
          <w:i w:val="0"/>
          <w:iCs w:val="0"/>
        </w:rPr>
      </w:pPr>
      <w:r w:rsidRPr="007C6C7B">
        <w:rPr>
          <w:rFonts w:cs="Arial"/>
          <w:bCs/>
        </w:rPr>
        <w:t>What is the estimated supply from each source for this?</w:t>
      </w:r>
    </w:p>
    <w:p w14:paraId="5E9913F6" w14:textId="77777777" w:rsidR="0097680D" w:rsidRDefault="0097680D" w:rsidP="00F7430A">
      <w:pPr>
        <w:jc w:val="left"/>
        <w:rPr>
          <w:u w:val="single"/>
        </w:rPr>
      </w:pPr>
    </w:p>
    <w:p w14:paraId="694FF31E" w14:textId="1501B7B3" w:rsidR="00F7430A" w:rsidRPr="0076350C" w:rsidRDefault="00F7430A" w:rsidP="00F7430A">
      <w:pPr>
        <w:jc w:val="left"/>
      </w:pPr>
      <w:r w:rsidRPr="0076350C">
        <w:t>Council’s response</w:t>
      </w:r>
      <w:r w:rsidR="0076350C" w:rsidRPr="0076350C">
        <w:t>:</w:t>
      </w:r>
    </w:p>
    <w:p w14:paraId="6B4B7422" w14:textId="0921F202" w:rsidR="004A1D99" w:rsidRDefault="00CE5D43" w:rsidP="004A1D99">
      <w:pPr>
        <w:ind w:left="720" w:hanging="720"/>
        <w:jc w:val="left"/>
        <w:rPr>
          <w:rFonts w:cs="Arial"/>
          <w:szCs w:val="24"/>
        </w:rPr>
      </w:pPr>
      <w:r w:rsidRPr="007B0703">
        <w:rPr>
          <w:rFonts w:cs="Arial"/>
          <w:szCs w:val="24"/>
        </w:rPr>
        <w:t>9.</w:t>
      </w:r>
      <w:r>
        <w:rPr>
          <w:rFonts w:cs="Arial"/>
          <w:szCs w:val="24"/>
        </w:rPr>
        <w:t>9</w:t>
      </w:r>
      <w:r w:rsidRPr="007B0703">
        <w:rPr>
          <w:rFonts w:cs="Arial"/>
          <w:szCs w:val="24"/>
        </w:rPr>
        <w:t>.1</w:t>
      </w:r>
      <w:r>
        <w:rPr>
          <w:rFonts w:cs="Arial"/>
          <w:szCs w:val="24"/>
        </w:rPr>
        <w:tab/>
        <w:t>The estimated supply</w:t>
      </w:r>
      <w:r w:rsidR="00321C0F" w:rsidRPr="00321C0F">
        <w:rPr>
          <w:rFonts w:cs="Arial"/>
          <w:szCs w:val="24"/>
        </w:rPr>
        <w:t xml:space="preserve"> </w:t>
      </w:r>
      <w:r w:rsidR="004A1D99">
        <w:rPr>
          <w:rFonts w:cs="Arial"/>
          <w:szCs w:val="24"/>
        </w:rPr>
        <w:t xml:space="preserve">is </w:t>
      </w:r>
      <w:r w:rsidR="00321C0F">
        <w:rPr>
          <w:rFonts w:cs="Arial"/>
          <w:szCs w:val="24"/>
        </w:rPr>
        <w:t xml:space="preserve">set out in the trajectories in </w:t>
      </w:r>
      <w:r w:rsidR="00ED50D4">
        <w:rPr>
          <w:rFonts w:cs="Arial"/>
          <w:szCs w:val="24"/>
        </w:rPr>
        <w:t>ADC.04</w:t>
      </w:r>
      <w:r w:rsidR="00ED50D4" w:rsidRPr="00ED50D4">
        <w:rPr>
          <w:rFonts w:cs="Arial"/>
          <w:szCs w:val="24"/>
        </w:rPr>
        <w:t xml:space="preserve">. </w:t>
      </w:r>
      <w:r w:rsidR="00321C0F" w:rsidRPr="00ED50D4">
        <w:rPr>
          <w:rFonts w:cs="Arial"/>
          <w:strike/>
          <w:szCs w:val="24"/>
        </w:rPr>
        <w:t>Section 4 of the</w:t>
      </w:r>
      <w:r w:rsidR="00321C0F" w:rsidRPr="00ED50D4">
        <w:rPr>
          <w:strike/>
        </w:rPr>
        <w:t xml:space="preserve"> </w:t>
      </w:r>
      <w:r w:rsidR="00321C0F" w:rsidRPr="00ED50D4">
        <w:rPr>
          <w:rFonts w:cs="Arial"/>
          <w:strike/>
          <w:szCs w:val="24"/>
        </w:rPr>
        <w:t>Housing Land Supply Position Statement, October 2024 [ADC.04].</w:t>
      </w:r>
      <w:r w:rsidR="00321C0F" w:rsidRPr="00ED50D4">
        <w:rPr>
          <w:rFonts w:cs="Arial"/>
          <w:szCs w:val="24"/>
        </w:rPr>
        <w:t xml:space="preserve"> The ‘Annual housing delivery from all sources’ table on page </w:t>
      </w:r>
      <w:r w:rsidR="00321C0F" w:rsidRPr="00ED50D4">
        <w:rPr>
          <w:rFonts w:cs="Arial"/>
          <w:strike/>
          <w:szCs w:val="24"/>
        </w:rPr>
        <w:t>15</w:t>
      </w:r>
      <w:r w:rsidR="00321C0F" w:rsidRPr="00ED50D4">
        <w:rPr>
          <w:rFonts w:cs="Arial"/>
          <w:szCs w:val="24"/>
        </w:rPr>
        <w:t xml:space="preserve"> </w:t>
      </w:r>
      <w:r w:rsidR="00ED50D4" w:rsidRPr="00ED50D4">
        <w:rPr>
          <w:rFonts w:cs="Arial"/>
          <w:color w:val="7030A0"/>
          <w:szCs w:val="24"/>
        </w:rPr>
        <w:t>9</w:t>
      </w:r>
      <w:r w:rsidR="00ED50D4" w:rsidRPr="00ED50D4">
        <w:rPr>
          <w:rFonts w:cs="Arial"/>
          <w:szCs w:val="24"/>
        </w:rPr>
        <w:t xml:space="preserve"> </w:t>
      </w:r>
      <w:r w:rsidR="00321C0F" w:rsidRPr="00ED50D4">
        <w:rPr>
          <w:rFonts w:cs="Arial"/>
          <w:szCs w:val="24"/>
        </w:rPr>
        <w:t>of this document identifies</w:t>
      </w:r>
      <w:r w:rsidR="004A1D99" w:rsidRPr="00ED50D4">
        <w:rPr>
          <w:rFonts w:cs="Arial"/>
          <w:szCs w:val="24"/>
        </w:rPr>
        <w:t xml:space="preserve"> </w:t>
      </w:r>
      <w:r w:rsidR="00321C0F" w:rsidRPr="00ED50D4">
        <w:rPr>
          <w:rFonts w:cs="Arial"/>
          <w:szCs w:val="24"/>
        </w:rPr>
        <w:t>delivery anticipated from years 1-5 (</w:t>
      </w:r>
      <w:r w:rsidR="00321C0F" w:rsidRPr="00ED50D4">
        <w:rPr>
          <w:rFonts w:cs="Arial"/>
          <w:color w:val="7030A0"/>
          <w:szCs w:val="24"/>
        </w:rPr>
        <w:t>202</w:t>
      </w:r>
      <w:r w:rsidR="00ED50D4" w:rsidRPr="00ED50D4">
        <w:rPr>
          <w:rFonts w:cs="Arial"/>
          <w:color w:val="7030A0"/>
          <w:szCs w:val="24"/>
        </w:rPr>
        <w:t>5</w:t>
      </w:r>
      <w:r w:rsidR="004A1D99" w:rsidRPr="00ED50D4">
        <w:rPr>
          <w:rFonts w:cs="Arial"/>
          <w:color w:val="7030A0"/>
          <w:szCs w:val="24"/>
        </w:rPr>
        <w:t xml:space="preserve"> to </w:t>
      </w:r>
      <w:r w:rsidR="00321C0F" w:rsidRPr="00ED50D4">
        <w:rPr>
          <w:rFonts w:cs="Arial"/>
          <w:color w:val="7030A0"/>
          <w:szCs w:val="24"/>
        </w:rPr>
        <w:t>20</w:t>
      </w:r>
      <w:r w:rsidR="00ED50D4" w:rsidRPr="00ED50D4">
        <w:rPr>
          <w:rFonts w:cs="Arial"/>
          <w:color w:val="7030A0"/>
          <w:szCs w:val="24"/>
        </w:rPr>
        <w:t>30</w:t>
      </w:r>
      <w:r w:rsidR="00321C0F" w:rsidRPr="00ED50D4">
        <w:rPr>
          <w:rFonts w:cs="Arial"/>
          <w:szCs w:val="24"/>
        </w:rPr>
        <w:t xml:space="preserve">), </w:t>
      </w:r>
      <w:proofErr w:type="gramStart"/>
      <w:r w:rsidR="00321C0F" w:rsidRPr="00ED50D4">
        <w:rPr>
          <w:rFonts w:cs="Arial"/>
          <w:szCs w:val="24"/>
        </w:rPr>
        <w:t>and also</w:t>
      </w:r>
      <w:proofErr w:type="gramEnd"/>
      <w:r w:rsidR="00321C0F" w:rsidRPr="00ED50D4">
        <w:rPr>
          <w:rFonts w:cs="Arial"/>
          <w:szCs w:val="24"/>
        </w:rPr>
        <w:t xml:space="preserve"> from years </w:t>
      </w:r>
      <w:r w:rsidR="00ED50D4" w:rsidRPr="00ED50D4">
        <w:rPr>
          <w:rFonts w:cs="Arial"/>
          <w:szCs w:val="24"/>
        </w:rPr>
        <w:t>2</w:t>
      </w:r>
      <w:r w:rsidR="00321C0F" w:rsidRPr="00ED50D4">
        <w:rPr>
          <w:rFonts w:cs="Arial"/>
          <w:szCs w:val="24"/>
        </w:rPr>
        <w:t>-</w:t>
      </w:r>
      <w:r w:rsidR="00ED50D4" w:rsidRPr="00ED50D4">
        <w:rPr>
          <w:rFonts w:cs="Arial"/>
          <w:szCs w:val="24"/>
        </w:rPr>
        <w:t>6</w:t>
      </w:r>
      <w:r w:rsidR="00321C0F" w:rsidRPr="00ED50D4">
        <w:rPr>
          <w:rFonts w:cs="Arial"/>
          <w:szCs w:val="24"/>
        </w:rPr>
        <w:t xml:space="preserve"> (</w:t>
      </w:r>
      <w:r w:rsidR="00321C0F" w:rsidRPr="00ED50D4">
        <w:rPr>
          <w:rFonts w:cs="Arial"/>
          <w:color w:val="7030A0"/>
          <w:szCs w:val="24"/>
        </w:rPr>
        <w:t>202</w:t>
      </w:r>
      <w:r w:rsidR="00ED50D4" w:rsidRPr="00ED50D4">
        <w:rPr>
          <w:rFonts w:cs="Arial"/>
          <w:color w:val="7030A0"/>
          <w:szCs w:val="24"/>
        </w:rPr>
        <w:t>6</w:t>
      </w:r>
      <w:r w:rsidR="00321C0F" w:rsidRPr="00ED50D4">
        <w:rPr>
          <w:rFonts w:cs="Arial"/>
          <w:color w:val="7030A0"/>
          <w:szCs w:val="24"/>
        </w:rPr>
        <w:t xml:space="preserve"> to 203</w:t>
      </w:r>
      <w:r w:rsidR="00ED50D4" w:rsidRPr="00ED50D4">
        <w:rPr>
          <w:rFonts w:cs="Arial"/>
          <w:color w:val="7030A0"/>
          <w:szCs w:val="24"/>
        </w:rPr>
        <w:t>1</w:t>
      </w:r>
      <w:r w:rsidR="00321C0F" w:rsidRPr="00ED50D4">
        <w:rPr>
          <w:rFonts w:cs="Arial"/>
          <w:szCs w:val="24"/>
        </w:rPr>
        <w:t xml:space="preserve">). The latter has informed the 5YLS </w:t>
      </w:r>
      <w:r w:rsidR="004A1D99" w:rsidRPr="00ED50D4">
        <w:rPr>
          <w:rFonts w:cs="Arial"/>
          <w:szCs w:val="24"/>
        </w:rPr>
        <w:t>post adoption as follows:</w:t>
      </w:r>
    </w:p>
    <w:tbl>
      <w:tblPr>
        <w:tblW w:w="8789" w:type="dxa"/>
        <w:tblInd w:w="704" w:type="dxa"/>
        <w:tblLook w:val="04A0" w:firstRow="1" w:lastRow="0" w:firstColumn="1" w:lastColumn="0" w:noHBand="0" w:noVBand="1"/>
      </w:tblPr>
      <w:tblGrid>
        <w:gridCol w:w="7229"/>
        <w:gridCol w:w="1560"/>
      </w:tblGrid>
      <w:tr w:rsidR="00D42AE9" w:rsidRPr="004A1D99" w14:paraId="6C33D162" w14:textId="77777777" w:rsidTr="00D42AE9">
        <w:trPr>
          <w:trHeight w:val="433"/>
        </w:trPr>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DE60A" w14:textId="33715959" w:rsidR="004A1D99" w:rsidRPr="004A1D99" w:rsidRDefault="004A1D99" w:rsidP="004A1D99">
            <w:pPr>
              <w:spacing w:after="0" w:line="240" w:lineRule="auto"/>
              <w:jc w:val="left"/>
              <w:rPr>
                <w:rFonts w:eastAsia="Times New Roman" w:cs="Arial"/>
                <w:b/>
                <w:bCs/>
                <w:sz w:val="22"/>
                <w:lang w:eastAsia="en-GB"/>
              </w:rPr>
            </w:pPr>
            <w:r w:rsidRPr="004A1D99">
              <w:rPr>
                <w:rFonts w:eastAsia="Times New Roman" w:cs="Arial"/>
                <w:b/>
                <w:bCs/>
                <w:sz w:val="22"/>
                <w:lang w:eastAsia="en-GB"/>
              </w:rPr>
              <w:t>Supply at April 202</w:t>
            </w:r>
            <w:r w:rsidR="00ED50D4" w:rsidRPr="00ED50D4">
              <w:rPr>
                <w:rFonts w:eastAsia="Times New Roman" w:cs="Arial"/>
                <w:b/>
                <w:bCs/>
                <w:color w:val="7030A0"/>
                <w:sz w:val="22"/>
                <w:lang w:eastAsia="en-GB"/>
              </w:rPr>
              <w:t>6</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03F01C5" w14:textId="77777777" w:rsidR="004A1D99" w:rsidRPr="004A1D99" w:rsidRDefault="004A1D99" w:rsidP="004A1D99">
            <w:pPr>
              <w:spacing w:after="0" w:line="240" w:lineRule="auto"/>
              <w:jc w:val="right"/>
              <w:rPr>
                <w:rFonts w:eastAsia="Times New Roman" w:cs="Arial"/>
                <w:b/>
                <w:bCs/>
                <w:sz w:val="22"/>
                <w:lang w:eastAsia="en-GB"/>
              </w:rPr>
            </w:pPr>
            <w:r w:rsidRPr="004A1D99">
              <w:rPr>
                <w:rFonts w:eastAsia="Times New Roman" w:cs="Arial"/>
                <w:b/>
                <w:bCs/>
                <w:sz w:val="22"/>
                <w:lang w:eastAsia="en-GB"/>
              </w:rPr>
              <w:t>Dwellings</w:t>
            </w:r>
          </w:p>
        </w:tc>
      </w:tr>
      <w:tr w:rsidR="004A1D99" w:rsidRPr="004A1D99" w14:paraId="2396A226" w14:textId="77777777" w:rsidTr="00D42AE9">
        <w:trPr>
          <w:trHeight w:val="280"/>
        </w:trPr>
        <w:tc>
          <w:tcPr>
            <w:tcW w:w="7229" w:type="dxa"/>
            <w:tcBorders>
              <w:top w:val="nil"/>
              <w:left w:val="single" w:sz="4" w:space="0" w:color="auto"/>
              <w:bottom w:val="single" w:sz="4" w:space="0" w:color="auto"/>
              <w:right w:val="single" w:sz="4" w:space="0" w:color="auto"/>
            </w:tcBorders>
            <w:hideMark/>
          </w:tcPr>
          <w:p w14:paraId="1AF48F3F" w14:textId="06D48EE8"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Supply from large sites without planning permission</w:t>
            </w:r>
            <w:r w:rsidR="00ED50D4">
              <w:rPr>
                <w:rFonts w:eastAsia="Times New Roman" w:cs="Arial"/>
                <w:sz w:val="22"/>
                <w:lang w:eastAsia="en-GB"/>
              </w:rPr>
              <w:t xml:space="preserve"> </w:t>
            </w:r>
            <w:r w:rsidR="00ED50D4" w:rsidRPr="004A1D99">
              <w:rPr>
                <w:rFonts w:eastAsia="Times New Roman" w:cs="Arial"/>
                <w:sz w:val="22"/>
                <w:lang w:eastAsia="en-GB"/>
              </w:rPr>
              <w:t>(</w:t>
            </w:r>
            <w:r w:rsidR="00ED50D4" w:rsidRPr="00ED50D4">
              <w:rPr>
                <w:rFonts w:eastAsia="Times New Roman" w:cs="Arial"/>
                <w:color w:val="7030A0"/>
                <w:sz w:val="22"/>
                <w:lang w:eastAsia="en-GB"/>
              </w:rPr>
              <w:t>2026-2031</w:t>
            </w:r>
            <w:r w:rsidR="00ED50D4" w:rsidRPr="004A1D99">
              <w:rPr>
                <w:rFonts w:eastAsia="Times New Roman" w:cs="Arial"/>
                <w:sz w:val="22"/>
                <w:lang w:eastAsia="en-GB"/>
              </w:rPr>
              <w:t>)</w:t>
            </w:r>
          </w:p>
        </w:tc>
        <w:tc>
          <w:tcPr>
            <w:tcW w:w="1560" w:type="dxa"/>
            <w:tcBorders>
              <w:top w:val="nil"/>
              <w:left w:val="nil"/>
              <w:bottom w:val="single" w:sz="4" w:space="0" w:color="auto"/>
              <w:right w:val="single" w:sz="4" w:space="0" w:color="auto"/>
            </w:tcBorders>
            <w:noWrap/>
            <w:hideMark/>
          </w:tcPr>
          <w:p w14:paraId="33281411" w14:textId="24A911AD" w:rsidR="004A1D99" w:rsidRPr="00ED50D4" w:rsidRDefault="00ED50D4" w:rsidP="004A1D99">
            <w:pPr>
              <w:spacing w:after="0" w:line="240" w:lineRule="auto"/>
              <w:jc w:val="right"/>
              <w:rPr>
                <w:rFonts w:eastAsia="Times New Roman" w:cs="Arial"/>
                <w:color w:val="7030A0"/>
                <w:sz w:val="22"/>
                <w:highlight w:val="yellow"/>
                <w:lang w:eastAsia="en-GB"/>
              </w:rPr>
            </w:pPr>
            <w:r w:rsidRPr="00ED50D4">
              <w:rPr>
                <w:rFonts w:eastAsia="Times New Roman" w:cs="Arial"/>
                <w:color w:val="7030A0"/>
                <w:sz w:val="22"/>
                <w:lang w:eastAsia="en-GB"/>
              </w:rPr>
              <w:t>903</w:t>
            </w:r>
          </w:p>
        </w:tc>
      </w:tr>
      <w:tr w:rsidR="004A1D99" w:rsidRPr="004A1D99" w14:paraId="33F0C864" w14:textId="77777777" w:rsidTr="00D42AE9">
        <w:trPr>
          <w:trHeight w:val="280"/>
        </w:trPr>
        <w:tc>
          <w:tcPr>
            <w:tcW w:w="7229" w:type="dxa"/>
            <w:tcBorders>
              <w:top w:val="nil"/>
              <w:left w:val="single" w:sz="4" w:space="0" w:color="auto"/>
              <w:bottom w:val="single" w:sz="4" w:space="0" w:color="auto"/>
              <w:right w:val="single" w:sz="4" w:space="0" w:color="auto"/>
            </w:tcBorders>
            <w:hideMark/>
          </w:tcPr>
          <w:p w14:paraId="64D75AB4" w14:textId="611E9554"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Planning permissions deliverable within 5 years (</w:t>
            </w:r>
            <w:r w:rsidRPr="00ED50D4">
              <w:rPr>
                <w:rFonts w:eastAsia="Times New Roman" w:cs="Arial"/>
                <w:color w:val="7030A0"/>
                <w:sz w:val="22"/>
                <w:lang w:eastAsia="en-GB"/>
              </w:rPr>
              <w:t>202</w:t>
            </w:r>
            <w:r w:rsidR="00ED50D4" w:rsidRPr="00ED50D4">
              <w:rPr>
                <w:rFonts w:eastAsia="Times New Roman" w:cs="Arial"/>
                <w:color w:val="7030A0"/>
                <w:sz w:val="22"/>
                <w:lang w:eastAsia="en-GB"/>
              </w:rPr>
              <w:t>6</w:t>
            </w:r>
            <w:r w:rsidRPr="00ED50D4">
              <w:rPr>
                <w:rFonts w:eastAsia="Times New Roman" w:cs="Arial"/>
                <w:color w:val="7030A0"/>
                <w:sz w:val="22"/>
                <w:lang w:eastAsia="en-GB"/>
              </w:rPr>
              <w:t>-203</w:t>
            </w:r>
            <w:r w:rsidR="00ED50D4" w:rsidRPr="00ED50D4">
              <w:rPr>
                <w:rFonts w:eastAsia="Times New Roman" w:cs="Arial"/>
                <w:color w:val="7030A0"/>
                <w:sz w:val="22"/>
                <w:lang w:eastAsia="en-GB"/>
              </w:rPr>
              <w:t>1</w:t>
            </w:r>
            <w:r w:rsidRPr="004A1D99">
              <w:rPr>
                <w:rFonts w:eastAsia="Times New Roman" w:cs="Arial"/>
                <w:sz w:val="22"/>
                <w:lang w:eastAsia="en-GB"/>
              </w:rPr>
              <w:t>)</w:t>
            </w:r>
          </w:p>
        </w:tc>
        <w:tc>
          <w:tcPr>
            <w:tcW w:w="1560" w:type="dxa"/>
            <w:tcBorders>
              <w:top w:val="nil"/>
              <w:left w:val="nil"/>
              <w:bottom w:val="single" w:sz="4" w:space="0" w:color="auto"/>
              <w:right w:val="single" w:sz="4" w:space="0" w:color="auto"/>
            </w:tcBorders>
            <w:noWrap/>
            <w:hideMark/>
          </w:tcPr>
          <w:p w14:paraId="34BF8F7F" w14:textId="3D9D64F7" w:rsidR="004A1D99" w:rsidRPr="00ED50D4" w:rsidRDefault="00ED50D4" w:rsidP="004A1D99">
            <w:pPr>
              <w:spacing w:after="0" w:line="240" w:lineRule="auto"/>
              <w:jc w:val="right"/>
              <w:rPr>
                <w:rFonts w:eastAsia="Times New Roman" w:cs="Arial"/>
                <w:color w:val="7030A0"/>
                <w:sz w:val="22"/>
                <w:highlight w:val="yellow"/>
                <w:lang w:eastAsia="en-GB"/>
              </w:rPr>
            </w:pPr>
            <w:r w:rsidRPr="00ED50D4">
              <w:rPr>
                <w:rFonts w:eastAsia="Times New Roman" w:cs="Arial"/>
                <w:color w:val="7030A0"/>
                <w:sz w:val="22"/>
                <w:lang w:eastAsia="en-GB"/>
              </w:rPr>
              <w:t>1685</w:t>
            </w:r>
          </w:p>
        </w:tc>
      </w:tr>
      <w:tr w:rsidR="004A1D99" w:rsidRPr="004A1D99" w14:paraId="03A6DAB7" w14:textId="77777777" w:rsidTr="00D42AE9">
        <w:trPr>
          <w:trHeight w:val="280"/>
        </w:trPr>
        <w:tc>
          <w:tcPr>
            <w:tcW w:w="7229" w:type="dxa"/>
            <w:tcBorders>
              <w:top w:val="nil"/>
              <w:left w:val="single" w:sz="4" w:space="0" w:color="auto"/>
              <w:bottom w:val="single" w:sz="4" w:space="0" w:color="auto"/>
              <w:right w:val="single" w:sz="4" w:space="0" w:color="auto"/>
            </w:tcBorders>
            <w:hideMark/>
          </w:tcPr>
          <w:p w14:paraId="20556ECF" w14:textId="7AE85C4B" w:rsidR="004A1D99" w:rsidRPr="004A1D99" w:rsidRDefault="004A1D99" w:rsidP="004A1D99">
            <w:pPr>
              <w:spacing w:after="0" w:line="240" w:lineRule="auto"/>
              <w:jc w:val="left"/>
              <w:rPr>
                <w:rFonts w:eastAsia="Times New Roman" w:cs="Arial"/>
                <w:sz w:val="22"/>
                <w:lang w:eastAsia="en-GB"/>
              </w:rPr>
            </w:pPr>
            <w:r w:rsidRPr="004A1D99">
              <w:rPr>
                <w:rFonts w:eastAsia="Times New Roman" w:cs="Arial"/>
                <w:sz w:val="22"/>
                <w:lang w:eastAsia="en-GB"/>
              </w:rPr>
              <w:t>Permitted Development deliverable within 5 years</w:t>
            </w:r>
            <w:r w:rsidR="00ED50D4">
              <w:rPr>
                <w:rFonts w:eastAsia="Times New Roman" w:cs="Arial"/>
                <w:sz w:val="22"/>
                <w:lang w:eastAsia="en-GB"/>
              </w:rPr>
              <w:t xml:space="preserve"> </w:t>
            </w:r>
            <w:r w:rsidR="00ED50D4" w:rsidRPr="004A1D99">
              <w:rPr>
                <w:rFonts w:eastAsia="Times New Roman" w:cs="Arial"/>
                <w:sz w:val="22"/>
                <w:lang w:eastAsia="en-GB"/>
              </w:rPr>
              <w:t>(</w:t>
            </w:r>
            <w:r w:rsidR="00ED50D4" w:rsidRPr="00ED50D4">
              <w:rPr>
                <w:rFonts w:eastAsia="Times New Roman" w:cs="Arial"/>
                <w:color w:val="7030A0"/>
                <w:sz w:val="22"/>
                <w:lang w:eastAsia="en-GB"/>
              </w:rPr>
              <w:t>2026-2031</w:t>
            </w:r>
            <w:r w:rsidR="00ED50D4" w:rsidRPr="004A1D99">
              <w:rPr>
                <w:rFonts w:eastAsia="Times New Roman" w:cs="Arial"/>
                <w:sz w:val="22"/>
                <w:lang w:eastAsia="en-GB"/>
              </w:rPr>
              <w:t>)</w:t>
            </w:r>
          </w:p>
        </w:tc>
        <w:tc>
          <w:tcPr>
            <w:tcW w:w="1560" w:type="dxa"/>
            <w:tcBorders>
              <w:top w:val="nil"/>
              <w:left w:val="nil"/>
              <w:bottom w:val="single" w:sz="4" w:space="0" w:color="auto"/>
              <w:right w:val="single" w:sz="4" w:space="0" w:color="auto"/>
            </w:tcBorders>
            <w:noWrap/>
            <w:hideMark/>
          </w:tcPr>
          <w:p w14:paraId="0888D02C" w14:textId="77777777" w:rsidR="004A1D99" w:rsidRPr="00ED50D4" w:rsidRDefault="004A1D99" w:rsidP="004A1D99">
            <w:pPr>
              <w:spacing w:after="0" w:line="240" w:lineRule="auto"/>
              <w:jc w:val="right"/>
              <w:rPr>
                <w:rFonts w:eastAsia="Times New Roman" w:cs="Arial"/>
                <w:color w:val="7030A0"/>
                <w:sz w:val="22"/>
                <w:highlight w:val="yellow"/>
                <w:lang w:eastAsia="en-GB"/>
              </w:rPr>
            </w:pPr>
            <w:r w:rsidRPr="00ED50D4">
              <w:rPr>
                <w:rFonts w:eastAsia="Times New Roman" w:cs="Arial"/>
                <w:color w:val="7030A0"/>
                <w:sz w:val="22"/>
                <w:lang w:eastAsia="en-GB"/>
              </w:rPr>
              <w:t>1</w:t>
            </w:r>
          </w:p>
        </w:tc>
      </w:tr>
      <w:tr w:rsidR="004A1D99" w:rsidRPr="004A1D99" w14:paraId="6EE19089" w14:textId="77777777" w:rsidTr="00D42AE9">
        <w:trPr>
          <w:trHeight w:val="560"/>
        </w:trPr>
        <w:tc>
          <w:tcPr>
            <w:tcW w:w="7229" w:type="dxa"/>
            <w:tcBorders>
              <w:top w:val="nil"/>
              <w:left w:val="single" w:sz="4" w:space="0" w:color="auto"/>
              <w:bottom w:val="single" w:sz="4" w:space="0" w:color="auto"/>
              <w:right w:val="single" w:sz="4" w:space="0" w:color="auto"/>
            </w:tcBorders>
            <w:hideMark/>
          </w:tcPr>
          <w:p w14:paraId="56BCD6DA" w14:textId="77777777" w:rsidR="004A1D99" w:rsidRPr="004A1D99" w:rsidRDefault="004A1D99" w:rsidP="004A1D99">
            <w:pPr>
              <w:spacing w:after="0" w:line="240" w:lineRule="auto"/>
              <w:jc w:val="left"/>
              <w:rPr>
                <w:rFonts w:eastAsia="Times New Roman" w:cs="Arial"/>
                <w:b/>
                <w:bCs/>
                <w:sz w:val="22"/>
                <w:lang w:eastAsia="en-GB"/>
              </w:rPr>
            </w:pPr>
            <w:r w:rsidRPr="004A1D99">
              <w:rPr>
                <w:rFonts w:eastAsia="Times New Roman" w:cs="Arial"/>
                <w:b/>
                <w:bCs/>
                <w:sz w:val="22"/>
                <w:lang w:eastAsia="en-GB"/>
              </w:rPr>
              <w:t>Total amount of housing available and deliverable for the 5 year period post adoption</w:t>
            </w:r>
          </w:p>
        </w:tc>
        <w:tc>
          <w:tcPr>
            <w:tcW w:w="1560" w:type="dxa"/>
            <w:tcBorders>
              <w:top w:val="nil"/>
              <w:left w:val="nil"/>
              <w:bottom w:val="single" w:sz="4" w:space="0" w:color="auto"/>
              <w:right w:val="single" w:sz="4" w:space="0" w:color="auto"/>
            </w:tcBorders>
            <w:noWrap/>
            <w:hideMark/>
          </w:tcPr>
          <w:p w14:paraId="258B5FA9" w14:textId="3341C42C" w:rsidR="004A1D99" w:rsidRPr="00ED50D4" w:rsidRDefault="00ED50D4" w:rsidP="004A1D99">
            <w:pPr>
              <w:spacing w:after="0" w:line="240" w:lineRule="auto"/>
              <w:jc w:val="right"/>
              <w:rPr>
                <w:rFonts w:eastAsia="Times New Roman" w:cs="Arial"/>
                <w:b/>
                <w:bCs/>
                <w:color w:val="7030A0"/>
                <w:sz w:val="22"/>
                <w:highlight w:val="yellow"/>
                <w:lang w:eastAsia="en-GB"/>
              </w:rPr>
            </w:pPr>
            <w:r w:rsidRPr="00ED50D4">
              <w:rPr>
                <w:rFonts w:eastAsia="Times New Roman" w:cs="Arial"/>
                <w:b/>
                <w:bCs/>
                <w:color w:val="7030A0"/>
                <w:sz w:val="22"/>
                <w:lang w:eastAsia="en-GB"/>
              </w:rPr>
              <w:t>2589</w:t>
            </w:r>
          </w:p>
        </w:tc>
      </w:tr>
    </w:tbl>
    <w:p w14:paraId="45C485B7" w14:textId="7FBDD079" w:rsidR="004A1D99" w:rsidRPr="004A1D99" w:rsidRDefault="004A1D99" w:rsidP="004A1D99">
      <w:pPr>
        <w:spacing w:after="0" w:line="240" w:lineRule="auto"/>
        <w:ind w:firstLine="720"/>
        <w:jc w:val="left"/>
        <w:rPr>
          <w:rFonts w:eastAsia="Times New Roman" w:cs="Arial"/>
          <w:sz w:val="20"/>
          <w:szCs w:val="20"/>
          <w:lang w:eastAsia="en-GB"/>
        </w:rPr>
      </w:pPr>
    </w:p>
    <w:p w14:paraId="0FB61290" w14:textId="2C57788E" w:rsidR="00321C0F" w:rsidRPr="007B0703" w:rsidRDefault="00321C0F" w:rsidP="00321C0F">
      <w:pPr>
        <w:ind w:left="720" w:hanging="720"/>
        <w:jc w:val="left"/>
        <w:rPr>
          <w:rFonts w:cs="Arial"/>
          <w:szCs w:val="24"/>
        </w:rPr>
      </w:pPr>
    </w:p>
    <w:p w14:paraId="30E8C95D" w14:textId="05F9174A" w:rsidR="000C09F3" w:rsidRPr="007C6C7B" w:rsidRDefault="000C09F3" w:rsidP="00132ACC">
      <w:pPr>
        <w:pStyle w:val="Heading4"/>
        <w:numPr>
          <w:ilvl w:val="1"/>
          <w:numId w:val="31"/>
        </w:numPr>
        <w:rPr>
          <w:rFonts w:cs="Arial"/>
          <w:b w:val="0"/>
          <w:bCs/>
          <w:i w:val="0"/>
          <w:iCs w:val="0"/>
        </w:rPr>
      </w:pPr>
      <w:r w:rsidRPr="007C6C7B">
        <w:rPr>
          <w:rFonts w:cs="Arial"/>
          <w:bCs/>
        </w:rPr>
        <w:t xml:space="preserve"> What is the evidence to support this and are the estimates justified?</w:t>
      </w:r>
    </w:p>
    <w:p w14:paraId="3A268DA5" w14:textId="77777777" w:rsidR="0097680D" w:rsidRDefault="0097680D" w:rsidP="00FF4822">
      <w:pPr>
        <w:jc w:val="left"/>
        <w:rPr>
          <w:u w:val="single"/>
        </w:rPr>
      </w:pPr>
    </w:p>
    <w:p w14:paraId="3B2EA5CF" w14:textId="7DF0FD01" w:rsidR="00F7430A" w:rsidRPr="0076350C" w:rsidRDefault="00F7430A" w:rsidP="00FF4822">
      <w:pPr>
        <w:jc w:val="left"/>
      </w:pPr>
      <w:r w:rsidRPr="0076350C">
        <w:t>Council’s response</w:t>
      </w:r>
      <w:r w:rsidR="0076350C" w:rsidRPr="0076350C">
        <w:t>:</w:t>
      </w:r>
    </w:p>
    <w:p w14:paraId="1A2DCC9A" w14:textId="77777777" w:rsidR="00FF4822" w:rsidRDefault="0063659A" w:rsidP="00FF4822">
      <w:pPr>
        <w:ind w:left="720" w:hanging="720"/>
        <w:jc w:val="left"/>
        <w:rPr>
          <w:rFonts w:cs="Arial"/>
          <w:szCs w:val="24"/>
        </w:rPr>
      </w:pPr>
      <w:r w:rsidRPr="007B0703">
        <w:rPr>
          <w:rFonts w:cs="Arial"/>
          <w:szCs w:val="24"/>
        </w:rPr>
        <w:t>9.</w:t>
      </w:r>
      <w:r w:rsidR="00D42AE9">
        <w:rPr>
          <w:rFonts w:cs="Arial"/>
          <w:szCs w:val="24"/>
        </w:rPr>
        <w:t>10</w:t>
      </w:r>
      <w:r w:rsidRPr="007B0703">
        <w:rPr>
          <w:rFonts w:cs="Arial"/>
          <w:szCs w:val="24"/>
        </w:rPr>
        <w:t>.1</w:t>
      </w:r>
      <w:r>
        <w:rPr>
          <w:rFonts w:cs="Arial"/>
          <w:szCs w:val="24"/>
        </w:rPr>
        <w:tab/>
      </w:r>
      <w:r w:rsidR="00D42AE9" w:rsidRPr="00D42AE9">
        <w:rPr>
          <w:rFonts w:cs="Arial"/>
          <w:szCs w:val="24"/>
        </w:rPr>
        <w:t xml:space="preserve">The Council are confident that the anticipated delivery of sites </w:t>
      </w:r>
      <w:r w:rsidR="00FF4822" w:rsidRPr="00D42AE9">
        <w:rPr>
          <w:rFonts w:cs="Arial"/>
          <w:szCs w:val="24"/>
        </w:rPr>
        <w:t>is</w:t>
      </w:r>
      <w:r w:rsidR="00D42AE9" w:rsidRPr="00D42AE9">
        <w:rPr>
          <w:rFonts w:cs="Arial"/>
          <w:szCs w:val="24"/>
        </w:rPr>
        <w:t xml:space="preserve"> based on the fullest and most recent accurate information. </w:t>
      </w:r>
      <w:r w:rsidR="00741E3A">
        <w:rPr>
          <w:rFonts w:cs="Arial"/>
          <w:szCs w:val="24"/>
        </w:rPr>
        <w:t>Housing trajectories are based on reviewing all delivery at individual site level.</w:t>
      </w:r>
    </w:p>
    <w:p w14:paraId="6C9BFBF1" w14:textId="2BDF2ED2" w:rsidR="00C9251D" w:rsidRPr="00FF4822" w:rsidRDefault="00FF4822" w:rsidP="00FF4822">
      <w:pPr>
        <w:ind w:left="720" w:hanging="720"/>
        <w:jc w:val="left"/>
        <w:rPr>
          <w:rFonts w:cs="Arial"/>
          <w:szCs w:val="24"/>
        </w:rPr>
      </w:pPr>
      <w:r>
        <w:rPr>
          <w:rFonts w:cs="Arial"/>
          <w:szCs w:val="24"/>
        </w:rPr>
        <w:t>9.10.2</w:t>
      </w:r>
      <w:r>
        <w:rPr>
          <w:rFonts w:cs="Arial"/>
          <w:szCs w:val="24"/>
        </w:rPr>
        <w:tab/>
        <w:t xml:space="preserve">The </w:t>
      </w:r>
      <w:r w:rsidRPr="00FF4822">
        <w:rPr>
          <w:rFonts w:cs="Arial"/>
          <w:szCs w:val="24"/>
        </w:rPr>
        <w:t>figure i</w:t>
      </w:r>
      <w:r w:rsidR="00C9251D" w:rsidRPr="00FF4822">
        <w:rPr>
          <w:rFonts w:cs="Arial"/>
          <w:szCs w:val="24"/>
        </w:rPr>
        <w:t>ncludes delivery from all sites meeting definition of ‘deliverable’</w:t>
      </w:r>
      <w:r w:rsidRPr="00FF4822">
        <w:rPr>
          <w:rFonts w:cs="Arial"/>
          <w:szCs w:val="24"/>
        </w:rPr>
        <w:t xml:space="preserve"> as defined in the NPPF glossary. It should be noted that the</w:t>
      </w:r>
      <w:r w:rsidR="00C9251D" w:rsidRPr="00FF4822">
        <w:rPr>
          <w:rFonts w:cs="Arial"/>
          <w:szCs w:val="24"/>
        </w:rPr>
        <w:t xml:space="preserve"> starting point for the sites meeting </w:t>
      </w:r>
      <w:r w:rsidRPr="00FF4822">
        <w:rPr>
          <w:rFonts w:cs="Arial"/>
          <w:szCs w:val="24"/>
        </w:rPr>
        <w:t xml:space="preserve">this </w:t>
      </w:r>
      <w:r w:rsidR="00C9251D" w:rsidRPr="00FF4822">
        <w:rPr>
          <w:rFonts w:cs="Arial"/>
          <w:szCs w:val="24"/>
        </w:rPr>
        <w:t xml:space="preserve">definition </w:t>
      </w:r>
      <w:r w:rsidRPr="00FF4822">
        <w:rPr>
          <w:rFonts w:cs="Arial"/>
          <w:szCs w:val="24"/>
        </w:rPr>
        <w:t xml:space="preserve">is taken to be the </w:t>
      </w:r>
      <w:r w:rsidR="000E6A6C" w:rsidRPr="00FF4822">
        <w:rPr>
          <w:rFonts w:cs="Arial"/>
          <w:szCs w:val="24"/>
        </w:rPr>
        <w:t xml:space="preserve">current accounting </w:t>
      </w:r>
      <w:r w:rsidR="000E6A6C" w:rsidRPr="009A6EEF">
        <w:rPr>
          <w:rFonts w:cs="Arial"/>
          <w:szCs w:val="24"/>
        </w:rPr>
        <w:t>period</w:t>
      </w:r>
      <w:r w:rsidR="00C9251D" w:rsidRPr="009A6EEF">
        <w:rPr>
          <w:rFonts w:cs="Arial"/>
          <w:szCs w:val="24"/>
        </w:rPr>
        <w:t>, not 202</w:t>
      </w:r>
      <w:r w:rsidR="009A6EEF" w:rsidRPr="009A6EEF">
        <w:rPr>
          <w:rFonts w:cs="Arial"/>
          <w:color w:val="7030A0"/>
          <w:szCs w:val="24"/>
        </w:rPr>
        <w:t>6</w:t>
      </w:r>
      <w:r w:rsidR="000E6A6C" w:rsidRPr="009A6EEF">
        <w:rPr>
          <w:rFonts w:cs="Arial"/>
          <w:szCs w:val="24"/>
        </w:rPr>
        <w:t xml:space="preserve">. </w:t>
      </w:r>
      <w:r w:rsidRPr="009A6EEF">
        <w:rPr>
          <w:rFonts w:cs="Arial"/>
          <w:szCs w:val="24"/>
        </w:rPr>
        <w:t>This a</w:t>
      </w:r>
      <w:r w:rsidR="000E6A6C" w:rsidRPr="009A6EEF">
        <w:rPr>
          <w:rFonts w:cs="Arial"/>
          <w:szCs w:val="24"/>
        </w:rPr>
        <w:t>cknowledges that 203</w:t>
      </w:r>
      <w:r w:rsidR="009A6EEF" w:rsidRPr="009A6EEF">
        <w:rPr>
          <w:rFonts w:cs="Arial"/>
          <w:color w:val="7030A0"/>
          <w:szCs w:val="24"/>
        </w:rPr>
        <w:t>1</w:t>
      </w:r>
      <w:r w:rsidR="000E6A6C" w:rsidRPr="009A6EEF">
        <w:rPr>
          <w:rFonts w:cs="Arial"/>
          <w:szCs w:val="24"/>
        </w:rPr>
        <w:t>, whist falling within the first 5 years of the Plan post adoption, is beyond 5 years from the current point in time.</w:t>
      </w:r>
      <w:r w:rsidR="000E6A6C" w:rsidRPr="00FF4822">
        <w:rPr>
          <w:rFonts w:cs="Arial"/>
          <w:szCs w:val="24"/>
        </w:rPr>
        <w:t xml:space="preserve"> </w:t>
      </w:r>
    </w:p>
    <w:p w14:paraId="3A0C7FFA" w14:textId="02570431" w:rsidR="00EC3FA5" w:rsidRDefault="00AA5095" w:rsidP="00EC3FA5">
      <w:pPr>
        <w:ind w:left="720" w:hanging="720"/>
        <w:jc w:val="left"/>
        <w:rPr>
          <w:rFonts w:cs="Arial"/>
          <w:szCs w:val="24"/>
        </w:rPr>
      </w:pPr>
      <w:r w:rsidRPr="00EC3FA5">
        <w:rPr>
          <w:rFonts w:cs="Arial"/>
          <w:szCs w:val="24"/>
        </w:rPr>
        <w:t>9.10.3</w:t>
      </w:r>
      <w:r w:rsidRPr="00EC3FA5">
        <w:rPr>
          <w:rFonts w:cs="Arial"/>
          <w:szCs w:val="24"/>
        </w:rPr>
        <w:tab/>
      </w:r>
      <w:r w:rsidR="007E07DA" w:rsidRPr="00EC3FA5">
        <w:rPr>
          <w:rFonts w:cs="Arial"/>
          <w:szCs w:val="24"/>
        </w:rPr>
        <w:t xml:space="preserve">A windfall allowance is made for small sites only </w:t>
      </w:r>
      <w:r w:rsidR="009A6EEF" w:rsidRPr="009A6EEF">
        <w:rPr>
          <w:rFonts w:cs="Arial"/>
          <w:color w:val="7030A0"/>
          <w:szCs w:val="24"/>
        </w:rPr>
        <w:t>beyond year 3 from the current accounting period</w:t>
      </w:r>
      <w:r w:rsidR="007E07DA" w:rsidRPr="00EC3FA5">
        <w:rPr>
          <w:rFonts w:cs="Arial"/>
          <w:szCs w:val="24"/>
        </w:rPr>
        <w:t>.</w:t>
      </w:r>
      <w:r w:rsidR="00497695" w:rsidRPr="00EC3FA5">
        <w:rPr>
          <w:rFonts w:cs="Arial"/>
          <w:szCs w:val="24"/>
        </w:rPr>
        <w:t xml:space="preserve"> Th</w:t>
      </w:r>
      <w:r w:rsidR="009A6EEF">
        <w:rPr>
          <w:rFonts w:cs="Arial"/>
          <w:szCs w:val="24"/>
        </w:rPr>
        <w:t xml:space="preserve">is aspect </w:t>
      </w:r>
      <w:r w:rsidR="00497695" w:rsidRPr="00EC3FA5">
        <w:rPr>
          <w:rFonts w:cs="Arial"/>
          <w:szCs w:val="24"/>
        </w:rPr>
        <w:t>has been addressed in response to question 9.4.</w:t>
      </w:r>
    </w:p>
    <w:p w14:paraId="6E5F6EEE" w14:textId="4EF336D7" w:rsidR="000C09F3" w:rsidRPr="00EC3FA5" w:rsidRDefault="00EC3FA5" w:rsidP="00EC3FA5">
      <w:pPr>
        <w:ind w:left="720" w:hanging="720"/>
        <w:jc w:val="left"/>
        <w:rPr>
          <w:rFonts w:cs="Arial"/>
          <w:szCs w:val="24"/>
        </w:rPr>
      </w:pPr>
      <w:r>
        <w:rPr>
          <w:rFonts w:cs="Arial"/>
          <w:szCs w:val="24"/>
        </w:rPr>
        <w:t>9.10.4</w:t>
      </w:r>
      <w:r>
        <w:rPr>
          <w:rFonts w:cs="Arial"/>
          <w:szCs w:val="24"/>
        </w:rPr>
        <w:tab/>
        <w:t xml:space="preserve">Individual </w:t>
      </w:r>
      <w:r w:rsidRPr="00EC3FA5">
        <w:rPr>
          <w:rFonts w:cs="Arial"/>
          <w:szCs w:val="24"/>
        </w:rPr>
        <w:t>s</w:t>
      </w:r>
      <w:r w:rsidR="00D42AE9" w:rsidRPr="00EC3FA5">
        <w:rPr>
          <w:rFonts w:cs="Arial"/>
          <w:szCs w:val="24"/>
        </w:rPr>
        <w:t>ite</w:t>
      </w:r>
      <w:r w:rsidRPr="00EC3FA5">
        <w:rPr>
          <w:rFonts w:cs="Arial"/>
          <w:szCs w:val="24"/>
        </w:rPr>
        <w:t xml:space="preserve"> allocations</w:t>
      </w:r>
      <w:r w:rsidR="00D42AE9" w:rsidRPr="00EC3FA5">
        <w:rPr>
          <w:rFonts w:cs="Arial"/>
          <w:szCs w:val="24"/>
        </w:rPr>
        <w:t xml:space="preserve"> will be discussed at Matter 10 (</w:t>
      </w:r>
      <w:r w:rsidRPr="00EC3FA5">
        <w:rPr>
          <w:rFonts w:cs="Arial"/>
          <w:szCs w:val="24"/>
        </w:rPr>
        <w:t xml:space="preserve">Note: </w:t>
      </w:r>
      <w:r w:rsidR="00D42AE9" w:rsidRPr="00EC3FA5">
        <w:rPr>
          <w:rFonts w:cs="Arial"/>
          <w:szCs w:val="24"/>
        </w:rPr>
        <w:t>ADC</w:t>
      </w:r>
      <w:r w:rsidR="009A6EEF">
        <w:rPr>
          <w:rFonts w:cs="Arial"/>
          <w:szCs w:val="24"/>
        </w:rPr>
        <w:t>.20</w:t>
      </w:r>
      <w:r w:rsidR="00D42AE9" w:rsidRPr="00EC3FA5">
        <w:rPr>
          <w:rFonts w:cs="Arial"/>
          <w:szCs w:val="24"/>
        </w:rPr>
        <w:t xml:space="preserve"> provides the most </w:t>
      </w:r>
      <w:r>
        <w:rPr>
          <w:rFonts w:cs="Arial"/>
          <w:szCs w:val="24"/>
        </w:rPr>
        <w:t>up to date</w:t>
      </w:r>
      <w:r w:rsidR="00D42AE9" w:rsidRPr="00EC3FA5">
        <w:rPr>
          <w:rFonts w:cs="Arial"/>
          <w:szCs w:val="24"/>
        </w:rPr>
        <w:t xml:space="preserve"> </w:t>
      </w:r>
      <w:r w:rsidRPr="00EC3FA5">
        <w:rPr>
          <w:rFonts w:cs="Arial"/>
          <w:szCs w:val="24"/>
        </w:rPr>
        <w:t xml:space="preserve">published </w:t>
      </w:r>
      <w:r w:rsidR="00D42AE9" w:rsidRPr="00EC3FA5">
        <w:rPr>
          <w:rFonts w:cs="Arial"/>
          <w:szCs w:val="24"/>
        </w:rPr>
        <w:t>trajectory</w:t>
      </w:r>
      <w:r w:rsidRPr="00EC3FA5">
        <w:rPr>
          <w:rFonts w:cs="Arial"/>
          <w:szCs w:val="24"/>
        </w:rPr>
        <w:t>)</w:t>
      </w:r>
      <w:r>
        <w:rPr>
          <w:rFonts w:cs="Arial"/>
          <w:szCs w:val="24"/>
        </w:rPr>
        <w:t>.</w:t>
      </w:r>
    </w:p>
    <w:p w14:paraId="12DB970F" w14:textId="77777777" w:rsidR="00434F25" w:rsidRPr="00434F25" w:rsidRDefault="00434F25" w:rsidP="00434F25">
      <w:pPr>
        <w:pStyle w:val="ListParagraph"/>
        <w:rPr>
          <w:rFonts w:cs="Arial"/>
          <w:b/>
          <w:bCs/>
          <w:i/>
          <w:iCs/>
          <w:color w:val="0070C0"/>
          <w:szCs w:val="24"/>
        </w:rPr>
      </w:pPr>
    </w:p>
    <w:p w14:paraId="6D81D105" w14:textId="59492B38" w:rsidR="000C09F3" w:rsidRPr="007C6C7B" w:rsidRDefault="000C09F3" w:rsidP="00132ACC">
      <w:pPr>
        <w:pStyle w:val="Heading4"/>
        <w:numPr>
          <w:ilvl w:val="1"/>
          <w:numId w:val="31"/>
        </w:numPr>
        <w:rPr>
          <w:rFonts w:cs="Arial"/>
          <w:b w:val="0"/>
          <w:bCs/>
          <w:i w:val="0"/>
          <w:iCs w:val="0"/>
        </w:rPr>
      </w:pPr>
      <w:proofErr w:type="gramStart"/>
      <w:r w:rsidRPr="007C6C7B">
        <w:rPr>
          <w:rFonts w:cs="Arial"/>
          <w:bCs/>
        </w:rPr>
        <w:t>Taking into account</w:t>
      </w:r>
      <w:proofErr w:type="gramEnd"/>
      <w:r w:rsidRPr="007C6C7B">
        <w:rPr>
          <w:rFonts w:cs="Arial"/>
          <w:bCs/>
        </w:rPr>
        <w:t xml:space="preserve"> completions since the base date of the Plan, what will be the</w:t>
      </w:r>
    </w:p>
    <w:p w14:paraId="283C9DA9" w14:textId="77777777" w:rsidR="000C09F3" w:rsidRPr="007C6C7B" w:rsidRDefault="000C09F3" w:rsidP="0097680D">
      <w:pPr>
        <w:ind w:firstLine="530"/>
        <w:rPr>
          <w:rFonts w:cs="Arial"/>
          <w:b/>
          <w:bCs/>
          <w:i/>
          <w:iCs/>
          <w:szCs w:val="24"/>
        </w:rPr>
      </w:pPr>
      <w:r w:rsidRPr="007C6C7B">
        <w:rPr>
          <w:rFonts w:cs="Arial"/>
          <w:b/>
          <w:bCs/>
          <w:i/>
          <w:iCs/>
          <w:szCs w:val="24"/>
        </w:rPr>
        <w:t>anticipated five-year housing land requirement on adoption of the plan?</w:t>
      </w:r>
    </w:p>
    <w:p w14:paraId="079BBCDC" w14:textId="21270B4C" w:rsidR="00F7430A" w:rsidRPr="0076350C" w:rsidRDefault="00F7430A" w:rsidP="00F7430A">
      <w:pPr>
        <w:jc w:val="left"/>
      </w:pPr>
      <w:r w:rsidRPr="0076350C">
        <w:t>Council’s response</w:t>
      </w:r>
      <w:r w:rsidR="0076350C" w:rsidRPr="0076350C">
        <w:t>:</w:t>
      </w:r>
    </w:p>
    <w:p w14:paraId="728CAD7E" w14:textId="714A53B3" w:rsidR="00C9251D" w:rsidRPr="007B0703" w:rsidRDefault="00C9251D" w:rsidP="00C9251D">
      <w:pPr>
        <w:ind w:left="720" w:hanging="720"/>
        <w:jc w:val="left"/>
        <w:rPr>
          <w:rFonts w:cs="Arial"/>
          <w:szCs w:val="24"/>
        </w:rPr>
      </w:pPr>
      <w:r w:rsidRPr="007B0703">
        <w:rPr>
          <w:rFonts w:cs="Arial"/>
          <w:szCs w:val="24"/>
        </w:rPr>
        <w:t>9.</w:t>
      </w:r>
      <w:r>
        <w:rPr>
          <w:rFonts w:cs="Arial"/>
          <w:szCs w:val="24"/>
        </w:rPr>
        <w:t>11</w:t>
      </w:r>
      <w:r w:rsidRPr="007B0703">
        <w:rPr>
          <w:rFonts w:cs="Arial"/>
          <w:szCs w:val="24"/>
        </w:rPr>
        <w:t>.1</w:t>
      </w:r>
      <w:r>
        <w:rPr>
          <w:rFonts w:cs="Arial"/>
          <w:szCs w:val="24"/>
        </w:rPr>
        <w:tab/>
        <w:t xml:space="preserve">The </w:t>
      </w:r>
      <w:r w:rsidRPr="00C9251D">
        <w:rPr>
          <w:rFonts w:cs="Arial"/>
          <w:szCs w:val="24"/>
        </w:rPr>
        <w:t>anticipated five-year housing land requirement on adoption of the plan</w:t>
      </w:r>
      <w:r>
        <w:rPr>
          <w:rFonts w:cs="Arial"/>
          <w:szCs w:val="24"/>
        </w:rPr>
        <w:t xml:space="preserve"> is currently estimated to be </w:t>
      </w:r>
      <w:r w:rsidRPr="009A6EEF">
        <w:rPr>
          <w:rFonts w:cs="Arial"/>
          <w:strike/>
          <w:szCs w:val="24"/>
        </w:rPr>
        <w:t>5.29</w:t>
      </w:r>
      <w:r>
        <w:rPr>
          <w:rFonts w:cs="Arial"/>
          <w:szCs w:val="24"/>
        </w:rPr>
        <w:t xml:space="preserve"> </w:t>
      </w:r>
      <w:r w:rsidR="009A6EEF" w:rsidRPr="009A6EEF">
        <w:rPr>
          <w:rFonts w:cs="Arial"/>
          <w:color w:val="7030A0"/>
          <w:szCs w:val="24"/>
        </w:rPr>
        <w:t xml:space="preserve">5.89 </w:t>
      </w:r>
      <w:r>
        <w:rPr>
          <w:rFonts w:cs="Arial"/>
          <w:szCs w:val="24"/>
        </w:rPr>
        <w:t>years. This is set out in the table in answer to Question 9.</w:t>
      </w:r>
      <w:r w:rsidR="009A6EEF">
        <w:rPr>
          <w:rFonts w:cs="Arial"/>
          <w:szCs w:val="24"/>
        </w:rPr>
        <w:t>8</w:t>
      </w:r>
      <w:r>
        <w:rPr>
          <w:rFonts w:cs="Arial"/>
          <w:szCs w:val="24"/>
        </w:rPr>
        <w:t xml:space="preserve"> above.</w:t>
      </w:r>
    </w:p>
    <w:p w14:paraId="056A41FE" w14:textId="77777777" w:rsidR="008C5C26" w:rsidRPr="00C743A4" w:rsidRDefault="008C5C26" w:rsidP="00C743A4">
      <w:pPr>
        <w:ind w:left="720"/>
        <w:jc w:val="left"/>
        <w:rPr>
          <w:color w:val="0070C0"/>
        </w:rPr>
      </w:pPr>
    </w:p>
    <w:p w14:paraId="38792527" w14:textId="65918F97" w:rsidR="000C09F3" w:rsidRPr="007C6C7B" w:rsidRDefault="000C09F3" w:rsidP="00132ACC">
      <w:pPr>
        <w:pStyle w:val="Heading4"/>
        <w:numPr>
          <w:ilvl w:val="1"/>
          <w:numId w:val="31"/>
        </w:numPr>
        <w:rPr>
          <w:rFonts w:cs="Arial"/>
          <w:b w:val="0"/>
          <w:bCs/>
          <w:i w:val="0"/>
          <w:iCs w:val="0"/>
        </w:rPr>
      </w:pPr>
      <w:r w:rsidRPr="007C6C7B">
        <w:rPr>
          <w:rFonts w:cs="Arial"/>
          <w:bCs/>
        </w:rPr>
        <w:t>How does the five-year requirement compare to previous rates of delivery in Ashfield?</w:t>
      </w:r>
    </w:p>
    <w:p w14:paraId="7CA90269" w14:textId="71E926DE" w:rsidR="00F7430A" w:rsidRPr="0076350C" w:rsidRDefault="00F7430A" w:rsidP="00F7430A">
      <w:pPr>
        <w:jc w:val="left"/>
      </w:pPr>
      <w:r w:rsidRPr="0076350C">
        <w:t>Council’s response</w:t>
      </w:r>
      <w:r w:rsidR="0076350C" w:rsidRPr="0076350C">
        <w:t>:</w:t>
      </w:r>
    </w:p>
    <w:p w14:paraId="6FAAD46B" w14:textId="7F32BE51" w:rsidR="000C09F3" w:rsidRPr="00475DA7" w:rsidRDefault="00C9251D" w:rsidP="00021182">
      <w:pPr>
        <w:ind w:left="720" w:hanging="720"/>
        <w:jc w:val="left"/>
        <w:rPr>
          <w:rFonts w:cs="Arial"/>
          <w:szCs w:val="24"/>
        </w:rPr>
      </w:pPr>
      <w:r w:rsidRPr="00475DA7">
        <w:rPr>
          <w:rFonts w:cs="Arial"/>
          <w:szCs w:val="24"/>
        </w:rPr>
        <w:t>9.12.</w:t>
      </w:r>
      <w:r w:rsidR="00021182" w:rsidRPr="00475DA7">
        <w:rPr>
          <w:rFonts w:cs="Arial"/>
          <w:szCs w:val="24"/>
        </w:rPr>
        <w:t xml:space="preserve">1 The calculated five-year requirement </w:t>
      </w:r>
      <w:r w:rsidR="00021182" w:rsidRPr="005F13C5">
        <w:rPr>
          <w:rFonts w:cs="Arial"/>
          <w:szCs w:val="24"/>
        </w:rPr>
        <w:t xml:space="preserve">at </w:t>
      </w:r>
      <w:r w:rsidR="00021182" w:rsidRPr="005F13C5">
        <w:rPr>
          <w:rFonts w:cs="Arial"/>
          <w:strike/>
          <w:szCs w:val="24"/>
        </w:rPr>
        <w:t>543</w:t>
      </w:r>
      <w:r w:rsidR="00021182" w:rsidRPr="005F13C5">
        <w:rPr>
          <w:rFonts w:cs="Arial"/>
          <w:szCs w:val="24"/>
        </w:rPr>
        <w:t xml:space="preserve"> </w:t>
      </w:r>
      <w:r w:rsidR="00CA3CD6" w:rsidRPr="005F13C5">
        <w:rPr>
          <w:rFonts w:cs="Arial"/>
          <w:color w:val="7030A0"/>
          <w:szCs w:val="24"/>
        </w:rPr>
        <w:t>468</w:t>
      </w:r>
      <w:r w:rsidR="00CA3CD6" w:rsidRPr="005F13C5">
        <w:rPr>
          <w:rFonts w:cs="Arial"/>
          <w:szCs w:val="24"/>
        </w:rPr>
        <w:t xml:space="preserve"> </w:t>
      </w:r>
      <w:r w:rsidR="00021182" w:rsidRPr="005F13C5">
        <w:rPr>
          <w:rFonts w:cs="Arial"/>
          <w:szCs w:val="24"/>
        </w:rPr>
        <w:t xml:space="preserve">dwellings per annum (including a </w:t>
      </w:r>
      <w:r w:rsidR="00CA3CD6" w:rsidRPr="005F13C5">
        <w:rPr>
          <w:rFonts w:cs="Arial"/>
          <w:color w:val="7030A0"/>
          <w:szCs w:val="24"/>
        </w:rPr>
        <w:t>5</w:t>
      </w:r>
      <w:r w:rsidR="00021182" w:rsidRPr="005F13C5">
        <w:rPr>
          <w:rFonts w:cs="Arial"/>
          <w:color w:val="7030A0"/>
          <w:szCs w:val="24"/>
        </w:rPr>
        <w:t>%</w:t>
      </w:r>
      <w:r w:rsidR="00021182" w:rsidRPr="005F13C5">
        <w:rPr>
          <w:rFonts w:cs="Arial"/>
          <w:szCs w:val="24"/>
        </w:rPr>
        <w:t xml:space="preserve"> buffer </w:t>
      </w:r>
      <w:r w:rsidR="00021182" w:rsidRPr="005F13C5">
        <w:rPr>
          <w:rFonts w:cs="Arial"/>
          <w:strike/>
          <w:szCs w:val="24"/>
        </w:rPr>
        <w:t>and estimated under delivery</w:t>
      </w:r>
      <w:r w:rsidR="00021182" w:rsidRPr="005F13C5">
        <w:rPr>
          <w:rFonts w:cs="Arial"/>
          <w:szCs w:val="24"/>
        </w:rPr>
        <w:t>) is higher than the average housing delivery in Ashfield over the past decade</w:t>
      </w:r>
      <w:r w:rsidR="00475DA7" w:rsidRPr="005F13C5">
        <w:rPr>
          <w:rFonts w:cs="Arial"/>
          <w:szCs w:val="24"/>
        </w:rPr>
        <w:t xml:space="preserve"> which equates to </w:t>
      </w:r>
      <w:r w:rsidR="00475DA7" w:rsidRPr="005F13C5">
        <w:rPr>
          <w:rFonts w:cs="Arial"/>
          <w:strike/>
          <w:szCs w:val="24"/>
        </w:rPr>
        <w:t>404</w:t>
      </w:r>
      <w:r w:rsidR="00475DA7" w:rsidRPr="005F13C5">
        <w:rPr>
          <w:rFonts w:cs="Arial"/>
          <w:szCs w:val="24"/>
        </w:rPr>
        <w:t xml:space="preserve"> </w:t>
      </w:r>
      <w:r w:rsidR="005F13C5" w:rsidRPr="005F13C5">
        <w:rPr>
          <w:rFonts w:cs="Arial"/>
          <w:color w:val="7030A0"/>
          <w:szCs w:val="24"/>
        </w:rPr>
        <w:t>405</w:t>
      </w:r>
      <w:r w:rsidR="005F13C5">
        <w:rPr>
          <w:rFonts w:cs="Arial"/>
          <w:szCs w:val="24"/>
        </w:rPr>
        <w:t xml:space="preserve"> </w:t>
      </w:r>
      <w:r w:rsidR="00475DA7" w:rsidRPr="005F13C5">
        <w:rPr>
          <w:rFonts w:cs="Arial"/>
          <w:szCs w:val="24"/>
        </w:rPr>
        <w:t>dwellings</w:t>
      </w:r>
      <w:r w:rsidR="00475DA7">
        <w:rPr>
          <w:rFonts w:cs="Arial"/>
          <w:szCs w:val="24"/>
        </w:rPr>
        <w:t xml:space="preserve"> (see below)</w:t>
      </w:r>
      <w:r w:rsidR="00475DA7" w:rsidRPr="00475DA7">
        <w:rPr>
          <w:rFonts w:cs="Arial"/>
          <w:szCs w:val="24"/>
        </w:rPr>
        <w:t>.</w:t>
      </w:r>
    </w:p>
    <w:p w14:paraId="58F87BAD" w14:textId="7AAC0718" w:rsidR="00021182" w:rsidRPr="005F13C5" w:rsidRDefault="00475DA7" w:rsidP="00513066">
      <w:pPr>
        <w:ind w:left="720" w:hanging="578"/>
        <w:jc w:val="left"/>
        <w:rPr>
          <w:rFonts w:cs="Arial"/>
          <w:b/>
          <w:bCs/>
          <w:i/>
          <w:iCs/>
          <w:strike/>
          <w:sz w:val="22"/>
        </w:rPr>
      </w:pPr>
      <w:r w:rsidRPr="005F13C5">
        <w:rPr>
          <w:rFonts w:cs="Arial"/>
          <w:b/>
          <w:bCs/>
          <w:i/>
          <w:iCs/>
          <w:strike/>
          <w:sz w:val="22"/>
        </w:rPr>
        <w:t>Historic Annual Housing Completions 1st April 2014 - 31st March 2024</w:t>
      </w:r>
    </w:p>
    <w:tbl>
      <w:tblPr>
        <w:tblW w:w="9539" w:type="dxa"/>
        <w:tblInd w:w="137" w:type="dxa"/>
        <w:tblLook w:val="04A0" w:firstRow="1" w:lastRow="0" w:firstColumn="1" w:lastColumn="0" w:noHBand="0" w:noVBand="1"/>
      </w:tblPr>
      <w:tblGrid>
        <w:gridCol w:w="1413"/>
        <w:gridCol w:w="1158"/>
        <w:gridCol w:w="1394"/>
        <w:gridCol w:w="1476"/>
        <w:gridCol w:w="1366"/>
        <w:gridCol w:w="1293"/>
        <w:gridCol w:w="1439"/>
      </w:tblGrid>
      <w:tr w:rsidR="00021182" w:rsidRPr="005F13C5" w14:paraId="1468B307" w14:textId="77777777" w:rsidTr="00513066">
        <w:trPr>
          <w:trHeight w:val="1560"/>
        </w:trPr>
        <w:tc>
          <w:tcPr>
            <w:tcW w:w="14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2974D42"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 xml:space="preserve">Year </w:t>
            </w:r>
            <w:proofErr w:type="gramStart"/>
            <w:r w:rsidRPr="005F13C5">
              <w:rPr>
                <w:rFonts w:eastAsia="Times New Roman" w:cs="Arial"/>
                <w:strike/>
                <w:sz w:val="22"/>
                <w:lang w:eastAsia="en-GB"/>
              </w:rPr>
              <w:t>completed  (</w:t>
            </w:r>
            <w:proofErr w:type="gramEnd"/>
            <w:r w:rsidRPr="005F13C5">
              <w:rPr>
                <w:rFonts w:eastAsia="Times New Roman" w:cs="Arial"/>
                <w:strike/>
                <w:sz w:val="22"/>
                <w:lang w:eastAsia="en-GB"/>
              </w:rPr>
              <w:t>1st April - 31st March)</w:t>
            </w:r>
          </w:p>
        </w:tc>
        <w:tc>
          <w:tcPr>
            <w:tcW w:w="1158" w:type="dxa"/>
            <w:tcBorders>
              <w:top w:val="single" w:sz="4" w:space="0" w:color="auto"/>
              <w:left w:val="nil"/>
              <w:bottom w:val="single" w:sz="4" w:space="0" w:color="auto"/>
              <w:right w:val="single" w:sz="4" w:space="0" w:color="auto"/>
            </w:tcBorders>
            <w:shd w:val="clear" w:color="000000" w:fill="D9D9D9"/>
            <w:vAlign w:val="bottom"/>
            <w:hideMark/>
          </w:tcPr>
          <w:p w14:paraId="0108F685"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Total Dwellings delivered on New Build Sites</w:t>
            </w:r>
          </w:p>
        </w:tc>
        <w:tc>
          <w:tcPr>
            <w:tcW w:w="1394" w:type="dxa"/>
            <w:tcBorders>
              <w:top w:val="single" w:sz="4" w:space="0" w:color="auto"/>
              <w:left w:val="nil"/>
              <w:bottom w:val="single" w:sz="4" w:space="0" w:color="auto"/>
              <w:right w:val="single" w:sz="4" w:space="0" w:color="auto"/>
            </w:tcBorders>
            <w:shd w:val="clear" w:color="000000" w:fill="D9D9D9"/>
            <w:vAlign w:val="bottom"/>
            <w:hideMark/>
          </w:tcPr>
          <w:p w14:paraId="4FE5F3BA"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Net Additions through Conversion/          Change of Use</w:t>
            </w:r>
          </w:p>
        </w:tc>
        <w:tc>
          <w:tcPr>
            <w:tcW w:w="1476" w:type="dxa"/>
            <w:tcBorders>
              <w:top w:val="single" w:sz="4" w:space="0" w:color="auto"/>
              <w:left w:val="nil"/>
              <w:bottom w:val="single" w:sz="4" w:space="0" w:color="auto"/>
              <w:right w:val="single" w:sz="4" w:space="0" w:color="auto"/>
            </w:tcBorders>
            <w:shd w:val="clear" w:color="000000" w:fill="D9D9D9"/>
            <w:vAlign w:val="bottom"/>
            <w:hideMark/>
          </w:tcPr>
          <w:p w14:paraId="43C4153E"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Net additions through permitted development</w:t>
            </w:r>
          </w:p>
        </w:tc>
        <w:tc>
          <w:tcPr>
            <w:tcW w:w="1366" w:type="dxa"/>
            <w:tcBorders>
              <w:top w:val="single" w:sz="4" w:space="0" w:color="auto"/>
              <w:left w:val="nil"/>
              <w:bottom w:val="single" w:sz="4" w:space="0" w:color="auto"/>
              <w:right w:val="single" w:sz="4" w:space="0" w:color="auto"/>
            </w:tcBorders>
            <w:shd w:val="clear" w:color="000000" w:fill="D9D9D9"/>
            <w:vAlign w:val="bottom"/>
            <w:hideMark/>
          </w:tcPr>
          <w:p w14:paraId="546FB554"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Demolitions</w:t>
            </w:r>
          </w:p>
        </w:tc>
        <w:tc>
          <w:tcPr>
            <w:tcW w:w="1293" w:type="dxa"/>
            <w:tcBorders>
              <w:top w:val="single" w:sz="4" w:space="0" w:color="auto"/>
              <w:left w:val="nil"/>
              <w:bottom w:val="single" w:sz="4" w:space="0" w:color="auto"/>
              <w:right w:val="single" w:sz="4" w:space="0" w:color="auto"/>
            </w:tcBorders>
            <w:shd w:val="clear" w:color="000000" w:fill="D9D9D9"/>
            <w:vAlign w:val="bottom"/>
            <w:hideMark/>
          </w:tcPr>
          <w:p w14:paraId="5C8C2E22"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C2 Care Home additions (dwelling equivalent)</w:t>
            </w:r>
          </w:p>
        </w:tc>
        <w:tc>
          <w:tcPr>
            <w:tcW w:w="1439" w:type="dxa"/>
            <w:tcBorders>
              <w:top w:val="single" w:sz="4" w:space="0" w:color="auto"/>
              <w:left w:val="nil"/>
              <w:bottom w:val="single" w:sz="4" w:space="0" w:color="auto"/>
              <w:right w:val="single" w:sz="4" w:space="0" w:color="auto"/>
            </w:tcBorders>
            <w:shd w:val="clear" w:color="000000" w:fill="D9D9D9"/>
            <w:vAlign w:val="bottom"/>
            <w:hideMark/>
          </w:tcPr>
          <w:p w14:paraId="08D2A74C"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Total Net Completions</w:t>
            </w:r>
          </w:p>
        </w:tc>
      </w:tr>
      <w:tr w:rsidR="00021182" w:rsidRPr="005F13C5" w14:paraId="6FD3E3BC"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0FA8D1A9"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2014 - 2015</w:t>
            </w:r>
          </w:p>
        </w:tc>
        <w:tc>
          <w:tcPr>
            <w:tcW w:w="1158" w:type="dxa"/>
            <w:tcBorders>
              <w:top w:val="nil"/>
              <w:left w:val="nil"/>
              <w:bottom w:val="single" w:sz="4" w:space="0" w:color="auto"/>
              <w:right w:val="single" w:sz="4" w:space="0" w:color="auto"/>
            </w:tcBorders>
            <w:noWrap/>
            <w:vAlign w:val="bottom"/>
            <w:hideMark/>
          </w:tcPr>
          <w:p w14:paraId="1968837E"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448</w:t>
            </w:r>
          </w:p>
        </w:tc>
        <w:tc>
          <w:tcPr>
            <w:tcW w:w="1394" w:type="dxa"/>
            <w:tcBorders>
              <w:top w:val="nil"/>
              <w:left w:val="nil"/>
              <w:bottom w:val="single" w:sz="4" w:space="0" w:color="auto"/>
              <w:right w:val="single" w:sz="4" w:space="0" w:color="auto"/>
            </w:tcBorders>
            <w:noWrap/>
            <w:vAlign w:val="bottom"/>
            <w:hideMark/>
          </w:tcPr>
          <w:p w14:paraId="5989435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19</w:t>
            </w:r>
          </w:p>
        </w:tc>
        <w:tc>
          <w:tcPr>
            <w:tcW w:w="1476" w:type="dxa"/>
            <w:tcBorders>
              <w:top w:val="nil"/>
              <w:left w:val="nil"/>
              <w:bottom w:val="single" w:sz="4" w:space="0" w:color="auto"/>
              <w:right w:val="single" w:sz="4" w:space="0" w:color="auto"/>
            </w:tcBorders>
            <w:noWrap/>
            <w:vAlign w:val="bottom"/>
            <w:hideMark/>
          </w:tcPr>
          <w:p w14:paraId="01E8BD18"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n/a</w:t>
            </w:r>
          </w:p>
        </w:tc>
        <w:tc>
          <w:tcPr>
            <w:tcW w:w="1366" w:type="dxa"/>
            <w:tcBorders>
              <w:top w:val="nil"/>
              <w:left w:val="nil"/>
              <w:bottom w:val="single" w:sz="4" w:space="0" w:color="auto"/>
              <w:right w:val="single" w:sz="4" w:space="0" w:color="auto"/>
            </w:tcBorders>
            <w:noWrap/>
            <w:vAlign w:val="bottom"/>
            <w:hideMark/>
          </w:tcPr>
          <w:p w14:paraId="58AAF17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42</w:t>
            </w:r>
          </w:p>
        </w:tc>
        <w:tc>
          <w:tcPr>
            <w:tcW w:w="1293" w:type="dxa"/>
            <w:tcBorders>
              <w:top w:val="nil"/>
              <w:left w:val="nil"/>
              <w:bottom w:val="single" w:sz="4" w:space="0" w:color="auto"/>
              <w:right w:val="single" w:sz="4" w:space="0" w:color="auto"/>
            </w:tcBorders>
            <w:vAlign w:val="bottom"/>
            <w:hideMark/>
          </w:tcPr>
          <w:p w14:paraId="30FD974E"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25</w:t>
            </w:r>
          </w:p>
        </w:tc>
        <w:tc>
          <w:tcPr>
            <w:tcW w:w="1439" w:type="dxa"/>
            <w:tcBorders>
              <w:top w:val="nil"/>
              <w:left w:val="nil"/>
              <w:bottom w:val="single" w:sz="4" w:space="0" w:color="auto"/>
              <w:right w:val="single" w:sz="4" w:space="0" w:color="auto"/>
            </w:tcBorders>
            <w:vAlign w:val="bottom"/>
            <w:hideMark/>
          </w:tcPr>
          <w:p w14:paraId="0BA2639B"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450</w:t>
            </w:r>
          </w:p>
        </w:tc>
      </w:tr>
      <w:tr w:rsidR="00021182" w:rsidRPr="005F13C5" w14:paraId="3E400E31"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2ED48681"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2015 - 2016</w:t>
            </w:r>
          </w:p>
        </w:tc>
        <w:tc>
          <w:tcPr>
            <w:tcW w:w="1158" w:type="dxa"/>
            <w:tcBorders>
              <w:top w:val="nil"/>
              <w:left w:val="nil"/>
              <w:bottom w:val="single" w:sz="4" w:space="0" w:color="auto"/>
              <w:right w:val="single" w:sz="4" w:space="0" w:color="auto"/>
            </w:tcBorders>
            <w:noWrap/>
            <w:vAlign w:val="bottom"/>
            <w:hideMark/>
          </w:tcPr>
          <w:p w14:paraId="26332EA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540</w:t>
            </w:r>
          </w:p>
        </w:tc>
        <w:tc>
          <w:tcPr>
            <w:tcW w:w="1394" w:type="dxa"/>
            <w:tcBorders>
              <w:top w:val="nil"/>
              <w:left w:val="nil"/>
              <w:bottom w:val="single" w:sz="4" w:space="0" w:color="auto"/>
              <w:right w:val="single" w:sz="4" w:space="0" w:color="auto"/>
            </w:tcBorders>
            <w:noWrap/>
            <w:vAlign w:val="bottom"/>
            <w:hideMark/>
          </w:tcPr>
          <w:p w14:paraId="1490B666"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23</w:t>
            </w:r>
          </w:p>
        </w:tc>
        <w:tc>
          <w:tcPr>
            <w:tcW w:w="1476" w:type="dxa"/>
            <w:tcBorders>
              <w:top w:val="nil"/>
              <w:left w:val="nil"/>
              <w:bottom w:val="single" w:sz="4" w:space="0" w:color="auto"/>
              <w:right w:val="single" w:sz="4" w:space="0" w:color="auto"/>
            </w:tcBorders>
            <w:noWrap/>
            <w:vAlign w:val="bottom"/>
            <w:hideMark/>
          </w:tcPr>
          <w:p w14:paraId="0EB22DB7"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n/a</w:t>
            </w:r>
          </w:p>
        </w:tc>
        <w:tc>
          <w:tcPr>
            <w:tcW w:w="1366" w:type="dxa"/>
            <w:tcBorders>
              <w:top w:val="nil"/>
              <w:left w:val="nil"/>
              <w:bottom w:val="single" w:sz="4" w:space="0" w:color="auto"/>
              <w:right w:val="single" w:sz="4" w:space="0" w:color="auto"/>
            </w:tcBorders>
            <w:noWrap/>
            <w:vAlign w:val="bottom"/>
            <w:hideMark/>
          </w:tcPr>
          <w:p w14:paraId="649083F8"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w:t>
            </w:r>
          </w:p>
        </w:tc>
        <w:tc>
          <w:tcPr>
            <w:tcW w:w="1293" w:type="dxa"/>
            <w:tcBorders>
              <w:top w:val="nil"/>
              <w:left w:val="nil"/>
              <w:bottom w:val="single" w:sz="4" w:space="0" w:color="auto"/>
              <w:right w:val="single" w:sz="4" w:space="0" w:color="auto"/>
            </w:tcBorders>
            <w:vAlign w:val="bottom"/>
            <w:hideMark/>
          </w:tcPr>
          <w:p w14:paraId="1723ADAB"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2</w:t>
            </w:r>
          </w:p>
        </w:tc>
        <w:tc>
          <w:tcPr>
            <w:tcW w:w="1439" w:type="dxa"/>
            <w:tcBorders>
              <w:top w:val="nil"/>
              <w:left w:val="nil"/>
              <w:bottom w:val="single" w:sz="4" w:space="0" w:color="auto"/>
              <w:right w:val="single" w:sz="4" w:space="0" w:color="auto"/>
            </w:tcBorders>
            <w:vAlign w:val="bottom"/>
            <w:hideMark/>
          </w:tcPr>
          <w:p w14:paraId="4ECA342A"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560</w:t>
            </w:r>
          </w:p>
        </w:tc>
      </w:tr>
      <w:tr w:rsidR="00021182" w:rsidRPr="005F13C5" w14:paraId="55A15488"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3A6D4CF6"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2016 - 2017</w:t>
            </w:r>
          </w:p>
        </w:tc>
        <w:tc>
          <w:tcPr>
            <w:tcW w:w="1158" w:type="dxa"/>
            <w:tcBorders>
              <w:top w:val="nil"/>
              <w:left w:val="nil"/>
              <w:bottom w:val="single" w:sz="4" w:space="0" w:color="auto"/>
              <w:right w:val="single" w:sz="4" w:space="0" w:color="auto"/>
            </w:tcBorders>
            <w:noWrap/>
            <w:vAlign w:val="bottom"/>
            <w:hideMark/>
          </w:tcPr>
          <w:p w14:paraId="009E0034"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510</w:t>
            </w:r>
          </w:p>
        </w:tc>
        <w:tc>
          <w:tcPr>
            <w:tcW w:w="1394" w:type="dxa"/>
            <w:tcBorders>
              <w:top w:val="nil"/>
              <w:left w:val="nil"/>
              <w:bottom w:val="single" w:sz="4" w:space="0" w:color="auto"/>
              <w:right w:val="single" w:sz="4" w:space="0" w:color="auto"/>
            </w:tcBorders>
            <w:noWrap/>
            <w:vAlign w:val="bottom"/>
            <w:hideMark/>
          </w:tcPr>
          <w:p w14:paraId="487A82C9"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34</w:t>
            </w:r>
          </w:p>
        </w:tc>
        <w:tc>
          <w:tcPr>
            <w:tcW w:w="1476" w:type="dxa"/>
            <w:tcBorders>
              <w:top w:val="nil"/>
              <w:left w:val="nil"/>
              <w:bottom w:val="single" w:sz="4" w:space="0" w:color="auto"/>
              <w:right w:val="single" w:sz="4" w:space="0" w:color="auto"/>
            </w:tcBorders>
            <w:noWrap/>
            <w:vAlign w:val="bottom"/>
            <w:hideMark/>
          </w:tcPr>
          <w:p w14:paraId="1EF8463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n/a</w:t>
            </w:r>
          </w:p>
        </w:tc>
        <w:tc>
          <w:tcPr>
            <w:tcW w:w="1366" w:type="dxa"/>
            <w:tcBorders>
              <w:top w:val="nil"/>
              <w:left w:val="nil"/>
              <w:bottom w:val="single" w:sz="4" w:space="0" w:color="auto"/>
              <w:right w:val="single" w:sz="4" w:space="0" w:color="auto"/>
            </w:tcBorders>
            <w:noWrap/>
            <w:vAlign w:val="bottom"/>
            <w:hideMark/>
          </w:tcPr>
          <w:p w14:paraId="35A99DB1"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0</w:t>
            </w:r>
          </w:p>
        </w:tc>
        <w:tc>
          <w:tcPr>
            <w:tcW w:w="1293" w:type="dxa"/>
            <w:tcBorders>
              <w:top w:val="nil"/>
              <w:left w:val="nil"/>
              <w:bottom w:val="single" w:sz="4" w:space="0" w:color="auto"/>
              <w:right w:val="single" w:sz="4" w:space="0" w:color="auto"/>
            </w:tcBorders>
            <w:vAlign w:val="bottom"/>
            <w:hideMark/>
          </w:tcPr>
          <w:p w14:paraId="47136B9D"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38</w:t>
            </w:r>
          </w:p>
        </w:tc>
        <w:tc>
          <w:tcPr>
            <w:tcW w:w="1439" w:type="dxa"/>
            <w:tcBorders>
              <w:top w:val="nil"/>
              <w:left w:val="nil"/>
              <w:bottom w:val="single" w:sz="4" w:space="0" w:color="auto"/>
              <w:right w:val="single" w:sz="4" w:space="0" w:color="auto"/>
            </w:tcBorders>
            <w:vAlign w:val="bottom"/>
            <w:hideMark/>
          </w:tcPr>
          <w:p w14:paraId="4F14377B"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582</w:t>
            </w:r>
          </w:p>
        </w:tc>
      </w:tr>
      <w:tr w:rsidR="00021182" w:rsidRPr="005F13C5" w14:paraId="32FDDAEF"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2934BFFF"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2017 - 2018</w:t>
            </w:r>
          </w:p>
        </w:tc>
        <w:tc>
          <w:tcPr>
            <w:tcW w:w="1158" w:type="dxa"/>
            <w:tcBorders>
              <w:top w:val="nil"/>
              <w:left w:val="nil"/>
              <w:bottom w:val="single" w:sz="4" w:space="0" w:color="auto"/>
              <w:right w:val="single" w:sz="4" w:space="0" w:color="auto"/>
            </w:tcBorders>
            <w:noWrap/>
            <w:vAlign w:val="bottom"/>
            <w:hideMark/>
          </w:tcPr>
          <w:p w14:paraId="0F8651DD"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348</w:t>
            </w:r>
          </w:p>
        </w:tc>
        <w:tc>
          <w:tcPr>
            <w:tcW w:w="1394" w:type="dxa"/>
            <w:tcBorders>
              <w:top w:val="nil"/>
              <w:left w:val="nil"/>
              <w:bottom w:val="single" w:sz="4" w:space="0" w:color="auto"/>
              <w:right w:val="single" w:sz="4" w:space="0" w:color="auto"/>
            </w:tcBorders>
            <w:noWrap/>
            <w:vAlign w:val="bottom"/>
            <w:hideMark/>
          </w:tcPr>
          <w:p w14:paraId="2EFF33D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48</w:t>
            </w:r>
          </w:p>
        </w:tc>
        <w:tc>
          <w:tcPr>
            <w:tcW w:w="1476" w:type="dxa"/>
            <w:tcBorders>
              <w:top w:val="nil"/>
              <w:left w:val="nil"/>
              <w:bottom w:val="single" w:sz="4" w:space="0" w:color="auto"/>
              <w:right w:val="single" w:sz="4" w:space="0" w:color="auto"/>
            </w:tcBorders>
            <w:noWrap/>
            <w:vAlign w:val="bottom"/>
            <w:hideMark/>
          </w:tcPr>
          <w:p w14:paraId="0F73E366"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w:t>
            </w:r>
          </w:p>
        </w:tc>
        <w:tc>
          <w:tcPr>
            <w:tcW w:w="1366" w:type="dxa"/>
            <w:tcBorders>
              <w:top w:val="nil"/>
              <w:left w:val="nil"/>
              <w:bottom w:val="single" w:sz="4" w:space="0" w:color="auto"/>
              <w:right w:val="single" w:sz="4" w:space="0" w:color="auto"/>
            </w:tcBorders>
            <w:noWrap/>
            <w:vAlign w:val="bottom"/>
            <w:hideMark/>
          </w:tcPr>
          <w:p w14:paraId="6BE766F1"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w:t>
            </w:r>
          </w:p>
        </w:tc>
        <w:tc>
          <w:tcPr>
            <w:tcW w:w="1293" w:type="dxa"/>
            <w:tcBorders>
              <w:top w:val="nil"/>
              <w:left w:val="nil"/>
              <w:bottom w:val="single" w:sz="4" w:space="0" w:color="auto"/>
              <w:right w:val="single" w:sz="4" w:space="0" w:color="auto"/>
            </w:tcBorders>
            <w:vAlign w:val="bottom"/>
            <w:hideMark/>
          </w:tcPr>
          <w:p w14:paraId="27650FCF"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5</w:t>
            </w:r>
          </w:p>
        </w:tc>
        <w:tc>
          <w:tcPr>
            <w:tcW w:w="1439" w:type="dxa"/>
            <w:tcBorders>
              <w:top w:val="nil"/>
              <w:left w:val="nil"/>
              <w:bottom w:val="single" w:sz="4" w:space="0" w:color="auto"/>
              <w:right w:val="single" w:sz="4" w:space="0" w:color="auto"/>
            </w:tcBorders>
            <w:vAlign w:val="bottom"/>
            <w:hideMark/>
          </w:tcPr>
          <w:p w14:paraId="6B1C2D2C"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402</w:t>
            </w:r>
          </w:p>
        </w:tc>
      </w:tr>
      <w:tr w:rsidR="00021182" w:rsidRPr="005F13C5" w14:paraId="18E54BE7"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4FC4D6AB"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2018 - 2019</w:t>
            </w:r>
          </w:p>
        </w:tc>
        <w:tc>
          <w:tcPr>
            <w:tcW w:w="1158" w:type="dxa"/>
            <w:tcBorders>
              <w:top w:val="nil"/>
              <w:left w:val="nil"/>
              <w:bottom w:val="single" w:sz="4" w:space="0" w:color="auto"/>
              <w:right w:val="single" w:sz="4" w:space="0" w:color="auto"/>
            </w:tcBorders>
            <w:noWrap/>
            <w:vAlign w:val="bottom"/>
            <w:hideMark/>
          </w:tcPr>
          <w:p w14:paraId="01AF4AB4"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268</w:t>
            </w:r>
          </w:p>
        </w:tc>
        <w:tc>
          <w:tcPr>
            <w:tcW w:w="1394" w:type="dxa"/>
            <w:tcBorders>
              <w:top w:val="nil"/>
              <w:left w:val="nil"/>
              <w:bottom w:val="single" w:sz="4" w:space="0" w:color="auto"/>
              <w:right w:val="single" w:sz="4" w:space="0" w:color="auto"/>
            </w:tcBorders>
            <w:noWrap/>
            <w:vAlign w:val="bottom"/>
            <w:hideMark/>
          </w:tcPr>
          <w:p w14:paraId="3CD18DF8"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28</w:t>
            </w:r>
          </w:p>
        </w:tc>
        <w:tc>
          <w:tcPr>
            <w:tcW w:w="1476" w:type="dxa"/>
            <w:tcBorders>
              <w:top w:val="nil"/>
              <w:left w:val="nil"/>
              <w:bottom w:val="single" w:sz="4" w:space="0" w:color="auto"/>
              <w:right w:val="single" w:sz="4" w:space="0" w:color="auto"/>
            </w:tcBorders>
            <w:noWrap/>
            <w:vAlign w:val="bottom"/>
            <w:hideMark/>
          </w:tcPr>
          <w:p w14:paraId="4E402DE0"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w:t>
            </w:r>
          </w:p>
        </w:tc>
        <w:tc>
          <w:tcPr>
            <w:tcW w:w="1366" w:type="dxa"/>
            <w:tcBorders>
              <w:top w:val="nil"/>
              <w:left w:val="nil"/>
              <w:bottom w:val="single" w:sz="4" w:space="0" w:color="auto"/>
              <w:right w:val="single" w:sz="4" w:space="0" w:color="auto"/>
            </w:tcBorders>
            <w:noWrap/>
            <w:vAlign w:val="bottom"/>
            <w:hideMark/>
          </w:tcPr>
          <w:p w14:paraId="0F2CBF7F"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w:t>
            </w:r>
          </w:p>
        </w:tc>
        <w:tc>
          <w:tcPr>
            <w:tcW w:w="1293" w:type="dxa"/>
            <w:tcBorders>
              <w:top w:val="nil"/>
              <w:left w:val="nil"/>
              <w:bottom w:val="single" w:sz="4" w:space="0" w:color="auto"/>
              <w:right w:val="single" w:sz="4" w:space="0" w:color="auto"/>
            </w:tcBorders>
            <w:vAlign w:val="bottom"/>
            <w:hideMark/>
          </w:tcPr>
          <w:p w14:paraId="42BB2BCD"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44</w:t>
            </w:r>
          </w:p>
        </w:tc>
        <w:tc>
          <w:tcPr>
            <w:tcW w:w="1439" w:type="dxa"/>
            <w:tcBorders>
              <w:top w:val="nil"/>
              <w:left w:val="nil"/>
              <w:bottom w:val="single" w:sz="4" w:space="0" w:color="auto"/>
              <w:right w:val="single" w:sz="4" w:space="0" w:color="auto"/>
            </w:tcBorders>
            <w:vAlign w:val="bottom"/>
            <w:hideMark/>
          </w:tcPr>
          <w:p w14:paraId="218C27F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344</w:t>
            </w:r>
          </w:p>
        </w:tc>
      </w:tr>
      <w:tr w:rsidR="00021182" w:rsidRPr="005F13C5" w14:paraId="44E2A6B6"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2F9DA05B"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2019 - 2020</w:t>
            </w:r>
          </w:p>
        </w:tc>
        <w:tc>
          <w:tcPr>
            <w:tcW w:w="1158" w:type="dxa"/>
            <w:tcBorders>
              <w:top w:val="nil"/>
              <w:left w:val="nil"/>
              <w:bottom w:val="single" w:sz="4" w:space="0" w:color="auto"/>
              <w:right w:val="single" w:sz="4" w:space="0" w:color="auto"/>
            </w:tcBorders>
            <w:noWrap/>
            <w:vAlign w:val="bottom"/>
            <w:hideMark/>
          </w:tcPr>
          <w:p w14:paraId="5ACDB0C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165</w:t>
            </w:r>
          </w:p>
        </w:tc>
        <w:tc>
          <w:tcPr>
            <w:tcW w:w="1394" w:type="dxa"/>
            <w:tcBorders>
              <w:top w:val="nil"/>
              <w:left w:val="nil"/>
              <w:bottom w:val="single" w:sz="4" w:space="0" w:color="auto"/>
              <w:right w:val="single" w:sz="4" w:space="0" w:color="auto"/>
            </w:tcBorders>
            <w:noWrap/>
            <w:vAlign w:val="bottom"/>
            <w:hideMark/>
          </w:tcPr>
          <w:p w14:paraId="200305C1"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9</w:t>
            </w:r>
          </w:p>
        </w:tc>
        <w:tc>
          <w:tcPr>
            <w:tcW w:w="1476" w:type="dxa"/>
            <w:tcBorders>
              <w:top w:val="nil"/>
              <w:left w:val="nil"/>
              <w:bottom w:val="single" w:sz="4" w:space="0" w:color="auto"/>
              <w:right w:val="single" w:sz="4" w:space="0" w:color="auto"/>
            </w:tcBorders>
            <w:noWrap/>
            <w:vAlign w:val="bottom"/>
            <w:hideMark/>
          </w:tcPr>
          <w:p w14:paraId="2F00850C"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w:t>
            </w:r>
          </w:p>
        </w:tc>
        <w:tc>
          <w:tcPr>
            <w:tcW w:w="1366" w:type="dxa"/>
            <w:tcBorders>
              <w:top w:val="nil"/>
              <w:left w:val="nil"/>
              <w:bottom w:val="single" w:sz="4" w:space="0" w:color="auto"/>
              <w:right w:val="single" w:sz="4" w:space="0" w:color="auto"/>
            </w:tcBorders>
            <w:noWrap/>
            <w:vAlign w:val="bottom"/>
            <w:hideMark/>
          </w:tcPr>
          <w:p w14:paraId="41FCDF39"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w:t>
            </w:r>
          </w:p>
        </w:tc>
        <w:tc>
          <w:tcPr>
            <w:tcW w:w="1293" w:type="dxa"/>
            <w:tcBorders>
              <w:top w:val="nil"/>
              <w:left w:val="nil"/>
              <w:bottom w:val="single" w:sz="4" w:space="0" w:color="auto"/>
              <w:right w:val="single" w:sz="4" w:space="0" w:color="auto"/>
            </w:tcBorders>
            <w:vAlign w:val="bottom"/>
            <w:hideMark/>
          </w:tcPr>
          <w:p w14:paraId="1D0C5A96"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0</w:t>
            </w:r>
          </w:p>
        </w:tc>
        <w:tc>
          <w:tcPr>
            <w:tcW w:w="1439" w:type="dxa"/>
            <w:tcBorders>
              <w:top w:val="nil"/>
              <w:left w:val="nil"/>
              <w:bottom w:val="single" w:sz="4" w:space="0" w:color="auto"/>
              <w:right w:val="single" w:sz="4" w:space="0" w:color="auto"/>
            </w:tcBorders>
            <w:vAlign w:val="bottom"/>
            <w:hideMark/>
          </w:tcPr>
          <w:p w14:paraId="7DFBEDE7"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173</w:t>
            </w:r>
          </w:p>
        </w:tc>
      </w:tr>
      <w:tr w:rsidR="00021182" w:rsidRPr="005F13C5" w14:paraId="2BEDAF35"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46226E42"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2020 - 2021</w:t>
            </w:r>
          </w:p>
        </w:tc>
        <w:tc>
          <w:tcPr>
            <w:tcW w:w="1158" w:type="dxa"/>
            <w:tcBorders>
              <w:top w:val="nil"/>
              <w:left w:val="nil"/>
              <w:bottom w:val="single" w:sz="4" w:space="0" w:color="auto"/>
              <w:right w:val="single" w:sz="4" w:space="0" w:color="auto"/>
            </w:tcBorders>
            <w:noWrap/>
            <w:vAlign w:val="bottom"/>
            <w:hideMark/>
          </w:tcPr>
          <w:p w14:paraId="44E10A3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238</w:t>
            </w:r>
          </w:p>
        </w:tc>
        <w:tc>
          <w:tcPr>
            <w:tcW w:w="1394" w:type="dxa"/>
            <w:tcBorders>
              <w:top w:val="nil"/>
              <w:left w:val="nil"/>
              <w:bottom w:val="single" w:sz="4" w:space="0" w:color="auto"/>
              <w:right w:val="single" w:sz="4" w:space="0" w:color="auto"/>
            </w:tcBorders>
            <w:noWrap/>
            <w:vAlign w:val="bottom"/>
            <w:hideMark/>
          </w:tcPr>
          <w:p w14:paraId="0851043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23</w:t>
            </w:r>
          </w:p>
        </w:tc>
        <w:tc>
          <w:tcPr>
            <w:tcW w:w="1476" w:type="dxa"/>
            <w:tcBorders>
              <w:top w:val="nil"/>
              <w:left w:val="nil"/>
              <w:bottom w:val="single" w:sz="4" w:space="0" w:color="auto"/>
              <w:right w:val="single" w:sz="4" w:space="0" w:color="auto"/>
            </w:tcBorders>
            <w:noWrap/>
            <w:vAlign w:val="bottom"/>
            <w:hideMark/>
          </w:tcPr>
          <w:p w14:paraId="271AB87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8</w:t>
            </w:r>
          </w:p>
        </w:tc>
        <w:tc>
          <w:tcPr>
            <w:tcW w:w="1366" w:type="dxa"/>
            <w:tcBorders>
              <w:top w:val="nil"/>
              <w:left w:val="nil"/>
              <w:bottom w:val="single" w:sz="4" w:space="0" w:color="auto"/>
              <w:right w:val="single" w:sz="4" w:space="0" w:color="auto"/>
            </w:tcBorders>
            <w:noWrap/>
            <w:vAlign w:val="bottom"/>
            <w:hideMark/>
          </w:tcPr>
          <w:p w14:paraId="4722D5CA"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w:t>
            </w:r>
          </w:p>
        </w:tc>
        <w:tc>
          <w:tcPr>
            <w:tcW w:w="1293" w:type="dxa"/>
            <w:tcBorders>
              <w:top w:val="nil"/>
              <w:left w:val="nil"/>
              <w:bottom w:val="single" w:sz="4" w:space="0" w:color="auto"/>
              <w:right w:val="single" w:sz="4" w:space="0" w:color="auto"/>
            </w:tcBorders>
            <w:vAlign w:val="bottom"/>
            <w:hideMark/>
          </w:tcPr>
          <w:p w14:paraId="1E708133"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48</w:t>
            </w:r>
          </w:p>
        </w:tc>
        <w:tc>
          <w:tcPr>
            <w:tcW w:w="1439" w:type="dxa"/>
            <w:tcBorders>
              <w:top w:val="nil"/>
              <w:left w:val="nil"/>
              <w:bottom w:val="single" w:sz="4" w:space="0" w:color="auto"/>
              <w:right w:val="single" w:sz="4" w:space="0" w:color="auto"/>
            </w:tcBorders>
            <w:vAlign w:val="bottom"/>
            <w:hideMark/>
          </w:tcPr>
          <w:p w14:paraId="5D193AB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313</w:t>
            </w:r>
          </w:p>
        </w:tc>
      </w:tr>
      <w:tr w:rsidR="00021182" w:rsidRPr="005F13C5" w14:paraId="2304296C"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58675759"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2021 - 2022</w:t>
            </w:r>
          </w:p>
        </w:tc>
        <w:tc>
          <w:tcPr>
            <w:tcW w:w="1158" w:type="dxa"/>
            <w:tcBorders>
              <w:top w:val="nil"/>
              <w:left w:val="nil"/>
              <w:bottom w:val="single" w:sz="4" w:space="0" w:color="auto"/>
              <w:right w:val="single" w:sz="4" w:space="0" w:color="auto"/>
            </w:tcBorders>
            <w:noWrap/>
            <w:vAlign w:val="bottom"/>
            <w:hideMark/>
          </w:tcPr>
          <w:p w14:paraId="56A89FD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356</w:t>
            </w:r>
          </w:p>
        </w:tc>
        <w:tc>
          <w:tcPr>
            <w:tcW w:w="1394" w:type="dxa"/>
            <w:tcBorders>
              <w:top w:val="nil"/>
              <w:left w:val="nil"/>
              <w:bottom w:val="single" w:sz="4" w:space="0" w:color="auto"/>
              <w:right w:val="single" w:sz="4" w:space="0" w:color="auto"/>
            </w:tcBorders>
            <w:noWrap/>
            <w:vAlign w:val="bottom"/>
            <w:hideMark/>
          </w:tcPr>
          <w:p w14:paraId="1E08113C"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55</w:t>
            </w:r>
          </w:p>
        </w:tc>
        <w:tc>
          <w:tcPr>
            <w:tcW w:w="1476" w:type="dxa"/>
            <w:tcBorders>
              <w:top w:val="nil"/>
              <w:left w:val="nil"/>
              <w:bottom w:val="single" w:sz="4" w:space="0" w:color="auto"/>
              <w:right w:val="single" w:sz="4" w:space="0" w:color="auto"/>
            </w:tcBorders>
            <w:noWrap/>
            <w:vAlign w:val="bottom"/>
            <w:hideMark/>
          </w:tcPr>
          <w:p w14:paraId="3689EB6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w:t>
            </w:r>
          </w:p>
        </w:tc>
        <w:tc>
          <w:tcPr>
            <w:tcW w:w="1366" w:type="dxa"/>
            <w:tcBorders>
              <w:top w:val="nil"/>
              <w:left w:val="nil"/>
              <w:bottom w:val="single" w:sz="4" w:space="0" w:color="auto"/>
              <w:right w:val="single" w:sz="4" w:space="0" w:color="auto"/>
            </w:tcBorders>
            <w:noWrap/>
            <w:vAlign w:val="bottom"/>
            <w:hideMark/>
          </w:tcPr>
          <w:p w14:paraId="6417FE78"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0</w:t>
            </w:r>
          </w:p>
        </w:tc>
        <w:tc>
          <w:tcPr>
            <w:tcW w:w="1293" w:type="dxa"/>
            <w:tcBorders>
              <w:top w:val="nil"/>
              <w:left w:val="nil"/>
              <w:bottom w:val="single" w:sz="4" w:space="0" w:color="auto"/>
              <w:right w:val="single" w:sz="4" w:space="0" w:color="auto"/>
            </w:tcBorders>
            <w:vAlign w:val="bottom"/>
            <w:hideMark/>
          </w:tcPr>
          <w:p w14:paraId="078A22B4"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0</w:t>
            </w:r>
          </w:p>
        </w:tc>
        <w:tc>
          <w:tcPr>
            <w:tcW w:w="1439" w:type="dxa"/>
            <w:tcBorders>
              <w:top w:val="nil"/>
              <w:left w:val="nil"/>
              <w:bottom w:val="single" w:sz="4" w:space="0" w:color="auto"/>
              <w:right w:val="single" w:sz="4" w:space="0" w:color="auto"/>
            </w:tcBorders>
            <w:vAlign w:val="bottom"/>
            <w:hideMark/>
          </w:tcPr>
          <w:p w14:paraId="5962167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412</w:t>
            </w:r>
          </w:p>
        </w:tc>
      </w:tr>
      <w:tr w:rsidR="00021182" w:rsidRPr="005F13C5" w14:paraId="45C034BE"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71B5E06F"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2022 - 2023</w:t>
            </w:r>
          </w:p>
        </w:tc>
        <w:tc>
          <w:tcPr>
            <w:tcW w:w="1158" w:type="dxa"/>
            <w:tcBorders>
              <w:top w:val="nil"/>
              <w:left w:val="nil"/>
              <w:bottom w:val="single" w:sz="4" w:space="0" w:color="auto"/>
              <w:right w:val="single" w:sz="4" w:space="0" w:color="auto"/>
            </w:tcBorders>
            <w:vAlign w:val="bottom"/>
            <w:hideMark/>
          </w:tcPr>
          <w:p w14:paraId="7621B511"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316</w:t>
            </w:r>
          </w:p>
        </w:tc>
        <w:tc>
          <w:tcPr>
            <w:tcW w:w="1394" w:type="dxa"/>
            <w:tcBorders>
              <w:top w:val="nil"/>
              <w:left w:val="nil"/>
              <w:bottom w:val="single" w:sz="4" w:space="0" w:color="auto"/>
              <w:right w:val="single" w:sz="4" w:space="0" w:color="auto"/>
            </w:tcBorders>
            <w:vAlign w:val="bottom"/>
            <w:hideMark/>
          </w:tcPr>
          <w:p w14:paraId="062C340E"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28</w:t>
            </w:r>
          </w:p>
        </w:tc>
        <w:tc>
          <w:tcPr>
            <w:tcW w:w="1476" w:type="dxa"/>
            <w:tcBorders>
              <w:top w:val="nil"/>
              <w:left w:val="nil"/>
              <w:bottom w:val="single" w:sz="4" w:space="0" w:color="auto"/>
              <w:right w:val="single" w:sz="4" w:space="0" w:color="auto"/>
            </w:tcBorders>
            <w:vAlign w:val="bottom"/>
            <w:hideMark/>
          </w:tcPr>
          <w:p w14:paraId="68D5BFB2"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8</w:t>
            </w:r>
          </w:p>
        </w:tc>
        <w:tc>
          <w:tcPr>
            <w:tcW w:w="1366" w:type="dxa"/>
            <w:tcBorders>
              <w:top w:val="nil"/>
              <w:left w:val="nil"/>
              <w:bottom w:val="single" w:sz="4" w:space="0" w:color="auto"/>
              <w:right w:val="single" w:sz="4" w:space="0" w:color="auto"/>
            </w:tcBorders>
            <w:vAlign w:val="bottom"/>
            <w:hideMark/>
          </w:tcPr>
          <w:p w14:paraId="6B27FBDC"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w:t>
            </w:r>
          </w:p>
        </w:tc>
        <w:tc>
          <w:tcPr>
            <w:tcW w:w="1293" w:type="dxa"/>
            <w:tcBorders>
              <w:top w:val="nil"/>
              <w:left w:val="nil"/>
              <w:bottom w:val="single" w:sz="4" w:space="0" w:color="auto"/>
              <w:right w:val="single" w:sz="4" w:space="0" w:color="auto"/>
            </w:tcBorders>
            <w:vAlign w:val="bottom"/>
            <w:hideMark/>
          </w:tcPr>
          <w:p w14:paraId="77F60BD9"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6</w:t>
            </w:r>
          </w:p>
        </w:tc>
        <w:tc>
          <w:tcPr>
            <w:tcW w:w="1439" w:type="dxa"/>
            <w:tcBorders>
              <w:top w:val="nil"/>
              <w:left w:val="nil"/>
              <w:bottom w:val="single" w:sz="4" w:space="0" w:color="auto"/>
              <w:right w:val="single" w:sz="4" w:space="0" w:color="auto"/>
            </w:tcBorders>
            <w:vAlign w:val="bottom"/>
            <w:hideMark/>
          </w:tcPr>
          <w:p w14:paraId="35317773"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357</w:t>
            </w:r>
          </w:p>
        </w:tc>
      </w:tr>
      <w:tr w:rsidR="00021182" w:rsidRPr="005F13C5" w14:paraId="7B615AC3"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79B43F2D"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2023 - 2024</w:t>
            </w:r>
          </w:p>
        </w:tc>
        <w:tc>
          <w:tcPr>
            <w:tcW w:w="1158" w:type="dxa"/>
            <w:tcBorders>
              <w:top w:val="nil"/>
              <w:left w:val="nil"/>
              <w:bottom w:val="single" w:sz="4" w:space="0" w:color="auto"/>
              <w:right w:val="single" w:sz="4" w:space="0" w:color="auto"/>
            </w:tcBorders>
            <w:vAlign w:val="bottom"/>
            <w:hideMark/>
          </w:tcPr>
          <w:p w14:paraId="03CF9C4C"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404</w:t>
            </w:r>
          </w:p>
        </w:tc>
        <w:tc>
          <w:tcPr>
            <w:tcW w:w="1394" w:type="dxa"/>
            <w:tcBorders>
              <w:top w:val="nil"/>
              <w:left w:val="nil"/>
              <w:bottom w:val="single" w:sz="4" w:space="0" w:color="auto"/>
              <w:right w:val="single" w:sz="4" w:space="0" w:color="auto"/>
            </w:tcBorders>
            <w:vAlign w:val="bottom"/>
            <w:hideMark/>
          </w:tcPr>
          <w:p w14:paraId="4EABCFF9"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34</w:t>
            </w:r>
          </w:p>
        </w:tc>
        <w:tc>
          <w:tcPr>
            <w:tcW w:w="1476" w:type="dxa"/>
            <w:tcBorders>
              <w:top w:val="nil"/>
              <w:left w:val="nil"/>
              <w:bottom w:val="single" w:sz="4" w:space="0" w:color="auto"/>
              <w:right w:val="single" w:sz="4" w:space="0" w:color="auto"/>
            </w:tcBorders>
            <w:vAlign w:val="bottom"/>
            <w:hideMark/>
          </w:tcPr>
          <w:p w14:paraId="305669EB"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14</w:t>
            </w:r>
          </w:p>
        </w:tc>
        <w:tc>
          <w:tcPr>
            <w:tcW w:w="1366" w:type="dxa"/>
            <w:tcBorders>
              <w:top w:val="nil"/>
              <w:left w:val="nil"/>
              <w:bottom w:val="single" w:sz="4" w:space="0" w:color="auto"/>
              <w:right w:val="single" w:sz="4" w:space="0" w:color="auto"/>
            </w:tcBorders>
            <w:vAlign w:val="bottom"/>
            <w:hideMark/>
          </w:tcPr>
          <w:p w14:paraId="7E2A2A85"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w:t>
            </w:r>
          </w:p>
        </w:tc>
        <w:tc>
          <w:tcPr>
            <w:tcW w:w="1293" w:type="dxa"/>
            <w:tcBorders>
              <w:top w:val="nil"/>
              <w:left w:val="nil"/>
              <w:bottom w:val="single" w:sz="4" w:space="0" w:color="auto"/>
              <w:right w:val="single" w:sz="4" w:space="0" w:color="auto"/>
            </w:tcBorders>
            <w:vAlign w:val="bottom"/>
            <w:hideMark/>
          </w:tcPr>
          <w:p w14:paraId="32AE1B77" w14:textId="77777777" w:rsidR="00021182" w:rsidRPr="005F13C5" w:rsidRDefault="00021182" w:rsidP="00021182">
            <w:pPr>
              <w:spacing w:after="0" w:line="240" w:lineRule="auto"/>
              <w:jc w:val="right"/>
              <w:rPr>
                <w:rFonts w:ascii="Calibri" w:eastAsia="Times New Roman" w:hAnsi="Calibri" w:cs="Calibri"/>
                <w:strike/>
                <w:sz w:val="22"/>
                <w:lang w:eastAsia="en-GB"/>
              </w:rPr>
            </w:pPr>
            <w:r w:rsidRPr="005F13C5">
              <w:rPr>
                <w:rFonts w:ascii="Calibri" w:eastAsia="Times New Roman" w:hAnsi="Calibri" w:cs="Calibri"/>
                <w:strike/>
                <w:sz w:val="22"/>
                <w:lang w:eastAsia="en-GB"/>
              </w:rPr>
              <w:t>0</w:t>
            </w:r>
          </w:p>
        </w:tc>
        <w:tc>
          <w:tcPr>
            <w:tcW w:w="1439" w:type="dxa"/>
            <w:tcBorders>
              <w:top w:val="nil"/>
              <w:left w:val="nil"/>
              <w:bottom w:val="single" w:sz="4" w:space="0" w:color="auto"/>
              <w:right w:val="single" w:sz="4" w:space="0" w:color="auto"/>
            </w:tcBorders>
            <w:vAlign w:val="bottom"/>
            <w:hideMark/>
          </w:tcPr>
          <w:p w14:paraId="5C60747A"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451</w:t>
            </w:r>
          </w:p>
        </w:tc>
      </w:tr>
      <w:tr w:rsidR="00021182" w:rsidRPr="005F13C5" w14:paraId="78FF7F23"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60E3E100" w14:textId="1DC22C46" w:rsidR="00021182" w:rsidRPr="005F13C5" w:rsidRDefault="00021182" w:rsidP="00021182">
            <w:pPr>
              <w:spacing w:after="0" w:line="240" w:lineRule="auto"/>
              <w:jc w:val="left"/>
              <w:rPr>
                <w:rFonts w:eastAsia="Times New Roman" w:cs="Arial"/>
                <w:b/>
                <w:bCs/>
                <w:strike/>
                <w:sz w:val="22"/>
                <w:lang w:eastAsia="en-GB"/>
              </w:rPr>
            </w:pPr>
            <w:r w:rsidRPr="005F13C5">
              <w:rPr>
                <w:rFonts w:eastAsia="Times New Roman" w:cs="Arial"/>
                <w:b/>
                <w:bCs/>
                <w:strike/>
                <w:sz w:val="22"/>
                <w:lang w:eastAsia="en-GB"/>
              </w:rPr>
              <w:t>20</w:t>
            </w:r>
            <w:r w:rsidR="00475DA7" w:rsidRPr="005F13C5">
              <w:rPr>
                <w:rFonts w:eastAsia="Times New Roman" w:cs="Arial"/>
                <w:b/>
                <w:bCs/>
                <w:strike/>
                <w:sz w:val="22"/>
                <w:lang w:eastAsia="en-GB"/>
              </w:rPr>
              <w:t xml:space="preserve">14 </w:t>
            </w:r>
            <w:r w:rsidRPr="005F13C5">
              <w:rPr>
                <w:rFonts w:eastAsia="Times New Roman" w:cs="Arial"/>
                <w:b/>
                <w:bCs/>
                <w:strike/>
                <w:sz w:val="22"/>
                <w:lang w:eastAsia="en-GB"/>
              </w:rPr>
              <w:t>to 2024</w:t>
            </w:r>
          </w:p>
        </w:tc>
        <w:tc>
          <w:tcPr>
            <w:tcW w:w="1158" w:type="dxa"/>
            <w:tcBorders>
              <w:top w:val="nil"/>
              <w:left w:val="nil"/>
              <w:bottom w:val="single" w:sz="4" w:space="0" w:color="auto"/>
              <w:right w:val="single" w:sz="4" w:space="0" w:color="auto"/>
            </w:tcBorders>
            <w:vAlign w:val="bottom"/>
            <w:hideMark/>
          </w:tcPr>
          <w:p w14:paraId="3CA6D989" w14:textId="77777777" w:rsidR="00021182" w:rsidRPr="005F13C5" w:rsidRDefault="00021182" w:rsidP="00021182">
            <w:pPr>
              <w:spacing w:after="0" w:line="240" w:lineRule="auto"/>
              <w:jc w:val="right"/>
              <w:rPr>
                <w:rFonts w:eastAsia="Times New Roman" w:cs="Arial"/>
                <w:b/>
                <w:bCs/>
                <w:strike/>
                <w:sz w:val="22"/>
                <w:lang w:eastAsia="en-GB"/>
              </w:rPr>
            </w:pPr>
            <w:r w:rsidRPr="005F13C5">
              <w:rPr>
                <w:rFonts w:eastAsia="Times New Roman" w:cs="Arial"/>
                <w:b/>
                <w:bCs/>
                <w:strike/>
                <w:sz w:val="22"/>
                <w:lang w:eastAsia="en-GB"/>
              </w:rPr>
              <w:t>3593</w:t>
            </w:r>
          </w:p>
        </w:tc>
        <w:tc>
          <w:tcPr>
            <w:tcW w:w="1394" w:type="dxa"/>
            <w:tcBorders>
              <w:top w:val="nil"/>
              <w:left w:val="nil"/>
              <w:bottom w:val="single" w:sz="4" w:space="0" w:color="auto"/>
              <w:right w:val="single" w:sz="4" w:space="0" w:color="auto"/>
            </w:tcBorders>
            <w:vAlign w:val="bottom"/>
            <w:hideMark/>
          </w:tcPr>
          <w:p w14:paraId="67F4346F" w14:textId="77777777" w:rsidR="00021182" w:rsidRPr="005F13C5" w:rsidRDefault="00021182" w:rsidP="00021182">
            <w:pPr>
              <w:spacing w:after="0" w:line="240" w:lineRule="auto"/>
              <w:jc w:val="right"/>
              <w:rPr>
                <w:rFonts w:eastAsia="Times New Roman" w:cs="Arial"/>
                <w:b/>
                <w:bCs/>
                <w:strike/>
                <w:sz w:val="22"/>
                <w:lang w:eastAsia="en-GB"/>
              </w:rPr>
            </w:pPr>
            <w:r w:rsidRPr="005F13C5">
              <w:rPr>
                <w:rFonts w:eastAsia="Times New Roman" w:cs="Arial"/>
                <w:b/>
                <w:bCs/>
                <w:strike/>
                <w:sz w:val="22"/>
                <w:lang w:eastAsia="en-GB"/>
              </w:rPr>
              <w:t>301</w:t>
            </w:r>
          </w:p>
        </w:tc>
        <w:tc>
          <w:tcPr>
            <w:tcW w:w="1476" w:type="dxa"/>
            <w:tcBorders>
              <w:top w:val="nil"/>
              <w:left w:val="nil"/>
              <w:bottom w:val="single" w:sz="4" w:space="0" w:color="auto"/>
              <w:right w:val="single" w:sz="4" w:space="0" w:color="auto"/>
            </w:tcBorders>
            <w:vAlign w:val="bottom"/>
            <w:hideMark/>
          </w:tcPr>
          <w:p w14:paraId="1E8C7419" w14:textId="77777777" w:rsidR="00021182" w:rsidRPr="005F13C5" w:rsidRDefault="00021182" w:rsidP="00021182">
            <w:pPr>
              <w:spacing w:after="0" w:line="240" w:lineRule="auto"/>
              <w:jc w:val="right"/>
              <w:rPr>
                <w:rFonts w:eastAsia="Times New Roman" w:cs="Arial"/>
                <w:b/>
                <w:bCs/>
                <w:strike/>
                <w:sz w:val="22"/>
                <w:lang w:eastAsia="en-GB"/>
              </w:rPr>
            </w:pPr>
            <w:r w:rsidRPr="005F13C5">
              <w:rPr>
                <w:rFonts w:eastAsia="Times New Roman" w:cs="Arial"/>
                <w:b/>
                <w:bCs/>
                <w:strike/>
                <w:sz w:val="22"/>
                <w:lang w:eastAsia="en-GB"/>
              </w:rPr>
              <w:t>42</w:t>
            </w:r>
          </w:p>
        </w:tc>
        <w:tc>
          <w:tcPr>
            <w:tcW w:w="1366" w:type="dxa"/>
            <w:tcBorders>
              <w:top w:val="nil"/>
              <w:left w:val="nil"/>
              <w:bottom w:val="single" w:sz="4" w:space="0" w:color="auto"/>
              <w:right w:val="single" w:sz="4" w:space="0" w:color="auto"/>
            </w:tcBorders>
            <w:vAlign w:val="bottom"/>
            <w:hideMark/>
          </w:tcPr>
          <w:p w14:paraId="0D4E9A88" w14:textId="77777777" w:rsidR="00021182" w:rsidRPr="005F13C5" w:rsidRDefault="00021182" w:rsidP="00021182">
            <w:pPr>
              <w:spacing w:after="0" w:line="240" w:lineRule="auto"/>
              <w:jc w:val="right"/>
              <w:rPr>
                <w:rFonts w:eastAsia="Times New Roman" w:cs="Arial"/>
                <w:b/>
                <w:bCs/>
                <w:strike/>
                <w:sz w:val="22"/>
                <w:lang w:eastAsia="en-GB"/>
              </w:rPr>
            </w:pPr>
            <w:r w:rsidRPr="005F13C5">
              <w:rPr>
                <w:rFonts w:eastAsia="Times New Roman" w:cs="Arial"/>
                <w:b/>
                <w:bCs/>
                <w:strike/>
                <w:sz w:val="22"/>
                <w:lang w:eastAsia="en-GB"/>
              </w:rPr>
              <w:t>60</w:t>
            </w:r>
          </w:p>
        </w:tc>
        <w:tc>
          <w:tcPr>
            <w:tcW w:w="1293" w:type="dxa"/>
            <w:tcBorders>
              <w:top w:val="nil"/>
              <w:left w:val="nil"/>
              <w:bottom w:val="single" w:sz="4" w:space="0" w:color="auto"/>
              <w:right w:val="single" w:sz="4" w:space="0" w:color="auto"/>
            </w:tcBorders>
            <w:vAlign w:val="bottom"/>
            <w:hideMark/>
          </w:tcPr>
          <w:p w14:paraId="1B8B16C5" w14:textId="77777777" w:rsidR="00021182" w:rsidRPr="005F13C5" w:rsidRDefault="00021182" w:rsidP="00021182">
            <w:pPr>
              <w:spacing w:after="0" w:line="240" w:lineRule="auto"/>
              <w:jc w:val="right"/>
              <w:rPr>
                <w:rFonts w:eastAsia="Times New Roman" w:cs="Arial"/>
                <w:b/>
                <w:bCs/>
                <w:strike/>
                <w:sz w:val="22"/>
                <w:lang w:eastAsia="en-GB"/>
              </w:rPr>
            </w:pPr>
            <w:r w:rsidRPr="005F13C5">
              <w:rPr>
                <w:rFonts w:eastAsia="Times New Roman" w:cs="Arial"/>
                <w:b/>
                <w:bCs/>
                <w:strike/>
                <w:sz w:val="22"/>
                <w:lang w:eastAsia="en-GB"/>
              </w:rPr>
              <w:t>168</w:t>
            </w:r>
          </w:p>
        </w:tc>
        <w:tc>
          <w:tcPr>
            <w:tcW w:w="1439" w:type="dxa"/>
            <w:tcBorders>
              <w:top w:val="nil"/>
              <w:left w:val="nil"/>
              <w:bottom w:val="single" w:sz="4" w:space="0" w:color="auto"/>
              <w:right w:val="single" w:sz="4" w:space="0" w:color="auto"/>
            </w:tcBorders>
            <w:vAlign w:val="bottom"/>
            <w:hideMark/>
          </w:tcPr>
          <w:p w14:paraId="41F5425B" w14:textId="77777777" w:rsidR="00021182" w:rsidRPr="005F13C5" w:rsidRDefault="00021182" w:rsidP="00021182">
            <w:pPr>
              <w:spacing w:after="0" w:line="240" w:lineRule="auto"/>
              <w:jc w:val="right"/>
              <w:rPr>
                <w:rFonts w:eastAsia="Times New Roman" w:cs="Arial"/>
                <w:b/>
                <w:bCs/>
                <w:strike/>
                <w:sz w:val="22"/>
                <w:lang w:eastAsia="en-GB"/>
              </w:rPr>
            </w:pPr>
            <w:r w:rsidRPr="005F13C5">
              <w:rPr>
                <w:rFonts w:eastAsia="Times New Roman" w:cs="Arial"/>
                <w:b/>
                <w:bCs/>
                <w:strike/>
                <w:sz w:val="22"/>
                <w:lang w:eastAsia="en-GB"/>
              </w:rPr>
              <w:t>4044</w:t>
            </w:r>
          </w:p>
        </w:tc>
      </w:tr>
      <w:tr w:rsidR="00021182" w:rsidRPr="005F13C5" w14:paraId="337D0EBC" w14:textId="77777777" w:rsidTr="00513066">
        <w:trPr>
          <w:trHeight w:val="310"/>
        </w:trPr>
        <w:tc>
          <w:tcPr>
            <w:tcW w:w="1413" w:type="dxa"/>
            <w:tcBorders>
              <w:top w:val="nil"/>
              <w:left w:val="single" w:sz="4" w:space="0" w:color="auto"/>
              <w:bottom w:val="single" w:sz="4" w:space="0" w:color="auto"/>
              <w:right w:val="single" w:sz="4" w:space="0" w:color="auto"/>
            </w:tcBorders>
            <w:noWrap/>
            <w:vAlign w:val="bottom"/>
            <w:hideMark/>
          </w:tcPr>
          <w:p w14:paraId="7CBD58FF" w14:textId="77777777" w:rsidR="00021182" w:rsidRPr="005F13C5" w:rsidRDefault="00021182" w:rsidP="00021182">
            <w:pPr>
              <w:spacing w:after="0" w:line="240" w:lineRule="auto"/>
              <w:jc w:val="left"/>
              <w:rPr>
                <w:rFonts w:eastAsia="Times New Roman" w:cs="Arial"/>
                <w:strike/>
                <w:sz w:val="22"/>
                <w:lang w:eastAsia="en-GB"/>
              </w:rPr>
            </w:pPr>
            <w:r w:rsidRPr="005F13C5">
              <w:rPr>
                <w:rFonts w:eastAsia="Times New Roman" w:cs="Arial"/>
                <w:strike/>
                <w:sz w:val="22"/>
                <w:lang w:eastAsia="en-GB"/>
              </w:rPr>
              <w:t xml:space="preserve">Average per year </w:t>
            </w:r>
          </w:p>
        </w:tc>
        <w:tc>
          <w:tcPr>
            <w:tcW w:w="1158" w:type="dxa"/>
            <w:tcBorders>
              <w:top w:val="nil"/>
              <w:left w:val="nil"/>
              <w:bottom w:val="single" w:sz="4" w:space="0" w:color="auto"/>
              <w:right w:val="single" w:sz="4" w:space="0" w:color="auto"/>
            </w:tcBorders>
            <w:noWrap/>
            <w:vAlign w:val="bottom"/>
            <w:hideMark/>
          </w:tcPr>
          <w:p w14:paraId="6A9A54EE"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359</w:t>
            </w:r>
          </w:p>
        </w:tc>
        <w:tc>
          <w:tcPr>
            <w:tcW w:w="1394" w:type="dxa"/>
            <w:tcBorders>
              <w:top w:val="nil"/>
              <w:left w:val="nil"/>
              <w:bottom w:val="single" w:sz="4" w:space="0" w:color="auto"/>
              <w:right w:val="single" w:sz="4" w:space="0" w:color="auto"/>
            </w:tcBorders>
            <w:noWrap/>
            <w:vAlign w:val="bottom"/>
            <w:hideMark/>
          </w:tcPr>
          <w:p w14:paraId="3DB919AF"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30</w:t>
            </w:r>
          </w:p>
        </w:tc>
        <w:tc>
          <w:tcPr>
            <w:tcW w:w="1476" w:type="dxa"/>
            <w:tcBorders>
              <w:top w:val="nil"/>
              <w:left w:val="nil"/>
              <w:bottom w:val="single" w:sz="4" w:space="0" w:color="auto"/>
              <w:right w:val="single" w:sz="4" w:space="0" w:color="auto"/>
            </w:tcBorders>
            <w:noWrap/>
            <w:vAlign w:val="bottom"/>
            <w:hideMark/>
          </w:tcPr>
          <w:p w14:paraId="011B25A5"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w:t>
            </w:r>
          </w:p>
        </w:tc>
        <w:tc>
          <w:tcPr>
            <w:tcW w:w="1366" w:type="dxa"/>
            <w:tcBorders>
              <w:top w:val="nil"/>
              <w:left w:val="nil"/>
              <w:bottom w:val="single" w:sz="4" w:space="0" w:color="auto"/>
              <w:right w:val="single" w:sz="4" w:space="0" w:color="auto"/>
            </w:tcBorders>
            <w:noWrap/>
            <w:vAlign w:val="bottom"/>
            <w:hideMark/>
          </w:tcPr>
          <w:p w14:paraId="097FE0F8"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6</w:t>
            </w:r>
          </w:p>
        </w:tc>
        <w:tc>
          <w:tcPr>
            <w:tcW w:w="1293" w:type="dxa"/>
            <w:tcBorders>
              <w:top w:val="nil"/>
              <w:left w:val="nil"/>
              <w:bottom w:val="single" w:sz="4" w:space="0" w:color="auto"/>
              <w:right w:val="single" w:sz="4" w:space="0" w:color="auto"/>
            </w:tcBorders>
            <w:noWrap/>
            <w:vAlign w:val="bottom"/>
            <w:hideMark/>
          </w:tcPr>
          <w:p w14:paraId="09E63C27"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17</w:t>
            </w:r>
          </w:p>
        </w:tc>
        <w:tc>
          <w:tcPr>
            <w:tcW w:w="1439" w:type="dxa"/>
            <w:tcBorders>
              <w:top w:val="nil"/>
              <w:left w:val="nil"/>
              <w:bottom w:val="single" w:sz="4" w:space="0" w:color="auto"/>
              <w:right w:val="single" w:sz="4" w:space="0" w:color="auto"/>
            </w:tcBorders>
            <w:noWrap/>
            <w:vAlign w:val="bottom"/>
            <w:hideMark/>
          </w:tcPr>
          <w:p w14:paraId="609E49AB" w14:textId="77777777" w:rsidR="00021182" w:rsidRPr="005F13C5" w:rsidRDefault="00021182" w:rsidP="00021182">
            <w:pPr>
              <w:spacing w:after="0" w:line="240" w:lineRule="auto"/>
              <w:jc w:val="right"/>
              <w:rPr>
                <w:rFonts w:eastAsia="Times New Roman" w:cs="Arial"/>
                <w:strike/>
                <w:sz w:val="22"/>
                <w:lang w:eastAsia="en-GB"/>
              </w:rPr>
            </w:pPr>
            <w:r w:rsidRPr="005F13C5">
              <w:rPr>
                <w:rFonts w:eastAsia="Times New Roman" w:cs="Arial"/>
                <w:strike/>
                <w:sz w:val="22"/>
                <w:lang w:eastAsia="en-GB"/>
              </w:rPr>
              <w:t>404</w:t>
            </w:r>
          </w:p>
        </w:tc>
      </w:tr>
    </w:tbl>
    <w:p w14:paraId="596DCDCF" w14:textId="77777777" w:rsidR="00021182" w:rsidRDefault="00021182" w:rsidP="000C09F3">
      <w:pPr>
        <w:rPr>
          <w:rFonts w:cs="Arial"/>
          <w:color w:val="FF0000"/>
          <w:szCs w:val="24"/>
        </w:rPr>
      </w:pPr>
    </w:p>
    <w:p w14:paraId="063CB61F" w14:textId="77777777" w:rsidR="003D3A6A" w:rsidRDefault="003D3A6A">
      <w:pPr>
        <w:rPr>
          <w:rFonts w:cs="Arial"/>
          <w:b/>
          <w:bCs/>
          <w:i/>
          <w:iCs/>
          <w:color w:val="7030A0"/>
          <w:sz w:val="22"/>
        </w:rPr>
      </w:pPr>
      <w:r>
        <w:rPr>
          <w:rFonts w:cs="Arial"/>
          <w:b/>
          <w:bCs/>
          <w:i/>
          <w:iCs/>
          <w:color w:val="7030A0"/>
          <w:sz w:val="22"/>
        </w:rPr>
        <w:br w:type="page"/>
      </w:r>
    </w:p>
    <w:p w14:paraId="188894D9" w14:textId="11EE83A3" w:rsidR="005F13C5" w:rsidRPr="005F13C5" w:rsidRDefault="005F13C5" w:rsidP="005F13C5">
      <w:pPr>
        <w:ind w:left="720" w:hanging="578"/>
        <w:jc w:val="left"/>
        <w:rPr>
          <w:rFonts w:cs="Arial"/>
          <w:b/>
          <w:bCs/>
          <w:i/>
          <w:iCs/>
          <w:color w:val="7030A0"/>
          <w:sz w:val="22"/>
        </w:rPr>
      </w:pPr>
      <w:r w:rsidRPr="005F13C5">
        <w:rPr>
          <w:rFonts w:cs="Arial"/>
          <w:b/>
          <w:bCs/>
          <w:i/>
          <w:iCs/>
          <w:color w:val="7030A0"/>
          <w:sz w:val="22"/>
        </w:rPr>
        <w:lastRenderedPageBreak/>
        <w:t>Historic Annual Housing Completions 1st April 201</w:t>
      </w:r>
      <w:r>
        <w:rPr>
          <w:rFonts w:cs="Arial"/>
          <w:b/>
          <w:bCs/>
          <w:i/>
          <w:iCs/>
          <w:color w:val="7030A0"/>
          <w:sz w:val="22"/>
        </w:rPr>
        <w:t>5</w:t>
      </w:r>
      <w:r w:rsidRPr="005F13C5">
        <w:rPr>
          <w:rFonts w:cs="Arial"/>
          <w:b/>
          <w:bCs/>
          <w:i/>
          <w:iCs/>
          <w:color w:val="7030A0"/>
          <w:sz w:val="22"/>
        </w:rPr>
        <w:t xml:space="preserve"> - 31st March 202</w:t>
      </w:r>
      <w:r>
        <w:rPr>
          <w:rFonts w:cs="Arial"/>
          <w:b/>
          <w:bCs/>
          <w:i/>
          <w:iCs/>
          <w:color w:val="7030A0"/>
          <w:sz w:val="22"/>
        </w:rPr>
        <w:t>5</w:t>
      </w:r>
    </w:p>
    <w:tbl>
      <w:tblPr>
        <w:tblW w:w="9631" w:type="dxa"/>
        <w:tblInd w:w="137" w:type="dxa"/>
        <w:tblLayout w:type="fixed"/>
        <w:tblLook w:val="04A0" w:firstRow="1" w:lastRow="0" w:firstColumn="1" w:lastColumn="0" w:noHBand="0" w:noVBand="1"/>
      </w:tblPr>
      <w:tblGrid>
        <w:gridCol w:w="1418"/>
        <w:gridCol w:w="1158"/>
        <w:gridCol w:w="1390"/>
        <w:gridCol w:w="1476"/>
        <w:gridCol w:w="1366"/>
        <w:gridCol w:w="1293"/>
        <w:gridCol w:w="1530"/>
      </w:tblGrid>
      <w:tr w:rsidR="005F13C5" w:rsidRPr="005F13C5" w14:paraId="3F4ADC1C" w14:textId="77777777" w:rsidTr="005F13C5">
        <w:trPr>
          <w:trHeight w:val="1560"/>
        </w:trPr>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BB1EA3E"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 xml:space="preserve">Year </w:t>
            </w:r>
            <w:proofErr w:type="gramStart"/>
            <w:r w:rsidRPr="005F13C5">
              <w:rPr>
                <w:rFonts w:eastAsia="Times New Roman" w:cs="Arial"/>
                <w:color w:val="7030A0"/>
                <w:sz w:val="22"/>
                <w:lang w:eastAsia="en-GB"/>
              </w:rPr>
              <w:t>completed  (</w:t>
            </w:r>
            <w:proofErr w:type="gramEnd"/>
            <w:r w:rsidRPr="005F13C5">
              <w:rPr>
                <w:rFonts w:eastAsia="Times New Roman" w:cs="Arial"/>
                <w:color w:val="7030A0"/>
                <w:sz w:val="22"/>
                <w:lang w:eastAsia="en-GB"/>
              </w:rPr>
              <w:t>1st April - 31st March)</w:t>
            </w:r>
          </w:p>
        </w:tc>
        <w:tc>
          <w:tcPr>
            <w:tcW w:w="1158" w:type="dxa"/>
            <w:tcBorders>
              <w:top w:val="single" w:sz="4" w:space="0" w:color="auto"/>
              <w:left w:val="nil"/>
              <w:bottom w:val="single" w:sz="4" w:space="0" w:color="auto"/>
              <w:right w:val="single" w:sz="4" w:space="0" w:color="auto"/>
            </w:tcBorders>
            <w:shd w:val="clear" w:color="000000" w:fill="D9D9D9"/>
            <w:vAlign w:val="bottom"/>
            <w:hideMark/>
          </w:tcPr>
          <w:p w14:paraId="778161B7"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Total Dwellings delivered on New Build Sites</w:t>
            </w:r>
          </w:p>
        </w:tc>
        <w:tc>
          <w:tcPr>
            <w:tcW w:w="1390" w:type="dxa"/>
            <w:tcBorders>
              <w:top w:val="single" w:sz="4" w:space="0" w:color="auto"/>
              <w:left w:val="nil"/>
              <w:bottom w:val="single" w:sz="4" w:space="0" w:color="auto"/>
              <w:right w:val="single" w:sz="4" w:space="0" w:color="auto"/>
            </w:tcBorders>
            <w:shd w:val="clear" w:color="000000" w:fill="D9D9D9"/>
            <w:vAlign w:val="bottom"/>
            <w:hideMark/>
          </w:tcPr>
          <w:p w14:paraId="398E9F7E"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Net Additions through Conversion/          Change of Use</w:t>
            </w:r>
          </w:p>
        </w:tc>
        <w:tc>
          <w:tcPr>
            <w:tcW w:w="1476" w:type="dxa"/>
            <w:tcBorders>
              <w:top w:val="single" w:sz="4" w:space="0" w:color="auto"/>
              <w:left w:val="nil"/>
              <w:bottom w:val="single" w:sz="4" w:space="0" w:color="auto"/>
              <w:right w:val="single" w:sz="4" w:space="0" w:color="auto"/>
            </w:tcBorders>
            <w:shd w:val="clear" w:color="000000" w:fill="D9D9D9"/>
            <w:vAlign w:val="bottom"/>
            <w:hideMark/>
          </w:tcPr>
          <w:p w14:paraId="2F8981E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Net additions through permitted development</w:t>
            </w:r>
          </w:p>
        </w:tc>
        <w:tc>
          <w:tcPr>
            <w:tcW w:w="1366" w:type="dxa"/>
            <w:tcBorders>
              <w:top w:val="single" w:sz="4" w:space="0" w:color="auto"/>
              <w:left w:val="nil"/>
              <w:bottom w:val="single" w:sz="4" w:space="0" w:color="auto"/>
              <w:right w:val="single" w:sz="4" w:space="0" w:color="auto"/>
            </w:tcBorders>
            <w:shd w:val="clear" w:color="000000" w:fill="D9D9D9"/>
            <w:vAlign w:val="bottom"/>
            <w:hideMark/>
          </w:tcPr>
          <w:p w14:paraId="49499904"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Demolitions</w:t>
            </w:r>
          </w:p>
        </w:tc>
        <w:tc>
          <w:tcPr>
            <w:tcW w:w="1293" w:type="dxa"/>
            <w:tcBorders>
              <w:top w:val="single" w:sz="4" w:space="0" w:color="auto"/>
              <w:left w:val="nil"/>
              <w:bottom w:val="single" w:sz="4" w:space="0" w:color="auto"/>
              <w:right w:val="single" w:sz="4" w:space="0" w:color="auto"/>
            </w:tcBorders>
            <w:shd w:val="clear" w:color="000000" w:fill="D9D9D9"/>
            <w:hideMark/>
          </w:tcPr>
          <w:p w14:paraId="27801256"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C2 Care Home additions (dwelling equivalent)</w:t>
            </w:r>
          </w:p>
        </w:tc>
        <w:tc>
          <w:tcPr>
            <w:tcW w:w="1530" w:type="dxa"/>
            <w:tcBorders>
              <w:top w:val="single" w:sz="4" w:space="0" w:color="auto"/>
              <w:left w:val="nil"/>
              <w:bottom w:val="single" w:sz="4" w:space="0" w:color="auto"/>
              <w:right w:val="single" w:sz="4" w:space="0" w:color="auto"/>
            </w:tcBorders>
            <w:shd w:val="clear" w:color="000000" w:fill="D9D9D9"/>
            <w:vAlign w:val="bottom"/>
            <w:hideMark/>
          </w:tcPr>
          <w:p w14:paraId="774C2596"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Total Net Completions</w:t>
            </w:r>
          </w:p>
        </w:tc>
      </w:tr>
      <w:tr w:rsidR="005F13C5" w:rsidRPr="005F13C5" w14:paraId="69EB7F0B"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35EAF850"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2015 - 2016</w:t>
            </w:r>
          </w:p>
        </w:tc>
        <w:tc>
          <w:tcPr>
            <w:tcW w:w="1158" w:type="dxa"/>
            <w:tcBorders>
              <w:top w:val="nil"/>
              <w:left w:val="nil"/>
              <w:bottom w:val="single" w:sz="4" w:space="0" w:color="auto"/>
              <w:right w:val="single" w:sz="4" w:space="0" w:color="auto"/>
            </w:tcBorders>
            <w:noWrap/>
            <w:vAlign w:val="bottom"/>
            <w:hideMark/>
          </w:tcPr>
          <w:p w14:paraId="1130AC7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540</w:t>
            </w:r>
          </w:p>
        </w:tc>
        <w:tc>
          <w:tcPr>
            <w:tcW w:w="1390" w:type="dxa"/>
            <w:tcBorders>
              <w:top w:val="nil"/>
              <w:left w:val="nil"/>
              <w:bottom w:val="single" w:sz="4" w:space="0" w:color="auto"/>
              <w:right w:val="single" w:sz="4" w:space="0" w:color="auto"/>
            </w:tcBorders>
            <w:noWrap/>
            <w:vAlign w:val="bottom"/>
            <w:hideMark/>
          </w:tcPr>
          <w:p w14:paraId="13555BA0"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23</w:t>
            </w:r>
          </w:p>
        </w:tc>
        <w:tc>
          <w:tcPr>
            <w:tcW w:w="1476" w:type="dxa"/>
            <w:tcBorders>
              <w:top w:val="nil"/>
              <w:left w:val="nil"/>
              <w:bottom w:val="single" w:sz="4" w:space="0" w:color="auto"/>
              <w:right w:val="single" w:sz="4" w:space="0" w:color="auto"/>
            </w:tcBorders>
            <w:noWrap/>
            <w:vAlign w:val="bottom"/>
            <w:hideMark/>
          </w:tcPr>
          <w:p w14:paraId="4CA8CF68"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n/a</w:t>
            </w:r>
          </w:p>
        </w:tc>
        <w:tc>
          <w:tcPr>
            <w:tcW w:w="1366" w:type="dxa"/>
            <w:tcBorders>
              <w:top w:val="nil"/>
              <w:left w:val="nil"/>
              <w:bottom w:val="single" w:sz="4" w:space="0" w:color="auto"/>
              <w:right w:val="single" w:sz="4" w:space="0" w:color="auto"/>
            </w:tcBorders>
            <w:noWrap/>
            <w:vAlign w:val="bottom"/>
            <w:hideMark/>
          </w:tcPr>
          <w:p w14:paraId="0329B12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w:t>
            </w:r>
          </w:p>
        </w:tc>
        <w:tc>
          <w:tcPr>
            <w:tcW w:w="1293" w:type="dxa"/>
            <w:tcBorders>
              <w:top w:val="nil"/>
              <w:left w:val="nil"/>
              <w:bottom w:val="single" w:sz="4" w:space="0" w:color="auto"/>
              <w:right w:val="single" w:sz="4" w:space="0" w:color="auto"/>
            </w:tcBorders>
            <w:vAlign w:val="bottom"/>
            <w:hideMark/>
          </w:tcPr>
          <w:p w14:paraId="717E2657"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2</w:t>
            </w:r>
          </w:p>
        </w:tc>
        <w:tc>
          <w:tcPr>
            <w:tcW w:w="1530" w:type="dxa"/>
            <w:tcBorders>
              <w:top w:val="nil"/>
              <w:left w:val="nil"/>
              <w:bottom w:val="single" w:sz="4" w:space="0" w:color="auto"/>
              <w:right w:val="single" w:sz="4" w:space="0" w:color="auto"/>
            </w:tcBorders>
            <w:vAlign w:val="bottom"/>
            <w:hideMark/>
          </w:tcPr>
          <w:p w14:paraId="0F91DD82"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560</w:t>
            </w:r>
          </w:p>
        </w:tc>
      </w:tr>
      <w:tr w:rsidR="005F13C5" w:rsidRPr="005F13C5" w14:paraId="115F5245"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0A75B964"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2016 - 2017</w:t>
            </w:r>
          </w:p>
        </w:tc>
        <w:tc>
          <w:tcPr>
            <w:tcW w:w="1158" w:type="dxa"/>
            <w:tcBorders>
              <w:top w:val="nil"/>
              <w:left w:val="nil"/>
              <w:bottom w:val="single" w:sz="4" w:space="0" w:color="auto"/>
              <w:right w:val="single" w:sz="4" w:space="0" w:color="auto"/>
            </w:tcBorders>
            <w:noWrap/>
            <w:vAlign w:val="bottom"/>
            <w:hideMark/>
          </w:tcPr>
          <w:p w14:paraId="10CCE6D1"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510</w:t>
            </w:r>
          </w:p>
        </w:tc>
        <w:tc>
          <w:tcPr>
            <w:tcW w:w="1390" w:type="dxa"/>
            <w:tcBorders>
              <w:top w:val="nil"/>
              <w:left w:val="nil"/>
              <w:bottom w:val="single" w:sz="4" w:space="0" w:color="auto"/>
              <w:right w:val="single" w:sz="4" w:space="0" w:color="auto"/>
            </w:tcBorders>
            <w:noWrap/>
            <w:vAlign w:val="bottom"/>
            <w:hideMark/>
          </w:tcPr>
          <w:p w14:paraId="1FBF937B"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34</w:t>
            </w:r>
          </w:p>
        </w:tc>
        <w:tc>
          <w:tcPr>
            <w:tcW w:w="1476" w:type="dxa"/>
            <w:tcBorders>
              <w:top w:val="nil"/>
              <w:left w:val="nil"/>
              <w:bottom w:val="single" w:sz="4" w:space="0" w:color="auto"/>
              <w:right w:val="single" w:sz="4" w:space="0" w:color="auto"/>
            </w:tcBorders>
            <w:noWrap/>
            <w:vAlign w:val="bottom"/>
            <w:hideMark/>
          </w:tcPr>
          <w:p w14:paraId="138987F7"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n/a</w:t>
            </w:r>
          </w:p>
        </w:tc>
        <w:tc>
          <w:tcPr>
            <w:tcW w:w="1366" w:type="dxa"/>
            <w:tcBorders>
              <w:top w:val="nil"/>
              <w:left w:val="nil"/>
              <w:bottom w:val="single" w:sz="4" w:space="0" w:color="auto"/>
              <w:right w:val="single" w:sz="4" w:space="0" w:color="auto"/>
            </w:tcBorders>
            <w:noWrap/>
            <w:vAlign w:val="bottom"/>
            <w:hideMark/>
          </w:tcPr>
          <w:p w14:paraId="1E31BDA3"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0</w:t>
            </w:r>
          </w:p>
        </w:tc>
        <w:tc>
          <w:tcPr>
            <w:tcW w:w="1293" w:type="dxa"/>
            <w:tcBorders>
              <w:top w:val="nil"/>
              <w:left w:val="nil"/>
              <w:bottom w:val="single" w:sz="4" w:space="0" w:color="auto"/>
              <w:right w:val="single" w:sz="4" w:space="0" w:color="auto"/>
            </w:tcBorders>
            <w:vAlign w:val="bottom"/>
            <w:hideMark/>
          </w:tcPr>
          <w:p w14:paraId="7544E4D0"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38</w:t>
            </w:r>
          </w:p>
        </w:tc>
        <w:tc>
          <w:tcPr>
            <w:tcW w:w="1530" w:type="dxa"/>
            <w:tcBorders>
              <w:top w:val="nil"/>
              <w:left w:val="nil"/>
              <w:bottom w:val="single" w:sz="4" w:space="0" w:color="auto"/>
              <w:right w:val="single" w:sz="4" w:space="0" w:color="auto"/>
            </w:tcBorders>
            <w:vAlign w:val="bottom"/>
            <w:hideMark/>
          </w:tcPr>
          <w:p w14:paraId="6F0AEE27"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582</w:t>
            </w:r>
          </w:p>
        </w:tc>
      </w:tr>
      <w:tr w:rsidR="005F13C5" w:rsidRPr="005F13C5" w14:paraId="0342F5E6"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10E3DD89"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2017 - 2018</w:t>
            </w:r>
          </w:p>
        </w:tc>
        <w:tc>
          <w:tcPr>
            <w:tcW w:w="1158" w:type="dxa"/>
            <w:tcBorders>
              <w:top w:val="nil"/>
              <w:left w:val="nil"/>
              <w:bottom w:val="single" w:sz="4" w:space="0" w:color="auto"/>
              <w:right w:val="single" w:sz="4" w:space="0" w:color="auto"/>
            </w:tcBorders>
            <w:noWrap/>
            <w:vAlign w:val="bottom"/>
            <w:hideMark/>
          </w:tcPr>
          <w:p w14:paraId="670392A5"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348</w:t>
            </w:r>
          </w:p>
        </w:tc>
        <w:tc>
          <w:tcPr>
            <w:tcW w:w="1390" w:type="dxa"/>
            <w:tcBorders>
              <w:top w:val="nil"/>
              <w:left w:val="nil"/>
              <w:bottom w:val="single" w:sz="4" w:space="0" w:color="auto"/>
              <w:right w:val="single" w:sz="4" w:space="0" w:color="auto"/>
            </w:tcBorders>
            <w:noWrap/>
            <w:vAlign w:val="bottom"/>
            <w:hideMark/>
          </w:tcPr>
          <w:p w14:paraId="0F1DB576"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48</w:t>
            </w:r>
          </w:p>
        </w:tc>
        <w:tc>
          <w:tcPr>
            <w:tcW w:w="1476" w:type="dxa"/>
            <w:tcBorders>
              <w:top w:val="nil"/>
              <w:left w:val="nil"/>
              <w:bottom w:val="single" w:sz="4" w:space="0" w:color="auto"/>
              <w:right w:val="single" w:sz="4" w:space="0" w:color="auto"/>
            </w:tcBorders>
            <w:noWrap/>
            <w:vAlign w:val="bottom"/>
            <w:hideMark/>
          </w:tcPr>
          <w:p w14:paraId="01C72A77"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w:t>
            </w:r>
          </w:p>
        </w:tc>
        <w:tc>
          <w:tcPr>
            <w:tcW w:w="1366" w:type="dxa"/>
            <w:tcBorders>
              <w:top w:val="nil"/>
              <w:left w:val="nil"/>
              <w:bottom w:val="single" w:sz="4" w:space="0" w:color="auto"/>
              <w:right w:val="single" w:sz="4" w:space="0" w:color="auto"/>
            </w:tcBorders>
            <w:noWrap/>
            <w:vAlign w:val="bottom"/>
            <w:hideMark/>
          </w:tcPr>
          <w:p w14:paraId="50B4CC5B"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w:t>
            </w:r>
          </w:p>
        </w:tc>
        <w:tc>
          <w:tcPr>
            <w:tcW w:w="1293" w:type="dxa"/>
            <w:tcBorders>
              <w:top w:val="nil"/>
              <w:left w:val="nil"/>
              <w:bottom w:val="single" w:sz="4" w:space="0" w:color="auto"/>
              <w:right w:val="single" w:sz="4" w:space="0" w:color="auto"/>
            </w:tcBorders>
            <w:vAlign w:val="bottom"/>
            <w:hideMark/>
          </w:tcPr>
          <w:p w14:paraId="43109095"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5</w:t>
            </w:r>
          </w:p>
        </w:tc>
        <w:tc>
          <w:tcPr>
            <w:tcW w:w="1530" w:type="dxa"/>
            <w:tcBorders>
              <w:top w:val="nil"/>
              <w:left w:val="nil"/>
              <w:bottom w:val="single" w:sz="4" w:space="0" w:color="auto"/>
              <w:right w:val="single" w:sz="4" w:space="0" w:color="auto"/>
            </w:tcBorders>
            <w:vAlign w:val="bottom"/>
            <w:hideMark/>
          </w:tcPr>
          <w:p w14:paraId="6D878695"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402</w:t>
            </w:r>
          </w:p>
        </w:tc>
      </w:tr>
      <w:tr w:rsidR="005F13C5" w:rsidRPr="005F13C5" w14:paraId="7890A687"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3AE01E18"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2018 - 2019</w:t>
            </w:r>
          </w:p>
        </w:tc>
        <w:tc>
          <w:tcPr>
            <w:tcW w:w="1158" w:type="dxa"/>
            <w:tcBorders>
              <w:top w:val="nil"/>
              <w:left w:val="nil"/>
              <w:bottom w:val="single" w:sz="4" w:space="0" w:color="auto"/>
              <w:right w:val="single" w:sz="4" w:space="0" w:color="auto"/>
            </w:tcBorders>
            <w:noWrap/>
            <w:vAlign w:val="bottom"/>
            <w:hideMark/>
          </w:tcPr>
          <w:p w14:paraId="678C8A56"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268</w:t>
            </w:r>
          </w:p>
        </w:tc>
        <w:tc>
          <w:tcPr>
            <w:tcW w:w="1390" w:type="dxa"/>
            <w:tcBorders>
              <w:top w:val="nil"/>
              <w:left w:val="nil"/>
              <w:bottom w:val="single" w:sz="4" w:space="0" w:color="auto"/>
              <w:right w:val="single" w:sz="4" w:space="0" w:color="auto"/>
            </w:tcBorders>
            <w:noWrap/>
            <w:vAlign w:val="bottom"/>
            <w:hideMark/>
          </w:tcPr>
          <w:p w14:paraId="15A3FB1B"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28</w:t>
            </w:r>
          </w:p>
        </w:tc>
        <w:tc>
          <w:tcPr>
            <w:tcW w:w="1476" w:type="dxa"/>
            <w:tcBorders>
              <w:top w:val="nil"/>
              <w:left w:val="nil"/>
              <w:bottom w:val="single" w:sz="4" w:space="0" w:color="auto"/>
              <w:right w:val="single" w:sz="4" w:space="0" w:color="auto"/>
            </w:tcBorders>
            <w:noWrap/>
            <w:vAlign w:val="bottom"/>
            <w:hideMark/>
          </w:tcPr>
          <w:p w14:paraId="4EE509EF"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w:t>
            </w:r>
          </w:p>
        </w:tc>
        <w:tc>
          <w:tcPr>
            <w:tcW w:w="1366" w:type="dxa"/>
            <w:tcBorders>
              <w:top w:val="nil"/>
              <w:left w:val="nil"/>
              <w:bottom w:val="single" w:sz="4" w:space="0" w:color="auto"/>
              <w:right w:val="single" w:sz="4" w:space="0" w:color="auto"/>
            </w:tcBorders>
            <w:noWrap/>
            <w:vAlign w:val="bottom"/>
            <w:hideMark/>
          </w:tcPr>
          <w:p w14:paraId="43BAE878"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w:t>
            </w:r>
          </w:p>
        </w:tc>
        <w:tc>
          <w:tcPr>
            <w:tcW w:w="1293" w:type="dxa"/>
            <w:tcBorders>
              <w:top w:val="nil"/>
              <w:left w:val="nil"/>
              <w:bottom w:val="single" w:sz="4" w:space="0" w:color="auto"/>
              <w:right w:val="single" w:sz="4" w:space="0" w:color="auto"/>
            </w:tcBorders>
            <w:vAlign w:val="bottom"/>
            <w:hideMark/>
          </w:tcPr>
          <w:p w14:paraId="74752AD8"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44</w:t>
            </w:r>
          </w:p>
        </w:tc>
        <w:tc>
          <w:tcPr>
            <w:tcW w:w="1530" w:type="dxa"/>
            <w:tcBorders>
              <w:top w:val="nil"/>
              <w:left w:val="nil"/>
              <w:bottom w:val="single" w:sz="4" w:space="0" w:color="auto"/>
              <w:right w:val="single" w:sz="4" w:space="0" w:color="auto"/>
            </w:tcBorders>
            <w:vAlign w:val="bottom"/>
            <w:hideMark/>
          </w:tcPr>
          <w:p w14:paraId="4DF985D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344</w:t>
            </w:r>
          </w:p>
        </w:tc>
      </w:tr>
      <w:tr w:rsidR="005F13C5" w:rsidRPr="005F13C5" w14:paraId="5B34BEEB"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60517AEF"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2019 - 2020</w:t>
            </w:r>
          </w:p>
        </w:tc>
        <w:tc>
          <w:tcPr>
            <w:tcW w:w="1158" w:type="dxa"/>
            <w:tcBorders>
              <w:top w:val="nil"/>
              <w:left w:val="nil"/>
              <w:bottom w:val="single" w:sz="4" w:space="0" w:color="auto"/>
              <w:right w:val="single" w:sz="4" w:space="0" w:color="auto"/>
            </w:tcBorders>
            <w:noWrap/>
            <w:vAlign w:val="bottom"/>
            <w:hideMark/>
          </w:tcPr>
          <w:p w14:paraId="07FB4B1B"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165</w:t>
            </w:r>
          </w:p>
        </w:tc>
        <w:tc>
          <w:tcPr>
            <w:tcW w:w="1390" w:type="dxa"/>
            <w:tcBorders>
              <w:top w:val="nil"/>
              <w:left w:val="nil"/>
              <w:bottom w:val="single" w:sz="4" w:space="0" w:color="auto"/>
              <w:right w:val="single" w:sz="4" w:space="0" w:color="auto"/>
            </w:tcBorders>
            <w:noWrap/>
            <w:vAlign w:val="bottom"/>
            <w:hideMark/>
          </w:tcPr>
          <w:p w14:paraId="4E7D04A8"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9</w:t>
            </w:r>
          </w:p>
        </w:tc>
        <w:tc>
          <w:tcPr>
            <w:tcW w:w="1476" w:type="dxa"/>
            <w:tcBorders>
              <w:top w:val="nil"/>
              <w:left w:val="nil"/>
              <w:bottom w:val="single" w:sz="4" w:space="0" w:color="auto"/>
              <w:right w:val="single" w:sz="4" w:space="0" w:color="auto"/>
            </w:tcBorders>
            <w:noWrap/>
            <w:vAlign w:val="bottom"/>
            <w:hideMark/>
          </w:tcPr>
          <w:p w14:paraId="2D287432"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w:t>
            </w:r>
          </w:p>
        </w:tc>
        <w:tc>
          <w:tcPr>
            <w:tcW w:w="1366" w:type="dxa"/>
            <w:tcBorders>
              <w:top w:val="nil"/>
              <w:left w:val="nil"/>
              <w:bottom w:val="single" w:sz="4" w:space="0" w:color="auto"/>
              <w:right w:val="single" w:sz="4" w:space="0" w:color="auto"/>
            </w:tcBorders>
            <w:noWrap/>
            <w:vAlign w:val="bottom"/>
            <w:hideMark/>
          </w:tcPr>
          <w:p w14:paraId="03FE5E30"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w:t>
            </w:r>
          </w:p>
        </w:tc>
        <w:tc>
          <w:tcPr>
            <w:tcW w:w="1293" w:type="dxa"/>
            <w:tcBorders>
              <w:top w:val="nil"/>
              <w:left w:val="nil"/>
              <w:bottom w:val="single" w:sz="4" w:space="0" w:color="auto"/>
              <w:right w:val="single" w:sz="4" w:space="0" w:color="auto"/>
            </w:tcBorders>
            <w:vAlign w:val="bottom"/>
            <w:hideMark/>
          </w:tcPr>
          <w:p w14:paraId="506FF782"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0</w:t>
            </w:r>
          </w:p>
        </w:tc>
        <w:tc>
          <w:tcPr>
            <w:tcW w:w="1530" w:type="dxa"/>
            <w:tcBorders>
              <w:top w:val="nil"/>
              <w:left w:val="nil"/>
              <w:bottom w:val="single" w:sz="4" w:space="0" w:color="auto"/>
              <w:right w:val="single" w:sz="4" w:space="0" w:color="auto"/>
            </w:tcBorders>
            <w:vAlign w:val="bottom"/>
            <w:hideMark/>
          </w:tcPr>
          <w:p w14:paraId="7277062C"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173</w:t>
            </w:r>
          </w:p>
        </w:tc>
      </w:tr>
      <w:tr w:rsidR="005F13C5" w:rsidRPr="005F13C5" w14:paraId="4242A3E8"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118D1DCF"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2020 - 2021</w:t>
            </w:r>
          </w:p>
        </w:tc>
        <w:tc>
          <w:tcPr>
            <w:tcW w:w="1158" w:type="dxa"/>
            <w:tcBorders>
              <w:top w:val="nil"/>
              <w:left w:val="nil"/>
              <w:bottom w:val="single" w:sz="4" w:space="0" w:color="auto"/>
              <w:right w:val="single" w:sz="4" w:space="0" w:color="auto"/>
            </w:tcBorders>
            <w:noWrap/>
            <w:vAlign w:val="bottom"/>
            <w:hideMark/>
          </w:tcPr>
          <w:p w14:paraId="33CE7193"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238</w:t>
            </w:r>
          </w:p>
        </w:tc>
        <w:tc>
          <w:tcPr>
            <w:tcW w:w="1390" w:type="dxa"/>
            <w:tcBorders>
              <w:top w:val="nil"/>
              <w:left w:val="nil"/>
              <w:bottom w:val="single" w:sz="4" w:space="0" w:color="auto"/>
              <w:right w:val="single" w:sz="4" w:space="0" w:color="auto"/>
            </w:tcBorders>
            <w:noWrap/>
            <w:vAlign w:val="bottom"/>
            <w:hideMark/>
          </w:tcPr>
          <w:p w14:paraId="11E7E421"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23</w:t>
            </w:r>
          </w:p>
        </w:tc>
        <w:tc>
          <w:tcPr>
            <w:tcW w:w="1476" w:type="dxa"/>
            <w:tcBorders>
              <w:top w:val="nil"/>
              <w:left w:val="nil"/>
              <w:bottom w:val="single" w:sz="4" w:space="0" w:color="auto"/>
              <w:right w:val="single" w:sz="4" w:space="0" w:color="auto"/>
            </w:tcBorders>
            <w:noWrap/>
            <w:vAlign w:val="bottom"/>
            <w:hideMark/>
          </w:tcPr>
          <w:p w14:paraId="082783A8"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8</w:t>
            </w:r>
          </w:p>
        </w:tc>
        <w:tc>
          <w:tcPr>
            <w:tcW w:w="1366" w:type="dxa"/>
            <w:tcBorders>
              <w:top w:val="nil"/>
              <w:left w:val="nil"/>
              <w:bottom w:val="single" w:sz="4" w:space="0" w:color="auto"/>
              <w:right w:val="single" w:sz="4" w:space="0" w:color="auto"/>
            </w:tcBorders>
            <w:noWrap/>
            <w:vAlign w:val="bottom"/>
            <w:hideMark/>
          </w:tcPr>
          <w:p w14:paraId="6EF28A50"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w:t>
            </w:r>
          </w:p>
        </w:tc>
        <w:tc>
          <w:tcPr>
            <w:tcW w:w="1293" w:type="dxa"/>
            <w:tcBorders>
              <w:top w:val="nil"/>
              <w:left w:val="nil"/>
              <w:bottom w:val="single" w:sz="4" w:space="0" w:color="auto"/>
              <w:right w:val="single" w:sz="4" w:space="0" w:color="auto"/>
            </w:tcBorders>
            <w:vAlign w:val="bottom"/>
            <w:hideMark/>
          </w:tcPr>
          <w:p w14:paraId="69B1076F"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48</w:t>
            </w:r>
          </w:p>
        </w:tc>
        <w:tc>
          <w:tcPr>
            <w:tcW w:w="1530" w:type="dxa"/>
            <w:tcBorders>
              <w:top w:val="nil"/>
              <w:left w:val="nil"/>
              <w:bottom w:val="single" w:sz="4" w:space="0" w:color="auto"/>
              <w:right w:val="single" w:sz="4" w:space="0" w:color="auto"/>
            </w:tcBorders>
            <w:vAlign w:val="bottom"/>
            <w:hideMark/>
          </w:tcPr>
          <w:p w14:paraId="47772E93"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313</w:t>
            </w:r>
          </w:p>
        </w:tc>
      </w:tr>
      <w:tr w:rsidR="005F13C5" w:rsidRPr="005F13C5" w14:paraId="341AD98C"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1196C158"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2021 - 2022</w:t>
            </w:r>
          </w:p>
        </w:tc>
        <w:tc>
          <w:tcPr>
            <w:tcW w:w="1158" w:type="dxa"/>
            <w:tcBorders>
              <w:top w:val="nil"/>
              <w:left w:val="nil"/>
              <w:bottom w:val="single" w:sz="4" w:space="0" w:color="auto"/>
              <w:right w:val="single" w:sz="4" w:space="0" w:color="auto"/>
            </w:tcBorders>
            <w:noWrap/>
            <w:vAlign w:val="bottom"/>
            <w:hideMark/>
          </w:tcPr>
          <w:p w14:paraId="3A79E7AD"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356</w:t>
            </w:r>
          </w:p>
        </w:tc>
        <w:tc>
          <w:tcPr>
            <w:tcW w:w="1390" w:type="dxa"/>
            <w:tcBorders>
              <w:top w:val="nil"/>
              <w:left w:val="nil"/>
              <w:bottom w:val="single" w:sz="4" w:space="0" w:color="auto"/>
              <w:right w:val="single" w:sz="4" w:space="0" w:color="auto"/>
            </w:tcBorders>
            <w:noWrap/>
            <w:vAlign w:val="bottom"/>
            <w:hideMark/>
          </w:tcPr>
          <w:p w14:paraId="71B9AC97"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55</w:t>
            </w:r>
          </w:p>
        </w:tc>
        <w:tc>
          <w:tcPr>
            <w:tcW w:w="1476" w:type="dxa"/>
            <w:tcBorders>
              <w:top w:val="nil"/>
              <w:left w:val="nil"/>
              <w:bottom w:val="single" w:sz="4" w:space="0" w:color="auto"/>
              <w:right w:val="single" w:sz="4" w:space="0" w:color="auto"/>
            </w:tcBorders>
            <w:noWrap/>
            <w:vAlign w:val="bottom"/>
            <w:hideMark/>
          </w:tcPr>
          <w:p w14:paraId="7B1F0766"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w:t>
            </w:r>
          </w:p>
        </w:tc>
        <w:tc>
          <w:tcPr>
            <w:tcW w:w="1366" w:type="dxa"/>
            <w:tcBorders>
              <w:top w:val="nil"/>
              <w:left w:val="nil"/>
              <w:bottom w:val="single" w:sz="4" w:space="0" w:color="auto"/>
              <w:right w:val="single" w:sz="4" w:space="0" w:color="auto"/>
            </w:tcBorders>
            <w:noWrap/>
            <w:vAlign w:val="bottom"/>
            <w:hideMark/>
          </w:tcPr>
          <w:p w14:paraId="706BDFA5"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0</w:t>
            </w:r>
          </w:p>
        </w:tc>
        <w:tc>
          <w:tcPr>
            <w:tcW w:w="1293" w:type="dxa"/>
            <w:tcBorders>
              <w:top w:val="nil"/>
              <w:left w:val="nil"/>
              <w:bottom w:val="single" w:sz="4" w:space="0" w:color="auto"/>
              <w:right w:val="single" w:sz="4" w:space="0" w:color="auto"/>
            </w:tcBorders>
            <w:vAlign w:val="bottom"/>
            <w:hideMark/>
          </w:tcPr>
          <w:p w14:paraId="756FA610"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0</w:t>
            </w:r>
          </w:p>
        </w:tc>
        <w:tc>
          <w:tcPr>
            <w:tcW w:w="1530" w:type="dxa"/>
            <w:tcBorders>
              <w:top w:val="nil"/>
              <w:left w:val="nil"/>
              <w:bottom w:val="single" w:sz="4" w:space="0" w:color="auto"/>
              <w:right w:val="single" w:sz="4" w:space="0" w:color="auto"/>
            </w:tcBorders>
            <w:vAlign w:val="bottom"/>
            <w:hideMark/>
          </w:tcPr>
          <w:p w14:paraId="5742AE05"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412</w:t>
            </w:r>
          </w:p>
        </w:tc>
      </w:tr>
      <w:tr w:rsidR="005F13C5" w:rsidRPr="005F13C5" w14:paraId="4C4523D5"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0518A0A3"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2022 - 2023</w:t>
            </w:r>
          </w:p>
        </w:tc>
        <w:tc>
          <w:tcPr>
            <w:tcW w:w="1158" w:type="dxa"/>
            <w:tcBorders>
              <w:top w:val="nil"/>
              <w:left w:val="nil"/>
              <w:bottom w:val="single" w:sz="4" w:space="0" w:color="auto"/>
              <w:right w:val="single" w:sz="4" w:space="0" w:color="auto"/>
            </w:tcBorders>
            <w:noWrap/>
            <w:vAlign w:val="bottom"/>
            <w:hideMark/>
          </w:tcPr>
          <w:p w14:paraId="67B37B8F"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316</w:t>
            </w:r>
          </w:p>
        </w:tc>
        <w:tc>
          <w:tcPr>
            <w:tcW w:w="1390" w:type="dxa"/>
            <w:tcBorders>
              <w:top w:val="nil"/>
              <w:left w:val="nil"/>
              <w:bottom w:val="single" w:sz="4" w:space="0" w:color="auto"/>
              <w:right w:val="single" w:sz="4" w:space="0" w:color="auto"/>
            </w:tcBorders>
            <w:vAlign w:val="bottom"/>
            <w:hideMark/>
          </w:tcPr>
          <w:p w14:paraId="6B98132F"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28</w:t>
            </w:r>
          </w:p>
        </w:tc>
        <w:tc>
          <w:tcPr>
            <w:tcW w:w="1476" w:type="dxa"/>
            <w:tcBorders>
              <w:top w:val="nil"/>
              <w:left w:val="nil"/>
              <w:bottom w:val="single" w:sz="4" w:space="0" w:color="auto"/>
              <w:right w:val="single" w:sz="4" w:space="0" w:color="auto"/>
            </w:tcBorders>
            <w:vAlign w:val="bottom"/>
            <w:hideMark/>
          </w:tcPr>
          <w:p w14:paraId="4424E40A"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8</w:t>
            </w:r>
          </w:p>
        </w:tc>
        <w:tc>
          <w:tcPr>
            <w:tcW w:w="1366" w:type="dxa"/>
            <w:tcBorders>
              <w:top w:val="nil"/>
              <w:left w:val="nil"/>
              <w:bottom w:val="single" w:sz="4" w:space="0" w:color="auto"/>
              <w:right w:val="single" w:sz="4" w:space="0" w:color="auto"/>
            </w:tcBorders>
            <w:vAlign w:val="bottom"/>
            <w:hideMark/>
          </w:tcPr>
          <w:p w14:paraId="564D381C"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w:t>
            </w:r>
          </w:p>
        </w:tc>
        <w:tc>
          <w:tcPr>
            <w:tcW w:w="1293" w:type="dxa"/>
            <w:tcBorders>
              <w:top w:val="nil"/>
              <w:left w:val="nil"/>
              <w:bottom w:val="single" w:sz="4" w:space="0" w:color="auto"/>
              <w:right w:val="single" w:sz="4" w:space="0" w:color="auto"/>
            </w:tcBorders>
            <w:vAlign w:val="bottom"/>
            <w:hideMark/>
          </w:tcPr>
          <w:p w14:paraId="6B6E7A43"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6</w:t>
            </w:r>
          </w:p>
        </w:tc>
        <w:tc>
          <w:tcPr>
            <w:tcW w:w="1530" w:type="dxa"/>
            <w:tcBorders>
              <w:top w:val="nil"/>
              <w:left w:val="nil"/>
              <w:bottom w:val="single" w:sz="4" w:space="0" w:color="auto"/>
              <w:right w:val="single" w:sz="4" w:space="0" w:color="auto"/>
            </w:tcBorders>
            <w:vAlign w:val="bottom"/>
            <w:hideMark/>
          </w:tcPr>
          <w:p w14:paraId="0855525B"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357</w:t>
            </w:r>
          </w:p>
        </w:tc>
      </w:tr>
      <w:tr w:rsidR="005F13C5" w:rsidRPr="005F13C5" w14:paraId="400AFA4C"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137C73C1"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2023 - 2024</w:t>
            </w:r>
          </w:p>
        </w:tc>
        <w:tc>
          <w:tcPr>
            <w:tcW w:w="1158" w:type="dxa"/>
            <w:tcBorders>
              <w:top w:val="nil"/>
              <w:left w:val="nil"/>
              <w:bottom w:val="single" w:sz="4" w:space="0" w:color="auto"/>
              <w:right w:val="single" w:sz="4" w:space="0" w:color="auto"/>
            </w:tcBorders>
            <w:noWrap/>
            <w:vAlign w:val="bottom"/>
            <w:hideMark/>
          </w:tcPr>
          <w:p w14:paraId="062001C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405</w:t>
            </w:r>
          </w:p>
        </w:tc>
        <w:tc>
          <w:tcPr>
            <w:tcW w:w="1390" w:type="dxa"/>
            <w:tcBorders>
              <w:top w:val="nil"/>
              <w:left w:val="nil"/>
              <w:bottom w:val="single" w:sz="4" w:space="0" w:color="auto"/>
              <w:right w:val="single" w:sz="4" w:space="0" w:color="auto"/>
            </w:tcBorders>
            <w:vAlign w:val="bottom"/>
            <w:hideMark/>
          </w:tcPr>
          <w:p w14:paraId="14F12FB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34</w:t>
            </w:r>
          </w:p>
        </w:tc>
        <w:tc>
          <w:tcPr>
            <w:tcW w:w="1476" w:type="dxa"/>
            <w:tcBorders>
              <w:top w:val="nil"/>
              <w:left w:val="nil"/>
              <w:bottom w:val="single" w:sz="4" w:space="0" w:color="auto"/>
              <w:right w:val="single" w:sz="4" w:space="0" w:color="auto"/>
            </w:tcBorders>
            <w:vAlign w:val="bottom"/>
            <w:hideMark/>
          </w:tcPr>
          <w:p w14:paraId="03C08C6D"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14</w:t>
            </w:r>
          </w:p>
        </w:tc>
        <w:tc>
          <w:tcPr>
            <w:tcW w:w="1366" w:type="dxa"/>
            <w:tcBorders>
              <w:top w:val="nil"/>
              <w:left w:val="nil"/>
              <w:bottom w:val="single" w:sz="4" w:space="0" w:color="auto"/>
              <w:right w:val="single" w:sz="4" w:space="0" w:color="auto"/>
            </w:tcBorders>
            <w:vAlign w:val="bottom"/>
            <w:hideMark/>
          </w:tcPr>
          <w:p w14:paraId="0CD7D844"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w:t>
            </w:r>
          </w:p>
        </w:tc>
        <w:tc>
          <w:tcPr>
            <w:tcW w:w="1293" w:type="dxa"/>
            <w:tcBorders>
              <w:top w:val="nil"/>
              <w:left w:val="nil"/>
              <w:bottom w:val="single" w:sz="4" w:space="0" w:color="auto"/>
              <w:right w:val="single" w:sz="4" w:space="0" w:color="auto"/>
            </w:tcBorders>
            <w:vAlign w:val="bottom"/>
            <w:hideMark/>
          </w:tcPr>
          <w:p w14:paraId="4F9051B0"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0</w:t>
            </w:r>
          </w:p>
        </w:tc>
        <w:tc>
          <w:tcPr>
            <w:tcW w:w="1530" w:type="dxa"/>
            <w:tcBorders>
              <w:top w:val="nil"/>
              <w:left w:val="nil"/>
              <w:bottom w:val="single" w:sz="4" w:space="0" w:color="auto"/>
              <w:right w:val="single" w:sz="4" w:space="0" w:color="auto"/>
            </w:tcBorders>
            <w:vAlign w:val="bottom"/>
            <w:hideMark/>
          </w:tcPr>
          <w:p w14:paraId="6E9AB47C"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452</w:t>
            </w:r>
          </w:p>
        </w:tc>
      </w:tr>
      <w:tr w:rsidR="005F13C5" w:rsidRPr="005F13C5" w14:paraId="46DC30D9" w14:textId="77777777" w:rsidTr="005F13C5">
        <w:trPr>
          <w:trHeight w:val="310"/>
        </w:trPr>
        <w:tc>
          <w:tcPr>
            <w:tcW w:w="1418" w:type="dxa"/>
            <w:tcBorders>
              <w:top w:val="nil"/>
              <w:left w:val="single" w:sz="4" w:space="0" w:color="auto"/>
              <w:bottom w:val="single" w:sz="4" w:space="0" w:color="auto"/>
              <w:right w:val="single" w:sz="4" w:space="0" w:color="auto"/>
            </w:tcBorders>
            <w:vAlign w:val="bottom"/>
            <w:hideMark/>
          </w:tcPr>
          <w:p w14:paraId="00311C31"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2024 - 2025</w:t>
            </w:r>
          </w:p>
        </w:tc>
        <w:tc>
          <w:tcPr>
            <w:tcW w:w="1158" w:type="dxa"/>
            <w:tcBorders>
              <w:top w:val="nil"/>
              <w:left w:val="nil"/>
              <w:bottom w:val="single" w:sz="4" w:space="0" w:color="auto"/>
              <w:right w:val="single" w:sz="4" w:space="0" w:color="auto"/>
            </w:tcBorders>
            <w:noWrap/>
            <w:vAlign w:val="bottom"/>
            <w:hideMark/>
          </w:tcPr>
          <w:p w14:paraId="7BAAB1C6"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430</w:t>
            </w:r>
          </w:p>
        </w:tc>
        <w:tc>
          <w:tcPr>
            <w:tcW w:w="1390" w:type="dxa"/>
            <w:tcBorders>
              <w:top w:val="nil"/>
              <w:left w:val="nil"/>
              <w:bottom w:val="single" w:sz="4" w:space="0" w:color="auto"/>
              <w:right w:val="single" w:sz="4" w:space="0" w:color="auto"/>
            </w:tcBorders>
            <w:vAlign w:val="bottom"/>
            <w:hideMark/>
          </w:tcPr>
          <w:p w14:paraId="5E72FC5A"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17</w:t>
            </w:r>
          </w:p>
        </w:tc>
        <w:tc>
          <w:tcPr>
            <w:tcW w:w="1476" w:type="dxa"/>
            <w:tcBorders>
              <w:top w:val="nil"/>
              <w:left w:val="nil"/>
              <w:bottom w:val="single" w:sz="4" w:space="0" w:color="auto"/>
              <w:right w:val="single" w:sz="4" w:space="0" w:color="auto"/>
            </w:tcBorders>
            <w:vAlign w:val="bottom"/>
            <w:hideMark/>
          </w:tcPr>
          <w:p w14:paraId="7C47F99C"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w:t>
            </w:r>
          </w:p>
        </w:tc>
        <w:tc>
          <w:tcPr>
            <w:tcW w:w="1366" w:type="dxa"/>
            <w:tcBorders>
              <w:top w:val="nil"/>
              <w:left w:val="nil"/>
              <w:bottom w:val="single" w:sz="4" w:space="0" w:color="auto"/>
              <w:right w:val="single" w:sz="4" w:space="0" w:color="auto"/>
            </w:tcBorders>
            <w:vAlign w:val="bottom"/>
            <w:hideMark/>
          </w:tcPr>
          <w:p w14:paraId="703FCB9B"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w:t>
            </w:r>
          </w:p>
        </w:tc>
        <w:tc>
          <w:tcPr>
            <w:tcW w:w="1293" w:type="dxa"/>
            <w:tcBorders>
              <w:top w:val="nil"/>
              <w:left w:val="nil"/>
              <w:bottom w:val="single" w:sz="4" w:space="0" w:color="auto"/>
              <w:right w:val="single" w:sz="4" w:space="0" w:color="auto"/>
            </w:tcBorders>
            <w:vAlign w:val="bottom"/>
            <w:hideMark/>
          </w:tcPr>
          <w:p w14:paraId="5A72F5EA" w14:textId="77777777" w:rsidR="005F13C5" w:rsidRPr="005F13C5" w:rsidRDefault="005F13C5" w:rsidP="005F13C5">
            <w:pPr>
              <w:spacing w:after="0" w:line="240" w:lineRule="auto"/>
              <w:jc w:val="right"/>
              <w:rPr>
                <w:rFonts w:ascii="Calibri" w:eastAsia="Times New Roman" w:hAnsi="Calibri" w:cs="Calibri"/>
                <w:color w:val="7030A0"/>
                <w:sz w:val="22"/>
                <w:lang w:eastAsia="en-GB"/>
              </w:rPr>
            </w:pPr>
            <w:r w:rsidRPr="005F13C5">
              <w:rPr>
                <w:rFonts w:ascii="Calibri" w:eastAsia="Times New Roman" w:hAnsi="Calibri" w:cs="Calibri"/>
                <w:color w:val="7030A0"/>
                <w:sz w:val="22"/>
                <w:lang w:eastAsia="en-GB"/>
              </w:rPr>
              <w:t>4</w:t>
            </w:r>
          </w:p>
        </w:tc>
        <w:tc>
          <w:tcPr>
            <w:tcW w:w="1530" w:type="dxa"/>
            <w:tcBorders>
              <w:top w:val="nil"/>
              <w:left w:val="nil"/>
              <w:bottom w:val="single" w:sz="4" w:space="0" w:color="auto"/>
              <w:right w:val="single" w:sz="4" w:space="0" w:color="auto"/>
            </w:tcBorders>
            <w:vAlign w:val="bottom"/>
            <w:hideMark/>
          </w:tcPr>
          <w:p w14:paraId="0750EE8C"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455</w:t>
            </w:r>
          </w:p>
        </w:tc>
      </w:tr>
      <w:tr w:rsidR="005F13C5" w:rsidRPr="005F13C5" w14:paraId="02FAEFA4" w14:textId="77777777" w:rsidTr="005F13C5">
        <w:trPr>
          <w:trHeight w:val="447"/>
        </w:trPr>
        <w:tc>
          <w:tcPr>
            <w:tcW w:w="1418" w:type="dxa"/>
            <w:tcBorders>
              <w:top w:val="nil"/>
              <w:left w:val="single" w:sz="4" w:space="0" w:color="auto"/>
              <w:bottom w:val="single" w:sz="4" w:space="0" w:color="auto"/>
              <w:right w:val="single" w:sz="4" w:space="0" w:color="auto"/>
            </w:tcBorders>
            <w:vAlign w:val="bottom"/>
            <w:hideMark/>
          </w:tcPr>
          <w:p w14:paraId="084AD352" w14:textId="56A1429D" w:rsidR="005F13C5" w:rsidRPr="005F13C5" w:rsidRDefault="005F13C5" w:rsidP="005F13C5">
            <w:pPr>
              <w:spacing w:after="0" w:line="240" w:lineRule="auto"/>
              <w:jc w:val="left"/>
              <w:rPr>
                <w:rFonts w:eastAsia="Times New Roman" w:cs="Arial"/>
                <w:b/>
                <w:bCs/>
                <w:color w:val="7030A0"/>
                <w:sz w:val="22"/>
                <w:lang w:eastAsia="en-GB"/>
              </w:rPr>
            </w:pPr>
            <w:r w:rsidRPr="005F13C5">
              <w:rPr>
                <w:rFonts w:eastAsia="Times New Roman" w:cs="Arial"/>
                <w:b/>
                <w:bCs/>
                <w:color w:val="7030A0"/>
                <w:sz w:val="22"/>
                <w:lang w:eastAsia="en-GB"/>
              </w:rPr>
              <w:t xml:space="preserve">2015 </w:t>
            </w:r>
            <w:r>
              <w:rPr>
                <w:rFonts w:eastAsia="Times New Roman" w:cs="Arial"/>
                <w:b/>
                <w:bCs/>
                <w:color w:val="7030A0"/>
                <w:sz w:val="22"/>
                <w:lang w:eastAsia="en-GB"/>
              </w:rPr>
              <w:t>-</w:t>
            </w:r>
            <w:r w:rsidRPr="005F13C5">
              <w:rPr>
                <w:rFonts w:eastAsia="Times New Roman" w:cs="Arial"/>
                <w:b/>
                <w:bCs/>
                <w:color w:val="7030A0"/>
                <w:sz w:val="22"/>
                <w:lang w:eastAsia="en-GB"/>
              </w:rPr>
              <w:t xml:space="preserve"> 2025</w:t>
            </w:r>
          </w:p>
        </w:tc>
        <w:tc>
          <w:tcPr>
            <w:tcW w:w="1158" w:type="dxa"/>
            <w:tcBorders>
              <w:top w:val="nil"/>
              <w:left w:val="nil"/>
              <w:bottom w:val="single" w:sz="4" w:space="0" w:color="auto"/>
              <w:right w:val="single" w:sz="4" w:space="0" w:color="auto"/>
            </w:tcBorders>
            <w:vAlign w:val="bottom"/>
            <w:hideMark/>
          </w:tcPr>
          <w:p w14:paraId="25591188" w14:textId="77777777" w:rsidR="005F13C5" w:rsidRPr="005F13C5" w:rsidRDefault="005F13C5" w:rsidP="005F13C5">
            <w:pPr>
              <w:spacing w:after="0" w:line="240" w:lineRule="auto"/>
              <w:jc w:val="right"/>
              <w:rPr>
                <w:rFonts w:eastAsia="Times New Roman" w:cs="Arial"/>
                <w:b/>
                <w:bCs/>
                <w:color w:val="7030A0"/>
                <w:sz w:val="22"/>
                <w:lang w:eastAsia="en-GB"/>
              </w:rPr>
            </w:pPr>
            <w:r w:rsidRPr="005F13C5">
              <w:rPr>
                <w:rFonts w:eastAsia="Times New Roman" w:cs="Arial"/>
                <w:b/>
                <w:bCs/>
                <w:color w:val="7030A0"/>
                <w:sz w:val="22"/>
                <w:lang w:eastAsia="en-GB"/>
              </w:rPr>
              <w:t>3146</w:t>
            </w:r>
          </w:p>
        </w:tc>
        <w:tc>
          <w:tcPr>
            <w:tcW w:w="1390" w:type="dxa"/>
            <w:tcBorders>
              <w:top w:val="nil"/>
              <w:left w:val="nil"/>
              <w:bottom w:val="single" w:sz="4" w:space="0" w:color="auto"/>
              <w:right w:val="single" w:sz="4" w:space="0" w:color="auto"/>
            </w:tcBorders>
            <w:vAlign w:val="bottom"/>
            <w:hideMark/>
          </w:tcPr>
          <w:p w14:paraId="650265FF" w14:textId="77777777" w:rsidR="005F13C5" w:rsidRPr="005F13C5" w:rsidRDefault="005F13C5" w:rsidP="005F13C5">
            <w:pPr>
              <w:spacing w:after="0" w:line="240" w:lineRule="auto"/>
              <w:jc w:val="right"/>
              <w:rPr>
                <w:rFonts w:eastAsia="Times New Roman" w:cs="Arial"/>
                <w:b/>
                <w:bCs/>
                <w:color w:val="7030A0"/>
                <w:sz w:val="22"/>
                <w:lang w:eastAsia="en-GB"/>
              </w:rPr>
            </w:pPr>
            <w:r w:rsidRPr="005F13C5">
              <w:rPr>
                <w:rFonts w:eastAsia="Times New Roman" w:cs="Arial"/>
                <w:b/>
                <w:bCs/>
                <w:color w:val="7030A0"/>
                <w:sz w:val="22"/>
                <w:lang w:eastAsia="en-GB"/>
              </w:rPr>
              <w:t>299</w:t>
            </w:r>
          </w:p>
        </w:tc>
        <w:tc>
          <w:tcPr>
            <w:tcW w:w="1476" w:type="dxa"/>
            <w:tcBorders>
              <w:top w:val="nil"/>
              <w:left w:val="nil"/>
              <w:bottom w:val="single" w:sz="4" w:space="0" w:color="auto"/>
              <w:right w:val="single" w:sz="4" w:space="0" w:color="auto"/>
            </w:tcBorders>
            <w:vAlign w:val="bottom"/>
            <w:hideMark/>
          </w:tcPr>
          <w:p w14:paraId="280FCE71" w14:textId="77777777" w:rsidR="005F13C5" w:rsidRPr="005F13C5" w:rsidRDefault="005F13C5" w:rsidP="005F13C5">
            <w:pPr>
              <w:spacing w:after="0" w:line="240" w:lineRule="auto"/>
              <w:jc w:val="right"/>
              <w:rPr>
                <w:rFonts w:eastAsia="Times New Roman" w:cs="Arial"/>
                <w:b/>
                <w:bCs/>
                <w:color w:val="7030A0"/>
                <w:sz w:val="22"/>
                <w:lang w:eastAsia="en-GB"/>
              </w:rPr>
            </w:pPr>
            <w:r w:rsidRPr="005F13C5">
              <w:rPr>
                <w:rFonts w:eastAsia="Times New Roman" w:cs="Arial"/>
                <w:b/>
                <w:bCs/>
                <w:color w:val="7030A0"/>
                <w:sz w:val="22"/>
                <w:lang w:eastAsia="en-GB"/>
              </w:rPr>
              <w:t>47</w:t>
            </w:r>
          </w:p>
        </w:tc>
        <w:tc>
          <w:tcPr>
            <w:tcW w:w="1366" w:type="dxa"/>
            <w:tcBorders>
              <w:top w:val="nil"/>
              <w:left w:val="nil"/>
              <w:bottom w:val="single" w:sz="4" w:space="0" w:color="auto"/>
              <w:right w:val="single" w:sz="4" w:space="0" w:color="auto"/>
            </w:tcBorders>
            <w:vAlign w:val="bottom"/>
            <w:hideMark/>
          </w:tcPr>
          <w:p w14:paraId="016F809F" w14:textId="77777777" w:rsidR="005F13C5" w:rsidRPr="005F13C5" w:rsidRDefault="005F13C5" w:rsidP="005F13C5">
            <w:pPr>
              <w:spacing w:after="0" w:line="240" w:lineRule="auto"/>
              <w:jc w:val="right"/>
              <w:rPr>
                <w:rFonts w:eastAsia="Times New Roman" w:cs="Arial"/>
                <w:b/>
                <w:bCs/>
                <w:color w:val="7030A0"/>
                <w:sz w:val="22"/>
                <w:lang w:eastAsia="en-GB"/>
              </w:rPr>
            </w:pPr>
            <w:r w:rsidRPr="005F13C5">
              <w:rPr>
                <w:rFonts w:eastAsia="Times New Roman" w:cs="Arial"/>
                <w:b/>
                <w:bCs/>
                <w:color w:val="7030A0"/>
                <w:sz w:val="22"/>
                <w:lang w:eastAsia="en-GB"/>
              </w:rPr>
              <w:t>19</w:t>
            </w:r>
          </w:p>
        </w:tc>
        <w:tc>
          <w:tcPr>
            <w:tcW w:w="1293" w:type="dxa"/>
            <w:tcBorders>
              <w:top w:val="nil"/>
              <w:left w:val="nil"/>
              <w:bottom w:val="single" w:sz="4" w:space="0" w:color="auto"/>
              <w:right w:val="single" w:sz="4" w:space="0" w:color="auto"/>
            </w:tcBorders>
            <w:vAlign w:val="bottom"/>
            <w:hideMark/>
          </w:tcPr>
          <w:p w14:paraId="2DA616C0" w14:textId="77777777" w:rsidR="005F13C5" w:rsidRPr="005F13C5" w:rsidRDefault="005F13C5" w:rsidP="005F13C5">
            <w:pPr>
              <w:spacing w:after="0" w:line="240" w:lineRule="auto"/>
              <w:jc w:val="right"/>
              <w:rPr>
                <w:rFonts w:eastAsia="Times New Roman" w:cs="Arial"/>
                <w:b/>
                <w:bCs/>
                <w:color w:val="7030A0"/>
                <w:sz w:val="22"/>
                <w:lang w:eastAsia="en-GB"/>
              </w:rPr>
            </w:pPr>
            <w:r w:rsidRPr="005F13C5">
              <w:rPr>
                <w:rFonts w:eastAsia="Times New Roman" w:cs="Arial"/>
                <w:b/>
                <w:bCs/>
                <w:color w:val="7030A0"/>
                <w:sz w:val="22"/>
                <w:lang w:eastAsia="en-GB"/>
              </w:rPr>
              <w:t>147</w:t>
            </w:r>
          </w:p>
        </w:tc>
        <w:tc>
          <w:tcPr>
            <w:tcW w:w="1530" w:type="dxa"/>
            <w:tcBorders>
              <w:top w:val="nil"/>
              <w:left w:val="nil"/>
              <w:bottom w:val="single" w:sz="4" w:space="0" w:color="auto"/>
              <w:right w:val="single" w:sz="4" w:space="0" w:color="auto"/>
            </w:tcBorders>
            <w:vAlign w:val="bottom"/>
            <w:hideMark/>
          </w:tcPr>
          <w:p w14:paraId="57C38610" w14:textId="77777777" w:rsidR="005F13C5" w:rsidRPr="005F13C5" w:rsidRDefault="005F13C5" w:rsidP="005F13C5">
            <w:pPr>
              <w:spacing w:after="0" w:line="240" w:lineRule="auto"/>
              <w:jc w:val="right"/>
              <w:rPr>
                <w:rFonts w:eastAsia="Times New Roman" w:cs="Arial"/>
                <w:b/>
                <w:bCs/>
                <w:color w:val="7030A0"/>
                <w:sz w:val="22"/>
                <w:lang w:eastAsia="en-GB"/>
              </w:rPr>
            </w:pPr>
            <w:r w:rsidRPr="005F13C5">
              <w:rPr>
                <w:rFonts w:eastAsia="Times New Roman" w:cs="Arial"/>
                <w:b/>
                <w:bCs/>
                <w:color w:val="7030A0"/>
                <w:sz w:val="22"/>
                <w:lang w:eastAsia="en-GB"/>
              </w:rPr>
              <w:t>4050</w:t>
            </w:r>
          </w:p>
        </w:tc>
      </w:tr>
      <w:tr w:rsidR="005F13C5" w:rsidRPr="005F13C5" w14:paraId="7D10394D" w14:textId="77777777" w:rsidTr="005F13C5">
        <w:trPr>
          <w:trHeight w:val="310"/>
        </w:trPr>
        <w:tc>
          <w:tcPr>
            <w:tcW w:w="1418" w:type="dxa"/>
            <w:tcBorders>
              <w:top w:val="nil"/>
              <w:left w:val="single" w:sz="4" w:space="0" w:color="auto"/>
              <w:bottom w:val="single" w:sz="4" w:space="0" w:color="auto"/>
              <w:right w:val="single" w:sz="4" w:space="0" w:color="auto"/>
            </w:tcBorders>
            <w:noWrap/>
            <w:vAlign w:val="bottom"/>
            <w:hideMark/>
          </w:tcPr>
          <w:p w14:paraId="6FC81DDF"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 xml:space="preserve">Average per year </w:t>
            </w:r>
          </w:p>
        </w:tc>
        <w:tc>
          <w:tcPr>
            <w:tcW w:w="1158" w:type="dxa"/>
            <w:tcBorders>
              <w:top w:val="nil"/>
              <w:left w:val="nil"/>
              <w:bottom w:val="single" w:sz="4" w:space="0" w:color="auto"/>
              <w:right w:val="single" w:sz="4" w:space="0" w:color="auto"/>
            </w:tcBorders>
            <w:noWrap/>
            <w:vAlign w:val="bottom"/>
            <w:hideMark/>
          </w:tcPr>
          <w:p w14:paraId="26A12097"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315</w:t>
            </w:r>
          </w:p>
        </w:tc>
        <w:tc>
          <w:tcPr>
            <w:tcW w:w="1390" w:type="dxa"/>
            <w:tcBorders>
              <w:top w:val="nil"/>
              <w:left w:val="nil"/>
              <w:bottom w:val="single" w:sz="4" w:space="0" w:color="auto"/>
              <w:right w:val="single" w:sz="4" w:space="0" w:color="auto"/>
            </w:tcBorders>
            <w:noWrap/>
            <w:vAlign w:val="bottom"/>
            <w:hideMark/>
          </w:tcPr>
          <w:p w14:paraId="0E6BFA41"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30</w:t>
            </w:r>
          </w:p>
        </w:tc>
        <w:tc>
          <w:tcPr>
            <w:tcW w:w="1476" w:type="dxa"/>
            <w:tcBorders>
              <w:top w:val="nil"/>
              <w:left w:val="nil"/>
              <w:bottom w:val="single" w:sz="4" w:space="0" w:color="auto"/>
              <w:right w:val="single" w:sz="4" w:space="0" w:color="auto"/>
            </w:tcBorders>
            <w:noWrap/>
            <w:vAlign w:val="bottom"/>
            <w:hideMark/>
          </w:tcPr>
          <w:p w14:paraId="5F6C4855"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5</w:t>
            </w:r>
          </w:p>
        </w:tc>
        <w:tc>
          <w:tcPr>
            <w:tcW w:w="1366" w:type="dxa"/>
            <w:tcBorders>
              <w:top w:val="nil"/>
              <w:left w:val="nil"/>
              <w:bottom w:val="single" w:sz="4" w:space="0" w:color="auto"/>
              <w:right w:val="single" w:sz="4" w:space="0" w:color="auto"/>
            </w:tcBorders>
            <w:noWrap/>
            <w:vAlign w:val="bottom"/>
            <w:hideMark/>
          </w:tcPr>
          <w:p w14:paraId="581FD1F9"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2</w:t>
            </w:r>
          </w:p>
        </w:tc>
        <w:tc>
          <w:tcPr>
            <w:tcW w:w="1293" w:type="dxa"/>
            <w:tcBorders>
              <w:top w:val="nil"/>
              <w:left w:val="nil"/>
              <w:bottom w:val="single" w:sz="4" w:space="0" w:color="auto"/>
              <w:right w:val="single" w:sz="4" w:space="0" w:color="auto"/>
            </w:tcBorders>
            <w:noWrap/>
            <w:vAlign w:val="bottom"/>
            <w:hideMark/>
          </w:tcPr>
          <w:p w14:paraId="57C72947"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15</w:t>
            </w:r>
          </w:p>
        </w:tc>
        <w:tc>
          <w:tcPr>
            <w:tcW w:w="1530" w:type="dxa"/>
            <w:tcBorders>
              <w:top w:val="nil"/>
              <w:left w:val="nil"/>
              <w:bottom w:val="single" w:sz="4" w:space="0" w:color="auto"/>
              <w:right w:val="single" w:sz="4" w:space="0" w:color="auto"/>
            </w:tcBorders>
            <w:noWrap/>
            <w:vAlign w:val="bottom"/>
            <w:hideMark/>
          </w:tcPr>
          <w:p w14:paraId="0E87713F" w14:textId="77777777" w:rsidR="005F13C5" w:rsidRPr="005F13C5" w:rsidRDefault="005F13C5" w:rsidP="005F13C5">
            <w:pPr>
              <w:spacing w:after="0" w:line="240" w:lineRule="auto"/>
              <w:jc w:val="right"/>
              <w:rPr>
                <w:rFonts w:eastAsia="Times New Roman" w:cs="Arial"/>
                <w:color w:val="7030A0"/>
                <w:sz w:val="22"/>
                <w:lang w:eastAsia="en-GB"/>
              </w:rPr>
            </w:pPr>
            <w:r w:rsidRPr="005F13C5">
              <w:rPr>
                <w:rFonts w:eastAsia="Times New Roman" w:cs="Arial"/>
                <w:color w:val="7030A0"/>
                <w:sz w:val="22"/>
                <w:lang w:eastAsia="en-GB"/>
              </w:rPr>
              <w:t>405</w:t>
            </w:r>
          </w:p>
        </w:tc>
      </w:tr>
    </w:tbl>
    <w:p w14:paraId="46173157" w14:textId="77777777" w:rsidR="005F13C5" w:rsidRDefault="005F13C5" w:rsidP="000C09F3">
      <w:pPr>
        <w:rPr>
          <w:rFonts w:cs="Arial"/>
          <w:color w:val="FF0000"/>
          <w:szCs w:val="24"/>
        </w:rPr>
      </w:pPr>
    </w:p>
    <w:p w14:paraId="3FD87A5A" w14:textId="62EBD1F4" w:rsidR="00475DA7" w:rsidRDefault="00475DA7" w:rsidP="00475DA7">
      <w:pPr>
        <w:ind w:left="720" w:hanging="720"/>
        <w:jc w:val="left"/>
        <w:rPr>
          <w:rFonts w:cs="Arial"/>
          <w:b/>
          <w:bCs/>
          <w:szCs w:val="24"/>
        </w:rPr>
      </w:pPr>
      <w:r w:rsidRPr="00475DA7">
        <w:rPr>
          <w:rFonts w:cs="Arial"/>
          <w:szCs w:val="24"/>
        </w:rPr>
        <w:t>9.12.</w:t>
      </w:r>
      <w:r w:rsidR="00D53445">
        <w:rPr>
          <w:rFonts w:cs="Arial"/>
          <w:szCs w:val="24"/>
        </w:rPr>
        <w:t>2</w:t>
      </w:r>
      <w:r w:rsidRPr="00475DA7">
        <w:rPr>
          <w:rFonts w:cs="Arial"/>
          <w:szCs w:val="24"/>
        </w:rPr>
        <w:t xml:space="preserve"> </w:t>
      </w:r>
      <w:r w:rsidR="00371378" w:rsidRPr="00A71DE3">
        <w:rPr>
          <w:rFonts w:cs="Arial"/>
          <w:color w:val="7030A0"/>
          <w:szCs w:val="24"/>
        </w:rPr>
        <w:t xml:space="preserve">A </w:t>
      </w:r>
      <w:r w:rsidR="00A71DE3" w:rsidRPr="00A71DE3">
        <w:rPr>
          <w:rFonts w:cs="Arial"/>
          <w:color w:val="7030A0"/>
          <w:szCs w:val="24"/>
        </w:rPr>
        <w:t>10-year</w:t>
      </w:r>
      <w:r w:rsidR="00371378" w:rsidRPr="00A71DE3">
        <w:rPr>
          <w:rFonts w:cs="Arial"/>
          <w:color w:val="7030A0"/>
          <w:szCs w:val="24"/>
        </w:rPr>
        <w:t xml:space="preserve"> assessment period has been reviewed to take account of peaks and troughs in the housing market and present a more reliable evidence base</w:t>
      </w:r>
      <w:r w:rsidR="00371378" w:rsidRPr="00371378">
        <w:rPr>
          <w:rFonts w:cs="Arial"/>
          <w:szCs w:val="24"/>
        </w:rPr>
        <w:t xml:space="preserve">. </w:t>
      </w:r>
      <w:r>
        <w:rPr>
          <w:rFonts w:cs="Arial"/>
          <w:szCs w:val="24"/>
        </w:rPr>
        <w:t xml:space="preserve">However, it should be noted that this does include years where delivery has been severely impacted by the Covid pandemic. A more accurate estimate of typical delivery can be drawn from omitting these years and instead extending the accounting period to include the previous 2 years from </w:t>
      </w:r>
      <w:r w:rsidRPr="005F13C5">
        <w:rPr>
          <w:rFonts w:cs="Arial"/>
          <w:strike/>
          <w:szCs w:val="24"/>
        </w:rPr>
        <w:t>2012</w:t>
      </w:r>
      <w:r>
        <w:rPr>
          <w:rFonts w:cs="Arial"/>
          <w:szCs w:val="24"/>
        </w:rPr>
        <w:t xml:space="preserve"> </w:t>
      </w:r>
      <w:r w:rsidR="005F13C5" w:rsidRPr="005F13C5">
        <w:rPr>
          <w:rFonts w:cs="Arial"/>
          <w:color w:val="7030A0"/>
          <w:szCs w:val="24"/>
        </w:rPr>
        <w:t>2013</w:t>
      </w:r>
      <w:r w:rsidR="005F13C5">
        <w:rPr>
          <w:rFonts w:cs="Arial"/>
          <w:szCs w:val="24"/>
        </w:rPr>
        <w:t xml:space="preserve"> </w:t>
      </w:r>
      <w:r>
        <w:rPr>
          <w:rFonts w:cs="Arial"/>
          <w:szCs w:val="24"/>
        </w:rPr>
        <w:t xml:space="preserve">as set out below. </w:t>
      </w:r>
      <w:r w:rsidR="00583E32">
        <w:rPr>
          <w:rFonts w:cs="Arial"/>
          <w:szCs w:val="24"/>
        </w:rPr>
        <w:t xml:space="preserve">This gives an average rate of </w:t>
      </w:r>
      <w:r w:rsidR="00583E32" w:rsidRPr="005F13C5">
        <w:rPr>
          <w:rFonts w:cs="Arial"/>
          <w:strike/>
          <w:szCs w:val="24"/>
        </w:rPr>
        <w:t>445</w:t>
      </w:r>
      <w:r w:rsidR="005F13C5" w:rsidRPr="005F13C5">
        <w:rPr>
          <w:rFonts w:cs="Arial"/>
          <w:color w:val="7030A0"/>
          <w:szCs w:val="24"/>
        </w:rPr>
        <w:t xml:space="preserve"> 447</w:t>
      </w:r>
      <w:r w:rsidR="00583E32" w:rsidRPr="005F13C5">
        <w:rPr>
          <w:rFonts w:cs="Arial"/>
          <w:color w:val="7030A0"/>
          <w:szCs w:val="24"/>
        </w:rPr>
        <w:t xml:space="preserve"> </w:t>
      </w:r>
      <w:r w:rsidR="00583E32">
        <w:rPr>
          <w:rFonts w:cs="Arial"/>
          <w:szCs w:val="24"/>
        </w:rPr>
        <w:t xml:space="preserve">dwellings per annum which is directly comparable to the baseline Local </w:t>
      </w:r>
      <w:r w:rsidR="004D5D1B">
        <w:rPr>
          <w:rFonts w:cs="Arial"/>
          <w:szCs w:val="24"/>
        </w:rPr>
        <w:t>H</w:t>
      </w:r>
      <w:r w:rsidR="00583E32">
        <w:rPr>
          <w:rFonts w:cs="Arial"/>
          <w:szCs w:val="24"/>
        </w:rPr>
        <w:t>ousing Need figure of 446 dwellings per annum.</w:t>
      </w:r>
    </w:p>
    <w:p w14:paraId="0F639732" w14:textId="77777777" w:rsidR="004D5D1B" w:rsidRDefault="004D5D1B" w:rsidP="00513066">
      <w:pPr>
        <w:ind w:left="142"/>
        <w:jc w:val="left"/>
        <w:rPr>
          <w:rFonts w:cs="Arial"/>
          <w:b/>
          <w:bCs/>
          <w:szCs w:val="24"/>
        </w:rPr>
      </w:pPr>
    </w:p>
    <w:p w14:paraId="3639938D" w14:textId="05424E7A" w:rsidR="00475DA7" w:rsidRPr="00DA7AA5" w:rsidRDefault="00475DA7" w:rsidP="00513066">
      <w:pPr>
        <w:ind w:left="142"/>
        <w:jc w:val="left"/>
        <w:rPr>
          <w:rFonts w:cs="Arial"/>
          <w:b/>
          <w:bCs/>
          <w:i/>
          <w:iCs/>
          <w:sz w:val="22"/>
        </w:rPr>
      </w:pPr>
      <w:r w:rsidRPr="00DA7AA5">
        <w:rPr>
          <w:rFonts w:cs="Arial"/>
          <w:b/>
          <w:bCs/>
          <w:i/>
          <w:iCs/>
          <w:sz w:val="22"/>
        </w:rPr>
        <w:t>Historic Annual Housing Completions 1st April 201</w:t>
      </w:r>
      <w:r w:rsidR="005F13C5">
        <w:rPr>
          <w:rFonts w:cs="Arial"/>
          <w:b/>
          <w:bCs/>
          <w:i/>
          <w:iCs/>
          <w:sz w:val="22"/>
        </w:rPr>
        <w:t>3</w:t>
      </w:r>
      <w:r w:rsidRPr="00DA7AA5">
        <w:rPr>
          <w:rFonts w:cs="Arial"/>
          <w:b/>
          <w:bCs/>
          <w:i/>
          <w:iCs/>
          <w:sz w:val="22"/>
        </w:rPr>
        <w:t xml:space="preserve"> - 31st March 202</w:t>
      </w:r>
      <w:r w:rsidR="005F13C5">
        <w:rPr>
          <w:rFonts w:cs="Arial"/>
          <w:b/>
          <w:bCs/>
          <w:i/>
          <w:iCs/>
          <w:sz w:val="22"/>
        </w:rPr>
        <w:t>5</w:t>
      </w:r>
      <w:r w:rsidRPr="00DA7AA5">
        <w:rPr>
          <w:rFonts w:cs="Arial"/>
          <w:b/>
          <w:bCs/>
          <w:i/>
          <w:iCs/>
          <w:sz w:val="22"/>
        </w:rPr>
        <w:t xml:space="preserve"> (Excluding Years impacted by Covid)</w:t>
      </w:r>
    </w:p>
    <w:tbl>
      <w:tblPr>
        <w:tblW w:w="9538" w:type="dxa"/>
        <w:tblInd w:w="137" w:type="dxa"/>
        <w:tblLook w:val="04A0" w:firstRow="1" w:lastRow="0" w:firstColumn="1" w:lastColumn="0" w:noHBand="0" w:noVBand="1"/>
      </w:tblPr>
      <w:tblGrid>
        <w:gridCol w:w="1413"/>
        <w:gridCol w:w="1158"/>
        <w:gridCol w:w="1393"/>
        <w:gridCol w:w="1476"/>
        <w:gridCol w:w="1366"/>
        <w:gridCol w:w="1293"/>
        <w:gridCol w:w="1439"/>
      </w:tblGrid>
      <w:tr w:rsidR="00475DA7" w:rsidRPr="00475DA7" w14:paraId="71473A65" w14:textId="77777777" w:rsidTr="00513066">
        <w:trPr>
          <w:trHeight w:val="1550"/>
        </w:trPr>
        <w:tc>
          <w:tcPr>
            <w:tcW w:w="14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FF9A53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xml:space="preserve">Year </w:t>
            </w:r>
            <w:proofErr w:type="gramStart"/>
            <w:r w:rsidRPr="00475DA7">
              <w:rPr>
                <w:rFonts w:eastAsia="Times New Roman" w:cs="Arial"/>
                <w:sz w:val="22"/>
                <w:lang w:eastAsia="en-GB"/>
              </w:rPr>
              <w:t>completed  (</w:t>
            </w:r>
            <w:proofErr w:type="gramEnd"/>
            <w:r w:rsidRPr="00475DA7">
              <w:rPr>
                <w:rFonts w:eastAsia="Times New Roman" w:cs="Arial"/>
                <w:sz w:val="22"/>
                <w:lang w:eastAsia="en-GB"/>
              </w:rPr>
              <w:t>1st April - 31st March)</w:t>
            </w:r>
          </w:p>
        </w:tc>
        <w:tc>
          <w:tcPr>
            <w:tcW w:w="1158" w:type="dxa"/>
            <w:tcBorders>
              <w:top w:val="single" w:sz="4" w:space="0" w:color="auto"/>
              <w:left w:val="nil"/>
              <w:bottom w:val="single" w:sz="4" w:space="0" w:color="auto"/>
              <w:right w:val="single" w:sz="4" w:space="0" w:color="auto"/>
            </w:tcBorders>
            <w:shd w:val="clear" w:color="000000" w:fill="D9D9D9"/>
            <w:vAlign w:val="bottom"/>
            <w:hideMark/>
          </w:tcPr>
          <w:p w14:paraId="16A575C4"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Total Dwellings delivered on New Build Sites</w:t>
            </w:r>
          </w:p>
        </w:tc>
        <w:tc>
          <w:tcPr>
            <w:tcW w:w="1393" w:type="dxa"/>
            <w:tcBorders>
              <w:top w:val="single" w:sz="4" w:space="0" w:color="auto"/>
              <w:left w:val="nil"/>
              <w:bottom w:val="single" w:sz="4" w:space="0" w:color="auto"/>
              <w:right w:val="single" w:sz="4" w:space="0" w:color="auto"/>
            </w:tcBorders>
            <w:shd w:val="clear" w:color="000000" w:fill="D9D9D9"/>
            <w:vAlign w:val="bottom"/>
            <w:hideMark/>
          </w:tcPr>
          <w:p w14:paraId="64A391A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Net Additions through Conversion/          Change of Use</w:t>
            </w:r>
          </w:p>
        </w:tc>
        <w:tc>
          <w:tcPr>
            <w:tcW w:w="1476" w:type="dxa"/>
            <w:tcBorders>
              <w:top w:val="single" w:sz="4" w:space="0" w:color="auto"/>
              <w:left w:val="nil"/>
              <w:bottom w:val="single" w:sz="4" w:space="0" w:color="auto"/>
              <w:right w:val="single" w:sz="4" w:space="0" w:color="auto"/>
            </w:tcBorders>
            <w:shd w:val="clear" w:color="000000" w:fill="D9D9D9"/>
            <w:vAlign w:val="bottom"/>
            <w:hideMark/>
          </w:tcPr>
          <w:p w14:paraId="7217AF5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Net additions through permitted development</w:t>
            </w:r>
          </w:p>
        </w:tc>
        <w:tc>
          <w:tcPr>
            <w:tcW w:w="1366" w:type="dxa"/>
            <w:tcBorders>
              <w:top w:val="single" w:sz="4" w:space="0" w:color="auto"/>
              <w:left w:val="nil"/>
              <w:bottom w:val="single" w:sz="4" w:space="0" w:color="auto"/>
              <w:right w:val="single" w:sz="4" w:space="0" w:color="auto"/>
            </w:tcBorders>
            <w:shd w:val="clear" w:color="000000" w:fill="D9D9D9"/>
            <w:vAlign w:val="bottom"/>
            <w:hideMark/>
          </w:tcPr>
          <w:p w14:paraId="11AFCB7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Demolitions</w:t>
            </w:r>
          </w:p>
        </w:tc>
        <w:tc>
          <w:tcPr>
            <w:tcW w:w="1293" w:type="dxa"/>
            <w:tcBorders>
              <w:top w:val="single" w:sz="4" w:space="0" w:color="auto"/>
              <w:left w:val="nil"/>
              <w:bottom w:val="single" w:sz="4" w:space="0" w:color="auto"/>
              <w:right w:val="single" w:sz="4" w:space="0" w:color="auto"/>
            </w:tcBorders>
            <w:shd w:val="clear" w:color="000000" w:fill="D9D9D9"/>
            <w:vAlign w:val="bottom"/>
            <w:hideMark/>
          </w:tcPr>
          <w:p w14:paraId="201C98AD"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C2 Care Home additions (dwelling equivalent)</w:t>
            </w:r>
          </w:p>
        </w:tc>
        <w:tc>
          <w:tcPr>
            <w:tcW w:w="1439" w:type="dxa"/>
            <w:tcBorders>
              <w:top w:val="single" w:sz="4" w:space="0" w:color="auto"/>
              <w:left w:val="nil"/>
              <w:bottom w:val="single" w:sz="4" w:space="0" w:color="auto"/>
              <w:right w:val="single" w:sz="4" w:space="0" w:color="auto"/>
            </w:tcBorders>
            <w:shd w:val="clear" w:color="000000" w:fill="D9D9D9"/>
            <w:vAlign w:val="bottom"/>
            <w:hideMark/>
          </w:tcPr>
          <w:p w14:paraId="0419EA89"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Total Net Completions</w:t>
            </w:r>
          </w:p>
        </w:tc>
      </w:tr>
      <w:tr w:rsidR="00475DA7" w:rsidRPr="00475DA7" w14:paraId="38D64346"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48F86F4C"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2013 - 2014</w:t>
            </w:r>
          </w:p>
        </w:tc>
        <w:tc>
          <w:tcPr>
            <w:tcW w:w="1158" w:type="dxa"/>
            <w:tcBorders>
              <w:top w:val="nil"/>
              <w:left w:val="nil"/>
              <w:bottom w:val="single" w:sz="4" w:space="0" w:color="auto"/>
              <w:right w:val="single" w:sz="4" w:space="0" w:color="auto"/>
            </w:tcBorders>
            <w:noWrap/>
            <w:vAlign w:val="bottom"/>
            <w:hideMark/>
          </w:tcPr>
          <w:p w14:paraId="7B9D241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438</w:t>
            </w:r>
          </w:p>
        </w:tc>
        <w:tc>
          <w:tcPr>
            <w:tcW w:w="1393" w:type="dxa"/>
            <w:tcBorders>
              <w:top w:val="nil"/>
              <w:left w:val="nil"/>
              <w:bottom w:val="single" w:sz="4" w:space="0" w:color="auto"/>
              <w:right w:val="single" w:sz="4" w:space="0" w:color="auto"/>
            </w:tcBorders>
            <w:noWrap/>
            <w:vAlign w:val="bottom"/>
            <w:hideMark/>
          </w:tcPr>
          <w:p w14:paraId="567DD64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17</w:t>
            </w:r>
          </w:p>
        </w:tc>
        <w:tc>
          <w:tcPr>
            <w:tcW w:w="1476" w:type="dxa"/>
            <w:tcBorders>
              <w:top w:val="nil"/>
              <w:left w:val="nil"/>
              <w:bottom w:val="single" w:sz="4" w:space="0" w:color="auto"/>
              <w:right w:val="single" w:sz="4" w:space="0" w:color="auto"/>
            </w:tcBorders>
            <w:noWrap/>
            <w:vAlign w:val="bottom"/>
            <w:hideMark/>
          </w:tcPr>
          <w:p w14:paraId="34913E1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noWrap/>
            <w:vAlign w:val="bottom"/>
            <w:hideMark/>
          </w:tcPr>
          <w:p w14:paraId="43073D2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noWrap/>
            <w:vAlign w:val="bottom"/>
            <w:hideMark/>
          </w:tcPr>
          <w:p w14:paraId="07C23B12"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439" w:type="dxa"/>
            <w:tcBorders>
              <w:top w:val="nil"/>
              <w:left w:val="nil"/>
              <w:bottom w:val="single" w:sz="4" w:space="0" w:color="auto"/>
              <w:right w:val="single" w:sz="4" w:space="0" w:color="auto"/>
            </w:tcBorders>
            <w:vAlign w:val="bottom"/>
            <w:hideMark/>
          </w:tcPr>
          <w:p w14:paraId="4160C79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454</w:t>
            </w:r>
          </w:p>
        </w:tc>
      </w:tr>
      <w:tr w:rsidR="00475DA7" w:rsidRPr="00475DA7" w14:paraId="5AD40D23"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0EDFB69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2014 - 2015</w:t>
            </w:r>
          </w:p>
        </w:tc>
        <w:tc>
          <w:tcPr>
            <w:tcW w:w="1158" w:type="dxa"/>
            <w:tcBorders>
              <w:top w:val="nil"/>
              <w:left w:val="nil"/>
              <w:bottom w:val="single" w:sz="4" w:space="0" w:color="auto"/>
              <w:right w:val="single" w:sz="4" w:space="0" w:color="auto"/>
            </w:tcBorders>
            <w:noWrap/>
            <w:vAlign w:val="bottom"/>
            <w:hideMark/>
          </w:tcPr>
          <w:p w14:paraId="2DA75175"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448</w:t>
            </w:r>
          </w:p>
        </w:tc>
        <w:tc>
          <w:tcPr>
            <w:tcW w:w="1393" w:type="dxa"/>
            <w:tcBorders>
              <w:top w:val="nil"/>
              <w:left w:val="nil"/>
              <w:bottom w:val="single" w:sz="4" w:space="0" w:color="auto"/>
              <w:right w:val="single" w:sz="4" w:space="0" w:color="auto"/>
            </w:tcBorders>
            <w:noWrap/>
            <w:vAlign w:val="bottom"/>
            <w:hideMark/>
          </w:tcPr>
          <w:p w14:paraId="06ECB9FE"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19</w:t>
            </w:r>
          </w:p>
        </w:tc>
        <w:tc>
          <w:tcPr>
            <w:tcW w:w="1476" w:type="dxa"/>
            <w:tcBorders>
              <w:top w:val="nil"/>
              <w:left w:val="nil"/>
              <w:bottom w:val="single" w:sz="4" w:space="0" w:color="auto"/>
              <w:right w:val="single" w:sz="4" w:space="0" w:color="auto"/>
            </w:tcBorders>
            <w:noWrap/>
            <w:vAlign w:val="bottom"/>
            <w:hideMark/>
          </w:tcPr>
          <w:p w14:paraId="42A7F98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noWrap/>
            <w:vAlign w:val="bottom"/>
            <w:hideMark/>
          </w:tcPr>
          <w:p w14:paraId="411B6E21"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42</w:t>
            </w:r>
          </w:p>
        </w:tc>
        <w:tc>
          <w:tcPr>
            <w:tcW w:w="1293" w:type="dxa"/>
            <w:tcBorders>
              <w:top w:val="nil"/>
              <w:left w:val="nil"/>
              <w:bottom w:val="single" w:sz="4" w:space="0" w:color="auto"/>
              <w:right w:val="single" w:sz="4" w:space="0" w:color="auto"/>
            </w:tcBorders>
            <w:vAlign w:val="bottom"/>
            <w:hideMark/>
          </w:tcPr>
          <w:p w14:paraId="545CBE88"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25</w:t>
            </w:r>
          </w:p>
        </w:tc>
        <w:tc>
          <w:tcPr>
            <w:tcW w:w="1439" w:type="dxa"/>
            <w:tcBorders>
              <w:top w:val="nil"/>
              <w:left w:val="nil"/>
              <w:bottom w:val="single" w:sz="4" w:space="0" w:color="auto"/>
              <w:right w:val="single" w:sz="4" w:space="0" w:color="auto"/>
            </w:tcBorders>
            <w:vAlign w:val="bottom"/>
            <w:hideMark/>
          </w:tcPr>
          <w:p w14:paraId="05063962"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450</w:t>
            </w:r>
          </w:p>
        </w:tc>
      </w:tr>
      <w:tr w:rsidR="00475DA7" w:rsidRPr="00475DA7" w14:paraId="2D136425"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1408DBD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2015 - 2016</w:t>
            </w:r>
          </w:p>
        </w:tc>
        <w:tc>
          <w:tcPr>
            <w:tcW w:w="1158" w:type="dxa"/>
            <w:tcBorders>
              <w:top w:val="nil"/>
              <w:left w:val="nil"/>
              <w:bottom w:val="single" w:sz="4" w:space="0" w:color="auto"/>
              <w:right w:val="single" w:sz="4" w:space="0" w:color="auto"/>
            </w:tcBorders>
            <w:noWrap/>
            <w:vAlign w:val="bottom"/>
            <w:hideMark/>
          </w:tcPr>
          <w:p w14:paraId="41F12F2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540</w:t>
            </w:r>
          </w:p>
        </w:tc>
        <w:tc>
          <w:tcPr>
            <w:tcW w:w="1393" w:type="dxa"/>
            <w:tcBorders>
              <w:top w:val="nil"/>
              <w:left w:val="nil"/>
              <w:bottom w:val="single" w:sz="4" w:space="0" w:color="auto"/>
              <w:right w:val="single" w:sz="4" w:space="0" w:color="auto"/>
            </w:tcBorders>
            <w:noWrap/>
            <w:vAlign w:val="bottom"/>
            <w:hideMark/>
          </w:tcPr>
          <w:p w14:paraId="5CAAC72E"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23</w:t>
            </w:r>
          </w:p>
        </w:tc>
        <w:tc>
          <w:tcPr>
            <w:tcW w:w="1476" w:type="dxa"/>
            <w:tcBorders>
              <w:top w:val="nil"/>
              <w:left w:val="nil"/>
              <w:bottom w:val="single" w:sz="4" w:space="0" w:color="auto"/>
              <w:right w:val="single" w:sz="4" w:space="0" w:color="auto"/>
            </w:tcBorders>
            <w:noWrap/>
            <w:vAlign w:val="bottom"/>
            <w:hideMark/>
          </w:tcPr>
          <w:p w14:paraId="1EA80BA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noWrap/>
            <w:vAlign w:val="bottom"/>
            <w:hideMark/>
          </w:tcPr>
          <w:p w14:paraId="2FD3B44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w:t>
            </w:r>
          </w:p>
        </w:tc>
        <w:tc>
          <w:tcPr>
            <w:tcW w:w="1293" w:type="dxa"/>
            <w:tcBorders>
              <w:top w:val="nil"/>
              <w:left w:val="nil"/>
              <w:bottom w:val="single" w:sz="4" w:space="0" w:color="auto"/>
              <w:right w:val="single" w:sz="4" w:space="0" w:color="auto"/>
            </w:tcBorders>
            <w:vAlign w:val="bottom"/>
            <w:hideMark/>
          </w:tcPr>
          <w:p w14:paraId="67B7BA84"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2</w:t>
            </w:r>
          </w:p>
        </w:tc>
        <w:tc>
          <w:tcPr>
            <w:tcW w:w="1439" w:type="dxa"/>
            <w:tcBorders>
              <w:top w:val="nil"/>
              <w:left w:val="nil"/>
              <w:bottom w:val="single" w:sz="4" w:space="0" w:color="auto"/>
              <w:right w:val="single" w:sz="4" w:space="0" w:color="auto"/>
            </w:tcBorders>
            <w:vAlign w:val="bottom"/>
            <w:hideMark/>
          </w:tcPr>
          <w:p w14:paraId="0E7B5909"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560</w:t>
            </w:r>
          </w:p>
        </w:tc>
      </w:tr>
      <w:tr w:rsidR="00475DA7" w:rsidRPr="00475DA7" w14:paraId="3831CF60"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5BF5A9E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2016 - 2017</w:t>
            </w:r>
          </w:p>
        </w:tc>
        <w:tc>
          <w:tcPr>
            <w:tcW w:w="1158" w:type="dxa"/>
            <w:tcBorders>
              <w:top w:val="nil"/>
              <w:left w:val="nil"/>
              <w:bottom w:val="single" w:sz="4" w:space="0" w:color="auto"/>
              <w:right w:val="single" w:sz="4" w:space="0" w:color="auto"/>
            </w:tcBorders>
            <w:noWrap/>
            <w:vAlign w:val="bottom"/>
            <w:hideMark/>
          </w:tcPr>
          <w:p w14:paraId="0CF5E071"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510</w:t>
            </w:r>
          </w:p>
        </w:tc>
        <w:tc>
          <w:tcPr>
            <w:tcW w:w="1393" w:type="dxa"/>
            <w:tcBorders>
              <w:top w:val="nil"/>
              <w:left w:val="nil"/>
              <w:bottom w:val="single" w:sz="4" w:space="0" w:color="auto"/>
              <w:right w:val="single" w:sz="4" w:space="0" w:color="auto"/>
            </w:tcBorders>
            <w:noWrap/>
            <w:vAlign w:val="bottom"/>
            <w:hideMark/>
          </w:tcPr>
          <w:p w14:paraId="4FB013D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w:t>
            </w:r>
          </w:p>
        </w:tc>
        <w:tc>
          <w:tcPr>
            <w:tcW w:w="1476" w:type="dxa"/>
            <w:tcBorders>
              <w:top w:val="nil"/>
              <w:left w:val="nil"/>
              <w:bottom w:val="single" w:sz="4" w:space="0" w:color="auto"/>
              <w:right w:val="single" w:sz="4" w:space="0" w:color="auto"/>
            </w:tcBorders>
            <w:noWrap/>
            <w:vAlign w:val="bottom"/>
            <w:hideMark/>
          </w:tcPr>
          <w:p w14:paraId="30F5C8D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n/a</w:t>
            </w:r>
          </w:p>
        </w:tc>
        <w:tc>
          <w:tcPr>
            <w:tcW w:w="1366" w:type="dxa"/>
            <w:tcBorders>
              <w:top w:val="nil"/>
              <w:left w:val="nil"/>
              <w:bottom w:val="single" w:sz="4" w:space="0" w:color="auto"/>
              <w:right w:val="single" w:sz="4" w:space="0" w:color="auto"/>
            </w:tcBorders>
            <w:noWrap/>
            <w:vAlign w:val="bottom"/>
            <w:hideMark/>
          </w:tcPr>
          <w:p w14:paraId="6026C09D"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0</w:t>
            </w:r>
          </w:p>
        </w:tc>
        <w:tc>
          <w:tcPr>
            <w:tcW w:w="1293" w:type="dxa"/>
            <w:tcBorders>
              <w:top w:val="nil"/>
              <w:left w:val="nil"/>
              <w:bottom w:val="single" w:sz="4" w:space="0" w:color="auto"/>
              <w:right w:val="single" w:sz="4" w:space="0" w:color="auto"/>
            </w:tcBorders>
            <w:vAlign w:val="bottom"/>
            <w:hideMark/>
          </w:tcPr>
          <w:p w14:paraId="49B81F13"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38</w:t>
            </w:r>
          </w:p>
        </w:tc>
        <w:tc>
          <w:tcPr>
            <w:tcW w:w="1439" w:type="dxa"/>
            <w:tcBorders>
              <w:top w:val="nil"/>
              <w:left w:val="nil"/>
              <w:bottom w:val="single" w:sz="4" w:space="0" w:color="auto"/>
              <w:right w:val="single" w:sz="4" w:space="0" w:color="auto"/>
            </w:tcBorders>
            <w:vAlign w:val="bottom"/>
            <w:hideMark/>
          </w:tcPr>
          <w:p w14:paraId="378D062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582</w:t>
            </w:r>
          </w:p>
        </w:tc>
      </w:tr>
      <w:tr w:rsidR="00475DA7" w:rsidRPr="00475DA7" w14:paraId="22F59C64"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69ED5B1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2017 - 2018</w:t>
            </w:r>
          </w:p>
        </w:tc>
        <w:tc>
          <w:tcPr>
            <w:tcW w:w="1158" w:type="dxa"/>
            <w:tcBorders>
              <w:top w:val="nil"/>
              <w:left w:val="nil"/>
              <w:bottom w:val="single" w:sz="4" w:space="0" w:color="auto"/>
              <w:right w:val="single" w:sz="4" w:space="0" w:color="auto"/>
            </w:tcBorders>
            <w:noWrap/>
            <w:vAlign w:val="bottom"/>
            <w:hideMark/>
          </w:tcPr>
          <w:p w14:paraId="03F23A6B"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348</w:t>
            </w:r>
          </w:p>
        </w:tc>
        <w:tc>
          <w:tcPr>
            <w:tcW w:w="1393" w:type="dxa"/>
            <w:tcBorders>
              <w:top w:val="nil"/>
              <w:left w:val="nil"/>
              <w:bottom w:val="single" w:sz="4" w:space="0" w:color="auto"/>
              <w:right w:val="single" w:sz="4" w:space="0" w:color="auto"/>
            </w:tcBorders>
            <w:noWrap/>
            <w:vAlign w:val="bottom"/>
            <w:hideMark/>
          </w:tcPr>
          <w:p w14:paraId="7EB7C99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48</w:t>
            </w:r>
          </w:p>
        </w:tc>
        <w:tc>
          <w:tcPr>
            <w:tcW w:w="1476" w:type="dxa"/>
            <w:tcBorders>
              <w:top w:val="nil"/>
              <w:left w:val="nil"/>
              <w:bottom w:val="single" w:sz="4" w:space="0" w:color="auto"/>
              <w:right w:val="single" w:sz="4" w:space="0" w:color="auto"/>
            </w:tcBorders>
            <w:noWrap/>
            <w:vAlign w:val="bottom"/>
            <w:hideMark/>
          </w:tcPr>
          <w:p w14:paraId="6BBEE62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w:t>
            </w:r>
          </w:p>
        </w:tc>
        <w:tc>
          <w:tcPr>
            <w:tcW w:w="1366" w:type="dxa"/>
            <w:tcBorders>
              <w:top w:val="nil"/>
              <w:left w:val="nil"/>
              <w:bottom w:val="single" w:sz="4" w:space="0" w:color="auto"/>
              <w:right w:val="single" w:sz="4" w:space="0" w:color="auto"/>
            </w:tcBorders>
            <w:noWrap/>
            <w:vAlign w:val="bottom"/>
            <w:hideMark/>
          </w:tcPr>
          <w:p w14:paraId="159036B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w:t>
            </w:r>
          </w:p>
        </w:tc>
        <w:tc>
          <w:tcPr>
            <w:tcW w:w="1293" w:type="dxa"/>
            <w:tcBorders>
              <w:top w:val="nil"/>
              <w:left w:val="nil"/>
              <w:bottom w:val="single" w:sz="4" w:space="0" w:color="auto"/>
              <w:right w:val="single" w:sz="4" w:space="0" w:color="auto"/>
            </w:tcBorders>
            <w:vAlign w:val="bottom"/>
            <w:hideMark/>
          </w:tcPr>
          <w:p w14:paraId="588FEE82"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5</w:t>
            </w:r>
          </w:p>
        </w:tc>
        <w:tc>
          <w:tcPr>
            <w:tcW w:w="1439" w:type="dxa"/>
            <w:tcBorders>
              <w:top w:val="nil"/>
              <w:left w:val="nil"/>
              <w:bottom w:val="single" w:sz="4" w:space="0" w:color="auto"/>
              <w:right w:val="single" w:sz="4" w:space="0" w:color="auto"/>
            </w:tcBorders>
            <w:vAlign w:val="bottom"/>
            <w:hideMark/>
          </w:tcPr>
          <w:p w14:paraId="24BDDDE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402</w:t>
            </w:r>
          </w:p>
        </w:tc>
      </w:tr>
      <w:tr w:rsidR="00475DA7" w:rsidRPr="00475DA7" w14:paraId="55C01D59"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437D5CC7"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2018 - 2019</w:t>
            </w:r>
          </w:p>
        </w:tc>
        <w:tc>
          <w:tcPr>
            <w:tcW w:w="1158" w:type="dxa"/>
            <w:tcBorders>
              <w:top w:val="nil"/>
              <w:left w:val="nil"/>
              <w:bottom w:val="single" w:sz="4" w:space="0" w:color="auto"/>
              <w:right w:val="single" w:sz="4" w:space="0" w:color="auto"/>
            </w:tcBorders>
            <w:noWrap/>
            <w:vAlign w:val="bottom"/>
            <w:hideMark/>
          </w:tcPr>
          <w:p w14:paraId="1503094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268</w:t>
            </w:r>
          </w:p>
        </w:tc>
        <w:tc>
          <w:tcPr>
            <w:tcW w:w="1393" w:type="dxa"/>
            <w:tcBorders>
              <w:top w:val="nil"/>
              <w:left w:val="nil"/>
              <w:bottom w:val="single" w:sz="4" w:space="0" w:color="auto"/>
              <w:right w:val="single" w:sz="4" w:space="0" w:color="auto"/>
            </w:tcBorders>
            <w:noWrap/>
            <w:vAlign w:val="bottom"/>
            <w:hideMark/>
          </w:tcPr>
          <w:p w14:paraId="308713C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28</w:t>
            </w:r>
          </w:p>
        </w:tc>
        <w:tc>
          <w:tcPr>
            <w:tcW w:w="1476" w:type="dxa"/>
            <w:tcBorders>
              <w:top w:val="nil"/>
              <w:left w:val="nil"/>
              <w:bottom w:val="single" w:sz="4" w:space="0" w:color="auto"/>
              <w:right w:val="single" w:sz="4" w:space="0" w:color="auto"/>
            </w:tcBorders>
            <w:noWrap/>
            <w:vAlign w:val="bottom"/>
            <w:hideMark/>
          </w:tcPr>
          <w:p w14:paraId="490D805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w:t>
            </w:r>
          </w:p>
        </w:tc>
        <w:tc>
          <w:tcPr>
            <w:tcW w:w="1366" w:type="dxa"/>
            <w:tcBorders>
              <w:top w:val="nil"/>
              <w:left w:val="nil"/>
              <w:bottom w:val="single" w:sz="4" w:space="0" w:color="auto"/>
              <w:right w:val="single" w:sz="4" w:space="0" w:color="auto"/>
            </w:tcBorders>
            <w:noWrap/>
            <w:vAlign w:val="bottom"/>
            <w:hideMark/>
          </w:tcPr>
          <w:p w14:paraId="26028B4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vAlign w:val="bottom"/>
            <w:hideMark/>
          </w:tcPr>
          <w:p w14:paraId="4AA55F82"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44</w:t>
            </w:r>
          </w:p>
        </w:tc>
        <w:tc>
          <w:tcPr>
            <w:tcW w:w="1439" w:type="dxa"/>
            <w:tcBorders>
              <w:top w:val="nil"/>
              <w:left w:val="nil"/>
              <w:bottom w:val="single" w:sz="4" w:space="0" w:color="auto"/>
              <w:right w:val="single" w:sz="4" w:space="0" w:color="auto"/>
            </w:tcBorders>
            <w:vAlign w:val="bottom"/>
            <w:hideMark/>
          </w:tcPr>
          <w:p w14:paraId="454DD3B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344</w:t>
            </w:r>
          </w:p>
        </w:tc>
      </w:tr>
      <w:tr w:rsidR="00475DA7" w:rsidRPr="00475DA7" w14:paraId="6B832BC6" w14:textId="77777777" w:rsidTr="00513066">
        <w:trPr>
          <w:trHeight w:val="310"/>
        </w:trPr>
        <w:tc>
          <w:tcPr>
            <w:tcW w:w="1413" w:type="dxa"/>
            <w:tcBorders>
              <w:top w:val="nil"/>
              <w:left w:val="single" w:sz="4" w:space="0" w:color="auto"/>
              <w:bottom w:val="single" w:sz="4" w:space="0" w:color="auto"/>
              <w:right w:val="single" w:sz="4" w:space="0" w:color="auto"/>
            </w:tcBorders>
            <w:shd w:val="clear" w:color="000000" w:fill="D9D9D9"/>
            <w:vAlign w:val="bottom"/>
            <w:hideMark/>
          </w:tcPr>
          <w:p w14:paraId="4632C190"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lastRenderedPageBreak/>
              <w:t>2019 - 2020</w:t>
            </w:r>
          </w:p>
        </w:tc>
        <w:tc>
          <w:tcPr>
            <w:tcW w:w="1158" w:type="dxa"/>
            <w:tcBorders>
              <w:top w:val="nil"/>
              <w:left w:val="nil"/>
              <w:bottom w:val="single" w:sz="4" w:space="0" w:color="auto"/>
              <w:right w:val="single" w:sz="4" w:space="0" w:color="auto"/>
            </w:tcBorders>
            <w:shd w:val="clear" w:color="000000" w:fill="D9D9D9"/>
            <w:noWrap/>
            <w:vAlign w:val="bottom"/>
            <w:hideMark/>
          </w:tcPr>
          <w:p w14:paraId="767C502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93" w:type="dxa"/>
            <w:tcBorders>
              <w:top w:val="nil"/>
              <w:left w:val="nil"/>
              <w:bottom w:val="single" w:sz="4" w:space="0" w:color="auto"/>
              <w:right w:val="single" w:sz="4" w:space="0" w:color="auto"/>
            </w:tcBorders>
            <w:shd w:val="clear" w:color="000000" w:fill="D9D9D9"/>
            <w:noWrap/>
            <w:vAlign w:val="bottom"/>
            <w:hideMark/>
          </w:tcPr>
          <w:p w14:paraId="1A1C68F3"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476" w:type="dxa"/>
            <w:tcBorders>
              <w:top w:val="nil"/>
              <w:left w:val="nil"/>
              <w:bottom w:val="single" w:sz="4" w:space="0" w:color="auto"/>
              <w:right w:val="single" w:sz="4" w:space="0" w:color="auto"/>
            </w:tcBorders>
            <w:shd w:val="clear" w:color="000000" w:fill="D9D9D9"/>
            <w:noWrap/>
            <w:vAlign w:val="bottom"/>
            <w:hideMark/>
          </w:tcPr>
          <w:p w14:paraId="4EF2F856"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66" w:type="dxa"/>
            <w:tcBorders>
              <w:top w:val="nil"/>
              <w:left w:val="nil"/>
              <w:bottom w:val="single" w:sz="4" w:space="0" w:color="auto"/>
              <w:right w:val="single" w:sz="4" w:space="0" w:color="auto"/>
            </w:tcBorders>
            <w:shd w:val="clear" w:color="000000" w:fill="D9D9D9"/>
            <w:noWrap/>
            <w:vAlign w:val="bottom"/>
            <w:hideMark/>
          </w:tcPr>
          <w:p w14:paraId="5A2DCEB6"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293" w:type="dxa"/>
            <w:tcBorders>
              <w:top w:val="nil"/>
              <w:left w:val="nil"/>
              <w:bottom w:val="single" w:sz="4" w:space="0" w:color="auto"/>
              <w:right w:val="single" w:sz="4" w:space="0" w:color="auto"/>
            </w:tcBorders>
            <w:shd w:val="clear" w:color="000000" w:fill="D9D9D9"/>
            <w:vAlign w:val="bottom"/>
            <w:hideMark/>
          </w:tcPr>
          <w:p w14:paraId="2A60034C"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 </w:t>
            </w:r>
          </w:p>
        </w:tc>
        <w:tc>
          <w:tcPr>
            <w:tcW w:w="1439" w:type="dxa"/>
            <w:tcBorders>
              <w:top w:val="nil"/>
              <w:left w:val="nil"/>
              <w:bottom w:val="single" w:sz="4" w:space="0" w:color="auto"/>
              <w:right w:val="single" w:sz="4" w:space="0" w:color="auto"/>
            </w:tcBorders>
            <w:shd w:val="clear" w:color="000000" w:fill="D9D9D9"/>
            <w:vAlign w:val="bottom"/>
            <w:hideMark/>
          </w:tcPr>
          <w:p w14:paraId="406B32A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 </w:t>
            </w:r>
          </w:p>
        </w:tc>
      </w:tr>
      <w:tr w:rsidR="00475DA7" w:rsidRPr="00475DA7" w14:paraId="31570A5A" w14:textId="77777777" w:rsidTr="00513066">
        <w:trPr>
          <w:trHeight w:val="310"/>
        </w:trPr>
        <w:tc>
          <w:tcPr>
            <w:tcW w:w="1413" w:type="dxa"/>
            <w:tcBorders>
              <w:top w:val="nil"/>
              <w:left w:val="single" w:sz="4" w:space="0" w:color="auto"/>
              <w:bottom w:val="single" w:sz="4" w:space="0" w:color="auto"/>
              <w:right w:val="single" w:sz="4" w:space="0" w:color="auto"/>
            </w:tcBorders>
            <w:shd w:val="clear" w:color="000000" w:fill="D9D9D9"/>
            <w:vAlign w:val="bottom"/>
            <w:hideMark/>
          </w:tcPr>
          <w:p w14:paraId="2233357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2020 - 2021</w:t>
            </w:r>
          </w:p>
        </w:tc>
        <w:tc>
          <w:tcPr>
            <w:tcW w:w="1158" w:type="dxa"/>
            <w:tcBorders>
              <w:top w:val="nil"/>
              <w:left w:val="nil"/>
              <w:bottom w:val="single" w:sz="4" w:space="0" w:color="auto"/>
              <w:right w:val="single" w:sz="4" w:space="0" w:color="auto"/>
            </w:tcBorders>
            <w:shd w:val="clear" w:color="000000" w:fill="D9D9D9"/>
            <w:noWrap/>
            <w:vAlign w:val="bottom"/>
            <w:hideMark/>
          </w:tcPr>
          <w:p w14:paraId="3C4C8C7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93" w:type="dxa"/>
            <w:tcBorders>
              <w:top w:val="nil"/>
              <w:left w:val="nil"/>
              <w:bottom w:val="single" w:sz="4" w:space="0" w:color="auto"/>
              <w:right w:val="single" w:sz="4" w:space="0" w:color="auto"/>
            </w:tcBorders>
            <w:shd w:val="clear" w:color="000000" w:fill="D9D9D9"/>
            <w:noWrap/>
            <w:vAlign w:val="bottom"/>
            <w:hideMark/>
          </w:tcPr>
          <w:p w14:paraId="5FB4D238"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476" w:type="dxa"/>
            <w:tcBorders>
              <w:top w:val="nil"/>
              <w:left w:val="nil"/>
              <w:bottom w:val="single" w:sz="4" w:space="0" w:color="auto"/>
              <w:right w:val="single" w:sz="4" w:space="0" w:color="auto"/>
            </w:tcBorders>
            <w:shd w:val="clear" w:color="000000" w:fill="D9D9D9"/>
            <w:noWrap/>
            <w:vAlign w:val="bottom"/>
            <w:hideMark/>
          </w:tcPr>
          <w:p w14:paraId="36F1A242"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366" w:type="dxa"/>
            <w:tcBorders>
              <w:top w:val="nil"/>
              <w:left w:val="nil"/>
              <w:bottom w:val="single" w:sz="4" w:space="0" w:color="auto"/>
              <w:right w:val="single" w:sz="4" w:space="0" w:color="auto"/>
            </w:tcBorders>
            <w:shd w:val="clear" w:color="000000" w:fill="D9D9D9"/>
            <w:noWrap/>
            <w:vAlign w:val="bottom"/>
            <w:hideMark/>
          </w:tcPr>
          <w:p w14:paraId="6EEA97BD"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 </w:t>
            </w:r>
          </w:p>
        </w:tc>
        <w:tc>
          <w:tcPr>
            <w:tcW w:w="1293" w:type="dxa"/>
            <w:tcBorders>
              <w:top w:val="nil"/>
              <w:left w:val="nil"/>
              <w:bottom w:val="single" w:sz="4" w:space="0" w:color="auto"/>
              <w:right w:val="single" w:sz="4" w:space="0" w:color="auto"/>
            </w:tcBorders>
            <w:shd w:val="clear" w:color="000000" w:fill="D9D9D9"/>
            <w:vAlign w:val="bottom"/>
            <w:hideMark/>
          </w:tcPr>
          <w:p w14:paraId="38CC1EBA"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 </w:t>
            </w:r>
          </w:p>
        </w:tc>
        <w:tc>
          <w:tcPr>
            <w:tcW w:w="1439" w:type="dxa"/>
            <w:tcBorders>
              <w:top w:val="nil"/>
              <w:left w:val="nil"/>
              <w:bottom w:val="single" w:sz="4" w:space="0" w:color="auto"/>
              <w:right w:val="single" w:sz="4" w:space="0" w:color="auto"/>
            </w:tcBorders>
            <w:shd w:val="clear" w:color="000000" w:fill="D9D9D9"/>
            <w:vAlign w:val="bottom"/>
            <w:hideMark/>
          </w:tcPr>
          <w:p w14:paraId="09C3A329"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 </w:t>
            </w:r>
          </w:p>
        </w:tc>
      </w:tr>
      <w:tr w:rsidR="00475DA7" w:rsidRPr="00475DA7" w14:paraId="1A06D450"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7334E9D8"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2021 - 2022</w:t>
            </w:r>
          </w:p>
        </w:tc>
        <w:tc>
          <w:tcPr>
            <w:tcW w:w="1158" w:type="dxa"/>
            <w:tcBorders>
              <w:top w:val="nil"/>
              <w:left w:val="nil"/>
              <w:bottom w:val="single" w:sz="4" w:space="0" w:color="auto"/>
              <w:right w:val="single" w:sz="4" w:space="0" w:color="auto"/>
            </w:tcBorders>
            <w:noWrap/>
            <w:vAlign w:val="bottom"/>
            <w:hideMark/>
          </w:tcPr>
          <w:p w14:paraId="36E47647"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356</w:t>
            </w:r>
          </w:p>
        </w:tc>
        <w:tc>
          <w:tcPr>
            <w:tcW w:w="1393" w:type="dxa"/>
            <w:tcBorders>
              <w:top w:val="nil"/>
              <w:left w:val="nil"/>
              <w:bottom w:val="single" w:sz="4" w:space="0" w:color="auto"/>
              <w:right w:val="single" w:sz="4" w:space="0" w:color="auto"/>
            </w:tcBorders>
            <w:noWrap/>
            <w:vAlign w:val="bottom"/>
            <w:hideMark/>
          </w:tcPr>
          <w:p w14:paraId="759A450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55</w:t>
            </w:r>
          </w:p>
        </w:tc>
        <w:tc>
          <w:tcPr>
            <w:tcW w:w="1476" w:type="dxa"/>
            <w:tcBorders>
              <w:top w:val="nil"/>
              <w:left w:val="nil"/>
              <w:bottom w:val="single" w:sz="4" w:space="0" w:color="auto"/>
              <w:right w:val="single" w:sz="4" w:space="0" w:color="auto"/>
            </w:tcBorders>
            <w:noWrap/>
            <w:vAlign w:val="bottom"/>
            <w:hideMark/>
          </w:tcPr>
          <w:p w14:paraId="3A560E95"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366" w:type="dxa"/>
            <w:tcBorders>
              <w:top w:val="nil"/>
              <w:left w:val="nil"/>
              <w:bottom w:val="single" w:sz="4" w:space="0" w:color="auto"/>
              <w:right w:val="single" w:sz="4" w:space="0" w:color="auto"/>
            </w:tcBorders>
            <w:noWrap/>
            <w:vAlign w:val="bottom"/>
            <w:hideMark/>
          </w:tcPr>
          <w:p w14:paraId="127A2E18"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0</w:t>
            </w:r>
          </w:p>
        </w:tc>
        <w:tc>
          <w:tcPr>
            <w:tcW w:w="1293" w:type="dxa"/>
            <w:tcBorders>
              <w:top w:val="nil"/>
              <w:left w:val="nil"/>
              <w:bottom w:val="single" w:sz="4" w:space="0" w:color="auto"/>
              <w:right w:val="single" w:sz="4" w:space="0" w:color="auto"/>
            </w:tcBorders>
            <w:vAlign w:val="bottom"/>
            <w:hideMark/>
          </w:tcPr>
          <w:p w14:paraId="7446F887"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vAlign w:val="bottom"/>
            <w:hideMark/>
          </w:tcPr>
          <w:p w14:paraId="61B93A84"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412</w:t>
            </w:r>
          </w:p>
        </w:tc>
      </w:tr>
      <w:tr w:rsidR="00475DA7" w:rsidRPr="00475DA7" w14:paraId="152E728C"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130BCC4B"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2022 - 2023</w:t>
            </w:r>
          </w:p>
        </w:tc>
        <w:tc>
          <w:tcPr>
            <w:tcW w:w="1158" w:type="dxa"/>
            <w:tcBorders>
              <w:top w:val="nil"/>
              <w:left w:val="nil"/>
              <w:bottom w:val="single" w:sz="4" w:space="0" w:color="auto"/>
              <w:right w:val="single" w:sz="4" w:space="0" w:color="auto"/>
            </w:tcBorders>
            <w:vAlign w:val="bottom"/>
            <w:hideMark/>
          </w:tcPr>
          <w:p w14:paraId="35B0E29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316</w:t>
            </w:r>
          </w:p>
        </w:tc>
        <w:tc>
          <w:tcPr>
            <w:tcW w:w="1393" w:type="dxa"/>
            <w:tcBorders>
              <w:top w:val="nil"/>
              <w:left w:val="nil"/>
              <w:bottom w:val="single" w:sz="4" w:space="0" w:color="auto"/>
              <w:right w:val="single" w:sz="4" w:space="0" w:color="auto"/>
            </w:tcBorders>
            <w:vAlign w:val="bottom"/>
            <w:hideMark/>
          </w:tcPr>
          <w:p w14:paraId="5DF0E955"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28</w:t>
            </w:r>
          </w:p>
        </w:tc>
        <w:tc>
          <w:tcPr>
            <w:tcW w:w="1476" w:type="dxa"/>
            <w:tcBorders>
              <w:top w:val="nil"/>
              <w:left w:val="nil"/>
              <w:bottom w:val="single" w:sz="4" w:space="0" w:color="auto"/>
              <w:right w:val="single" w:sz="4" w:space="0" w:color="auto"/>
            </w:tcBorders>
            <w:vAlign w:val="bottom"/>
            <w:hideMark/>
          </w:tcPr>
          <w:p w14:paraId="7E344A1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8</w:t>
            </w:r>
          </w:p>
        </w:tc>
        <w:tc>
          <w:tcPr>
            <w:tcW w:w="1366" w:type="dxa"/>
            <w:tcBorders>
              <w:top w:val="nil"/>
              <w:left w:val="nil"/>
              <w:bottom w:val="single" w:sz="4" w:space="0" w:color="auto"/>
              <w:right w:val="single" w:sz="4" w:space="0" w:color="auto"/>
            </w:tcBorders>
            <w:vAlign w:val="bottom"/>
            <w:hideMark/>
          </w:tcPr>
          <w:p w14:paraId="370BBAB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vAlign w:val="bottom"/>
            <w:hideMark/>
          </w:tcPr>
          <w:p w14:paraId="5805B380"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6</w:t>
            </w:r>
          </w:p>
        </w:tc>
        <w:tc>
          <w:tcPr>
            <w:tcW w:w="1439" w:type="dxa"/>
            <w:tcBorders>
              <w:top w:val="nil"/>
              <w:left w:val="nil"/>
              <w:bottom w:val="single" w:sz="4" w:space="0" w:color="auto"/>
              <w:right w:val="single" w:sz="4" w:space="0" w:color="auto"/>
            </w:tcBorders>
            <w:vAlign w:val="bottom"/>
            <w:hideMark/>
          </w:tcPr>
          <w:p w14:paraId="6DC40CDD"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357</w:t>
            </w:r>
          </w:p>
        </w:tc>
      </w:tr>
      <w:tr w:rsidR="00475DA7" w:rsidRPr="00475DA7" w14:paraId="5A8A8DE1" w14:textId="77777777" w:rsidTr="00513066">
        <w:trPr>
          <w:trHeight w:val="310"/>
        </w:trPr>
        <w:tc>
          <w:tcPr>
            <w:tcW w:w="1413" w:type="dxa"/>
            <w:tcBorders>
              <w:top w:val="nil"/>
              <w:left w:val="single" w:sz="4" w:space="0" w:color="auto"/>
              <w:bottom w:val="single" w:sz="4" w:space="0" w:color="auto"/>
              <w:right w:val="single" w:sz="4" w:space="0" w:color="auto"/>
            </w:tcBorders>
            <w:vAlign w:val="bottom"/>
            <w:hideMark/>
          </w:tcPr>
          <w:p w14:paraId="31ED2CDE" w14:textId="77777777" w:rsidR="00475DA7" w:rsidRPr="00475DA7" w:rsidRDefault="00475DA7" w:rsidP="00475DA7">
            <w:pPr>
              <w:spacing w:after="0" w:line="240" w:lineRule="auto"/>
              <w:jc w:val="left"/>
              <w:rPr>
                <w:rFonts w:eastAsia="Times New Roman" w:cs="Arial"/>
                <w:sz w:val="22"/>
                <w:lang w:eastAsia="en-GB"/>
              </w:rPr>
            </w:pPr>
            <w:r w:rsidRPr="00475DA7">
              <w:rPr>
                <w:rFonts w:eastAsia="Times New Roman" w:cs="Arial"/>
                <w:sz w:val="22"/>
                <w:lang w:eastAsia="en-GB"/>
              </w:rPr>
              <w:t>2023 - 2024</w:t>
            </w:r>
          </w:p>
        </w:tc>
        <w:tc>
          <w:tcPr>
            <w:tcW w:w="1158" w:type="dxa"/>
            <w:tcBorders>
              <w:top w:val="nil"/>
              <w:left w:val="nil"/>
              <w:bottom w:val="single" w:sz="4" w:space="0" w:color="auto"/>
              <w:right w:val="single" w:sz="4" w:space="0" w:color="auto"/>
            </w:tcBorders>
            <w:vAlign w:val="bottom"/>
            <w:hideMark/>
          </w:tcPr>
          <w:p w14:paraId="2961BCEA"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404</w:t>
            </w:r>
          </w:p>
        </w:tc>
        <w:tc>
          <w:tcPr>
            <w:tcW w:w="1393" w:type="dxa"/>
            <w:tcBorders>
              <w:top w:val="nil"/>
              <w:left w:val="nil"/>
              <w:bottom w:val="single" w:sz="4" w:space="0" w:color="auto"/>
              <w:right w:val="single" w:sz="4" w:space="0" w:color="auto"/>
            </w:tcBorders>
            <w:vAlign w:val="bottom"/>
            <w:hideMark/>
          </w:tcPr>
          <w:p w14:paraId="259929F6"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34</w:t>
            </w:r>
          </w:p>
        </w:tc>
        <w:tc>
          <w:tcPr>
            <w:tcW w:w="1476" w:type="dxa"/>
            <w:tcBorders>
              <w:top w:val="nil"/>
              <w:left w:val="nil"/>
              <w:bottom w:val="single" w:sz="4" w:space="0" w:color="auto"/>
              <w:right w:val="single" w:sz="4" w:space="0" w:color="auto"/>
            </w:tcBorders>
            <w:vAlign w:val="bottom"/>
            <w:hideMark/>
          </w:tcPr>
          <w:p w14:paraId="7FEB8ABF"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14</w:t>
            </w:r>
          </w:p>
        </w:tc>
        <w:tc>
          <w:tcPr>
            <w:tcW w:w="1366" w:type="dxa"/>
            <w:tcBorders>
              <w:top w:val="nil"/>
              <w:left w:val="nil"/>
              <w:bottom w:val="single" w:sz="4" w:space="0" w:color="auto"/>
              <w:right w:val="single" w:sz="4" w:space="0" w:color="auto"/>
            </w:tcBorders>
            <w:vAlign w:val="bottom"/>
            <w:hideMark/>
          </w:tcPr>
          <w:p w14:paraId="0A36AD10"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1</w:t>
            </w:r>
          </w:p>
        </w:tc>
        <w:tc>
          <w:tcPr>
            <w:tcW w:w="1293" w:type="dxa"/>
            <w:tcBorders>
              <w:top w:val="nil"/>
              <w:left w:val="nil"/>
              <w:bottom w:val="single" w:sz="4" w:space="0" w:color="auto"/>
              <w:right w:val="single" w:sz="4" w:space="0" w:color="auto"/>
            </w:tcBorders>
            <w:vAlign w:val="bottom"/>
            <w:hideMark/>
          </w:tcPr>
          <w:p w14:paraId="6E99F309" w14:textId="77777777" w:rsidR="00475DA7" w:rsidRPr="00475DA7" w:rsidRDefault="00475DA7" w:rsidP="00475DA7">
            <w:pPr>
              <w:spacing w:after="0" w:line="240" w:lineRule="auto"/>
              <w:jc w:val="right"/>
              <w:rPr>
                <w:rFonts w:ascii="Calibri" w:eastAsia="Times New Roman" w:hAnsi="Calibri" w:cs="Calibri"/>
                <w:sz w:val="22"/>
                <w:lang w:eastAsia="en-GB"/>
              </w:rPr>
            </w:pPr>
            <w:r w:rsidRPr="00475DA7">
              <w:rPr>
                <w:rFonts w:ascii="Calibri" w:eastAsia="Times New Roman" w:hAnsi="Calibri" w:cs="Calibri"/>
                <w:sz w:val="22"/>
                <w:lang w:eastAsia="en-GB"/>
              </w:rPr>
              <w:t>0</w:t>
            </w:r>
          </w:p>
        </w:tc>
        <w:tc>
          <w:tcPr>
            <w:tcW w:w="1439" w:type="dxa"/>
            <w:tcBorders>
              <w:top w:val="nil"/>
              <w:left w:val="nil"/>
              <w:bottom w:val="single" w:sz="4" w:space="0" w:color="auto"/>
              <w:right w:val="single" w:sz="4" w:space="0" w:color="auto"/>
            </w:tcBorders>
            <w:vAlign w:val="bottom"/>
            <w:hideMark/>
          </w:tcPr>
          <w:p w14:paraId="230D9143" w14:textId="77777777" w:rsidR="00475DA7" w:rsidRPr="00475DA7" w:rsidRDefault="00475DA7" w:rsidP="00475DA7">
            <w:pPr>
              <w:spacing w:after="0" w:line="240" w:lineRule="auto"/>
              <w:jc w:val="right"/>
              <w:rPr>
                <w:rFonts w:eastAsia="Times New Roman" w:cs="Arial"/>
                <w:sz w:val="22"/>
                <w:lang w:eastAsia="en-GB"/>
              </w:rPr>
            </w:pPr>
            <w:r w:rsidRPr="00475DA7">
              <w:rPr>
                <w:rFonts w:eastAsia="Times New Roman" w:cs="Arial"/>
                <w:sz w:val="22"/>
                <w:lang w:eastAsia="en-GB"/>
              </w:rPr>
              <w:t>451</w:t>
            </w:r>
          </w:p>
        </w:tc>
      </w:tr>
      <w:tr w:rsidR="005F13C5" w:rsidRPr="00475DA7" w14:paraId="466BC5C4" w14:textId="77777777" w:rsidTr="00513066">
        <w:trPr>
          <w:trHeight w:val="310"/>
        </w:trPr>
        <w:tc>
          <w:tcPr>
            <w:tcW w:w="1413" w:type="dxa"/>
            <w:tcBorders>
              <w:top w:val="nil"/>
              <w:left w:val="single" w:sz="4" w:space="0" w:color="auto"/>
              <w:bottom w:val="single" w:sz="4" w:space="0" w:color="auto"/>
              <w:right w:val="single" w:sz="4" w:space="0" w:color="auto"/>
            </w:tcBorders>
            <w:vAlign w:val="bottom"/>
          </w:tcPr>
          <w:p w14:paraId="71C58538" w14:textId="44F7E461" w:rsidR="005F13C5" w:rsidRPr="004D6FAA" w:rsidRDefault="005F13C5" w:rsidP="005F13C5">
            <w:pPr>
              <w:spacing w:after="0" w:line="240" w:lineRule="auto"/>
              <w:jc w:val="left"/>
              <w:rPr>
                <w:rFonts w:eastAsia="Times New Roman" w:cs="Arial"/>
                <w:b/>
                <w:bCs/>
                <w:sz w:val="22"/>
                <w:highlight w:val="yellow"/>
                <w:lang w:eastAsia="en-GB"/>
              </w:rPr>
            </w:pPr>
            <w:r w:rsidRPr="005F13C5">
              <w:rPr>
                <w:rFonts w:eastAsia="Times New Roman" w:cs="Arial"/>
                <w:color w:val="7030A0"/>
                <w:sz w:val="22"/>
                <w:lang w:eastAsia="en-GB"/>
              </w:rPr>
              <w:t>2024 - 2025</w:t>
            </w:r>
          </w:p>
        </w:tc>
        <w:tc>
          <w:tcPr>
            <w:tcW w:w="1158" w:type="dxa"/>
            <w:tcBorders>
              <w:top w:val="nil"/>
              <w:left w:val="nil"/>
              <w:bottom w:val="single" w:sz="4" w:space="0" w:color="auto"/>
              <w:right w:val="single" w:sz="4" w:space="0" w:color="auto"/>
            </w:tcBorders>
            <w:vAlign w:val="bottom"/>
          </w:tcPr>
          <w:p w14:paraId="4194A463" w14:textId="75012DB5" w:rsidR="005F13C5" w:rsidRPr="004D6FAA" w:rsidRDefault="005F13C5" w:rsidP="005F13C5">
            <w:pPr>
              <w:spacing w:after="0" w:line="240" w:lineRule="auto"/>
              <w:jc w:val="right"/>
              <w:rPr>
                <w:rFonts w:eastAsia="Times New Roman" w:cs="Arial"/>
                <w:b/>
                <w:bCs/>
                <w:sz w:val="22"/>
                <w:highlight w:val="yellow"/>
                <w:lang w:eastAsia="en-GB"/>
              </w:rPr>
            </w:pPr>
            <w:r w:rsidRPr="005F13C5">
              <w:rPr>
                <w:rFonts w:eastAsia="Times New Roman" w:cs="Arial"/>
                <w:color w:val="7030A0"/>
                <w:sz w:val="22"/>
                <w:lang w:eastAsia="en-GB"/>
              </w:rPr>
              <w:t>430</w:t>
            </w:r>
          </w:p>
        </w:tc>
        <w:tc>
          <w:tcPr>
            <w:tcW w:w="1393" w:type="dxa"/>
            <w:tcBorders>
              <w:top w:val="nil"/>
              <w:left w:val="nil"/>
              <w:bottom w:val="single" w:sz="4" w:space="0" w:color="auto"/>
              <w:right w:val="single" w:sz="4" w:space="0" w:color="auto"/>
            </w:tcBorders>
            <w:vAlign w:val="bottom"/>
          </w:tcPr>
          <w:p w14:paraId="7E734B4B" w14:textId="49437C1A" w:rsidR="005F13C5" w:rsidRPr="004D6FAA" w:rsidRDefault="005F13C5" w:rsidP="005F13C5">
            <w:pPr>
              <w:spacing w:after="0" w:line="240" w:lineRule="auto"/>
              <w:jc w:val="right"/>
              <w:rPr>
                <w:rFonts w:eastAsia="Times New Roman" w:cs="Arial"/>
                <w:b/>
                <w:bCs/>
                <w:sz w:val="22"/>
                <w:highlight w:val="yellow"/>
                <w:lang w:eastAsia="en-GB"/>
              </w:rPr>
            </w:pPr>
            <w:r w:rsidRPr="005F13C5">
              <w:rPr>
                <w:rFonts w:eastAsia="Times New Roman" w:cs="Arial"/>
                <w:color w:val="7030A0"/>
                <w:sz w:val="22"/>
                <w:lang w:eastAsia="en-GB"/>
              </w:rPr>
              <w:t>17</w:t>
            </w:r>
          </w:p>
        </w:tc>
        <w:tc>
          <w:tcPr>
            <w:tcW w:w="1476" w:type="dxa"/>
            <w:tcBorders>
              <w:top w:val="nil"/>
              <w:left w:val="nil"/>
              <w:bottom w:val="single" w:sz="4" w:space="0" w:color="auto"/>
              <w:right w:val="single" w:sz="4" w:space="0" w:color="auto"/>
            </w:tcBorders>
            <w:vAlign w:val="bottom"/>
          </w:tcPr>
          <w:p w14:paraId="281C7A94" w14:textId="3CFCDB52" w:rsidR="005F13C5" w:rsidRPr="004D6FAA" w:rsidRDefault="005F13C5" w:rsidP="005F13C5">
            <w:pPr>
              <w:spacing w:after="0" w:line="240" w:lineRule="auto"/>
              <w:jc w:val="right"/>
              <w:rPr>
                <w:rFonts w:eastAsia="Times New Roman" w:cs="Arial"/>
                <w:b/>
                <w:bCs/>
                <w:sz w:val="22"/>
                <w:highlight w:val="yellow"/>
                <w:lang w:eastAsia="en-GB"/>
              </w:rPr>
            </w:pPr>
            <w:r w:rsidRPr="005F13C5">
              <w:rPr>
                <w:rFonts w:eastAsia="Times New Roman" w:cs="Arial"/>
                <w:color w:val="7030A0"/>
                <w:sz w:val="22"/>
                <w:lang w:eastAsia="en-GB"/>
              </w:rPr>
              <w:t>5</w:t>
            </w:r>
          </w:p>
        </w:tc>
        <w:tc>
          <w:tcPr>
            <w:tcW w:w="1366" w:type="dxa"/>
            <w:tcBorders>
              <w:top w:val="nil"/>
              <w:left w:val="nil"/>
              <w:bottom w:val="single" w:sz="4" w:space="0" w:color="auto"/>
              <w:right w:val="single" w:sz="4" w:space="0" w:color="auto"/>
            </w:tcBorders>
            <w:vAlign w:val="bottom"/>
          </w:tcPr>
          <w:p w14:paraId="67973CD5" w14:textId="4B76A584" w:rsidR="005F13C5" w:rsidRPr="004D6FAA" w:rsidRDefault="005F13C5" w:rsidP="005F13C5">
            <w:pPr>
              <w:spacing w:after="0" w:line="240" w:lineRule="auto"/>
              <w:jc w:val="right"/>
              <w:rPr>
                <w:rFonts w:eastAsia="Times New Roman" w:cs="Arial"/>
                <w:b/>
                <w:bCs/>
                <w:sz w:val="22"/>
                <w:highlight w:val="yellow"/>
                <w:lang w:eastAsia="en-GB"/>
              </w:rPr>
            </w:pPr>
            <w:r w:rsidRPr="005F13C5">
              <w:rPr>
                <w:rFonts w:eastAsia="Times New Roman" w:cs="Arial"/>
                <w:color w:val="7030A0"/>
                <w:sz w:val="22"/>
                <w:lang w:eastAsia="en-GB"/>
              </w:rPr>
              <w:t>1</w:t>
            </w:r>
          </w:p>
        </w:tc>
        <w:tc>
          <w:tcPr>
            <w:tcW w:w="1293" w:type="dxa"/>
            <w:tcBorders>
              <w:top w:val="nil"/>
              <w:left w:val="nil"/>
              <w:bottom w:val="single" w:sz="4" w:space="0" w:color="auto"/>
              <w:right w:val="single" w:sz="4" w:space="0" w:color="auto"/>
            </w:tcBorders>
            <w:vAlign w:val="bottom"/>
          </w:tcPr>
          <w:p w14:paraId="300592A5" w14:textId="21B892CB" w:rsidR="005F13C5" w:rsidRPr="004D6FAA" w:rsidRDefault="005F13C5" w:rsidP="005F13C5">
            <w:pPr>
              <w:spacing w:after="0" w:line="240" w:lineRule="auto"/>
              <w:jc w:val="right"/>
              <w:rPr>
                <w:rFonts w:eastAsia="Times New Roman" w:cs="Arial"/>
                <w:b/>
                <w:bCs/>
                <w:sz w:val="22"/>
                <w:highlight w:val="yellow"/>
                <w:lang w:eastAsia="en-GB"/>
              </w:rPr>
            </w:pPr>
            <w:r w:rsidRPr="005F13C5">
              <w:rPr>
                <w:rFonts w:ascii="Calibri" w:eastAsia="Times New Roman" w:hAnsi="Calibri" w:cs="Calibri"/>
                <w:color w:val="7030A0"/>
                <w:sz w:val="22"/>
                <w:lang w:eastAsia="en-GB"/>
              </w:rPr>
              <w:t>4</w:t>
            </w:r>
          </w:p>
        </w:tc>
        <w:tc>
          <w:tcPr>
            <w:tcW w:w="1439" w:type="dxa"/>
            <w:tcBorders>
              <w:top w:val="nil"/>
              <w:left w:val="nil"/>
              <w:bottom w:val="single" w:sz="4" w:space="0" w:color="auto"/>
              <w:right w:val="single" w:sz="4" w:space="0" w:color="auto"/>
            </w:tcBorders>
            <w:vAlign w:val="bottom"/>
          </w:tcPr>
          <w:p w14:paraId="60D7808F" w14:textId="40E4476B" w:rsidR="005F13C5" w:rsidRPr="004D6FAA" w:rsidRDefault="005F13C5" w:rsidP="005F13C5">
            <w:pPr>
              <w:spacing w:after="0" w:line="240" w:lineRule="auto"/>
              <w:jc w:val="right"/>
              <w:rPr>
                <w:rFonts w:eastAsia="Times New Roman" w:cs="Arial"/>
                <w:b/>
                <w:bCs/>
                <w:sz w:val="22"/>
                <w:highlight w:val="yellow"/>
                <w:lang w:eastAsia="en-GB"/>
              </w:rPr>
            </w:pPr>
            <w:r w:rsidRPr="005F13C5">
              <w:rPr>
                <w:rFonts w:eastAsia="Times New Roman" w:cs="Arial"/>
                <w:color w:val="7030A0"/>
                <w:sz w:val="22"/>
                <w:lang w:eastAsia="en-GB"/>
              </w:rPr>
              <w:t>455</w:t>
            </w:r>
          </w:p>
        </w:tc>
      </w:tr>
      <w:tr w:rsidR="005F13C5" w:rsidRPr="00475DA7" w14:paraId="5FC4346F" w14:textId="77777777" w:rsidTr="0000032D">
        <w:trPr>
          <w:trHeight w:val="310"/>
        </w:trPr>
        <w:tc>
          <w:tcPr>
            <w:tcW w:w="1413" w:type="dxa"/>
            <w:tcBorders>
              <w:top w:val="nil"/>
              <w:left w:val="single" w:sz="4" w:space="0" w:color="auto"/>
              <w:bottom w:val="single" w:sz="4" w:space="0" w:color="auto"/>
              <w:right w:val="single" w:sz="4" w:space="0" w:color="auto"/>
            </w:tcBorders>
            <w:vAlign w:val="bottom"/>
            <w:hideMark/>
          </w:tcPr>
          <w:p w14:paraId="1071E914" w14:textId="5DA2D798" w:rsidR="005F13C5" w:rsidRPr="005F13C5" w:rsidRDefault="005F13C5" w:rsidP="005F13C5">
            <w:pPr>
              <w:spacing w:after="0" w:line="240" w:lineRule="auto"/>
              <w:jc w:val="left"/>
              <w:rPr>
                <w:rFonts w:eastAsia="Times New Roman" w:cs="Arial"/>
                <w:b/>
                <w:bCs/>
                <w:color w:val="7030A0"/>
                <w:sz w:val="22"/>
                <w:lang w:eastAsia="en-GB"/>
              </w:rPr>
            </w:pPr>
            <w:r w:rsidRPr="005F13C5">
              <w:rPr>
                <w:rFonts w:eastAsia="Times New Roman" w:cs="Arial"/>
                <w:b/>
                <w:bCs/>
                <w:color w:val="7030A0"/>
                <w:sz w:val="22"/>
                <w:lang w:eastAsia="en-GB"/>
              </w:rPr>
              <w:t xml:space="preserve">2013 </w:t>
            </w:r>
            <w:r>
              <w:rPr>
                <w:rFonts w:eastAsia="Times New Roman" w:cs="Arial"/>
                <w:b/>
                <w:bCs/>
                <w:color w:val="7030A0"/>
                <w:sz w:val="22"/>
                <w:lang w:eastAsia="en-GB"/>
              </w:rPr>
              <w:t>-</w:t>
            </w:r>
            <w:r w:rsidRPr="005F13C5">
              <w:rPr>
                <w:rFonts w:eastAsia="Times New Roman" w:cs="Arial"/>
                <w:b/>
                <w:bCs/>
                <w:color w:val="7030A0"/>
                <w:sz w:val="22"/>
                <w:lang w:eastAsia="en-GB"/>
              </w:rPr>
              <w:t xml:space="preserve"> 2025</w:t>
            </w:r>
            <w:r>
              <w:rPr>
                <w:rFonts w:eastAsia="Times New Roman" w:cs="Arial"/>
                <w:b/>
                <w:bCs/>
                <w:color w:val="7030A0"/>
                <w:sz w:val="22"/>
                <w:lang w:eastAsia="en-GB"/>
              </w:rPr>
              <w:t xml:space="preserve"> </w:t>
            </w:r>
            <w:r w:rsidRPr="005F13C5">
              <w:rPr>
                <w:rFonts w:eastAsia="Times New Roman" w:cs="Arial"/>
                <w:color w:val="7030A0"/>
                <w:sz w:val="20"/>
                <w:szCs w:val="20"/>
                <w:lang w:eastAsia="en-GB"/>
              </w:rPr>
              <w:t>(Excluding pandemic years)</w:t>
            </w:r>
          </w:p>
        </w:tc>
        <w:tc>
          <w:tcPr>
            <w:tcW w:w="1158" w:type="dxa"/>
            <w:tcBorders>
              <w:top w:val="single" w:sz="4" w:space="0" w:color="auto"/>
              <w:left w:val="single" w:sz="4" w:space="0" w:color="auto"/>
              <w:bottom w:val="single" w:sz="4" w:space="0" w:color="auto"/>
              <w:right w:val="single" w:sz="4" w:space="0" w:color="auto"/>
            </w:tcBorders>
            <w:vAlign w:val="bottom"/>
            <w:hideMark/>
          </w:tcPr>
          <w:p w14:paraId="34F95305" w14:textId="283A6DCF" w:rsidR="005F13C5" w:rsidRPr="005F13C5" w:rsidRDefault="005F13C5" w:rsidP="005F13C5">
            <w:pPr>
              <w:spacing w:after="0" w:line="240" w:lineRule="auto"/>
              <w:jc w:val="right"/>
              <w:rPr>
                <w:rFonts w:eastAsia="Times New Roman" w:cs="Arial"/>
                <w:b/>
                <w:bCs/>
                <w:color w:val="7030A0"/>
                <w:sz w:val="22"/>
                <w:lang w:eastAsia="en-GB"/>
              </w:rPr>
            </w:pPr>
            <w:r w:rsidRPr="005F13C5">
              <w:rPr>
                <w:b/>
                <w:bCs/>
                <w:color w:val="7030A0"/>
              </w:rPr>
              <w:t>4058</w:t>
            </w:r>
          </w:p>
        </w:tc>
        <w:tc>
          <w:tcPr>
            <w:tcW w:w="1393" w:type="dxa"/>
            <w:tcBorders>
              <w:top w:val="single" w:sz="4" w:space="0" w:color="auto"/>
              <w:left w:val="nil"/>
              <w:bottom w:val="single" w:sz="4" w:space="0" w:color="auto"/>
              <w:right w:val="single" w:sz="4" w:space="0" w:color="auto"/>
            </w:tcBorders>
            <w:vAlign w:val="bottom"/>
            <w:hideMark/>
          </w:tcPr>
          <w:p w14:paraId="5BF2A4B5" w14:textId="07BBD175" w:rsidR="005F13C5" w:rsidRPr="005F13C5" w:rsidRDefault="005F13C5" w:rsidP="005F13C5">
            <w:pPr>
              <w:spacing w:after="0" w:line="240" w:lineRule="auto"/>
              <w:jc w:val="right"/>
              <w:rPr>
                <w:rFonts w:eastAsia="Times New Roman" w:cs="Arial"/>
                <w:b/>
                <w:bCs/>
                <w:color w:val="7030A0"/>
                <w:sz w:val="22"/>
                <w:lang w:eastAsia="en-GB"/>
              </w:rPr>
            </w:pPr>
            <w:r w:rsidRPr="005F13C5">
              <w:rPr>
                <w:b/>
                <w:bCs/>
                <w:color w:val="7030A0"/>
              </w:rPr>
              <w:t>303</w:t>
            </w:r>
          </w:p>
        </w:tc>
        <w:tc>
          <w:tcPr>
            <w:tcW w:w="1476" w:type="dxa"/>
            <w:tcBorders>
              <w:top w:val="single" w:sz="4" w:space="0" w:color="auto"/>
              <w:left w:val="nil"/>
              <w:bottom w:val="single" w:sz="4" w:space="0" w:color="auto"/>
              <w:right w:val="single" w:sz="4" w:space="0" w:color="auto"/>
            </w:tcBorders>
            <w:vAlign w:val="bottom"/>
            <w:hideMark/>
          </w:tcPr>
          <w:p w14:paraId="06A58EF2" w14:textId="1B4CA706" w:rsidR="005F13C5" w:rsidRPr="005F13C5" w:rsidRDefault="005F13C5" w:rsidP="005F13C5">
            <w:pPr>
              <w:spacing w:after="0" w:line="240" w:lineRule="auto"/>
              <w:jc w:val="right"/>
              <w:rPr>
                <w:rFonts w:eastAsia="Times New Roman" w:cs="Arial"/>
                <w:b/>
                <w:bCs/>
                <w:color w:val="7030A0"/>
                <w:sz w:val="22"/>
                <w:lang w:eastAsia="en-GB"/>
              </w:rPr>
            </w:pPr>
            <w:r w:rsidRPr="005F13C5">
              <w:rPr>
                <w:b/>
                <w:bCs/>
                <w:color w:val="7030A0"/>
              </w:rPr>
              <w:t>37</w:t>
            </w:r>
          </w:p>
        </w:tc>
        <w:tc>
          <w:tcPr>
            <w:tcW w:w="1366" w:type="dxa"/>
            <w:tcBorders>
              <w:top w:val="single" w:sz="4" w:space="0" w:color="auto"/>
              <w:left w:val="nil"/>
              <w:bottom w:val="single" w:sz="4" w:space="0" w:color="auto"/>
              <w:right w:val="single" w:sz="4" w:space="0" w:color="auto"/>
            </w:tcBorders>
            <w:vAlign w:val="bottom"/>
            <w:hideMark/>
          </w:tcPr>
          <w:p w14:paraId="18698F91" w14:textId="15AAF729" w:rsidR="005F13C5" w:rsidRPr="005F13C5" w:rsidRDefault="005F13C5" w:rsidP="005F13C5">
            <w:pPr>
              <w:spacing w:after="0" w:line="240" w:lineRule="auto"/>
              <w:jc w:val="right"/>
              <w:rPr>
                <w:rFonts w:eastAsia="Times New Roman" w:cs="Arial"/>
                <w:b/>
                <w:bCs/>
                <w:color w:val="7030A0"/>
                <w:sz w:val="22"/>
                <w:lang w:eastAsia="en-GB"/>
              </w:rPr>
            </w:pPr>
            <w:r w:rsidRPr="005F13C5">
              <w:rPr>
                <w:b/>
                <w:bCs/>
                <w:color w:val="7030A0"/>
              </w:rPr>
              <w:t>55</w:t>
            </w:r>
          </w:p>
        </w:tc>
        <w:tc>
          <w:tcPr>
            <w:tcW w:w="1293" w:type="dxa"/>
            <w:tcBorders>
              <w:top w:val="single" w:sz="4" w:space="0" w:color="auto"/>
              <w:left w:val="nil"/>
              <w:bottom w:val="single" w:sz="4" w:space="0" w:color="auto"/>
              <w:right w:val="single" w:sz="4" w:space="0" w:color="auto"/>
            </w:tcBorders>
            <w:vAlign w:val="bottom"/>
            <w:hideMark/>
          </w:tcPr>
          <w:p w14:paraId="24B56340" w14:textId="42388E12" w:rsidR="005F13C5" w:rsidRPr="005F13C5" w:rsidRDefault="005F13C5" w:rsidP="005F13C5">
            <w:pPr>
              <w:spacing w:after="0" w:line="240" w:lineRule="auto"/>
              <w:jc w:val="right"/>
              <w:rPr>
                <w:rFonts w:eastAsia="Times New Roman" w:cs="Arial"/>
                <w:b/>
                <w:bCs/>
                <w:color w:val="7030A0"/>
                <w:sz w:val="22"/>
                <w:lang w:eastAsia="en-GB"/>
              </w:rPr>
            </w:pPr>
            <w:r w:rsidRPr="005F13C5">
              <w:rPr>
                <w:b/>
                <w:bCs/>
                <w:color w:val="7030A0"/>
              </w:rPr>
              <w:t>124</w:t>
            </w:r>
          </w:p>
        </w:tc>
        <w:tc>
          <w:tcPr>
            <w:tcW w:w="1439" w:type="dxa"/>
            <w:tcBorders>
              <w:top w:val="single" w:sz="4" w:space="0" w:color="auto"/>
              <w:left w:val="nil"/>
              <w:bottom w:val="single" w:sz="4" w:space="0" w:color="auto"/>
              <w:right w:val="single" w:sz="4" w:space="0" w:color="auto"/>
            </w:tcBorders>
            <w:vAlign w:val="bottom"/>
            <w:hideMark/>
          </w:tcPr>
          <w:p w14:paraId="5DAD6338" w14:textId="703C8F9B" w:rsidR="005F13C5" w:rsidRPr="005F13C5" w:rsidRDefault="005F13C5" w:rsidP="005F13C5">
            <w:pPr>
              <w:spacing w:after="0" w:line="240" w:lineRule="auto"/>
              <w:jc w:val="right"/>
              <w:rPr>
                <w:rFonts w:eastAsia="Times New Roman" w:cs="Arial"/>
                <w:b/>
                <w:bCs/>
                <w:color w:val="7030A0"/>
                <w:sz w:val="22"/>
                <w:lang w:eastAsia="en-GB"/>
              </w:rPr>
            </w:pPr>
            <w:r w:rsidRPr="005F13C5">
              <w:rPr>
                <w:b/>
                <w:bCs/>
                <w:color w:val="7030A0"/>
              </w:rPr>
              <w:t>4467</w:t>
            </w:r>
          </w:p>
        </w:tc>
      </w:tr>
      <w:tr w:rsidR="005F13C5" w:rsidRPr="00475DA7" w14:paraId="07821E00" w14:textId="77777777" w:rsidTr="0000032D">
        <w:trPr>
          <w:trHeight w:val="310"/>
        </w:trPr>
        <w:tc>
          <w:tcPr>
            <w:tcW w:w="1413" w:type="dxa"/>
            <w:tcBorders>
              <w:top w:val="nil"/>
              <w:left w:val="single" w:sz="4" w:space="0" w:color="auto"/>
              <w:bottom w:val="single" w:sz="4" w:space="0" w:color="auto"/>
              <w:right w:val="single" w:sz="4" w:space="0" w:color="auto"/>
            </w:tcBorders>
            <w:noWrap/>
            <w:vAlign w:val="bottom"/>
            <w:hideMark/>
          </w:tcPr>
          <w:p w14:paraId="051C5F0B" w14:textId="77777777" w:rsidR="005F13C5" w:rsidRPr="005F13C5" w:rsidRDefault="005F13C5" w:rsidP="005F13C5">
            <w:pPr>
              <w:spacing w:after="0" w:line="240" w:lineRule="auto"/>
              <w:jc w:val="left"/>
              <w:rPr>
                <w:rFonts w:eastAsia="Times New Roman" w:cs="Arial"/>
                <w:color w:val="7030A0"/>
                <w:sz w:val="22"/>
                <w:lang w:eastAsia="en-GB"/>
              </w:rPr>
            </w:pPr>
            <w:r w:rsidRPr="005F13C5">
              <w:rPr>
                <w:rFonts w:eastAsia="Times New Roman" w:cs="Arial"/>
                <w:color w:val="7030A0"/>
                <w:sz w:val="22"/>
                <w:lang w:eastAsia="en-GB"/>
              </w:rPr>
              <w:t xml:space="preserve">Average per year </w:t>
            </w:r>
          </w:p>
        </w:tc>
        <w:tc>
          <w:tcPr>
            <w:tcW w:w="1158" w:type="dxa"/>
            <w:tcBorders>
              <w:top w:val="nil"/>
              <w:left w:val="single" w:sz="4" w:space="0" w:color="auto"/>
              <w:bottom w:val="single" w:sz="4" w:space="0" w:color="auto"/>
              <w:right w:val="single" w:sz="4" w:space="0" w:color="auto"/>
            </w:tcBorders>
            <w:noWrap/>
            <w:vAlign w:val="bottom"/>
            <w:hideMark/>
          </w:tcPr>
          <w:p w14:paraId="24013962" w14:textId="5BA087F5" w:rsidR="005F13C5" w:rsidRPr="005F13C5" w:rsidRDefault="005F13C5" w:rsidP="005F13C5">
            <w:pPr>
              <w:spacing w:after="0" w:line="240" w:lineRule="auto"/>
              <w:jc w:val="right"/>
              <w:rPr>
                <w:rFonts w:eastAsia="Times New Roman" w:cs="Arial"/>
                <w:color w:val="7030A0"/>
                <w:sz w:val="22"/>
                <w:lang w:eastAsia="en-GB"/>
              </w:rPr>
            </w:pPr>
            <w:r w:rsidRPr="005F13C5">
              <w:rPr>
                <w:color w:val="7030A0"/>
              </w:rPr>
              <w:t>406</w:t>
            </w:r>
          </w:p>
        </w:tc>
        <w:tc>
          <w:tcPr>
            <w:tcW w:w="1393" w:type="dxa"/>
            <w:tcBorders>
              <w:top w:val="nil"/>
              <w:left w:val="nil"/>
              <w:bottom w:val="single" w:sz="4" w:space="0" w:color="auto"/>
              <w:right w:val="single" w:sz="4" w:space="0" w:color="auto"/>
            </w:tcBorders>
            <w:noWrap/>
            <w:vAlign w:val="bottom"/>
            <w:hideMark/>
          </w:tcPr>
          <w:p w14:paraId="5E031873" w14:textId="06998FC1" w:rsidR="005F13C5" w:rsidRPr="005F13C5" w:rsidRDefault="005F13C5" w:rsidP="005F13C5">
            <w:pPr>
              <w:spacing w:after="0" w:line="240" w:lineRule="auto"/>
              <w:jc w:val="right"/>
              <w:rPr>
                <w:rFonts w:eastAsia="Times New Roman" w:cs="Arial"/>
                <w:color w:val="7030A0"/>
                <w:sz w:val="22"/>
                <w:lang w:eastAsia="en-GB"/>
              </w:rPr>
            </w:pPr>
            <w:r w:rsidRPr="005F13C5">
              <w:rPr>
                <w:color w:val="7030A0"/>
              </w:rPr>
              <w:t>30</w:t>
            </w:r>
          </w:p>
        </w:tc>
        <w:tc>
          <w:tcPr>
            <w:tcW w:w="1476" w:type="dxa"/>
            <w:tcBorders>
              <w:top w:val="nil"/>
              <w:left w:val="nil"/>
              <w:bottom w:val="single" w:sz="4" w:space="0" w:color="auto"/>
              <w:right w:val="single" w:sz="4" w:space="0" w:color="auto"/>
            </w:tcBorders>
            <w:noWrap/>
            <w:vAlign w:val="bottom"/>
            <w:hideMark/>
          </w:tcPr>
          <w:p w14:paraId="37CDE84B" w14:textId="662E4EF2" w:rsidR="005F13C5" w:rsidRPr="005F13C5" w:rsidRDefault="005F13C5" w:rsidP="005F13C5">
            <w:pPr>
              <w:spacing w:after="0" w:line="240" w:lineRule="auto"/>
              <w:jc w:val="right"/>
              <w:rPr>
                <w:rFonts w:eastAsia="Times New Roman" w:cs="Arial"/>
                <w:color w:val="7030A0"/>
                <w:sz w:val="22"/>
                <w:lang w:eastAsia="en-GB"/>
              </w:rPr>
            </w:pPr>
            <w:r w:rsidRPr="005F13C5">
              <w:rPr>
                <w:color w:val="7030A0"/>
              </w:rPr>
              <w:t>4</w:t>
            </w:r>
          </w:p>
        </w:tc>
        <w:tc>
          <w:tcPr>
            <w:tcW w:w="1366" w:type="dxa"/>
            <w:tcBorders>
              <w:top w:val="nil"/>
              <w:left w:val="nil"/>
              <w:bottom w:val="single" w:sz="4" w:space="0" w:color="auto"/>
              <w:right w:val="single" w:sz="4" w:space="0" w:color="auto"/>
            </w:tcBorders>
            <w:noWrap/>
            <w:vAlign w:val="bottom"/>
            <w:hideMark/>
          </w:tcPr>
          <w:p w14:paraId="71554A07" w14:textId="6653F5D6" w:rsidR="005F13C5" w:rsidRPr="005F13C5" w:rsidRDefault="005F13C5" w:rsidP="005F13C5">
            <w:pPr>
              <w:spacing w:after="0" w:line="240" w:lineRule="auto"/>
              <w:jc w:val="right"/>
              <w:rPr>
                <w:rFonts w:eastAsia="Times New Roman" w:cs="Arial"/>
                <w:color w:val="7030A0"/>
                <w:sz w:val="22"/>
                <w:lang w:eastAsia="en-GB"/>
              </w:rPr>
            </w:pPr>
            <w:r w:rsidRPr="005F13C5">
              <w:rPr>
                <w:color w:val="7030A0"/>
              </w:rPr>
              <w:t>6</w:t>
            </w:r>
          </w:p>
        </w:tc>
        <w:tc>
          <w:tcPr>
            <w:tcW w:w="1293" w:type="dxa"/>
            <w:tcBorders>
              <w:top w:val="nil"/>
              <w:left w:val="nil"/>
              <w:bottom w:val="single" w:sz="4" w:space="0" w:color="auto"/>
              <w:right w:val="single" w:sz="4" w:space="0" w:color="auto"/>
            </w:tcBorders>
            <w:noWrap/>
            <w:vAlign w:val="bottom"/>
            <w:hideMark/>
          </w:tcPr>
          <w:p w14:paraId="7005E501" w14:textId="49D9FFF9" w:rsidR="005F13C5" w:rsidRPr="005F13C5" w:rsidRDefault="005F13C5" w:rsidP="005F13C5">
            <w:pPr>
              <w:spacing w:after="0" w:line="240" w:lineRule="auto"/>
              <w:jc w:val="right"/>
              <w:rPr>
                <w:rFonts w:eastAsia="Times New Roman" w:cs="Arial"/>
                <w:color w:val="7030A0"/>
                <w:sz w:val="22"/>
                <w:lang w:eastAsia="en-GB"/>
              </w:rPr>
            </w:pPr>
            <w:r w:rsidRPr="005F13C5">
              <w:rPr>
                <w:color w:val="7030A0"/>
              </w:rPr>
              <w:t>12</w:t>
            </w:r>
          </w:p>
        </w:tc>
        <w:tc>
          <w:tcPr>
            <w:tcW w:w="1439" w:type="dxa"/>
            <w:tcBorders>
              <w:top w:val="nil"/>
              <w:left w:val="nil"/>
              <w:bottom w:val="single" w:sz="4" w:space="0" w:color="auto"/>
              <w:right w:val="single" w:sz="4" w:space="0" w:color="auto"/>
            </w:tcBorders>
            <w:noWrap/>
            <w:vAlign w:val="bottom"/>
            <w:hideMark/>
          </w:tcPr>
          <w:p w14:paraId="2D2F37F3" w14:textId="1EC2B9B9" w:rsidR="005F13C5" w:rsidRPr="005F13C5" w:rsidRDefault="005F13C5" w:rsidP="005F13C5">
            <w:pPr>
              <w:spacing w:after="0" w:line="240" w:lineRule="auto"/>
              <w:jc w:val="right"/>
              <w:rPr>
                <w:rFonts w:eastAsia="Times New Roman" w:cs="Arial"/>
                <w:color w:val="7030A0"/>
                <w:sz w:val="22"/>
                <w:lang w:eastAsia="en-GB"/>
              </w:rPr>
            </w:pPr>
            <w:r w:rsidRPr="005F13C5">
              <w:rPr>
                <w:color w:val="7030A0"/>
              </w:rPr>
              <w:t>447</w:t>
            </w:r>
          </w:p>
        </w:tc>
      </w:tr>
    </w:tbl>
    <w:p w14:paraId="501391D8" w14:textId="77777777" w:rsidR="00475DA7" w:rsidRDefault="00475DA7" w:rsidP="00475DA7">
      <w:pPr>
        <w:ind w:left="720" w:hanging="720"/>
        <w:jc w:val="left"/>
        <w:rPr>
          <w:rFonts w:cs="Arial"/>
          <w:b/>
          <w:bCs/>
          <w:i/>
          <w:iCs/>
          <w:color w:val="FF0000"/>
          <w:szCs w:val="24"/>
        </w:rPr>
      </w:pPr>
    </w:p>
    <w:p w14:paraId="6AD4D7C6" w14:textId="077EE1A0" w:rsidR="00D53445" w:rsidRDefault="00475DA7" w:rsidP="00475DA7">
      <w:pPr>
        <w:ind w:left="720" w:hanging="720"/>
        <w:jc w:val="left"/>
        <w:rPr>
          <w:rFonts w:cs="Arial"/>
          <w:color w:val="7030A0"/>
          <w:szCs w:val="24"/>
        </w:rPr>
      </w:pPr>
      <w:r w:rsidRPr="00475DA7">
        <w:rPr>
          <w:rFonts w:cs="Arial"/>
          <w:szCs w:val="24"/>
        </w:rPr>
        <w:t>9.12.</w:t>
      </w:r>
      <w:r w:rsidR="00D53445">
        <w:rPr>
          <w:rFonts w:cs="Arial"/>
          <w:szCs w:val="24"/>
        </w:rPr>
        <w:t>3</w:t>
      </w:r>
      <w:r w:rsidRPr="00475DA7">
        <w:rPr>
          <w:rFonts w:cs="Arial"/>
          <w:szCs w:val="24"/>
        </w:rPr>
        <w:t xml:space="preserve"> </w:t>
      </w:r>
      <w:r w:rsidR="00CB71E0" w:rsidRPr="00CB71E0">
        <w:rPr>
          <w:rFonts w:cs="Arial"/>
          <w:color w:val="7030A0"/>
          <w:szCs w:val="24"/>
        </w:rPr>
        <w:t xml:space="preserve">Housing completions are published on the Council’s website on an annual basis via the Housing Land Monitoring Report which enables a thorough assessment of </w:t>
      </w:r>
      <w:r w:rsidR="009F1925">
        <w:rPr>
          <w:rFonts w:cs="Arial"/>
          <w:color w:val="7030A0"/>
          <w:szCs w:val="24"/>
        </w:rPr>
        <w:t>trends</w:t>
      </w:r>
      <w:r w:rsidR="00CB71E0" w:rsidRPr="00CB71E0">
        <w:rPr>
          <w:rFonts w:cs="Arial"/>
          <w:color w:val="7030A0"/>
          <w:szCs w:val="24"/>
        </w:rPr>
        <w:t xml:space="preserve"> over a</w:t>
      </w:r>
      <w:r w:rsidR="00A71DE3">
        <w:rPr>
          <w:rFonts w:cs="Arial"/>
          <w:color w:val="7030A0"/>
          <w:szCs w:val="24"/>
        </w:rPr>
        <w:t>n</w:t>
      </w:r>
      <w:r w:rsidR="00CB71E0" w:rsidRPr="00CB71E0">
        <w:rPr>
          <w:rFonts w:cs="Arial"/>
          <w:color w:val="7030A0"/>
          <w:szCs w:val="24"/>
        </w:rPr>
        <w:t xml:space="preserve"> </w:t>
      </w:r>
      <w:r w:rsidR="00A71DE3">
        <w:rPr>
          <w:rFonts w:cs="Arial"/>
          <w:color w:val="7030A0"/>
          <w:szCs w:val="24"/>
        </w:rPr>
        <w:t>appropriately long</w:t>
      </w:r>
      <w:r w:rsidR="00CB71E0" w:rsidRPr="00CB71E0">
        <w:rPr>
          <w:rFonts w:cs="Arial"/>
          <w:color w:val="7030A0"/>
          <w:szCs w:val="24"/>
        </w:rPr>
        <w:t xml:space="preserve"> period of time.</w:t>
      </w:r>
    </w:p>
    <w:p w14:paraId="52C372F7" w14:textId="0BBF06BD" w:rsidR="00475DA7" w:rsidRPr="00966D17" w:rsidRDefault="00D53445" w:rsidP="00475DA7">
      <w:pPr>
        <w:ind w:left="720" w:hanging="720"/>
        <w:jc w:val="left"/>
        <w:rPr>
          <w:rFonts w:cs="Arial"/>
          <w:b/>
          <w:bCs/>
          <w:i/>
          <w:iCs/>
          <w:color w:val="FF0000"/>
          <w:szCs w:val="24"/>
        </w:rPr>
      </w:pPr>
      <w:r>
        <w:rPr>
          <w:rFonts w:cs="Arial"/>
          <w:szCs w:val="24"/>
        </w:rPr>
        <w:t>9.12.4</w:t>
      </w:r>
      <w:r>
        <w:rPr>
          <w:rFonts w:cs="Arial"/>
          <w:szCs w:val="24"/>
        </w:rPr>
        <w:tab/>
      </w:r>
      <w:r w:rsidR="00583E32">
        <w:rPr>
          <w:rFonts w:cs="Arial"/>
          <w:szCs w:val="24"/>
        </w:rPr>
        <w:t xml:space="preserve">The adoption of a new Local </w:t>
      </w:r>
      <w:r w:rsidR="004D5D1B">
        <w:rPr>
          <w:rFonts w:cs="Arial"/>
          <w:szCs w:val="24"/>
        </w:rPr>
        <w:t>P</w:t>
      </w:r>
      <w:r w:rsidR="00583E32">
        <w:rPr>
          <w:rFonts w:cs="Arial"/>
          <w:szCs w:val="24"/>
        </w:rPr>
        <w:t xml:space="preserve">lan which identifies </w:t>
      </w:r>
      <w:r>
        <w:rPr>
          <w:rFonts w:cs="Arial"/>
          <w:szCs w:val="24"/>
        </w:rPr>
        <w:t xml:space="preserve">sustainably located, </w:t>
      </w:r>
      <w:r w:rsidR="00583E32">
        <w:rPr>
          <w:rFonts w:cs="Arial"/>
          <w:szCs w:val="24"/>
        </w:rPr>
        <w:t>readily available and de</w:t>
      </w:r>
      <w:r w:rsidR="00CB71E0">
        <w:rPr>
          <w:rFonts w:cs="Arial"/>
          <w:szCs w:val="24"/>
        </w:rPr>
        <w:t>velopable</w:t>
      </w:r>
      <w:r w:rsidR="00583E32">
        <w:rPr>
          <w:rFonts w:cs="Arial"/>
          <w:szCs w:val="24"/>
        </w:rPr>
        <w:t xml:space="preserve"> sites will assist in boosting delivery moving forwards. </w:t>
      </w:r>
    </w:p>
    <w:p w14:paraId="11E9F18A" w14:textId="77777777" w:rsidR="00C743A4" w:rsidRDefault="00C743A4" w:rsidP="00C743A4">
      <w:pPr>
        <w:jc w:val="left"/>
        <w:rPr>
          <w:color w:val="FF0000"/>
          <w:u w:val="single"/>
        </w:rPr>
      </w:pPr>
    </w:p>
    <w:p w14:paraId="16181EEA" w14:textId="6483B607" w:rsidR="000C09F3" w:rsidRPr="007C6C7B" w:rsidRDefault="000C09F3" w:rsidP="00132ACC">
      <w:pPr>
        <w:pStyle w:val="Heading4"/>
        <w:numPr>
          <w:ilvl w:val="1"/>
          <w:numId w:val="31"/>
        </w:numPr>
        <w:rPr>
          <w:rFonts w:cs="Arial"/>
          <w:b w:val="0"/>
          <w:bCs/>
          <w:i w:val="0"/>
          <w:iCs w:val="0"/>
        </w:rPr>
      </w:pPr>
      <w:r w:rsidRPr="007C6C7B">
        <w:rPr>
          <w:rFonts w:cs="Arial"/>
          <w:bCs/>
        </w:rPr>
        <w:t>Based on the housing trajectory, how many dwellings are expected to be delivered in</w:t>
      </w:r>
      <w:r w:rsidR="00F7430A">
        <w:rPr>
          <w:rFonts w:cs="Arial"/>
          <w:bCs/>
        </w:rPr>
        <w:t xml:space="preserve"> </w:t>
      </w:r>
      <w:r w:rsidRPr="007C6C7B">
        <w:rPr>
          <w:rFonts w:cs="Arial"/>
          <w:bCs/>
        </w:rPr>
        <w:t>the first five years following adoption of the Plan?</w:t>
      </w:r>
    </w:p>
    <w:p w14:paraId="02773A39" w14:textId="77777777" w:rsidR="00664492" w:rsidRDefault="00664492" w:rsidP="00F7430A">
      <w:pPr>
        <w:jc w:val="left"/>
        <w:rPr>
          <w:u w:val="single"/>
        </w:rPr>
      </w:pPr>
    </w:p>
    <w:p w14:paraId="7ACE62B6" w14:textId="1884FEB3" w:rsidR="00F7430A" w:rsidRPr="0076350C" w:rsidRDefault="00F7430A" w:rsidP="00F7430A">
      <w:pPr>
        <w:jc w:val="left"/>
      </w:pPr>
      <w:r w:rsidRPr="0076350C">
        <w:t>Council’s response</w:t>
      </w:r>
      <w:r w:rsidR="0076350C" w:rsidRPr="0076350C">
        <w:t>:</w:t>
      </w:r>
    </w:p>
    <w:p w14:paraId="743FE30E" w14:textId="0A642879" w:rsidR="00C80BB9" w:rsidRDefault="00C80BB9" w:rsidP="00C80BB9">
      <w:pPr>
        <w:ind w:left="720" w:hanging="720"/>
        <w:jc w:val="left"/>
        <w:rPr>
          <w:rFonts w:cs="Arial"/>
          <w:szCs w:val="24"/>
        </w:rPr>
      </w:pPr>
      <w:r w:rsidRPr="007B0703">
        <w:rPr>
          <w:rFonts w:cs="Arial"/>
          <w:szCs w:val="24"/>
        </w:rPr>
        <w:t>9.</w:t>
      </w:r>
      <w:r>
        <w:rPr>
          <w:rFonts w:cs="Arial"/>
          <w:szCs w:val="24"/>
        </w:rPr>
        <w:t>13</w:t>
      </w:r>
      <w:r w:rsidRPr="007B0703">
        <w:rPr>
          <w:rFonts w:cs="Arial"/>
          <w:szCs w:val="24"/>
        </w:rPr>
        <w:t>.1</w:t>
      </w:r>
      <w:r>
        <w:rPr>
          <w:rFonts w:cs="Arial"/>
          <w:szCs w:val="24"/>
        </w:rPr>
        <w:tab/>
        <w:t xml:space="preserve">The estimated supply from specific deliverable sites is </w:t>
      </w:r>
      <w:r w:rsidRPr="00664492">
        <w:rPr>
          <w:rFonts w:cs="Arial"/>
          <w:strike/>
          <w:szCs w:val="24"/>
        </w:rPr>
        <w:t>2700</w:t>
      </w:r>
      <w:r w:rsidR="00664492" w:rsidRPr="00664492">
        <w:rPr>
          <w:rFonts w:cs="Arial"/>
          <w:szCs w:val="24"/>
        </w:rPr>
        <w:t xml:space="preserve"> </w:t>
      </w:r>
      <w:r w:rsidR="00664492" w:rsidRPr="00664492">
        <w:rPr>
          <w:rFonts w:cs="Arial"/>
          <w:color w:val="7030A0"/>
          <w:szCs w:val="24"/>
        </w:rPr>
        <w:t>2,589</w:t>
      </w:r>
      <w:r w:rsidRPr="00664492">
        <w:rPr>
          <w:rFonts w:cs="Arial"/>
          <w:color w:val="7030A0"/>
          <w:szCs w:val="24"/>
        </w:rPr>
        <w:t xml:space="preserve"> </w:t>
      </w:r>
      <w:r>
        <w:rPr>
          <w:rFonts w:cs="Arial"/>
          <w:szCs w:val="24"/>
        </w:rPr>
        <w:t>dwellings, within the first 5 years of the Plan post adoption. This is set out in answer to Questions 9.8 and 9.9 above.</w:t>
      </w:r>
    </w:p>
    <w:p w14:paraId="1FCF7940" w14:textId="7388B798" w:rsidR="00C80BB9" w:rsidRPr="00FC68C5" w:rsidRDefault="00C80BB9" w:rsidP="00C80BB9">
      <w:pPr>
        <w:ind w:left="720" w:hanging="720"/>
        <w:jc w:val="left"/>
        <w:rPr>
          <w:rFonts w:cs="Arial"/>
          <w:szCs w:val="24"/>
        </w:rPr>
      </w:pPr>
      <w:r>
        <w:rPr>
          <w:rFonts w:cs="Arial"/>
          <w:szCs w:val="24"/>
        </w:rPr>
        <w:t>9.13.2</w:t>
      </w:r>
      <w:r w:rsidRPr="00D50205">
        <w:rPr>
          <w:rFonts w:cs="Arial"/>
          <w:szCs w:val="24"/>
        </w:rPr>
        <w:t xml:space="preserve"> </w:t>
      </w:r>
      <w:r>
        <w:rPr>
          <w:rFonts w:cs="Arial"/>
          <w:szCs w:val="24"/>
        </w:rPr>
        <w:t>The table included in answer to Qu. 9.</w:t>
      </w:r>
      <w:r w:rsidR="00664492">
        <w:rPr>
          <w:rFonts w:cs="Arial"/>
          <w:szCs w:val="24"/>
        </w:rPr>
        <w:t>8</w:t>
      </w:r>
      <w:r>
        <w:rPr>
          <w:rFonts w:cs="Arial"/>
          <w:szCs w:val="24"/>
        </w:rPr>
        <w:t xml:space="preserve"> also includes an estimated discounted rate for potential non-delivery, and an allowance for small site windfalls beyond 2027. The total estimated net supply for this period is </w:t>
      </w:r>
      <w:r w:rsidRPr="00FC68C5">
        <w:rPr>
          <w:rFonts w:cs="Arial"/>
          <w:strike/>
          <w:szCs w:val="24"/>
        </w:rPr>
        <w:t>2868</w:t>
      </w:r>
      <w:r>
        <w:rPr>
          <w:rFonts w:cs="Arial"/>
          <w:szCs w:val="24"/>
        </w:rPr>
        <w:t xml:space="preserve"> </w:t>
      </w:r>
      <w:r w:rsidR="00FC68C5" w:rsidRPr="00FC68C5">
        <w:rPr>
          <w:rFonts w:cs="Arial"/>
          <w:color w:val="7030A0"/>
          <w:szCs w:val="24"/>
        </w:rPr>
        <w:t>2</w:t>
      </w:r>
      <w:r w:rsidR="00FC68C5">
        <w:rPr>
          <w:rFonts w:cs="Arial"/>
          <w:color w:val="7030A0"/>
          <w:szCs w:val="24"/>
        </w:rPr>
        <w:t>,</w:t>
      </w:r>
      <w:r w:rsidR="00FC68C5" w:rsidRPr="00FC68C5">
        <w:rPr>
          <w:rFonts w:cs="Arial"/>
          <w:color w:val="7030A0"/>
          <w:szCs w:val="24"/>
        </w:rPr>
        <w:t>757</w:t>
      </w:r>
      <w:r w:rsidR="00FC68C5">
        <w:rPr>
          <w:rFonts w:cs="Arial"/>
          <w:szCs w:val="24"/>
        </w:rPr>
        <w:t xml:space="preserve"> </w:t>
      </w:r>
      <w:r w:rsidRPr="00FC68C5">
        <w:rPr>
          <w:rFonts w:cs="Arial"/>
          <w:szCs w:val="24"/>
        </w:rPr>
        <w:t>dwellings from all sources.</w:t>
      </w:r>
    </w:p>
    <w:p w14:paraId="2DCBCCFF" w14:textId="3DBF6B6B" w:rsidR="00FC68C5" w:rsidRDefault="00C80BB9" w:rsidP="00FC68C5">
      <w:pPr>
        <w:ind w:left="720" w:hanging="720"/>
        <w:jc w:val="left"/>
        <w:rPr>
          <w:rFonts w:cs="Arial"/>
          <w:szCs w:val="24"/>
        </w:rPr>
      </w:pPr>
      <w:r w:rsidRPr="00FC68C5">
        <w:rPr>
          <w:rFonts w:cs="Arial"/>
          <w:szCs w:val="24"/>
        </w:rPr>
        <w:t>9.13.3</w:t>
      </w:r>
      <w:r w:rsidRPr="00FC68C5">
        <w:rPr>
          <w:rFonts w:cs="Arial"/>
          <w:szCs w:val="24"/>
        </w:rPr>
        <w:tab/>
        <w:t>The estimated supply is set out in the</w:t>
      </w:r>
      <w:r w:rsidR="00FC68C5" w:rsidRPr="00FC68C5">
        <w:rPr>
          <w:rFonts w:cs="Arial"/>
          <w:szCs w:val="24"/>
        </w:rPr>
        <w:t xml:space="preserve"> </w:t>
      </w:r>
      <w:r w:rsidR="00FC68C5" w:rsidRPr="00FC68C5">
        <w:rPr>
          <w:rFonts w:cs="Arial"/>
          <w:color w:val="7030A0"/>
          <w:szCs w:val="24"/>
        </w:rPr>
        <w:t>updated</w:t>
      </w:r>
      <w:r w:rsidRPr="00FC68C5">
        <w:rPr>
          <w:rFonts w:cs="Arial"/>
          <w:color w:val="7030A0"/>
          <w:szCs w:val="24"/>
        </w:rPr>
        <w:t xml:space="preserve"> </w:t>
      </w:r>
      <w:r w:rsidRPr="00FC68C5">
        <w:rPr>
          <w:rFonts w:cs="Arial"/>
          <w:szCs w:val="24"/>
        </w:rPr>
        <w:t xml:space="preserve">trajectories in </w:t>
      </w:r>
      <w:r w:rsidRPr="00FC68C5">
        <w:rPr>
          <w:rFonts w:cs="Arial"/>
          <w:strike/>
          <w:szCs w:val="24"/>
        </w:rPr>
        <w:t>Section 4 of the Housing Land Supply Position Statement, October 2024 [ADC.04]</w:t>
      </w:r>
      <w:r w:rsidR="00FC68C5" w:rsidRPr="00FC68C5">
        <w:rPr>
          <w:rFonts w:cs="Arial"/>
          <w:szCs w:val="24"/>
        </w:rPr>
        <w:t xml:space="preserve"> </w:t>
      </w:r>
      <w:r w:rsidR="00FC68C5" w:rsidRPr="00FC68C5">
        <w:rPr>
          <w:rFonts w:cs="Arial"/>
          <w:color w:val="7030A0"/>
          <w:szCs w:val="24"/>
        </w:rPr>
        <w:t>ADC.20</w:t>
      </w:r>
      <w:r w:rsidRPr="00FC68C5">
        <w:rPr>
          <w:rFonts w:cs="Arial"/>
          <w:szCs w:val="24"/>
        </w:rPr>
        <w:t xml:space="preserve">. </w:t>
      </w:r>
      <w:r w:rsidR="00FC68C5" w:rsidRPr="00ED50D4">
        <w:rPr>
          <w:rFonts w:cs="Arial"/>
          <w:szCs w:val="24"/>
        </w:rPr>
        <w:t xml:space="preserve">The ‘Annual housing delivery from all sources’ table on page </w:t>
      </w:r>
      <w:r w:rsidR="00FC68C5" w:rsidRPr="00ED50D4">
        <w:rPr>
          <w:rFonts w:cs="Arial"/>
          <w:strike/>
          <w:szCs w:val="24"/>
        </w:rPr>
        <w:t>15</w:t>
      </w:r>
      <w:r w:rsidR="00FC68C5" w:rsidRPr="00ED50D4">
        <w:rPr>
          <w:rFonts w:cs="Arial"/>
          <w:szCs w:val="24"/>
        </w:rPr>
        <w:t xml:space="preserve"> </w:t>
      </w:r>
      <w:r w:rsidR="00FC68C5" w:rsidRPr="00ED50D4">
        <w:rPr>
          <w:rFonts w:cs="Arial"/>
          <w:color w:val="7030A0"/>
          <w:szCs w:val="24"/>
        </w:rPr>
        <w:t>9</w:t>
      </w:r>
      <w:r w:rsidR="00FC68C5" w:rsidRPr="00ED50D4">
        <w:rPr>
          <w:rFonts w:cs="Arial"/>
          <w:szCs w:val="24"/>
        </w:rPr>
        <w:t xml:space="preserve"> of this document identifies delivery anticipated from years 1-5 (</w:t>
      </w:r>
      <w:r w:rsidR="00FC68C5" w:rsidRPr="00ED50D4">
        <w:rPr>
          <w:rFonts w:cs="Arial"/>
          <w:color w:val="7030A0"/>
          <w:szCs w:val="24"/>
        </w:rPr>
        <w:t>2025 to 2030</w:t>
      </w:r>
      <w:r w:rsidR="00FC68C5" w:rsidRPr="00ED50D4">
        <w:rPr>
          <w:rFonts w:cs="Arial"/>
          <w:szCs w:val="24"/>
        </w:rPr>
        <w:t xml:space="preserve">), </w:t>
      </w:r>
      <w:proofErr w:type="gramStart"/>
      <w:r w:rsidR="00FC68C5" w:rsidRPr="00ED50D4">
        <w:rPr>
          <w:rFonts w:cs="Arial"/>
          <w:szCs w:val="24"/>
        </w:rPr>
        <w:t>and also</w:t>
      </w:r>
      <w:proofErr w:type="gramEnd"/>
      <w:r w:rsidR="00FC68C5" w:rsidRPr="00ED50D4">
        <w:rPr>
          <w:rFonts w:cs="Arial"/>
          <w:szCs w:val="24"/>
        </w:rPr>
        <w:t xml:space="preserve"> from years 2-6 (</w:t>
      </w:r>
      <w:r w:rsidR="00FC68C5" w:rsidRPr="00ED50D4">
        <w:rPr>
          <w:rFonts w:cs="Arial"/>
          <w:color w:val="7030A0"/>
          <w:szCs w:val="24"/>
        </w:rPr>
        <w:t>2026 to 2031</w:t>
      </w:r>
      <w:r w:rsidR="00FC68C5" w:rsidRPr="00ED50D4">
        <w:rPr>
          <w:rFonts w:cs="Arial"/>
          <w:szCs w:val="24"/>
        </w:rPr>
        <w:t>). The latter has informed the 5YLS post adoption</w:t>
      </w:r>
      <w:r w:rsidR="00FC68C5">
        <w:rPr>
          <w:rFonts w:cs="Arial"/>
          <w:szCs w:val="24"/>
        </w:rPr>
        <w:t>.</w:t>
      </w:r>
    </w:p>
    <w:p w14:paraId="6EFC18A7" w14:textId="77777777" w:rsidR="00650044" w:rsidRDefault="00650044" w:rsidP="00650044">
      <w:pPr>
        <w:jc w:val="left"/>
        <w:rPr>
          <w:color w:val="FF0000"/>
          <w:u w:val="single"/>
        </w:rPr>
      </w:pPr>
    </w:p>
    <w:p w14:paraId="1E5BE98E" w14:textId="0B433C97" w:rsidR="000C09F3" w:rsidRDefault="000C09F3" w:rsidP="00132ACC">
      <w:pPr>
        <w:pStyle w:val="Heading4"/>
        <w:numPr>
          <w:ilvl w:val="1"/>
          <w:numId w:val="31"/>
        </w:numPr>
        <w:rPr>
          <w:rFonts w:cs="Arial"/>
          <w:b w:val="0"/>
          <w:bCs/>
          <w:i w:val="0"/>
          <w:iCs w:val="0"/>
        </w:rPr>
      </w:pPr>
      <w:r w:rsidRPr="007C6C7B">
        <w:rPr>
          <w:rFonts w:cs="Arial"/>
          <w:bCs/>
        </w:rPr>
        <w:t>Having regard to the questions above, will there be a five-year supply of deliverable</w:t>
      </w:r>
      <w:r w:rsidR="00F7430A">
        <w:rPr>
          <w:rFonts w:cs="Arial"/>
          <w:bCs/>
        </w:rPr>
        <w:t xml:space="preserve"> </w:t>
      </w:r>
      <w:r w:rsidRPr="007C6C7B">
        <w:rPr>
          <w:rFonts w:cs="Arial"/>
          <w:bCs/>
        </w:rPr>
        <w:t>housing sites on adoption of the Plan?</w:t>
      </w:r>
    </w:p>
    <w:p w14:paraId="4841648D" w14:textId="77777777" w:rsidR="00AA5121" w:rsidRDefault="00AA5121" w:rsidP="000C09F3">
      <w:pPr>
        <w:rPr>
          <w:u w:val="single"/>
        </w:rPr>
      </w:pPr>
    </w:p>
    <w:p w14:paraId="3F25438D" w14:textId="412BC9CE" w:rsidR="00F7430A" w:rsidRPr="0076350C" w:rsidRDefault="00F7430A" w:rsidP="000C09F3">
      <w:pPr>
        <w:rPr>
          <w:rFonts w:cs="Arial"/>
          <w:b/>
          <w:bCs/>
          <w:i/>
          <w:iCs/>
          <w:szCs w:val="24"/>
        </w:rPr>
      </w:pPr>
      <w:r w:rsidRPr="0076350C">
        <w:t>Council’s response</w:t>
      </w:r>
      <w:r w:rsidR="0076350C" w:rsidRPr="0076350C">
        <w:t>:</w:t>
      </w:r>
    </w:p>
    <w:p w14:paraId="3FB6C9D3" w14:textId="08DC9CD3" w:rsidR="000C09F3" w:rsidRPr="00966D17" w:rsidRDefault="00C80BB9" w:rsidP="000C09F3">
      <w:pPr>
        <w:rPr>
          <w:rFonts w:cs="Arial"/>
          <w:szCs w:val="24"/>
        </w:rPr>
      </w:pPr>
      <w:r w:rsidRPr="00966D17">
        <w:rPr>
          <w:rFonts w:cs="Arial"/>
          <w:szCs w:val="24"/>
        </w:rPr>
        <w:t>9.14.1</w:t>
      </w:r>
      <w:r w:rsidR="00966D17">
        <w:rPr>
          <w:rFonts w:cs="Arial"/>
          <w:szCs w:val="24"/>
        </w:rPr>
        <w:t xml:space="preserve"> Yes - See response to Qu. 9.11.</w:t>
      </w:r>
    </w:p>
    <w:p w14:paraId="6DD7AE11" w14:textId="77777777" w:rsidR="007C330E" w:rsidRPr="00AA5121" w:rsidRDefault="007C330E" w:rsidP="007C330E">
      <w:pPr>
        <w:pStyle w:val="ListParagraph"/>
        <w:rPr>
          <w:rFonts w:cs="Arial"/>
          <w:color w:val="FF0000"/>
          <w:szCs w:val="24"/>
        </w:rPr>
      </w:pPr>
    </w:p>
    <w:p w14:paraId="471BA3E2" w14:textId="77777777" w:rsidR="000C09F3" w:rsidRPr="007C6C7B" w:rsidRDefault="000C09F3" w:rsidP="007C6C7B">
      <w:pPr>
        <w:pStyle w:val="Heading3"/>
      </w:pPr>
      <w:r w:rsidRPr="007C6C7B">
        <w:lastRenderedPageBreak/>
        <w:t>Developable supply in years 6-15</w:t>
      </w:r>
    </w:p>
    <w:p w14:paraId="711D78A3" w14:textId="77777777" w:rsidR="000C09F3" w:rsidRPr="007C6C7B" w:rsidRDefault="000C09F3" w:rsidP="000C09F3">
      <w:pPr>
        <w:rPr>
          <w:rFonts w:cs="Arial"/>
          <w:b/>
          <w:bCs/>
          <w:i/>
          <w:iCs/>
          <w:szCs w:val="24"/>
        </w:rPr>
      </w:pPr>
    </w:p>
    <w:p w14:paraId="43A821DC" w14:textId="1A57871D" w:rsidR="000C09F3" w:rsidRPr="007C6C7B" w:rsidRDefault="000C09F3" w:rsidP="00132ACC">
      <w:pPr>
        <w:pStyle w:val="Heading4"/>
        <w:numPr>
          <w:ilvl w:val="1"/>
          <w:numId w:val="31"/>
        </w:numPr>
        <w:rPr>
          <w:rFonts w:cs="Arial"/>
          <w:b w:val="0"/>
          <w:bCs/>
          <w:i w:val="0"/>
          <w:iCs w:val="0"/>
        </w:rPr>
      </w:pPr>
      <w:r w:rsidRPr="007C6C7B">
        <w:rPr>
          <w:rFonts w:cs="Arial"/>
          <w:bCs/>
        </w:rPr>
        <w:t>What is the estimated total supply of specific developable sites or broad locations for</w:t>
      </w:r>
      <w:r w:rsidR="007C6C7B">
        <w:rPr>
          <w:rFonts w:cs="Arial"/>
          <w:bCs/>
        </w:rPr>
        <w:t xml:space="preserve"> </w:t>
      </w:r>
      <w:r w:rsidRPr="007C6C7B">
        <w:rPr>
          <w:rFonts w:cs="Arial"/>
          <w:bCs/>
        </w:rPr>
        <w:t>growth for years 6-10 and 11-15?</w:t>
      </w:r>
    </w:p>
    <w:p w14:paraId="24C9EE3F" w14:textId="77777777" w:rsidR="00F56F9C" w:rsidRDefault="00F56F9C" w:rsidP="00F7430A">
      <w:pPr>
        <w:jc w:val="left"/>
        <w:rPr>
          <w:u w:val="single"/>
        </w:rPr>
      </w:pPr>
    </w:p>
    <w:p w14:paraId="6D170BC6" w14:textId="7FE8E5EF" w:rsidR="00F7430A" w:rsidRPr="004E13EC" w:rsidRDefault="00F7430A" w:rsidP="00F7430A">
      <w:pPr>
        <w:jc w:val="left"/>
        <w:rPr>
          <w:u w:val="single"/>
        </w:rPr>
      </w:pPr>
      <w:r w:rsidRPr="004E13EC">
        <w:rPr>
          <w:u w:val="single"/>
        </w:rPr>
        <w:t>Council’s response</w:t>
      </w:r>
    </w:p>
    <w:p w14:paraId="2DE642B2" w14:textId="5D2BA947" w:rsidR="00F56F9C" w:rsidRPr="00F56F9C" w:rsidRDefault="00583E32" w:rsidP="00F56F9C">
      <w:pPr>
        <w:pStyle w:val="ListParagraph"/>
        <w:numPr>
          <w:ilvl w:val="2"/>
          <w:numId w:val="32"/>
        </w:numPr>
        <w:jc w:val="left"/>
        <w:rPr>
          <w:rFonts w:cs="Arial"/>
          <w:color w:val="7030A0"/>
          <w:szCs w:val="24"/>
        </w:rPr>
      </w:pPr>
      <w:r w:rsidRPr="00F56F9C">
        <w:rPr>
          <w:rFonts w:cs="Arial"/>
          <w:szCs w:val="24"/>
        </w:rPr>
        <w:t xml:space="preserve">The estimated supply is set out in the </w:t>
      </w:r>
      <w:r w:rsidR="00FC68C5" w:rsidRPr="00F56F9C">
        <w:rPr>
          <w:rFonts w:cs="Arial"/>
          <w:szCs w:val="24"/>
        </w:rPr>
        <w:t xml:space="preserve">updated </w:t>
      </w:r>
      <w:r w:rsidRPr="00F56F9C">
        <w:rPr>
          <w:rFonts w:cs="Arial"/>
          <w:szCs w:val="24"/>
        </w:rPr>
        <w:t xml:space="preserve">trajectories in </w:t>
      </w:r>
      <w:r w:rsidRPr="00F56F9C">
        <w:rPr>
          <w:rFonts w:cs="Arial"/>
          <w:strike/>
          <w:szCs w:val="24"/>
        </w:rPr>
        <w:t>Section 4 of the Housing Land Supply Position Statement, October 2024 [ADC.04</w:t>
      </w:r>
      <w:r w:rsidRPr="00F56F9C">
        <w:rPr>
          <w:rFonts w:cs="Arial"/>
          <w:szCs w:val="24"/>
        </w:rPr>
        <w:t>]</w:t>
      </w:r>
      <w:r w:rsidR="00FC68C5" w:rsidRPr="00F56F9C">
        <w:rPr>
          <w:rFonts w:cs="Arial"/>
          <w:szCs w:val="24"/>
        </w:rPr>
        <w:t xml:space="preserve"> </w:t>
      </w:r>
      <w:r w:rsidR="00FC68C5" w:rsidRPr="00F56F9C">
        <w:rPr>
          <w:rFonts w:cs="Arial"/>
          <w:color w:val="7030A0"/>
          <w:szCs w:val="24"/>
        </w:rPr>
        <w:t>ADC.20</w:t>
      </w:r>
      <w:r w:rsidR="00F56F9C" w:rsidRPr="00F56F9C">
        <w:rPr>
          <w:rFonts w:cs="Arial"/>
          <w:color w:val="7030A0"/>
          <w:szCs w:val="24"/>
        </w:rPr>
        <w:t xml:space="preserve"> which also includes short summary notes</w:t>
      </w:r>
      <w:r w:rsidRPr="00F56F9C">
        <w:rPr>
          <w:rFonts w:cs="Arial"/>
          <w:szCs w:val="24"/>
        </w:rPr>
        <w:t xml:space="preserve">. The ‘Annual housing delivery from all sources’ table on page </w:t>
      </w:r>
      <w:r w:rsidRPr="00F56F9C">
        <w:rPr>
          <w:rFonts w:cs="Arial"/>
          <w:strike/>
          <w:szCs w:val="24"/>
        </w:rPr>
        <w:t>15</w:t>
      </w:r>
      <w:r w:rsidRPr="00F56F9C">
        <w:rPr>
          <w:rFonts w:cs="Arial"/>
          <w:szCs w:val="24"/>
        </w:rPr>
        <w:t xml:space="preserve"> </w:t>
      </w:r>
      <w:r w:rsidR="00FC68C5" w:rsidRPr="00F56F9C">
        <w:rPr>
          <w:rFonts w:cs="Arial"/>
          <w:color w:val="7030A0"/>
          <w:szCs w:val="24"/>
        </w:rPr>
        <w:t xml:space="preserve">9 </w:t>
      </w:r>
      <w:r w:rsidRPr="00F56F9C">
        <w:rPr>
          <w:rFonts w:cs="Arial"/>
          <w:szCs w:val="24"/>
        </w:rPr>
        <w:t xml:space="preserve">of this document identifies </w:t>
      </w:r>
      <w:r w:rsidR="00D9485D" w:rsidRPr="00F56F9C">
        <w:rPr>
          <w:rFonts w:cs="Arial"/>
          <w:szCs w:val="24"/>
        </w:rPr>
        <w:t xml:space="preserve">the annual </w:t>
      </w:r>
      <w:r w:rsidRPr="00F56F9C">
        <w:rPr>
          <w:rFonts w:cs="Arial"/>
          <w:szCs w:val="24"/>
        </w:rPr>
        <w:t xml:space="preserve">delivery anticipated </w:t>
      </w:r>
      <w:r w:rsidR="00D9485D" w:rsidRPr="00F56F9C">
        <w:rPr>
          <w:rFonts w:cs="Arial"/>
          <w:szCs w:val="24"/>
        </w:rPr>
        <w:t>across the Plan Period.</w:t>
      </w:r>
      <w:r w:rsidR="00F56F9C" w:rsidRPr="00F56F9C">
        <w:rPr>
          <w:rFonts w:cs="Arial"/>
          <w:szCs w:val="24"/>
        </w:rPr>
        <w:t xml:space="preserve"> </w:t>
      </w:r>
      <w:r w:rsidR="00F56F9C" w:rsidRPr="00F56F9C">
        <w:rPr>
          <w:rFonts w:cs="Arial"/>
          <w:color w:val="7030A0"/>
          <w:szCs w:val="24"/>
        </w:rPr>
        <w:t>Further site details can be found in the Local Plan supporting text and SHELAA reports, with the annual Housing Land Monitoring Report [ADC.13] giving details on the latest position in respect of planning approvals. The Council hold information on all sites which is frequently updated to reflect any changes in circumstance. The Council’s</w:t>
      </w:r>
      <w:r w:rsidR="00F56F9C" w:rsidRPr="00F56F9C">
        <w:rPr>
          <w:color w:val="7030A0"/>
        </w:rPr>
        <w:t xml:space="preserve"> response to Qu. 9.3 gives further details for sites of 50+ dwellings</w:t>
      </w:r>
      <w:r w:rsidR="00F56F9C">
        <w:rPr>
          <w:color w:val="7030A0"/>
        </w:rPr>
        <w:t xml:space="preserve"> which do not have the benefit of permission.</w:t>
      </w:r>
    </w:p>
    <w:p w14:paraId="5D642C2C" w14:textId="585306FB" w:rsidR="00D9485D" w:rsidRDefault="00D9485D" w:rsidP="00583E32">
      <w:pPr>
        <w:ind w:left="720" w:hanging="720"/>
        <w:jc w:val="left"/>
        <w:rPr>
          <w:rFonts w:cs="Arial"/>
          <w:szCs w:val="24"/>
        </w:rPr>
      </w:pPr>
      <w:r>
        <w:rPr>
          <w:rFonts w:cs="Arial"/>
          <w:szCs w:val="24"/>
        </w:rPr>
        <w:t>9.15.2</w:t>
      </w:r>
      <w:r>
        <w:rPr>
          <w:rFonts w:cs="Arial"/>
          <w:szCs w:val="24"/>
        </w:rPr>
        <w:tab/>
      </w:r>
      <w:r w:rsidRPr="00FC68C5">
        <w:rPr>
          <w:rFonts w:cs="Arial"/>
          <w:szCs w:val="24"/>
        </w:rPr>
        <w:t>Years 6-10 post adoption (</w:t>
      </w:r>
      <w:r w:rsidR="00D42EF3" w:rsidRPr="00FC68C5">
        <w:rPr>
          <w:rFonts w:cs="Arial"/>
          <w:color w:val="7030A0"/>
          <w:szCs w:val="24"/>
        </w:rPr>
        <w:t>203</w:t>
      </w:r>
      <w:r w:rsidR="00FC68C5" w:rsidRPr="00FC68C5">
        <w:rPr>
          <w:rFonts w:cs="Arial"/>
          <w:color w:val="7030A0"/>
          <w:szCs w:val="24"/>
        </w:rPr>
        <w:t>1</w:t>
      </w:r>
      <w:r w:rsidR="00D42EF3" w:rsidRPr="00FC68C5">
        <w:rPr>
          <w:rFonts w:cs="Arial"/>
          <w:color w:val="7030A0"/>
          <w:szCs w:val="24"/>
        </w:rPr>
        <w:t>/3</w:t>
      </w:r>
      <w:r w:rsidR="00FC68C5" w:rsidRPr="00FC68C5">
        <w:rPr>
          <w:rFonts w:cs="Arial"/>
          <w:color w:val="7030A0"/>
          <w:szCs w:val="24"/>
        </w:rPr>
        <w:t>2</w:t>
      </w:r>
      <w:r w:rsidR="00D42EF3" w:rsidRPr="00FC68C5">
        <w:rPr>
          <w:rFonts w:cs="Arial"/>
          <w:color w:val="7030A0"/>
          <w:szCs w:val="24"/>
        </w:rPr>
        <w:t xml:space="preserve"> to 203</w:t>
      </w:r>
      <w:r w:rsidR="00FC68C5" w:rsidRPr="00FC68C5">
        <w:rPr>
          <w:rFonts w:cs="Arial"/>
          <w:color w:val="7030A0"/>
          <w:szCs w:val="24"/>
        </w:rPr>
        <w:t>5</w:t>
      </w:r>
      <w:r w:rsidR="00D42EF3" w:rsidRPr="00FC68C5">
        <w:rPr>
          <w:rFonts w:cs="Arial"/>
          <w:color w:val="7030A0"/>
          <w:szCs w:val="24"/>
        </w:rPr>
        <w:t>/3</w:t>
      </w:r>
      <w:r w:rsidR="00FC68C5" w:rsidRPr="00FC68C5">
        <w:rPr>
          <w:rFonts w:cs="Arial"/>
          <w:color w:val="7030A0"/>
          <w:szCs w:val="24"/>
        </w:rPr>
        <w:t>6</w:t>
      </w:r>
      <w:r w:rsidR="00D42EF3" w:rsidRPr="00FC68C5">
        <w:rPr>
          <w:rFonts w:cs="Arial"/>
          <w:szCs w:val="24"/>
        </w:rPr>
        <w:t xml:space="preserve">) shows an estimated delivery from specific sites of </w:t>
      </w:r>
      <w:r w:rsidR="00D42EF3" w:rsidRPr="003D3A6A">
        <w:rPr>
          <w:rFonts w:cs="Arial"/>
          <w:szCs w:val="24"/>
        </w:rPr>
        <w:t xml:space="preserve">around </w:t>
      </w:r>
      <w:r w:rsidR="00D42EF3" w:rsidRPr="003D3A6A">
        <w:rPr>
          <w:rFonts w:cs="Arial"/>
          <w:strike/>
          <w:szCs w:val="24"/>
        </w:rPr>
        <w:t>2</w:t>
      </w:r>
      <w:r w:rsidR="000A0C2E" w:rsidRPr="003D3A6A">
        <w:rPr>
          <w:rFonts w:cs="Arial"/>
          <w:strike/>
          <w:szCs w:val="24"/>
        </w:rPr>
        <w:t>013</w:t>
      </w:r>
      <w:r w:rsidR="000A0C2E" w:rsidRPr="003D3A6A">
        <w:rPr>
          <w:rFonts w:cs="Arial"/>
          <w:szCs w:val="24"/>
        </w:rPr>
        <w:t xml:space="preserve"> </w:t>
      </w:r>
      <w:r w:rsidR="00F575E3" w:rsidRPr="003D3A6A">
        <w:rPr>
          <w:rFonts w:cs="Arial"/>
          <w:color w:val="7030A0"/>
          <w:szCs w:val="24"/>
        </w:rPr>
        <w:t>2,</w:t>
      </w:r>
      <w:r w:rsidR="00F575E3">
        <w:rPr>
          <w:rFonts w:cs="Arial"/>
          <w:color w:val="7030A0"/>
          <w:szCs w:val="24"/>
        </w:rPr>
        <w:t>414</w:t>
      </w:r>
      <w:r w:rsidR="00F575E3" w:rsidRPr="00F575E3">
        <w:rPr>
          <w:rFonts w:cs="Arial"/>
          <w:color w:val="7030A0"/>
          <w:szCs w:val="24"/>
        </w:rPr>
        <w:t xml:space="preserve"> </w:t>
      </w:r>
      <w:r w:rsidR="000A0C2E" w:rsidRPr="00FC68C5">
        <w:rPr>
          <w:rFonts w:cs="Arial"/>
          <w:szCs w:val="24"/>
        </w:rPr>
        <w:t xml:space="preserve">dwellings (with an additional estimate of 455 </w:t>
      </w:r>
      <w:r w:rsidR="00AD743D" w:rsidRPr="00FC68C5">
        <w:rPr>
          <w:rFonts w:cs="Arial"/>
          <w:szCs w:val="24"/>
        </w:rPr>
        <w:t>dwellings</w:t>
      </w:r>
      <w:r w:rsidR="000A0C2E" w:rsidRPr="00FC68C5">
        <w:rPr>
          <w:rFonts w:cs="Arial"/>
          <w:szCs w:val="24"/>
        </w:rPr>
        <w:t xml:space="preserve"> from small site windfalls).</w:t>
      </w:r>
    </w:p>
    <w:p w14:paraId="7E464571" w14:textId="29BF5EE4" w:rsidR="000A0C2E" w:rsidRDefault="000A0C2E" w:rsidP="000A0C2E">
      <w:pPr>
        <w:ind w:left="720" w:hanging="720"/>
        <w:jc w:val="left"/>
        <w:rPr>
          <w:rFonts w:cs="Arial"/>
          <w:szCs w:val="24"/>
        </w:rPr>
      </w:pPr>
      <w:r>
        <w:rPr>
          <w:rFonts w:cs="Arial"/>
          <w:szCs w:val="24"/>
        </w:rPr>
        <w:t>9.15.2</w:t>
      </w:r>
      <w:r>
        <w:rPr>
          <w:rFonts w:cs="Arial"/>
          <w:szCs w:val="24"/>
        </w:rPr>
        <w:tab/>
      </w:r>
      <w:r w:rsidRPr="00F575E3">
        <w:rPr>
          <w:rFonts w:cs="Arial"/>
          <w:szCs w:val="24"/>
        </w:rPr>
        <w:t xml:space="preserve">Years </w:t>
      </w:r>
      <w:r w:rsidR="00B54E37" w:rsidRPr="00F575E3">
        <w:rPr>
          <w:rFonts w:cs="Arial"/>
          <w:szCs w:val="24"/>
        </w:rPr>
        <w:t>11</w:t>
      </w:r>
      <w:r w:rsidRPr="00F575E3">
        <w:rPr>
          <w:rFonts w:cs="Arial"/>
          <w:szCs w:val="24"/>
        </w:rPr>
        <w:t>-1</w:t>
      </w:r>
      <w:r w:rsidR="00B54E37" w:rsidRPr="00F575E3">
        <w:rPr>
          <w:rFonts w:cs="Arial"/>
          <w:szCs w:val="24"/>
        </w:rPr>
        <w:t>5</w:t>
      </w:r>
      <w:r w:rsidRPr="00F575E3">
        <w:rPr>
          <w:rFonts w:cs="Arial"/>
          <w:szCs w:val="24"/>
        </w:rPr>
        <w:t xml:space="preserve"> post adoption (</w:t>
      </w:r>
      <w:r w:rsidRPr="00F575E3">
        <w:rPr>
          <w:rFonts w:cs="Arial"/>
          <w:color w:val="7030A0"/>
          <w:szCs w:val="24"/>
        </w:rPr>
        <w:t>203</w:t>
      </w:r>
      <w:r w:rsidR="00F575E3" w:rsidRPr="00F575E3">
        <w:rPr>
          <w:rFonts w:cs="Arial"/>
          <w:color w:val="7030A0"/>
          <w:szCs w:val="24"/>
        </w:rPr>
        <w:t>6</w:t>
      </w:r>
      <w:r w:rsidRPr="00F575E3">
        <w:rPr>
          <w:rFonts w:cs="Arial"/>
          <w:color w:val="7030A0"/>
          <w:szCs w:val="24"/>
        </w:rPr>
        <w:t>/3</w:t>
      </w:r>
      <w:r w:rsidR="00F575E3" w:rsidRPr="00F575E3">
        <w:rPr>
          <w:rFonts w:cs="Arial"/>
          <w:color w:val="7030A0"/>
          <w:szCs w:val="24"/>
        </w:rPr>
        <w:t>7</w:t>
      </w:r>
      <w:r w:rsidRPr="00F575E3">
        <w:rPr>
          <w:rFonts w:cs="Arial"/>
          <w:color w:val="7030A0"/>
          <w:szCs w:val="24"/>
        </w:rPr>
        <w:t xml:space="preserve"> to 20</w:t>
      </w:r>
      <w:r w:rsidR="00F575E3" w:rsidRPr="00F575E3">
        <w:rPr>
          <w:rFonts w:cs="Arial"/>
          <w:color w:val="7030A0"/>
          <w:szCs w:val="24"/>
        </w:rPr>
        <w:t>40/41</w:t>
      </w:r>
      <w:r w:rsidRPr="00F575E3">
        <w:rPr>
          <w:rFonts w:cs="Arial"/>
          <w:szCs w:val="24"/>
        </w:rPr>
        <w:t xml:space="preserve">) shows an estimated delivery from specific sites of around </w:t>
      </w:r>
      <w:r w:rsidR="00AD743D" w:rsidRPr="00F575E3">
        <w:rPr>
          <w:rFonts w:cs="Arial"/>
          <w:strike/>
          <w:szCs w:val="24"/>
        </w:rPr>
        <w:t>689</w:t>
      </w:r>
      <w:r w:rsidRPr="00F575E3">
        <w:rPr>
          <w:rFonts w:cs="Arial"/>
          <w:szCs w:val="24"/>
        </w:rPr>
        <w:t xml:space="preserve"> </w:t>
      </w:r>
      <w:r w:rsidR="00F575E3" w:rsidRPr="00F575E3">
        <w:rPr>
          <w:rFonts w:cs="Arial"/>
          <w:color w:val="7030A0"/>
          <w:szCs w:val="24"/>
        </w:rPr>
        <w:t>690</w:t>
      </w:r>
      <w:r w:rsidR="00F575E3">
        <w:rPr>
          <w:rFonts w:cs="Arial"/>
          <w:szCs w:val="24"/>
        </w:rPr>
        <w:t xml:space="preserve"> </w:t>
      </w:r>
      <w:r w:rsidRPr="00F575E3">
        <w:rPr>
          <w:rFonts w:cs="Arial"/>
          <w:szCs w:val="24"/>
        </w:rPr>
        <w:t xml:space="preserve">dwellings (with an additional estimate of 455 </w:t>
      </w:r>
      <w:r w:rsidR="00AD743D" w:rsidRPr="00F575E3">
        <w:rPr>
          <w:rFonts w:cs="Arial"/>
          <w:szCs w:val="24"/>
        </w:rPr>
        <w:t>dwellings</w:t>
      </w:r>
      <w:r w:rsidRPr="00F575E3">
        <w:rPr>
          <w:rFonts w:cs="Arial"/>
          <w:szCs w:val="24"/>
        </w:rPr>
        <w:t xml:space="preserve"> from small site windfalls).</w:t>
      </w:r>
    </w:p>
    <w:p w14:paraId="3B00530C" w14:textId="0C492ACD" w:rsidR="00AD743D" w:rsidRDefault="00AD743D" w:rsidP="000A0C2E">
      <w:pPr>
        <w:ind w:left="720" w:hanging="720"/>
        <w:jc w:val="left"/>
        <w:rPr>
          <w:rFonts w:cs="Arial"/>
          <w:szCs w:val="24"/>
        </w:rPr>
      </w:pPr>
      <w:r>
        <w:rPr>
          <w:rFonts w:cs="Arial"/>
          <w:szCs w:val="24"/>
        </w:rPr>
        <w:t xml:space="preserve">9.15.3 However, as already discussed at </w:t>
      </w:r>
      <w:r w:rsidR="00745640">
        <w:rPr>
          <w:rFonts w:cs="Arial"/>
          <w:szCs w:val="24"/>
        </w:rPr>
        <w:t>paragraphs 9.2.4 to 9.2.6, estimating future delivery is not a precise science and actual delivery is likely to smooth out any peaks in the trajectory as the market delivers.</w:t>
      </w:r>
    </w:p>
    <w:p w14:paraId="4D653F8B" w14:textId="77777777" w:rsidR="00AA5121" w:rsidRPr="00AA5121" w:rsidRDefault="00AA5121" w:rsidP="00AA5121">
      <w:pPr>
        <w:pStyle w:val="ListParagraph"/>
        <w:rPr>
          <w:rFonts w:cs="Arial"/>
          <w:b/>
          <w:bCs/>
          <w:i/>
          <w:iCs/>
          <w:szCs w:val="24"/>
        </w:rPr>
      </w:pPr>
    </w:p>
    <w:p w14:paraId="0FFB9DB2" w14:textId="44A83422" w:rsidR="000C09F3" w:rsidRDefault="000C09F3" w:rsidP="00F56F9C">
      <w:pPr>
        <w:pStyle w:val="Heading4"/>
        <w:numPr>
          <w:ilvl w:val="1"/>
          <w:numId w:val="32"/>
        </w:numPr>
        <w:rPr>
          <w:rFonts w:cs="Arial"/>
          <w:bCs/>
        </w:rPr>
      </w:pPr>
      <w:r w:rsidRPr="007C6C7B">
        <w:rPr>
          <w:rFonts w:cs="Arial"/>
          <w:bCs/>
        </w:rPr>
        <w:t>What is the evidence to support this and are the estimates justified?</w:t>
      </w:r>
    </w:p>
    <w:p w14:paraId="7764BAD1" w14:textId="77777777" w:rsidR="0076350C" w:rsidRPr="0076350C" w:rsidRDefault="0076350C" w:rsidP="0076350C"/>
    <w:p w14:paraId="025B22A9" w14:textId="47E9C731" w:rsidR="00F7430A" w:rsidRPr="0076350C" w:rsidRDefault="00F7430A" w:rsidP="00F7430A">
      <w:pPr>
        <w:jc w:val="left"/>
      </w:pPr>
      <w:r w:rsidRPr="0076350C">
        <w:t>Council’s response</w:t>
      </w:r>
      <w:r w:rsidR="0076350C" w:rsidRPr="0076350C">
        <w:t>:</w:t>
      </w:r>
    </w:p>
    <w:p w14:paraId="2A2C58E5" w14:textId="02609E94" w:rsidR="00F7430A" w:rsidRPr="00023DA5" w:rsidRDefault="00745640" w:rsidP="00F56F9C">
      <w:pPr>
        <w:pStyle w:val="ListParagraph"/>
        <w:numPr>
          <w:ilvl w:val="2"/>
          <w:numId w:val="32"/>
        </w:numPr>
        <w:rPr>
          <w:rFonts w:cs="Arial"/>
          <w:szCs w:val="24"/>
        </w:rPr>
      </w:pPr>
      <w:r w:rsidRPr="00023DA5">
        <w:rPr>
          <w:rFonts w:cs="Arial"/>
          <w:szCs w:val="24"/>
        </w:rPr>
        <w:t>Please see response to Qu’s 9.1, 9.2, 9.3.</w:t>
      </w:r>
    </w:p>
    <w:p w14:paraId="198E47AE" w14:textId="77777777" w:rsidR="00023DA5" w:rsidRDefault="00023DA5" w:rsidP="00023DA5">
      <w:pPr>
        <w:rPr>
          <w:rFonts w:cs="Arial"/>
          <w:szCs w:val="24"/>
        </w:rPr>
      </w:pPr>
    </w:p>
    <w:sectPr w:rsidR="00023DA5" w:rsidSect="003957BA">
      <w:footerReference w:type="default" r:id="rId10"/>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2BA8" w14:textId="77777777" w:rsidR="003E3351" w:rsidRDefault="003E3351" w:rsidP="003957BA">
      <w:pPr>
        <w:spacing w:after="0" w:line="240" w:lineRule="auto"/>
      </w:pPr>
      <w:r>
        <w:separator/>
      </w:r>
    </w:p>
  </w:endnote>
  <w:endnote w:type="continuationSeparator" w:id="0">
    <w:p w14:paraId="4C744692" w14:textId="77777777" w:rsidR="003E3351" w:rsidRDefault="003E3351" w:rsidP="003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35384"/>
      <w:docPartObj>
        <w:docPartGallery w:val="Page Numbers (Bottom of Page)"/>
        <w:docPartUnique/>
      </w:docPartObj>
    </w:sdtPr>
    <w:sdtEndPr>
      <w:rPr>
        <w:color w:val="747474" w:themeColor="background2" w:themeShade="80"/>
        <w:spacing w:val="60"/>
      </w:rPr>
    </w:sdtEndPr>
    <w:sdtContent>
      <w:p w14:paraId="50DD0803" w14:textId="77777777" w:rsidR="003957BA" w:rsidRDefault="003957B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87008">
          <w:rPr>
            <w:color w:val="747474" w:themeColor="background2" w:themeShade="80"/>
            <w:spacing w:val="60"/>
          </w:rPr>
          <w:t>Page</w:t>
        </w:r>
      </w:p>
    </w:sdtContent>
  </w:sdt>
  <w:p w14:paraId="4A894A82" w14:textId="77777777" w:rsidR="003957BA" w:rsidRDefault="0039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3D11" w14:textId="77777777" w:rsidR="003E3351" w:rsidRDefault="003E3351" w:rsidP="003957BA">
      <w:pPr>
        <w:spacing w:after="0" w:line="240" w:lineRule="auto"/>
      </w:pPr>
      <w:r>
        <w:separator/>
      </w:r>
    </w:p>
  </w:footnote>
  <w:footnote w:type="continuationSeparator" w:id="0">
    <w:p w14:paraId="7C718696" w14:textId="77777777" w:rsidR="003E3351" w:rsidRDefault="003E3351" w:rsidP="00395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826"/>
    <w:multiLevelType w:val="hybridMultilevel"/>
    <w:tmpl w:val="433239E8"/>
    <w:lvl w:ilvl="0" w:tplc="0CD0C6BE">
      <w:start w:val="1"/>
      <w:numFmt w:val="bullet"/>
      <w:lvlText w:val=""/>
      <w:lvlJc w:val="left"/>
      <w:pPr>
        <w:ind w:left="1440" w:hanging="360"/>
      </w:pPr>
      <w:rPr>
        <w:rFonts w:ascii="Symbol" w:hAnsi="Symbol" w:hint="default"/>
        <w:b w:val="0"/>
        <w:bCs/>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8D35D7"/>
    <w:multiLevelType w:val="hybridMultilevel"/>
    <w:tmpl w:val="6E0C43E4"/>
    <w:lvl w:ilvl="0" w:tplc="9BC8B00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B46AC"/>
    <w:multiLevelType w:val="hybridMultilevel"/>
    <w:tmpl w:val="F90AAA54"/>
    <w:lvl w:ilvl="0" w:tplc="0CD0C6BE">
      <w:start w:val="1"/>
      <w:numFmt w:val="bullet"/>
      <w:lvlText w:val=""/>
      <w:lvlJc w:val="left"/>
      <w:pPr>
        <w:ind w:left="1440" w:hanging="360"/>
      </w:pPr>
      <w:rPr>
        <w:rFonts w:ascii="Symbol" w:hAnsi="Symbol" w:hint="default"/>
        <w:b w:val="0"/>
        <w:bCs/>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F537A2"/>
    <w:multiLevelType w:val="multilevel"/>
    <w:tmpl w:val="E75AEAEC"/>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b/>
        <w:bCs w:val="0"/>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6F2A9F"/>
    <w:multiLevelType w:val="hybridMultilevel"/>
    <w:tmpl w:val="755CBBC4"/>
    <w:lvl w:ilvl="0" w:tplc="E066278C">
      <w:start w:val="1"/>
      <w:numFmt w:val="bullet"/>
      <w:lvlText w:val=""/>
      <w:lvlJc w:val="left"/>
      <w:pPr>
        <w:ind w:left="720" w:hanging="360"/>
      </w:pPr>
      <w:rPr>
        <w:rFonts w:ascii="Symbol" w:hAnsi="Symbol" w:hint="default"/>
        <w:b w:val="0"/>
        <w:bCs/>
        <w:color w:val="A02B93"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5D0F"/>
    <w:multiLevelType w:val="multilevel"/>
    <w:tmpl w:val="A2087B78"/>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A5D6C"/>
    <w:multiLevelType w:val="hybridMultilevel"/>
    <w:tmpl w:val="92B0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572D2"/>
    <w:multiLevelType w:val="hybridMultilevel"/>
    <w:tmpl w:val="81D8DDDA"/>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B2E47"/>
    <w:multiLevelType w:val="hybridMultilevel"/>
    <w:tmpl w:val="896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15BAB"/>
    <w:multiLevelType w:val="hybridMultilevel"/>
    <w:tmpl w:val="37483024"/>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F6056"/>
    <w:multiLevelType w:val="hybridMultilevel"/>
    <w:tmpl w:val="A22C0FA6"/>
    <w:lvl w:ilvl="0" w:tplc="9BC8B00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20B82"/>
    <w:multiLevelType w:val="hybridMultilevel"/>
    <w:tmpl w:val="5E1E0602"/>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36877"/>
    <w:multiLevelType w:val="hybridMultilevel"/>
    <w:tmpl w:val="E4F893A4"/>
    <w:lvl w:ilvl="0" w:tplc="9BC8B00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D3E99"/>
    <w:multiLevelType w:val="hybridMultilevel"/>
    <w:tmpl w:val="4B300502"/>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C609F"/>
    <w:multiLevelType w:val="hybridMultilevel"/>
    <w:tmpl w:val="DDEC53AA"/>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1252E"/>
    <w:multiLevelType w:val="hybridMultilevel"/>
    <w:tmpl w:val="0B4A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46018"/>
    <w:multiLevelType w:val="hybridMultilevel"/>
    <w:tmpl w:val="9814BFA0"/>
    <w:lvl w:ilvl="0" w:tplc="FD5E94BE">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57E02"/>
    <w:multiLevelType w:val="multilevel"/>
    <w:tmpl w:val="ACEED62A"/>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616817"/>
    <w:multiLevelType w:val="hybridMultilevel"/>
    <w:tmpl w:val="FE5EFEBA"/>
    <w:lvl w:ilvl="0" w:tplc="9BC8B00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36EE3"/>
    <w:multiLevelType w:val="hybridMultilevel"/>
    <w:tmpl w:val="D186911E"/>
    <w:lvl w:ilvl="0" w:tplc="FD5E94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15BC7"/>
    <w:multiLevelType w:val="hybridMultilevel"/>
    <w:tmpl w:val="58122E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2F13873"/>
    <w:multiLevelType w:val="hybridMultilevel"/>
    <w:tmpl w:val="9C74BF58"/>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2" w15:restartNumberingAfterBreak="0">
    <w:nsid w:val="5556043C"/>
    <w:multiLevelType w:val="hybridMultilevel"/>
    <w:tmpl w:val="24C4D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920C7C"/>
    <w:multiLevelType w:val="hybridMultilevel"/>
    <w:tmpl w:val="10E45DD8"/>
    <w:lvl w:ilvl="0" w:tplc="869EF68E">
      <w:start w:val="1"/>
      <w:numFmt w:val="bullet"/>
      <w:lvlText w:val=""/>
      <w:lvlJc w:val="left"/>
      <w:pPr>
        <w:ind w:left="1440" w:hanging="360"/>
      </w:pPr>
      <w:rPr>
        <w:rFonts w:ascii="Symbol" w:hAnsi="Symbol" w:hint="default"/>
        <w:strike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714869"/>
    <w:multiLevelType w:val="hybridMultilevel"/>
    <w:tmpl w:val="5A76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7164B"/>
    <w:multiLevelType w:val="hybridMultilevel"/>
    <w:tmpl w:val="FCBA00A2"/>
    <w:lvl w:ilvl="0" w:tplc="0CD0C6BE">
      <w:start w:val="1"/>
      <w:numFmt w:val="bullet"/>
      <w:lvlText w:val=""/>
      <w:lvlJc w:val="left"/>
      <w:pPr>
        <w:ind w:left="1440" w:hanging="360"/>
      </w:pPr>
      <w:rPr>
        <w:rFonts w:ascii="Symbol" w:hAnsi="Symbol" w:hint="default"/>
        <w:b w:val="0"/>
        <w:bCs/>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7B6927"/>
    <w:multiLevelType w:val="hybridMultilevel"/>
    <w:tmpl w:val="7082B978"/>
    <w:lvl w:ilvl="0" w:tplc="9BC8B00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D4A68"/>
    <w:multiLevelType w:val="hybridMultilevel"/>
    <w:tmpl w:val="81AAE35A"/>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B4D94"/>
    <w:multiLevelType w:val="hybridMultilevel"/>
    <w:tmpl w:val="E61C5FB6"/>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21F4E"/>
    <w:multiLevelType w:val="hybridMultilevel"/>
    <w:tmpl w:val="58842AB4"/>
    <w:lvl w:ilvl="0" w:tplc="FD5E94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33747"/>
    <w:multiLevelType w:val="hybridMultilevel"/>
    <w:tmpl w:val="AD94AF86"/>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31" w15:restartNumberingAfterBreak="0">
    <w:nsid w:val="7EFF44CA"/>
    <w:multiLevelType w:val="hybridMultilevel"/>
    <w:tmpl w:val="83283DF2"/>
    <w:lvl w:ilvl="0" w:tplc="0CD0C6BE">
      <w:start w:val="1"/>
      <w:numFmt w:val="bullet"/>
      <w:lvlText w:val=""/>
      <w:lvlJc w:val="left"/>
      <w:pPr>
        <w:ind w:left="720" w:hanging="360"/>
      </w:pPr>
      <w:rPr>
        <w:rFonts w:ascii="Symbol" w:hAnsi="Symbol" w:hint="default"/>
        <w:b w:val="0"/>
        <w:bC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550055">
    <w:abstractNumId w:val="21"/>
  </w:num>
  <w:num w:numId="2" w16cid:durableId="1610619336">
    <w:abstractNumId w:val="15"/>
  </w:num>
  <w:num w:numId="3" w16cid:durableId="242689725">
    <w:abstractNumId w:val="20"/>
  </w:num>
  <w:num w:numId="4" w16cid:durableId="738556745">
    <w:abstractNumId w:val="3"/>
  </w:num>
  <w:num w:numId="5" w16cid:durableId="1837920782">
    <w:abstractNumId w:val="23"/>
  </w:num>
  <w:num w:numId="6" w16cid:durableId="970402009">
    <w:abstractNumId w:val="22"/>
  </w:num>
  <w:num w:numId="7" w16cid:durableId="305207113">
    <w:abstractNumId w:val="30"/>
  </w:num>
  <w:num w:numId="8" w16cid:durableId="1878470919">
    <w:abstractNumId w:val="8"/>
  </w:num>
  <w:num w:numId="9" w16cid:durableId="129517467">
    <w:abstractNumId w:val="19"/>
  </w:num>
  <w:num w:numId="10" w16cid:durableId="1877429087">
    <w:abstractNumId w:val="16"/>
  </w:num>
  <w:num w:numId="11" w16cid:durableId="1777020306">
    <w:abstractNumId w:val="29"/>
  </w:num>
  <w:num w:numId="12" w16cid:durableId="39716744">
    <w:abstractNumId w:val="6"/>
  </w:num>
  <w:num w:numId="13" w16cid:durableId="519705371">
    <w:abstractNumId w:val="10"/>
  </w:num>
  <w:num w:numId="14" w16cid:durableId="1073968612">
    <w:abstractNumId w:val="1"/>
  </w:num>
  <w:num w:numId="15" w16cid:durableId="188377240">
    <w:abstractNumId w:val="26"/>
  </w:num>
  <w:num w:numId="16" w16cid:durableId="585771035">
    <w:abstractNumId w:val="18"/>
  </w:num>
  <w:num w:numId="17" w16cid:durableId="726294448">
    <w:abstractNumId w:val="12"/>
  </w:num>
  <w:num w:numId="18" w16cid:durableId="144245431">
    <w:abstractNumId w:val="27"/>
  </w:num>
  <w:num w:numId="19" w16cid:durableId="2125539627">
    <w:abstractNumId w:val="9"/>
  </w:num>
  <w:num w:numId="20" w16cid:durableId="133916525">
    <w:abstractNumId w:val="31"/>
  </w:num>
  <w:num w:numId="21" w16cid:durableId="321737352">
    <w:abstractNumId w:val="28"/>
  </w:num>
  <w:num w:numId="22" w16cid:durableId="1898198271">
    <w:abstractNumId w:val="25"/>
  </w:num>
  <w:num w:numId="23" w16cid:durableId="1912084035">
    <w:abstractNumId w:val="14"/>
  </w:num>
  <w:num w:numId="24" w16cid:durableId="1538736008">
    <w:abstractNumId w:val="2"/>
  </w:num>
  <w:num w:numId="25" w16cid:durableId="216673142">
    <w:abstractNumId w:val="7"/>
  </w:num>
  <w:num w:numId="26" w16cid:durableId="1400440359">
    <w:abstractNumId w:val="11"/>
  </w:num>
  <w:num w:numId="27" w16cid:durableId="1174681806">
    <w:abstractNumId w:val="0"/>
  </w:num>
  <w:num w:numId="28" w16cid:durableId="1157652040">
    <w:abstractNumId w:val="13"/>
  </w:num>
  <w:num w:numId="29" w16cid:durableId="1210265646">
    <w:abstractNumId w:val="4"/>
  </w:num>
  <w:num w:numId="30" w16cid:durableId="873690045">
    <w:abstractNumId w:val="24"/>
  </w:num>
  <w:num w:numId="31" w16cid:durableId="168758604">
    <w:abstractNumId w:val="5"/>
  </w:num>
  <w:num w:numId="32" w16cid:durableId="16000179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21182"/>
    <w:rsid w:val="00021AFA"/>
    <w:rsid w:val="00023DA5"/>
    <w:rsid w:val="000252DA"/>
    <w:rsid w:val="00025FDD"/>
    <w:rsid w:val="00030B25"/>
    <w:rsid w:val="0003127C"/>
    <w:rsid w:val="00040A4C"/>
    <w:rsid w:val="00043F82"/>
    <w:rsid w:val="00045F36"/>
    <w:rsid w:val="000575AD"/>
    <w:rsid w:val="000664F9"/>
    <w:rsid w:val="000675C7"/>
    <w:rsid w:val="00070F6C"/>
    <w:rsid w:val="0008346A"/>
    <w:rsid w:val="00083588"/>
    <w:rsid w:val="00087493"/>
    <w:rsid w:val="00093DE1"/>
    <w:rsid w:val="00095A71"/>
    <w:rsid w:val="000976E1"/>
    <w:rsid w:val="00097970"/>
    <w:rsid w:val="000A07C6"/>
    <w:rsid w:val="000A0C2E"/>
    <w:rsid w:val="000A7B40"/>
    <w:rsid w:val="000B09E6"/>
    <w:rsid w:val="000B564B"/>
    <w:rsid w:val="000C09F3"/>
    <w:rsid w:val="000C2F0A"/>
    <w:rsid w:val="000E2042"/>
    <w:rsid w:val="000E4E8F"/>
    <w:rsid w:val="000E6A6C"/>
    <w:rsid w:val="000F35B9"/>
    <w:rsid w:val="000F5569"/>
    <w:rsid w:val="00101EA9"/>
    <w:rsid w:val="00104171"/>
    <w:rsid w:val="00106D29"/>
    <w:rsid w:val="00115269"/>
    <w:rsid w:val="00116B25"/>
    <w:rsid w:val="00117C17"/>
    <w:rsid w:val="00130179"/>
    <w:rsid w:val="00132ACC"/>
    <w:rsid w:val="001356FE"/>
    <w:rsid w:val="00140E14"/>
    <w:rsid w:val="00142DD3"/>
    <w:rsid w:val="00153AFF"/>
    <w:rsid w:val="001543D0"/>
    <w:rsid w:val="0016145C"/>
    <w:rsid w:val="00164192"/>
    <w:rsid w:val="00165073"/>
    <w:rsid w:val="00167DF7"/>
    <w:rsid w:val="00170A30"/>
    <w:rsid w:val="001864E1"/>
    <w:rsid w:val="00193D3C"/>
    <w:rsid w:val="00196FDC"/>
    <w:rsid w:val="001B042E"/>
    <w:rsid w:val="001B23D3"/>
    <w:rsid w:val="001B62E4"/>
    <w:rsid w:val="001D12BE"/>
    <w:rsid w:val="001D5114"/>
    <w:rsid w:val="001E1DC6"/>
    <w:rsid w:val="001E368D"/>
    <w:rsid w:val="001E6E34"/>
    <w:rsid w:val="0020183A"/>
    <w:rsid w:val="0020453A"/>
    <w:rsid w:val="00205CF7"/>
    <w:rsid w:val="00206436"/>
    <w:rsid w:val="00232B43"/>
    <w:rsid w:val="00232F16"/>
    <w:rsid w:val="0024781F"/>
    <w:rsid w:val="00252D68"/>
    <w:rsid w:val="002540F9"/>
    <w:rsid w:val="0026425B"/>
    <w:rsid w:val="00271406"/>
    <w:rsid w:val="00271A5B"/>
    <w:rsid w:val="00274CAA"/>
    <w:rsid w:val="00281184"/>
    <w:rsid w:val="00285A0E"/>
    <w:rsid w:val="002863C4"/>
    <w:rsid w:val="0029188D"/>
    <w:rsid w:val="00297E15"/>
    <w:rsid w:val="002B49AE"/>
    <w:rsid w:val="002C1493"/>
    <w:rsid w:val="002C14DC"/>
    <w:rsid w:val="002C4187"/>
    <w:rsid w:val="002D55CA"/>
    <w:rsid w:val="002E4D5B"/>
    <w:rsid w:val="0030544F"/>
    <w:rsid w:val="00320853"/>
    <w:rsid w:val="00321C0F"/>
    <w:rsid w:val="00321D58"/>
    <w:rsid w:val="003241FD"/>
    <w:rsid w:val="00325C34"/>
    <w:rsid w:val="00332C8E"/>
    <w:rsid w:val="00347272"/>
    <w:rsid w:val="0034757E"/>
    <w:rsid w:val="00351226"/>
    <w:rsid w:val="00355C36"/>
    <w:rsid w:val="00356E02"/>
    <w:rsid w:val="00366E32"/>
    <w:rsid w:val="00371378"/>
    <w:rsid w:val="00375BA2"/>
    <w:rsid w:val="00375F16"/>
    <w:rsid w:val="00376FE7"/>
    <w:rsid w:val="00376FEF"/>
    <w:rsid w:val="00391A7A"/>
    <w:rsid w:val="003957BA"/>
    <w:rsid w:val="003A1825"/>
    <w:rsid w:val="003A4E2A"/>
    <w:rsid w:val="003A56D1"/>
    <w:rsid w:val="003A6976"/>
    <w:rsid w:val="003B6DEA"/>
    <w:rsid w:val="003B7A94"/>
    <w:rsid w:val="003B7C40"/>
    <w:rsid w:val="003C26CD"/>
    <w:rsid w:val="003D3A6A"/>
    <w:rsid w:val="003E3351"/>
    <w:rsid w:val="003E36B4"/>
    <w:rsid w:val="003E36E8"/>
    <w:rsid w:val="003E6D0D"/>
    <w:rsid w:val="0040105A"/>
    <w:rsid w:val="0041281C"/>
    <w:rsid w:val="00426EA0"/>
    <w:rsid w:val="00432D04"/>
    <w:rsid w:val="00434F25"/>
    <w:rsid w:val="004365DA"/>
    <w:rsid w:val="00446719"/>
    <w:rsid w:val="00452902"/>
    <w:rsid w:val="004530A2"/>
    <w:rsid w:val="0045400B"/>
    <w:rsid w:val="0046715B"/>
    <w:rsid w:val="00471C4F"/>
    <w:rsid w:val="00475DA7"/>
    <w:rsid w:val="0048226B"/>
    <w:rsid w:val="00497695"/>
    <w:rsid w:val="004A0E75"/>
    <w:rsid w:val="004A1D99"/>
    <w:rsid w:val="004B32E8"/>
    <w:rsid w:val="004C7B46"/>
    <w:rsid w:val="004D1B99"/>
    <w:rsid w:val="004D5D1B"/>
    <w:rsid w:val="004D6DAA"/>
    <w:rsid w:val="004D6FAA"/>
    <w:rsid w:val="004E13EC"/>
    <w:rsid w:val="004E4CB1"/>
    <w:rsid w:val="004F3E03"/>
    <w:rsid w:val="0050306D"/>
    <w:rsid w:val="005075E1"/>
    <w:rsid w:val="00507A3E"/>
    <w:rsid w:val="005123D7"/>
    <w:rsid w:val="00512776"/>
    <w:rsid w:val="00513066"/>
    <w:rsid w:val="00517C93"/>
    <w:rsid w:val="00520404"/>
    <w:rsid w:val="00531412"/>
    <w:rsid w:val="00531BE3"/>
    <w:rsid w:val="0053476E"/>
    <w:rsid w:val="005439BA"/>
    <w:rsid w:val="005612C8"/>
    <w:rsid w:val="005726BE"/>
    <w:rsid w:val="00583E32"/>
    <w:rsid w:val="00585F04"/>
    <w:rsid w:val="005904E5"/>
    <w:rsid w:val="00595BBD"/>
    <w:rsid w:val="00596CE3"/>
    <w:rsid w:val="005A5931"/>
    <w:rsid w:val="005B2FA0"/>
    <w:rsid w:val="005B3809"/>
    <w:rsid w:val="005C0C3E"/>
    <w:rsid w:val="005C54C5"/>
    <w:rsid w:val="005D3968"/>
    <w:rsid w:val="005E45DE"/>
    <w:rsid w:val="005E54D5"/>
    <w:rsid w:val="005E5649"/>
    <w:rsid w:val="005F13C5"/>
    <w:rsid w:val="005F6839"/>
    <w:rsid w:val="005F6912"/>
    <w:rsid w:val="00602E9F"/>
    <w:rsid w:val="0061332A"/>
    <w:rsid w:val="006237D4"/>
    <w:rsid w:val="006274C2"/>
    <w:rsid w:val="006278D4"/>
    <w:rsid w:val="0063124B"/>
    <w:rsid w:val="0063354B"/>
    <w:rsid w:val="0063659A"/>
    <w:rsid w:val="00650044"/>
    <w:rsid w:val="00651481"/>
    <w:rsid w:val="006625CE"/>
    <w:rsid w:val="00662F7C"/>
    <w:rsid w:val="00664492"/>
    <w:rsid w:val="00682771"/>
    <w:rsid w:val="00684186"/>
    <w:rsid w:val="00687008"/>
    <w:rsid w:val="00697956"/>
    <w:rsid w:val="00697D6D"/>
    <w:rsid w:val="00697E78"/>
    <w:rsid w:val="006B4EF8"/>
    <w:rsid w:val="006C3A57"/>
    <w:rsid w:val="006D04FB"/>
    <w:rsid w:val="006D3D5B"/>
    <w:rsid w:val="006E5C38"/>
    <w:rsid w:val="006F0DA8"/>
    <w:rsid w:val="006F370D"/>
    <w:rsid w:val="006F4F5F"/>
    <w:rsid w:val="006F71CD"/>
    <w:rsid w:val="006F78F8"/>
    <w:rsid w:val="00700ACE"/>
    <w:rsid w:val="0071244F"/>
    <w:rsid w:val="00715ECE"/>
    <w:rsid w:val="00722DED"/>
    <w:rsid w:val="00733ABD"/>
    <w:rsid w:val="007353BA"/>
    <w:rsid w:val="00741E3A"/>
    <w:rsid w:val="00745640"/>
    <w:rsid w:val="0075764D"/>
    <w:rsid w:val="00760C7B"/>
    <w:rsid w:val="0076170A"/>
    <w:rsid w:val="0076350C"/>
    <w:rsid w:val="00767F4C"/>
    <w:rsid w:val="0078451E"/>
    <w:rsid w:val="00787544"/>
    <w:rsid w:val="007918F5"/>
    <w:rsid w:val="00793E97"/>
    <w:rsid w:val="007A48DC"/>
    <w:rsid w:val="007B0703"/>
    <w:rsid w:val="007B5420"/>
    <w:rsid w:val="007B66CA"/>
    <w:rsid w:val="007C330E"/>
    <w:rsid w:val="007C6C7B"/>
    <w:rsid w:val="007C70FF"/>
    <w:rsid w:val="007D0B0A"/>
    <w:rsid w:val="007E07DA"/>
    <w:rsid w:val="008038A7"/>
    <w:rsid w:val="008102D1"/>
    <w:rsid w:val="00813462"/>
    <w:rsid w:val="00817E3C"/>
    <w:rsid w:val="00820472"/>
    <w:rsid w:val="008415AD"/>
    <w:rsid w:val="008417A5"/>
    <w:rsid w:val="00844B0C"/>
    <w:rsid w:val="008475CA"/>
    <w:rsid w:val="00852DB9"/>
    <w:rsid w:val="00855A78"/>
    <w:rsid w:val="008629C7"/>
    <w:rsid w:val="008655AA"/>
    <w:rsid w:val="00873630"/>
    <w:rsid w:val="00876BF2"/>
    <w:rsid w:val="00876E51"/>
    <w:rsid w:val="008954C4"/>
    <w:rsid w:val="008A45FB"/>
    <w:rsid w:val="008B28E5"/>
    <w:rsid w:val="008C1D1B"/>
    <w:rsid w:val="008C4F41"/>
    <w:rsid w:val="008C5C26"/>
    <w:rsid w:val="008D1CD2"/>
    <w:rsid w:val="008E0232"/>
    <w:rsid w:val="008E5917"/>
    <w:rsid w:val="008F0E6C"/>
    <w:rsid w:val="008F40C9"/>
    <w:rsid w:val="00913E6D"/>
    <w:rsid w:val="00914B4F"/>
    <w:rsid w:val="00940C84"/>
    <w:rsid w:val="0095352C"/>
    <w:rsid w:val="00957642"/>
    <w:rsid w:val="0096227F"/>
    <w:rsid w:val="00963904"/>
    <w:rsid w:val="00964F8B"/>
    <w:rsid w:val="009653D2"/>
    <w:rsid w:val="00966D17"/>
    <w:rsid w:val="0097187F"/>
    <w:rsid w:val="00972A1C"/>
    <w:rsid w:val="0097680D"/>
    <w:rsid w:val="00976DE5"/>
    <w:rsid w:val="00980B4E"/>
    <w:rsid w:val="00984726"/>
    <w:rsid w:val="00987703"/>
    <w:rsid w:val="00987CB1"/>
    <w:rsid w:val="009A6EEF"/>
    <w:rsid w:val="009A6EFF"/>
    <w:rsid w:val="009B6DFB"/>
    <w:rsid w:val="009C43B3"/>
    <w:rsid w:val="009C703D"/>
    <w:rsid w:val="009D41BF"/>
    <w:rsid w:val="009E7225"/>
    <w:rsid w:val="009F1925"/>
    <w:rsid w:val="009F4623"/>
    <w:rsid w:val="009F5D0A"/>
    <w:rsid w:val="009F68DA"/>
    <w:rsid w:val="00A05D0A"/>
    <w:rsid w:val="00A05DCF"/>
    <w:rsid w:val="00A07E74"/>
    <w:rsid w:val="00A17AE9"/>
    <w:rsid w:val="00A21016"/>
    <w:rsid w:val="00A23568"/>
    <w:rsid w:val="00A2408B"/>
    <w:rsid w:val="00A266BD"/>
    <w:rsid w:val="00A26C1E"/>
    <w:rsid w:val="00A2710C"/>
    <w:rsid w:val="00A27702"/>
    <w:rsid w:val="00A31C52"/>
    <w:rsid w:val="00A32D61"/>
    <w:rsid w:val="00A34474"/>
    <w:rsid w:val="00A354D8"/>
    <w:rsid w:val="00A44C23"/>
    <w:rsid w:val="00A455A6"/>
    <w:rsid w:val="00A545BC"/>
    <w:rsid w:val="00A71DE3"/>
    <w:rsid w:val="00A80964"/>
    <w:rsid w:val="00A830A8"/>
    <w:rsid w:val="00A83F01"/>
    <w:rsid w:val="00A909E8"/>
    <w:rsid w:val="00A90FC6"/>
    <w:rsid w:val="00A92BA0"/>
    <w:rsid w:val="00AA1FBF"/>
    <w:rsid w:val="00AA5095"/>
    <w:rsid w:val="00AA5121"/>
    <w:rsid w:val="00AA649A"/>
    <w:rsid w:val="00AA798B"/>
    <w:rsid w:val="00AB00AF"/>
    <w:rsid w:val="00AC1354"/>
    <w:rsid w:val="00AC5908"/>
    <w:rsid w:val="00AD135D"/>
    <w:rsid w:val="00AD3EBC"/>
    <w:rsid w:val="00AD4C09"/>
    <w:rsid w:val="00AD743D"/>
    <w:rsid w:val="00AE2FD8"/>
    <w:rsid w:val="00AE3F5F"/>
    <w:rsid w:val="00B14523"/>
    <w:rsid w:val="00B249CC"/>
    <w:rsid w:val="00B24FA1"/>
    <w:rsid w:val="00B27066"/>
    <w:rsid w:val="00B409E7"/>
    <w:rsid w:val="00B41672"/>
    <w:rsid w:val="00B54E37"/>
    <w:rsid w:val="00B57F3C"/>
    <w:rsid w:val="00B609C0"/>
    <w:rsid w:val="00B64422"/>
    <w:rsid w:val="00B71673"/>
    <w:rsid w:val="00B7791B"/>
    <w:rsid w:val="00B85831"/>
    <w:rsid w:val="00B9260D"/>
    <w:rsid w:val="00BA1B5F"/>
    <w:rsid w:val="00BB18BD"/>
    <w:rsid w:val="00BB1C32"/>
    <w:rsid w:val="00BB6F53"/>
    <w:rsid w:val="00BC0EBB"/>
    <w:rsid w:val="00BD4241"/>
    <w:rsid w:val="00BD5527"/>
    <w:rsid w:val="00BE02D9"/>
    <w:rsid w:val="00BE1256"/>
    <w:rsid w:val="00BE6094"/>
    <w:rsid w:val="00BE61B7"/>
    <w:rsid w:val="00C03B4B"/>
    <w:rsid w:val="00C0564F"/>
    <w:rsid w:val="00C106D9"/>
    <w:rsid w:val="00C214FC"/>
    <w:rsid w:val="00C26D3E"/>
    <w:rsid w:val="00C32055"/>
    <w:rsid w:val="00C364E8"/>
    <w:rsid w:val="00C4325B"/>
    <w:rsid w:val="00C45941"/>
    <w:rsid w:val="00C5578E"/>
    <w:rsid w:val="00C56832"/>
    <w:rsid w:val="00C6621D"/>
    <w:rsid w:val="00C70D3F"/>
    <w:rsid w:val="00C7183B"/>
    <w:rsid w:val="00C743A4"/>
    <w:rsid w:val="00C744EA"/>
    <w:rsid w:val="00C80BB9"/>
    <w:rsid w:val="00C81DB0"/>
    <w:rsid w:val="00C9251D"/>
    <w:rsid w:val="00C94CE9"/>
    <w:rsid w:val="00C96715"/>
    <w:rsid w:val="00CA3CD6"/>
    <w:rsid w:val="00CA4C56"/>
    <w:rsid w:val="00CB71E0"/>
    <w:rsid w:val="00CD25AC"/>
    <w:rsid w:val="00CE00D2"/>
    <w:rsid w:val="00CE08F7"/>
    <w:rsid w:val="00CE12D4"/>
    <w:rsid w:val="00CE5D43"/>
    <w:rsid w:val="00CF0750"/>
    <w:rsid w:val="00D000B7"/>
    <w:rsid w:val="00D05BCE"/>
    <w:rsid w:val="00D065CB"/>
    <w:rsid w:val="00D079C9"/>
    <w:rsid w:val="00D10E40"/>
    <w:rsid w:val="00D131AB"/>
    <w:rsid w:val="00D200A3"/>
    <w:rsid w:val="00D35883"/>
    <w:rsid w:val="00D35A9F"/>
    <w:rsid w:val="00D42AE9"/>
    <w:rsid w:val="00D42EF3"/>
    <w:rsid w:val="00D465B1"/>
    <w:rsid w:val="00D50205"/>
    <w:rsid w:val="00D53445"/>
    <w:rsid w:val="00D54C0F"/>
    <w:rsid w:val="00D66CFA"/>
    <w:rsid w:val="00D9485D"/>
    <w:rsid w:val="00DA7AA5"/>
    <w:rsid w:val="00DB1023"/>
    <w:rsid w:val="00DC5480"/>
    <w:rsid w:val="00DD1927"/>
    <w:rsid w:val="00DD78BD"/>
    <w:rsid w:val="00DD7C55"/>
    <w:rsid w:val="00DE343F"/>
    <w:rsid w:val="00DE5FE5"/>
    <w:rsid w:val="00DE5FF5"/>
    <w:rsid w:val="00DE68CC"/>
    <w:rsid w:val="00DF2D5C"/>
    <w:rsid w:val="00DF7F96"/>
    <w:rsid w:val="00E03A00"/>
    <w:rsid w:val="00E105F9"/>
    <w:rsid w:val="00E12D67"/>
    <w:rsid w:val="00E13B60"/>
    <w:rsid w:val="00E15ACB"/>
    <w:rsid w:val="00E1604E"/>
    <w:rsid w:val="00E21F39"/>
    <w:rsid w:val="00E248D5"/>
    <w:rsid w:val="00E26EF7"/>
    <w:rsid w:val="00E35C59"/>
    <w:rsid w:val="00E36CFB"/>
    <w:rsid w:val="00E374C7"/>
    <w:rsid w:val="00E41D4A"/>
    <w:rsid w:val="00E46419"/>
    <w:rsid w:val="00E47720"/>
    <w:rsid w:val="00E47AC2"/>
    <w:rsid w:val="00E53E21"/>
    <w:rsid w:val="00E56DF9"/>
    <w:rsid w:val="00E57833"/>
    <w:rsid w:val="00E61595"/>
    <w:rsid w:val="00E623A2"/>
    <w:rsid w:val="00E636E8"/>
    <w:rsid w:val="00E72B9D"/>
    <w:rsid w:val="00E74DC1"/>
    <w:rsid w:val="00E76EC3"/>
    <w:rsid w:val="00E8051C"/>
    <w:rsid w:val="00E919EC"/>
    <w:rsid w:val="00E95AB9"/>
    <w:rsid w:val="00EA4BBA"/>
    <w:rsid w:val="00EA707E"/>
    <w:rsid w:val="00EB12FF"/>
    <w:rsid w:val="00EB4B4E"/>
    <w:rsid w:val="00EC1478"/>
    <w:rsid w:val="00EC3FA5"/>
    <w:rsid w:val="00ED4880"/>
    <w:rsid w:val="00ED50D4"/>
    <w:rsid w:val="00EE2AFF"/>
    <w:rsid w:val="00EE752A"/>
    <w:rsid w:val="00EE7F99"/>
    <w:rsid w:val="00EF7983"/>
    <w:rsid w:val="00F0068F"/>
    <w:rsid w:val="00F35972"/>
    <w:rsid w:val="00F36730"/>
    <w:rsid w:val="00F40165"/>
    <w:rsid w:val="00F44426"/>
    <w:rsid w:val="00F525BB"/>
    <w:rsid w:val="00F56F9C"/>
    <w:rsid w:val="00F575E3"/>
    <w:rsid w:val="00F634F6"/>
    <w:rsid w:val="00F6563C"/>
    <w:rsid w:val="00F7430A"/>
    <w:rsid w:val="00F74C2C"/>
    <w:rsid w:val="00F759CC"/>
    <w:rsid w:val="00F7650B"/>
    <w:rsid w:val="00F80BF5"/>
    <w:rsid w:val="00F90826"/>
    <w:rsid w:val="00F94EE0"/>
    <w:rsid w:val="00FA48C7"/>
    <w:rsid w:val="00FB020F"/>
    <w:rsid w:val="00FB260A"/>
    <w:rsid w:val="00FC565B"/>
    <w:rsid w:val="00FC68C5"/>
    <w:rsid w:val="00FC696B"/>
    <w:rsid w:val="00FC74CC"/>
    <w:rsid w:val="00FD4978"/>
    <w:rsid w:val="00FD5A04"/>
    <w:rsid w:val="00FF1403"/>
    <w:rsid w:val="00FF4822"/>
    <w:rsid w:val="00FF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FB"/>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7C6C7B"/>
    <w:pPr>
      <w:keepNext/>
      <w:keepLines/>
      <w:spacing w:before="120" w:after="0"/>
      <w:outlineLvl w:val="2"/>
    </w:pPr>
    <w:rPr>
      <w:rFonts w:eastAsiaTheme="majorEastAsia" w:cs="Arial"/>
      <w:b/>
      <w:bCs/>
      <w:spacing w:val="4"/>
      <w:szCs w:val="24"/>
      <w:u w:val="single"/>
    </w:rPr>
  </w:style>
  <w:style w:type="paragraph" w:styleId="Heading4">
    <w:name w:val="heading 4"/>
    <w:basedOn w:val="Normal"/>
    <w:next w:val="Normal"/>
    <w:link w:val="Heading4Char"/>
    <w:uiPriority w:val="9"/>
    <w:unhideWhenUsed/>
    <w:rsid w:val="001D5114"/>
    <w:pPr>
      <w:keepNext/>
      <w:keepLines/>
      <w:spacing w:before="120" w:after="0"/>
      <w:outlineLvl w:val="3"/>
    </w:pPr>
    <w:rPr>
      <w:rFonts w:eastAsiaTheme="majorEastAsia" w:cstheme="majorBidi"/>
      <w:b/>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7C6C7B"/>
    <w:rPr>
      <w:rFonts w:ascii="Arial" w:eastAsiaTheme="majorEastAsia" w:hAnsi="Arial" w:cs="Arial"/>
      <w:b/>
      <w:bCs/>
      <w:spacing w:val="4"/>
      <w:kern w:val="0"/>
      <w:sz w:val="24"/>
      <w:szCs w:val="24"/>
      <w:u w:val="single"/>
      <w14:ligatures w14:val="none"/>
    </w:rPr>
  </w:style>
  <w:style w:type="character" w:customStyle="1" w:styleId="Heading4Char">
    <w:name w:val="Heading 4 Char"/>
    <w:basedOn w:val="DefaultParagraphFont"/>
    <w:link w:val="Heading4"/>
    <w:uiPriority w:val="9"/>
    <w:rsid w:val="001D5114"/>
    <w:rPr>
      <w:rFonts w:ascii="Arial" w:eastAsiaTheme="majorEastAsia" w:hAnsi="Arial" w:cstheme="majorBidi"/>
      <w:b/>
      <w:i/>
      <w:iCs/>
      <w:kern w:val="0"/>
      <w:sz w:val="24"/>
      <w:szCs w:val="24"/>
      <w14:ligatures w14:val="none"/>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FB260A"/>
    <w:rPr>
      <w:color w:val="467886" w:themeColor="hyperlink"/>
      <w:u w:val="single"/>
    </w:rPr>
  </w:style>
  <w:style w:type="table" w:styleId="TableGrid">
    <w:name w:val="Table Grid"/>
    <w:basedOn w:val="TableNormal"/>
    <w:uiPriority w:val="39"/>
    <w:rsid w:val="00FB26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1 Char"/>
    <w:link w:val="ListParagraph"/>
    <w:uiPriority w:val="34"/>
    <w:locked/>
    <w:rsid w:val="00F0068F"/>
    <w:rPr>
      <w:rFonts w:ascii="Arial" w:hAnsi="Arial"/>
      <w:kern w:val="0"/>
      <w:sz w:val="24"/>
      <w14:ligatures w14:val="none"/>
    </w:rPr>
  </w:style>
  <w:style w:type="paragraph" w:styleId="Header">
    <w:name w:val="header"/>
    <w:basedOn w:val="Normal"/>
    <w:link w:val="HeaderChar"/>
    <w:uiPriority w:val="99"/>
    <w:unhideWhenUsed/>
    <w:rsid w:val="00395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BA"/>
    <w:rPr>
      <w:rFonts w:ascii="Arial" w:hAnsi="Arial"/>
      <w:kern w:val="0"/>
      <w:sz w:val="24"/>
      <w14:ligatures w14:val="none"/>
    </w:rPr>
  </w:style>
  <w:style w:type="paragraph" w:styleId="Footer">
    <w:name w:val="footer"/>
    <w:basedOn w:val="Normal"/>
    <w:link w:val="FooterChar"/>
    <w:uiPriority w:val="99"/>
    <w:unhideWhenUsed/>
    <w:rsid w:val="00395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BA"/>
    <w:rPr>
      <w:rFonts w:ascii="Arial" w:hAnsi="Arial"/>
      <w:kern w:val="0"/>
      <w:sz w:val="24"/>
      <w14:ligatures w14:val="none"/>
    </w:rPr>
  </w:style>
  <w:style w:type="paragraph" w:customStyle="1" w:styleId="Qus">
    <w:name w:val="Qus"/>
    <w:basedOn w:val="Normal"/>
    <w:next w:val="Heading4"/>
    <w:link w:val="QusChar"/>
    <w:autoRedefine/>
    <w:qFormat/>
    <w:rsid w:val="00C56832"/>
    <w:rPr>
      <w:rFonts w:cs="Arial"/>
      <w:b/>
      <w:bCs/>
      <w:i/>
      <w:iCs/>
      <w:szCs w:val="24"/>
    </w:rPr>
  </w:style>
  <w:style w:type="character" w:customStyle="1" w:styleId="QusChar">
    <w:name w:val="Qus Char"/>
    <w:basedOn w:val="DefaultParagraphFont"/>
    <w:link w:val="Qus"/>
    <w:rsid w:val="00C56832"/>
    <w:rPr>
      <w:rFonts w:ascii="Arial" w:hAnsi="Arial" w:cs="Arial"/>
      <w:b/>
      <w:bCs/>
      <w:i/>
      <w:iCs/>
      <w:kern w:val="0"/>
      <w:sz w:val="24"/>
      <w:szCs w:val="24"/>
      <w14:ligatures w14:val="none"/>
    </w:rPr>
  </w:style>
  <w:style w:type="character" w:styleId="CommentReference">
    <w:name w:val="annotation reference"/>
    <w:basedOn w:val="DefaultParagraphFont"/>
    <w:uiPriority w:val="99"/>
    <w:semiHidden/>
    <w:unhideWhenUsed/>
    <w:rsid w:val="0045400B"/>
    <w:rPr>
      <w:sz w:val="16"/>
      <w:szCs w:val="16"/>
    </w:rPr>
  </w:style>
  <w:style w:type="paragraph" w:styleId="CommentText">
    <w:name w:val="annotation text"/>
    <w:basedOn w:val="Normal"/>
    <w:link w:val="CommentTextChar"/>
    <w:uiPriority w:val="99"/>
    <w:unhideWhenUsed/>
    <w:rsid w:val="0045400B"/>
    <w:pPr>
      <w:spacing w:line="240" w:lineRule="auto"/>
    </w:pPr>
    <w:rPr>
      <w:sz w:val="20"/>
      <w:szCs w:val="20"/>
    </w:rPr>
  </w:style>
  <w:style w:type="character" w:customStyle="1" w:styleId="CommentTextChar">
    <w:name w:val="Comment Text Char"/>
    <w:basedOn w:val="DefaultParagraphFont"/>
    <w:link w:val="CommentText"/>
    <w:uiPriority w:val="99"/>
    <w:rsid w:val="0045400B"/>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400B"/>
    <w:rPr>
      <w:b/>
      <w:bCs/>
    </w:rPr>
  </w:style>
  <w:style w:type="character" w:customStyle="1" w:styleId="CommentSubjectChar">
    <w:name w:val="Comment Subject Char"/>
    <w:basedOn w:val="CommentTextChar"/>
    <w:link w:val="CommentSubject"/>
    <w:uiPriority w:val="99"/>
    <w:semiHidden/>
    <w:rsid w:val="0045400B"/>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687008"/>
    <w:rPr>
      <w:color w:val="96607D" w:themeColor="followedHyperlink"/>
      <w:u w:val="single"/>
    </w:rPr>
  </w:style>
  <w:style w:type="character" w:styleId="UnresolvedMention">
    <w:name w:val="Unresolved Mention"/>
    <w:basedOn w:val="DefaultParagraphFont"/>
    <w:uiPriority w:val="99"/>
    <w:semiHidden/>
    <w:unhideWhenUsed/>
    <w:rsid w:val="0068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128">
      <w:bodyDiv w:val="1"/>
      <w:marLeft w:val="0"/>
      <w:marRight w:val="0"/>
      <w:marTop w:val="0"/>
      <w:marBottom w:val="0"/>
      <w:divBdr>
        <w:top w:val="none" w:sz="0" w:space="0" w:color="auto"/>
        <w:left w:val="none" w:sz="0" w:space="0" w:color="auto"/>
        <w:bottom w:val="none" w:sz="0" w:space="0" w:color="auto"/>
        <w:right w:val="none" w:sz="0" w:space="0" w:color="auto"/>
      </w:divBdr>
    </w:div>
    <w:div w:id="157885071">
      <w:bodyDiv w:val="1"/>
      <w:marLeft w:val="0"/>
      <w:marRight w:val="0"/>
      <w:marTop w:val="0"/>
      <w:marBottom w:val="0"/>
      <w:divBdr>
        <w:top w:val="none" w:sz="0" w:space="0" w:color="auto"/>
        <w:left w:val="none" w:sz="0" w:space="0" w:color="auto"/>
        <w:bottom w:val="none" w:sz="0" w:space="0" w:color="auto"/>
        <w:right w:val="none" w:sz="0" w:space="0" w:color="auto"/>
      </w:divBdr>
    </w:div>
    <w:div w:id="253249794">
      <w:bodyDiv w:val="1"/>
      <w:marLeft w:val="0"/>
      <w:marRight w:val="0"/>
      <w:marTop w:val="0"/>
      <w:marBottom w:val="0"/>
      <w:divBdr>
        <w:top w:val="none" w:sz="0" w:space="0" w:color="auto"/>
        <w:left w:val="none" w:sz="0" w:space="0" w:color="auto"/>
        <w:bottom w:val="none" w:sz="0" w:space="0" w:color="auto"/>
        <w:right w:val="none" w:sz="0" w:space="0" w:color="auto"/>
      </w:divBdr>
    </w:div>
    <w:div w:id="387997549">
      <w:bodyDiv w:val="1"/>
      <w:marLeft w:val="0"/>
      <w:marRight w:val="0"/>
      <w:marTop w:val="0"/>
      <w:marBottom w:val="0"/>
      <w:divBdr>
        <w:top w:val="none" w:sz="0" w:space="0" w:color="auto"/>
        <w:left w:val="none" w:sz="0" w:space="0" w:color="auto"/>
        <w:bottom w:val="none" w:sz="0" w:space="0" w:color="auto"/>
        <w:right w:val="none" w:sz="0" w:space="0" w:color="auto"/>
      </w:divBdr>
    </w:div>
    <w:div w:id="398283003">
      <w:bodyDiv w:val="1"/>
      <w:marLeft w:val="0"/>
      <w:marRight w:val="0"/>
      <w:marTop w:val="0"/>
      <w:marBottom w:val="0"/>
      <w:divBdr>
        <w:top w:val="none" w:sz="0" w:space="0" w:color="auto"/>
        <w:left w:val="none" w:sz="0" w:space="0" w:color="auto"/>
        <w:bottom w:val="none" w:sz="0" w:space="0" w:color="auto"/>
        <w:right w:val="none" w:sz="0" w:space="0" w:color="auto"/>
      </w:divBdr>
    </w:div>
    <w:div w:id="423917401">
      <w:bodyDiv w:val="1"/>
      <w:marLeft w:val="0"/>
      <w:marRight w:val="0"/>
      <w:marTop w:val="0"/>
      <w:marBottom w:val="0"/>
      <w:divBdr>
        <w:top w:val="none" w:sz="0" w:space="0" w:color="auto"/>
        <w:left w:val="none" w:sz="0" w:space="0" w:color="auto"/>
        <w:bottom w:val="none" w:sz="0" w:space="0" w:color="auto"/>
        <w:right w:val="none" w:sz="0" w:space="0" w:color="auto"/>
      </w:divBdr>
    </w:div>
    <w:div w:id="909844839">
      <w:marLeft w:val="0"/>
      <w:marRight w:val="0"/>
      <w:marTop w:val="0"/>
      <w:marBottom w:val="0"/>
      <w:divBdr>
        <w:top w:val="none" w:sz="0" w:space="0" w:color="auto"/>
        <w:left w:val="none" w:sz="0" w:space="0" w:color="auto"/>
        <w:bottom w:val="none" w:sz="0" w:space="0" w:color="auto"/>
        <w:right w:val="none" w:sz="0" w:space="0" w:color="auto"/>
      </w:divBdr>
    </w:div>
    <w:div w:id="1041128208">
      <w:bodyDiv w:val="1"/>
      <w:marLeft w:val="0"/>
      <w:marRight w:val="0"/>
      <w:marTop w:val="0"/>
      <w:marBottom w:val="0"/>
      <w:divBdr>
        <w:top w:val="none" w:sz="0" w:space="0" w:color="auto"/>
        <w:left w:val="none" w:sz="0" w:space="0" w:color="auto"/>
        <w:bottom w:val="none" w:sz="0" w:space="0" w:color="auto"/>
        <w:right w:val="none" w:sz="0" w:space="0" w:color="auto"/>
      </w:divBdr>
    </w:div>
    <w:div w:id="1094982771">
      <w:marLeft w:val="0"/>
      <w:marRight w:val="0"/>
      <w:marTop w:val="0"/>
      <w:marBottom w:val="0"/>
      <w:divBdr>
        <w:top w:val="none" w:sz="0" w:space="0" w:color="auto"/>
        <w:left w:val="none" w:sz="0" w:space="0" w:color="auto"/>
        <w:bottom w:val="none" w:sz="0" w:space="0" w:color="auto"/>
        <w:right w:val="none" w:sz="0" w:space="0" w:color="auto"/>
      </w:divBdr>
    </w:div>
    <w:div w:id="1128165897">
      <w:bodyDiv w:val="1"/>
      <w:marLeft w:val="0"/>
      <w:marRight w:val="0"/>
      <w:marTop w:val="0"/>
      <w:marBottom w:val="0"/>
      <w:divBdr>
        <w:top w:val="none" w:sz="0" w:space="0" w:color="auto"/>
        <w:left w:val="none" w:sz="0" w:space="0" w:color="auto"/>
        <w:bottom w:val="none" w:sz="0" w:space="0" w:color="auto"/>
        <w:right w:val="none" w:sz="0" w:space="0" w:color="auto"/>
      </w:divBdr>
    </w:div>
    <w:div w:id="1164472550">
      <w:bodyDiv w:val="1"/>
      <w:marLeft w:val="0"/>
      <w:marRight w:val="0"/>
      <w:marTop w:val="0"/>
      <w:marBottom w:val="0"/>
      <w:divBdr>
        <w:top w:val="none" w:sz="0" w:space="0" w:color="auto"/>
        <w:left w:val="none" w:sz="0" w:space="0" w:color="auto"/>
        <w:bottom w:val="none" w:sz="0" w:space="0" w:color="auto"/>
        <w:right w:val="none" w:sz="0" w:space="0" w:color="auto"/>
      </w:divBdr>
    </w:div>
    <w:div w:id="1203791644">
      <w:bodyDiv w:val="1"/>
      <w:marLeft w:val="0"/>
      <w:marRight w:val="0"/>
      <w:marTop w:val="0"/>
      <w:marBottom w:val="0"/>
      <w:divBdr>
        <w:top w:val="none" w:sz="0" w:space="0" w:color="auto"/>
        <w:left w:val="none" w:sz="0" w:space="0" w:color="auto"/>
        <w:bottom w:val="none" w:sz="0" w:space="0" w:color="auto"/>
        <w:right w:val="none" w:sz="0" w:space="0" w:color="auto"/>
      </w:divBdr>
    </w:div>
    <w:div w:id="1404991950">
      <w:bodyDiv w:val="1"/>
      <w:marLeft w:val="0"/>
      <w:marRight w:val="0"/>
      <w:marTop w:val="0"/>
      <w:marBottom w:val="0"/>
      <w:divBdr>
        <w:top w:val="none" w:sz="0" w:space="0" w:color="auto"/>
        <w:left w:val="none" w:sz="0" w:space="0" w:color="auto"/>
        <w:bottom w:val="none" w:sz="0" w:space="0" w:color="auto"/>
        <w:right w:val="none" w:sz="0" w:space="0" w:color="auto"/>
      </w:divBdr>
    </w:div>
    <w:div w:id="1691443296">
      <w:bodyDiv w:val="1"/>
      <w:marLeft w:val="0"/>
      <w:marRight w:val="0"/>
      <w:marTop w:val="0"/>
      <w:marBottom w:val="0"/>
      <w:divBdr>
        <w:top w:val="none" w:sz="0" w:space="0" w:color="auto"/>
        <w:left w:val="none" w:sz="0" w:space="0" w:color="auto"/>
        <w:bottom w:val="none" w:sz="0" w:space="0" w:color="auto"/>
        <w:right w:val="none" w:sz="0" w:space="0" w:color="auto"/>
      </w:divBdr>
    </w:div>
    <w:div w:id="2057928128">
      <w:bodyDiv w:val="1"/>
      <w:marLeft w:val="0"/>
      <w:marRight w:val="0"/>
      <w:marTop w:val="0"/>
      <w:marBottom w:val="0"/>
      <w:divBdr>
        <w:top w:val="none" w:sz="0" w:space="0" w:color="auto"/>
        <w:left w:val="none" w:sz="0" w:space="0" w:color="auto"/>
        <w:bottom w:val="none" w:sz="0" w:space="0" w:color="auto"/>
        <w:right w:val="none" w:sz="0" w:space="0" w:color="auto"/>
      </w:divBdr>
    </w:div>
    <w:div w:id="20607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examination-libra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shfield.gov.uk/hearing-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6637</Words>
  <Characters>34646</Characters>
  <Application>Microsoft Office Word</Application>
  <DocSecurity>0</DocSecurity>
  <Lines>1385</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9.1a  ADC Matter 9 - The supply and delivery of housing land V2</dc:title>
  <dc:subject/>
  <dc:creator>Lisa.Furness</dc:creator>
  <cp:keywords/>
  <dc:description/>
  <cp:lastModifiedBy>Sharon.Simcox</cp:lastModifiedBy>
  <cp:revision>2</cp:revision>
  <cp:lastPrinted>2025-11-26T08:36:00Z</cp:lastPrinted>
  <dcterms:created xsi:type="dcterms:W3CDTF">2025-12-02T11:10:00Z</dcterms:created>
  <dcterms:modified xsi:type="dcterms:W3CDTF">2025-12-02T11:10:00Z</dcterms:modified>
</cp:coreProperties>
</file>