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818F1" w14:textId="77777777" w:rsidR="004A56BD" w:rsidRPr="004A56BD" w:rsidRDefault="004A56BD" w:rsidP="004A56BD">
      <w:pPr>
        <w:jc w:val="center"/>
        <w:rPr>
          <w:rFonts w:cs="Arial"/>
          <w:b/>
          <w:szCs w:val="24"/>
        </w:rPr>
      </w:pPr>
      <w:r w:rsidRPr="004A56BD">
        <w:rPr>
          <w:rFonts w:cs="Arial"/>
          <w:noProof/>
          <w:szCs w:val="24"/>
          <w:lang w:eastAsia="en-GB"/>
        </w:rPr>
        <w:drawing>
          <wp:inline distT="0" distB="0" distL="0" distR="0" wp14:anchorId="57ECC0AB" wp14:editId="48AF74D3">
            <wp:extent cx="2962275" cy="1056544"/>
            <wp:effectExtent l="0" t="0" r="0" b="0"/>
            <wp:docPr id="2" name="Picture 2" descr="Ashfield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shfield District Council 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971033" cy="1059668"/>
                    </a:xfrm>
                    <a:prstGeom prst="rect">
                      <a:avLst/>
                    </a:prstGeom>
                    <a:noFill/>
                    <a:ln>
                      <a:noFill/>
                    </a:ln>
                  </pic:spPr>
                </pic:pic>
              </a:graphicData>
            </a:graphic>
          </wp:inline>
        </w:drawing>
      </w:r>
      <w:r w:rsidRPr="004A56BD">
        <w:rPr>
          <w:rFonts w:cs="Arial"/>
          <w:b/>
          <w:szCs w:val="24"/>
        </w:rPr>
        <w:t xml:space="preserve"> </w:t>
      </w:r>
    </w:p>
    <w:p w14:paraId="61FA1241" w14:textId="77777777" w:rsidR="004A56BD" w:rsidRPr="004A56BD" w:rsidRDefault="004A56BD" w:rsidP="004A56BD">
      <w:pPr>
        <w:jc w:val="center"/>
        <w:rPr>
          <w:rFonts w:cs="Arial"/>
          <w:b/>
          <w:szCs w:val="24"/>
        </w:rPr>
      </w:pPr>
    </w:p>
    <w:p w14:paraId="4BA37FAB" w14:textId="77777777" w:rsidR="004A56BD" w:rsidRPr="004A56BD" w:rsidRDefault="004A56BD" w:rsidP="004A56BD">
      <w:pPr>
        <w:jc w:val="center"/>
        <w:rPr>
          <w:rFonts w:cs="Arial"/>
          <w:b/>
          <w:szCs w:val="24"/>
        </w:rPr>
      </w:pPr>
    </w:p>
    <w:p w14:paraId="767A70EA" w14:textId="77777777" w:rsidR="004A56BD" w:rsidRPr="004A56BD" w:rsidRDefault="004A56BD" w:rsidP="00D1293A">
      <w:pPr>
        <w:rPr>
          <w:rFonts w:cs="Arial"/>
          <w:b/>
          <w:szCs w:val="24"/>
        </w:rPr>
      </w:pPr>
    </w:p>
    <w:p w14:paraId="18DD46A0" w14:textId="77777777" w:rsidR="004A56BD" w:rsidRPr="004A56BD" w:rsidRDefault="004A56BD" w:rsidP="004A56BD">
      <w:pPr>
        <w:jc w:val="center"/>
        <w:rPr>
          <w:rFonts w:cs="Arial"/>
          <w:b/>
          <w:szCs w:val="24"/>
        </w:rPr>
      </w:pPr>
    </w:p>
    <w:p w14:paraId="07C4FB25" w14:textId="77777777" w:rsidR="004A56BD" w:rsidRPr="004A56BD" w:rsidRDefault="004A56BD" w:rsidP="004A56BD">
      <w:pPr>
        <w:jc w:val="center"/>
        <w:rPr>
          <w:rFonts w:cs="Arial"/>
          <w:b/>
          <w:szCs w:val="24"/>
        </w:rPr>
      </w:pPr>
    </w:p>
    <w:p w14:paraId="2D75CAD7" w14:textId="2AE36753" w:rsidR="004A56BD" w:rsidRPr="004A56BD" w:rsidRDefault="004A56BD" w:rsidP="00D1293A">
      <w:pPr>
        <w:pStyle w:val="Frontcoverheading"/>
      </w:pPr>
      <w:r w:rsidRPr="004A56BD">
        <w:t>Ashfield District Council</w:t>
      </w:r>
    </w:p>
    <w:p w14:paraId="587C4C74" w14:textId="77777777" w:rsidR="00F37BFC" w:rsidRDefault="004A56BD" w:rsidP="00D1293A">
      <w:pPr>
        <w:pStyle w:val="Frontcoverheading"/>
      </w:pPr>
      <w:r w:rsidRPr="004A56BD">
        <w:t xml:space="preserve">Pay Policy Statement </w:t>
      </w:r>
    </w:p>
    <w:p w14:paraId="05FC3BE3" w14:textId="2B8CED67" w:rsidR="004A56BD" w:rsidRPr="004A56BD" w:rsidRDefault="004A56BD" w:rsidP="00D1293A">
      <w:pPr>
        <w:pStyle w:val="Frontcoverheading"/>
      </w:pPr>
      <w:r w:rsidRPr="004A56BD">
        <w:t xml:space="preserve">2026 </w:t>
      </w:r>
      <w:r w:rsidR="00F37BFC">
        <w:t>to</w:t>
      </w:r>
      <w:r w:rsidRPr="004A56BD">
        <w:t xml:space="preserve"> 2027</w:t>
      </w:r>
    </w:p>
    <w:p w14:paraId="38922658" w14:textId="77777777" w:rsidR="004A56BD" w:rsidRPr="004A56BD" w:rsidRDefault="004A56BD" w:rsidP="004A56BD">
      <w:pPr>
        <w:jc w:val="center"/>
        <w:rPr>
          <w:rFonts w:cs="Arial"/>
          <w:b/>
          <w:szCs w:val="24"/>
        </w:rPr>
      </w:pPr>
    </w:p>
    <w:p w14:paraId="59D5BE42" w14:textId="07A48CD5" w:rsidR="004A56BD" w:rsidRPr="004A56BD" w:rsidRDefault="0011111C" w:rsidP="00D1293A">
      <w:pPr>
        <w:pStyle w:val="Frontcoverheading"/>
      </w:pPr>
      <w:r>
        <w:t xml:space="preserve">February </w:t>
      </w:r>
      <w:r w:rsidR="004A56BD" w:rsidRPr="004A56BD">
        <w:t>2026</w:t>
      </w:r>
    </w:p>
    <w:p w14:paraId="77F0BDF8" w14:textId="77777777" w:rsidR="004A56BD" w:rsidRPr="004A56BD" w:rsidRDefault="004A56BD" w:rsidP="004A56BD">
      <w:pPr>
        <w:jc w:val="both"/>
        <w:rPr>
          <w:rFonts w:cs="Arial"/>
          <w:b/>
          <w:szCs w:val="24"/>
        </w:rPr>
      </w:pPr>
    </w:p>
    <w:p w14:paraId="604BA48B" w14:textId="77777777" w:rsidR="004A56BD" w:rsidRPr="004A56BD" w:rsidRDefault="004A56BD" w:rsidP="004A56BD">
      <w:pPr>
        <w:autoSpaceDE w:val="0"/>
        <w:autoSpaceDN w:val="0"/>
        <w:adjustRightInd w:val="0"/>
        <w:jc w:val="both"/>
        <w:rPr>
          <w:rFonts w:cs="Arial"/>
          <w:b/>
          <w:bCs/>
          <w:szCs w:val="24"/>
        </w:rPr>
      </w:pPr>
    </w:p>
    <w:p w14:paraId="50F456DD" w14:textId="77777777" w:rsidR="004A56BD" w:rsidRPr="004A56BD" w:rsidRDefault="004A56BD" w:rsidP="004A56BD">
      <w:pPr>
        <w:autoSpaceDE w:val="0"/>
        <w:autoSpaceDN w:val="0"/>
        <w:adjustRightInd w:val="0"/>
        <w:jc w:val="both"/>
        <w:rPr>
          <w:rFonts w:cs="Arial"/>
          <w:b/>
          <w:bCs/>
          <w:szCs w:val="24"/>
        </w:rPr>
      </w:pPr>
    </w:p>
    <w:p w14:paraId="48B54B7B" w14:textId="77777777" w:rsidR="004A56BD" w:rsidRPr="004A56BD" w:rsidRDefault="004A56BD" w:rsidP="00F37BFC">
      <w:pPr>
        <w:pStyle w:val="Heading2"/>
      </w:pPr>
      <w:r w:rsidRPr="004A56BD">
        <w:t>VERSION CONTROL</w:t>
      </w:r>
    </w:p>
    <w:p w14:paraId="6E1D7670" w14:textId="77777777" w:rsidR="004A56BD" w:rsidRPr="004A56BD" w:rsidRDefault="004A56BD" w:rsidP="004A56BD">
      <w:pPr>
        <w:jc w:val="both"/>
        <w:rPr>
          <w:rFonts w:cs="Arial"/>
          <w:b/>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409"/>
      </w:tblGrid>
      <w:tr w:rsidR="004A56BD" w:rsidRPr="004A56BD" w14:paraId="1A21E2CE" w14:textId="77777777" w:rsidTr="00307009">
        <w:tc>
          <w:tcPr>
            <w:tcW w:w="2802" w:type="dxa"/>
          </w:tcPr>
          <w:p w14:paraId="7B558ED6" w14:textId="77777777" w:rsidR="004A56BD" w:rsidRPr="004A56BD" w:rsidRDefault="004A56BD" w:rsidP="00F37BFC">
            <w:pPr>
              <w:ind w:left="0"/>
              <w:jc w:val="both"/>
              <w:rPr>
                <w:rFonts w:cs="Arial"/>
                <w:b/>
                <w:szCs w:val="24"/>
              </w:rPr>
            </w:pPr>
            <w:r w:rsidRPr="004A56BD">
              <w:rPr>
                <w:rFonts w:cs="Arial"/>
                <w:b/>
                <w:szCs w:val="24"/>
              </w:rPr>
              <w:t>Version Number</w:t>
            </w:r>
          </w:p>
        </w:tc>
        <w:tc>
          <w:tcPr>
            <w:tcW w:w="2409" w:type="dxa"/>
          </w:tcPr>
          <w:p w14:paraId="1C55942A" w14:textId="77777777" w:rsidR="004A56BD" w:rsidRPr="004A56BD" w:rsidRDefault="004A56BD" w:rsidP="00F37BFC">
            <w:pPr>
              <w:ind w:left="0"/>
              <w:jc w:val="both"/>
              <w:rPr>
                <w:rFonts w:cs="Arial"/>
                <w:b/>
                <w:szCs w:val="24"/>
              </w:rPr>
            </w:pPr>
            <w:r w:rsidRPr="004A56BD">
              <w:rPr>
                <w:rFonts w:cs="Arial"/>
                <w:b/>
                <w:szCs w:val="24"/>
              </w:rPr>
              <w:t>Date Issued</w:t>
            </w:r>
          </w:p>
        </w:tc>
      </w:tr>
      <w:tr w:rsidR="004A56BD" w:rsidRPr="004A56BD" w14:paraId="0D83000F" w14:textId="77777777" w:rsidTr="00307009">
        <w:tc>
          <w:tcPr>
            <w:tcW w:w="2802" w:type="dxa"/>
          </w:tcPr>
          <w:p w14:paraId="2106C09F" w14:textId="77777777" w:rsidR="004A56BD" w:rsidRPr="004A56BD" w:rsidRDefault="004A56BD" w:rsidP="00F37BFC">
            <w:pPr>
              <w:ind w:left="0"/>
              <w:jc w:val="both"/>
              <w:rPr>
                <w:rFonts w:cs="Arial"/>
                <w:szCs w:val="24"/>
              </w:rPr>
            </w:pPr>
            <w:r w:rsidRPr="004A56BD">
              <w:rPr>
                <w:rFonts w:cs="Arial"/>
                <w:szCs w:val="24"/>
              </w:rPr>
              <w:t xml:space="preserve">Original </w:t>
            </w:r>
          </w:p>
        </w:tc>
        <w:tc>
          <w:tcPr>
            <w:tcW w:w="2409" w:type="dxa"/>
          </w:tcPr>
          <w:p w14:paraId="1B1847B1" w14:textId="34EC899D" w:rsidR="004A56BD" w:rsidRPr="004A56BD" w:rsidRDefault="001A349C" w:rsidP="00F37BFC">
            <w:pPr>
              <w:ind w:left="0"/>
              <w:jc w:val="both"/>
              <w:rPr>
                <w:rFonts w:cs="Arial"/>
                <w:szCs w:val="24"/>
              </w:rPr>
            </w:pPr>
            <w:r>
              <w:rPr>
                <w:rFonts w:cs="Arial"/>
                <w:szCs w:val="24"/>
              </w:rPr>
              <w:t>January 2026</w:t>
            </w:r>
          </w:p>
        </w:tc>
      </w:tr>
      <w:tr w:rsidR="004A56BD" w:rsidRPr="004A56BD" w14:paraId="69B50EDC" w14:textId="77777777" w:rsidTr="00307009">
        <w:tc>
          <w:tcPr>
            <w:tcW w:w="2802" w:type="dxa"/>
          </w:tcPr>
          <w:p w14:paraId="75A6001C" w14:textId="77777777" w:rsidR="004A56BD" w:rsidRPr="004A56BD" w:rsidRDefault="004A56BD" w:rsidP="00F37BFC">
            <w:pPr>
              <w:ind w:left="0"/>
              <w:jc w:val="both"/>
              <w:rPr>
                <w:rFonts w:cs="Arial"/>
                <w:szCs w:val="24"/>
              </w:rPr>
            </w:pPr>
            <w:r w:rsidRPr="004A56BD">
              <w:rPr>
                <w:rFonts w:cs="Arial"/>
                <w:szCs w:val="24"/>
              </w:rPr>
              <w:t>Revised V1</w:t>
            </w:r>
          </w:p>
        </w:tc>
        <w:tc>
          <w:tcPr>
            <w:tcW w:w="2409" w:type="dxa"/>
          </w:tcPr>
          <w:p w14:paraId="7C5F2901" w14:textId="5F693383" w:rsidR="004A56BD" w:rsidRPr="004A56BD" w:rsidRDefault="00C15DC7" w:rsidP="00F37BFC">
            <w:pPr>
              <w:ind w:left="0"/>
              <w:jc w:val="both"/>
              <w:rPr>
                <w:rFonts w:cs="Arial"/>
                <w:szCs w:val="24"/>
              </w:rPr>
            </w:pPr>
            <w:r>
              <w:rPr>
                <w:rFonts w:cs="Arial"/>
                <w:szCs w:val="24"/>
              </w:rPr>
              <w:t>20 January 2026</w:t>
            </w:r>
          </w:p>
        </w:tc>
      </w:tr>
      <w:tr w:rsidR="004A56BD" w:rsidRPr="004A56BD" w14:paraId="2BA6F03F" w14:textId="77777777" w:rsidTr="00307009">
        <w:tc>
          <w:tcPr>
            <w:tcW w:w="2802" w:type="dxa"/>
          </w:tcPr>
          <w:p w14:paraId="620805BB" w14:textId="77777777" w:rsidR="004A56BD" w:rsidRPr="004A56BD" w:rsidRDefault="004A56BD" w:rsidP="00F37BFC">
            <w:pPr>
              <w:ind w:left="0"/>
              <w:jc w:val="both"/>
              <w:rPr>
                <w:rFonts w:cs="Arial"/>
                <w:szCs w:val="24"/>
              </w:rPr>
            </w:pPr>
            <w:r w:rsidRPr="004A56BD">
              <w:rPr>
                <w:rFonts w:cs="Arial"/>
                <w:szCs w:val="24"/>
              </w:rPr>
              <w:t>Revised Final Version</w:t>
            </w:r>
          </w:p>
        </w:tc>
        <w:tc>
          <w:tcPr>
            <w:tcW w:w="2409" w:type="dxa"/>
          </w:tcPr>
          <w:p w14:paraId="68D0C1C7" w14:textId="2126F05D" w:rsidR="004A56BD" w:rsidRPr="004A56BD" w:rsidRDefault="00C15DC7" w:rsidP="00F37BFC">
            <w:pPr>
              <w:ind w:left="0"/>
              <w:jc w:val="both"/>
              <w:rPr>
                <w:rFonts w:cs="Arial"/>
                <w:szCs w:val="24"/>
              </w:rPr>
            </w:pPr>
            <w:r>
              <w:rPr>
                <w:rFonts w:cs="Arial"/>
                <w:szCs w:val="24"/>
              </w:rPr>
              <w:t>23 January 2026</w:t>
            </w:r>
          </w:p>
        </w:tc>
      </w:tr>
    </w:tbl>
    <w:p w14:paraId="24757BBE" w14:textId="77777777" w:rsidR="00D1293A" w:rsidRDefault="00D1293A" w:rsidP="004A56BD">
      <w:pPr>
        <w:autoSpaceDE w:val="0"/>
        <w:autoSpaceDN w:val="0"/>
        <w:adjustRightInd w:val="0"/>
        <w:jc w:val="center"/>
        <w:rPr>
          <w:rFonts w:cs="Arial"/>
          <w:b/>
          <w:bCs/>
          <w:szCs w:val="24"/>
        </w:rPr>
        <w:sectPr w:rsidR="00D1293A">
          <w:footerReference w:type="default" r:id="rId12"/>
          <w:pgSz w:w="11906" w:h="16838"/>
          <w:pgMar w:top="1440" w:right="1440" w:bottom="1440" w:left="1440" w:header="708" w:footer="708" w:gutter="0"/>
          <w:cols w:space="708"/>
          <w:docGrid w:linePitch="360"/>
        </w:sectPr>
      </w:pPr>
      <w:bookmarkStart w:id="0" w:name="_Hlk217396601"/>
    </w:p>
    <w:p w14:paraId="4FC07709" w14:textId="77777777" w:rsidR="004A56BD" w:rsidRPr="004A56BD" w:rsidRDefault="004A56BD" w:rsidP="00D1293A">
      <w:pPr>
        <w:pStyle w:val="Heading2"/>
        <w:rPr>
          <w:b w:val="0"/>
        </w:rPr>
      </w:pPr>
      <w:bookmarkStart w:id="1" w:name="_Toc223595302"/>
      <w:r w:rsidRPr="004A56BD">
        <w:lastRenderedPageBreak/>
        <w:t>ASHFIELD DISTRICT COUNCIL</w:t>
      </w:r>
      <w:bookmarkEnd w:id="1"/>
    </w:p>
    <w:p w14:paraId="25A3820B" w14:textId="77777777" w:rsidR="004A56BD" w:rsidRPr="004A56BD" w:rsidRDefault="004A56BD" w:rsidP="00D1293A">
      <w:pPr>
        <w:pStyle w:val="Heading2"/>
        <w:rPr>
          <w:b w:val="0"/>
        </w:rPr>
      </w:pPr>
      <w:bookmarkStart w:id="2" w:name="_Toc223595303"/>
      <w:r w:rsidRPr="004A56BD">
        <w:t>Pay Policy Statement 2026 – 2027</w:t>
      </w:r>
      <w:bookmarkEnd w:id="2"/>
      <w:r w:rsidRPr="004A56BD">
        <w:t xml:space="preserve"> </w:t>
      </w:r>
    </w:p>
    <w:p w14:paraId="0CC09772" w14:textId="77777777" w:rsidR="004A56BD" w:rsidRPr="004A56BD" w:rsidRDefault="004A56BD" w:rsidP="004A56BD">
      <w:pPr>
        <w:autoSpaceDE w:val="0"/>
        <w:autoSpaceDN w:val="0"/>
        <w:adjustRightInd w:val="0"/>
        <w:jc w:val="both"/>
        <w:rPr>
          <w:rFonts w:cs="Arial"/>
          <w:b/>
          <w:bCs/>
          <w:szCs w:val="24"/>
        </w:rPr>
      </w:pPr>
    </w:p>
    <w:p w14:paraId="537EB3C6" w14:textId="77777777" w:rsidR="004A56BD" w:rsidRPr="004A56BD" w:rsidRDefault="004A56BD" w:rsidP="00F37BFC">
      <w:pPr>
        <w:pStyle w:val="Heading2"/>
      </w:pPr>
      <w:r w:rsidRPr="004A56BD">
        <w:t>Contents</w:t>
      </w:r>
    </w:p>
    <w:p w14:paraId="2420292E" w14:textId="45949355" w:rsidR="00F37BFC" w:rsidRDefault="00F37BFC">
      <w:pPr>
        <w:pStyle w:val="TOC2"/>
        <w:tabs>
          <w:tab w:val="right" w:leader="dot" w:pos="9016"/>
        </w:tabs>
        <w:rPr>
          <w:rFonts w:asciiTheme="minorHAnsi" w:eastAsiaTheme="minorEastAsia" w:hAnsiTheme="minorHAnsi"/>
          <w:noProof/>
          <w:kern w:val="2"/>
          <w:szCs w:val="24"/>
          <w:lang w:eastAsia="en-GB"/>
          <w14:ligatures w14:val="standardContextual"/>
        </w:rPr>
      </w:pPr>
      <w:r>
        <w:rPr>
          <w:rFonts w:cs="Arial"/>
          <w:b/>
          <w:bCs/>
          <w:szCs w:val="24"/>
        </w:rPr>
        <w:fldChar w:fldCharType="begin"/>
      </w:r>
      <w:r>
        <w:rPr>
          <w:rFonts w:cs="Arial"/>
          <w:b/>
          <w:bCs/>
          <w:szCs w:val="24"/>
        </w:rPr>
        <w:instrText xml:space="preserve"> TOC \o "2-2" \h \z \t "Heading 1,1,Numbered heading 2,2" </w:instrText>
      </w:r>
      <w:r>
        <w:rPr>
          <w:rFonts w:cs="Arial"/>
          <w:b/>
          <w:bCs/>
          <w:szCs w:val="24"/>
        </w:rPr>
        <w:fldChar w:fldCharType="separate"/>
      </w:r>
    </w:p>
    <w:p w14:paraId="0C898923" w14:textId="1B81D3D2" w:rsidR="00F37BFC" w:rsidRDefault="00F37BFC">
      <w:pPr>
        <w:pStyle w:val="TOC2"/>
        <w:tabs>
          <w:tab w:val="left" w:pos="720"/>
          <w:tab w:val="right" w:leader="dot" w:pos="9016"/>
        </w:tabs>
        <w:rPr>
          <w:rFonts w:asciiTheme="minorHAnsi" w:eastAsiaTheme="minorEastAsia" w:hAnsiTheme="minorHAnsi"/>
          <w:noProof/>
          <w:kern w:val="2"/>
          <w:szCs w:val="24"/>
          <w:lang w:eastAsia="en-GB"/>
          <w14:ligatures w14:val="standardContextual"/>
        </w:rPr>
      </w:pPr>
      <w:hyperlink w:anchor="_Toc223595304" w:history="1">
        <w:r w:rsidRPr="00FF5629">
          <w:rPr>
            <w:rStyle w:val="Hyperlink"/>
            <w:noProof/>
          </w:rPr>
          <w:t>1.</w:t>
        </w:r>
        <w:r>
          <w:rPr>
            <w:rFonts w:asciiTheme="minorHAnsi" w:eastAsiaTheme="minorEastAsia" w:hAnsiTheme="minorHAnsi"/>
            <w:noProof/>
            <w:kern w:val="2"/>
            <w:szCs w:val="24"/>
            <w:lang w:eastAsia="en-GB"/>
            <w14:ligatures w14:val="standardContextual"/>
          </w:rPr>
          <w:tab/>
        </w:r>
        <w:r w:rsidRPr="00FF5629">
          <w:rPr>
            <w:rStyle w:val="Hyperlink"/>
            <w:noProof/>
          </w:rPr>
          <w:t>BACKGROUND</w:t>
        </w:r>
        <w:r>
          <w:rPr>
            <w:noProof/>
            <w:webHidden/>
          </w:rPr>
          <w:tab/>
        </w:r>
        <w:r>
          <w:rPr>
            <w:noProof/>
            <w:webHidden/>
          </w:rPr>
          <w:fldChar w:fldCharType="begin"/>
        </w:r>
        <w:r>
          <w:rPr>
            <w:noProof/>
            <w:webHidden/>
          </w:rPr>
          <w:instrText xml:space="preserve"> PAGEREF _Toc223595304 \h </w:instrText>
        </w:r>
        <w:r>
          <w:rPr>
            <w:noProof/>
            <w:webHidden/>
          </w:rPr>
        </w:r>
        <w:r>
          <w:rPr>
            <w:noProof/>
            <w:webHidden/>
          </w:rPr>
          <w:fldChar w:fldCharType="separate"/>
        </w:r>
        <w:r>
          <w:rPr>
            <w:noProof/>
            <w:webHidden/>
          </w:rPr>
          <w:t>3</w:t>
        </w:r>
        <w:r>
          <w:rPr>
            <w:noProof/>
            <w:webHidden/>
          </w:rPr>
          <w:fldChar w:fldCharType="end"/>
        </w:r>
      </w:hyperlink>
    </w:p>
    <w:p w14:paraId="135ECB0D" w14:textId="6ACB72A7" w:rsidR="00F37BFC" w:rsidRDefault="00F37BFC">
      <w:pPr>
        <w:pStyle w:val="TOC2"/>
        <w:tabs>
          <w:tab w:val="left" w:pos="720"/>
          <w:tab w:val="right" w:leader="dot" w:pos="9016"/>
        </w:tabs>
        <w:rPr>
          <w:rFonts w:asciiTheme="minorHAnsi" w:eastAsiaTheme="minorEastAsia" w:hAnsiTheme="minorHAnsi"/>
          <w:noProof/>
          <w:kern w:val="2"/>
          <w:szCs w:val="24"/>
          <w:lang w:eastAsia="en-GB"/>
          <w14:ligatures w14:val="standardContextual"/>
        </w:rPr>
      </w:pPr>
      <w:hyperlink w:anchor="_Toc223595305" w:history="1">
        <w:r w:rsidRPr="00FF5629">
          <w:rPr>
            <w:rStyle w:val="Hyperlink"/>
            <w:noProof/>
          </w:rPr>
          <w:t>2.</w:t>
        </w:r>
        <w:r>
          <w:rPr>
            <w:rFonts w:asciiTheme="minorHAnsi" w:eastAsiaTheme="minorEastAsia" w:hAnsiTheme="minorHAnsi"/>
            <w:noProof/>
            <w:kern w:val="2"/>
            <w:szCs w:val="24"/>
            <w:lang w:eastAsia="en-GB"/>
            <w14:ligatures w14:val="standardContextual"/>
          </w:rPr>
          <w:tab/>
        </w:r>
        <w:r w:rsidRPr="00FF5629">
          <w:rPr>
            <w:rStyle w:val="Hyperlink"/>
            <w:noProof/>
          </w:rPr>
          <w:t>PURPOSE AND SCOPE</w:t>
        </w:r>
        <w:r>
          <w:rPr>
            <w:noProof/>
            <w:webHidden/>
          </w:rPr>
          <w:tab/>
        </w:r>
        <w:r>
          <w:rPr>
            <w:noProof/>
            <w:webHidden/>
          </w:rPr>
          <w:fldChar w:fldCharType="begin"/>
        </w:r>
        <w:r>
          <w:rPr>
            <w:noProof/>
            <w:webHidden/>
          </w:rPr>
          <w:instrText xml:space="preserve"> PAGEREF _Toc223595305 \h </w:instrText>
        </w:r>
        <w:r>
          <w:rPr>
            <w:noProof/>
            <w:webHidden/>
          </w:rPr>
        </w:r>
        <w:r>
          <w:rPr>
            <w:noProof/>
            <w:webHidden/>
          </w:rPr>
          <w:fldChar w:fldCharType="separate"/>
        </w:r>
        <w:r>
          <w:rPr>
            <w:noProof/>
            <w:webHidden/>
          </w:rPr>
          <w:t>3</w:t>
        </w:r>
        <w:r>
          <w:rPr>
            <w:noProof/>
            <w:webHidden/>
          </w:rPr>
          <w:fldChar w:fldCharType="end"/>
        </w:r>
      </w:hyperlink>
    </w:p>
    <w:p w14:paraId="36A06DB4" w14:textId="355EE87D" w:rsidR="00F37BFC" w:rsidRDefault="00F37BFC">
      <w:pPr>
        <w:pStyle w:val="TOC2"/>
        <w:tabs>
          <w:tab w:val="left" w:pos="720"/>
          <w:tab w:val="right" w:leader="dot" w:pos="9016"/>
        </w:tabs>
        <w:rPr>
          <w:rFonts w:asciiTheme="minorHAnsi" w:eastAsiaTheme="minorEastAsia" w:hAnsiTheme="minorHAnsi"/>
          <w:noProof/>
          <w:kern w:val="2"/>
          <w:szCs w:val="24"/>
          <w:lang w:eastAsia="en-GB"/>
          <w14:ligatures w14:val="standardContextual"/>
        </w:rPr>
      </w:pPr>
      <w:hyperlink w:anchor="_Toc223595306" w:history="1">
        <w:r w:rsidRPr="00FF5629">
          <w:rPr>
            <w:rStyle w:val="Hyperlink"/>
            <w:noProof/>
          </w:rPr>
          <w:t>3.</w:t>
        </w:r>
        <w:r>
          <w:rPr>
            <w:rFonts w:asciiTheme="minorHAnsi" w:eastAsiaTheme="minorEastAsia" w:hAnsiTheme="minorHAnsi"/>
            <w:noProof/>
            <w:kern w:val="2"/>
            <w:szCs w:val="24"/>
            <w:lang w:eastAsia="en-GB"/>
            <w14:ligatures w14:val="standardContextual"/>
          </w:rPr>
          <w:tab/>
        </w:r>
        <w:r w:rsidRPr="00FF5629">
          <w:rPr>
            <w:rStyle w:val="Hyperlink"/>
            <w:noProof/>
          </w:rPr>
          <w:t>REMUNERATION OF CHIEF OFFICERS</w:t>
        </w:r>
        <w:r>
          <w:rPr>
            <w:noProof/>
            <w:webHidden/>
          </w:rPr>
          <w:tab/>
        </w:r>
        <w:r>
          <w:rPr>
            <w:noProof/>
            <w:webHidden/>
          </w:rPr>
          <w:fldChar w:fldCharType="begin"/>
        </w:r>
        <w:r>
          <w:rPr>
            <w:noProof/>
            <w:webHidden/>
          </w:rPr>
          <w:instrText xml:space="preserve"> PAGEREF _Toc223595306 \h </w:instrText>
        </w:r>
        <w:r>
          <w:rPr>
            <w:noProof/>
            <w:webHidden/>
          </w:rPr>
        </w:r>
        <w:r>
          <w:rPr>
            <w:noProof/>
            <w:webHidden/>
          </w:rPr>
          <w:fldChar w:fldCharType="separate"/>
        </w:r>
        <w:r>
          <w:rPr>
            <w:noProof/>
            <w:webHidden/>
          </w:rPr>
          <w:t>4</w:t>
        </w:r>
        <w:r>
          <w:rPr>
            <w:noProof/>
            <w:webHidden/>
          </w:rPr>
          <w:fldChar w:fldCharType="end"/>
        </w:r>
      </w:hyperlink>
    </w:p>
    <w:p w14:paraId="439D6885" w14:textId="36F54C5D" w:rsidR="00F37BFC" w:rsidRDefault="00F37BFC">
      <w:pPr>
        <w:pStyle w:val="TOC2"/>
        <w:tabs>
          <w:tab w:val="left" w:pos="720"/>
          <w:tab w:val="right" w:leader="dot" w:pos="9016"/>
        </w:tabs>
        <w:rPr>
          <w:rFonts w:asciiTheme="minorHAnsi" w:eastAsiaTheme="minorEastAsia" w:hAnsiTheme="minorHAnsi"/>
          <w:noProof/>
          <w:kern w:val="2"/>
          <w:szCs w:val="24"/>
          <w:lang w:eastAsia="en-GB"/>
          <w14:ligatures w14:val="standardContextual"/>
        </w:rPr>
      </w:pPr>
      <w:hyperlink w:anchor="_Toc223595307" w:history="1">
        <w:r w:rsidRPr="00FF5629">
          <w:rPr>
            <w:rStyle w:val="Hyperlink"/>
            <w:noProof/>
          </w:rPr>
          <w:t>4.</w:t>
        </w:r>
        <w:r>
          <w:rPr>
            <w:rFonts w:asciiTheme="minorHAnsi" w:eastAsiaTheme="minorEastAsia" w:hAnsiTheme="minorHAnsi"/>
            <w:noProof/>
            <w:kern w:val="2"/>
            <w:szCs w:val="24"/>
            <w:lang w:eastAsia="en-GB"/>
            <w14:ligatures w14:val="standardContextual"/>
          </w:rPr>
          <w:tab/>
        </w:r>
        <w:r w:rsidRPr="00FF5629">
          <w:rPr>
            <w:rStyle w:val="Hyperlink"/>
            <w:noProof/>
          </w:rPr>
          <w:t>LOWEST PAID EMPLOYEES</w:t>
        </w:r>
        <w:r>
          <w:rPr>
            <w:noProof/>
            <w:webHidden/>
          </w:rPr>
          <w:tab/>
        </w:r>
        <w:r>
          <w:rPr>
            <w:noProof/>
            <w:webHidden/>
          </w:rPr>
          <w:fldChar w:fldCharType="begin"/>
        </w:r>
        <w:r>
          <w:rPr>
            <w:noProof/>
            <w:webHidden/>
          </w:rPr>
          <w:instrText xml:space="preserve"> PAGEREF _Toc223595307 \h </w:instrText>
        </w:r>
        <w:r>
          <w:rPr>
            <w:noProof/>
            <w:webHidden/>
          </w:rPr>
        </w:r>
        <w:r>
          <w:rPr>
            <w:noProof/>
            <w:webHidden/>
          </w:rPr>
          <w:fldChar w:fldCharType="separate"/>
        </w:r>
        <w:r>
          <w:rPr>
            <w:noProof/>
            <w:webHidden/>
          </w:rPr>
          <w:t>6</w:t>
        </w:r>
        <w:r>
          <w:rPr>
            <w:noProof/>
            <w:webHidden/>
          </w:rPr>
          <w:fldChar w:fldCharType="end"/>
        </w:r>
      </w:hyperlink>
    </w:p>
    <w:p w14:paraId="08BF9B79" w14:textId="5DCA0691" w:rsidR="00F37BFC" w:rsidRDefault="00F37BFC">
      <w:pPr>
        <w:pStyle w:val="TOC2"/>
        <w:tabs>
          <w:tab w:val="left" w:pos="720"/>
          <w:tab w:val="right" w:leader="dot" w:pos="9016"/>
        </w:tabs>
        <w:rPr>
          <w:rFonts w:asciiTheme="minorHAnsi" w:eastAsiaTheme="minorEastAsia" w:hAnsiTheme="minorHAnsi"/>
          <w:noProof/>
          <w:kern w:val="2"/>
          <w:szCs w:val="24"/>
          <w:lang w:eastAsia="en-GB"/>
          <w14:ligatures w14:val="standardContextual"/>
        </w:rPr>
      </w:pPr>
      <w:hyperlink w:anchor="_Toc223595308" w:history="1">
        <w:r w:rsidRPr="00FF5629">
          <w:rPr>
            <w:rStyle w:val="Hyperlink"/>
            <w:noProof/>
          </w:rPr>
          <w:t>5.</w:t>
        </w:r>
        <w:r>
          <w:rPr>
            <w:rFonts w:asciiTheme="minorHAnsi" w:eastAsiaTheme="minorEastAsia" w:hAnsiTheme="minorHAnsi"/>
            <w:noProof/>
            <w:kern w:val="2"/>
            <w:szCs w:val="24"/>
            <w:lang w:eastAsia="en-GB"/>
            <w14:ligatures w14:val="standardContextual"/>
          </w:rPr>
          <w:tab/>
        </w:r>
        <w:r w:rsidRPr="00FF5629">
          <w:rPr>
            <w:rStyle w:val="Hyperlink"/>
            <w:noProof/>
          </w:rPr>
          <w:t>PAY STRUCTURE AND ALLOWANCES</w:t>
        </w:r>
        <w:r>
          <w:rPr>
            <w:noProof/>
            <w:webHidden/>
          </w:rPr>
          <w:tab/>
        </w:r>
        <w:r>
          <w:rPr>
            <w:noProof/>
            <w:webHidden/>
          </w:rPr>
          <w:fldChar w:fldCharType="begin"/>
        </w:r>
        <w:r>
          <w:rPr>
            <w:noProof/>
            <w:webHidden/>
          </w:rPr>
          <w:instrText xml:space="preserve"> PAGEREF _Toc223595308 \h </w:instrText>
        </w:r>
        <w:r>
          <w:rPr>
            <w:noProof/>
            <w:webHidden/>
          </w:rPr>
        </w:r>
        <w:r>
          <w:rPr>
            <w:noProof/>
            <w:webHidden/>
          </w:rPr>
          <w:fldChar w:fldCharType="separate"/>
        </w:r>
        <w:r>
          <w:rPr>
            <w:noProof/>
            <w:webHidden/>
          </w:rPr>
          <w:t>6</w:t>
        </w:r>
        <w:r>
          <w:rPr>
            <w:noProof/>
            <w:webHidden/>
          </w:rPr>
          <w:fldChar w:fldCharType="end"/>
        </w:r>
      </w:hyperlink>
    </w:p>
    <w:p w14:paraId="39BC2CAD" w14:textId="60A8E61A" w:rsidR="00F37BFC" w:rsidRDefault="00F37BFC">
      <w:pPr>
        <w:pStyle w:val="TOC2"/>
        <w:tabs>
          <w:tab w:val="left" w:pos="720"/>
          <w:tab w:val="right" w:leader="dot" w:pos="9016"/>
        </w:tabs>
        <w:rPr>
          <w:rFonts w:asciiTheme="minorHAnsi" w:eastAsiaTheme="minorEastAsia" w:hAnsiTheme="minorHAnsi"/>
          <w:noProof/>
          <w:kern w:val="2"/>
          <w:szCs w:val="24"/>
          <w:lang w:eastAsia="en-GB"/>
          <w14:ligatures w14:val="standardContextual"/>
        </w:rPr>
      </w:pPr>
      <w:hyperlink w:anchor="_Toc223595309" w:history="1">
        <w:r w:rsidRPr="00FF5629">
          <w:rPr>
            <w:rStyle w:val="Hyperlink"/>
            <w:noProof/>
          </w:rPr>
          <w:t>6.</w:t>
        </w:r>
        <w:r>
          <w:rPr>
            <w:rFonts w:asciiTheme="minorHAnsi" w:eastAsiaTheme="minorEastAsia" w:hAnsiTheme="minorHAnsi"/>
            <w:noProof/>
            <w:kern w:val="2"/>
            <w:szCs w:val="24"/>
            <w:lang w:eastAsia="en-GB"/>
            <w14:ligatures w14:val="standardContextual"/>
          </w:rPr>
          <w:tab/>
        </w:r>
        <w:r w:rsidRPr="00FF5629">
          <w:rPr>
            <w:rStyle w:val="Hyperlink"/>
            <w:noProof/>
          </w:rPr>
          <w:t>SEVERANCE AND DISCRETIONARY PAYMENTS</w:t>
        </w:r>
        <w:r>
          <w:rPr>
            <w:noProof/>
            <w:webHidden/>
          </w:rPr>
          <w:tab/>
        </w:r>
        <w:r>
          <w:rPr>
            <w:noProof/>
            <w:webHidden/>
          </w:rPr>
          <w:fldChar w:fldCharType="begin"/>
        </w:r>
        <w:r>
          <w:rPr>
            <w:noProof/>
            <w:webHidden/>
          </w:rPr>
          <w:instrText xml:space="preserve"> PAGEREF _Toc223595309 \h </w:instrText>
        </w:r>
        <w:r>
          <w:rPr>
            <w:noProof/>
            <w:webHidden/>
          </w:rPr>
        </w:r>
        <w:r>
          <w:rPr>
            <w:noProof/>
            <w:webHidden/>
          </w:rPr>
          <w:fldChar w:fldCharType="separate"/>
        </w:r>
        <w:r>
          <w:rPr>
            <w:noProof/>
            <w:webHidden/>
          </w:rPr>
          <w:t>8</w:t>
        </w:r>
        <w:r>
          <w:rPr>
            <w:noProof/>
            <w:webHidden/>
          </w:rPr>
          <w:fldChar w:fldCharType="end"/>
        </w:r>
      </w:hyperlink>
    </w:p>
    <w:p w14:paraId="030AB9C6" w14:textId="1DF46F8E" w:rsidR="00F37BFC" w:rsidRDefault="00F37BFC">
      <w:pPr>
        <w:pStyle w:val="TOC2"/>
        <w:tabs>
          <w:tab w:val="left" w:pos="720"/>
          <w:tab w:val="right" w:leader="dot" w:pos="9016"/>
        </w:tabs>
        <w:rPr>
          <w:rFonts w:asciiTheme="minorHAnsi" w:eastAsiaTheme="minorEastAsia" w:hAnsiTheme="minorHAnsi"/>
          <w:noProof/>
          <w:kern w:val="2"/>
          <w:szCs w:val="24"/>
          <w:lang w:eastAsia="en-GB"/>
          <w14:ligatures w14:val="standardContextual"/>
        </w:rPr>
      </w:pPr>
      <w:hyperlink w:anchor="_Toc223595310" w:history="1">
        <w:r w:rsidRPr="00FF5629">
          <w:rPr>
            <w:rStyle w:val="Hyperlink"/>
            <w:noProof/>
          </w:rPr>
          <w:t>7.</w:t>
        </w:r>
        <w:r>
          <w:rPr>
            <w:rFonts w:asciiTheme="minorHAnsi" w:eastAsiaTheme="minorEastAsia" w:hAnsiTheme="minorHAnsi"/>
            <w:noProof/>
            <w:kern w:val="2"/>
            <w:szCs w:val="24"/>
            <w:lang w:eastAsia="en-GB"/>
            <w14:ligatures w14:val="standardContextual"/>
          </w:rPr>
          <w:tab/>
        </w:r>
        <w:r w:rsidRPr="00FF5629">
          <w:rPr>
            <w:rStyle w:val="Hyperlink"/>
            <w:noProof/>
          </w:rPr>
          <w:t>REMUNERATION DECISIONS</w:t>
        </w:r>
        <w:r>
          <w:rPr>
            <w:noProof/>
            <w:webHidden/>
          </w:rPr>
          <w:tab/>
        </w:r>
        <w:r>
          <w:rPr>
            <w:noProof/>
            <w:webHidden/>
          </w:rPr>
          <w:fldChar w:fldCharType="begin"/>
        </w:r>
        <w:r>
          <w:rPr>
            <w:noProof/>
            <w:webHidden/>
          </w:rPr>
          <w:instrText xml:space="preserve"> PAGEREF _Toc223595310 \h </w:instrText>
        </w:r>
        <w:r>
          <w:rPr>
            <w:noProof/>
            <w:webHidden/>
          </w:rPr>
        </w:r>
        <w:r>
          <w:rPr>
            <w:noProof/>
            <w:webHidden/>
          </w:rPr>
          <w:fldChar w:fldCharType="separate"/>
        </w:r>
        <w:r>
          <w:rPr>
            <w:noProof/>
            <w:webHidden/>
          </w:rPr>
          <w:t>9</w:t>
        </w:r>
        <w:r>
          <w:rPr>
            <w:noProof/>
            <w:webHidden/>
          </w:rPr>
          <w:fldChar w:fldCharType="end"/>
        </w:r>
      </w:hyperlink>
    </w:p>
    <w:p w14:paraId="4D859B00" w14:textId="4F5EF846" w:rsidR="00F37BFC" w:rsidRDefault="00F37BFC">
      <w:pPr>
        <w:pStyle w:val="TOC2"/>
        <w:tabs>
          <w:tab w:val="left" w:pos="720"/>
          <w:tab w:val="right" w:leader="dot" w:pos="9016"/>
        </w:tabs>
        <w:rPr>
          <w:rFonts w:asciiTheme="minorHAnsi" w:eastAsiaTheme="minorEastAsia" w:hAnsiTheme="minorHAnsi"/>
          <w:noProof/>
          <w:kern w:val="2"/>
          <w:szCs w:val="24"/>
          <w:lang w:eastAsia="en-GB"/>
          <w14:ligatures w14:val="standardContextual"/>
        </w:rPr>
      </w:pPr>
      <w:hyperlink w:anchor="_Toc223595311" w:history="1">
        <w:r w:rsidRPr="00FF5629">
          <w:rPr>
            <w:rStyle w:val="Hyperlink"/>
            <w:noProof/>
          </w:rPr>
          <w:t>8.</w:t>
        </w:r>
        <w:r>
          <w:rPr>
            <w:rFonts w:asciiTheme="minorHAnsi" w:eastAsiaTheme="minorEastAsia" w:hAnsiTheme="minorHAnsi"/>
            <w:noProof/>
            <w:kern w:val="2"/>
            <w:szCs w:val="24"/>
            <w:lang w:eastAsia="en-GB"/>
            <w14:ligatures w14:val="standardContextual"/>
          </w:rPr>
          <w:tab/>
        </w:r>
        <w:r w:rsidRPr="00FF5629">
          <w:rPr>
            <w:rStyle w:val="Hyperlink"/>
            <w:noProof/>
          </w:rPr>
          <w:t>BENEFITS IN KIND</w:t>
        </w:r>
        <w:r>
          <w:rPr>
            <w:noProof/>
            <w:webHidden/>
          </w:rPr>
          <w:tab/>
        </w:r>
        <w:r>
          <w:rPr>
            <w:noProof/>
            <w:webHidden/>
          </w:rPr>
          <w:fldChar w:fldCharType="begin"/>
        </w:r>
        <w:r>
          <w:rPr>
            <w:noProof/>
            <w:webHidden/>
          </w:rPr>
          <w:instrText xml:space="preserve"> PAGEREF _Toc223595311 \h </w:instrText>
        </w:r>
        <w:r>
          <w:rPr>
            <w:noProof/>
            <w:webHidden/>
          </w:rPr>
        </w:r>
        <w:r>
          <w:rPr>
            <w:noProof/>
            <w:webHidden/>
          </w:rPr>
          <w:fldChar w:fldCharType="separate"/>
        </w:r>
        <w:r>
          <w:rPr>
            <w:noProof/>
            <w:webHidden/>
          </w:rPr>
          <w:t>9</w:t>
        </w:r>
        <w:r>
          <w:rPr>
            <w:noProof/>
            <w:webHidden/>
          </w:rPr>
          <w:fldChar w:fldCharType="end"/>
        </w:r>
      </w:hyperlink>
    </w:p>
    <w:p w14:paraId="19982014" w14:textId="6246A32A" w:rsidR="00F37BFC" w:rsidRDefault="00F37BFC">
      <w:pPr>
        <w:pStyle w:val="TOC2"/>
        <w:tabs>
          <w:tab w:val="left" w:pos="720"/>
          <w:tab w:val="right" w:leader="dot" w:pos="9016"/>
        </w:tabs>
        <w:rPr>
          <w:rFonts w:asciiTheme="minorHAnsi" w:eastAsiaTheme="minorEastAsia" w:hAnsiTheme="minorHAnsi"/>
          <w:noProof/>
          <w:kern w:val="2"/>
          <w:szCs w:val="24"/>
          <w:lang w:eastAsia="en-GB"/>
          <w14:ligatures w14:val="standardContextual"/>
        </w:rPr>
      </w:pPr>
      <w:hyperlink w:anchor="_Toc223595312" w:history="1">
        <w:r w:rsidRPr="00FF5629">
          <w:rPr>
            <w:rStyle w:val="Hyperlink"/>
            <w:noProof/>
          </w:rPr>
          <w:t>9.</w:t>
        </w:r>
        <w:r>
          <w:rPr>
            <w:rFonts w:asciiTheme="minorHAnsi" w:eastAsiaTheme="minorEastAsia" w:hAnsiTheme="minorHAnsi"/>
            <w:noProof/>
            <w:kern w:val="2"/>
            <w:szCs w:val="24"/>
            <w:lang w:eastAsia="en-GB"/>
            <w14:ligatures w14:val="standardContextual"/>
          </w:rPr>
          <w:tab/>
        </w:r>
        <w:r w:rsidRPr="00FF5629">
          <w:rPr>
            <w:rStyle w:val="Hyperlink"/>
            <w:noProof/>
          </w:rPr>
          <w:t>RELATIONSHIP BETWEEN THE PAY OF THE HIGHEST AND LOWEST EARNER</w:t>
        </w:r>
        <w:r>
          <w:rPr>
            <w:noProof/>
            <w:webHidden/>
          </w:rPr>
          <w:tab/>
        </w:r>
        <w:r>
          <w:rPr>
            <w:noProof/>
            <w:webHidden/>
          </w:rPr>
          <w:fldChar w:fldCharType="begin"/>
        </w:r>
        <w:r>
          <w:rPr>
            <w:noProof/>
            <w:webHidden/>
          </w:rPr>
          <w:instrText xml:space="preserve"> PAGEREF _Toc223595312 \h </w:instrText>
        </w:r>
        <w:r>
          <w:rPr>
            <w:noProof/>
            <w:webHidden/>
          </w:rPr>
        </w:r>
        <w:r>
          <w:rPr>
            <w:noProof/>
            <w:webHidden/>
          </w:rPr>
          <w:fldChar w:fldCharType="separate"/>
        </w:r>
        <w:r>
          <w:rPr>
            <w:noProof/>
            <w:webHidden/>
          </w:rPr>
          <w:t>10</w:t>
        </w:r>
        <w:r>
          <w:rPr>
            <w:noProof/>
            <w:webHidden/>
          </w:rPr>
          <w:fldChar w:fldCharType="end"/>
        </w:r>
      </w:hyperlink>
    </w:p>
    <w:p w14:paraId="7C1357E8" w14:textId="38A2D679" w:rsidR="00F37BFC" w:rsidRDefault="00F37BFC">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223595313" w:history="1">
        <w:r w:rsidRPr="00FF5629">
          <w:rPr>
            <w:rStyle w:val="Hyperlink"/>
            <w:noProof/>
          </w:rPr>
          <w:t>10.</w:t>
        </w:r>
        <w:r>
          <w:rPr>
            <w:rFonts w:asciiTheme="minorHAnsi" w:eastAsiaTheme="minorEastAsia" w:hAnsiTheme="minorHAnsi"/>
            <w:noProof/>
            <w:kern w:val="2"/>
            <w:szCs w:val="24"/>
            <w:lang w:eastAsia="en-GB"/>
            <w14:ligatures w14:val="standardContextual"/>
          </w:rPr>
          <w:tab/>
        </w:r>
        <w:r w:rsidRPr="00FF5629">
          <w:rPr>
            <w:rStyle w:val="Hyperlink"/>
            <w:noProof/>
          </w:rPr>
          <w:t>PUBLICATION</w:t>
        </w:r>
        <w:r>
          <w:rPr>
            <w:noProof/>
            <w:webHidden/>
          </w:rPr>
          <w:tab/>
        </w:r>
        <w:r>
          <w:rPr>
            <w:noProof/>
            <w:webHidden/>
          </w:rPr>
          <w:fldChar w:fldCharType="begin"/>
        </w:r>
        <w:r>
          <w:rPr>
            <w:noProof/>
            <w:webHidden/>
          </w:rPr>
          <w:instrText xml:space="preserve"> PAGEREF _Toc223595313 \h </w:instrText>
        </w:r>
        <w:r>
          <w:rPr>
            <w:noProof/>
            <w:webHidden/>
          </w:rPr>
        </w:r>
        <w:r>
          <w:rPr>
            <w:noProof/>
            <w:webHidden/>
          </w:rPr>
          <w:fldChar w:fldCharType="separate"/>
        </w:r>
        <w:r>
          <w:rPr>
            <w:noProof/>
            <w:webHidden/>
          </w:rPr>
          <w:t>10</w:t>
        </w:r>
        <w:r>
          <w:rPr>
            <w:noProof/>
            <w:webHidden/>
          </w:rPr>
          <w:fldChar w:fldCharType="end"/>
        </w:r>
      </w:hyperlink>
    </w:p>
    <w:p w14:paraId="0D206BC6" w14:textId="69A04C1B" w:rsidR="00F37BFC" w:rsidRDefault="00F37BFC">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223595314" w:history="1">
        <w:r w:rsidRPr="00FF5629">
          <w:rPr>
            <w:rStyle w:val="Hyperlink"/>
            <w:noProof/>
          </w:rPr>
          <w:t>11.</w:t>
        </w:r>
        <w:r>
          <w:rPr>
            <w:rFonts w:asciiTheme="minorHAnsi" w:eastAsiaTheme="minorEastAsia" w:hAnsiTheme="minorHAnsi"/>
            <w:noProof/>
            <w:kern w:val="2"/>
            <w:szCs w:val="24"/>
            <w:lang w:eastAsia="en-GB"/>
            <w14:ligatures w14:val="standardContextual"/>
          </w:rPr>
          <w:tab/>
        </w:r>
        <w:r w:rsidRPr="00FF5629">
          <w:rPr>
            <w:rStyle w:val="Hyperlink"/>
            <w:noProof/>
          </w:rPr>
          <w:t>ANNUAL REVIEW</w:t>
        </w:r>
        <w:r>
          <w:rPr>
            <w:noProof/>
            <w:webHidden/>
          </w:rPr>
          <w:tab/>
        </w:r>
        <w:r>
          <w:rPr>
            <w:noProof/>
            <w:webHidden/>
          </w:rPr>
          <w:fldChar w:fldCharType="begin"/>
        </w:r>
        <w:r>
          <w:rPr>
            <w:noProof/>
            <w:webHidden/>
          </w:rPr>
          <w:instrText xml:space="preserve"> PAGEREF _Toc223595314 \h </w:instrText>
        </w:r>
        <w:r>
          <w:rPr>
            <w:noProof/>
            <w:webHidden/>
          </w:rPr>
        </w:r>
        <w:r>
          <w:rPr>
            <w:noProof/>
            <w:webHidden/>
          </w:rPr>
          <w:fldChar w:fldCharType="separate"/>
        </w:r>
        <w:r>
          <w:rPr>
            <w:noProof/>
            <w:webHidden/>
          </w:rPr>
          <w:t>10</w:t>
        </w:r>
        <w:r>
          <w:rPr>
            <w:noProof/>
            <w:webHidden/>
          </w:rPr>
          <w:fldChar w:fldCharType="end"/>
        </w:r>
      </w:hyperlink>
    </w:p>
    <w:p w14:paraId="79AC6A7D" w14:textId="026845DC" w:rsidR="00D1293A" w:rsidRDefault="00F37BFC" w:rsidP="00F37BFC">
      <w:pPr>
        <w:autoSpaceDE w:val="0"/>
        <w:autoSpaceDN w:val="0"/>
        <w:adjustRightInd w:val="0"/>
        <w:jc w:val="both"/>
        <w:rPr>
          <w:rFonts w:cs="Arial"/>
          <w:b/>
          <w:bCs/>
          <w:szCs w:val="24"/>
        </w:rPr>
        <w:sectPr w:rsidR="00D1293A">
          <w:pgSz w:w="11906" w:h="16838"/>
          <w:pgMar w:top="1440" w:right="1440" w:bottom="1440" w:left="1440" w:header="708" w:footer="708" w:gutter="0"/>
          <w:cols w:space="708"/>
          <w:docGrid w:linePitch="360"/>
        </w:sectPr>
      </w:pPr>
      <w:r>
        <w:rPr>
          <w:rFonts w:cs="Arial"/>
          <w:b/>
          <w:bCs/>
          <w:szCs w:val="24"/>
        </w:rPr>
        <w:fldChar w:fldCharType="end"/>
      </w:r>
      <w:bookmarkEnd w:id="0"/>
    </w:p>
    <w:p w14:paraId="73248496" w14:textId="5D652024" w:rsidR="004A56BD" w:rsidRPr="00D86199" w:rsidRDefault="004A56BD" w:rsidP="001C70EC">
      <w:pPr>
        <w:pStyle w:val="Numberedheading2"/>
      </w:pPr>
      <w:bookmarkStart w:id="3" w:name="_Toc223595304"/>
      <w:r w:rsidRPr="00D86199">
        <w:lastRenderedPageBreak/>
        <w:t>BACKGROUND</w:t>
      </w:r>
      <w:bookmarkEnd w:id="3"/>
    </w:p>
    <w:p w14:paraId="5AFF6B06" w14:textId="5202B600" w:rsidR="004A56BD" w:rsidRPr="004A56BD" w:rsidRDefault="004A56BD" w:rsidP="001C70EC">
      <w:pPr>
        <w:autoSpaceDE w:val="0"/>
        <w:autoSpaceDN w:val="0"/>
        <w:adjustRightInd w:val="0"/>
        <w:ind w:left="720"/>
        <w:jc w:val="both"/>
        <w:rPr>
          <w:rFonts w:cs="Arial"/>
          <w:szCs w:val="24"/>
        </w:rPr>
      </w:pPr>
      <w:r w:rsidRPr="004A56BD">
        <w:rPr>
          <w:rFonts w:cs="Arial"/>
          <w:szCs w:val="24"/>
        </w:rPr>
        <w:t xml:space="preserve">Section 38 of the Localism Act 2011 requires local authorities to publish a Pay Policy Statement by 31 March each year. </w:t>
      </w:r>
    </w:p>
    <w:p w14:paraId="13B99AD3" w14:textId="3A95B44D" w:rsidR="004A56BD" w:rsidRPr="004A56BD" w:rsidRDefault="004A56BD" w:rsidP="001C70EC">
      <w:pPr>
        <w:tabs>
          <w:tab w:val="left" w:pos="9639"/>
        </w:tabs>
        <w:autoSpaceDE w:val="0"/>
        <w:autoSpaceDN w:val="0"/>
        <w:adjustRightInd w:val="0"/>
        <w:ind w:left="720"/>
        <w:jc w:val="both"/>
        <w:rPr>
          <w:rFonts w:cs="Arial"/>
          <w:szCs w:val="24"/>
        </w:rPr>
      </w:pPr>
      <w:r w:rsidRPr="004A56BD">
        <w:rPr>
          <w:rFonts w:cs="Arial"/>
          <w:szCs w:val="24"/>
        </w:rPr>
        <w:t xml:space="preserve">The Act and supporting statutory guidance </w:t>
      </w:r>
      <w:proofErr w:type="gramStart"/>
      <w:r w:rsidRPr="004A56BD">
        <w:rPr>
          <w:rFonts w:cs="Arial"/>
          <w:szCs w:val="24"/>
        </w:rPr>
        <w:t>provides</w:t>
      </w:r>
      <w:proofErr w:type="gramEnd"/>
      <w:r w:rsidRPr="004A56BD">
        <w:rPr>
          <w:rFonts w:cs="Arial"/>
          <w:szCs w:val="24"/>
        </w:rPr>
        <w:t xml:space="preserve"> details of information that must be included in this statutory pay policy but also emphasises that each local authority has the autonomy to take its own decisions on pay and pay policies.</w:t>
      </w:r>
    </w:p>
    <w:p w14:paraId="52755BBB" w14:textId="682DA812" w:rsidR="004A56BD" w:rsidRPr="004A56BD" w:rsidRDefault="004A56BD" w:rsidP="001C70EC">
      <w:pPr>
        <w:tabs>
          <w:tab w:val="left" w:pos="9639"/>
        </w:tabs>
        <w:autoSpaceDE w:val="0"/>
        <w:autoSpaceDN w:val="0"/>
        <w:adjustRightInd w:val="0"/>
        <w:ind w:left="720"/>
        <w:jc w:val="both"/>
        <w:rPr>
          <w:rFonts w:cs="Arial"/>
          <w:szCs w:val="24"/>
        </w:rPr>
      </w:pPr>
      <w:r w:rsidRPr="004A56BD">
        <w:rPr>
          <w:rFonts w:cs="Arial"/>
          <w:szCs w:val="24"/>
        </w:rPr>
        <w:t xml:space="preserve">The Pay Policy Statement will be agreed by Full Council before the beginning of each financial year and will </w:t>
      </w:r>
      <w:r w:rsidR="00F50AAD">
        <w:rPr>
          <w:rFonts w:cs="Arial"/>
          <w:szCs w:val="24"/>
        </w:rPr>
        <w:t xml:space="preserve">be </w:t>
      </w:r>
      <w:r w:rsidRPr="004A56BD">
        <w:rPr>
          <w:rFonts w:cs="Arial"/>
          <w:szCs w:val="24"/>
        </w:rPr>
        <w:t xml:space="preserve">published on the Council’s website and must be complied with when setting the terms and conditions of Chief Officer employees.  The statement may also be amended by Full Council </w:t>
      </w:r>
      <w:proofErr w:type="gramStart"/>
      <w:r w:rsidRPr="004A56BD">
        <w:rPr>
          <w:rFonts w:cs="Arial"/>
          <w:szCs w:val="24"/>
        </w:rPr>
        <w:t>during the course of</w:t>
      </w:r>
      <w:proofErr w:type="gramEnd"/>
      <w:r w:rsidRPr="004A56BD">
        <w:rPr>
          <w:rFonts w:cs="Arial"/>
          <w:szCs w:val="24"/>
        </w:rPr>
        <w:t xml:space="preserve"> the year if necessary.</w:t>
      </w:r>
    </w:p>
    <w:p w14:paraId="7B4CEEEB" w14:textId="09529954" w:rsidR="004A56BD" w:rsidRPr="004A56BD" w:rsidRDefault="004A56BD" w:rsidP="001C70EC">
      <w:pPr>
        <w:tabs>
          <w:tab w:val="left" w:pos="9639"/>
        </w:tabs>
        <w:autoSpaceDE w:val="0"/>
        <w:autoSpaceDN w:val="0"/>
        <w:adjustRightInd w:val="0"/>
        <w:ind w:left="720"/>
        <w:jc w:val="both"/>
        <w:rPr>
          <w:rFonts w:cs="Arial"/>
          <w:szCs w:val="24"/>
        </w:rPr>
      </w:pPr>
      <w:r w:rsidRPr="004A56BD">
        <w:rPr>
          <w:rFonts w:cs="Arial"/>
          <w:szCs w:val="24"/>
        </w:rPr>
        <w:t xml:space="preserve">The information and data in this Statement is current as of </w:t>
      </w:r>
      <w:r w:rsidR="001C70EC" w:rsidRPr="004A56BD">
        <w:rPr>
          <w:rFonts w:cs="Arial"/>
          <w:szCs w:val="24"/>
        </w:rPr>
        <w:t>January</w:t>
      </w:r>
      <w:r w:rsidRPr="004A56BD">
        <w:rPr>
          <w:rFonts w:cs="Arial"/>
          <w:szCs w:val="24"/>
        </w:rPr>
        <w:t xml:space="preserve"> 2026.</w:t>
      </w:r>
    </w:p>
    <w:p w14:paraId="5176B358" w14:textId="6E21DADE" w:rsidR="004A56BD" w:rsidRPr="004A56BD" w:rsidRDefault="004A56BD" w:rsidP="001C70EC">
      <w:pPr>
        <w:pStyle w:val="Numberedheading2"/>
      </w:pPr>
      <w:bookmarkStart w:id="4" w:name="_Toc223595305"/>
      <w:r w:rsidRPr="004A56BD">
        <w:t>PURPOSE AND SCOPE</w:t>
      </w:r>
      <w:bookmarkEnd w:id="4"/>
    </w:p>
    <w:p w14:paraId="51CB081E" w14:textId="6BED3BD8" w:rsidR="004A56BD" w:rsidRPr="004A56BD" w:rsidRDefault="004A56BD" w:rsidP="001C70EC">
      <w:r w:rsidRPr="004A56BD">
        <w:t>The purpose of the statement is to increase accountability in relation to payments made to senior members of local authority staff by enabling public scrutiny.</w:t>
      </w:r>
    </w:p>
    <w:p w14:paraId="750335DF" w14:textId="77777777" w:rsidR="004A56BD" w:rsidRPr="004A56BD" w:rsidRDefault="004A56BD" w:rsidP="001C70EC">
      <w:r w:rsidRPr="004A56BD">
        <w:t>The core requirements of the provisions of the Localism Act are that a Pay Policy Statement must set out the Council’s policies relating to senior salaries, remuneration and pay multiples, specifically in relation to the:</w:t>
      </w:r>
    </w:p>
    <w:p w14:paraId="17369716" w14:textId="0C2692C2" w:rsidR="004A56BD" w:rsidRPr="004A56BD" w:rsidRDefault="004A56BD" w:rsidP="001C70EC">
      <w:pPr>
        <w:pStyle w:val="ListParagraph"/>
        <w:numPr>
          <w:ilvl w:val="0"/>
          <w:numId w:val="15"/>
        </w:numPr>
      </w:pPr>
      <w:r w:rsidRPr="004A56BD">
        <w:t>Level and elements of remuneration for each Chief Officer.</w:t>
      </w:r>
    </w:p>
    <w:p w14:paraId="244EF033" w14:textId="112EB3FC" w:rsidR="004A56BD" w:rsidRPr="004A56BD" w:rsidRDefault="004A56BD" w:rsidP="001C70EC">
      <w:pPr>
        <w:pStyle w:val="ListParagraph"/>
        <w:numPr>
          <w:ilvl w:val="0"/>
          <w:numId w:val="15"/>
        </w:numPr>
      </w:pPr>
      <w:r w:rsidRPr="004A56BD">
        <w:t>Remuneration of the lowest paid employees.</w:t>
      </w:r>
    </w:p>
    <w:p w14:paraId="5254A162" w14:textId="7B2D8699" w:rsidR="004A56BD" w:rsidRDefault="004A56BD" w:rsidP="001C70EC">
      <w:pPr>
        <w:pStyle w:val="ListParagraph"/>
        <w:numPr>
          <w:ilvl w:val="0"/>
          <w:numId w:val="15"/>
        </w:numPr>
      </w:pPr>
      <w:r w:rsidRPr="004A56BD">
        <w:t>Definition used for this group and the reason for adopting this definition.</w:t>
      </w:r>
    </w:p>
    <w:p w14:paraId="13C01AC0" w14:textId="3A8BC699" w:rsidR="004A56BD" w:rsidRPr="004A56BD" w:rsidRDefault="004A56BD" w:rsidP="001C70EC">
      <w:pPr>
        <w:pStyle w:val="ListParagraph"/>
        <w:numPr>
          <w:ilvl w:val="0"/>
          <w:numId w:val="15"/>
        </w:numPr>
      </w:pPr>
      <w:r w:rsidRPr="004A56BD">
        <w:t>Relationship between the remuneration of Chief Officers and that of other Officers.</w:t>
      </w:r>
    </w:p>
    <w:p w14:paraId="5C3420F7" w14:textId="61F6AD4D" w:rsidR="004A56BD" w:rsidRDefault="004A56BD" w:rsidP="001C70EC">
      <w:pPr>
        <w:pStyle w:val="ListParagraph"/>
        <w:numPr>
          <w:ilvl w:val="0"/>
          <w:numId w:val="15"/>
        </w:numPr>
      </w:pPr>
      <w:r w:rsidRPr="004A56BD">
        <w:t xml:space="preserve">The Pay Multiple relationship between the highest and lowest earnings and between the highest earning and the </w:t>
      </w:r>
      <w:r w:rsidR="001A349C" w:rsidRPr="004A56BD">
        <w:t>medi</w:t>
      </w:r>
      <w:r w:rsidR="001A349C">
        <w:t>an</w:t>
      </w:r>
      <w:r w:rsidR="001A349C" w:rsidRPr="004A56BD">
        <w:t xml:space="preserve"> </w:t>
      </w:r>
      <w:r w:rsidRPr="004A56BD">
        <w:t>earning figure for the whole workforce.</w:t>
      </w:r>
    </w:p>
    <w:p w14:paraId="56E18AC1" w14:textId="0D90DFF4" w:rsidR="004A56BD" w:rsidRPr="004A56BD" w:rsidRDefault="004A56BD" w:rsidP="0090478C">
      <w:r w:rsidRPr="004A56BD">
        <w:t>These can be found in</w:t>
      </w:r>
      <w:r w:rsidR="001D0F98">
        <w:t xml:space="preserve"> </w:t>
      </w:r>
      <w:r w:rsidR="001D0F98" w:rsidRPr="001D0F98">
        <w:rPr>
          <w:b/>
          <w:bCs/>
        </w:rPr>
        <w:t>S</w:t>
      </w:r>
      <w:r w:rsidRPr="001D0F98">
        <w:rPr>
          <w:b/>
          <w:bCs/>
        </w:rPr>
        <w:t xml:space="preserve">ection </w:t>
      </w:r>
      <w:r w:rsidR="00D86199">
        <w:rPr>
          <w:b/>
          <w:bCs/>
        </w:rPr>
        <w:t>5</w:t>
      </w:r>
      <w:r w:rsidR="001D0F98">
        <w:rPr>
          <w:b/>
          <w:bCs/>
        </w:rPr>
        <w:t>.</w:t>
      </w:r>
    </w:p>
    <w:p w14:paraId="67E00B6F" w14:textId="0FCB6445" w:rsidR="004A56BD" w:rsidRDefault="004A56BD" w:rsidP="0090478C">
      <w:r w:rsidRPr="004A56BD">
        <w:t>The Act defines Ch</w:t>
      </w:r>
      <w:r>
        <w:t>ief Officer remuneration as the level and elements of remuneration for each Chief Officer (including salary, charges, fees, allowances, benefits in kind, any increase in enhancements of pension entitlements and termination payments</w:t>
      </w:r>
      <w:r w:rsidR="00A37BB1">
        <w:t>)</w:t>
      </w:r>
      <w:r>
        <w:t>.</w:t>
      </w:r>
    </w:p>
    <w:p w14:paraId="55C3C930" w14:textId="1522F42B" w:rsidR="00B9324B" w:rsidRDefault="00B9324B" w:rsidP="0090478C">
      <w:r>
        <w:t xml:space="preserve">Posts identified as Chief Officers </w:t>
      </w:r>
      <w:r w:rsidR="00A37BB1">
        <w:t>are</w:t>
      </w:r>
      <w:r>
        <w:t xml:space="preserve"> set out in Appendix 1. </w:t>
      </w:r>
    </w:p>
    <w:p w14:paraId="0DC4B408" w14:textId="15E206EE" w:rsidR="00B9324B" w:rsidRDefault="00B9324B" w:rsidP="0090478C">
      <w:r>
        <w:lastRenderedPageBreak/>
        <w:t xml:space="preserve">The Statement includes all employees covered by the National </w:t>
      </w:r>
      <w:r w:rsidR="00A37BB1">
        <w:t>J</w:t>
      </w:r>
      <w:r>
        <w:t xml:space="preserve">oint </w:t>
      </w:r>
      <w:r w:rsidR="00A37BB1">
        <w:t>C</w:t>
      </w:r>
      <w:r>
        <w:t>ouncil (NJC) for Local Government Services national agreement on pay and conditions of service and those covered by the Joint Negotiating Committee (JNC) conditions of service for Chief Executive’s and Chief Officers.</w:t>
      </w:r>
    </w:p>
    <w:p w14:paraId="68FA2A84" w14:textId="40FE287E" w:rsidR="001D0F98" w:rsidRPr="00906D8D" w:rsidRDefault="001D0F98" w:rsidP="0090478C">
      <w:pPr>
        <w:pStyle w:val="Numberedheading2"/>
      </w:pPr>
      <w:bookmarkStart w:id="5" w:name="_Toc223595306"/>
      <w:r>
        <w:t>REMUNERATION OF CHIEF OFFICERS</w:t>
      </w:r>
      <w:bookmarkEnd w:id="5"/>
      <w:r>
        <w:t xml:space="preserve"> </w:t>
      </w:r>
    </w:p>
    <w:p w14:paraId="603DF5A0" w14:textId="6C58155D" w:rsidR="001D0F98" w:rsidRPr="00906D8D" w:rsidRDefault="001D0F98" w:rsidP="0090478C">
      <w:r w:rsidRPr="00906D8D">
        <w:t xml:space="preserve">The posts which are Chief Officer posts for the purposes of the Council’s Pay Policy Statement under the Localism Act 2011 </w:t>
      </w:r>
      <w:r w:rsidR="00252131" w:rsidRPr="00906D8D">
        <w:t>are: -</w:t>
      </w:r>
    </w:p>
    <w:p w14:paraId="4404D5A3" w14:textId="21EF6434" w:rsidR="001D0F98" w:rsidRPr="00906D8D" w:rsidRDefault="001D0F98" w:rsidP="0090478C">
      <w:pPr>
        <w:pStyle w:val="ListParagraph"/>
        <w:numPr>
          <w:ilvl w:val="0"/>
          <w:numId w:val="16"/>
        </w:numPr>
      </w:pPr>
      <w:r w:rsidRPr="00906D8D">
        <w:t>Chief Executive (as Head of Paid Service</w:t>
      </w:r>
      <w:r w:rsidR="00321E9F">
        <w:t xml:space="preserve"> </w:t>
      </w:r>
      <w:r w:rsidRPr="00906D8D">
        <w:t>-</w:t>
      </w:r>
      <w:r w:rsidR="00321E9F">
        <w:t xml:space="preserve"> </w:t>
      </w:r>
      <w:r w:rsidRPr="00906D8D">
        <w:t>S43 (2) (a) of the 2011 Act)</w:t>
      </w:r>
    </w:p>
    <w:p w14:paraId="789D540A" w14:textId="77777777" w:rsidR="0090478C" w:rsidRDefault="001D0F98" w:rsidP="0090478C">
      <w:pPr>
        <w:pStyle w:val="ListParagraph"/>
        <w:numPr>
          <w:ilvl w:val="0"/>
          <w:numId w:val="16"/>
        </w:numPr>
      </w:pPr>
      <w:r w:rsidRPr="00906D8D">
        <w:t xml:space="preserve">Executive Director - Governance and Monitoring Officer (S43 (2) (b) of the 2011 </w:t>
      </w:r>
      <w:r>
        <w:t>A</w:t>
      </w:r>
      <w:r w:rsidRPr="00906D8D">
        <w:t>ct)</w:t>
      </w:r>
    </w:p>
    <w:p w14:paraId="669CD6D2" w14:textId="70834FE7" w:rsidR="001D0F98" w:rsidRPr="00906D8D" w:rsidRDefault="001D0F98" w:rsidP="0090478C">
      <w:pPr>
        <w:pStyle w:val="ListParagraph"/>
        <w:numPr>
          <w:ilvl w:val="0"/>
          <w:numId w:val="16"/>
        </w:numPr>
      </w:pPr>
      <w:r w:rsidRPr="00906D8D">
        <w:t>Executive Director - Transformation (S43 (2) (d) of the 2011 Act)</w:t>
      </w:r>
    </w:p>
    <w:p w14:paraId="5C96BFA2" w14:textId="77777777" w:rsidR="0090478C" w:rsidRDefault="001D0F98" w:rsidP="0090478C">
      <w:pPr>
        <w:pStyle w:val="ListParagraph"/>
        <w:numPr>
          <w:ilvl w:val="0"/>
          <w:numId w:val="16"/>
        </w:numPr>
      </w:pPr>
      <w:r w:rsidRPr="00906D8D">
        <w:t>Executive Director – Place (S43 (2) (d) of the 2011 Act)</w:t>
      </w:r>
    </w:p>
    <w:p w14:paraId="17FD1FAD" w14:textId="4612DC35" w:rsidR="001D0F98" w:rsidRPr="00906D8D" w:rsidRDefault="001D0F98" w:rsidP="0090478C">
      <w:pPr>
        <w:pStyle w:val="ListParagraph"/>
        <w:numPr>
          <w:ilvl w:val="0"/>
          <w:numId w:val="16"/>
        </w:numPr>
      </w:pPr>
      <w:r w:rsidRPr="00906D8D">
        <w:t>Executive Director – Operations (S43 (2) (d) of the 2011 Act)</w:t>
      </w:r>
    </w:p>
    <w:p w14:paraId="096245C3" w14:textId="36C1A17E" w:rsidR="001D0F98" w:rsidRPr="00BA063D" w:rsidRDefault="001D0F98" w:rsidP="0090478C">
      <w:pPr>
        <w:pStyle w:val="ListParagraph"/>
        <w:numPr>
          <w:ilvl w:val="0"/>
          <w:numId w:val="16"/>
        </w:numPr>
      </w:pPr>
      <w:r w:rsidRPr="00906D8D">
        <w:t>Corporate Resources Director (as Section 151 Officer</w:t>
      </w:r>
      <w:r w:rsidR="00095882">
        <w:t xml:space="preserve"> </w:t>
      </w:r>
      <w:r w:rsidRPr="00906D8D">
        <w:t>-</w:t>
      </w:r>
      <w:r w:rsidR="00095882">
        <w:t xml:space="preserve"> </w:t>
      </w:r>
      <w:r w:rsidRPr="00906D8D">
        <w:t>S43(2)(c) of th</w:t>
      </w:r>
      <w:r>
        <w:t xml:space="preserve">e </w:t>
      </w:r>
      <w:r w:rsidRPr="00BA063D">
        <w:t>2011 Act)</w:t>
      </w:r>
    </w:p>
    <w:p w14:paraId="1A1AF2FA" w14:textId="74665077" w:rsidR="001D0F98" w:rsidRPr="00906D8D" w:rsidRDefault="001D0F98" w:rsidP="0090478C">
      <w:r w:rsidRPr="00906D8D">
        <w:t>The policy for each group is as follows</w:t>
      </w:r>
      <w:r>
        <w:t>:</w:t>
      </w:r>
    </w:p>
    <w:p w14:paraId="16E82FF3" w14:textId="77777777" w:rsidR="001D0F98" w:rsidRPr="00906D8D" w:rsidRDefault="001D0F98" w:rsidP="0090478C">
      <w:pPr>
        <w:pStyle w:val="Heading3"/>
        <w:rPr>
          <w:b w:val="0"/>
        </w:rPr>
      </w:pPr>
      <w:r w:rsidRPr="00906D8D">
        <w:t>Chief Executive</w:t>
      </w:r>
    </w:p>
    <w:p w14:paraId="6484298F" w14:textId="77777777" w:rsidR="001D0F98" w:rsidRPr="0090478C" w:rsidRDefault="001D0F98" w:rsidP="0090478C">
      <w:pPr>
        <w:pStyle w:val="ListParagraph"/>
        <w:numPr>
          <w:ilvl w:val="0"/>
          <w:numId w:val="17"/>
        </w:numPr>
      </w:pPr>
      <w:r w:rsidRPr="0090478C">
        <w:t xml:space="preserve">The salary for this post is within a locally determined pay scale which is spinal points CEOP1 to CEOP3, which equates to £121,997 - £136,623 per annum. </w:t>
      </w:r>
    </w:p>
    <w:p w14:paraId="3D3B3A33" w14:textId="77777777" w:rsidR="001D0F98" w:rsidRPr="0090478C" w:rsidRDefault="001D0F98" w:rsidP="0090478C">
      <w:pPr>
        <w:pStyle w:val="ListParagraph"/>
        <w:numPr>
          <w:ilvl w:val="0"/>
          <w:numId w:val="17"/>
        </w:numPr>
      </w:pPr>
      <w:r w:rsidRPr="0090478C">
        <w:t>The pay scale was determined by the Council’s Chief Officers Employment Committee following an analysis of benchmark data with other comparators and an analysis of the degree of responsibility for the role.</w:t>
      </w:r>
    </w:p>
    <w:p w14:paraId="24349BE8" w14:textId="77777777" w:rsidR="001D0F98" w:rsidRPr="0090478C" w:rsidRDefault="001D0F98" w:rsidP="0090478C">
      <w:pPr>
        <w:pStyle w:val="ListParagraph"/>
        <w:numPr>
          <w:ilvl w:val="0"/>
          <w:numId w:val="17"/>
        </w:numPr>
      </w:pPr>
      <w:r w:rsidRPr="0090478C">
        <w:t xml:space="preserve">Progression through the scale is determined through satisfactory annual performance appraisals. </w:t>
      </w:r>
    </w:p>
    <w:p w14:paraId="742CFFD6" w14:textId="2ED15CA0" w:rsidR="001D0F98" w:rsidRPr="0090478C" w:rsidRDefault="001D0F98" w:rsidP="0090478C">
      <w:pPr>
        <w:pStyle w:val="ListParagraph"/>
        <w:numPr>
          <w:ilvl w:val="0"/>
          <w:numId w:val="17"/>
        </w:numPr>
      </w:pPr>
      <w:r w:rsidRPr="0090478C">
        <w:t xml:space="preserve">Other Conditions of Service are as prescribed by the Joint National Council (JNC) for Local Authority Chief Executives national conditions. </w:t>
      </w:r>
    </w:p>
    <w:p w14:paraId="35E15025" w14:textId="77777777" w:rsidR="001D0F98" w:rsidRPr="00906D8D" w:rsidRDefault="001D0F98" w:rsidP="0090478C">
      <w:pPr>
        <w:pStyle w:val="Heading3"/>
      </w:pPr>
      <w:r w:rsidRPr="00906D8D">
        <w:t xml:space="preserve">Monitoring Officer and Executive Directors </w:t>
      </w:r>
    </w:p>
    <w:p w14:paraId="1FCC6865" w14:textId="5BCD37D0" w:rsidR="001D0F98" w:rsidRPr="00906D8D" w:rsidRDefault="001D0F98" w:rsidP="0090478C">
      <w:pPr>
        <w:pStyle w:val="ListParagraph"/>
        <w:numPr>
          <w:ilvl w:val="0"/>
          <w:numId w:val="18"/>
        </w:numPr>
      </w:pPr>
      <w:r w:rsidRPr="00906D8D">
        <w:t>The salary for these posts is a locally determined fixed salary point of £100,724 per annum.</w:t>
      </w:r>
    </w:p>
    <w:p w14:paraId="7FCDB312" w14:textId="77777777" w:rsidR="001D0F98" w:rsidRPr="00906D8D" w:rsidRDefault="001D0F98" w:rsidP="0090478C">
      <w:pPr>
        <w:pStyle w:val="ListParagraph"/>
        <w:numPr>
          <w:ilvl w:val="0"/>
          <w:numId w:val="18"/>
        </w:numPr>
      </w:pPr>
      <w:r w:rsidRPr="00906D8D">
        <w:t xml:space="preserve">The pay scale was determined by the Council’s Chief Officers Employment Committee following an analysis of benchmark data with </w:t>
      </w:r>
      <w:r w:rsidRPr="00906D8D">
        <w:lastRenderedPageBreak/>
        <w:t xml:space="preserve">other comparators and an analysis of the degree of responsibility for the role. </w:t>
      </w:r>
    </w:p>
    <w:p w14:paraId="03DDE336" w14:textId="4BF1F5AD" w:rsidR="001D0F98" w:rsidRDefault="001D0F98" w:rsidP="0090478C">
      <w:pPr>
        <w:pStyle w:val="ListParagraph"/>
        <w:numPr>
          <w:ilvl w:val="0"/>
          <w:numId w:val="18"/>
        </w:numPr>
      </w:pPr>
      <w:r w:rsidRPr="00906D8D">
        <w:t xml:space="preserve">Other Conditions of Service are as prescribed by the Joint National Council (JNC) for Local Authority Services. </w:t>
      </w:r>
    </w:p>
    <w:p w14:paraId="3C46DEA5" w14:textId="2385C7A5" w:rsidR="001D0F98" w:rsidRPr="00906D8D" w:rsidRDefault="001D0F98" w:rsidP="0090478C">
      <w:pPr>
        <w:pStyle w:val="Heading3"/>
      </w:pPr>
      <w:r w:rsidRPr="00906D8D">
        <w:t>Section 151 Officer (Corporate Resources Director)</w:t>
      </w:r>
    </w:p>
    <w:p w14:paraId="05D831FE" w14:textId="77777777" w:rsidR="001D0F98" w:rsidRPr="00906D8D" w:rsidRDefault="001D0F98" w:rsidP="001D0F98">
      <w:pPr>
        <w:pStyle w:val="ListParagraph"/>
        <w:numPr>
          <w:ilvl w:val="0"/>
          <w:numId w:val="6"/>
        </w:numPr>
        <w:spacing w:after="0" w:line="240" w:lineRule="auto"/>
        <w:ind w:left="1134" w:hanging="425"/>
        <w:jc w:val="both"/>
        <w:rPr>
          <w:rFonts w:cs="Arial"/>
          <w:szCs w:val="24"/>
        </w:rPr>
      </w:pPr>
      <w:r w:rsidRPr="00906D8D">
        <w:rPr>
          <w:rFonts w:cs="Arial"/>
          <w:szCs w:val="24"/>
        </w:rPr>
        <w:t>The salary scale for this post is a locally determined fixed salary point of £90,651 per annum.</w:t>
      </w:r>
    </w:p>
    <w:p w14:paraId="540E6FBE" w14:textId="77777777" w:rsidR="00913011" w:rsidRDefault="001D0F98" w:rsidP="00913011">
      <w:pPr>
        <w:pStyle w:val="ListParagraph"/>
        <w:numPr>
          <w:ilvl w:val="0"/>
          <w:numId w:val="5"/>
        </w:numPr>
        <w:autoSpaceDE w:val="0"/>
        <w:autoSpaceDN w:val="0"/>
        <w:adjustRightInd w:val="0"/>
        <w:spacing w:after="0" w:line="240" w:lineRule="auto"/>
        <w:ind w:left="1134" w:hanging="425"/>
        <w:jc w:val="both"/>
        <w:rPr>
          <w:rFonts w:cs="Arial"/>
          <w:szCs w:val="24"/>
        </w:rPr>
      </w:pPr>
      <w:r w:rsidRPr="00906D8D">
        <w:rPr>
          <w:rFonts w:cs="Arial"/>
          <w:szCs w:val="24"/>
        </w:rPr>
        <w:t xml:space="preserve">Other Conditions of Service are as prescribed by the Joint National Council (JNC) for Local Authority Services. </w:t>
      </w:r>
    </w:p>
    <w:p w14:paraId="527BF430" w14:textId="63F83BDF" w:rsidR="00913011" w:rsidRPr="00252131" w:rsidRDefault="00913011" w:rsidP="0090478C">
      <w:r w:rsidRPr="00252131">
        <w:t>No member of the Strategic Leadership Group (i.e. those posts listed above) is entitled to other additional elements of remuneration in respect of overtime, flexitime, bank holiday working, stand-by payments etc. as these officers are expected to undertake duties outside their contractual hours and working patterns without additional payment.</w:t>
      </w:r>
    </w:p>
    <w:p w14:paraId="0E66DAD6" w14:textId="77777777" w:rsidR="001D0F98" w:rsidRPr="00906D8D" w:rsidRDefault="001D0F98" w:rsidP="0090478C">
      <w:pPr>
        <w:pStyle w:val="Heading3"/>
      </w:pPr>
      <w:r w:rsidRPr="00906D8D">
        <w:t>Other Chief Officer posts</w:t>
      </w:r>
    </w:p>
    <w:p w14:paraId="1AE5F84F" w14:textId="1F854230" w:rsidR="001D0F98" w:rsidRPr="001D0F98" w:rsidRDefault="001D0F98" w:rsidP="0090478C">
      <w:r w:rsidRPr="001D0F98">
        <w:t>Although not defined as Chief Officers for the purposes of the Pay Policy, the Council also employs employees at Assistant Director level, whose Terms and Conditions of Service are as prescribed by the Joint National Council (JNC) for Local Authority Services. The salary range for these posts is £7</w:t>
      </w:r>
      <w:r w:rsidR="002122B4">
        <w:t>0,617</w:t>
      </w:r>
      <w:r w:rsidRPr="001D0F98">
        <w:t xml:space="preserve"> - £76,091 per annum. Details of these posts are listed below:</w:t>
      </w:r>
    </w:p>
    <w:p w14:paraId="05ACFF43" w14:textId="77777777" w:rsidR="001D0F98" w:rsidRPr="00906D8D" w:rsidRDefault="001D0F98" w:rsidP="0090478C">
      <w:pPr>
        <w:pStyle w:val="ListParagraph"/>
        <w:numPr>
          <w:ilvl w:val="0"/>
          <w:numId w:val="19"/>
        </w:numPr>
        <w:autoSpaceDE w:val="0"/>
        <w:autoSpaceDN w:val="0"/>
        <w:adjustRightInd w:val="0"/>
        <w:jc w:val="both"/>
        <w:rPr>
          <w:rFonts w:cs="Arial"/>
          <w:szCs w:val="24"/>
        </w:rPr>
      </w:pPr>
      <w:r w:rsidRPr="00906D8D">
        <w:rPr>
          <w:rFonts w:cs="Arial"/>
          <w:szCs w:val="24"/>
        </w:rPr>
        <w:t>Assistant Director - Assets</w:t>
      </w:r>
    </w:p>
    <w:p w14:paraId="58C95AA2" w14:textId="3371C20D" w:rsidR="001D0F98" w:rsidRPr="00906D8D" w:rsidRDefault="001D0F98" w:rsidP="0090478C">
      <w:pPr>
        <w:pStyle w:val="ListParagraph"/>
        <w:numPr>
          <w:ilvl w:val="0"/>
          <w:numId w:val="19"/>
        </w:numPr>
        <w:autoSpaceDE w:val="0"/>
        <w:autoSpaceDN w:val="0"/>
        <w:adjustRightInd w:val="0"/>
        <w:jc w:val="both"/>
        <w:rPr>
          <w:rFonts w:cs="Arial"/>
          <w:szCs w:val="24"/>
        </w:rPr>
      </w:pPr>
      <w:r w:rsidRPr="00906D8D">
        <w:rPr>
          <w:rFonts w:cs="Arial"/>
          <w:szCs w:val="24"/>
        </w:rPr>
        <w:t>Assistant Director - Corp</w:t>
      </w:r>
      <w:r w:rsidR="009573F5">
        <w:rPr>
          <w:rFonts w:cs="Arial"/>
          <w:szCs w:val="24"/>
        </w:rPr>
        <w:t>orate</w:t>
      </w:r>
      <w:r w:rsidRPr="00906D8D">
        <w:rPr>
          <w:rFonts w:cs="Arial"/>
          <w:szCs w:val="24"/>
        </w:rPr>
        <w:t xml:space="preserve"> Health and Safety</w:t>
      </w:r>
    </w:p>
    <w:p w14:paraId="3FA6DE44" w14:textId="77777777" w:rsidR="001D0F98" w:rsidRPr="00906D8D" w:rsidRDefault="001D0F98" w:rsidP="0090478C">
      <w:pPr>
        <w:pStyle w:val="ListParagraph"/>
        <w:numPr>
          <w:ilvl w:val="0"/>
          <w:numId w:val="19"/>
        </w:numPr>
        <w:autoSpaceDE w:val="0"/>
        <w:autoSpaceDN w:val="0"/>
        <w:adjustRightInd w:val="0"/>
        <w:jc w:val="both"/>
        <w:rPr>
          <w:rFonts w:cs="Arial"/>
          <w:szCs w:val="24"/>
        </w:rPr>
      </w:pPr>
      <w:r w:rsidRPr="00906D8D">
        <w:rPr>
          <w:rFonts w:cs="Arial"/>
          <w:szCs w:val="24"/>
        </w:rPr>
        <w:t>Assistant Director - Customer Experience</w:t>
      </w:r>
    </w:p>
    <w:p w14:paraId="7FA9BDF3" w14:textId="77777777" w:rsidR="001D0F98" w:rsidRPr="00906D8D" w:rsidRDefault="001D0F98" w:rsidP="0090478C">
      <w:pPr>
        <w:pStyle w:val="ListParagraph"/>
        <w:numPr>
          <w:ilvl w:val="0"/>
          <w:numId w:val="19"/>
        </w:numPr>
        <w:autoSpaceDE w:val="0"/>
        <w:autoSpaceDN w:val="0"/>
        <w:adjustRightInd w:val="0"/>
        <w:jc w:val="both"/>
        <w:rPr>
          <w:rFonts w:cs="Arial"/>
          <w:szCs w:val="24"/>
        </w:rPr>
      </w:pPr>
      <w:r w:rsidRPr="00906D8D">
        <w:rPr>
          <w:rFonts w:cs="Arial"/>
          <w:szCs w:val="24"/>
        </w:rPr>
        <w:t>Assistant Director - Democracy</w:t>
      </w:r>
    </w:p>
    <w:p w14:paraId="2DE91F05" w14:textId="77777777" w:rsidR="001D0F98" w:rsidRPr="00906D8D" w:rsidRDefault="001D0F98" w:rsidP="0090478C">
      <w:pPr>
        <w:pStyle w:val="ListParagraph"/>
        <w:numPr>
          <w:ilvl w:val="0"/>
          <w:numId w:val="19"/>
        </w:numPr>
        <w:autoSpaceDE w:val="0"/>
        <w:autoSpaceDN w:val="0"/>
        <w:adjustRightInd w:val="0"/>
        <w:jc w:val="both"/>
        <w:rPr>
          <w:rFonts w:cs="Arial"/>
          <w:szCs w:val="24"/>
        </w:rPr>
      </w:pPr>
      <w:r w:rsidRPr="00906D8D">
        <w:rPr>
          <w:rFonts w:cs="Arial"/>
          <w:szCs w:val="24"/>
        </w:rPr>
        <w:t>Assistant Director - Digital</w:t>
      </w:r>
    </w:p>
    <w:p w14:paraId="6357D383" w14:textId="77777777" w:rsidR="001D0F98" w:rsidRPr="00906D8D" w:rsidRDefault="001D0F98" w:rsidP="0090478C">
      <w:pPr>
        <w:pStyle w:val="ListParagraph"/>
        <w:numPr>
          <w:ilvl w:val="0"/>
          <w:numId w:val="19"/>
        </w:numPr>
        <w:autoSpaceDE w:val="0"/>
        <w:autoSpaceDN w:val="0"/>
        <w:adjustRightInd w:val="0"/>
        <w:jc w:val="both"/>
        <w:rPr>
          <w:rFonts w:cs="Arial"/>
          <w:szCs w:val="24"/>
        </w:rPr>
      </w:pPr>
      <w:r w:rsidRPr="00906D8D">
        <w:rPr>
          <w:rFonts w:cs="Arial"/>
          <w:szCs w:val="24"/>
        </w:rPr>
        <w:t>Assistant Director - Housing Management</w:t>
      </w:r>
    </w:p>
    <w:p w14:paraId="3B5A3A7B" w14:textId="77777777" w:rsidR="001D0F98" w:rsidRPr="00906D8D" w:rsidRDefault="001D0F98" w:rsidP="0090478C">
      <w:pPr>
        <w:pStyle w:val="ListParagraph"/>
        <w:numPr>
          <w:ilvl w:val="0"/>
          <w:numId w:val="19"/>
        </w:numPr>
        <w:autoSpaceDE w:val="0"/>
        <w:autoSpaceDN w:val="0"/>
        <w:adjustRightInd w:val="0"/>
        <w:jc w:val="both"/>
        <w:rPr>
          <w:rFonts w:cs="Arial"/>
          <w:szCs w:val="24"/>
        </w:rPr>
      </w:pPr>
      <w:r w:rsidRPr="00906D8D">
        <w:rPr>
          <w:rFonts w:cs="Arial"/>
          <w:szCs w:val="24"/>
        </w:rPr>
        <w:t>Assistant Director - Housing Operations</w:t>
      </w:r>
    </w:p>
    <w:p w14:paraId="0F825E1F" w14:textId="77777777" w:rsidR="001D0F98" w:rsidRPr="00906D8D" w:rsidRDefault="001D0F98" w:rsidP="0090478C">
      <w:pPr>
        <w:pStyle w:val="ListParagraph"/>
        <w:numPr>
          <w:ilvl w:val="0"/>
          <w:numId w:val="19"/>
        </w:numPr>
        <w:autoSpaceDE w:val="0"/>
        <w:autoSpaceDN w:val="0"/>
        <w:adjustRightInd w:val="0"/>
        <w:jc w:val="both"/>
        <w:rPr>
          <w:rFonts w:cs="Arial"/>
          <w:szCs w:val="24"/>
        </w:rPr>
      </w:pPr>
      <w:r w:rsidRPr="00906D8D">
        <w:rPr>
          <w:rFonts w:cs="Arial"/>
          <w:szCs w:val="24"/>
        </w:rPr>
        <w:t>Assistant Director - Legal</w:t>
      </w:r>
    </w:p>
    <w:p w14:paraId="17619226" w14:textId="77777777" w:rsidR="001D0F98" w:rsidRPr="00906D8D" w:rsidRDefault="001D0F98" w:rsidP="0090478C">
      <w:pPr>
        <w:pStyle w:val="ListParagraph"/>
        <w:numPr>
          <w:ilvl w:val="0"/>
          <w:numId w:val="19"/>
        </w:numPr>
        <w:autoSpaceDE w:val="0"/>
        <w:autoSpaceDN w:val="0"/>
        <w:adjustRightInd w:val="0"/>
        <w:jc w:val="both"/>
        <w:rPr>
          <w:rFonts w:cs="Arial"/>
          <w:szCs w:val="24"/>
        </w:rPr>
      </w:pPr>
      <w:r w:rsidRPr="00906D8D">
        <w:rPr>
          <w:rFonts w:cs="Arial"/>
          <w:szCs w:val="24"/>
        </w:rPr>
        <w:t>Assistant Director - Neighbourhoods</w:t>
      </w:r>
    </w:p>
    <w:p w14:paraId="153068D7" w14:textId="77777777" w:rsidR="001D0F98" w:rsidRPr="00906D8D" w:rsidRDefault="001D0F98" w:rsidP="0090478C">
      <w:pPr>
        <w:pStyle w:val="ListParagraph"/>
        <w:numPr>
          <w:ilvl w:val="0"/>
          <w:numId w:val="19"/>
        </w:numPr>
        <w:autoSpaceDE w:val="0"/>
        <w:autoSpaceDN w:val="0"/>
        <w:adjustRightInd w:val="0"/>
        <w:jc w:val="both"/>
        <w:rPr>
          <w:rFonts w:cs="Arial"/>
          <w:szCs w:val="24"/>
        </w:rPr>
      </w:pPr>
      <w:r w:rsidRPr="00906D8D">
        <w:rPr>
          <w:rFonts w:cs="Arial"/>
          <w:szCs w:val="24"/>
        </w:rPr>
        <w:t>Assistant Director - Planning</w:t>
      </w:r>
    </w:p>
    <w:p w14:paraId="7D32B9F2" w14:textId="77777777" w:rsidR="001D0F98" w:rsidRPr="00906D8D" w:rsidRDefault="001D0F98" w:rsidP="0090478C">
      <w:pPr>
        <w:pStyle w:val="ListParagraph"/>
        <w:numPr>
          <w:ilvl w:val="0"/>
          <w:numId w:val="19"/>
        </w:numPr>
        <w:autoSpaceDE w:val="0"/>
        <w:autoSpaceDN w:val="0"/>
        <w:adjustRightInd w:val="0"/>
        <w:jc w:val="both"/>
        <w:rPr>
          <w:rFonts w:cs="Arial"/>
          <w:szCs w:val="24"/>
        </w:rPr>
      </w:pPr>
      <w:r w:rsidRPr="00906D8D">
        <w:rPr>
          <w:rFonts w:cs="Arial"/>
          <w:szCs w:val="24"/>
        </w:rPr>
        <w:t>Assistant Director - Policy and Performance</w:t>
      </w:r>
    </w:p>
    <w:p w14:paraId="1E1481CF" w14:textId="77777777" w:rsidR="001D0F98" w:rsidRPr="00906D8D" w:rsidRDefault="001D0F98" w:rsidP="0090478C">
      <w:pPr>
        <w:pStyle w:val="ListParagraph"/>
        <w:numPr>
          <w:ilvl w:val="0"/>
          <w:numId w:val="19"/>
        </w:numPr>
        <w:autoSpaceDE w:val="0"/>
        <w:autoSpaceDN w:val="0"/>
        <w:adjustRightInd w:val="0"/>
        <w:jc w:val="both"/>
        <w:rPr>
          <w:rFonts w:cs="Arial"/>
          <w:szCs w:val="24"/>
        </w:rPr>
      </w:pPr>
      <w:r w:rsidRPr="00906D8D">
        <w:rPr>
          <w:rFonts w:cs="Arial"/>
          <w:szCs w:val="24"/>
        </w:rPr>
        <w:t>Assistant Director - Regeneration</w:t>
      </w:r>
    </w:p>
    <w:p w14:paraId="13C4B6A5" w14:textId="77777777" w:rsidR="001D0F98" w:rsidRPr="00906D8D" w:rsidRDefault="001D0F98" w:rsidP="0090478C">
      <w:pPr>
        <w:pStyle w:val="ListParagraph"/>
        <w:numPr>
          <w:ilvl w:val="0"/>
          <w:numId w:val="19"/>
        </w:numPr>
        <w:autoSpaceDE w:val="0"/>
        <w:autoSpaceDN w:val="0"/>
        <w:adjustRightInd w:val="0"/>
        <w:jc w:val="both"/>
        <w:rPr>
          <w:rFonts w:cs="Arial"/>
          <w:szCs w:val="24"/>
        </w:rPr>
      </w:pPr>
      <w:r w:rsidRPr="00906D8D">
        <w:rPr>
          <w:rFonts w:cs="Arial"/>
          <w:szCs w:val="24"/>
        </w:rPr>
        <w:t>Assistant Director - Strategic Housing</w:t>
      </w:r>
    </w:p>
    <w:p w14:paraId="7C9FA69D" w14:textId="77777777" w:rsidR="001D0F98" w:rsidRPr="00906D8D" w:rsidRDefault="001D0F98" w:rsidP="0090478C">
      <w:pPr>
        <w:pStyle w:val="ListParagraph"/>
        <w:numPr>
          <w:ilvl w:val="0"/>
          <w:numId w:val="19"/>
        </w:numPr>
        <w:autoSpaceDE w:val="0"/>
        <w:autoSpaceDN w:val="0"/>
        <w:adjustRightInd w:val="0"/>
        <w:jc w:val="both"/>
        <w:rPr>
          <w:rFonts w:cs="Arial"/>
          <w:szCs w:val="24"/>
        </w:rPr>
      </w:pPr>
      <w:r w:rsidRPr="00906D8D">
        <w:rPr>
          <w:rFonts w:cs="Arial"/>
          <w:szCs w:val="24"/>
        </w:rPr>
        <w:lastRenderedPageBreak/>
        <w:t>Assistant Director - Revenues and Benefits</w:t>
      </w:r>
    </w:p>
    <w:p w14:paraId="622292C7" w14:textId="41A2564B" w:rsidR="00602399" w:rsidRPr="00D86199" w:rsidRDefault="001D0F98" w:rsidP="0090478C">
      <w:pPr>
        <w:pStyle w:val="ListParagraph"/>
        <w:numPr>
          <w:ilvl w:val="0"/>
          <w:numId w:val="19"/>
        </w:numPr>
        <w:autoSpaceDE w:val="0"/>
        <w:autoSpaceDN w:val="0"/>
        <w:adjustRightInd w:val="0"/>
        <w:jc w:val="both"/>
        <w:rPr>
          <w:rFonts w:cs="Arial"/>
          <w:szCs w:val="24"/>
        </w:rPr>
      </w:pPr>
      <w:r w:rsidRPr="00906D8D">
        <w:rPr>
          <w:rFonts w:cs="Arial"/>
          <w:szCs w:val="24"/>
        </w:rPr>
        <w:t xml:space="preserve">Assistant Director </w:t>
      </w:r>
      <w:r w:rsidR="00602399">
        <w:rPr>
          <w:rFonts w:cs="Arial"/>
          <w:szCs w:val="24"/>
        </w:rPr>
        <w:t>–</w:t>
      </w:r>
      <w:r w:rsidRPr="00906D8D">
        <w:rPr>
          <w:rFonts w:cs="Arial"/>
          <w:szCs w:val="24"/>
        </w:rPr>
        <w:t xml:space="preserve"> Finance</w:t>
      </w:r>
    </w:p>
    <w:p w14:paraId="326B8F32" w14:textId="350F604B" w:rsidR="00D86199" w:rsidRPr="00D86199" w:rsidRDefault="00D86199" w:rsidP="0090478C">
      <w:pPr>
        <w:pStyle w:val="Numberedheading2"/>
      </w:pPr>
      <w:bookmarkStart w:id="6" w:name="_Toc223595307"/>
      <w:r>
        <w:t>LOWEST PAID EMPLOYEES</w:t>
      </w:r>
      <w:bookmarkEnd w:id="6"/>
    </w:p>
    <w:p w14:paraId="4E7D1B85" w14:textId="5102586B" w:rsidR="00D86199" w:rsidRDefault="00D86199" w:rsidP="0090478C">
      <w:r>
        <w:t xml:space="preserve">With effect from 1 April 2025 the lowest paid employee is paid at Grade A, SCP 4, this equates to £25,186 annual basic bay (£13.0541 per hour) which exceeds the age related statutory National Living Wage of £12.21 per hour for workers aged 21 years and over.   This increases to £12.71 per hour from </w:t>
      </w:r>
      <w:proofErr w:type="gramStart"/>
      <w:r>
        <w:t>April,</w:t>
      </w:r>
      <w:proofErr w:type="gramEnd"/>
      <w:r>
        <w:t xml:space="preserve"> 2026.</w:t>
      </w:r>
    </w:p>
    <w:p w14:paraId="6B1C3943" w14:textId="6BAF67F3" w:rsidR="00D86199" w:rsidRDefault="00D86199" w:rsidP="0090478C">
      <w:r>
        <w:t>The Council ensure</w:t>
      </w:r>
      <w:r w:rsidR="00E10CC1">
        <w:t>s</w:t>
      </w:r>
      <w:r>
        <w:t xml:space="preserve"> that remuneration of the lowest paid employee reflects the Living Wage.</w:t>
      </w:r>
    </w:p>
    <w:p w14:paraId="79CFF0F2" w14:textId="77946DF7" w:rsidR="00D86199" w:rsidRDefault="00D86199" w:rsidP="0090478C">
      <w:pPr>
        <w:pStyle w:val="Numberedheading2"/>
      </w:pPr>
      <w:bookmarkStart w:id="7" w:name="_Toc223595308"/>
      <w:r>
        <w:t xml:space="preserve">PAY STRUCTURE </w:t>
      </w:r>
      <w:r w:rsidR="00FB0D01">
        <w:t>AND ALLOWANCES</w:t>
      </w:r>
      <w:bookmarkEnd w:id="7"/>
      <w:r w:rsidR="00FB0D01">
        <w:t xml:space="preserve"> </w:t>
      </w:r>
    </w:p>
    <w:p w14:paraId="395B6F06" w14:textId="77777777" w:rsidR="00D86199" w:rsidRPr="00B9324B" w:rsidRDefault="00D86199" w:rsidP="0090478C">
      <w:pPr>
        <w:pStyle w:val="Heading3"/>
      </w:pPr>
      <w:r>
        <w:t xml:space="preserve">Terms and Conditions of Service </w:t>
      </w:r>
    </w:p>
    <w:p w14:paraId="03BEFD72" w14:textId="77777777" w:rsidR="00D86199" w:rsidRPr="00906D8D" w:rsidRDefault="00D86199" w:rsidP="0090478C">
      <w:r w:rsidRPr="00906D8D">
        <w:t>The pay structure for all employees outside Chief Officers is in accordance with the NJC for Local Authorities National Pay Spine.</w:t>
      </w:r>
    </w:p>
    <w:p w14:paraId="510D9DBC" w14:textId="77777777" w:rsidR="00D86199" w:rsidRDefault="00D86199" w:rsidP="0090478C">
      <w:r w:rsidRPr="00906D8D">
        <w:t>All posts outside the Chief Officers are evaluated using a locally adopted job evaluation scheme. The Council adopted the NJC Job Evaluation Scheme for all employees outside those on Chief Officer’s terms and conditions during 2014 – 2015.</w:t>
      </w:r>
    </w:p>
    <w:p w14:paraId="12690C4B" w14:textId="169C3A4D" w:rsidR="00D86199" w:rsidRDefault="00D86199" w:rsidP="0090478C">
      <w:pPr>
        <w:pStyle w:val="Heading3"/>
      </w:pPr>
      <w:r>
        <w:t>Job Evaluation</w:t>
      </w:r>
    </w:p>
    <w:p w14:paraId="6309484D" w14:textId="77777777" w:rsidR="00D86199" w:rsidRDefault="00D86199" w:rsidP="0090478C">
      <w:r>
        <w:t xml:space="preserve">The scheme ensures a systematic process to assess the salary for posts in an open and transparent format ensuring consistency. </w:t>
      </w:r>
    </w:p>
    <w:p w14:paraId="76278E82" w14:textId="77777777" w:rsidR="00D86199" w:rsidRPr="001D0F98" w:rsidRDefault="00D86199" w:rsidP="0090478C">
      <w:r>
        <w:t>The grading of JNC posts is determined locally.</w:t>
      </w:r>
    </w:p>
    <w:p w14:paraId="6692F794" w14:textId="77777777" w:rsidR="00D86199" w:rsidRDefault="00D86199" w:rsidP="0090478C">
      <w:pPr>
        <w:pStyle w:val="Heading3"/>
      </w:pPr>
      <w:r>
        <w:t xml:space="preserve">Pay Awards and Increases </w:t>
      </w:r>
    </w:p>
    <w:p w14:paraId="2F30C767" w14:textId="7D0F8F20" w:rsidR="00D86199" w:rsidRPr="00906D8D" w:rsidRDefault="00D86199" w:rsidP="00F37BFC">
      <w:r w:rsidRPr="00906D8D">
        <w:t>A cost of living pay increase was agreed at 3</w:t>
      </w:r>
      <w:r w:rsidR="008501A7">
        <w:t>.</w:t>
      </w:r>
      <w:r w:rsidRPr="00906D8D">
        <w:t>2% for JNC Chief Executives, JNC for Chief Officers and, this agreement was payable from 1</w:t>
      </w:r>
      <w:r w:rsidRPr="00906D8D">
        <w:rPr>
          <w:vertAlign w:val="superscript"/>
        </w:rPr>
        <w:t>st</w:t>
      </w:r>
      <w:r w:rsidRPr="00906D8D">
        <w:t xml:space="preserve"> April 2025.</w:t>
      </w:r>
    </w:p>
    <w:p w14:paraId="7D5E7DB3" w14:textId="6FC2DACC" w:rsidR="00D86199" w:rsidRPr="00906D8D" w:rsidRDefault="00D86199" w:rsidP="00F37BFC">
      <w:r w:rsidRPr="00906D8D">
        <w:t>For staff on NJC terms and conditions a pay increase of 3.2% was payable from</w:t>
      </w:r>
      <w:r w:rsidR="008501A7">
        <w:t xml:space="preserve"> </w:t>
      </w:r>
      <w:r w:rsidRPr="00906D8D">
        <w:t>1st April 2025.</w:t>
      </w:r>
    </w:p>
    <w:p w14:paraId="2D094094" w14:textId="77777777" w:rsidR="00D86199" w:rsidRPr="00906D8D" w:rsidRDefault="00D86199" w:rsidP="00F37BFC">
      <w:r w:rsidRPr="00906D8D">
        <w:t>Pay awards are negotiated nationally. When a national pay award is agreed the pay rates stated in 2.2 above will change to reflect the percentage increase awarded.</w:t>
      </w:r>
    </w:p>
    <w:p w14:paraId="603F8E5F" w14:textId="1A077569" w:rsidR="00D86199" w:rsidRDefault="00D86199" w:rsidP="00F37BFC">
      <w:pPr>
        <w:pStyle w:val="Heading3"/>
      </w:pPr>
      <w:r>
        <w:t>Pensions</w:t>
      </w:r>
    </w:p>
    <w:p w14:paraId="59E8CABA" w14:textId="52B61A0F" w:rsidR="00D86199" w:rsidRPr="00D86199" w:rsidRDefault="00D86199" w:rsidP="00F37BFC">
      <w:pPr>
        <w:rPr>
          <w:b/>
          <w:bCs/>
        </w:rPr>
      </w:pPr>
      <w:r w:rsidRPr="00906D8D">
        <w:t xml:space="preserve">All employees, including Chief Officers, who are members of the Local Government Pension Scheme (LGPS), make individual contributions to the </w:t>
      </w:r>
      <w:r w:rsidRPr="00906D8D">
        <w:lastRenderedPageBreak/>
        <w:t>scheme in accordance with the following, which were effective from 1 April 2025.</w:t>
      </w:r>
    </w:p>
    <w:tbl>
      <w:tblPr>
        <w:tblpPr w:leftFromText="180" w:rightFromText="180" w:vertAnchor="text" w:horzAnchor="page" w:tblpX="2151" w:tblpY="211"/>
        <w:tblW w:w="8285" w:type="dxa"/>
        <w:tblLook w:val="04A0" w:firstRow="1" w:lastRow="0" w:firstColumn="1" w:lastColumn="0" w:noHBand="0" w:noVBand="1"/>
      </w:tblPr>
      <w:tblGrid>
        <w:gridCol w:w="964"/>
        <w:gridCol w:w="2370"/>
        <w:gridCol w:w="3837"/>
        <w:gridCol w:w="1114"/>
      </w:tblGrid>
      <w:tr w:rsidR="00D86199" w:rsidRPr="00906D8D" w14:paraId="57158879" w14:textId="77777777" w:rsidTr="00FB0D01">
        <w:trPr>
          <w:trHeight w:val="318"/>
        </w:trPr>
        <w:tc>
          <w:tcPr>
            <w:tcW w:w="964" w:type="dxa"/>
            <w:vMerge w:val="restart"/>
            <w:tcBorders>
              <w:top w:val="single" w:sz="8" w:space="0" w:color="auto"/>
              <w:left w:val="single" w:sz="8" w:space="0" w:color="auto"/>
              <w:bottom w:val="single" w:sz="8" w:space="0" w:color="000000"/>
              <w:right w:val="single" w:sz="8" w:space="0" w:color="auto"/>
            </w:tcBorders>
            <w:noWrap/>
            <w:vAlign w:val="center"/>
            <w:hideMark/>
          </w:tcPr>
          <w:p w14:paraId="0145BF63" w14:textId="77777777" w:rsidR="00D86199" w:rsidRPr="00906D8D" w:rsidRDefault="00D86199" w:rsidP="00F37BFC">
            <w:pPr>
              <w:spacing w:after="0" w:line="240" w:lineRule="auto"/>
              <w:ind w:left="0"/>
              <w:jc w:val="center"/>
              <w:rPr>
                <w:rFonts w:eastAsia="Times New Roman" w:cs="Arial"/>
                <w:szCs w:val="24"/>
                <w:lang w:eastAsia="en-GB"/>
              </w:rPr>
            </w:pPr>
            <w:r w:rsidRPr="00906D8D">
              <w:rPr>
                <w:rFonts w:eastAsia="Times New Roman" w:cs="Arial"/>
                <w:szCs w:val="24"/>
                <w:lang w:eastAsia="en-GB"/>
              </w:rPr>
              <w:t>Band</w:t>
            </w:r>
          </w:p>
        </w:tc>
        <w:tc>
          <w:tcPr>
            <w:tcW w:w="2370" w:type="dxa"/>
            <w:vMerge w:val="restart"/>
            <w:tcBorders>
              <w:top w:val="single" w:sz="8" w:space="0" w:color="auto"/>
              <w:left w:val="single" w:sz="8" w:space="0" w:color="auto"/>
              <w:bottom w:val="single" w:sz="8" w:space="0" w:color="000000"/>
              <w:right w:val="single" w:sz="8" w:space="0" w:color="auto"/>
            </w:tcBorders>
            <w:noWrap/>
            <w:vAlign w:val="center"/>
            <w:hideMark/>
          </w:tcPr>
          <w:p w14:paraId="6BCBE984" w14:textId="77777777" w:rsidR="00D86199" w:rsidRPr="00906D8D" w:rsidRDefault="00D86199" w:rsidP="00F37BFC">
            <w:pPr>
              <w:spacing w:after="0" w:line="240" w:lineRule="auto"/>
              <w:ind w:left="0"/>
              <w:jc w:val="center"/>
              <w:rPr>
                <w:rFonts w:eastAsia="Times New Roman" w:cs="Arial"/>
                <w:szCs w:val="24"/>
                <w:lang w:eastAsia="en-GB"/>
              </w:rPr>
            </w:pPr>
            <w:r w:rsidRPr="00906D8D">
              <w:rPr>
                <w:rFonts w:eastAsia="Times New Roman" w:cs="Arial"/>
                <w:szCs w:val="24"/>
                <w:lang w:eastAsia="en-GB"/>
              </w:rPr>
              <w:t>Range</w:t>
            </w:r>
          </w:p>
        </w:tc>
        <w:tc>
          <w:tcPr>
            <w:tcW w:w="4951" w:type="dxa"/>
            <w:gridSpan w:val="2"/>
            <w:tcBorders>
              <w:top w:val="single" w:sz="8" w:space="0" w:color="auto"/>
              <w:left w:val="nil"/>
              <w:bottom w:val="single" w:sz="8" w:space="0" w:color="auto"/>
              <w:right w:val="single" w:sz="8" w:space="0" w:color="000000"/>
            </w:tcBorders>
            <w:vAlign w:val="center"/>
            <w:hideMark/>
          </w:tcPr>
          <w:p w14:paraId="08CA61C5" w14:textId="77777777" w:rsidR="00D86199" w:rsidRPr="00906D8D" w:rsidRDefault="00D86199" w:rsidP="00FB0D01">
            <w:pPr>
              <w:spacing w:after="0" w:line="240" w:lineRule="auto"/>
              <w:jc w:val="center"/>
              <w:rPr>
                <w:rFonts w:eastAsia="Times New Roman" w:cs="Arial"/>
                <w:szCs w:val="24"/>
                <w:lang w:eastAsia="en-GB"/>
              </w:rPr>
            </w:pPr>
            <w:r w:rsidRPr="00906D8D">
              <w:rPr>
                <w:rFonts w:eastAsia="Times New Roman" w:cs="Arial"/>
                <w:szCs w:val="24"/>
                <w:lang w:eastAsia="en-GB"/>
              </w:rPr>
              <w:t>Contribution rate for employment</w:t>
            </w:r>
          </w:p>
        </w:tc>
      </w:tr>
      <w:tr w:rsidR="00D86199" w:rsidRPr="00906D8D" w14:paraId="45EF0610" w14:textId="77777777" w:rsidTr="00FB0D01">
        <w:trPr>
          <w:trHeight w:val="318"/>
        </w:trPr>
        <w:tc>
          <w:tcPr>
            <w:tcW w:w="964" w:type="dxa"/>
            <w:vMerge/>
            <w:tcBorders>
              <w:top w:val="single" w:sz="8" w:space="0" w:color="auto"/>
              <w:left w:val="single" w:sz="8" w:space="0" w:color="auto"/>
              <w:bottom w:val="single" w:sz="8" w:space="0" w:color="000000"/>
              <w:right w:val="single" w:sz="8" w:space="0" w:color="auto"/>
            </w:tcBorders>
            <w:vAlign w:val="center"/>
            <w:hideMark/>
          </w:tcPr>
          <w:p w14:paraId="702175DA" w14:textId="77777777" w:rsidR="00D86199" w:rsidRPr="00906D8D" w:rsidRDefault="00D86199" w:rsidP="00FB0D01">
            <w:pPr>
              <w:spacing w:after="0" w:line="240" w:lineRule="auto"/>
              <w:rPr>
                <w:rFonts w:eastAsia="Times New Roman" w:cs="Arial"/>
                <w:szCs w:val="24"/>
                <w:lang w:eastAsia="en-GB"/>
              </w:rPr>
            </w:pPr>
          </w:p>
        </w:tc>
        <w:tc>
          <w:tcPr>
            <w:tcW w:w="2370" w:type="dxa"/>
            <w:vMerge/>
            <w:tcBorders>
              <w:top w:val="single" w:sz="8" w:space="0" w:color="auto"/>
              <w:left w:val="single" w:sz="8" w:space="0" w:color="auto"/>
              <w:bottom w:val="single" w:sz="8" w:space="0" w:color="000000"/>
              <w:right w:val="single" w:sz="8" w:space="0" w:color="auto"/>
            </w:tcBorders>
            <w:vAlign w:val="center"/>
            <w:hideMark/>
          </w:tcPr>
          <w:p w14:paraId="4EB31B9D" w14:textId="77777777" w:rsidR="00D86199" w:rsidRPr="00906D8D" w:rsidRDefault="00D86199" w:rsidP="00FB0D01">
            <w:pPr>
              <w:spacing w:after="0" w:line="240" w:lineRule="auto"/>
              <w:rPr>
                <w:rFonts w:eastAsia="Times New Roman" w:cs="Arial"/>
                <w:szCs w:val="24"/>
                <w:lang w:eastAsia="en-GB"/>
              </w:rPr>
            </w:pPr>
          </w:p>
        </w:tc>
        <w:tc>
          <w:tcPr>
            <w:tcW w:w="3837" w:type="dxa"/>
            <w:tcBorders>
              <w:top w:val="nil"/>
              <w:left w:val="nil"/>
              <w:bottom w:val="single" w:sz="8" w:space="0" w:color="auto"/>
              <w:right w:val="single" w:sz="8" w:space="0" w:color="auto"/>
            </w:tcBorders>
            <w:noWrap/>
            <w:vAlign w:val="center"/>
            <w:hideMark/>
          </w:tcPr>
          <w:p w14:paraId="483733C5" w14:textId="77777777" w:rsidR="00D86199" w:rsidRPr="00906D8D" w:rsidRDefault="00D86199" w:rsidP="00F37BFC">
            <w:pPr>
              <w:spacing w:after="0" w:line="240" w:lineRule="auto"/>
              <w:ind w:left="0"/>
              <w:jc w:val="center"/>
              <w:rPr>
                <w:rFonts w:eastAsia="Times New Roman" w:cs="Arial"/>
                <w:szCs w:val="24"/>
                <w:lang w:eastAsia="en-GB"/>
              </w:rPr>
            </w:pPr>
            <w:r w:rsidRPr="00906D8D">
              <w:rPr>
                <w:rFonts w:eastAsia="Times New Roman" w:cs="Arial"/>
                <w:szCs w:val="24"/>
                <w:lang w:eastAsia="en-GB"/>
              </w:rPr>
              <w:t>Main Section</w:t>
            </w:r>
          </w:p>
        </w:tc>
        <w:tc>
          <w:tcPr>
            <w:tcW w:w="1114" w:type="dxa"/>
            <w:tcBorders>
              <w:top w:val="nil"/>
              <w:left w:val="nil"/>
              <w:bottom w:val="single" w:sz="8" w:space="0" w:color="auto"/>
              <w:right w:val="single" w:sz="8" w:space="0" w:color="auto"/>
            </w:tcBorders>
            <w:noWrap/>
            <w:vAlign w:val="center"/>
            <w:hideMark/>
          </w:tcPr>
          <w:p w14:paraId="08C9EF53" w14:textId="77777777" w:rsidR="00D86199" w:rsidRPr="00906D8D" w:rsidRDefault="00D86199" w:rsidP="00F37BFC">
            <w:pPr>
              <w:spacing w:after="0" w:line="240" w:lineRule="auto"/>
              <w:ind w:left="0" w:hanging="29"/>
              <w:jc w:val="center"/>
              <w:rPr>
                <w:rFonts w:eastAsia="Times New Roman" w:cs="Arial"/>
                <w:szCs w:val="24"/>
                <w:lang w:eastAsia="en-GB"/>
              </w:rPr>
            </w:pPr>
            <w:r w:rsidRPr="00906D8D">
              <w:rPr>
                <w:rFonts w:eastAsia="Times New Roman" w:cs="Arial"/>
                <w:szCs w:val="24"/>
                <w:lang w:eastAsia="en-GB"/>
              </w:rPr>
              <w:t>50/50 Section*</w:t>
            </w:r>
          </w:p>
        </w:tc>
      </w:tr>
      <w:tr w:rsidR="00D86199" w:rsidRPr="00906D8D" w14:paraId="4BB2C4AC" w14:textId="77777777" w:rsidTr="00F37BFC">
        <w:trPr>
          <w:trHeight w:val="318"/>
        </w:trPr>
        <w:tc>
          <w:tcPr>
            <w:tcW w:w="964" w:type="dxa"/>
            <w:tcBorders>
              <w:top w:val="nil"/>
              <w:left w:val="single" w:sz="8" w:space="0" w:color="auto"/>
              <w:bottom w:val="single" w:sz="8" w:space="0" w:color="auto"/>
              <w:right w:val="single" w:sz="8" w:space="0" w:color="auto"/>
            </w:tcBorders>
            <w:noWrap/>
            <w:vAlign w:val="center"/>
            <w:hideMark/>
          </w:tcPr>
          <w:p w14:paraId="7DC87584" w14:textId="77777777" w:rsidR="00D86199" w:rsidRPr="00906D8D" w:rsidRDefault="00D86199" w:rsidP="00F37BFC">
            <w:pPr>
              <w:spacing w:after="0" w:line="240" w:lineRule="auto"/>
              <w:ind w:left="0"/>
              <w:jc w:val="center"/>
              <w:rPr>
                <w:rFonts w:eastAsia="Times New Roman" w:cs="Arial"/>
                <w:szCs w:val="24"/>
                <w:lang w:eastAsia="en-GB"/>
              </w:rPr>
            </w:pPr>
            <w:r w:rsidRPr="00906D8D">
              <w:rPr>
                <w:rFonts w:eastAsia="Times New Roman" w:cs="Arial"/>
                <w:szCs w:val="24"/>
                <w:lang w:eastAsia="en-GB"/>
              </w:rPr>
              <w:t>1</w:t>
            </w:r>
          </w:p>
        </w:tc>
        <w:tc>
          <w:tcPr>
            <w:tcW w:w="2370" w:type="dxa"/>
            <w:tcBorders>
              <w:top w:val="nil"/>
              <w:left w:val="nil"/>
              <w:bottom w:val="single" w:sz="8" w:space="0" w:color="auto"/>
              <w:right w:val="single" w:sz="8" w:space="0" w:color="auto"/>
            </w:tcBorders>
            <w:noWrap/>
            <w:vAlign w:val="center"/>
            <w:hideMark/>
          </w:tcPr>
          <w:p w14:paraId="0E5143C4" w14:textId="77777777" w:rsidR="00D86199" w:rsidRPr="00F37BFC" w:rsidRDefault="00D86199" w:rsidP="00F37BFC">
            <w:pPr>
              <w:spacing w:after="0" w:line="240" w:lineRule="auto"/>
              <w:ind w:left="0"/>
              <w:rPr>
                <w:rFonts w:eastAsia="Times New Roman" w:cs="Arial"/>
                <w:szCs w:val="24"/>
                <w:lang w:eastAsia="en-GB"/>
              </w:rPr>
            </w:pPr>
            <w:r w:rsidRPr="00F37BFC">
              <w:rPr>
                <w:rFonts w:cs="Arial"/>
                <w:szCs w:val="24"/>
              </w:rPr>
              <w:t>Up to £17,800</w:t>
            </w:r>
          </w:p>
        </w:tc>
        <w:tc>
          <w:tcPr>
            <w:tcW w:w="3837" w:type="dxa"/>
            <w:tcBorders>
              <w:top w:val="nil"/>
              <w:left w:val="nil"/>
              <w:bottom w:val="single" w:sz="8" w:space="0" w:color="auto"/>
              <w:right w:val="single" w:sz="8" w:space="0" w:color="auto"/>
            </w:tcBorders>
            <w:noWrap/>
            <w:vAlign w:val="center"/>
            <w:hideMark/>
          </w:tcPr>
          <w:p w14:paraId="5EA15E97" w14:textId="77777777" w:rsidR="00D86199" w:rsidRPr="00906D8D" w:rsidRDefault="00D86199" w:rsidP="00F37BFC">
            <w:pPr>
              <w:spacing w:after="0" w:line="240" w:lineRule="auto"/>
              <w:ind w:left="0" w:hanging="29"/>
              <w:jc w:val="center"/>
              <w:rPr>
                <w:rFonts w:eastAsia="Times New Roman" w:cs="Arial"/>
                <w:szCs w:val="24"/>
                <w:lang w:eastAsia="en-GB"/>
              </w:rPr>
            </w:pPr>
            <w:r w:rsidRPr="00906D8D">
              <w:rPr>
                <w:rFonts w:eastAsia="Times New Roman" w:cs="Arial"/>
                <w:szCs w:val="24"/>
                <w:lang w:eastAsia="en-GB"/>
              </w:rPr>
              <w:t>5.50%</w:t>
            </w:r>
          </w:p>
        </w:tc>
        <w:tc>
          <w:tcPr>
            <w:tcW w:w="1114" w:type="dxa"/>
            <w:tcBorders>
              <w:top w:val="nil"/>
              <w:left w:val="nil"/>
              <w:bottom w:val="single" w:sz="8" w:space="0" w:color="auto"/>
              <w:right w:val="single" w:sz="8" w:space="0" w:color="auto"/>
            </w:tcBorders>
            <w:noWrap/>
            <w:vAlign w:val="center"/>
            <w:hideMark/>
          </w:tcPr>
          <w:p w14:paraId="6FB69D05" w14:textId="77777777" w:rsidR="00D86199" w:rsidRPr="00906D8D" w:rsidRDefault="00D86199" w:rsidP="00F37BFC">
            <w:pPr>
              <w:spacing w:after="0" w:line="240" w:lineRule="auto"/>
              <w:ind w:left="0"/>
              <w:jc w:val="center"/>
              <w:rPr>
                <w:rFonts w:eastAsia="Times New Roman" w:cs="Arial"/>
                <w:szCs w:val="24"/>
                <w:lang w:eastAsia="en-GB"/>
              </w:rPr>
            </w:pPr>
            <w:r w:rsidRPr="00906D8D">
              <w:rPr>
                <w:rFonts w:eastAsia="Times New Roman" w:cs="Arial"/>
                <w:szCs w:val="24"/>
                <w:lang w:eastAsia="en-GB"/>
              </w:rPr>
              <w:t>2.75%</w:t>
            </w:r>
          </w:p>
        </w:tc>
      </w:tr>
      <w:tr w:rsidR="00D86199" w:rsidRPr="00906D8D" w14:paraId="435B696E" w14:textId="77777777" w:rsidTr="00F37BFC">
        <w:trPr>
          <w:trHeight w:val="318"/>
        </w:trPr>
        <w:tc>
          <w:tcPr>
            <w:tcW w:w="964" w:type="dxa"/>
            <w:tcBorders>
              <w:top w:val="nil"/>
              <w:left w:val="single" w:sz="8" w:space="0" w:color="auto"/>
              <w:bottom w:val="single" w:sz="8" w:space="0" w:color="auto"/>
              <w:right w:val="single" w:sz="8" w:space="0" w:color="auto"/>
            </w:tcBorders>
            <w:noWrap/>
            <w:vAlign w:val="center"/>
            <w:hideMark/>
          </w:tcPr>
          <w:p w14:paraId="242FDE11" w14:textId="77777777" w:rsidR="00D86199" w:rsidRPr="00906D8D" w:rsidRDefault="00D86199" w:rsidP="00F37BFC">
            <w:pPr>
              <w:spacing w:after="0" w:line="240" w:lineRule="auto"/>
              <w:ind w:left="0"/>
              <w:jc w:val="center"/>
              <w:rPr>
                <w:rFonts w:eastAsia="Times New Roman" w:cs="Arial"/>
                <w:szCs w:val="24"/>
                <w:lang w:eastAsia="en-GB"/>
              </w:rPr>
            </w:pPr>
            <w:r w:rsidRPr="00906D8D">
              <w:rPr>
                <w:rFonts w:eastAsia="Times New Roman" w:cs="Arial"/>
                <w:szCs w:val="24"/>
                <w:lang w:eastAsia="en-GB"/>
              </w:rPr>
              <w:t>2</w:t>
            </w:r>
          </w:p>
        </w:tc>
        <w:tc>
          <w:tcPr>
            <w:tcW w:w="2370" w:type="dxa"/>
            <w:tcBorders>
              <w:top w:val="nil"/>
              <w:left w:val="nil"/>
              <w:bottom w:val="single" w:sz="8" w:space="0" w:color="auto"/>
              <w:right w:val="single" w:sz="8" w:space="0" w:color="auto"/>
            </w:tcBorders>
            <w:noWrap/>
            <w:vAlign w:val="center"/>
            <w:hideMark/>
          </w:tcPr>
          <w:p w14:paraId="5B66F503" w14:textId="77777777" w:rsidR="00D86199" w:rsidRPr="00F37BFC" w:rsidRDefault="00D86199" w:rsidP="00F37BFC">
            <w:pPr>
              <w:spacing w:after="0" w:line="240" w:lineRule="auto"/>
              <w:ind w:left="0"/>
              <w:rPr>
                <w:rFonts w:eastAsia="Times New Roman" w:cs="Arial"/>
                <w:szCs w:val="24"/>
                <w:lang w:eastAsia="en-GB"/>
              </w:rPr>
            </w:pPr>
            <w:r w:rsidRPr="00F37BFC">
              <w:rPr>
                <w:rFonts w:cs="Arial"/>
                <w:szCs w:val="24"/>
              </w:rPr>
              <w:t>£17,801 to £28,000</w:t>
            </w:r>
          </w:p>
        </w:tc>
        <w:tc>
          <w:tcPr>
            <w:tcW w:w="3837" w:type="dxa"/>
            <w:tcBorders>
              <w:top w:val="nil"/>
              <w:left w:val="nil"/>
              <w:bottom w:val="single" w:sz="8" w:space="0" w:color="auto"/>
              <w:right w:val="single" w:sz="8" w:space="0" w:color="auto"/>
            </w:tcBorders>
            <w:noWrap/>
            <w:vAlign w:val="center"/>
            <w:hideMark/>
          </w:tcPr>
          <w:p w14:paraId="17D24ED5" w14:textId="77777777" w:rsidR="00D86199" w:rsidRPr="00906D8D" w:rsidRDefault="00D86199" w:rsidP="00F37BFC">
            <w:pPr>
              <w:spacing w:after="0" w:line="240" w:lineRule="auto"/>
              <w:ind w:left="0" w:hanging="29"/>
              <w:jc w:val="center"/>
              <w:rPr>
                <w:rFonts w:eastAsia="Times New Roman" w:cs="Arial"/>
                <w:szCs w:val="24"/>
                <w:lang w:eastAsia="en-GB"/>
              </w:rPr>
            </w:pPr>
            <w:r w:rsidRPr="00906D8D">
              <w:rPr>
                <w:rFonts w:eastAsia="Times New Roman" w:cs="Arial"/>
                <w:szCs w:val="24"/>
                <w:lang w:eastAsia="en-GB"/>
              </w:rPr>
              <w:t>5.80%</w:t>
            </w:r>
          </w:p>
        </w:tc>
        <w:tc>
          <w:tcPr>
            <w:tcW w:w="1114" w:type="dxa"/>
            <w:tcBorders>
              <w:top w:val="nil"/>
              <w:left w:val="nil"/>
              <w:bottom w:val="single" w:sz="8" w:space="0" w:color="auto"/>
              <w:right w:val="single" w:sz="8" w:space="0" w:color="auto"/>
            </w:tcBorders>
            <w:noWrap/>
            <w:vAlign w:val="center"/>
            <w:hideMark/>
          </w:tcPr>
          <w:p w14:paraId="7A26F394" w14:textId="77777777" w:rsidR="00D86199" w:rsidRPr="00906D8D" w:rsidRDefault="00D86199" w:rsidP="00F37BFC">
            <w:pPr>
              <w:spacing w:after="0" w:line="240" w:lineRule="auto"/>
              <w:ind w:left="0"/>
              <w:jc w:val="center"/>
              <w:rPr>
                <w:rFonts w:eastAsia="Times New Roman" w:cs="Arial"/>
                <w:szCs w:val="24"/>
                <w:lang w:eastAsia="en-GB"/>
              </w:rPr>
            </w:pPr>
            <w:r w:rsidRPr="00906D8D">
              <w:rPr>
                <w:rFonts w:eastAsia="Times New Roman" w:cs="Arial"/>
                <w:szCs w:val="24"/>
                <w:lang w:eastAsia="en-GB"/>
              </w:rPr>
              <w:t>2.90%</w:t>
            </w:r>
          </w:p>
        </w:tc>
      </w:tr>
      <w:tr w:rsidR="00D86199" w:rsidRPr="00906D8D" w14:paraId="5499F660" w14:textId="77777777" w:rsidTr="00F37BFC">
        <w:trPr>
          <w:trHeight w:val="318"/>
        </w:trPr>
        <w:tc>
          <w:tcPr>
            <w:tcW w:w="964" w:type="dxa"/>
            <w:tcBorders>
              <w:top w:val="nil"/>
              <w:left w:val="single" w:sz="8" w:space="0" w:color="auto"/>
              <w:bottom w:val="single" w:sz="8" w:space="0" w:color="auto"/>
              <w:right w:val="single" w:sz="8" w:space="0" w:color="auto"/>
            </w:tcBorders>
            <w:noWrap/>
            <w:vAlign w:val="center"/>
            <w:hideMark/>
          </w:tcPr>
          <w:p w14:paraId="24E873C2" w14:textId="77777777" w:rsidR="00D86199" w:rsidRPr="00906D8D" w:rsidRDefault="00D86199" w:rsidP="00F37BFC">
            <w:pPr>
              <w:spacing w:after="0" w:line="240" w:lineRule="auto"/>
              <w:ind w:left="0"/>
              <w:jc w:val="center"/>
              <w:rPr>
                <w:rFonts w:eastAsia="Times New Roman" w:cs="Arial"/>
                <w:szCs w:val="24"/>
                <w:lang w:eastAsia="en-GB"/>
              </w:rPr>
            </w:pPr>
            <w:r w:rsidRPr="00906D8D">
              <w:rPr>
                <w:rFonts w:eastAsia="Times New Roman" w:cs="Arial"/>
                <w:szCs w:val="24"/>
                <w:lang w:eastAsia="en-GB"/>
              </w:rPr>
              <w:t>3</w:t>
            </w:r>
          </w:p>
        </w:tc>
        <w:tc>
          <w:tcPr>
            <w:tcW w:w="2370" w:type="dxa"/>
            <w:tcBorders>
              <w:top w:val="nil"/>
              <w:left w:val="nil"/>
              <w:bottom w:val="single" w:sz="8" w:space="0" w:color="auto"/>
              <w:right w:val="single" w:sz="8" w:space="0" w:color="auto"/>
            </w:tcBorders>
            <w:noWrap/>
            <w:vAlign w:val="center"/>
            <w:hideMark/>
          </w:tcPr>
          <w:p w14:paraId="04ADA84E" w14:textId="77777777" w:rsidR="00D86199" w:rsidRPr="00F37BFC" w:rsidRDefault="00D86199" w:rsidP="00F37BFC">
            <w:pPr>
              <w:spacing w:after="0" w:line="240" w:lineRule="auto"/>
              <w:ind w:left="0"/>
              <w:rPr>
                <w:rFonts w:eastAsia="Times New Roman" w:cs="Arial"/>
                <w:szCs w:val="24"/>
                <w:lang w:eastAsia="en-GB"/>
              </w:rPr>
            </w:pPr>
            <w:r w:rsidRPr="00F37BFC">
              <w:rPr>
                <w:rFonts w:cs="Arial"/>
                <w:szCs w:val="24"/>
              </w:rPr>
              <w:t>£28,001 to £45,600</w:t>
            </w:r>
          </w:p>
        </w:tc>
        <w:tc>
          <w:tcPr>
            <w:tcW w:w="3837" w:type="dxa"/>
            <w:tcBorders>
              <w:top w:val="nil"/>
              <w:left w:val="nil"/>
              <w:bottom w:val="single" w:sz="8" w:space="0" w:color="auto"/>
              <w:right w:val="single" w:sz="8" w:space="0" w:color="auto"/>
            </w:tcBorders>
            <w:noWrap/>
            <w:vAlign w:val="center"/>
            <w:hideMark/>
          </w:tcPr>
          <w:p w14:paraId="151E6F1D" w14:textId="77777777" w:rsidR="00D86199" w:rsidRPr="00906D8D" w:rsidRDefault="00D86199" w:rsidP="00F37BFC">
            <w:pPr>
              <w:spacing w:after="0" w:line="240" w:lineRule="auto"/>
              <w:ind w:left="0" w:hanging="29"/>
              <w:jc w:val="center"/>
              <w:rPr>
                <w:rFonts w:eastAsia="Times New Roman" w:cs="Arial"/>
                <w:szCs w:val="24"/>
                <w:lang w:eastAsia="en-GB"/>
              </w:rPr>
            </w:pPr>
            <w:r w:rsidRPr="00906D8D">
              <w:rPr>
                <w:rFonts w:eastAsia="Times New Roman" w:cs="Arial"/>
                <w:szCs w:val="24"/>
                <w:lang w:eastAsia="en-GB"/>
              </w:rPr>
              <w:t>6.50%</w:t>
            </w:r>
          </w:p>
        </w:tc>
        <w:tc>
          <w:tcPr>
            <w:tcW w:w="1114" w:type="dxa"/>
            <w:tcBorders>
              <w:top w:val="nil"/>
              <w:left w:val="nil"/>
              <w:bottom w:val="single" w:sz="8" w:space="0" w:color="auto"/>
              <w:right w:val="single" w:sz="8" w:space="0" w:color="auto"/>
            </w:tcBorders>
            <w:noWrap/>
            <w:vAlign w:val="center"/>
            <w:hideMark/>
          </w:tcPr>
          <w:p w14:paraId="4B99568B" w14:textId="77777777" w:rsidR="00D86199" w:rsidRPr="00906D8D" w:rsidRDefault="00D86199" w:rsidP="00F37BFC">
            <w:pPr>
              <w:spacing w:after="0" w:line="240" w:lineRule="auto"/>
              <w:ind w:left="0"/>
              <w:jc w:val="center"/>
              <w:rPr>
                <w:rFonts w:eastAsia="Times New Roman" w:cs="Arial"/>
                <w:szCs w:val="24"/>
                <w:lang w:eastAsia="en-GB"/>
              </w:rPr>
            </w:pPr>
            <w:r w:rsidRPr="00906D8D">
              <w:rPr>
                <w:rFonts w:eastAsia="Times New Roman" w:cs="Arial"/>
                <w:szCs w:val="24"/>
                <w:lang w:eastAsia="en-GB"/>
              </w:rPr>
              <w:t>3.25%</w:t>
            </w:r>
          </w:p>
        </w:tc>
      </w:tr>
      <w:tr w:rsidR="00D86199" w:rsidRPr="00906D8D" w14:paraId="1765EE16" w14:textId="77777777" w:rsidTr="00F37BFC">
        <w:trPr>
          <w:trHeight w:val="318"/>
        </w:trPr>
        <w:tc>
          <w:tcPr>
            <w:tcW w:w="964" w:type="dxa"/>
            <w:tcBorders>
              <w:top w:val="nil"/>
              <w:left w:val="single" w:sz="8" w:space="0" w:color="auto"/>
              <w:bottom w:val="single" w:sz="8" w:space="0" w:color="auto"/>
              <w:right w:val="single" w:sz="8" w:space="0" w:color="auto"/>
            </w:tcBorders>
            <w:noWrap/>
            <w:vAlign w:val="center"/>
            <w:hideMark/>
          </w:tcPr>
          <w:p w14:paraId="318D9F96" w14:textId="77777777" w:rsidR="00D86199" w:rsidRPr="00906D8D" w:rsidRDefault="00D86199" w:rsidP="00F37BFC">
            <w:pPr>
              <w:spacing w:after="0" w:line="240" w:lineRule="auto"/>
              <w:ind w:left="0"/>
              <w:jc w:val="center"/>
              <w:rPr>
                <w:rFonts w:eastAsia="Times New Roman" w:cs="Arial"/>
                <w:szCs w:val="24"/>
                <w:lang w:eastAsia="en-GB"/>
              </w:rPr>
            </w:pPr>
            <w:r w:rsidRPr="00906D8D">
              <w:rPr>
                <w:rFonts w:eastAsia="Times New Roman" w:cs="Arial"/>
                <w:szCs w:val="24"/>
                <w:lang w:eastAsia="en-GB"/>
              </w:rPr>
              <w:t>4</w:t>
            </w:r>
          </w:p>
        </w:tc>
        <w:tc>
          <w:tcPr>
            <w:tcW w:w="2370" w:type="dxa"/>
            <w:tcBorders>
              <w:top w:val="nil"/>
              <w:left w:val="nil"/>
              <w:bottom w:val="single" w:sz="8" w:space="0" w:color="auto"/>
              <w:right w:val="single" w:sz="8" w:space="0" w:color="auto"/>
            </w:tcBorders>
            <w:noWrap/>
            <w:vAlign w:val="center"/>
            <w:hideMark/>
          </w:tcPr>
          <w:p w14:paraId="213007C0" w14:textId="77777777" w:rsidR="00D86199" w:rsidRPr="00F37BFC" w:rsidRDefault="00D86199" w:rsidP="00F37BFC">
            <w:pPr>
              <w:spacing w:after="0" w:line="240" w:lineRule="auto"/>
              <w:ind w:left="0"/>
              <w:rPr>
                <w:rFonts w:eastAsia="Times New Roman" w:cs="Arial"/>
                <w:szCs w:val="24"/>
                <w:lang w:eastAsia="en-GB"/>
              </w:rPr>
            </w:pPr>
            <w:r w:rsidRPr="00F37BFC">
              <w:rPr>
                <w:rFonts w:cs="Arial"/>
                <w:szCs w:val="24"/>
              </w:rPr>
              <w:t>£45,601 to £57,700</w:t>
            </w:r>
          </w:p>
        </w:tc>
        <w:tc>
          <w:tcPr>
            <w:tcW w:w="3837" w:type="dxa"/>
            <w:tcBorders>
              <w:top w:val="nil"/>
              <w:left w:val="nil"/>
              <w:bottom w:val="single" w:sz="8" w:space="0" w:color="auto"/>
              <w:right w:val="single" w:sz="8" w:space="0" w:color="auto"/>
            </w:tcBorders>
            <w:noWrap/>
            <w:vAlign w:val="center"/>
            <w:hideMark/>
          </w:tcPr>
          <w:p w14:paraId="4AA60473" w14:textId="77777777" w:rsidR="00D86199" w:rsidRPr="00906D8D" w:rsidRDefault="00D86199" w:rsidP="00F37BFC">
            <w:pPr>
              <w:spacing w:after="0" w:line="240" w:lineRule="auto"/>
              <w:ind w:left="0" w:hanging="29"/>
              <w:jc w:val="center"/>
              <w:rPr>
                <w:rFonts w:eastAsia="Times New Roman" w:cs="Arial"/>
                <w:szCs w:val="24"/>
                <w:lang w:eastAsia="en-GB"/>
              </w:rPr>
            </w:pPr>
            <w:r w:rsidRPr="00906D8D">
              <w:rPr>
                <w:rFonts w:eastAsia="Times New Roman" w:cs="Arial"/>
                <w:szCs w:val="24"/>
                <w:lang w:eastAsia="en-GB"/>
              </w:rPr>
              <w:t>6.80%</w:t>
            </w:r>
          </w:p>
        </w:tc>
        <w:tc>
          <w:tcPr>
            <w:tcW w:w="1114" w:type="dxa"/>
            <w:tcBorders>
              <w:top w:val="nil"/>
              <w:left w:val="nil"/>
              <w:bottom w:val="single" w:sz="8" w:space="0" w:color="auto"/>
              <w:right w:val="single" w:sz="8" w:space="0" w:color="auto"/>
            </w:tcBorders>
            <w:noWrap/>
            <w:vAlign w:val="center"/>
            <w:hideMark/>
          </w:tcPr>
          <w:p w14:paraId="5E05965A" w14:textId="77777777" w:rsidR="00D86199" w:rsidRPr="00906D8D" w:rsidRDefault="00D86199" w:rsidP="00F37BFC">
            <w:pPr>
              <w:spacing w:after="0" w:line="240" w:lineRule="auto"/>
              <w:ind w:left="0"/>
              <w:jc w:val="center"/>
              <w:rPr>
                <w:rFonts w:eastAsia="Times New Roman" w:cs="Arial"/>
                <w:szCs w:val="24"/>
                <w:lang w:eastAsia="en-GB"/>
              </w:rPr>
            </w:pPr>
            <w:r w:rsidRPr="00906D8D">
              <w:rPr>
                <w:rFonts w:eastAsia="Times New Roman" w:cs="Arial"/>
                <w:szCs w:val="24"/>
                <w:lang w:eastAsia="en-GB"/>
              </w:rPr>
              <w:t>3.40%</w:t>
            </w:r>
          </w:p>
        </w:tc>
      </w:tr>
      <w:tr w:rsidR="00D86199" w:rsidRPr="00906D8D" w14:paraId="7D0B72EE" w14:textId="77777777" w:rsidTr="00F37BFC">
        <w:trPr>
          <w:trHeight w:val="318"/>
        </w:trPr>
        <w:tc>
          <w:tcPr>
            <w:tcW w:w="964" w:type="dxa"/>
            <w:tcBorders>
              <w:top w:val="nil"/>
              <w:left w:val="single" w:sz="8" w:space="0" w:color="auto"/>
              <w:bottom w:val="single" w:sz="8" w:space="0" w:color="auto"/>
              <w:right w:val="single" w:sz="8" w:space="0" w:color="auto"/>
            </w:tcBorders>
            <w:noWrap/>
            <w:vAlign w:val="center"/>
            <w:hideMark/>
          </w:tcPr>
          <w:p w14:paraId="3C6B9157" w14:textId="77777777" w:rsidR="00D86199" w:rsidRPr="00906D8D" w:rsidRDefault="00D86199" w:rsidP="00F37BFC">
            <w:pPr>
              <w:spacing w:after="0" w:line="240" w:lineRule="auto"/>
              <w:ind w:left="0"/>
              <w:jc w:val="center"/>
              <w:rPr>
                <w:rFonts w:eastAsia="Times New Roman" w:cs="Arial"/>
                <w:szCs w:val="24"/>
                <w:lang w:eastAsia="en-GB"/>
              </w:rPr>
            </w:pPr>
            <w:r w:rsidRPr="00906D8D">
              <w:rPr>
                <w:rFonts w:eastAsia="Times New Roman" w:cs="Arial"/>
                <w:szCs w:val="24"/>
                <w:lang w:eastAsia="en-GB"/>
              </w:rPr>
              <w:t>5</w:t>
            </w:r>
          </w:p>
        </w:tc>
        <w:tc>
          <w:tcPr>
            <w:tcW w:w="2370" w:type="dxa"/>
            <w:tcBorders>
              <w:top w:val="nil"/>
              <w:left w:val="nil"/>
              <w:bottom w:val="single" w:sz="8" w:space="0" w:color="auto"/>
              <w:right w:val="single" w:sz="8" w:space="0" w:color="auto"/>
            </w:tcBorders>
            <w:noWrap/>
            <w:vAlign w:val="center"/>
            <w:hideMark/>
          </w:tcPr>
          <w:p w14:paraId="05B39E29" w14:textId="77777777" w:rsidR="00D86199" w:rsidRPr="00F37BFC" w:rsidRDefault="00D86199" w:rsidP="00F37BFC">
            <w:pPr>
              <w:spacing w:after="0" w:line="240" w:lineRule="auto"/>
              <w:ind w:left="0"/>
              <w:rPr>
                <w:rFonts w:eastAsia="Times New Roman" w:cs="Arial"/>
                <w:szCs w:val="24"/>
                <w:lang w:eastAsia="en-GB"/>
              </w:rPr>
            </w:pPr>
            <w:r w:rsidRPr="00F37BFC">
              <w:rPr>
                <w:rFonts w:cs="Arial"/>
                <w:szCs w:val="24"/>
              </w:rPr>
              <w:t>£57,701 to £81,000</w:t>
            </w:r>
          </w:p>
        </w:tc>
        <w:tc>
          <w:tcPr>
            <w:tcW w:w="3837" w:type="dxa"/>
            <w:tcBorders>
              <w:top w:val="nil"/>
              <w:left w:val="nil"/>
              <w:bottom w:val="single" w:sz="8" w:space="0" w:color="auto"/>
              <w:right w:val="single" w:sz="8" w:space="0" w:color="auto"/>
            </w:tcBorders>
            <w:noWrap/>
            <w:vAlign w:val="center"/>
            <w:hideMark/>
          </w:tcPr>
          <w:p w14:paraId="56C73F6B" w14:textId="77777777" w:rsidR="00D86199" w:rsidRPr="00906D8D" w:rsidRDefault="00D86199" w:rsidP="00F37BFC">
            <w:pPr>
              <w:spacing w:after="0" w:line="240" w:lineRule="auto"/>
              <w:ind w:left="0" w:hanging="29"/>
              <w:jc w:val="center"/>
              <w:rPr>
                <w:rFonts w:eastAsia="Times New Roman" w:cs="Arial"/>
                <w:szCs w:val="24"/>
                <w:lang w:eastAsia="en-GB"/>
              </w:rPr>
            </w:pPr>
            <w:r w:rsidRPr="00906D8D">
              <w:rPr>
                <w:rFonts w:eastAsia="Times New Roman" w:cs="Arial"/>
                <w:szCs w:val="24"/>
                <w:lang w:eastAsia="en-GB"/>
              </w:rPr>
              <w:t>8.50%</w:t>
            </w:r>
          </w:p>
        </w:tc>
        <w:tc>
          <w:tcPr>
            <w:tcW w:w="1114" w:type="dxa"/>
            <w:tcBorders>
              <w:top w:val="nil"/>
              <w:left w:val="nil"/>
              <w:bottom w:val="single" w:sz="8" w:space="0" w:color="auto"/>
              <w:right w:val="single" w:sz="8" w:space="0" w:color="auto"/>
            </w:tcBorders>
            <w:noWrap/>
            <w:vAlign w:val="center"/>
            <w:hideMark/>
          </w:tcPr>
          <w:p w14:paraId="34D8D260" w14:textId="77777777" w:rsidR="00D86199" w:rsidRPr="00906D8D" w:rsidRDefault="00D86199" w:rsidP="00F37BFC">
            <w:pPr>
              <w:spacing w:after="0" w:line="240" w:lineRule="auto"/>
              <w:ind w:left="0"/>
              <w:jc w:val="center"/>
              <w:rPr>
                <w:rFonts w:eastAsia="Times New Roman" w:cs="Arial"/>
                <w:szCs w:val="24"/>
                <w:lang w:eastAsia="en-GB"/>
              </w:rPr>
            </w:pPr>
            <w:r w:rsidRPr="00906D8D">
              <w:rPr>
                <w:rFonts w:eastAsia="Times New Roman" w:cs="Arial"/>
                <w:szCs w:val="24"/>
                <w:lang w:eastAsia="en-GB"/>
              </w:rPr>
              <w:t>4.25%</w:t>
            </w:r>
          </w:p>
        </w:tc>
      </w:tr>
      <w:tr w:rsidR="00D86199" w:rsidRPr="00906D8D" w14:paraId="7C7BB199" w14:textId="77777777" w:rsidTr="00F37BFC">
        <w:trPr>
          <w:trHeight w:val="318"/>
        </w:trPr>
        <w:tc>
          <w:tcPr>
            <w:tcW w:w="964" w:type="dxa"/>
            <w:tcBorders>
              <w:top w:val="nil"/>
              <w:left w:val="single" w:sz="8" w:space="0" w:color="auto"/>
              <w:bottom w:val="single" w:sz="8" w:space="0" w:color="auto"/>
              <w:right w:val="single" w:sz="8" w:space="0" w:color="auto"/>
            </w:tcBorders>
            <w:noWrap/>
            <w:vAlign w:val="center"/>
            <w:hideMark/>
          </w:tcPr>
          <w:p w14:paraId="3B450E4C" w14:textId="77777777" w:rsidR="00D86199" w:rsidRPr="00906D8D" w:rsidRDefault="00D86199" w:rsidP="00F37BFC">
            <w:pPr>
              <w:spacing w:after="0" w:line="240" w:lineRule="auto"/>
              <w:ind w:left="0"/>
              <w:jc w:val="center"/>
              <w:rPr>
                <w:rFonts w:eastAsia="Times New Roman" w:cs="Arial"/>
                <w:szCs w:val="24"/>
                <w:lang w:eastAsia="en-GB"/>
              </w:rPr>
            </w:pPr>
            <w:r w:rsidRPr="00906D8D">
              <w:rPr>
                <w:rFonts w:eastAsia="Times New Roman" w:cs="Arial"/>
                <w:szCs w:val="24"/>
                <w:lang w:eastAsia="en-GB"/>
              </w:rPr>
              <w:t>6</w:t>
            </w:r>
          </w:p>
        </w:tc>
        <w:tc>
          <w:tcPr>
            <w:tcW w:w="2370" w:type="dxa"/>
            <w:tcBorders>
              <w:top w:val="nil"/>
              <w:left w:val="nil"/>
              <w:bottom w:val="single" w:sz="8" w:space="0" w:color="auto"/>
              <w:right w:val="single" w:sz="8" w:space="0" w:color="auto"/>
            </w:tcBorders>
            <w:noWrap/>
            <w:vAlign w:val="center"/>
            <w:hideMark/>
          </w:tcPr>
          <w:p w14:paraId="63423A92" w14:textId="77777777" w:rsidR="00D86199" w:rsidRPr="00F37BFC" w:rsidRDefault="00D86199" w:rsidP="00F37BFC">
            <w:pPr>
              <w:spacing w:after="0" w:line="240" w:lineRule="auto"/>
              <w:ind w:left="0"/>
              <w:rPr>
                <w:rFonts w:eastAsia="Times New Roman" w:cs="Arial"/>
                <w:szCs w:val="24"/>
                <w:lang w:eastAsia="en-GB"/>
              </w:rPr>
            </w:pPr>
            <w:r w:rsidRPr="00F37BFC">
              <w:rPr>
                <w:rFonts w:cs="Arial"/>
                <w:szCs w:val="24"/>
              </w:rPr>
              <w:t>£81,001 to £114,800</w:t>
            </w:r>
          </w:p>
        </w:tc>
        <w:tc>
          <w:tcPr>
            <w:tcW w:w="3837" w:type="dxa"/>
            <w:tcBorders>
              <w:top w:val="nil"/>
              <w:left w:val="nil"/>
              <w:bottom w:val="single" w:sz="8" w:space="0" w:color="auto"/>
              <w:right w:val="single" w:sz="8" w:space="0" w:color="auto"/>
            </w:tcBorders>
            <w:noWrap/>
            <w:vAlign w:val="center"/>
            <w:hideMark/>
          </w:tcPr>
          <w:p w14:paraId="7ECDDF62" w14:textId="77777777" w:rsidR="00D86199" w:rsidRPr="00906D8D" w:rsidRDefault="00D86199" w:rsidP="00F37BFC">
            <w:pPr>
              <w:spacing w:after="0" w:line="240" w:lineRule="auto"/>
              <w:ind w:left="0" w:hanging="29"/>
              <w:jc w:val="center"/>
              <w:rPr>
                <w:rFonts w:eastAsia="Times New Roman" w:cs="Arial"/>
                <w:szCs w:val="24"/>
                <w:lang w:eastAsia="en-GB"/>
              </w:rPr>
            </w:pPr>
            <w:r w:rsidRPr="00906D8D">
              <w:rPr>
                <w:rFonts w:eastAsia="Times New Roman" w:cs="Arial"/>
                <w:szCs w:val="24"/>
                <w:lang w:eastAsia="en-GB"/>
              </w:rPr>
              <w:t>9.90%</w:t>
            </w:r>
          </w:p>
        </w:tc>
        <w:tc>
          <w:tcPr>
            <w:tcW w:w="1114" w:type="dxa"/>
            <w:tcBorders>
              <w:top w:val="nil"/>
              <w:left w:val="nil"/>
              <w:bottom w:val="single" w:sz="8" w:space="0" w:color="auto"/>
              <w:right w:val="single" w:sz="8" w:space="0" w:color="auto"/>
            </w:tcBorders>
            <w:noWrap/>
            <w:vAlign w:val="center"/>
            <w:hideMark/>
          </w:tcPr>
          <w:p w14:paraId="3AFFA578" w14:textId="77777777" w:rsidR="00D86199" w:rsidRPr="00906D8D" w:rsidRDefault="00D86199" w:rsidP="00F37BFC">
            <w:pPr>
              <w:spacing w:after="0" w:line="240" w:lineRule="auto"/>
              <w:ind w:left="0"/>
              <w:jc w:val="center"/>
              <w:rPr>
                <w:rFonts w:eastAsia="Times New Roman" w:cs="Arial"/>
                <w:szCs w:val="24"/>
                <w:lang w:eastAsia="en-GB"/>
              </w:rPr>
            </w:pPr>
            <w:r w:rsidRPr="00906D8D">
              <w:rPr>
                <w:rFonts w:eastAsia="Times New Roman" w:cs="Arial"/>
                <w:szCs w:val="24"/>
                <w:lang w:eastAsia="en-GB"/>
              </w:rPr>
              <w:t>4.95%</w:t>
            </w:r>
          </w:p>
        </w:tc>
      </w:tr>
      <w:tr w:rsidR="00D86199" w:rsidRPr="00906D8D" w14:paraId="71174584" w14:textId="77777777" w:rsidTr="00F37BFC">
        <w:trPr>
          <w:trHeight w:val="318"/>
        </w:trPr>
        <w:tc>
          <w:tcPr>
            <w:tcW w:w="964" w:type="dxa"/>
            <w:tcBorders>
              <w:top w:val="nil"/>
              <w:left w:val="single" w:sz="8" w:space="0" w:color="auto"/>
              <w:bottom w:val="single" w:sz="8" w:space="0" w:color="auto"/>
              <w:right w:val="single" w:sz="8" w:space="0" w:color="auto"/>
            </w:tcBorders>
            <w:noWrap/>
            <w:vAlign w:val="center"/>
            <w:hideMark/>
          </w:tcPr>
          <w:p w14:paraId="305945F3" w14:textId="77777777" w:rsidR="00D86199" w:rsidRPr="00906D8D" w:rsidRDefault="00D86199" w:rsidP="00F37BFC">
            <w:pPr>
              <w:spacing w:after="0" w:line="240" w:lineRule="auto"/>
              <w:ind w:left="0"/>
              <w:jc w:val="center"/>
              <w:rPr>
                <w:rFonts w:eastAsia="Times New Roman" w:cs="Arial"/>
                <w:szCs w:val="24"/>
                <w:lang w:eastAsia="en-GB"/>
              </w:rPr>
            </w:pPr>
            <w:r w:rsidRPr="00906D8D">
              <w:rPr>
                <w:rFonts w:eastAsia="Times New Roman" w:cs="Arial"/>
                <w:szCs w:val="24"/>
                <w:lang w:eastAsia="en-GB"/>
              </w:rPr>
              <w:t>7</w:t>
            </w:r>
          </w:p>
        </w:tc>
        <w:tc>
          <w:tcPr>
            <w:tcW w:w="2370" w:type="dxa"/>
            <w:tcBorders>
              <w:top w:val="nil"/>
              <w:left w:val="nil"/>
              <w:bottom w:val="single" w:sz="8" w:space="0" w:color="auto"/>
              <w:right w:val="single" w:sz="8" w:space="0" w:color="auto"/>
            </w:tcBorders>
            <w:noWrap/>
            <w:vAlign w:val="center"/>
            <w:hideMark/>
          </w:tcPr>
          <w:p w14:paraId="6BDD4F6B" w14:textId="77777777" w:rsidR="00D86199" w:rsidRPr="00F37BFC" w:rsidRDefault="00D86199" w:rsidP="00F37BFC">
            <w:pPr>
              <w:spacing w:after="0" w:line="240" w:lineRule="auto"/>
              <w:ind w:left="0"/>
              <w:rPr>
                <w:rFonts w:eastAsia="Times New Roman" w:cs="Arial"/>
                <w:szCs w:val="24"/>
                <w:lang w:eastAsia="en-GB"/>
              </w:rPr>
            </w:pPr>
            <w:r w:rsidRPr="00F37BFC">
              <w:rPr>
                <w:rFonts w:cs="Arial"/>
                <w:szCs w:val="24"/>
              </w:rPr>
              <w:t>£114,801 to £135,300</w:t>
            </w:r>
          </w:p>
        </w:tc>
        <w:tc>
          <w:tcPr>
            <w:tcW w:w="3837" w:type="dxa"/>
            <w:tcBorders>
              <w:top w:val="nil"/>
              <w:left w:val="nil"/>
              <w:bottom w:val="single" w:sz="8" w:space="0" w:color="auto"/>
              <w:right w:val="single" w:sz="8" w:space="0" w:color="auto"/>
            </w:tcBorders>
            <w:noWrap/>
            <w:vAlign w:val="center"/>
            <w:hideMark/>
          </w:tcPr>
          <w:p w14:paraId="243CBB67" w14:textId="77777777" w:rsidR="00D86199" w:rsidRPr="00906D8D" w:rsidRDefault="00D86199" w:rsidP="00F37BFC">
            <w:pPr>
              <w:spacing w:after="0" w:line="240" w:lineRule="auto"/>
              <w:ind w:left="0" w:hanging="29"/>
              <w:jc w:val="center"/>
              <w:rPr>
                <w:rFonts w:eastAsia="Times New Roman" w:cs="Arial"/>
                <w:szCs w:val="24"/>
                <w:lang w:eastAsia="en-GB"/>
              </w:rPr>
            </w:pPr>
            <w:r w:rsidRPr="00906D8D">
              <w:rPr>
                <w:rFonts w:eastAsia="Times New Roman" w:cs="Arial"/>
                <w:szCs w:val="24"/>
                <w:lang w:eastAsia="en-GB"/>
              </w:rPr>
              <w:t>10.50%</w:t>
            </w:r>
          </w:p>
        </w:tc>
        <w:tc>
          <w:tcPr>
            <w:tcW w:w="1114" w:type="dxa"/>
            <w:tcBorders>
              <w:top w:val="nil"/>
              <w:left w:val="nil"/>
              <w:bottom w:val="single" w:sz="8" w:space="0" w:color="auto"/>
              <w:right w:val="single" w:sz="8" w:space="0" w:color="auto"/>
            </w:tcBorders>
            <w:noWrap/>
            <w:vAlign w:val="center"/>
            <w:hideMark/>
          </w:tcPr>
          <w:p w14:paraId="48EE17E3" w14:textId="77777777" w:rsidR="00D86199" w:rsidRPr="00906D8D" w:rsidRDefault="00D86199" w:rsidP="00F37BFC">
            <w:pPr>
              <w:spacing w:after="0" w:line="240" w:lineRule="auto"/>
              <w:ind w:left="0"/>
              <w:jc w:val="center"/>
              <w:rPr>
                <w:rFonts w:eastAsia="Times New Roman" w:cs="Arial"/>
                <w:szCs w:val="24"/>
                <w:lang w:eastAsia="en-GB"/>
              </w:rPr>
            </w:pPr>
            <w:r w:rsidRPr="00906D8D">
              <w:rPr>
                <w:rFonts w:eastAsia="Times New Roman" w:cs="Arial"/>
                <w:szCs w:val="24"/>
                <w:lang w:eastAsia="en-GB"/>
              </w:rPr>
              <w:t>5.25%</w:t>
            </w:r>
          </w:p>
        </w:tc>
      </w:tr>
      <w:tr w:rsidR="00D86199" w:rsidRPr="00906D8D" w14:paraId="7B5E342A" w14:textId="77777777" w:rsidTr="00F37BFC">
        <w:trPr>
          <w:trHeight w:val="318"/>
        </w:trPr>
        <w:tc>
          <w:tcPr>
            <w:tcW w:w="964" w:type="dxa"/>
            <w:tcBorders>
              <w:top w:val="nil"/>
              <w:left w:val="single" w:sz="8" w:space="0" w:color="auto"/>
              <w:bottom w:val="single" w:sz="8" w:space="0" w:color="auto"/>
              <w:right w:val="single" w:sz="8" w:space="0" w:color="auto"/>
            </w:tcBorders>
            <w:noWrap/>
            <w:vAlign w:val="center"/>
            <w:hideMark/>
          </w:tcPr>
          <w:p w14:paraId="24D2C1EE" w14:textId="77777777" w:rsidR="00D86199" w:rsidRPr="00906D8D" w:rsidRDefault="00D86199" w:rsidP="00F37BFC">
            <w:pPr>
              <w:spacing w:after="0" w:line="240" w:lineRule="auto"/>
              <w:ind w:left="0"/>
              <w:jc w:val="center"/>
              <w:rPr>
                <w:rFonts w:eastAsia="Times New Roman" w:cs="Arial"/>
                <w:szCs w:val="24"/>
                <w:lang w:eastAsia="en-GB"/>
              </w:rPr>
            </w:pPr>
            <w:r w:rsidRPr="00906D8D">
              <w:rPr>
                <w:rFonts w:eastAsia="Times New Roman" w:cs="Arial"/>
                <w:szCs w:val="24"/>
                <w:lang w:eastAsia="en-GB"/>
              </w:rPr>
              <w:t>8</w:t>
            </w:r>
          </w:p>
        </w:tc>
        <w:tc>
          <w:tcPr>
            <w:tcW w:w="2370" w:type="dxa"/>
            <w:tcBorders>
              <w:top w:val="nil"/>
              <w:left w:val="nil"/>
              <w:bottom w:val="single" w:sz="8" w:space="0" w:color="auto"/>
              <w:right w:val="single" w:sz="8" w:space="0" w:color="auto"/>
            </w:tcBorders>
            <w:noWrap/>
            <w:vAlign w:val="center"/>
            <w:hideMark/>
          </w:tcPr>
          <w:p w14:paraId="44668D5E" w14:textId="77777777" w:rsidR="00D86199" w:rsidRPr="00F37BFC" w:rsidRDefault="00D86199" w:rsidP="00F37BFC">
            <w:pPr>
              <w:spacing w:after="0" w:line="240" w:lineRule="auto"/>
              <w:ind w:left="0"/>
              <w:rPr>
                <w:rFonts w:eastAsia="Times New Roman" w:cs="Arial"/>
                <w:szCs w:val="24"/>
                <w:lang w:eastAsia="en-GB"/>
              </w:rPr>
            </w:pPr>
            <w:r w:rsidRPr="00F37BFC">
              <w:rPr>
                <w:rFonts w:cs="Arial"/>
                <w:szCs w:val="24"/>
              </w:rPr>
              <w:t>£135,301 to £203,000</w:t>
            </w:r>
          </w:p>
        </w:tc>
        <w:tc>
          <w:tcPr>
            <w:tcW w:w="3837" w:type="dxa"/>
            <w:tcBorders>
              <w:top w:val="nil"/>
              <w:left w:val="nil"/>
              <w:bottom w:val="single" w:sz="8" w:space="0" w:color="auto"/>
              <w:right w:val="single" w:sz="8" w:space="0" w:color="auto"/>
            </w:tcBorders>
            <w:noWrap/>
            <w:vAlign w:val="center"/>
            <w:hideMark/>
          </w:tcPr>
          <w:p w14:paraId="2D4A3B0C" w14:textId="77777777" w:rsidR="00D86199" w:rsidRPr="00906D8D" w:rsidRDefault="00D86199" w:rsidP="00F37BFC">
            <w:pPr>
              <w:spacing w:after="0" w:line="240" w:lineRule="auto"/>
              <w:ind w:left="0" w:hanging="29"/>
              <w:jc w:val="center"/>
              <w:rPr>
                <w:rFonts w:eastAsia="Times New Roman" w:cs="Arial"/>
                <w:szCs w:val="24"/>
                <w:lang w:eastAsia="en-GB"/>
              </w:rPr>
            </w:pPr>
            <w:r w:rsidRPr="00906D8D">
              <w:rPr>
                <w:rFonts w:eastAsia="Times New Roman" w:cs="Arial"/>
                <w:szCs w:val="24"/>
                <w:lang w:eastAsia="en-GB"/>
              </w:rPr>
              <w:t>11.40%</w:t>
            </w:r>
          </w:p>
        </w:tc>
        <w:tc>
          <w:tcPr>
            <w:tcW w:w="1114" w:type="dxa"/>
            <w:tcBorders>
              <w:top w:val="nil"/>
              <w:left w:val="nil"/>
              <w:bottom w:val="single" w:sz="8" w:space="0" w:color="auto"/>
              <w:right w:val="single" w:sz="8" w:space="0" w:color="auto"/>
            </w:tcBorders>
            <w:noWrap/>
            <w:vAlign w:val="center"/>
            <w:hideMark/>
          </w:tcPr>
          <w:p w14:paraId="13C8046B" w14:textId="77777777" w:rsidR="00D86199" w:rsidRPr="00906D8D" w:rsidRDefault="00D86199" w:rsidP="00F37BFC">
            <w:pPr>
              <w:spacing w:after="0" w:line="240" w:lineRule="auto"/>
              <w:ind w:left="0"/>
              <w:jc w:val="center"/>
              <w:rPr>
                <w:rFonts w:eastAsia="Times New Roman" w:cs="Arial"/>
                <w:szCs w:val="24"/>
                <w:lang w:eastAsia="en-GB"/>
              </w:rPr>
            </w:pPr>
            <w:r w:rsidRPr="00906D8D">
              <w:rPr>
                <w:rFonts w:eastAsia="Times New Roman" w:cs="Arial"/>
                <w:szCs w:val="24"/>
                <w:lang w:eastAsia="en-GB"/>
              </w:rPr>
              <w:t>5.70%</w:t>
            </w:r>
          </w:p>
        </w:tc>
      </w:tr>
      <w:tr w:rsidR="00D86199" w:rsidRPr="00906D8D" w14:paraId="2439B7D6" w14:textId="77777777" w:rsidTr="00F37BFC">
        <w:trPr>
          <w:trHeight w:val="318"/>
        </w:trPr>
        <w:tc>
          <w:tcPr>
            <w:tcW w:w="964" w:type="dxa"/>
            <w:tcBorders>
              <w:top w:val="nil"/>
              <w:left w:val="single" w:sz="8" w:space="0" w:color="auto"/>
              <w:bottom w:val="single" w:sz="8" w:space="0" w:color="auto"/>
              <w:right w:val="single" w:sz="8" w:space="0" w:color="auto"/>
            </w:tcBorders>
            <w:noWrap/>
            <w:vAlign w:val="center"/>
            <w:hideMark/>
          </w:tcPr>
          <w:p w14:paraId="68043168" w14:textId="77777777" w:rsidR="00D86199" w:rsidRPr="00906D8D" w:rsidRDefault="00D86199" w:rsidP="00F37BFC">
            <w:pPr>
              <w:spacing w:after="0" w:line="240" w:lineRule="auto"/>
              <w:ind w:left="0"/>
              <w:jc w:val="center"/>
              <w:rPr>
                <w:rFonts w:eastAsia="Times New Roman" w:cs="Arial"/>
                <w:szCs w:val="24"/>
                <w:lang w:eastAsia="en-GB"/>
              </w:rPr>
            </w:pPr>
            <w:r w:rsidRPr="00906D8D">
              <w:rPr>
                <w:rFonts w:eastAsia="Times New Roman" w:cs="Arial"/>
                <w:szCs w:val="24"/>
                <w:lang w:eastAsia="en-GB"/>
              </w:rPr>
              <w:t>9</w:t>
            </w:r>
          </w:p>
        </w:tc>
        <w:tc>
          <w:tcPr>
            <w:tcW w:w="2370" w:type="dxa"/>
            <w:tcBorders>
              <w:top w:val="nil"/>
              <w:left w:val="nil"/>
              <w:bottom w:val="single" w:sz="8" w:space="0" w:color="auto"/>
              <w:right w:val="single" w:sz="8" w:space="0" w:color="auto"/>
            </w:tcBorders>
            <w:noWrap/>
            <w:vAlign w:val="center"/>
            <w:hideMark/>
          </w:tcPr>
          <w:p w14:paraId="03E85041" w14:textId="77777777" w:rsidR="00D86199" w:rsidRPr="00F37BFC" w:rsidRDefault="00D86199" w:rsidP="00F37BFC">
            <w:pPr>
              <w:spacing w:after="0" w:line="240" w:lineRule="auto"/>
              <w:ind w:left="0"/>
              <w:rPr>
                <w:rFonts w:eastAsia="Times New Roman" w:cs="Arial"/>
                <w:szCs w:val="24"/>
                <w:lang w:eastAsia="en-GB"/>
              </w:rPr>
            </w:pPr>
            <w:r w:rsidRPr="00F37BFC">
              <w:rPr>
                <w:rFonts w:cs="Arial"/>
                <w:szCs w:val="24"/>
              </w:rPr>
              <w:t>£203,001 or more</w:t>
            </w:r>
          </w:p>
        </w:tc>
        <w:tc>
          <w:tcPr>
            <w:tcW w:w="3837" w:type="dxa"/>
            <w:tcBorders>
              <w:top w:val="nil"/>
              <w:left w:val="nil"/>
              <w:bottom w:val="single" w:sz="8" w:space="0" w:color="auto"/>
              <w:right w:val="single" w:sz="8" w:space="0" w:color="auto"/>
            </w:tcBorders>
            <w:noWrap/>
            <w:vAlign w:val="center"/>
            <w:hideMark/>
          </w:tcPr>
          <w:p w14:paraId="025B8F8E" w14:textId="77777777" w:rsidR="00D86199" w:rsidRPr="00906D8D" w:rsidRDefault="00D86199" w:rsidP="00F37BFC">
            <w:pPr>
              <w:spacing w:after="0" w:line="240" w:lineRule="auto"/>
              <w:ind w:left="0" w:hanging="29"/>
              <w:jc w:val="center"/>
              <w:rPr>
                <w:rFonts w:eastAsia="Times New Roman" w:cs="Arial"/>
                <w:szCs w:val="24"/>
                <w:lang w:eastAsia="en-GB"/>
              </w:rPr>
            </w:pPr>
            <w:r w:rsidRPr="00906D8D">
              <w:rPr>
                <w:rFonts w:eastAsia="Times New Roman" w:cs="Arial"/>
                <w:szCs w:val="24"/>
                <w:lang w:eastAsia="en-GB"/>
              </w:rPr>
              <w:t>12.50%</w:t>
            </w:r>
          </w:p>
        </w:tc>
        <w:tc>
          <w:tcPr>
            <w:tcW w:w="1114" w:type="dxa"/>
            <w:tcBorders>
              <w:top w:val="nil"/>
              <w:left w:val="nil"/>
              <w:bottom w:val="single" w:sz="8" w:space="0" w:color="auto"/>
              <w:right w:val="single" w:sz="8" w:space="0" w:color="auto"/>
            </w:tcBorders>
            <w:noWrap/>
            <w:vAlign w:val="center"/>
            <w:hideMark/>
          </w:tcPr>
          <w:p w14:paraId="0D9EE812" w14:textId="77777777" w:rsidR="00D86199" w:rsidRPr="00906D8D" w:rsidRDefault="00D86199" w:rsidP="00F37BFC">
            <w:pPr>
              <w:spacing w:after="0" w:line="240" w:lineRule="auto"/>
              <w:ind w:left="0"/>
              <w:jc w:val="center"/>
              <w:rPr>
                <w:rFonts w:eastAsia="Times New Roman" w:cs="Arial"/>
                <w:szCs w:val="24"/>
                <w:lang w:eastAsia="en-GB"/>
              </w:rPr>
            </w:pPr>
            <w:r w:rsidRPr="00906D8D">
              <w:rPr>
                <w:rFonts w:eastAsia="Times New Roman" w:cs="Arial"/>
                <w:szCs w:val="24"/>
                <w:lang w:eastAsia="en-GB"/>
              </w:rPr>
              <w:t>6.25%</w:t>
            </w:r>
          </w:p>
        </w:tc>
      </w:tr>
    </w:tbl>
    <w:p w14:paraId="270AC8AD" w14:textId="701030C4" w:rsidR="00D86199" w:rsidRPr="00906D8D" w:rsidRDefault="00D86199" w:rsidP="00F37BFC">
      <w:r w:rsidRPr="00906D8D">
        <w:t>*Please note: 50/50 scheme is for employees who opt to pay reduced contributions for a reduced pension</w:t>
      </w:r>
    </w:p>
    <w:p w14:paraId="792CD725" w14:textId="1AFD6267" w:rsidR="00D86199" w:rsidRDefault="00D86199" w:rsidP="00F37BFC">
      <w:r w:rsidRPr="00906D8D">
        <w:t xml:space="preserve">The Council makes employers contributions into the scheme. The current rate of contribution is 19.3%. </w:t>
      </w:r>
      <w:r w:rsidR="002122B4">
        <w:t>It looks likely this will reduce to 17.2% for the next 3 years, however we are still witing for final confirmation.  The</w:t>
      </w:r>
      <w:r w:rsidRPr="00906D8D">
        <w:t xml:space="preserve"> revised rate will be implemented once confirmed.</w:t>
      </w:r>
    </w:p>
    <w:p w14:paraId="6052DFCC" w14:textId="12F22EB4" w:rsidR="00655B19" w:rsidRPr="00906D8D" w:rsidRDefault="00655B19" w:rsidP="00F37BFC">
      <w:r>
        <w:t>In addition to the LGSP scheme employees having access to join My Money Matters a salary sacrifice Additional Voluntary Contributions pension plan.</w:t>
      </w:r>
    </w:p>
    <w:p w14:paraId="049B1668" w14:textId="77777777" w:rsidR="00D86199" w:rsidRDefault="00D86199" w:rsidP="00F37BFC">
      <w:pPr>
        <w:pStyle w:val="Heading3"/>
      </w:pPr>
      <w:r>
        <w:t>Professional Fees</w:t>
      </w:r>
    </w:p>
    <w:p w14:paraId="5B026A2A" w14:textId="0981A827" w:rsidR="00FB0D01" w:rsidRPr="008D216F" w:rsidRDefault="00D86199" w:rsidP="00F37BFC">
      <w:r>
        <w:t>Employees who meet the criteria as laid down in the Professional Fees Policy are eligible to have full or part of their professional fees reimbursed</w:t>
      </w:r>
      <w:r w:rsidR="00FB0D01">
        <w:t xml:space="preserve"> in accordance with the policy introduced in </w:t>
      </w:r>
      <w:proofErr w:type="gramStart"/>
      <w:r w:rsidR="00FB0D01">
        <w:t>October,</w:t>
      </w:r>
      <w:proofErr w:type="gramEnd"/>
      <w:r w:rsidR="00FB0D01">
        <w:t xml:space="preserve"> 2014.</w:t>
      </w:r>
    </w:p>
    <w:p w14:paraId="714A2AB9" w14:textId="77777777" w:rsidR="00D86199" w:rsidRDefault="00D86199" w:rsidP="00F37BFC">
      <w:pPr>
        <w:pStyle w:val="Heading3"/>
      </w:pPr>
      <w:r>
        <w:t>Market Forces Supplements</w:t>
      </w:r>
    </w:p>
    <w:p w14:paraId="4555FF02" w14:textId="382BCF8E" w:rsidR="00D86199" w:rsidRDefault="00D86199" w:rsidP="00F37BFC">
      <w:r>
        <w:t>In limited instances it is necessary to aware market supplements due to recruitment and retention difficulties.  In these instances</w:t>
      </w:r>
      <w:r w:rsidR="009716AD">
        <w:t>,</w:t>
      </w:r>
      <w:r>
        <w:t xml:space="preserve"> the Market Forces Supplement Policy is adhered to</w:t>
      </w:r>
      <w:r w:rsidR="00FB0D01">
        <w:t>.</w:t>
      </w:r>
    </w:p>
    <w:p w14:paraId="0F24B6B0" w14:textId="77777777" w:rsidR="00D86199" w:rsidRPr="00ED6D11" w:rsidRDefault="00D86199" w:rsidP="00F37BFC">
      <w:r>
        <w:t>The policy is subject to a periodic review.</w:t>
      </w:r>
    </w:p>
    <w:p w14:paraId="73552FD1" w14:textId="66EACC01" w:rsidR="00D86199" w:rsidRDefault="00D86199" w:rsidP="00F37BFC">
      <w:pPr>
        <w:pStyle w:val="Heading3"/>
      </w:pPr>
      <w:r>
        <w:lastRenderedPageBreak/>
        <w:t>Overtime and Weekend Working</w:t>
      </w:r>
    </w:p>
    <w:p w14:paraId="2618607C" w14:textId="1C0322FB" w:rsidR="00D86199" w:rsidRPr="0032238A" w:rsidRDefault="00D86199" w:rsidP="00F37BFC">
      <w:r>
        <w:t>If</w:t>
      </w:r>
      <w:r w:rsidR="009716AD">
        <w:t>,</w:t>
      </w:r>
      <w:r>
        <w:t xml:space="preserve"> subject to service needs</w:t>
      </w:r>
      <w:r w:rsidR="009716AD">
        <w:t>,</w:t>
      </w:r>
      <w:r>
        <w:t xml:space="preserve"> employees are required to work overtime and/or weekend</w:t>
      </w:r>
      <w:r w:rsidR="009716AD">
        <w:t>s,</w:t>
      </w:r>
      <w:r>
        <w:t xml:space="preserve"> appropriate payments will be made in accordance with the guidance (Appendix 5). </w:t>
      </w:r>
    </w:p>
    <w:p w14:paraId="103A3CC2" w14:textId="77777777" w:rsidR="00D86199" w:rsidRDefault="00D86199" w:rsidP="00F37BFC">
      <w:pPr>
        <w:pStyle w:val="Heading3"/>
      </w:pPr>
      <w:r>
        <w:t>Travel and Subsistence</w:t>
      </w:r>
    </w:p>
    <w:p w14:paraId="25398B6F" w14:textId="6CFFC7B4" w:rsidR="00D86199" w:rsidRPr="0032238A" w:rsidRDefault="00D86199" w:rsidP="00F37BFC">
      <w:r>
        <w:t>Where expenses for mileage or subsistence are incurred by any employee, including Chief Officers while carrying out their duties they are paid in line with the Travel and Subsistence Polic</w:t>
      </w:r>
      <w:r w:rsidR="00FB0D01">
        <w:t>y.</w:t>
      </w:r>
    </w:p>
    <w:p w14:paraId="2BA6FA91" w14:textId="77777777" w:rsidR="00D86199" w:rsidRDefault="00D86199" w:rsidP="00F37BFC">
      <w:pPr>
        <w:pStyle w:val="Heading3"/>
      </w:pPr>
      <w:r>
        <w:t>Pay Protection</w:t>
      </w:r>
    </w:p>
    <w:p w14:paraId="3FE74CF7" w14:textId="4FD43A92" w:rsidR="00D86199" w:rsidRPr="0032238A" w:rsidRDefault="00D86199" w:rsidP="00F37BFC">
      <w:r w:rsidRPr="0032238A">
        <w:t>Current Pay Protection is for 18</w:t>
      </w:r>
      <w:r w:rsidRPr="0032238A">
        <w:rPr>
          <w:vertAlign w:val="superscript"/>
        </w:rPr>
        <w:t>th</w:t>
      </w:r>
      <w:r w:rsidRPr="0032238A">
        <w:t xml:space="preserve"> months i</w:t>
      </w:r>
      <w:r>
        <w:t xml:space="preserve">f </w:t>
      </w:r>
      <w:r w:rsidRPr="0032238A">
        <w:t>there</w:t>
      </w:r>
      <w:r>
        <w:t xml:space="preserve"> is a change in post or grade which results in the grade being reduced by more than one grade</w:t>
      </w:r>
      <w:r w:rsidR="00FB0D01">
        <w:t>.</w:t>
      </w:r>
    </w:p>
    <w:p w14:paraId="278073BA" w14:textId="77777777" w:rsidR="00D86199" w:rsidRDefault="00D86199" w:rsidP="00F37BFC">
      <w:pPr>
        <w:pStyle w:val="Heading3"/>
      </w:pPr>
      <w:r>
        <w:t xml:space="preserve">Redundancy Compensation </w:t>
      </w:r>
    </w:p>
    <w:p w14:paraId="7F9C7AF5" w14:textId="073C0338" w:rsidR="00FB0D01" w:rsidRPr="00655B19" w:rsidRDefault="00D86199" w:rsidP="00F37BFC">
      <w:r>
        <w:t>Statutory redundancy pay plus a multiple of x1.33 is applicable in cases of voluntary or compulsory redundancy.  Employees also receive contractual notice when serve</w:t>
      </w:r>
      <w:r w:rsidR="000C1F64">
        <w:t>d</w:t>
      </w:r>
      <w:r>
        <w:t xml:space="preserve"> notice of redundancy, which is ordinarily worked. </w:t>
      </w:r>
    </w:p>
    <w:p w14:paraId="27EE8709" w14:textId="58276B93" w:rsidR="00D86199" w:rsidRDefault="00D86199" w:rsidP="00F37BFC">
      <w:pPr>
        <w:pStyle w:val="Heading3"/>
      </w:pPr>
      <w:r>
        <w:t>First Aid Allowances</w:t>
      </w:r>
    </w:p>
    <w:p w14:paraId="04BF3BA4" w14:textId="77777777" w:rsidR="00D86199" w:rsidRPr="00D86199" w:rsidRDefault="00D86199" w:rsidP="00F37BFC">
      <w:r>
        <w:t>Employees who are classified as a ‘designated first-aider’ are eligible to receive an allowance.</w:t>
      </w:r>
    </w:p>
    <w:p w14:paraId="375FAE1D" w14:textId="77777777" w:rsidR="00D86199" w:rsidRDefault="00D86199" w:rsidP="00F37BFC">
      <w:pPr>
        <w:pStyle w:val="Heading3"/>
      </w:pPr>
      <w:r>
        <w:t xml:space="preserve">Additional Fees </w:t>
      </w:r>
    </w:p>
    <w:p w14:paraId="6CA75677" w14:textId="77777777" w:rsidR="00D86199" w:rsidRPr="00906D8D" w:rsidRDefault="00D86199" w:rsidP="00F37BFC">
      <w:r w:rsidRPr="00906D8D">
        <w:t xml:space="preserve">Special fees are paid for Returning Officer duties, which are not part of the post holder’s substantive role. These fees are payable as required and can be made to any senior officer appointed to fulfil the statutory duties of this role. The Returning Officer is an officer of the Council who is appointed under the Representation of the People Act 1983. The role of the Returning Officer </w:t>
      </w:r>
      <w:proofErr w:type="gramStart"/>
      <w:r w:rsidRPr="00906D8D">
        <w:t>involves, and</w:t>
      </w:r>
      <w:proofErr w:type="gramEnd"/>
      <w:r w:rsidRPr="00906D8D">
        <w:t xml:space="preserve"> incurs personal responsibility and accountability and is statutorily separate from their duties as an employee of the Council. As Returning Officer they are paid a separate allowance for each election for which they are responsible. </w:t>
      </w:r>
    </w:p>
    <w:p w14:paraId="7DD1EF22" w14:textId="6F25CC93" w:rsidR="00D86199" w:rsidRDefault="00D86199" w:rsidP="00F37BFC">
      <w:r w:rsidRPr="00906D8D">
        <w:t>The Nottinghamshire Election Officers group regularly review the scale of fees and these reviews determine the rates applied for the elections held in 202</w:t>
      </w:r>
      <w:r>
        <w:t>5</w:t>
      </w:r>
      <w:r w:rsidRPr="00906D8D">
        <w:t>/202</w:t>
      </w:r>
      <w:r>
        <w:t>6</w:t>
      </w:r>
      <w:r w:rsidRPr="00906D8D">
        <w:t>. This information is available on the Council’s Website.</w:t>
      </w:r>
    </w:p>
    <w:p w14:paraId="08874846" w14:textId="0AE9C8F9" w:rsidR="00655B19" w:rsidRDefault="00655B19" w:rsidP="00F37BFC">
      <w:pPr>
        <w:pStyle w:val="Numberedheading2"/>
      </w:pPr>
      <w:bookmarkStart w:id="8" w:name="_Toc223595309"/>
      <w:r>
        <w:t>SEVERANCE AND DISCRETIONARY PAYMENTS</w:t>
      </w:r>
      <w:bookmarkEnd w:id="8"/>
      <w:r>
        <w:t xml:space="preserve"> </w:t>
      </w:r>
    </w:p>
    <w:p w14:paraId="54710645" w14:textId="403C0EA4" w:rsidR="00655B19" w:rsidRPr="00655B19" w:rsidRDefault="00655B19" w:rsidP="00F37BFC">
      <w:r w:rsidRPr="00655B19">
        <w:lastRenderedPageBreak/>
        <w:t xml:space="preserve">The policy for the award of any discretionary payments is the same for all employees, regardless of their pay level and is in accordance with the Council’s current Discretionary Compensation Payment Policy. </w:t>
      </w:r>
    </w:p>
    <w:p w14:paraId="0F0A564B" w14:textId="5B0A7EFF" w:rsidR="00655B19" w:rsidRPr="00655B19" w:rsidRDefault="00655B19" w:rsidP="00F37BFC">
      <w:r w:rsidRPr="00655B19">
        <w:t xml:space="preserve">The Council also reserves the right and discretion to implement settlement </w:t>
      </w:r>
      <w:r w:rsidRPr="00655B19">
        <w:tab/>
        <w:t>agreements with individual employees, which may include enhanced severance and discretionary payments in accordance with a business case. The business case will be considered and determined by:</w:t>
      </w:r>
    </w:p>
    <w:p w14:paraId="1A9D2AD4" w14:textId="77777777" w:rsidR="00655B19" w:rsidRPr="00655B19" w:rsidRDefault="00655B19" w:rsidP="00F37BFC">
      <w:r w:rsidRPr="00655B19">
        <w:t>Chief Officers Employment Committee: Chief Officers and Statutory Officers as defined in the Council’s Constitution</w:t>
      </w:r>
    </w:p>
    <w:p w14:paraId="307A12AB" w14:textId="523ABC38" w:rsidR="00655B19" w:rsidRPr="00655B19" w:rsidRDefault="00655B19" w:rsidP="00F37BFC">
      <w:r w:rsidRPr="00655B19">
        <w:t>Chief Executive: All other employees.</w:t>
      </w:r>
    </w:p>
    <w:p w14:paraId="0677D2F1" w14:textId="2AF8E8B6" w:rsidR="00655B19" w:rsidRDefault="00655B19" w:rsidP="00F37BFC">
      <w:pPr>
        <w:pStyle w:val="Numberedheading2"/>
      </w:pPr>
      <w:bookmarkStart w:id="9" w:name="_Toc223595310"/>
      <w:r>
        <w:t>REMUNERATION DEC</w:t>
      </w:r>
      <w:r w:rsidR="000E26CF">
        <w:t>I</w:t>
      </w:r>
      <w:r>
        <w:t>SIONS</w:t>
      </w:r>
      <w:bookmarkEnd w:id="9"/>
    </w:p>
    <w:p w14:paraId="0A65925B" w14:textId="3CB02EA5" w:rsidR="00655B19" w:rsidRPr="00906D8D" w:rsidRDefault="00655B19" w:rsidP="00F37BFC">
      <w:r w:rsidRPr="00906D8D">
        <w:t xml:space="preserve">Decisions on remuneration relating to pay, starting spinal point (for Chief Executive only) and any additional allowances for Chief Officers as defined in the Council’s Constitution are determined by the Chief Officers Employment Committee and ratified by the Council. </w:t>
      </w:r>
    </w:p>
    <w:p w14:paraId="75AC6866" w14:textId="16EA43F3" w:rsidR="00655B19" w:rsidRPr="00906D8D" w:rsidRDefault="00655B19" w:rsidP="00F37BFC">
      <w:r w:rsidRPr="00906D8D">
        <w:t xml:space="preserve">Spinal point progression for </w:t>
      </w:r>
      <w:r w:rsidR="00DA5975">
        <w:t xml:space="preserve">the </w:t>
      </w:r>
      <w:r w:rsidRPr="00906D8D">
        <w:t>Chief Executive is considered and approved by the Chief Officer</w:t>
      </w:r>
      <w:r w:rsidR="00DA5975">
        <w:t>s</w:t>
      </w:r>
      <w:r w:rsidRPr="00906D8D">
        <w:t xml:space="preserve"> Employment Committee subject to satisfactory performance.</w:t>
      </w:r>
    </w:p>
    <w:p w14:paraId="722E0BDC" w14:textId="343D8949" w:rsidR="00655B19" w:rsidRPr="00906D8D" w:rsidRDefault="00655B19" w:rsidP="00F37BFC">
      <w:r w:rsidRPr="00906D8D">
        <w:t>The Chief Officers Employment Committee acts as the recruitment interviewing committee for all posts defined as Chief Officers and/or Statutory Officer posts in the Council’s Constitution</w:t>
      </w:r>
    </w:p>
    <w:p w14:paraId="4ED94BE5" w14:textId="37C87E5A" w:rsidR="00655B19" w:rsidRPr="00655B19" w:rsidRDefault="00655B19" w:rsidP="00F37BFC">
      <w:r w:rsidRPr="00906D8D">
        <w:t xml:space="preserve">Where individual officers are requested to carry out part of a role at a higher level </w:t>
      </w:r>
      <w:proofErr w:type="gramStart"/>
      <w:r w:rsidRPr="00906D8D">
        <w:t>in excess of</w:t>
      </w:r>
      <w:proofErr w:type="gramEnd"/>
      <w:r w:rsidRPr="00906D8D">
        <w:t xml:space="preserve"> four weeks and/or carry out project related activities outside of their substantive role, Chief Officers may, at their discretion, propose that an </w:t>
      </w:r>
      <w:r w:rsidR="00BF5655" w:rsidRPr="00906D8D">
        <w:t>honorarium</w:t>
      </w:r>
      <w:r w:rsidRPr="00906D8D">
        <w:t xml:space="preserve"> is paid in accordance with the Council’s Acting Up/Honorarium Arrangements Guidance. </w:t>
      </w:r>
      <w:r>
        <w:t>This policy is subject to periodic review.</w:t>
      </w:r>
    </w:p>
    <w:p w14:paraId="0961CC5F" w14:textId="5DF62C7B" w:rsidR="00FB0D01" w:rsidRDefault="00FB0D01" w:rsidP="00F37BFC">
      <w:pPr>
        <w:pStyle w:val="Numberedheading2"/>
      </w:pPr>
      <w:bookmarkStart w:id="10" w:name="_Toc223595311"/>
      <w:r>
        <w:t>BENEFITS IN KIND</w:t>
      </w:r>
      <w:bookmarkEnd w:id="10"/>
    </w:p>
    <w:p w14:paraId="386485F9" w14:textId="77777777" w:rsidR="00FB0D01" w:rsidRPr="00FB0D01" w:rsidRDefault="00FB0D01" w:rsidP="00F37BFC">
      <w:r w:rsidRPr="00FB0D01">
        <w:t>Allowances and benefits typically follow nationally agreed rates. Locally agreed allowances or benefits in kind payments include:</w:t>
      </w:r>
    </w:p>
    <w:p w14:paraId="03746FB0" w14:textId="3D1B440F" w:rsidR="00FB0D01" w:rsidRPr="00FB0D01" w:rsidRDefault="00FB0D01" w:rsidP="00F37BFC">
      <w:pPr>
        <w:pStyle w:val="ListParagraph"/>
        <w:numPr>
          <w:ilvl w:val="0"/>
          <w:numId w:val="20"/>
        </w:numPr>
      </w:pPr>
      <w:r w:rsidRPr="00FB0D01">
        <w:t xml:space="preserve">All employees of the Council have access to Ashfield Benefits, which enable employees to enjoy discounts with major retailers. There is </w:t>
      </w:r>
      <w:r w:rsidR="00655B19">
        <w:t>no cost to the Council for this service.</w:t>
      </w:r>
    </w:p>
    <w:p w14:paraId="24ED5854" w14:textId="77777777" w:rsidR="00FB0D01" w:rsidRDefault="00FB0D01" w:rsidP="00F37BFC">
      <w:pPr>
        <w:pStyle w:val="ListParagraph"/>
        <w:numPr>
          <w:ilvl w:val="0"/>
          <w:numId w:val="20"/>
        </w:numPr>
      </w:pPr>
      <w:r w:rsidRPr="00FB0D01">
        <w:t xml:space="preserve">Access to salary sacrifice schemes such as </w:t>
      </w:r>
      <w:proofErr w:type="gramStart"/>
      <w:r w:rsidRPr="00FB0D01">
        <w:t>child care</w:t>
      </w:r>
      <w:proofErr w:type="gramEnd"/>
      <w:r w:rsidRPr="00FB0D01">
        <w:t xml:space="preserve"> vouchers (This is only applicable to existing employees already in the scheme in line with current legislation) and cycle to work schemes, which are available to all employees in accordance with current policies.</w:t>
      </w:r>
    </w:p>
    <w:p w14:paraId="3D18FEE0" w14:textId="31334174" w:rsidR="00655B19" w:rsidRDefault="00655B19" w:rsidP="00F37BFC">
      <w:pPr>
        <w:pStyle w:val="Numberedheading2"/>
        <w:jc w:val="left"/>
      </w:pPr>
      <w:bookmarkStart w:id="11" w:name="_Toc223595312"/>
      <w:r>
        <w:lastRenderedPageBreak/>
        <w:t>RELATIONSHIP BETWEEN THE PAY OF THE HIGHEST AND LOWEST EARNER</w:t>
      </w:r>
      <w:bookmarkEnd w:id="11"/>
    </w:p>
    <w:p w14:paraId="572210D3" w14:textId="35D2A613" w:rsidR="00655B19" w:rsidRPr="00906D8D" w:rsidRDefault="00655B19" w:rsidP="00F37BFC">
      <w:r w:rsidRPr="00906D8D">
        <w:t>The Council’s current ratio between its top earner (£136,623) to its median earner (£32,061.00) is: 4.26:1.</w:t>
      </w:r>
    </w:p>
    <w:p w14:paraId="50EC40A0" w14:textId="6B81E12E" w:rsidR="00655B19" w:rsidRPr="00906D8D" w:rsidRDefault="00655B19" w:rsidP="00F37BFC">
      <w:r w:rsidRPr="00906D8D">
        <w:t>The Council’s current ratio between its top earner (£136,623) to its lowest earner (£25,185.00) is</w:t>
      </w:r>
      <w:r w:rsidR="005E37B1">
        <w:t xml:space="preserve">: </w:t>
      </w:r>
      <w:r w:rsidRPr="00906D8D">
        <w:t>5.42:1</w:t>
      </w:r>
    </w:p>
    <w:p w14:paraId="12780907" w14:textId="30EC3BC7" w:rsidR="00655B19" w:rsidRDefault="00655B19" w:rsidP="00F37BFC">
      <w:r w:rsidRPr="00906D8D">
        <w:t>These ratios will be monitored annually within the Pay Policy Statement and the figures exclude apprentices.</w:t>
      </w:r>
    </w:p>
    <w:p w14:paraId="3E545368" w14:textId="0E7D360F" w:rsidR="00655B19" w:rsidRPr="00906D8D" w:rsidRDefault="00655B19" w:rsidP="00F37BFC">
      <w:pPr>
        <w:pStyle w:val="Numberedheading2"/>
      </w:pPr>
      <w:bookmarkStart w:id="12" w:name="_Toc223595313"/>
      <w:r w:rsidRPr="00906D8D">
        <w:t>P</w:t>
      </w:r>
      <w:r>
        <w:t>UBLICATION</w:t>
      </w:r>
      <w:bookmarkEnd w:id="12"/>
    </w:p>
    <w:p w14:paraId="44108BE8" w14:textId="745EC868" w:rsidR="00655B19" w:rsidRPr="00906D8D" w:rsidRDefault="00655B19" w:rsidP="00F37BFC">
      <w:r w:rsidRPr="00906D8D">
        <w:t xml:space="preserve">This Pay Policy Statement will be published on the Council’s website in accordance with Section 38 of the Localism Act 2011. The statement also contains information of posts attracting salaries </w:t>
      </w:r>
      <w:proofErr w:type="gramStart"/>
      <w:r w:rsidRPr="00906D8D">
        <w:t>in excess of</w:t>
      </w:r>
      <w:proofErr w:type="gramEnd"/>
      <w:r w:rsidRPr="00906D8D">
        <w:t xml:space="preserve"> £50,000 to meet the requirements of the Local Government Transparency Code</w:t>
      </w:r>
      <w:r>
        <w:t>.</w:t>
      </w:r>
    </w:p>
    <w:p w14:paraId="49D415ED" w14:textId="7981FA2E" w:rsidR="00655B19" w:rsidRPr="00906D8D" w:rsidRDefault="00655B19" w:rsidP="00F37BFC">
      <w:pPr>
        <w:pStyle w:val="Numberedheading2"/>
      </w:pPr>
      <w:bookmarkStart w:id="13" w:name="_Toc223595314"/>
      <w:r>
        <w:t>ANNUAL REVIEW</w:t>
      </w:r>
      <w:bookmarkEnd w:id="13"/>
    </w:p>
    <w:p w14:paraId="50051E77" w14:textId="03AC47C2" w:rsidR="00655B19" w:rsidRPr="00F37BFC" w:rsidRDefault="00655B19" w:rsidP="00F37BFC">
      <w:r w:rsidRPr="00906D8D">
        <w:t xml:space="preserve">The Pay Policy Statement will be annually reviewed on or before 31 March each year. </w:t>
      </w:r>
    </w:p>
    <w:sectPr w:rsidR="00655B19" w:rsidRPr="00F37BF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AEEFA" w14:textId="77777777" w:rsidR="00470C1F" w:rsidRDefault="00470C1F" w:rsidP="00655B19">
      <w:pPr>
        <w:spacing w:after="0" w:line="240" w:lineRule="auto"/>
      </w:pPr>
      <w:r>
        <w:separator/>
      </w:r>
    </w:p>
  </w:endnote>
  <w:endnote w:type="continuationSeparator" w:id="0">
    <w:p w14:paraId="63629FF1" w14:textId="77777777" w:rsidR="00470C1F" w:rsidRDefault="00470C1F" w:rsidP="00655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369074"/>
      <w:docPartObj>
        <w:docPartGallery w:val="Page Numbers (Bottom of Page)"/>
        <w:docPartUnique/>
      </w:docPartObj>
    </w:sdtPr>
    <w:sdtEndPr>
      <w:rPr>
        <w:noProof/>
      </w:rPr>
    </w:sdtEndPr>
    <w:sdtContent>
      <w:p w14:paraId="38D10FFE" w14:textId="652592E4" w:rsidR="00655B19" w:rsidRDefault="00655B1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F4109E" w14:textId="77777777" w:rsidR="00655B19" w:rsidRDefault="00655B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E17E7" w14:textId="77777777" w:rsidR="00470C1F" w:rsidRDefault="00470C1F" w:rsidP="00655B19">
      <w:pPr>
        <w:spacing w:after="0" w:line="240" w:lineRule="auto"/>
      </w:pPr>
      <w:r>
        <w:separator/>
      </w:r>
    </w:p>
  </w:footnote>
  <w:footnote w:type="continuationSeparator" w:id="0">
    <w:p w14:paraId="2FCE3D9D" w14:textId="77777777" w:rsidR="00470C1F" w:rsidRDefault="00470C1F" w:rsidP="00655B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6376"/>
    <w:multiLevelType w:val="hybridMultilevel"/>
    <w:tmpl w:val="BBDA3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C50B63"/>
    <w:multiLevelType w:val="hybridMultilevel"/>
    <w:tmpl w:val="7B782120"/>
    <w:lvl w:ilvl="0" w:tplc="90302774">
      <w:start w:val="1"/>
      <w:numFmt w:val="bullet"/>
      <w:lvlText w:val=""/>
      <w:lvlJc w:val="left"/>
      <w:pPr>
        <w:ind w:left="2312" w:hanging="360"/>
      </w:pPr>
      <w:rPr>
        <w:rFonts w:ascii="Symbol" w:hAnsi="Symbol" w:hint="default"/>
      </w:rPr>
    </w:lvl>
    <w:lvl w:ilvl="1" w:tplc="0B18F34C">
      <w:start w:val="1"/>
      <w:numFmt w:val="bullet"/>
      <w:lvlText w:val="o"/>
      <w:lvlJc w:val="left"/>
      <w:pPr>
        <w:ind w:left="3032" w:hanging="360"/>
      </w:pPr>
      <w:rPr>
        <w:rFonts w:ascii="Courier New" w:hAnsi="Courier New" w:cs="Courier New" w:hint="default"/>
      </w:rPr>
    </w:lvl>
    <w:lvl w:ilvl="2" w:tplc="43BCFF42" w:tentative="1">
      <w:start w:val="1"/>
      <w:numFmt w:val="bullet"/>
      <w:lvlText w:val=""/>
      <w:lvlJc w:val="left"/>
      <w:pPr>
        <w:ind w:left="3752" w:hanging="360"/>
      </w:pPr>
      <w:rPr>
        <w:rFonts w:ascii="Wingdings" w:hAnsi="Wingdings" w:hint="default"/>
      </w:rPr>
    </w:lvl>
    <w:lvl w:ilvl="3" w:tplc="20E2C8BA" w:tentative="1">
      <w:start w:val="1"/>
      <w:numFmt w:val="bullet"/>
      <w:lvlText w:val=""/>
      <w:lvlJc w:val="left"/>
      <w:pPr>
        <w:ind w:left="4472" w:hanging="360"/>
      </w:pPr>
      <w:rPr>
        <w:rFonts w:ascii="Symbol" w:hAnsi="Symbol" w:hint="default"/>
      </w:rPr>
    </w:lvl>
    <w:lvl w:ilvl="4" w:tplc="057A670A" w:tentative="1">
      <w:start w:val="1"/>
      <w:numFmt w:val="bullet"/>
      <w:lvlText w:val="o"/>
      <w:lvlJc w:val="left"/>
      <w:pPr>
        <w:ind w:left="5192" w:hanging="360"/>
      </w:pPr>
      <w:rPr>
        <w:rFonts w:ascii="Courier New" w:hAnsi="Courier New" w:cs="Courier New" w:hint="default"/>
      </w:rPr>
    </w:lvl>
    <w:lvl w:ilvl="5" w:tplc="4D80B780" w:tentative="1">
      <w:start w:val="1"/>
      <w:numFmt w:val="bullet"/>
      <w:lvlText w:val=""/>
      <w:lvlJc w:val="left"/>
      <w:pPr>
        <w:ind w:left="5912" w:hanging="360"/>
      </w:pPr>
      <w:rPr>
        <w:rFonts w:ascii="Wingdings" w:hAnsi="Wingdings" w:hint="default"/>
      </w:rPr>
    </w:lvl>
    <w:lvl w:ilvl="6" w:tplc="5A84D22A" w:tentative="1">
      <w:start w:val="1"/>
      <w:numFmt w:val="bullet"/>
      <w:lvlText w:val=""/>
      <w:lvlJc w:val="left"/>
      <w:pPr>
        <w:ind w:left="6632" w:hanging="360"/>
      </w:pPr>
      <w:rPr>
        <w:rFonts w:ascii="Symbol" w:hAnsi="Symbol" w:hint="default"/>
      </w:rPr>
    </w:lvl>
    <w:lvl w:ilvl="7" w:tplc="3F4A647C" w:tentative="1">
      <w:start w:val="1"/>
      <w:numFmt w:val="bullet"/>
      <w:lvlText w:val="o"/>
      <w:lvlJc w:val="left"/>
      <w:pPr>
        <w:ind w:left="7352" w:hanging="360"/>
      </w:pPr>
      <w:rPr>
        <w:rFonts w:ascii="Courier New" w:hAnsi="Courier New" w:cs="Courier New" w:hint="default"/>
      </w:rPr>
    </w:lvl>
    <w:lvl w:ilvl="8" w:tplc="6338B92E" w:tentative="1">
      <w:start w:val="1"/>
      <w:numFmt w:val="bullet"/>
      <w:lvlText w:val=""/>
      <w:lvlJc w:val="left"/>
      <w:pPr>
        <w:ind w:left="8072" w:hanging="360"/>
      </w:pPr>
      <w:rPr>
        <w:rFonts w:ascii="Wingdings" w:hAnsi="Wingdings" w:hint="default"/>
      </w:rPr>
    </w:lvl>
  </w:abstractNum>
  <w:abstractNum w:abstractNumId="2" w15:restartNumberingAfterBreak="0">
    <w:nsid w:val="25F155DA"/>
    <w:multiLevelType w:val="hybridMultilevel"/>
    <w:tmpl w:val="857A3CD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2B702635"/>
    <w:multiLevelType w:val="hybridMultilevel"/>
    <w:tmpl w:val="17F2EF26"/>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32036303"/>
    <w:multiLevelType w:val="hybridMultilevel"/>
    <w:tmpl w:val="8C2A8EA4"/>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5" w15:restartNumberingAfterBreak="0">
    <w:nsid w:val="37FD2F9A"/>
    <w:multiLevelType w:val="hybridMultilevel"/>
    <w:tmpl w:val="A69C4B90"/>
    <w:lvl w:ilvl="0" w:tplc="A42A4732">
      <w:start w:val="1"/>
      <w:numFmt w:val="decimal"/>
      <w:pStyle w:val="Numberedheading2"/>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9930BDF"/>
    <w:multiLevelType w:val="hybridMultilevel"/>
    <w:tmpl w:val="E14823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662214"/>
    <w:multiLevelType w:val="hybridMultilevel"/>
    <w:tmpl w:val="3704F64C"/>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8" w15:restartNumberingAfterBreak="0">
    <w:nsid w:val="3BF4529E"/>
    <w:multiLevelType w:val="hybridMultilevel"/>
    <w:tmpl w:val="E1762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1476A2"/>
    <w:multiLevelType w:val="hybridMultilevel"/>
    <w:tmpl w:val="0EE49F82"/>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0" w15:restartNumberingAfterBreak="0">
    <w:nsid w:val="401940B6"/>
    <w:multiLevelType w:val="hybridMultilevel"/>
    <w:tmpl w:val="02F82BF8"/>
    <w:lvl w:ilvl="0" w:tplc="5EC4DAA2">
      <w:start w:val="5"/>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F91305A"/>
    <w:multiLevelType w:val="hybridMultilevel"/>
    <w:tmpl w:val="554CCAF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53FB013C"/>
    <w:multiLevelType w:val="hybridMultilevel"/>
    <w:tmpl w:val="2A3CCD8E"/>
    <w:lvl w:ilvl="0" w:tplc="AB0435D4">
      <w:start w:val="1"/>
      <w:numFmt w:val="bullet"/>
      <w:lvlText w:val=""/>
      <w:lvlJc w:val="left"/>
      <w:pPr>
        <w:ind w:left="1440" w:hanging="360"/>
      </w:pPr>
      <w:rPr>
        <w:rFonts w:ascii="Symbol" w:hAnsi="Symbol" w:hint="default"/>
      </w:rPr>
    </w:lvl>
    <w:lvl w:ilvl="1" w:tplc="69DA291A" w:tentative="1">
      <w:start w:val="1"/>
      <w:numFmt w:val="bullet"/>
      <w:lvlText w:val="o"/>
      <w:lvlJc w:val="left"/>
      <w:pPr>
        <w:ind w:left="2160" w:hanging="360"/>
      </w:pPr>
      <w:rPr>
        <w:rFonts w:ascii="Courier New" w:hAnsi="Courier New" w:cs="Courier New" w:hint="default"/>
      </w:rPr>
    </w:lvl>
    <w:lvl w:ilvl="2" w:tplc="552E5D9C" w:tentative="1">
      <w:start w:val="1"/>
      <w:numFmt w:val="bullet"/>
      <w:lvlText w:val=""/>
      <w:lvlJc w:val="left"/>
      <w:pPr>
        <w:ind w:left="2880" w:hanging="360"/>
      </w:pPr>
      <w:rPr>
        <w:rFonts w:ascii="Wingdings" w:hAnsi="Wingdings" w:hint="default"/>
      </w:rPr>
    </w:lvl>
    <w:lvl w:ilvl="3" w:tplc="95E61C34" w:tentative="1">
      <w:start w:val="1"/>
      <w:numFmt w:val="bullet"/>
      <w:lvlText w:val=""/>
      <w:lvlJc w:val="left"/>
      <w:pPr>
        <w:ind w:left="3600" w:hanging="360"/>
      </w:pPr>
      <w:rPr>
        <w:rFonts w:ascii="Symbol" w:hAnsi="Symbol" w:hint="default"/>
      </w:rPr>
    </w:lvl>
    <w:lvl w:ilvl="4" w:tplc="73C84F32" w:tentative="1">
      <w:start w:val="1"/>
      <w:numFmt w:val="bullet"/>
      <w:lvlText w:val="o"/>
      <w:lvlJc w:val="left"/>
      <w:pPr>
        <w:ind w:left="4320" w:hanging="360"/>
      </w:pPr>
      <w:rPr>
        <w:rFonts w:ascii="Courier New" w:hAnsi="Courier New" w:cs="Courier New" w:hint="default"/>
      </w:rPr>
    </w:lvl>
    <w:lvl w:ilvl="5" w:tplc="A9081FA2" w:tentative="1">
      <w:start w:val="1"/>
      <w:numFmt w:val="bullet"/>
      <w:lvlText w:val=""/>
      <w:lvlJc w:val="left"/>
      <w:pPr>
        <w:ind w:left="5040" w:hanging="360"/>
      </w:pPr>
      <w:rPr>
        <w:rFonts w:ascii="Wingdings" w:hAnsi="Wingdings" w:hint="default"/>
      </w:rPr>
    </w:lvl>
    <w:lvl w:ilvl="6" w:tplc="EDD47486" w:tentative="1">
      <w:start w:val="1"/>
      <w:numFmt w:val="bullet"/>
      <w:lvlText w:val=""/>
      <w:lvlJc w:val="left"/>
      <w:pPr>
        <w:ind w:left="5760" w:hanging="360"/>
      </w:pPr>
      <w:rPr>
        <w:rFonts w:ascii="Symbol" w:hAnsi="Symbol" w:hint="default"/>
      </w:rPr>
    </w:lvl>
    <w:lvl w:ilvl="7" w:tplc="DA2669C2" w:tentative="1">
      <w:start w:val="1"/>
      <w:numFmt w:val="bullet"/>
      <w:lvlText w:val="o"/>
      <w:lvlJc w:val="left"/>
      <w:pPr>
        <w:ind w:left="6480" w:hanging="360"/>
      </w:pPr>
      <w:rPr>
        <w:rFonts w:ascii="Courier New" w:hAnsi="Courier New" w:cs="Courier New" w:hint="default"/>
      </w:rPr>
    </w:lvl>
    <w:lvl w:ilvl="8" w:tplc="B770FA92" w:tentative="1">
      <w:start w:val="1"/>
      <w:numFmt w:val="bullet"/>
      <w:lvlText w:val=""/>
      <w:lvlJc w:val="left"/>
      <w:pPr>
        <w:ind w:left="7200" w:hanging="360"/>
      </w:pPr>
      <w:rPr>
        <w:rFonts w:ascii="Wingdings" w:hAnsi="Wingdings" w:hint="default"/>
      </w:rPr>
    </w:lvl>
  </w:abstractNum>
  <w:abstractNum w:abstractNumId="13" w15:restartNumberingAfterBreak="0">
    <w:nsid w:val="669F1ED2"/>
    <w:multiLevelType w:val="hybridMultilevel"/>
    <w:tmpl w:val="0CFEEF84"/>
    <w:lvl w:ilvl="0" w:tplc="EF2E505E">
      <w:start w:val="1"/>
      <w:numFmt w:val="bullet"/>
      <w:lvlText w:val=""/>
      <w:lvlJc w:val="left"/>
      <w:pPr>
        <w:ind w:left="720" w:hanging="360"/>
      </w:pPr>
      <w:rPr>
        <w:rFonts w:ascii="Symbol" w:hAnsi="Symbol" w:hint="default"/>
      </w:rPr>
    </w:lvl>
    <w:lvl w:ilvl="1" w:tplc="BA40CDFE" w:tentative="1">
      <w:start w:val="1"/>
      <w:numFmt w:val="bullet"/>
      <w:lvlText w:val="o"/>
      <w:lvlJc w:val="left"/>
      <w:pPr>
        <w:ind w:left="1440" w:hanging="360"/>
      </w:pPr>
      <w:rPr>
        <w:rFonts w:ascii="Courier New" w:hAnsi="Courier New" w:cs="Courier New" w:hint="default"/>
      </w:rPr>
    </w:lvl>
    <w:lvl w:ilvl="2" w:tplc="2E7A6992" w:tentative="1">
      <w:start w:val="1"/>
      <w:numFmt w:val="bullet"/>
      <w:lvlText w:val=""/>
      <w:lvlJc w:val="left"/>
      <w:pPr>
        <w:ind w:left="2160" w:hanging="360"/>
      </w:pPr>
      <w:rPr>
        <w:rFonts w:ascii="Wingdings" w:hAnsi="Wingdings" w:hint="default"/>
      </w:rPr>
    </w:lvl>
    <w:lvl w:ilvl="3" w:tplc="9EEEABC6" w:tentative="1">
      <w:start w:val="1"/>
      <w:numFmt w:val="bullet"/>
      <w:lvlText w:val=""/>
      <w:lvlJc w:val="left"/>
      <w:pPr>
        <w:ind w:left="2880" w:hanging="360"/>
      </w:pPr>
      <w:rPr>
        <w:rFonts w:ascii="Symbol" w:hAnsi="Symbol" w:hint="default"/>
      </w:rPr>
    </w:lvl>
    <w:lvl w:ilvl="4" w:tplc="575A9C8E" w:tentative="1">
      <w:start w:val="1"/>
      <w:numFmt w:val="bullet"/>
      <w:lvlText w:val="o"/>
      <w:lvlJc w:val="left"/>
      <w:pPr>
        <w:ind w:left="3600" w:hanging="360"/>
      </w:pPr>
      <w:rPr>
        <w:rFonts w:ascii="Courier New" w:hAnsi="Courier New" w:cs="Courier New" w:hint="default"/>
      </w:rPr>
    </w:lvl>
    <w:lvl w:ilvl="5" w:tplc="7BAE6288" w:tentative="1">
      <w:start w:val="1"/>
      <w:numFmt w:val="bullet"/>
      <w:lvlText w:val=""/>
      <w:lvlJc w:val="left"/>
      <w:pPr>
        <w:ind w:left="4320" w:hanging="360"/>
      </w:pPr>
      <w:rPr>
        <w:rFonts w:ascii="Wingdings" w:hAnsi="Wingdings" w:hint="default"/>
      </w:rPr>
    </w:lvl>
    <w:lvl w:ilvl="6" w:tplc="506461F0" w:tentative="1">
      <w:start w:val="1"/>
      <w:numFmt w:val="bullet"/>
      <w:lvlText w:val=""/>
      <w:lvlJc w:val="left"/>
      <w:pPr>
        <w:ind w:left="5040" w:hanging="360"/>
      </w:pPr>
      <w:rPr>
        <w:rFonts w:ascii="Symbol" w:hAnsi="Symbol" w:hint="default"/>
      </w:rPr>
    </w:lvl>
    <w:lvl w:ilvl="7" w:tplc="CD98DB2E" w:tentative="1">
      <w:start w:val="1"/>
      <w:numFmt w:val="bullet"/>
      <w:lvlText w:val="o"/>
      <w:lvlJc w:val="left"/>
      <w:pPr>
        <w:ind w:left="5760" w:hanging="360"/>
      </w:pPr>
      <w:rPr>
        <w:rFonts w:ascii="Courier New" w:hAnsi="Courier New" w:cs="Courier New" w:hint="default"/>
      </w:rPr>
    </w:lvl>
    <w:lvl w:ilvl="8" w:tplc="073601F0" w:tentative="1">
      <w:start w:val="1"/>
      <w:numFmt w:val="bullet"/>
      <w:lvlText w:val=""/>
      <w:lvlJc w:val="left"/>
      <w:pPr>
        <w:ind w:left="6480" w:hanging="360"/>
      </w:pPr>
      <w:rPr>
        <w:rFonts w:ascii="Wingdings" w:hAnsi="Wingdings" w:hint="default"/>
      </w:rPr>
    </w:lvl>
  </w:abstractNum>
  <w:abstractNum w:abstractNumId="14" w15:restartNumberingAfterBreak="0">
    <w:nsid w:val="699F35DD"/>
    <w:multiLevelType w:val="hybridMultilevel"/>
    <w:tmpl w:val="BF666048"/>
    <w:lvl w:ilvl="0" w:tplc="64C420BE">
      <w:start w:val="1"/>
      <w:numFmt w:val="bullet"/>
      <w:lvlText w:val=""/>
      <w:lvlJc w:val="left"/>
      <w:pPr>
        <w:ind w:left="1440" w:hanging="360"/>
      </w:pPr>
      <w:rPr>
        <w:rFonts w:ascii="Symbol" w:hAnsi="Symbol" w:hint="default"/>
      </w:rPr>
    </w:lvl>
    <w:lvl w:ilvl="1" w:tplc="918ABDCE" w:tentative="1">
      <w:start w:val="1"/>
      <w:numFmt w:val="bullet"/>
      <w:lvlText w:val="o"/>
      <w:lvlJc w:val="left"/>
      <w:pPr>
        <w:ind w:left="2160" w:hanging="360"/>
      </w:pPr>
      <w:rPr>
        <w:rFonts w:ascii="Courier New" w:hAnsi="Courier New" w:cs="Courier New" w:hint="default"/>
      </w:rPr>
    </w:lvl>
    <w:lvl w:ilvl="2" w:tplc="180020A0" w:tentative="1">
      <w:start w:val="1"/>
      <w:numFmt w:val="bullet"/>
      <w:lvlText w:val=""/>
      <w:lvlJc w:val="left"/>
      <w:pPr>
        <w:ind w:left="2880" w:hanging="360"/>
      </w:pPr>
      <w:rPr>
        <w:rFonts w:ascii="Wingdings" w:hAnsi="Wingdings" w:hint="default"/>
      </w:rPr>
    </w:lvl>
    <w:lvl w:ilvl="3" w:tplc="DFBEF568" w:tentative="1">
      <w:start w:val="1"/>
      <w:numFmt w:val="bullet"/>
      <w:lvlText w:val=""/>
      <w:lvlJc w:val="left"/>
      <w:pPr>
        <w:ind w:left="3600" w:hanging="360"/>
      </w:pPr>
      <w:rPr>
        <w:rFonts w:ascii="Symbol" w:hAnsi="Symbol" w:hint="default"/>
      </w:rPr>
    </w:lvl>
    <w:lvl w:ilvl="4" w:tplc="1B54E49A" w:tentative="1">
      <w:start w:val="1"/>
      <w:numFmt w:val="bullet"/>
      <w:lvlText w:val="o"/>
      <w:lvlJc w:val="left"/>
      <w:pPr>
        <w:ind w:left="4320" w:hanging="360"/>
      </w:pPr>
      <w:rPr>
        <w:rFonts w:ascii="Courier New" w:hAnsi="Courier New" w:cs="Courier New" w:hint="default"/>
      </w:rPr>
    </w:lvl>
    <w:lvl w:ilvl="5" w:tplc="A4782C8C" w:tentative="1">
      <w:start w:val="1"/>
      <w:numFmt w:val="bullet"/>
      <w:lvlText w:val=""/>
      <w:lvlJc w:val="left"/>
      <w:pPr>
        <w:ind w:left="5040" w:hanging="360"/>
      </w:pPr>
      <w:rPr>
        <w:rFonts w:ascii="Wingdings" w:hAnsi="Wingdings" w:hint="default"/>
      </w:rPr>
    </w:lvl>
    <w:lvl w:ilvl="6" w:tplc="4F6E93CA" w:tentative="1">
      <w:start w:val="1"/>
      <w:numFmt w:val="bullet"/>
      <w:lvlText w:val=""/>
      <w:lvlJc w:val="left"/>
      <w:pPr>
        <w:ind w:left="5760" w:hanging="360"/>
      </w:pPr>
      <w:rPr>
        <w:rFonts w:ascii="Symbol" w:hAnsi="Symbol" w:hint="default"/>
      </w:rPr>
    </w:lvl>
    <w:lvl w:ilvl="7" w:tplc="10283710" w:tentative="1">
      <w:start w:val="1"/>
      <w:numFmt w:val="bullet"/>
      <w:lvlText w:val="o"/>
      <w:lvlJc w:val="left"/>
      <w:pPr>
        <w:ind w:left="6480" w:hanging="360"/>
      </w:pPr>
      <w:rPr>
        <w:rFonts w:ascii="Courier New" w:hAnsi="Courier New" w:cs="Courier New" w:hint="default"/>
      </w:rPr>
    </w:lvl>
    <w:lvl w:ilvl="8" w:tplc="F1CCB686" w:tentative="1">
      <w:start w:val="1"/>
      <w:numFmt w:val="bullet"/>
      <w:lvlText w:val=""/>
      <w:lvlJc w:val="left"/>
      <w:pPr>
        <w:ind w:left="7200" w:hanging="360"/>
      </w:pPr>
      <w:rPr>
        <w:rFonts w:ascii="Wingdings" w:hAnsi="Wingdings" w:hint="default"/>
      </w:rPr>
    </w:lvl>
  </w:abstractNum>
  <w:abstractNum w:abstractNumId="15" w15:restartNumberingAfterBreak="0">
    <w:nsid w:val="6E41785C"/>
    <w:multiLevelType w:val="hybridMultilevel"/>
    <w:tmpl w:val="B574988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80611A"/>
    <w:multiLevelType w:val="hybridMultilevel"/>
    <w:tmpl w:val="189449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4C03AD4"/>
    <w:multiLevelType w:val="hybridMultilevel"/>
    <w:tmpl w:val="33B2BCC6"/>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8" w15:restartNumberingAfterBreak="0">
    <w:nsid w:val="74E5408A"/>
    <w:multiLevelType w:val="hybridMultilevel"/>
    <w:tmpl w:val="FC8C26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C343A6"/>
    <w:multiLevelType w:val="hybridMultilevel"/>
    <w:tmpl w:val="94CE45BA"/>
    <w:lvl w:ilvl="0" w:tplc="4B6244DE">
      <w:start w:val="1"/>
      <w:numFmt w:val="bullet"/>
      <w:lvlText w:val=""/>
      <w:lvlJc w:val="left"/>
      <w:pPr>
        <w:ind w:left="1440" w:hanging="360"/>
      </w:pPr>
      <w:rPr>
        <w:rFonts w:ascii="Symbol" w:hAnsi="Symbol" w:hint="default"/>
      </w:rPr>
    </w:lvl>
    <w:lvl w:ilvl="1" w:tplc="5C26B728" w:tentative="1">
      <w:start w:val="1"/>
      <w:numFmt w:val="bullet"/>
      <w:lvlText w:val="o"/>
      <w:lvlJc w:val="left"/>
      <w:pPr>
        <w:ind w:left="2160" w:hanging="360"/>
      </w:pPr>
      <w:rPr>
        <w:rFonts w:ascii="Courier New" w:hAnsi="Courier New" w:cs="Courier New" w:hint="default"/>
      </w:rPr>
    </w:lvl>
    <w:lvl w:ilvl="2" w:tplc="18D62C16" w:tentative="1">
      <w:start w:val="1"/>
      <w:numFmt w:val="bullet"/>
      <w:lvlText w:val=""/>
      <w:lvlJc w:val="left"/>
      <w:pPr>
        <w:ind w:left="2880" w:hanging="360"/>
      </w:pPr>
      <w:rPr>
        <w:rFonts w:ascii="Wingdings" w:hAnsi="Wingdings" w:hint="default"/>
      </w:rPr>
    </w:lvl>
    <w:lvl w:ilvl="3" w:tplc="C06C6D02" w:tentative="1">
      <w:start w:val="1"/>
      <w:numFmt w:val="bullet"/>
      <w:lvlText w:val=""/>
      <w:lvlJc w:val="left"/>
      <w:pPr>
        <w:ind w:left="3600" w:hanging="360"/>
      </w:pPr>
      <w:rPr>
        <w:rFonts w:ascii="Symbol" w:hAnsi="Symbol" w:hint="default"/>
      </w:rPr>
    </w:lvl>
    <w:lvl w:ilvl="4" w:tplc="460A842E" w:tentative="1">
      <w:start w:val="1"/>
      <w:numFmt w:val="bullet"/>
      <w:lvlText w:val="o"/>
      <w:lvlJc w:val="left"/>
      <w:pPr>
        <w:ind w:left="4320" w:hanging="360"/>
      </w:pPr>
      <w:rPr>
        <w:rFonts w:ascii="Courier New" w:hAnsi="Courier New" w:cs="Courier New" w:hint="default"/>
      </w:rPr>
    </w:lvl>
    <w:lvl w:ilvl="5" w:tplc="53208B9A" w:tentative="1">
      <w:start w:val="1"/>
      <w:numFmt w:val="bullet"/>
      <w:lvlText w:val=""/>
      <w:lvlJc w:val="left"/>
      <w:pPr>
        <w:ind w:left="5040" w:hanging="360"/>
      </w:pPr>
      <w:rPr>
        <w:rFonts w:ascii="Wingdings" w:hAnsi="Wingdings" w:hint="default"/>
      </w:rPr>
    </w:lvl>
    <w:lvl w:ilvl="6" w:tplc="187CD02C" w:tentative="1">
      <w:start w:val="1"/>
      <w:numFmt w:val="bullet"/>
      <w:lvlText w:val=""/>
      <w:lvlJc w:val="left"/>
      <w:pPr>
        <w:ind w:left="5760" w:hanging="360"/>
      </w:pPr>
      <w:rPr>
        <w:rFonts w:ascii="Symbol" w:hAnsi="Symbol" w:hint="default"/>
      </w:rPr>
    </w:lvl>
    <w:lvl w:ilvl="7" w:tplc="CE10EF08" w:tentative="1">
      <w:start w:val="1"/>
      <w:numFmt w:val="bullet"/>
      <w:lvlText w:val="o"/>
      <w:lvlJc w:val="left"/>
      <w:pPr>
        <w:ind w:left="6480" w:hanging="360"/>
      </w:pPr>
      <w:rPr>
        <w:rFonts w:ascii="Courier New" w:hAnsi="Courier New" w:cs="Courier New" w:hint="default"/>
      </w:rPr>
    </w:lvl>
    <w:lvl w:ilvl="8" w:tplc="A4224884" w:tentative="1">
      <w:start w:val="1"/>
      <w:numFmt w:val="bullet"/>
      <w:lvlText w:val=""/>
      <w:lvlJc w:val="left"/>
      <w:pPr>
        <w:ind w:left="7200" w:hanging="360"/>
      </w:pPr>
      <w:rPr>
        <w:rFonts w:ascii="Wingdings" w:hAnsi="Wingdings" w:hint="default"/>
      </w:rPr>
    </w:lvl>
  </w:abstractNum>
  <w:num w:numId="1" w16cid:durableId="1573929196">
    <w:abstractNumId w:val="16"/>
  </w:num>
  <w:num w:numId="2" w16cid:durableId="113522578">
    <w:abstractNumId w:val="14"/>
  </w:num>
  <w:num w:numId="3" w16cid:durableId="742486851">
    <w:abstractNumId w:val="12"/>
  </w:num>
  <w:num w:numId="4" w16cid:durableId="2019648990">
    <w:abstractNumId w:val="11"/>
  </w:num>
  <w:num w:numId="5" w16cid:durableId="231819454">
    <w:abstractNumId w:val="19"/>
  </w:num>
  <w:num w:numId="6" w16cid:durableId="1409227075">
    <w:abstractNumId w:val="13"/>
  </w:num>
  <w:num w:numId="7" w16cid:durableId="334695255">
    <w:abstractNumId w:val="10"/>
  </w:num>
  <w:num w:numId="8" w16cid:durableId="1497501439">
    <w:abstractNumId w:val="6"/>
  </w:num>
  <w:num w:numId="9" w16cid:durableId="1569148952">
    <w:abstractNumId w:val="0"/>
  </w:num>
  <w:num w:numId="10" w16cid:durableId="781732704">
    <w:abstractNumId w:val="15"/>
  </w:num>
  <w:num w:numId="11" w16cid:durableId="177818795">
    <w:abstractNumId w:val="18"/>
  </w:num>
  <w:num w:numId="12" w16cid:durableId="1243376002">
    <w:abstractNumId w:val="5"/>
  </w:num>
  <w:num w:numId="13" w16cid:durableId="198131887">
    <w:abstractNumId w:val="1"/>
  </w:num>
  <w:num w:numId="14" w16cid:durableId="218903952">
    <w:abstractNumId w:val="8"/>
  </w:num>
  <w:num w:numId="15" w16cid:durableId="1005278130">
    <w:abstractNumId w:val="3"/>
  </w:num>
  <w:num w:numId="16" w16cid:durableId="417867055">
    <w:abstractNumId w:val="7"/>
  </w:num>
  <w:num w:numId="17" w16cid:durableId="1710102913">
    <w:abstractNumId w:val="4"/>
  </w:num>
  <w:num w:numId="18" w16cid:durableId="442579869">
    <w:abstractNumId w:val="9"/>
  </w:num>
  <w:num w:numId="19" w16cid:durableId="1857111769">
    <w:abstractNumId w:val="2"/>
  </w:num>
  <w:num w:numId="20" w16cid:durableId="16789978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6BD"/>
    <w:rsid w:val="00005386"/>
    <w:rsid w:val="00095882"/>
    <w:rsid w:val="000C1F64"/>
    <w:rsid w:val="000E26CF"/>
    <w:rsid w:val="000F0488"/>
    <w:rsid w:val="0011111C"/>
    <w:rsid w:val="0017243F"/>
    <w:rsid w:val="001A349C"/>
    <w:rsid w:val="001C70EC"/>
    <w:rsid w:val="001D0F98"/>
    <w:rsid w:val="002122B4"/>
    <w:rsid w:val="00246165"/>
    <w:rsid w:val="00252131"/>
    <w:rsid w:val="00321E9F"/>
    <w:rsid w:val="0032238A"/>
    <w:rsid w:val="0033447D"/>
    <w:rsid w:val="003358D7"/>
    <w:rsid w:val="00383DF1"/>
    <w:rsid w:val="004441F6"/>
    <w:rsid w:val="00470C1F"/>
    <w:rsid w:val="00477F7F"/>
    <w:rsid w:val="004A56BD"/>
    <w:rsid w:val="005E37B1"/>
    <w:rsid w:val="00602399"/>
    <w:rsid w:val="00655B19"/>
    <w:rsid w:val="00840DC3"/>
    <w:rsid w:val="008501A7"/>
    <w:rsid w:val="00862DBA"/>
    <w:rsid w:val="008D216F"/>
    <w:rsid w:val="008F67E5"/>
    <w:rsid w:val="0090478C"/>
    <w:rsid w:val="00913011"/>
    <w:rsid w:val="00920EE7"/>
    <w:rsid w:val="009573F5"/>
    <w:rsid w:val="009716AD"/>
    <w:rsid w:val="00A37BB1"/>
    <w:rsid w:val="00AC29EB"/>
    <w:rsid w:val="00AF7DC2"/>
    <w:rsid w:val="00B9324B"/>
    <w:rsid w:val="00BA063D"/>
    <w:rsid w:val="00BA6227"/>
    <w:rsid w:val="00BF5655"/>
    <w:rsid w:val="00C15DC7"/>
    <w:rsid w:val="00CA43C7"/>
    <w:rsid w:val="00D1293A"/>
    <w:rsid w:val="00D172DD"/>
    <w:rsid w:val="00D86199"/>
    <w:rsid w:val="00DA355C"/>
    <w:rsid w:val="00DA5975"/>
    <w:rsid w:val="00E10CC1"/>
    <w:rsid w:val="00E72DD8"/>
    <w:rsid w:val="00E85BE5"/>
    <w:rsid w:val="00ED6D11"/>
    <w:rsid w:val="00F37BFC"/>
    <w:rsid w:val="00F50AAD"/>
    <w:rsid w:val="00F634FC"/>
    <w:rsid w:val="00FB0D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1148F"/>
  <w15:chartTrackingRefBased/>
  <w15:docId w15:val="{4BFE73E7-F6A1-4948-8AAD-E3E42B2DA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0EC"/>
    <w:pPr>
      <w:spacing w:before="120" w:after="120" w:line="288" w:lineRule="auto"/>
      <w:ind w:left="737"/>
    </w:pPr>
    <w:rPr>
      <w:rFonts w:ascii="Arial" w:hAnsi="Arial"/>
      <w:kern w:val="0"/>
      <w:szCs w:val="22"/>
      <w14:ligatures w14:val="none"/>
    </w:rPr>
  </w:style>
  <w:style w:type="paragraph" w:styleId="Heading1">
    <w:name w:val="heading 1"/>
    <w:basedOn w:val="Normal"/>
    <w:next w:val="Normal"/>
    <w:link w:val="Heading1Char"/>
    <w:uiPriority w:val="9"/>
    <w:qFormat/>
    <w:rsid w:val="004A56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293A"/>
    <w:pPr>
      <w:keepNext/>
      <w:keepLines/>
      <w:spacing w:line="360" w:lineRule="auto"/>
      <w:outlineLvl w:val="1"/>
    </w:pPr>
    <w:rPr>
      <w:rFonts w:eastAsiaTheme="majorEastAsia" w:cstheme="majorBidi"/>
      <w:b/>
      <w:sz w:val="28"/>
      <w:szCs w:val="32"/>
    </w:rPr>
  </w:style>
  <w:style w:type="paragraph" w:styleId="Heading3">
    <w:name w:val="heading 3"/>
    <w:basedOn w:val="Normal"/>
    <w:next w:val="Normal"/>
    <w:link w:val="Heading3Char"/>
    <w:uiPriority w:val="9"/>
    <w:unhideWhenUsed/>
    <w:qFormat/>
    <w:rsid w:val="0090478C"/>
    <w:pPr>
      <w:keepNext/>
      <w:keepLines/>
      <w:spacing w:line="360" w:lineRule="auto"/>
      <w:outlineLvl w:val="2"/>
    </w:pPr>
    <w:rPr>
      <w:rFonts w:eastAsiaTheme="majorEastAsia" w:cstheme="majorBidi"/>
      <w:b/>
      <w:sz w:val="28"/>
      <w:szCs w:val="28"/>
    </w:rPr>
  </w:style>
  <w:style w:type="paragraph" w:styleId="Heading4">
    <w:name w:val="heading 4"/>
    <w:basedOn w:val="Normal"/>
    <w:next w:val="Normal"/>
    <w:link w:val="Heading4Char"/>
    <w:uiPriority w:val="9"/>
    <w:semiHidden/>
    <w:unhideWhenUsed/>
    <w:qFormat/>
    <w:rsid w:val="004A56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56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56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56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56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56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6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293A"/>
    <w:rPr>
      <w:rFonts w:ascii="Arial" w:eastAsiaTheme="majorEastAsia" w:hAnsi="Arial" w:cstheme="majorBidi"/>
      <w:b/>
      <w:kern w:val="0"/>
      <w:sz w:val="28"/>
      <w:szCs w:val="32"/>
      <w14:ligatures w14:val="none"/>
    </w:rPr>
  </w:style>
  <w:style w:type="character" w:customStyle="1" w:styleId="Heading3Char">
    <w:name w:val="Heading 3 Char"/>
    <w:basedOn w:val="DefaultParagraphFont"/>
    <w:link w:val="Heading3"/>
    <w:uiPriority w:val="9"/>
    <w:rsid w:val="0090478C"/>
    <w:rPr>
      <w:rFonts w:ascii="Arial" w:eastAsiaTheme="majorEastAsia" w:hAnsi="Arial" w:cstheme="majorBidi"/>
      <w:b/>
      <w:kern w:val="0"/>
      <w:sz w:val="28"/>
      <w:szCs w:val="28"/>
      <w14:ligatures w14:val="none"/>
    </w:rPr>
  </w:style>
  <w:style w:type="character" w:customStyle="1" w:styleId="Heading4Char">
    <w:name w:val="Heading 4 Char"/>
    <w:basedOn w:val="DefaultParagraphFont"/>
    <w:link w:val="Heading4"/>
    <w:uiPriority w:val="9"/>
    <w:semiHidden/>
    <w:rsid w:val="004A56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56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56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56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56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56BD"/>
    <w:rPr>
      <w:rFonts w:eastAsiaTheme="majorEastAsia" w:cstheme="majorBidi"/>
      <w:color w:val="272727" w:themeColor="text1" w:themeTint="D8"/>
    </w:rPr>
  </w:style>
  <w:style w:type="paragraph" w:styleId="Title">
    <w:name w:val="Title"/>
    <w:basedOn w:val="Normal"/>
    <w:next w:val="Normal"/>
    <w:link w:val="TitleChar"/>
    <w:uiPriority w:val="10"/>
    <w:qFormat/>
    <w:rsid w:val="004A56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56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56BD"/>
    <w:pPr>
      <w:numPr>
        <w:ilvl w:val="1"/>
      </w:numPr>
      <w:ind w:left="73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56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56BD"/>
    <w:pPr>
      <w:spacing w:before="160"/>
      <w:jc w:val="center"/>
    </w:pPr>
    <w:rPr>
      <w:i/>
      <w:iCs/>
      <w:color w:val="404040" w:themeColor="text1" w:themeTint="BF"/>
    </w:rPr>
  </w:style>
  <w:style w:type="character" w:customStyle="1" w:styleId="QuoteChar">
    <w:name w:val="Quote Char"/>
    <w:basedOn w:val="DefaultParagraphFont"/>
    <w:link w:val="Quote"/>
    <w:uiPriority w:val="29"/>
    <w:rsid w:val="004A56BD"/>
    <w:rPr>
      <w:i/>
      <w:iCs/>
      <w:color w:val="404040" w:themeColor="text1" w:themeTint="BF"/>
    </w:rPr>
  </w:style>
  <w:style w:type="paragraph" w:styleId="ListParagraph">
    <w:name w:val="List Paragraph"/>
    <w:basedOn w:val="Normal"/>
    <w:uiPriority w:val="34"/>
    <w:qFormat/>
    <w:rsid w:val="0090478C"/>
    <w:pPr>
      <w:ind w:left="720"/>
    </w:pPr>
  </w:style>
  <w:style w:type="character" w:styleId="IntenseEmphasis">
    <w:name w:val="Intense Emphasis"/>
    <w:basedOn w:val="DefaultParagraphFont"/>
    <w:uiPriority w:val="21"/>
    <w:qFormat/>
    <w:rsid w:val="004A56BD"/>
    <w:rPr>
      <w:i/>
      <w:iCs/>
      <w:color w:val="0F4761" w:themeColor="accent1" w:themeShade="BF"/>
    </w:rPr>
  </w:style>
  <w:style w:type="paragraph" w:styleId="IntenseQuote">
    <w:name w:val="Intense Quote"/>
    <w:basedOn w:val="Normal"/>
    <w:next w:val="Normal"/>
    <w:link w:val="IntenseQuoteChar"/>
    <w:uiPriority w:val="30"/>
    <w:qFormat/>
    <w:rsid w:val="004A56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56BD"/>
    <w:rPr>
      <w:i/>
      <w:iCs/>
      <w:color w:val="0F4761" w:themeColor="accent1" w:themeShade="BF"/>
    </w:rPr>
  </w:style>
  <w:style w:type="character" w:styleId="IntenseReference">
    <w:name w:val="Intense Reference"/>
    <w:basedOn w:val="DefaultParagraphFont"/>
    <w:uiPriority w:val="32"/>
    <w:qFormat/>
    <w:rsid w:val="004A56BD"/>
    <w:rPr>
      <w:b/>
      <w:bCs/>
      <w:smallCaps/>
      <w:color w:val="0F4761" w:themeColor="accent1" w:themeShade="BF"/>
      <w:spacing w:val="5"/>
    </w:rPr>
  </w:style>
  <w:style w:type="character" w:styleId="CommentReference">
    <w:name w:val="annotation reference"/>
    <w:basedOn w:val="DefaultParagraphFont"/>
    <w:uiPriority w:val="99"/>
    <w:semiHidden/>
    <w:unhideWhenUsed/>
    <w:rsid w:val="00602399"/>
    <w:rPr>
      <w:sz w:val="16"/>
      <w:szCs w:val="16"/>
    </w:rPr>
  </w:style>
  <w:style w:type="paragraph" w:styleId="CommentText">
    <w:name w:val="annotation text"/>
    <w:basedOn w:val="Normal"/>
    <w:link w:val="CommentTextChar"/>
    <w:uiPriority w:val="99"/>
    <w:unhideWhenUsed/>
    <w:rsid w:val="00602399"/>
    <w:pPr>
      <w:spacing w:line="240" w:lineRule="auto"/>
    </w:pPr>
    <w:rPr>
      <w:sz w:val="20"/>
      <w:szCs w:val="20"/>
    </w:rPr>
  </w:style>
  <w:style w:type="character" w:customStyle="1" w:styleId="CommentTextChar">
    <w:name w:val="Comment Text Char"/>
    <w:basedOn w:val="DefaultParagraphFont"/>
    <w:link w:val="CommentText"/>
    <w:uiPriority w:val="99"/>
    <w:rsid w:val="0060239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02399"/>
    <w:rPr>
      <w:b/>
      <w:bCs/>
    </w:rPr>
  </w:style>
  <w:style w:type="character" w:customStyle="1" w:styleId="CommentSubjectChar">
    <w:name w:val="Comment Subject Char"/>
    <w:basedOn w:val="CommentTextChar"/>
    <w:link w:val="CommentSubject"/>
    <w:uiPriority w:val="99"/>
    <w:semiHidden/>
    <w:rsid w:val="00602399"/>
    <w:rPr>
      <w:b/>
      <w:bCs/>
      <w:kern w:val="0"/>
      <w:sz w:val="20"/>
      <w:szCs w:val="20"/>
      <w14:ligatures w14:val="none"/>
    </w:rPr>
  </w:style>
  <w:style w:type="paragraph" w:styleId="Header">
    <w:name w:val="header"/>
    <w:basedOn w:val="Normal"/>
    <w:link w:val="HeaderChar"/>
    <w:uiPriority w:val="99"/>
    <w:unhideWhenUsed/>
    <w:rsid w:val="00655B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5B19"/>
    <w:rPr>
      <w:kern w:val="0"/>
      <w:sz w:val="22"/>
      <w:szCs w:val="22"/>
      <w14:ligatures w14:val="none"/>
    </w:rPr>
  </w:style>
  <w:style w:type="paragraph" w:styleId="Footer">
    <w:name w:val="footer"/>
    <w:basedOn w:val="Normal"/>
    <w:link w:val="FooterChar"/>
    <w:uiPriority w:val="99"/>
    <w:unhideWhenUsed/>
    <w:rsid w:val="00655B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5B19"/>
    <w:rPr>
      <w:kern w:val="0"/>
      <w:sz w:val="22"/>
      <w:szCs w:val="22"/>
      <w14:ligatures w14:val="none"/>
    </w:rPr>
  </w:style>
  <w:style w:type="table" w:styleId="TableGrid">
    <w:name w:val="Table Grid"/>
    <w:basedOn w:val="TableNormal"/>
    <w:uiPriority w:val="39"/>
    <w:rsid w:val="00655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37BB1"/>
    <w:pPr>
      <w:spacing w:after="0" w:line="240" w:lineRule="auto"/>
    </w:pPr>
    <w:rPr>
      <w:kern w:val="0"/>
      <w:sz w:val="22"/>
      <w:szCs w:val="22"/>
      <w14:ligatures w14:val="none"/>
    </w:rPr>
  </w:style>
  <w:style w:type="paragraph" w:customStyle="1" w:styleId="Frontcoverheading">
    <w:name w:val="Front cover heading"/>
    <w:basedOn w:val="Heading1"/>
    <w:qFormat/>
    <w:rsid w:val="00D1293A"/>
    <w:pPr>
      <w:spacing w:before="120" w:after="120" w:line="360" w:lineRule="auto"/>
      <w:jc w:val="center"/>
    </w:pPr>
    <w:rPr>
      <w:rFonts w:ascii="Arial" w:hAnsi="Arial" w:cs="Arial"/>
      <w:b/>
      <w:color w:val="auto"/>
      <w:sz w:val="36"/>
      <w:szCs w:val="24"/>
    </w:rPr>
  </w:style>
  <w:style w:type="paragraph" w:customStyle="1" w:styleId="Numberedheading2">
    <w:name w:val="Numbered heading 2"/>
    <w:basedOn w:val="ListParagraph"/>
    <w:qFormat/>
    <w:rsid w:val="001C70EC"/>
    <w:pPr>
      <w:numPr>
        <w:numId w:val="12"/>
      </w:numPr>
      <w:autoSpaceDE w:val="0"/>
      <w:autoSpaceDN w:val="0"/>
      <w:adjustRightInd w:val="0"/>
      <w:spacing w:line="360" w:lineRule="auto"/>
      <w:ind w:left="737" w:hanging="737"/>
      <w:jc w:val="both"/>
    </w:pPr>
    <w:rPr>
      <w:rFonts w:cs="Arial"/>
      <w:b/>
      <w:bCs/>
      <w:szCs w:val="24"/>
    </w:rPr>
  </w:style>
  <w:style w:type="paragraph" w:styleId="TOC1">
    <w:name w:val="toc 1"/>
    <w:basedOn w:val="Normal"/>
    <w:next w:val="Normal"/>
    <w:autoRedefine/>
    <w:uiPriority w:val="39"/>
    <w:unhideWhenUsed/>
    <w:rsid w:val="00F37BFC"/>
    <w:pPr>
      <w:spacing w:after="100"/>
      <w:ind w:left="0"/>
    </w:pPr>
  </w:style>
  <w:style w:type="paragraph" w:styleId="TOC2">
    <w:name w:val="toc 2"/>
    <w:basedOn w:val="Normal"/>
    <w:next w:val="Normal"/>
    <w:autoRedefine/>
    <w:uiPriority w:val="39"/>
    <w:unhideWhenUsed/>
    <w:rsid w:val="00F37BFC"/>
    <w:pPr>
      <w:spacing w:after="100"/>
      <w:ind w:left="240"/>
    </w:pPr>
  </w:style>
  <w:style w:type="character" w:styleId="Hyperlink">
    <w:name w:val="Hyperlink"/>
    <w:basedOn w:val="DefaultParagraphFont"/>
    <w:uiPriority w:val="99"/>
    <w:unhideWhenUsed/>
    <w:rsid w:val="00F37BF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olicycategory xmlns="f222641f-7016-462b-afef-5bfeb812df16">HR - Pay</Policycategory>
    <Policydescription xmlns="f222641f-7016-462b-afef-5bfeb812df16" xsi:nil="true"/>
    <Internalcode xmlns="f222641f-7016-462b-afef-5bfeb812df16" xsi:nil="true"/>
    <Policyname xmlns="f222641f-7016-462b-afef-5bfeb812df16">Pay policy statement 2026 to 2027</Policyname>
    <Year xmlns="f222641f-7016-462b-afef-5bfeb812df16">2026</Year>
    <Policyversion xmlns="f222641f-7016-462b-afef-5bfeb812df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3DB84B99F86C43998FED09BFAC8D01" ma:contentTypeVersion="10" ma:contentTypeDescription="Create a new document." ma:contentTypeScope="" ma:versionID="5462a918be839f8ee1a21b65fefc838c">
  <xsd:schema xmlns:xsd="http://www.w3.org/2001/XMLSchema" xmlns:xs="http://www.w3.org/2001/XMLSchema" xmlns:p="http://schemas.microsoft.com/office/2006/metadata/properties" xmlns:ns2="f222641f-7016-462b-afef-5bfeb812df16" targetNamespace="http://schemas.microsoft.com/office/2006/metadata/properties" ma:root="true" ma:fieldsID="ca19cab388148d86531bf51acf65fee3" ns2:_="">
    <xsd:import namespace="f222641f-7016-462b-afef-5bfeb812df1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Policycategory" minOccurs="0"/>
                <xsd:element ref="ns2:Policydescription" minOccurs="0"/>
                <xsd:element ref="ns2:Policyname" minOccurs="0"/>
                <xsd:element ref="ns2:Internalcode" minOccurs="0"/>
                <xsd:element ref="ns2:Year" minOccurs="0"/>
                <xsd:element ref="ns2:Policyvers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22641f-7016-462b-afef-5bfeb812df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Policycategory" ma:index="11" nillable="true" ma:displayName="Policy category" ma:format="Dropdown" ma:internalName="Policycategory">
      <xsd:simpleType>
        <xsd:restriction base="dms:Text">
          <xsd:maxLength value="255"/>
        </xsd:restriction>
      </xsd:simpleType>
    </xsd:element>
    <xsd:element name="Policydescription" ma:index="12" nillable="true" ma:displayName="Policy description" ma:format="Dropdown" ma:internalName="Policydescription">
      <xsd:simpleType>
        <xsd:restriction base="dms:Text">
          <xsd:maxLength value="255"/>
        </xsd:restriction>
      </xsd:simpleType>
    </xsd:element>
    <xsd:element name="Policyname" ma:index="13" nillable="true" ma:displayName="Policy name" ma:format="Dropdown" ma:internalName="Policyname">
      <xsd:simpleType>
        <xsd:restriction base="dms:Text">
          <xsd:maxLength value="255"/>
        </xsd:restriction>
      </xsd:simpleType>
    </xsd:element>
    <xsd:element name="Internalcode" ma:index="14" nillable="true" ma:displayName="Internal code" ma:format="Dropdown" ma:internalName="Internalcode">
      <xsd:simpleType>
        <xsd:restriction base="dms:Text">
          <xsd:maxLength value="255"/>
        </xsd:restriction>
      </xsd:simpleType>
    </xsd:element>
    <xsd:element name="Year" ma:index="15" nillable="true" ma:displayName="Year" ma:format="Dropdown" ma:internalName="Year">
      <xsd:simpleType>
        <xsd:restriction base="dms:Text">
          <xsd:maxLength value="255"/>
        </xsd:restriction>
      </xsd:simpleType>
    </xsd:element>
    <xsd:element name="Policyversion" ma:index="16" nillable="true" ma:displayName="Policy version" ma:format="Dropdown" ma:internalName="Policyversion">
      <xsd:simpleType>
        <xsd:restriction base="dms:Text">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00865-C4EA-45FD-87D6-BD63095BAFC2}">
  <ds:schemaRefs>
    <ds:schemaRef ds:uri="http://schemas.microsoft.com/sharepoint/v3/contenttype/forms"/>
  </ds:schemaRefs>
</ds:datastoreItem>
</file>

<file path=customXml/itemProps2.xml><?xml version="1.0" encoding="utf-8"?>
<ds:datastoreItem xmlns:ds="http://schemas.openxmlformats.org/officeDocument/2006/customXml" ds:itemID="{994235C0-D1AF-4220-9F03-2AA949BF2715}">
  <ds:schemaRefs>
    <ds:schemaRef ds:uri="http://schemas.microsoft.com/office/2006/metadata/properties"/>
    <ds:schemaRef ds:uri="http://schemas.microsoft.com/office/infopath/2007/PartnerControls"/>
    <ds:schemaRef ds:uri="f222641f-7016-462b-afef-5bfeb812df16"/>
  </ds:schemaRefs>
</ds:datastoreItem>
</file>

<file path=customXml/itemProps3.xml><?xml version="1.0" encoding="utf-8"?>
<ds:datastoreItem xmlns:ds="http://schemas.openxmlformats.org/officeDocument/2006/customXml" ds:itemID="{AC516C1F-268F-47A4-B661-98494464E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22641f-7016-462b-afef-5bfeb812d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A640FA-DB07-4B20-B0F1-A7688FB44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2189</Words>
  <Characters>11884</Characters>
  <Application>Microsoft Office Word</Application>
  <DocSecurity>0</DocSecurity>
  <Lines>326</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 policy statement 2026 to 2027</dc:title>
  <dc:subject/>
  <dc:creator>Nikki.Morris</dc:creator>
  <cp:keywords/>
  <dc:description/>
  <cp:lastModifiedBy>Vicky.Green</cp:lastModifiedBy>
  <cp:revision>3</cp:revision>
  <cp:lastPrinted>2026-01-20T11:57:00Z</cp:lastPrinted>
  <dcterms:created xsi:type="dcterms:W3CDTF">2026-03-05T09:31:00Z</dcterms:created>
  <dcterms:modified xsi:type="dcterms:W3CDTF">2026-03-05T14:31:00Z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0x0101005A3DB84B99F86C43998FED09BFAC8D01</vt:lpwstr>
  </property>
  <property fmtid="{D5CDD505-2E9C-101B-9397-08002B2CF9AE}" pid="3" name="MediaServiceImageTags">
    <vt:lpwstr/>
  </property>
  <property fmtid="{D5CDD505-2E9C-101B-9397-08002B2CF9AE}" pid="4" name="docLang">
    <vt:lpwstr>en</vt:lpwstr>
  </property>
</Properties>
</file>