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86678" w14:textId="77777777" w:rsidR="00794CAA" w:rsidRDefault="00794CAA" w:rsidP="00F71797">
      <w:pPr>
        <w:jc w:val="center"/>
        <w:outlineLvl w:val="0"/>
        <w:rPr>
          <w:b/>
          <w:sz w:val="36"/>
          <w:szCs w:val="36"/>
        </w:rPr>
      </w:pPr>
    </w:p>
    <w:p w14:paraId="680FAFA8" w14:textId="77777777" w:rsidR="00794CAA" w:rsidRDefault="00794CAA" w:rsidP="00F71797">
      <w:pPr>
        <w:jc w:val="center"/>
        <w:outlineLvl w:val="0"/>
        <w:rPr>
          <w:b/>
          <w:sz w:val="36"/>
          <w:szCs w:val="36"/>
        </w:rPr>
      </w:pPr>
    </w:p>
    <w:p w14:paraId="3CD2A45C" w14:textId="77777777" w:rsidR="00794CAA" w:rsidRDefault="00794CAA" w:rsidP="00F71797">
      <w:pPr>
        <w:jc w:val="center"/>
        <w:outlineLvl w:val="0"/>
        <w:rPr>
          <w:b/>
          <w:sz w:val="36"/>
          <w:szCs w:val="36"/>
        </w:rPr>
      </w:pPr>
    </w:p>
    <w:p w14:paraId="77F83F93" w14:textId="77777777" w:rsidR="00794CAA" w:rsidRDefault="001127CE" w:rsidP="00F71797">
      <w:pPr>
        <w:jc w:val="center"/>
        <w:outlineLvl w:val="0"/>
        <w:rPr>
          <w:b/>
          <w:sz w:val="36"/>
          <w:szCs w:val="36"/>
        </w:rPr>
      </w:pPr>
      <w:r>
        <w:fldChar w:fldCharType="begin"/>
      </w:r>
      <w:r>
        <w:instrText xml:space="preserve"> INCLUDEPICTURE  "cid:image001.png@01D7B5FD.93C82600" \* MERGEFORMATINET </w:instrText>
      </w:r>
      <w:r>
        <w:fldChar w:fldCharType="separate"/>
      </w:r>
      <w:r w:rsidR="00446BBD">
        <w:fldChar w:fldCharType="begin"/>
      </w:r>
      <w:r w:rsidR="00446BBD">
        <w:instrText xml:space="preserve"> INCLUDEPICTURE  "cid:image001.png@01D7B5FD.93C82600" \* MERGEFORMATINET </w:instrText>
      </w:r>
      <w:r w:rsidR="00446BBD">
        <w:fldChar w:fldCharType="separate"/>
      </w:r>
      <w:r w:rsidR="00D178C8">
        <w:fldChar w:fldCharType="begin"/>
      </w:r>
      <w:r w:rsidR="00D178C8">
        <w:instrText xml:space="preserve"> INCLUDEPICTURE  "cid:image001.png@01D7B5FD.93C82600" \* MERGEFORMATINET </w:instrText>
      </w:r>
      <w:r w:rsidR="00D178C8">
        <w:fldChar w:fldCharType="separate"/>
      </w:r>
      <w:r w:rsidR="000E44C8">
        <w:fldChar w:fldCharType="begin"/>
      </w:r>
      <w:r w:rsidR="000E44C8">
        <w:instrText xml:space="preserve"> INCLUDEPICTURE  "cid:image001.png@01D7B5FD.93C82600" \* MERGEFORMATINET </w:instrText>
      </w:r>
      <w:r w:rsidR="000E44C8">
        <w:fldChar w:fldCharType="separate"/>
      </w:r>
      <w:r w:rsidR="007B467A">
        <w:fldChar w:fldCharType="begin"/>
      </w:r>
      <w:r w:rsidR="007B467A">
        <w:instrText xml:space="preserve"> </w:instrText>
      </w:r>
      <w:r w:rsidR="007B467A">
        <w:instrText>INCLUDEPICTURE  "cid:image001.png@01D7B5FD.93C82600" \* MERGEFORMATINET</w:instrText>
      </w:r>
      <w:r w:rsidR="007B467A">
        <w:instrText xml:space="preserve"> </w:instrText>
      </w:r>
      <w:r w:rsidR="007B467A">
        <w:fldChar w:fldCharType="separate"/>
      </w:r>
      <w:r w:rsidR="007B467A">
        <w:pict w14:anchorId="1F9880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Ashfield District Council Logo" style="width:181.8pt;height:74.4pt">
            <v:imagedata r:id="rId8" r:href="rId9"/>
          </v:shape>
        </w:pict>
      </w:r>
      <w:r w:rsidR="007B467A">
        <w:fldChar w:fldCharType="end"/>
      </w:r>
      <w:r w:rsidR="000E44C8">
        <w:fldChar w:fldCharType="end"/>
      </w:r>
      <w:r w:rsidR="00D178C8">
        <w:fldChar w:fldCharType="end"/>
      </w:r>
      <w:r w:rsidR="00446BBD">
        <w:fldChar w:fldCharType="end"/>
      </w:r>
      <w:r>
        <w:fldChar w:fldCharType="end"/>
      </w:r>
    </w:p>
    <w:p w14:paraId="09ABE8A9" w14:textId="77777777" w:rsidR="00794CAA" w:rsidRDefault="00794CAA" w:rsidP="00F71797">
      <w:pPr>
        <w:jc w:val="center"/>
        <w:outlineLvl w:val="0"/>
        <w:rPr>
          <w:b/>
          <w:sz w:val="36"/>
          <w:szCs w:val="36"/>
        </w:rPr>
      </w:pPr>
    </w:p>
    <w:p w14:paraId="2309516C" w14:textId="77777777" w:rsidR="00794CAA" w:rsidRDefault="00794CAA" w:rsidP="00F71797">
      <w:pPr>
        <w:jc w:val="center"/>
        <w:outlineLvl w:val="0"/>
        <w:rPr>
          <w:b/>
          <w:sz w:val="72"/>
          <w:szCs w:val="72"/>
        </w:rPr>
      </w:pPr>
    </w:p>
    <w:p w14:paraId="37854E4A" w14:textId="77777777" w:rsidR="00794CAA" w:rsidRDefault="00794CAA" w:rsidP="00F71797">
      <w:pPr>
        <w:jc w:val="center"/>
        <w:outlineLvl w:val="0"/>
        <w:rPr>
          <w:b/>
          <w:sz w:val="72"/>
          <w:szCs w:val="72"/>
        </w:rPr>
      </w:pPr>
    </w:p>
    <w:p w14:paraId="30E9A4DA" w14:textId="77777777" w:rsidR="00794CAA" w:rsidRPr="001127CE" w:rsidRDefault="00E963D7" w:rsidP="00174E3E">
      <w:pPr>
        <w:pStyle w:val="FrontCoverHeading"/>
      </w:pPr>
      <w:r w:rsidRPr="001127CE">
        <w:t>STRATEGIC</w:t>
      </w:r>
    </w:p>
    <w:p w14:paraId="0E66064E" w14:textId="77777777" w:rsidR="008B646B" w:rsidRPr="001127CE" w:rsidRDefault="00794CAA" w:rsidP="00174E3E">
      <w:pPr>
        <w:pStyle w:val="FrontCoverHeading"/>
      </w:pPr>
      <w:r w:rsidRPr="001127CE">
        <w:t xml:space="preserve">GREEN BELT REVIEW </w:t>
      </w:r>
    </w:p>
    <w:p w14:paraId="33CAD19E" w14:textId="77777777" w:rsidR="00E963D7" w:rsidRPr="001127CE" w:rsidRDefault="00E963D7" w:rsidP="008B646B">
      <w:pPr>
        <w:jc w:val="right"/>
        <w:outlineLvl w:val="0"/>
        <w:rPr>
          <w:b/>
          <w:color w:val="auto"/>
          <w:sz w:val="56"/>
          <w:szCs w:val="56"/>
        </w:rPr>
      </w:pPr>
    </w:p>
    <w:p w14:paraId="298C0C3D" w14:textId="77777777" w:rsidR="008B646B" w:rsidRDefault="00A10C61" w:rsidP="00174E3E">
      <w:pPr>
        <w:pStyle w:val="Frontcoverheading2"/>
      </w:pPr>
      <w:r w:rsidRPr="001127CE">
        <w:rPr>
          <w:b/>
        </w:rPr>
        <w:t>August</w:t>
      </w:r>
      <w:r w:rsidR="00E50E2A" w:rsidRPr="001127CE">
        <w:rPr>
          <w:b/>
        </w:rPr>
        <w:t xml:space="preserve"> 2016</w:t>
      </w:r>
    </w:p>
    <w:p w14:paraId="29D52E9C" w14:textId="77777777" w:rsidR="00174E3E" w:rsidRDefault="00174E3E" w:rsidP="00174E3E"/>
    <w:p w14:paraId="38DEDA9C" w14:textId="7CBE411F" w:rsidR="00174E3E" w:rsidRPr="00174E3E" w:rsidRDefault="00174E3E" w:rsidP="00174E3E">
      <w:pPr>
        <w:sectPr w:rsidR="00174E3E" w:rsidRPr="00174E3E" w:rsidSect="001127CE">
          <w:headerReference w:type="even" r:id="rId10"/>
          <w:headerReference w:type="default" r:id="rId11"/>
          <w:footerReference w:type="even" r:id="rId12"/>
          <w:footerReference w:type="default" r:id="rId13"/>
          <w:headerReference w:type="first" r:id="rId14"/>
          <w:footerReference w:type="first" r:id="rId15"/>
          <w:pgSz w:w="11906" w:h="16838"/>
          <w:pgMar w:top="1440" w:right="1797" w:bottom="1440" w:left="1797" w:header="709" w:footer="709" w:gutter="0"/>
          <w:pgBorders w:display="firstPage" w:offsetFrom="page">
            <w:top w:val="single" w:sz="36" w:space="24" w:color="auto"/>
            <w:left w:val="single" w:sz="36" w:space="24" w:color="auto"/>
            <w:bottom w:val="single" w:sz="36" w:space="24" w:color="auto"/>
            <w:right w:val="single" w:sz="36" w:space="24" w:color="auto"/>
          </w:pgBorders>
          <w:cols w:space="708"/>
          <w:titlePg/>
          <w:docGrid w:linePitch="360"/>
        </w:sectPr>
      </w:pPr>
    </w:p>
    <w:p w14:paraId="58755E6C" w14:textId="77777777" w:rsidR="000B5EE4" w:rsidRDefault="000B5EE4" w:rsidP="00CA5468">
      <w:pPr>
        <w:ind w:right="-360"/>
        <w:jc w:val="center"/>
        <w:outlineLvl w:val="0"/>
        <w:rPr>
          <w:b/>
          <w:sz w:val="36"/>
          <w:szCs w:val="36"/>
        </w:rPr>
      </w:pPr>
    </w:p>
    <w:p w14:paraId="29B44794" w14:textId="77777777" w:rsidR="00C10A1A" w:rsidRDefault="00A95A88" w:rsidP="0009368C">
      <w:pPr>
        <w:outlineLvl w:val="0"/>
        <w:rPr>
          <w:b/>
          <w:sz w:val="32"/>
          <w:szCs w:val="32"/>
        </w:rPr>
      </w:pPr>
      <w:r>
        <w:rPr>
          <w:b/>
          <w:sz w:val="32"/>
          <w:szCs w:val="32"/>
        </w:rPr>
        <w:br w:type="page"/>
      </w:r>
    </w:p>
    <w:p w14:paraId="042AB34A" w14:textId="77777777" w:rsidR="00052FDD" w:rsidRPr="00174E3E" w:rsidRDefault="00E4634C" w:rsidP="00C55BA0">
      <w:pPr>
        <w:pStyle w:val="Addendumheading"/>
      </w:pPr>
      <w:r w:rsidRPr="00446BBD">
        <w:lastRenderedPageBreak/>
        <w:t>2016</w:t>
      </w:r>
      <w:r w:rsidRPr="00174E3E">
        <w:t xml:space="preserve"> </w:t>
      </w:r>
      <w:r w:rsidR="00052FDD" w:rsidRPr="00174E3E">
        <w:t>ADDENDUM</w:t>
      </w:r>
      <w:r w:rsidR="00466DD0" w:rsidRPr="00174E3E">
        <w:t xml:space="preserve">: U03 – Land North of Underwood </w:t>
      </w:r>
    </w:p>
    <w:p w14:paraId="529C7146" w14:textId="77777777" w:rsidR="00052FDD" w:rsidRPr="0009368C" w:rsidRDefault="00052FDD" w:rsidP="00052FDD">
      <w:pPr>
        <w:outlineLvl w:val="0"/>
      </w:pPr>
      <w:r w:rsidRPr="0009368C">
        <w:t>Following the Preferred Approach Local Plan Consultation (2</w:t>
      </w:r>
      <w:r w:rsidRPr="0009368C">
        <w:rPr>
          <w:vertAlign w:val="superscript"/>
        </w:rPr>
        <w:t>nd</w:t>
      </w:r>
      <w:r w:rsidRPr="0009368C">
        <w:t xml:space="preserve"> February to 20</w:t>
      </w:r>
      <w:r w:rsidRPr="0009368C">
        <w:rPr>
          <w:vertAlign w:val="superscript"/>
        </w:rPr>
        <w:t>th</w:t>
      </w:r>
      <w:r w:rsidRPr="0009368C">
        <w:t xml:space="preserve"> March 2016) the Council ha</w:t>
      </w:r>
      <w:r w:rsidR="002C6F66">
        <w:t xml:space="preserve">s </w:t>
      </w:r>
      <w:r w:rsidRPr="0009368C">
        <w:t>amended the supporting text</w:t>
      </w:r>
      <w:r w:rsidR="002C6F66">
        <w:t xml:space="preserve"> and scores</w:t>
      </w:r>
      <w:r w:rsidRPr="0009368C">
        <w:t xml:space="preserve"> for U03 – Land north of Underwood.</w:t>
      </w:r>
      <w:r w:rsidR="0043348C">
        <w:t xml:space="preserve">  Below is a summary of the changes made to this document.</w:t>
      </w:r>
      <w:r w:rsidRPr="0009368C">
        <w:t xml:space="preserve">  </w:t>
      </w:r>
    </w:p>
    <w:p w14:paraId="56B27BF2" w14:textId="77777777" w:rsidR="008A6855" w:rsidRDefault="008A6855" w:rsidP="008A6855">
      <w:pPr>
        <w:outlineLvl w:val="0"/>
        <w:rPr>
          <w:highlight w:val="yellow"/>
        </w:rPr>
      </w:pPr>
    </w:p>
    <w:p w14:paraId="1849D3E0" w14:textId="77777777" w:rsidR="0043348C" w:rsidRPr="0043348C" w:rsidRDefault="0043348C" w:rsidP="008A6855">
      <w:pPr>
        <w:outlineLvl w:val="0"/>
        <w:rPr>
          <w:u w:val="single"/>
        </w:rPr>
      </w:pPr>
      <w:r w:rsidRPr="0043348C">
        <w:rPr>
          <w:u w:val="single"/>
        </w:rPr>
        <w:t>Amendments to supporting text:</w:t>
      </w:r>
    </w:p>
    <w:p w14:paraId="6351ED7F" w14:textId="77777777" w:rsidR="00023C2E" w:rsidRDefault="001432B5" w:rsidP="008A6855">
      <w:pPr>
        <w:outlineLvl w:val="0"/>
      </w:pPr>
      <w:r>
        <w:t xml:space="preserve">For clarification purposes </w:t>
      </w:r>
      <w:r w:rsidR="00643FB0">
        <w:t>t</w:t>
      </w:r>
      <w:r w:rsidR="008A6855" w:rsidRPr="008A6855">
        <w:t>he text below has been deleted from</w:t>
      </w:r>
      <w:r w:rsidR="0043348C">
        <w:t xml:space="preserve"> both </w:t>
      </w:r>
      <w:r w:rsidR="00F46B19">
        <w:t>a</w:t>
      </w:r>
      <w:r w:rsidR="0043348C">
        <w:t>ssessment 1 and 2</w:t>
      </w:r>
      <w:r w:rsidR="00466DD0">
        <w:t xml:space="preserve"> of U03</w:t>
      </w:r>
      <w:r w:rsidR="00023C2E">
        <w:t xml:space="preserve"> and replaced with revised text</w:t>
      </w:r>
      <w:r w:rsidR="0043348C">
        <w:t>.</w:t>
      </w:r>
    </w:p>
    <w:p w14:paraId="59111905" w14:textId="77777777" w:rsidR="008A6855" w:rsidRDefault="0043348C" w:rsidP="008A6855">
      <w:pPr>
        <w:outlineLvl w:val="0"/>
      </w:pPr>
      <w:r>
        <w:t xml:space="preserve"> </w:t>
      </w:r>
    </w:p>
    <w:p w14:paraId="7FF9C6A1" w14:textId="77777777" w:rsidR="008A6855" w:rsidRPr="009E3574" w:rsidRDefault="008A6855" w:rsidP="008A6855">
      <w:pPr>
        <w:numPr>
          <w:ilvl w:val="0"/>
          <w:numId w:val="38"/>
        </w:numPr>
        <w:ind w:left="459"/>
        <w:rPr>
          <w:i/>
          <w:strike/>
          <w:color w:val="FF0000"/>
        </w:rPr>
      </w:pPr>
      <w:r w:rsidRPr="009E3574">
        <w:rPr>
          <w:i/>
          <w:strike/>
          <w:color w:val="auto"/>
        </w:rPr>
        <w:t xml:space="preserve">Topography of the land means that development is likely to have an adverse impact on the setting of </w:t>
      </w:r>
      <w:proofErr w:type="spellStart"/>
      <w:r w:rsidRPr="009E3574">
        <w:rPr>
          <w:i/>
          <w:strike/>
          <w:color w:val="auto"/>
        </w:rPr>
        <w:t>Bagthorpe</w:t>
      </w:r>
      <w:proofErr w:type="spellEnd"/>
      <w:r w:rsidRPr="009E3574">
        <w:rPr>
          <w:i/>
          <w:strike/>
          <w:color w:val="auto"/>
        </w:rPr>
        <w:t xml:space="preserve"> Conservation Area especially longer views from within the valley to the north.  Encroachment of development will erode the rural setting of the Lower </w:t>
      </w:r>
      <w:proofErr w:type="spellStart"/>
      <w:r w:rsidRPr="009E3574">
        <w:rPr>
          <w:i/>
          <w:strike/>
          <w:color w:val="auto"/>
        </w:rPr>
        <w:t>Bagthorpe</w:t>
      </w:r>
      <w:proofErr w:type="spellEnd"/>
      <w:r w:rsidRPr="009E3574">
        <w:rPr>
          <w:i/>
          <w:strike/>
          <w:color w:val="auto"/>
        </w:rPr>
        <w:t xml:space="preserve"> Conservation Area. </w:t>
      </w:r>
    </w:p>
    <w:p w14:paraId="2C460B52" w14:textId="77777777" w:rsidR="00466DD0" w:rsidRDefault="00466DD0" w:rsidP="00466DD0">
      <w:pPr>
        <w:rPr>
          <w:i/>
          <w:color w:val="auto"/>
        </w:rPr>
      </w:pPr>
    </w:p>
    <w:p w14:paraId="162D13F2" w14:textId="77777777" w:rsidR="00466DD0" w:rsidRPr="0009368C" w:rsidRDefault="009E3574" w:rsidP="00466DD0">
      <w:pPr>
        <w:outlineLvl w:val="0"/>
      </w:pPr>
      <w:r>
        <w:t xml:space="preserve">See </w:t>
      </w:r>
      <w:r w:rsidR="00A10C61">
        <w:t>revised assessment sheets for</w:t>
      </w:r>
      <w:r w:rsidR="00023C2E">
        <w:t xml:space="preserve"> U03</w:t>
      </w:r>
      <w:r w:rsidR="00A10C61">
        <w:t xml:space="preserve"> </w:t>
      </w:r>
      <w:r>
        <w:t xml:space="preserve">for the </w:t>
      </w:r>
      <w:r w:rsidR="00466DD0">
        <w:t>revised text.</w:t>
      </w:r>
    </w:p>
    <w:p w14:paraId="5A62E582" w14:textId="77777777" w:rsidR="00466DD0" w:rsidRPr="00466DD0" w:rsidRDefault="00466DD0" w:rsidP="00466DD0">
      <w:pPr>
        <w:rPr>
          <w:color w:val="FF0000"/>
        </w:rPr>
      </w:pPr>
    </w:p>
    <w:p w14:paraId="1F0B87B7" w14:textId="77777777" w:rsidR="0043348C" w:rsidRPr="008B05EC" w:rsidRDefault="0043348C" w:rsidP="00C10A1A">
      <w:pPr>
        <w:outlineLvl w:val="0"/>
        <w:rPr>
          <w:u w:val="single"/>
        </w:rPr>
      </w:pPr>
      <w:r w:rsidRPr="008B05EC">
        <w:rPr>
          <w:u w:val="single"/>
        </w:rPr>
        <w:t>Amendments to scores:</w:t>
      </w:r>
    </w:p>
    <w:p w14:paraId="18624901" w14:textId="77777777" w:rsidR="00935F9A" w:rsidRPr="008B05EC" w:rsidRDefault="00B61818" w:rsidP="00C10A1A">
      <w:pPr>
        <w:outlineLvl w:val="0"/>
      </w:pPr>
      <w:r>
        <w:t>U03 s</w:t>
      </w:r>
      <w:r w:rsidR="008B05EC" w:rsidRPr="008B05EC">
        <w:t>ite</w:t>
      </w:r>
      <w:r>
        <w:t xml:space="preserve"> </w:t>
      </w:r>
      <w:r w:rsidR="008B05EC" w:rsidRPr="008B05EC">
        <w:t>1, 2, 3, 6 and 7 were all awarded</w:t>
      </w:r>
      <w:r w:rsidR="008B05EC" w:rsidRPr="008B05EC">
        <w:rPr>
          <w:color w:val="auto"/>
        </w:rPr>
        <w:t xml:space="preserve"> 5 out of 5 for ‘Preserve the setting and special character of historic settlement’. The score of 5 relates to the whole of U03 rather than to </w:t>
      </w:r>
      <w:r w:rsidR="008B05EC">
        <w:rPr>
          <w:color w:val="auto"/>
        </w:rPr>
        <w:t xml:space="preserve">the </w:t>
      </w:r>
      <w:r w:rsidR="008B05EC" w:rsidRPr="008B05EC">
        <w:rPr>
          <w:color w:val="auto"/>
        </w:rPr>
        <w:t>subsite</w:t>
      </w:r>
      <w:r w:rsidR="008B05EC">
        <w:rPr>
          <w:color w:val="auto"/>
        </w:rPr>
        <w:t>s</w:t>
      </w:r>
      <w:r w:rsidR="008B05EC" w:rsidRPr="008B05EC">
        <w:rPr>
          <w:color w:val="auto"/>
        </w:rPr>
        <w:t xml:space="preserve">, this was an error. </w:t>
      </w:r>
      <w:r w:rsidR="008B05EC" w:rsidRPr="008B05EC">
        <w:t xml:space="preserve"> </w:t>
      </w:r>
      <w:r w:rsidR="00052FDD" w:rsidRPr="008B05EC">
        <w:t xml:space="preserve">The </w:t>
      </w:r>
      <w:r w:rsidR="0009368C" w:rsidRPr="008B05EC">
        <w:t xml:space="preserve">table below </w:t>
      </w:r>
      <w:r w:rsidR="008B05EC">
        <w:t>shows the correct</w:t>
      </w:r>
      <w:r w:rsidR="00D72CCC" w:rsidRPr="008B05EC">
        <w:t xml:space="preserve"> </w:t>
      </w:r>
      <w:r w:rsidR="00466DD0" w:rsidRPr="008B05EC">
        <w:t>scores</w:t>
      </w:r>
      <w:r w:rsidR="0009368C" w:rsidRPr="008B05EC">
        <w:t xml:space="preserve">. </w:t>
      </w:r>
    </w:p>
    <w:p w14:paraId="0D9776D2" w14:textId="77777777" w:rsidR="00052FDD" w:rsidRPr="008B05EC" w:rsidRDefault="0009368C" w:rsidP="00C10A1A">
      <w:pPr>
        <w:outlineLvl w:val="0"/>
      </w:pPr>
      <w:r w:rsidRPr="008B05EC">
        <w:t xml:space="preserve"> </w:t>
      </w:r>
    </w:p>
    <w:tbl>
      <w:tblPr>
        <w:tblStyle w:val="TableGrid"/>
        <w:tblW w:w="0" w:type="auto"/>
        <w:tblLook w:val="04A0" w:firstRow="1" w:lastRow="0" w:firstColumn="1" w:lastColumn="0" w:noHBand="0" w:noVBand="1"/>
      </w:tblPr>
      <w:tblGrid>
        <w:gridCol w:w="8270"/>
      </w:tblGrid>
      <w:tr w:rsidR="0009368C" w14:paraId="10201BB3" w14:textId="77777777" w:rsidTr="00174E3E">
        <w:tc>
          <w:tcPr>
            <w:tcW w:w="8472" w:type="dxa"/>
          </w:tcPr>
          <w:p w14:paraId="06B60666" w14:textId="77777777" w:rsidR="0009368C" w:rsidRPr="00273421" w:rsidRDefault="0009368C" w:rsidP="00020509">
            <w:pPr>
              <w:rPr>
                <w:b/>
              </w:rPr>
            </w:pPr>
            <w:r w:rsidRPr="00273421">
              <w:rPr>
                <w:b/>
              </w:rPr>
              <w:t xml:space="preserve">Site </w:t>
            </w:r>
            <w:r w:rsidR="008A6855">
              <w:rPr>
                <w:b/>
              </w:rPr>
              <w:t>r</w:t>
            </w:r>
            <w:r w:rsidRPr="00273421">
              <w:rPr>
                <w:b/>
              </w:rPr>
              <w:t xml:space="preserve">eference </w:t>
            </w:r>
            <w:r w:rsidR="008A6855">
              <w:rPr>
                <w:b/>
              </w:rPr>
              <w:t xml:space="preserve">and </w:t>
            </w:r>
            <w:r w:rsidR="00020509">
              <w:rPr>
                <w:b/>
              </w:rPr>
              <w:t>amended score</w:t>
            </w:r>
          </w:p>
        </w:tc>
      </w:tr>
      <w:tr w:rsidR="0009368C" w14:paraId="291A481C" w14:textId="77777777" w:rsidTr="00174E3E">
        <w:tc>
          <w:tcPr>
            <w:tcW w:w="8472" w:type="dxa"/>
          </w:tcPr>
          <w:p w14:paraId="3AD34EAF" w14:textId="77777777" w:rsidR="008B05EC" w:rsidRPr="00020509" w:rsidRDefault="0009368C" w:rsidP="008B05EC">
            <w:pPr>
              <w:rPr>
                <w:color w:val="auto"/>
                <w:sz w:val="22"/>
                <w:szCs w:val="22"/>
                <w:u w:val="single"/>
              </w:rPr>
            </w:pPr>
            <w:r w:rsidRPr="00020509">
              <w:rPr>
                <w:color w:val="auto"/>
                <w:sz w:val="22"/>
                <w:szCs w:val="22"/>
                <w:u w:val="single"/>
              </w:rPr>
              <w:t>U03 / Site 1</w:t>
            </w:r>
          </w:p>
          <w:p w14:paraId="577E734D" w14:textId="77777777" w:rsidR="008B05EC" w:rsidRPr="00020509" w:rsidRDefault="00020509" w:rsidP="00E4634C">
            <w:pPr>
              <w:rPr>
                <w:color w:val="auto"/>
                <w:sz w:val="22"/>
                <w:szCs w:val="22"/>
              </w:rPr>
            </w:pPr>
            <w:r w:rsidRPr="008B05EC">
              <w:rPr>
                <w:color w:val="auto"/>
              </w:rPr>
              <w:t>Preserve the setting and special character of historic settlement</w:t>
            </w:r>
            <w:r>
              <w:rPr>
                <w:color w:val="auto"/>
              </w:rPr>
              <w:t xml:space="preserve">: </w:t>
            </w:r>
            <w:r w:rsidRPr="00020509">
              <w:rPr>
                <w:color w:val="auto"/>
                <w:sz w:val="22"/>
                <w:szCs w:val="22"/>
              </w:rPr>
              <w:t>Score</w:t>
            </w:r>
            <w:r>
              <w:rPr>
                <w:color w:val="auto"/>
                <w:sz w:val="22"/>
                <w:szCs w:val="22"/>
              </w:rPr>
              <w:t xml:space="preserve"> - </w:t>
            </w:r>
            <w:r w:rsidR="008B05EC" w:rsidRPr="00020509">
              <w:rPr>
                <w:color w:val="auto"/>
                <w:sz w:val="22"/>
                <w:szCs w:val="22"/>
              </w:rPr>
              <w:t>2</w:t>
            </w:r>
            <w:r w:rsidR="0009368C" w:rsidRPr="00020509">
              <w:rPr>
                <w:color w:val="auto"/>
                <w:sz w:val="22"/>
                <w:szCs w:val="22"/>
              </w:rPr>
              <w:t>.</w:t>
            </w:r>
          </w:p>
        </w:tc>
      </w:tr>
      <w:tr w:rsidR="0009368C" w14:paraId="282110F2" w14:textId="77777777" w:rsidTr="00174E3E">
        <w:tc>
          <w:tcPr>
            <w:tcW w:w="8472" w:type="dxa"/>
          </w:tcPr>
          <w:p w14:paraId="704D2CAA" w14:textId="77777777" w:rsidR="008B05EC" w:rsidRPr="00020509" w:rsidRDefault="0009368C" w:rsidP="008B05EC">
            <w:pPr>
              <w:rPr>
                <w:color w:val="auto"/>
                <w:sz w:val="22"/>
                <w:szCs w:val="22"/>
              </w:rPr>
            </w:pPr>
            <w:r w:rsidRPr="00020509">
              <w:rPr>
                <w:color w:val="auto"/>
                <w:sz w:val="22"/>
                <w:szCs w:val="22"/>
                <w:u w:val="single"/>
              </w:rPr>
              <w:t>U03 / Site 2</w:t>
            </w:r>
          </w:p>
          <w:p w14:paraId="5BB7756F" w14:textId="77777777" w:rsidR="008B05EC" w:rsidRPr="00020509" w:rsidRDefault="00020509" w:rsidP="00E4634C">
            <w:pPr>
              <w:rPr>
                <w:color w:val="auto"/>
                <w:sz w:val="22"/>
                <w:szCs w:val="22"/>
              </w:rPr>
            </w:pPr>
            <w:r w:rsidRPr="008B05EC">
              <w:rPr>
                <w:color w:val="auto"/>
              </w:rPr>
              <w:t>Preserve the setting and special character of historic settlement</w:t>
            </w:r>
            <w:r>
              <w:rPr>
                <w:color w:val="auto"/>
              </w:rPr>
              <w:t xml:space="preserve">: </w:t>
            </w:r>
            <w:r w:rsidR="008B05EC" w:rsidRPr="00020509">
              <w:rPr>
                <w:color w:val="auto"/>
                <w:sz w:val="22"/>
                <w:szCs w:val="22"/>
              </w:rPr>
              <w:t>Score</w:t>
            </w:r>
            <w:r>
              <w:rPr>
                <w:color w:val="auto"/>
                <w:sz w:val="22"/>
                <w:szCs w:val="22"/>
              </w:rPr>
              <w:t xml:space="preserve"> - 1</w:t>
            </w:r>
            <w:r w:rsidR="0009368C" w:rsidRPr="00020509">
              <w:rPr>
                <w:color w:val="auto"/>
                <w:sz w:val="22"/>
                <w:szCs w:val="22"/>
              </w:rPr>
              <w:t>.</w:t>
            </w:r>
          </w:p>
        </w:tc>
      </w:tr>
      <w:tr w:rsidR="0009368C" w14:paraId="6CEBB2F3" w14:textId="77777777" w:rsidTr="00174E3E">
        <w:tc>
          <w:tcPr>
            <w:tcW w:w="8472" w:type="dxa"/>
          </w:tcPr>
          <w:p w14:paraId="1793E3CA" w14:textId="77777777" w:rsidR="008B05EC" w:rsidRPr="00020509" w:rsidRDefault="0009368C" w:rsidP="008B05EC">
            <w:pPr>
              <w:rPr>
                <w:color w:val="auto"/>
                <w:sz w:val="22"/>
                <w:szCs w:val="22"/>
                <w:u w:val="single"/>
              </w:rPr>
            </w:pPr>
            <w:r w:rsidRPr="00020509">
              <w:rPr>
                <w:color w:val="auto"/>
                <w:sz w:val="22"/>
                <w:szCs w:val="22"/>
                <w:u w:val="single"/>
              </w:rPr>
              <w:t>U03 / Site 3</w:t>
            </w:r>
          </w:p>
          <w:p w14:paraId="1F9687FD" w14:textId="77777777" w:rsidR="008B05EC" w:rsidRPr="00020509" w:rsidRDefault="00020509" w:rsidP="00E4634C">
            <w:pPr>
              <w:rPr>
                <w:color w:val="auto"/>
                <w:sz w:val="22"/>
                <w:szCs w:val="22"/>
              </w:rPr>
            </w:pPr>
            <w:r w:rsidRPr="008B05EC">
              <w:rPr>
                <w:color w:val="auto"/>
              </w:rPr>
              <w:t>Preserve the setting and special character of historic settlement</w:t>
            </w:r>
            <w:r>
              <w:rPr>
                <w:color w:val="auto"/>
              </w:rPr>
              <w:t xml:space="preserve">: </w:t>
            </w:r>
            <w:r w:rsidR="008B05EC" w:rsidRPr="00020509">
              <w:rPr>
                <w:color w:val="auto"/>
                <w:sz w:val="22"/>
                <w:szCs w:val="22"/>
              </w:rPr>
              <w:t>S</w:t>
            </w:r>
            <w:r w:rsidR="00480643" w:rsidRPr="00020509">
              <w:rPr>
                <w:color w:val="auto"/>
                <w:sz w:val="22"/>
                <w:szCs w:val="22"/>
              </w:rPr>
              <w:t>core</w:t>
            </w:r>
            <w:r>
              <w:rPr>
                <w:color w:val="auto"/>
                <w:sz w:val="22"/>
                <w:szCs w:val="22"/>
              </w:rPr>
              <w:t xml:space="preserve"> - </w:t>
            </w:r>
            <w:r w:rsidR="0009368C" w:rsidRPr="00020509">
              <w:rPr>
                <w:color w:val="auto"/>
                <w:sz w:val="22"/>
                <w:szCs w:val="22"/>
              </w:rPr>
              <w:t>2.</w:t>
            </w:r>
          </w:p>
        </w:tc>
      </w:tr>
      <w:tr w:rsidR="0009368C" w14:paraId="50F8E9FE" w14:textId="77777777" w:rsidTr="00174E3E">
        <w:tc>
          <w:tcPr>
            <w:tcW w:w="8472" w:type="dxa"/>
          </w:tcPr>
          <w:p w14:paraId="293CFD67" w14:textId="77777777" w:rsidR="008B05EC" w:rsidRPr="00020509" w:rsidRDefault="0009368C" w:rsidP="008B05EC">
            <w:pPr>
              <w:rPr>
                <w:color w:val="auto"/>
                <w:sz w:val="22"/>
                <w:szCs w:val="22"/>
                <w:u w:val="single"/>
              </w:rPr>
            </w:pPr>
            <w:r w:rsidRPr="00020509">
              <w:rPr>
                <w:color w:val="auto"/>
                <w:sz w:val="22"/>
                <w:szCs w:val="22"/>
                <w:u w:val="single"/>
              </w:rPr>
              <w:t>U03 / Site 6</w:t>
            </w:r>
          </w:p>
          <w:p w14:paraId="23D22C44" w14:textId="77777777" w:rsidR="008B05EC" w:rsidRPr="00020509" w:rsidRDefault="00020509" w:rsidP="00E4634C">
            <w:pPr>
              <w:rPr>
                <w:color w:val="auto"/>
                <w:sz w:val="22"/>
                <w:szCs w:val="22"/>
              </w:rPr>
            </w:pPr>
            <w:r w:rsidRPr="008B05EC">
              <w:rPr>
                <w:color w:val="auto"/>
              </w:rPr>
              <w:t>Preserve the setting and special character of historic settlement</w:t>
            </w:r>
            <w:r>
              <w:rPr>
                <w:color w:val="auto"/>
              </w:rPr>
              <w:t xml:space="preserve">: </w:t>
            </w:r>
            <w:r w:rsidR="008B05EC" w:rsidRPr="00020509">
              <w:rPr>
                <w:color w:val="auto"/>
                <w:sz w:val="22"/>
                <w:szCs w:val="22"/>
              </w:rPr>
              <w:t>S</w:t>
            </w:r>
            <w:r w:rsidR="003001B4" w:rsidRPr="00020509">
              <w:rPr>
                <w:color w:val="auto"/>
                <w:sz w:val="22"/>
                <w:szCs w:val="22"/>
              </w:rPr>
              <w:t>core</w:t>
            </w:r>
            <w:r>
              <w:rPr>
                <w:color w:val="auto"/>
                <w:sz w:val="22"/>
                <w:szCs w:val="22"/>
              </w:rPr>
              <w:t xml:space="preserve"> - </w:t>
            </w:r>
            <w:r w:rsidR="0009368C" w:rsidRPr="00020509">
              <w:rPr>
                <w:color w:val="auto"/>
                <w:sz w:val="22"/>
                <w:szCs w:val="22"/>
              </w:rPr>
              <w:t>1.</w:t>
            </w:r>
          </w:p>
        </w:tc>
      </w:tr>
      <w:tr w:rsidR="0009368C" w14:paraId="7824970F" w14:textId="77777777" w:rsidTr="00174E3E">
        <w:tc>
          <w:tcPr>
            <w:tcW w:w="8472" w:type="dxa"/>
          </w:tcPr>
          <w:p w14:paraId="7835A570" w14:textId="77777777" w:rsidR="008B05EC" w:rsidRPr="00020509" w:rsidRDefault="0009368C" w:rsidP="008B05EC">
            <w:pPr>
              <w:rPr>
                <w:color w:val="auto"/>
                <w:sz w:val="22"/>
                <w:szCs w:val="22"/>
                <w:u w:val="single"/>
              </w:rPr>
            </w:pPr>
            <w:r w:rsidRPr="00020509">
              <w:rPr>
                <w:color w:val="auto"/>
                <w:sz w:val="22"/>
                <w:szCs w:val="22"/>
                <w:u w:val="single"/>
              </w:rPr>
              <w:t>U03 / Site 7</w:t>
            </w:r>
          </w:p>
          <w:p w14:paraId="3D18B6AB" w14:textId="77777777" w:rsidR="008B05EC" w:rsidRPr="00020509" w:rsidRDefault="00020509" w:rsidP="00E4634C">
            <w:pPr>
              <w:rPr>
                <w:color w:val="auto"/>
                <w:sz w:val="22"/>
                <w:szCs w:val="22"/>
              </w:rPr>
            </w:pPr>
            <w:r w:rsidRPr="008B05EC">
              <w:rPr>
                <w:color w:val="auto"/>
              </w:rPr>
              <w:t>Preserve the setting and special character of historic settlement</w:t>
            </w:r>
            <w:r>
              <w:rPr>
                <w:color w:val="auto"/>
              </w:rPr>
              <w:t xml:space="preserve">: </w:t>
            </w:r>
            <w:r w:rsidR="008B05EC" w:rsidRPr="00020509">
              <w:rPr>
                <w:color w:val="auto"/>
                <w:sz w:val="22"/>
                <w:szCs w:val="22"/>
              </w:rPr>
              <w:t>S</w:t>
            </w:r>
            <w:r w:rsidR="003001B4" w:rsidRPr="00020509">
              <w:rPr>
                <w:color w:val="auto"/>
                <w:sz w:val="22"/>
                <w:szCs w:val="22"/>
              </w:rPr>
              <w:t>core</w:t>
            </w:r>
            <w:r>
              <w:rPr>
                <w:color w:val="auto"/>
                <w:sz w:val="22"/>
                <w:szCs w:val="22"/>
              </w:rPr>
              <w:t xml:space="preserve"> - </w:t>
            </w:r>
            <w:r w:rsidR="0009368C" w:rsidRPr="00020509">
              <w:rPr>
                <w:color w:val="auto"/>
                <w:sz w:val="22"/>
                <w:szCs w:val="22"/>
              </w:rPr>
              <w:t>3.</w:t>
            </w:r>
          </w:p>
        </w:tc>
      </w:tr>
    </w:tbl>
    <w:p w14:paraId="2EC40B98" w14:textId="77777777" w:rsidR="00E4634C" w:rsidRDefault="00E4634C" w:rsidP="00E4634C">
      <w:pPr>
        <w:outlineLvl w:val="0"/>
        <w:rPr>
          <w:b/>
          <w:sz w:val="28"/>
          <w:szCs w:val="28"/>
        </w:rPr>
      </w:pPr>
    </w:p>
    <w:p w14:paraId="65D060B6" w14:textId="77777777" w:rsidR="00CC3F2F" w:rsidRPr="00446BBD" w:rsidRDefault="00E4634C" w:rsidP="00C55BA0">
      <w:pPr>
        <w:pStyle w:val="Addendumheading"/>
      </w:pPr>
      <w:r w:rsidRPr="00446BBD">
        <w:t xml:space="preserve">2021 ADDENDUM: </w:t>
      </w:r>
    </w:p>
    <w:p w14:paraId="57D6C946" w14:textId="77777777" w:rsidR="00CC3F2F" w:rsidRPr="00446BBD" w:rsidRDefault="00CC3F2F" w:rsidP="00CC3F2F">
      <w:pPr>
        <w:numPr>
          <w:ilvl w:val="0"/>
          <w:numId w:val="46"/>
        </w:numPr>
        <w:ind w:left="426"/>
        <w:outlineLvl w:val="0"/>
        <w:rPr>
          <w:bCs/>
          <w:sz w:val="28"/>
          <w:szCs w:val="28"/>
        </w:rPr>
      </w:pPr>
      <w:r w:rsidRPr="00446BBD">
        <w:rPr>
          <w:bCs/>
          <w:sz w:val="28"/>
          <w:szCs w:val="28"/>
        </w:rPr>
        <w:t>The document has been u</w:t>
      </w:r>
      <w:r w:rsidR="00E4634C" w:rsidRPr="00446BBD">
        <w:rPr>
          <w:bCs/>
          <w:sz w:val="28"/>
          <w:szCs w:val="28"/>
        </w:rPr>
        <w:t xml:space="preserve">pdated to reflect the </w:t>
      </w:r>
      <w:r w:rsidRPr="00446BBD">
        <w:rPr>
          <w:bCs/>
          <w:sz w:val="28"/>
          <w:szCs w:val="28"/>
        </w:rPr>
        <w:t xml:space="preserve">new paragraph numbers and revised wording of the </w:t>
      </w:r>
      <w:r w:rsidR="00E4634C" w:rsidRPr="00446BBD">
        <w:rPr>
          <w:bCs/>
          <w:sz w:val="28"/>
          <w:szCs w:val="28"/>
        </w:rPr>
        <w:t>2021 NPPF</w:t>
      </w:r>
      <w:r w:rsidRPr="00446BBD">
        <w:rPr>
          <w:bCs/>
          <w:sz w:val="28"/>
          <w:szCs w:val="28"/>
        </w:rPr>
        <w:t xml:space="preserve">; and </w:t>
      </w:r>
    </w:p>
    <w:p w14:paraId="65F46C27" w14:textId="77777777" w:rsidR="00CC3F2F" w:rsidRPr="00446BBD" w:rsidRDefault="00CC3F2F" w:rsidP="00CC3F2F">
      <w:pPr>
        <w:ind w:left="426"/>
        <w:outlineLvl w:val="0"/>
        <w:rPr>
          <w:bCs/>
          <w:sz w:val="28"/>
          <w:szCs w:val="28"/>
        </w:rPr>
      </w:pPr>
    </w:p>
    <w:p w14:paraId="6CE5F952" w14:textId="77777777" w:rsidR="00E4634C" w:rsidRPr="00446BBD" w:rsidRDefault="00CC3F2F" w:rsidP="00CC3F2F">
      <w:pPr>
        <w:numPr>
          <w:ilvl w:val="0"/>
          <w:numId w:val="46"/>
        </w:numPr>
        <w:ind w:left="426"/>
        <w:outlineLvl w:val="0"/>
        <w:rPr>
          <w:bCs/>
          <w:sz w:val="28"/>
          <w:szCs w:val="28"/>
        </w:rPr>
      </w:pPr>
      <w:r w:rsidRPr="00446BBD">
        <w:rPr>
          <w:bCs/>
          <w:sz w:val="28"/>
          <w:szCs w:val="28"/>
        </w:rPr>
        <w:t xml:space="preserve">Four new </w:t>
      </w:r>
      <w:r w:rsidR="00E4634C" w:rsidRPr="00446BBD">
        <w:rPr>
          <w:bCs/>
          <w:sz w:val="28"/>
          <w:szCs w:val="28"/>
        </w:rPr>
        <w:t>site assessments around Junction 27 of the M1 Motorway</w:t>
      </w:r>
      <w:r w:rsidRPr="00446BBD">
        <w:rPr>
          <w:bCs/>
          <w:sz w:val="28"/>
          <w:szCs w:val="28"/>
        </w:rPr>
        <w:t xml:space="preserve"> have been undertaken and added in as Appendix 9.</w:t>
      </w:r>
    </w:p>
    <w:p w14:paraId="4D9AA0DF" w14:textId="77777777" w:rsidR="00E4634C" w:rsidRPr="00446BBD" w:rsidRDefault="00E4634C" w:rsidP="00E4634C">
      <w:pPr>
        <w:outlineLvl w:val="0"/>
        <w:rPr>
          <w:bCs/>
        </w:rPr>
      </w:pPr>
    </w:p>
    <w:p w14:paraId="401A5C02" w14:textId="77777777" w:rsidR="00E4634C" w:rsidRPr="0009368C" w:rsidRDefault="00E4634C" w:rsidP="00E4634C">
      <w:pPr>
        <w:outlineLvl w:val="0"/>
      </w:pPr>
      <w:r w:rsidRPr="0009368C">
        <w:t xml:space="preserve"> </w:t>
      </w:r>
    </w:p>
    <w:p w14:paraId="4E48A021" w14:textId="77777777" w:rsidR="006560DF" w:rsidRDefault="006560DF" w:rsidP="00CA5468">
      <w:pPr>
        <w:ind w:right="-360"/>
        <w:rPr>
          <w:b/>
          <w:sz w:val="32"/>
          <w:szCs w:val="32"/>
        </w:rPr>
      </w:pPr>
    </w:p>
    <w:p w14:paraId="5333DEF0" w14:textId="77777777" w:rsidR="00C10A1A" w:rsidRPr="0009368C" w:rsidRDefault="00C10A1A" w:rsidP="00C10A1A">
      <w:pPr>
        <w:outlineLvl w:val="0"/>
      </w:pPr>
    </w:p>
    <w:p w14:paraId="07FC8BEF" w14:textId="77777777" w:rsidR="00C10A1A" w:rsidRDefault="00480643" w:rsidP="00CA5468">
      <w:pPr>
        <w:ind w:right="-360"/>
        <w:rPr>
          <w:b/>
          <w:sz w:val="32"/>
          <w:szCs w:val="32"/>
        </w:rPr>
      </w:pPr>
      <w:r>
        <w:rPr>
          <w:b/>
          <w:sz w:val="32"/>
          <w:szCs w:val="32"/>
        </w:rPr>
        <w:br w:type="page"/>
      </w:r>
    </w:p>
    <w:p w14:paraId="7E911521" w14:textId="77777777" w:rsidR="006560DF" w:rsidRDefault="006560DF" w:rsidP="00CA5468">
      <w:pPr>
        <w:ind w:right="-360"/>
        <w:rPr>
          <w:b/>
          <w:sz w:val="32"/>
          <w:szCs w:val="32"/>
        </w:rPr>
      </w:pPr>
      <w:r>
        <w:rPr>
          <w:b/>
          <w:sz w:val="32"/>
          <w:szCs w:val="32"/>
        </w:rPr>
        <w:lastRenderedPageBreak/>
        <w:br w:type="page"/>
      </w:r>
    </w:p>
    <w:p w14:paraId="1EE493DE" w14:textId="77777777" w:rsidR="000B5EE4" w:rsidRPr="00E85FE8" w:rsidRDefault="000B5EE4" w:rsidP="00174E3E">
      <w:pPr>
        <w:pStyle w:val="ContentsPageheading"/>
      </w:pPr>
      <w:r w:rsidRPr="00E85FE8">
        <w:lastRenderedPageBreak/>
        <w:t>CONTENTS</w:t>
      </w:r>
      <w:r w:rsidR="00CA5468" w:rsidRPr="00E85FE8">
        <w:t xml:space="preserve">                                             </w:t>
      </w:r>
      <w:r w:rsidR="00E85FE8">
        <w:t xml:space="preserve">                      </w:t>
      </w:r>
    </w:p>
    <w:p w14:paraId="7F00045C" w14:textId="77777777" w:rsidR="000B5EE4" w:rsidRDefault="000B5EE4" w:rsidP="00CA5468">
      <w:pPr>
        <w:numPr>
          <w:ilvl w:val="0"/>
          <w:numId w:val="15"/>
        </w:numPr>
        <w:tabs>
          <w:tab w:val="left" w:pos="8100"/>
        </w:tabs>
        <w:ind w:right="-360"/>
        <w:rPr>
          <w:b/>
        </w:rPr>
      </w:pPr>
      <w:r>
        <w:rPr>
          <w:b/>
        </w:rPr>
        <w:t>Purpose</w:t>
      </w:r>
      <w:r w:rsidR="00CA5468">
        <w:rPr>
          <w:b/>
        </w:rPr>
        <w:t xml:space="preserve">    </w:t>
      </w:r>
      <w:r w:rsidR="00A95A88">
        <w:rPr>
          <w:b/>
        </w:rPr>
        <w:tab/>
      </w:r>
      <w:r w:rsidR="00CA5468">
        <w:rPr>
          <w:b/>
        </w:rPr>
        <w:t xml:space="preserve">                                                                  </w:t>
      </w:r>
      <w:r w:rsidR="00D87D6C">
        <w:rPr>
          <w:b/>
        </w:rPr>
        <w:t xml:space="preserve">                           </w:t>
      </w:r>
      <w:r w:rsidR="00CA5468">
        <w:rPr>
          <w:b/>
        </w:rPr>
        <w:t xml:space="preserve">                                                                                               </w:t>
      </w:r>
    </w:p>
    <w:p w14:paraId="3EB43562" w14:textId="77777777" w:rsidR="000B5EE4" w:rsidRDefault="000B5EE4" w:rsidP="00CA5468">
      <w:pPr>
        <w:tabs>
          <w:tab w:val="left" w:pos="8100"/>
        </w:tabs>
        <w:ind w:right="-360"/>
        <w:rPr>
          <w:b/>
        </w:rPr>
      </w:pPr>
    </w:p>
    <w:p w14:paraId="2270C31A" w14:textId="77777777" w:rsidR="000B5EE4" w:rsidRDefault="000B5EE4" w:rsidP="00CA5468">
      <w:pPr>
        <w:numPr>
          <w:ilvl w:val="0"/>
          <w:numId w:val="15"/>
        </w:numPr>
        <w:tabs>
          <w:tab w:val="left" w:pos="8100"/>
        </w:tabs>
        <w:ind w:right="-360"/>
        <w:rPr>
          <w:b/>
        </w:rPr>
      </w:pPr>
      <w:r>
        <w:rPr>
          <w:b/>
        </w:rPr>
        <w:t>Introduction</w:t>
      </w:r>
      <w:r w:rsidR="00CA5468">
        <w:rPr>
          <w:b/>
        </w:rPr>
        <w:t xml:space="preserve">   </w:t>
      </w:r>
      <w:r w:rsidR="00A95A88">
        <w:rPr>
          <w:b/>
        </w:rPr>
        <w:tab/>
      </w:r>
      <w:r w:rsidR="00CA5468">
        <w:rPr>
          <w:b/>
        </w:rPr>
        <w:t xml:space="preserve">                                                        </w:t>
      </w:r>
      <w:r w:rsidR="00D87D6C">
        <w:rPr>
          <w:b/>
        </w:rPr>
        <w:t xml:space="preserve">                               </w:t>
      </w:r>
    </w:p>
    <w:p w14:paraId="5AF96F65" w14:textId="77777777" w:rsidR="000B5EE4" w:rsidRDefault="000B5EE4" w:rsidP="00CA5468">
      <w:pPr>
        <w:tabs>
          <w:tab w:val="left" w:pos="8100"/>
        </w:tabs>
        <w:ind w:right="-360"/>
        <w:rPr>
          <w:b/>
        </w:rPr>
      </w:pPr>
    </w:p>
    <w:p w14:paraId="2E336350" w14:textId="77777777" w:rsidR="000B5EE4" w:rsidRDefault="000B5EE4" w:rsidP="00CA5468">
      <w:pPr>
        <w:numPr>
          <w:ilvl w:val="0"/>
          <w:numId w:val="15"/>
        </w:numPr>
        <w:tabs>
          <w:tab w:val="left" w:pos="8100"/>
        </w:tabs>
        <w:ind w:right="-360"/>
        <w:rPr>
          <w:b/>
        </w:rPr>
      </w:pPr>
      <w:r>
        <w:rPr>
          <w:b/>
        </w:rPr>
        <w:t>Planning Policy Context</w:t>
      </w:r>
      <w:r w:rsidR="00CA5468">
        <w:rPr>
          <w:b/>
        </w:rPr>
        <w:t xml:space="preserve">     </w:t>
      </w:r>
      <w:r w:rsidR="00A95A88">
        <w:rPr>
          <w:b/>
        </w:rPr>
        <w:tab/>
      </w:r>
      <w:r w:rsidR="00CA5468">
        <w:rPr>
          <w:b/>
        </w:rPr>
        <w:t xml:space="preserve">                                  </w:t>
      </w:r>
      <w:r w:rsidR="00D87D6C">
        <w:rPr>
          <w:b/>
        </w:rPr>
        <w:t xml:space="preserve">                               </w:t>
      </w:r>
    </w:p>
    <w:p w14:paraId="0475C3F1" w14:textId="77777777" w:rsidR="000B5EE4" w:rsidRDefault="000B5EE4" w:rsidP="00CA5468">
      <w:pPr>
        <w:tabs>
          <w:tab w:val="left" w:pos="8100"/>
        </w:tabs>
        <w:ind w:right="-360"/>
        <w:rPr>
          <w:b/>
        </w:rPr>
      </w:pPr>
    </w:p>
    <w:p w14:paraId="34EA99CB" w14:textId="77777777" w:rsidR="00A66D43" w:rsidRPr="00204B66" w:rsidRDefault="00C70E30" w:rsidP="00204B66">
      <w:pPr>
        <w:numPr>
          <w:ilvl w:val="0"/>
          <w:numId w:val="15"/>
        </w:numPr>
        <w:tabs>
          <w:tab w:val="left" w:pos="8100"/>
        </w:tabs>
        <w:ind w:right="-360"/>
        <w:rPr>
          <w:b/>
        </w:rPr>
      </w:pPr>
      <w:r>
        <w:rPr>
          <w:b/>
        </w:rPr>
        <w:t>The Framework</w:t>
      </w:r>
      <w:r w:rsidR="00CA5468">
        <w:rPr>
          <w:b/>
        </w:rPr>
        <w:t xml:space="preserve">  </w:t>
      </w:r>
      <w:r w:rsidR="00A95A88" w:rsidRPr="00204B66">
        <w:rPr>
          <w:b/>
        </w:rPr>
        <w:tab/>
      </w:r>
    </w:p>
    <w:p w14:paraId="271ABECA" w14:textId="77777777" w:rsidR="000B5EE4" w:rsidRDefault="00CA5468" w:rsidP="003C3ED0">
      <w:pPr>
        <w:tabs>
          <w:tab w:val="left" w:pos="8100"/>
        </w:tabs>
        <w:ind w:left="720" w:right="-360"/>
        <w:rPr>
          <w:b/>
        </w:rPr>
      </w:pPr>
      <w:r>
        <w:rPr>
          <w:b/>
        </w:rPr>
        <w:t xml:space="preserve">                                        </w:t>
      </w:r>
      <w:r w:rsidR="00D87D6C">
        <w:rPr>
          <w:b/>
        </w:rPr>
        <w:t xml:space="preserve">                               </w:t>
      </w:r>
    </w:p>
    <w:p w14:paraId="48160E25" w14:textId="77777777" w:rsidR="000B5EE4" w:rsidRDefault="00CA5468" w:rsidP="00C70E30">
      <w:pPr>
        <w:tabs>
          <w:tab w:val="left" w:pos="8100"/>
        </w:tabs>
        <w:ind w:right="-360"/>
        <w:rPr>
          <w:b/>
        </w:rPr>
      </w:pPr>
      <w:r>
        <w:rPr>
          <w:b/>
        </w:rPr>
        <w:t xml:space="preserve">                                                            </w:t>
      </w:r>
      <w:r w:rsidR="00D87D6C">
        <w:rPr>
          <w:b/>
        </w:rPr>
        <w:t xml:space="preserve">                               </w:t>
      </w:r>
    </w:p>
    <w:p w14:paraId="11297537" w14:textId="77777777" w:rsidR="000B5EE4" w:rsidRDefault="000B5EE4" w:rsidP="000B5EE4">
      <w:pPr>
        <w:rPr>
          <w:b/>
        </w:rPr>
      </w:pPr>
    </w:p>
    <w:p w14:paraId="7E82754D" w14:textId="77777777" w:rsidR="00E85FE8" w:rsidRDefault="000B5EE4" w:rsidP="006E369C">
      <w:pPr>
        <w:ind w:left="1701" w:hanging="1701"/>
        <w:rPr>
          <w:b/>
        </w:rPr>
      </w:pPr>
      <w:r>
        <w:rPr>
          <w:b/>
        </w:rPr>
        <w:t>A</w:t>
      </w:r>
      <w:r w:rsidR="006E369C">
        <w:rPr>
          <w:b/>
        </w:rPr>
        <w:t>PPENDIX</w:t>
      </w:r>
      <w:r>
        <w:rPr>
          <w:b/>
        </w:rPr>
        <w:t xml:space="preserve"> 1:</w:t>
      </w:r>
      <w:r>
        <w:rPr>
          <w:b/>
        </w:rPr>
        <w:tab/>
      </w:r>
      <w:r w:rsidR="00611672">
        <w:rPr>
          <w:b/>
        </w:rPr>
        <w:t xml:space="preserve">Map of </w:t>
      </w:r>
      <w:r w:rsidR="00D653D8">
        <w:rPr>
          <w:b/>
        </w:rPr>
        <w:t>Green Belt in Ashfield</w:t>
      </w:r>
      <w:r w:rsidR="00CA5468">
        <w:rPr>
          <w:b/>
        </w:rPr>
        <w:t xml:space="preserve"> </w:t>
      </w:r>
      <w:r w:rsidR="005D4EFE">
        <w:rPr>
          <w:b/>
        </w:rPr>
        <w:t xml:space="preserve">and Areas of </w:t>
      </w:r>
    </w:p>
    <w:p w14:paraId="6DDAFF42" w14:textId="77777777" w:rsidR="00D653D8" w:rsidRDefault="005D4EFE" w:rsidP="00E85FE8">
      <w:pPr>
        <w:ind w:left="1701"/>
        <w:rPr>
          <w:b/>
        </w:rPr>
      </w:pPr>
      <w:r>
        <w:rPr>
          <w:b/>
        </w:rPr>
        <w:t>Assessment</w:t>
      </w:r>
      <w:r w:rsidR="00CA5468">
        <w:rPr>
          <w:b/>
        </w:rPr>
        <w:t xml:space="preserve">                             </w:t>
      </w:r>
      <w:r w:rsidR="00D87D6C">
        <w:rPr>
          <w:b/>
        </w:rPr>
        <w:t xml:space="preserve">                              </w:t>
      </w:r>
    </w:p>
    <w:p w14:paraId="057F8396" w14:textId="77777777" w:rsidR="00D653D8" w:rsidRDefault="00D653D8" w:rsidP="000B5EE4">
      <w:pPr>
        <w:rPr>
          <w:b/>
        </w:rPr>
      </w:pPr>
    </w:p>
    <w:p w14:paraId="07E7C7AB" w14:textId="77777777" w:rsidR="00E85FE8" w:rsidRDefault="006E369C" w:rsidP="00D179C8">
      <w:pPr>
        <w:ind w:left="1701" w:hanging="1701"/>
        <w:rPr>
          <w:b/>
        </w:rPr>
      </w:pPr>
      <w:r>
        <w:rPr>
          <w:b/>
        </w:rPr>
        <w:t>APPENDIX</w:t>
      </w:r>
      <w:r w:rsidR="00D653D8">
        <w:rPr>
          <w:b/>
        </w:rPr>
        <w:t xml:space="preserve"> 2:</w:t>
      </w:r>
      <w:r w:rsidR="00D179C8">
        <w:rPr>
          <w:b/>
        </w:rPr>
        <w:tab/>
      </w:r>
      <w:r w:rsidR="005D4EFE">
        <w:rPr>
          <w:b/>
        </w:rPr>
        <w:t xml:space="preserve">Greater Nottingham and Ashfield Green Belt </w:t>
      </w:r>
    </w:p>
    <w:p w14:paraId="61E3AB1C" w14:textId="77777777" w:rsidR="000B5EE4" w:rsidRDefault="005D4EFE" w:rsidP="00E85FE8">
      <w:pPr>
        <w:ind w:left="1701"/>
        <w:rPr>
          <w:b/>
        </w:rPr>
      </w:pPr>
      <w:r>
        <w:rPr>
          <w:b/>
        </w:rPr>
        <w:t>Assessment Framework</w:t>
      </w:r>
      <w:r w:rsidR="00CA5468">
        <w:rPr>
          <w:b/>
        </w:rPr>
        <w:t xml:space="preserve">                </w:t>
      </w:r>
      <w:r w:rsidR="00D87D6C">
        <w:rPr>
          <w:b/>
        </w:rPr>
        <w:t xml:space="preserve">                              </w:t>
      </w:r>
    </w:p>
    <w:p w14:paraId="76282FA7" w14:textId="77777777" w:rsidR="008C7ED6" w:rsidRDefault="008C7ED6" w:rsidP="008C7ED6">
      <w:pPr>
        <w:ind w:left="1418" w:hanging="1418"/>
        <w:rPr>
          <w:b/>
        </w:rPr>
      </w:pPr>
    </w:p>
    <w:p w14:paraId="7EB91BBD" w14:textId="77777777" w:rsidR="00C70E30" w:rsidRDefault="006E369C" w:rsidP="00D179C8">
      <w:pPr>
        <w:tabs>
          <w:tab w:val="left" w:pos="7920"/>
        </w:tabs>
        <w:ind w:left="1701" w:hanging="1701"/>
        <w:rPr>
          <w:b/>
        </w:rPr>
      </w:pPr>
      <w:r>
        <w:rPr>
          <w:b/>
        </w:rPr>
        <w:t>APPENDIX</w:t>
      </w:r>
      <w:r w:rsidR="000B5EE4">
        <w:rPr>
          <w:b/>
        </w:rPr>
        <w:t xml:space="preserve"> </w:t>
      </w:r>
      <w:r w:rsidR="00CE7160">
        <w:rPr>
          <w:b/>
        </w:rPr>
        <w:t>3</w:t>
      </w:r>
      <w:r w:rsidR="000B5EE4">
        <w:rPr>
          <w:b/>
        </w:rPr>
        <w:t>:</w:t>
      </w:r>
      <w:r w:rsidR="00D179C8">
        <w:rPr>
          <w:b/>
        </w:rPr>
        <w:tab/>
      </w:r>
      <w:r w:rsidR="00C70E30">
        <w:rPr>
          <w:b/>
        </w:rPr>
        <w:t xml:space="preserve">Kirkby and Annesley </w:t>
      </w:r>
      <w:r w:rsidR="00842B2E">
        <w:rPr>
          <w:b/>
        </w:rPr>
        <w:t>Green Belt</w:t>
      </w:r>
      <w:r w:rsidR="00C70E30">
        <w:rPr>
          <w:b/>
        </w:rPr>
        <w:t xml:space="preserve"> Assessments</w:t>
      </w:r>
    </w:p>
    <w:p w14:paraId="1E6A2E74" w14:textId="77777777" w:rsidR="00C70E30" w:rsidRDefault="00C70E30" w:rsidP="008C7ED6">
      <w:pPr>
        <w:tabs>
          <w:tab w:val="left" w:pos="7920"/>
        </w:tabs>
        <w:ind w:left="1418" w:hanging="1418"/>
        <w:rPr>
          <w:b/>
        </w:rPr>
      </w:pPr>
    </w:p>
    <w:p w14:paraId="6A84D74E" w14:textId="77777777" w:rsidR="00C70E30" w:rsidRDefault="006E369C" w:rsidP="00D179C8">
      <w:pPr>
        <w:tabs>
          <w:tab w:val="left" w:pos="7920"/>
        </w:tabs>
        <w:ind w:left="1701" w:hanging="1701"/>
        <w:rPr>
          <w:b/>
        </w:rPr>
      </w:pPr>
      <w:r>
        <w:rPr>
          <w:b/>
        </w:rPr>
        <w:t>APPENDIX</w:t>
      </w:r>
      <w:r w:rsidR="00C70E30">
        <w:rPr>
          <w:b/>
        </w:rPr>
        <w:t xml:space="preserve"> 4: </w:t>
      </w:r>
      <w:r w:rsidR="00D179C8">
        <w:rPr>
          <w:b/>
        </w:rPr>
        <w:tab/>
      </w:r>
      <w:r w:rsidR="00C70E30">
        <w:rPr>
          <w:b/>
        </w:rPr>
        <w:t>Selston Green Belt Assessments</w:t>
      </w:r>
      <w:r w:rsidR="00CA5468">
        <w:rPr>
          <w:b/>
        </w:rPr>
        <w:t xml:space="preserve"> </w:t>
      </w:r>
    </w:p>
    <w:p w14:paraId="0544A9E6" w14:textId="77777777" w:rsidR="00842B2E" w:rsidRDefault="00CA5468" w:rsidP="008C7ED6">
      <w:pPr>
        <w:tabs>
          <w:tab w:val="left" w:pos="7920"/>
        </w:tabs>
        <w:ind w:left="1418" w:hanging="1418"/>
        <w:rPr>
          <w:b/>
        </w:rPr>
      </w:pPr>
      <w:r>
        <w:rPr>
          <w:b/>
        </w:rPr>
        <w:t xml:space="preserve">          </w:t>
      </w:r>
      <w:r w:rsidR="00D87D6C">
        <w:rPr>
          <w:b/>
        </w:rPr>
        <w:t xml:space="preserve">                              </w:t>
      </w:r>
    </w:p>
    <w:p w14:paraId="363698DF" w14:textId="77777777" w:rsidR="008C7ED6" w:rsidRDefault="006E369C" w:rsidP="00D179C8">
      <w:pPr>
        <w:ind w:left="1701" w:hanging="1701"/>
        <w:rPr>
          <w:b/>
        </w:rPr>
      </w:pPr>
      <w:r>
        <w:rPr>
          <w:b/>
        </w:rPr>
        <w:t>APPENDIX</w:t>
      </w:r>
      <w:r w:rsidR="00C70E30">
        <w:rPr>
          <w:b/>
        </w:rPr>
        <w:t xml:space="preserve"> 5: </w:t>
      </w:r>
      <w:r w:rsidR="00D179C8">
        <w:rPr>
          <w:b/>
        </w:rPr>
        <w:tab/>
      </w:r>
      <w:r w:rsidR="00C70E30">
        <w:rPr>
          <w:b/>
        </w:rPr>
        <w:t>Jacksdale Green Belt Assessments</w:t>
      </w:r>
    </w:p>
    <w:p w14:paraId="67938551" w14:textId="77777777" w:rsidR="00C70E30" w:rsidRDefault="00C70E30" w:rsidP="00842B2E">
      <w:pPr>
        <w:ind w:left="1418" w:hanging="1418"/>
        <w:rPr>
          <w:b/>
        </w:rPr>
      </w:pPr>
    </w:p>
    <w:p w14:paraId="216E5A41" w14:textId="77777777" w:rsidR="00C70E30" w:rsidRDefault="006E369C" w:rsidP="00D179C8">
      <w:pPr>
        <w:ind w:left="1701" w:hanging="1701"/>
        <w:rPr>
          <w:b/>
        </w:rPr>
      </w:pPr>
      <w:r>
        <w:rPr>
          <w:b/>
        </w:rPr>
        <w:t>APPENDIX</w:t>
      </w:r>
      <w:r w:rsidR="00C70E30">
        <w:rPr>
          <w:b/>
        </w:rPr>
        <w:t xml:space="preserve"> 6: </w:t>
      </w:r>
      <w:r w:rsidR="00D179C8">
        <w:rPr>
          <w:b/>
        </w:rPr>
        <w:tab/>
      </w:r>
      <w:r w:rsidR="00611672">
        <w:rPr>
          <w:b/>
        </w:rPr>
        <w:t>Brinsley</w:t>
      </w:r>
      <w:r>
        <w:rPr>
          <w:b/>
        </w:rPr>
        <w:t xml:space="preserve"> Green Belt </w:t>
      </w:r>
      <w:r w:rsidR="00C70E30">
        <w:rPr>
          <w:b/>
        </w:rPr>
        <w:t>Assessments</w:t>
      </w:r>
    </w:p>
    <w:p w14:paraId="218943AF" w14:textId="77777777" w:rsidR="000B5EE4" w:rsidRDefault="008C7ED6" w:rsidP="00842B2E">
      <w:pPr>
        <w:ind w:left="1418" w:hanging="1418"/>
        <w:rPr>
          <w:b/>
        </w:rPr>
      </w:pPr>
      <w:r>
        <w:rPr>
          <w:b/>
        </w:rPr>
        <w:t xml:space="preserve">                         </w:t>
      </w:r>
    </w:p>
    <w:p w14:paraId="29F662C6" w14:textId="77777777" w:rsidR="00C70E30" w:rsidRDefault="006E369C" w:rsidP="00D179C8">
      <w:pPr>
        <w:ind w:left="1701" w:hanging="1701"/>
        <w:rPr>
          <w:b/>
        </w:rPr>
      </w:pPr>
      <w:r>
        <w:rPr>
          <w:b/>
        </w:rPr>
        <w:t>APPENDIX</w:t>
      </w:r>
      <w:r w:rsidR="00611672">
        <w:rPr>
          <w:b/>
        </w:rPr>
        <w:t xml:space="preserve"> 7: </w:t>
      </w:r>
      <w:r w:rsidR="00D179C8">
        <w:rPr>
          <w:b/>
        </w:rPr>
        <w:tab/>
      </w:r>
      <w:r w:rsidR="00611672">
        <w:rPr>
          <w:b/>
        </w:rPr>
        <w:t>Underwood</w:t>
      </w:r>
      <w:r w:rsidR="00C70E30">
        <w:rPr>
          <w:b/>
        </w:rPr>
        <w:t xml:space="preserve"> Green Belt Assessments</w:t>
      </w:r>
    </w:p>
    <w:p w14:paraId="6C38035E" w14:textId="77777777" w:rsidR="00C70E30" w:rsidRDefault="00C70E30" w:rsidP="000B5EE4">
      <w:pPr>
        <w:rPr>
          <w:b/>
        </w:rPr>
      </w:pPr>
    </w:p>
    <w:p w14:paraId="3BE62B41" w14:textId="77777777" w:rsidR="0068596F" w:rsidRDefault="006E369C" w:rsidP="00D179C8">
      <w:pPr>
        <w:ind w:left="1701" w:hanging="1701"/>
        <w:rPr>
          <w:b/>
        </w:rPr>
      </w:pPr>
      <w:r>
        <w:rPr>
          <w:b/>
        </w:rPr>
        <w:t xml:space="preserve">APPENDIX 8: </w:t>
      </w:r>
      <w:r w:rsidR="00D179C8">
        <w:rPr>
          <w:b/>
        </w:rPr>
        <w:tab/>
      </w:r>
      <w:r>
        <w:rPr>
          <w:b/>
        </w:rPr>
        <w:t xml:space="preserve">Hucknall Green Belt </w:t>
      </w:r>
      <w:r w:rsidR="00C70E30">
        <w:rPr>
          <w:b/>
        </w:rPr>
        <w:t>Assessments</w:t>
      </w:r>
    </w:p>
    <w:p w14:paraId="08162B11" w14:textId="77777777" w:rsidR="0068596F" w:rsidRDefault="0068596F" w:rsidP="00D179C8">
      <w:pPr>
        <w:ind w:left="1701" w:hanging="1701"/>
        <w:rPr>
          <w:b/>
        </w:rPr>
      </w:pPr>
    </w:p>
    <w:p w14:paraId="557EE578" w14:textId="77777777" w:rsidR="00F06C78" w:rsidRDefault="0068596F" w:rsidP="00D179C8">
      <w:pPr>
        <w:ind w:left="1701" w:hanging="1701"/>
        <w:rPr>
          <w:b/>
        </w:rPr>
      </w:pPr>
      <w:r w:rsidRPr="00446BBD">
        <w:rPr>
          <w:b/>
        </w:rPr>
        <w:t>APPENDIX 9:</w:t>
      </w:r>
      <w:r w:rsidRPr="00446BBD">
        <w:rPr>
          <w:b/>
        </w:rPr>
        <w:tab/>
        <w:t>Junction 27, M1 Motorway Assessments</w:t>
      </w:r>
      <w:r w:rsidR="00BD551C">
        <w:rPr>
          <w:b/>
        </w:rPr>
        <w:tab/>
      </w:r>
    </w:p>
    <w:p w14:paraId="00361293" w14:textId="77777777" w:rsidR="00F06C78" w:rsidRDefault="00F06C78" w:rsidP="00D179C8">
      <w:pPr>
        <w:ind w:left="1701" w:hanging="1701"/>
        <w:rPr>
          <w:b/>
        </w:rPr>
      </w:pPr>
    </w:p>
    <w:p w14:paraId="35734D0C" w14:textId="77777777" w:rsidR="000B5EE4" w:rsidRDefault="00BD551C" w:rsidP="00D179C8">
      <w:pPr>
        <w:ind w:left="1701" w:hanging="1701"/>
        <w:rPr>
          <w:b/>
        </w:rPr>
      </w:pPr>
      <w:r>
        <w:rPr>
          <w:b/>
        </w:rPr>
        <w:tab/>
      </w:r>
      <w:r w:rsidR="00507837">
        <w:rPr>
          <w:b/>
        </w:rPr>
        <w:t xml:space="preserve">  </w:t>
      </w:r>
    </w:p>
    <w:p w14:paraId="235F8F51" w14:textId="77777777" w:rsidR="00F06C78" w:rsidRDefault="00F06C78" w:rsidP="00F06C78">
      <w:pPr>
        <w:autoSpaceDE w:val="0"/>
        <w:autoSpaceDN w:val="0"/>
        <w:adjustRightInd w:val="0"/>
        <w:rPr>
          <w:color w:val="auto"/>
        </w:rPr>
      </w:pPr>
      <w:r>
        <w:rPr>
          <w:b/>
        </w:rPr>
        <w:t>N.B.</w:t>
      </w:r>
      <w:r w:rsidR="00CA5468">
        <w:rPr>
          <w:b/>
        </w:rPr>
        <w:t xml:space="preserve">    </w:t>
      </w:r>
      <w:r>
        <w:rPr>
          <w:color w:val="auto"/>
        </w:rPr>
        <w:t xml:space="preserve">If you are viewing this document online the Appendices are contained </w:t>
      </w:r>
      <w:r>
        <w:rPr>
          <w:color w:val="auto"/>
        </w:rPr>
        <w:tab/>
        <w:t>in separate link.</w:t>
      </w:r>
    </w:p>
    <w:p w14:paraId="2409E301" w14:textId="77777777" w:rsidR="000B5EE4" w:rsidRDefault="00CA5468" w:rsidP="00842B2E">
      <w:pPr>
        <w:ind w:left="1418" w:hanging="1418"/>
        <w:rPr>
          <w:b/>
        </w:rPr>
      </w:pPr>
      <w:r>
        <w:rPr>
          <w:b/>
        </w:rPr>
        <w:t xml:space="preserve">     </w:t>
      </w:r>
      <w:r w:rsidR="00D87D6C">
        <w:rPr>
          <w:b/>
        </w:rPr>
        <w:t xml:space="preserve">                              </w:t>
      </w:r>
    </w:p>
    <w:p w14:paraId="2A566944" w14:textId="77777777" w:rsidR="00E07876" w:rsidRDefault="009753FE" w:rsidP="008B646B">
      <w:pPr>
        <w:jc w:val="center"/>
        <w:outlineLvl w:val="0"/>
        <w:rPr>
          <w:b/>
        </w:rPr>
      </w:pPr>
      <w:r>
        <w:rPr>
          <w:b/>
        </w:rPr>
        <w:tab/>
      </w:r>
      <w:r w:rsidR="00C97923">
        <w:rPr>
          <w:b/>
        </w:rPr>
        <w:br w:type="page"/>
      </w:r>
    </w:p>
    <w:p w14:paraId="50112F9E" w14:textId="77777777" w:rsidR="004B798F" w:rsidRPr="006672E5" w:rsidRDefault="004B798F" w:rsidP="004B798F">
      <w:pPr>
        <w:outlineLvl w:val="0"/>
        <w:rPr>
          <w:b/>
          <w:sz w:val="22"/>
          <w:szCs w:val="22"/>
        </w:rPr>
      </w:pPr>
    </w:p>
    <w:p w14:paraId="3E5C990A" w14:textId="77777777" w:rsidR="004B798F" w:rsidRPr="006672E5" w:rsidRDefault="004B798F" w:rsidP="004B798F">
      <w:pPr>
        <w:outlineLvl w:val="0"/>
        <w:rPr>
          <w:b/>
          <w:sz w:val="22"/>
          <w:szCs w:val="22"/>
        </w:rPr>
      </w:pPr>
    </w:p>
    <w:p w14:paraId="0167E9E8" w14:textId="77777777" w:rsidR="001B2F64" w:rsidRDefault="00307432" w:rsidP="008B646B">
      <w:pPr>
        <w:jc w:val="center"/>
        <w:outlineLvl w:val="0"/>
        <w:rPr>
          <w:b/>
        </w:rPr>
      </w:pPr>
      <w:r w:rsidRPr="006672E5">
        <w:rPr>
          <w:b/>
          <w:sz w:val="22"/>
          <w:szCs w:val="22"/>
        </w:rPr>
        <w:br w:type="page"/>
      </w:r>
    </w:p>
    <w:p w14:paraId="0A851185" w14:textId="77777777" w:rsidR="00055D52" w:rsidRPr="00C55BA0" w:rsidRDefault="00751D09" w:rsidP="00C55BA0">
      <w:pPr>
        <w:pStyle w:val="Heading2"/>
      </w:pPr>
      <w:r w:rsidRPr="00C55BA0">
        <w:lastRenderedPageBreak/>
        <w:t>Green Belt Review</w:t>
      </w:r>
    </w:p>
    <w:p w14:paraId="000F5B1A" w14:textId="77777777" w:rsidR="00C5029B" w:rsidRDefault="00994F98" w:rsidP="00C5029B">
      <w:pPr>
        <w:pStyle w:val="Default"/>
        <w:numPr>
          <w:ilvl w:val="0"/>
          <w:numId w:val="35"/>
        </w:numPr>
        <w:rPr>
          <w:b/>
          <w:color w:val="auto"/>
        </w:rPr>
      </w:pPr>
      <w:r w:rsidRPr="00994F98">
        <w:rPr>
          <w:b/>
          <w:color w:val="auto"/>
        </w:rPr>
        <w:t>Purpose</w:t>
      </w:r>
    </w:p>
    <w:p w14:paraId="6826991F" w14:textId="77777777" w:rsidR="00C5029B" w:rsidRDefault="00C5029B" w:rsidP="00C5029B">
      <w:pPr>
        <w:pStyle w:val="Default"/>
        <w:ind w:left="360"/>
        <w:rPr>
          <w:b/>
          <w:color w:val="auto"/>
        </w:rPr>
      </w:pPr>
    </w:p>
    <w:p w14:paraId="2BCD23F3" w14:textId="77777777" w:rsidR="00453378" w:rsidRPr="00446BBD" w:rsidRDefault="00453378" w:rsidP="00C5029B">
      <w:pPr>
        <w:pStyle w:val="Default"/>
        <w:numPr>
          <w:ilvl w:val="1"/>
          <w:numId w:val="35"/>
        </w:numPr>
        <w:ind w:hanging="792"/>
        <w:rPr>
          <w:b/>
          <w:color w:val="auto"/>
        </w:rPr>
      </w:pPr>
      <w:r w:rsidRPr="00C5029B">
        <w:rPr>
          <w:bCs/>
          <w:color w:val="auto"/>
        </w:rPr>
        <w:t>The provisions of the Planning and</w:t>
      </w:r>
      <w:r w:rsidR="00C5029B">
        <w:rPr>
          <w:bCs/>
          <w:color w:val="auto"/>
        </w:rPr>
        <w:t xml:space="preserve"> Compensation Act 1991 specify </w:t>
      </w:r>
      <w:r w:rsidRPr="00C5029B">
        <w:rPr>
          <w:bCs/>
          <w:color w:val="auto"/>
        </w:rPr>
        <w:t xml:space="preserve">that any future reviews of Green Belt boundaries should be undertaken </w:t>
      </w:r>
      <w:r w:rsidRPr="00C5029B">
        <w:rPr>
          <w:bCs/>
          <w:color w:val="auto"/>
        </w:rPr>
        <w:tab/>
        <w:t xml:space="preserve">by </w:t>
      </w:r>
      <w:r w:rsidR="006309AD" w:rsidRPr="00C5029B">
        <w:rPr>
          <w:bCs/>
          <w:color w:val="auto"/>
        </w:rPr>
        <w:t xml:space="preserve">Local Planning Authorities </w:t>
      </w:r>
      <w:r w:rsidRPr="00C5029B">
        <w:rPr>
          <w:bCs/>
          <w:color w:val="auto"/>
        </w:rPr>
        <w:t xml:space="preserve">as part of the Local Plan.  This is reinforced by </w:t>
      </w:r>
      <w:r w:rsidR="00482B1A" w:rsidRPr="00C5029B">
        <w:rPr>
          <w:bCs/>
          <w:color w:val="auto"/>
        </w:rPr>
        <w:t>national guidance. T</w:t>
      </w:r>
      <w:r w:rsidRPr="00C5029B">
        <w:rPr>
          <w:bCs/>
          <w:color w:val="auto"/>
        </w:rPr>
        <w:t>he National Planning Policy Framework (NPPF</w:t>
      </w:r>
      <w:r w:rsidRPr="00446BBD">
        <w:rPr>
          <w:bCs/>
          <w:color w:val="auto"/>
        </w:rPr>
        <w:t>)</w:t>
      </w:r>
      <w:r w:rsidR="00972A91" w:rsidRPr="00446BBD">
        <w:rPr>
          <w:bCs/>
          <w:color w:val="auto"/>
        </w:rPr>
        <w:t xml:space="preserve"> 20</w:t>
      </w:r>
      <w:r w:rsidR="00AA1BE9" w:rsidRPr="00446BBD">
        <w:rPr>
          <w:bCs/>
          <w:color w:val="auto"/>
        </w:rPr>
        <w:t>21</w:t>
      </w:r>
      <w:r w:rsidRPr="00446BBD">
        <w:rPr>
          <w:bCs/>
          <w:color w:val="auto"/>
        </w:rPr>
        <w:t>, p</w:t>
      </w:r>
      <w:r w:rsidRPr="00446BBD">
        <w:rPr>
          <w:color w:val="auto"/>
        </w:rPr>
        <w:t xml:space="preserve">aragraph </w:t>
      </w:r>
      <w:r w:rsidR="00AA1BE9" w:rsidRPr="00446BBD">
        <w:rPr>
          <w:color w:val="auto"/>
        </w:rPr>
        <w:t>140</w:t>
      </w:r>
      <w:r w:rsidRPr="00446BBD">
        <w:rPr>
          <w:color w:val="auto"/>
        </w:rPr>
        <w:t xml:space="preserve">, sets out that </w:t>
      </w:r>
      <w:r w:rsidR="00AA1BE9" w:rsidRPr="00446BBD">
        <w:rPr>
          <w:color w:val="auto"/>
        </w:rPr>
        <w:t xml:space="preserve">once established </w:t>
      </w:r>
      <w:r w:rsidRPr="00446BBD">
        <w:rPr>
          <w:color w:val="auto"/>
        </w:rPr>
        <w:t xml:space="preserve">Green Belt boundaries should only be </w:t>
      </w:r>
      <w:r w:rsidR="00AA1BE9" w:rsidRPr="00446BBD">
        <w:rPr>
          <w:color w:val="auto"/>
        </w:rPr>
        <w:t>altered where exceptional circumstances are fully evidenced and justified, through</w:t>
      </w:r>
      <w:r w:rsidR="00D9169C" w:rsidRPr="00446BBD">
        <w:rPr>
          <w:color w:val="auto"/>
        </w:rPr>
        <w:t xml:space="preserve"> the preparation or updating of p</w:t>
      </w:r>
      <w:r w:rsidRPr="00446BBD">
        <w:rPr>
          <w:color w:val="auto"/>
        </w:rPr>
        <w:t>lan</w:t>
      </w:r>
      <w:r w:rsidR="00D9169C" w:rsidRPr="00446BBD">
        <w:rPr>
          <w:color w:val="auto"/>
        </w:rPr>
        <w:t>.</w:t>
      </w:r>
      <w:r w:rsidRPr="00446BBD">
        <w:rPr>
          <w:color w:val="auto"/>
        </w:rPr>
        <w:t xml:space="preserve"> </w:t>
      </w:r>
    </w:p>
    <w:p w14:paraId="77E8FD70" w14:textId="77777777" w:rsidR="00453378" w:rsidRPr="00446BBD" w:rsidRDefault="00453378" w:rsidP="00453378">
      <w:pPr>
        <w:pStyle w:val="Default"/>
        <w:ind w:left="720"/>
        <w:rPr>
          <w:b/>
          <w:bCs/>
        </w:rPr>
      </w:pPr>
    </w:p>
    <w:p w14:paraId="404F9B90" w14:textId="015A04B3" w:rsidR="00C611D2" w:rsidRPr="00446BBD" w:rsidRDefault="00994F98" w:rsidP="00C5029B">
      <w:pPr>
        <w:pStyle w:val="Default"/>
        <w:numPr>
          <w:ilvl w:val="1"/>
          <w:numId w:val="35"/>
        </w:numPr>
        <w:ind w:hanging="792"/>
        <w:rPr>
          <w:b/>
          <w:bCs/>
        </w:rPr>
      </w:pPr>
      <w:r w:rsidRPr="00446BBD">
        <w:t>Th</w:t>
      </w:r>
      <w:r w:rsidR="00C611D2" w:rsidRPr="00446BBD">
        <w:t xml:space="preserve">e purpose of this </w:t>
      </w:r>
      <w:r w:rsidR="00D9169C" w:rsidRPr="00446BBD">
        <w:t>docume</w:t>
      </w:r>
      <w:r w:rsidR="00D178C8">
        <w:t>n</w:t>
      </w:r>
      <w:r w:rsidR="00D9169C" w:rsidRPr="00446BBD">
        <w:t>t</w:t>
      </w:r>
      <w:r w:rsidR="00C611D2" w:rsidRPr="00446BBD">
        <w:t xml:space="preserve"> is to </w:t>
      </w:r>
      <w:r w:rsidR="0048221B" w:rsidRPr="00446BBD">
        <w:t>set out</w:t>
      </w:r>
      <w:r w:rsidR="00C611D2" w:rsidRPr="00446BBD">
        <w:t xml:space="preserve"> the approach that has been used in undertaking the </w:t>
      </w:r>
      <w:r w:rsidRPr="00446BBD">
        <w:t>review of the Green Belt in Ashfield</w:t>
      </w:r>
      <w:r w:rsidR="00C611D2" w:rsidRPr="00446BBD">
        <w:t xml:space="preserve"> as part of the </w:t>
      </w:r>
      <w:r w:rsidRPr="00446BBD">
        <w:t>Local Plan</w:t>
      </w:r>
      <w:r w:rsidR="0048221B" w:rsidRPr="00446BBD">
        <w:t xml:space="preserve"> process</w:t>
      </w:r>
      <w:r w:rsidR="00C611D2" w:rsidRPr="00446BBD">
        <w:t>.</w:t>
      </w:r>
      <w:r w:rsidRPr="00446BBD">
        <w:t xml:space="preserve"> </w:t>
      </w:r>
    </w:p>
    <w:p w14:paraId="490FB01D" w14:textId="77777777" w:rsidR="00C611D2" w:rsidRPr="00446BBD" w:rsidRDefault="00C611D2" w:rsidP="00C611D2">
      <w:pPr>
        <w:pStyle w:val="Default"/>
        <w:rPr>
          <w:b/>
          <w:bCs/>
        </w:rPr>
      </w:pPr>
    </w:p>
    <w:p w14:paraId="79E42957" w14:textId="77777777" w:rsidR="005E4193" w:rsidRPr="006E0E17" w:rsidRDefault="00C611D2" w:rsidP="00C5029B">
      <w:pPr>
        <w:pStyle w:val="Default"/>
        <w:numPr>
          <w:ilvl w:val="1"/>
          <w:numId w:val="35"/>
        </w:numPr>
        <w:ind w:hanging="792"/>
        <w:rPr>
          <w:color w:val="FF0000"/>
        </w:rPr>
      </w:pPr>
      <w:r w:rsidRPr="00446BBD">
        <w:rPr>
          <w:color w:val="auto"/>
        </w:rPr>
        <w:t>It</w:t>
      </w:r>
      <w:r w:rsidR="00994F98" w:rsidRPr="00446BBD">
        <w:rPr>
          <w:color w:val="auto"/>
        </w:rPr>
        <w:t xml:space="preserve"> provides a means of identifying </w:t>
      </w:r>
      <w:r w:rsidRPr="00446BBD">
        <w:rPr>
          <w:color w:val="auto"/>
        </w:rPr>
        <w:t>the most important areas of Green Belt, when assessed aga</w:t>
      </w:r>
      <w:r w:rsidR="00453378" w:rsidRPr="00446BBD">
        <w:rPr>
          <w:color w:val="auto"/>
        </w:rPr>
        <w:t xml:space="preserve">inst the purposes of Green Belt </w:t>
      </w:r>
      <w:r w:rsidRPr="00446BBD">
        <w:rPr>
          <w:color w:val="auto"/>
        </w:rPr>
        <w:t>as set out in national policy</w:t>
      </w:r>
      <w:r w:rsidR="00AC1FCF" w:rsidRPr="00446BBD">
        <w:rPr>
          <w:color w:val="auto"/>
        </w:rPr>
        <w:t xml:space="preserve"> – </w:t>
      </w:r>
      <w:r w:rsidR="0048221B" w:rsidRPr="00446BBD">
        <w:rPr>
          <w:color w:val="auto"/>
        </w:rPr>
        <w:t xml:space="preserve">NPPF Part </w:t>
      </w:r>
      <w:r w:rsidR="00D9169C" w:rsidRPr="00446BBD">
        <w:rPr>
          <w:color w:val="auto"/>
        </w:rPr>
        <w:t>13</w:t>
      </w:r>
      <w:r w:rsidR="001B3B3D" w:rsidRPr="00446BBD">
        <w:rPr>
          <w:color w:val="auto"/>
        </w:rPr>
        <w:t xml:space="preserve"> (see</w:t>
      </w:r>
      <w:r w:rsidR="001B3B3D">
        <w:rPr>
          <w:color w:val="auto"/>
        </w:rPr>
        <w:t xml:space="preserve"> paragraph 3.2 of this document)</w:t>
      </w:r>
      <w:r w:rsidRPr="006E0E17">
        <w:rPr>
          <w:color w:val="auto"/>
        </w:rPr>
        <w:t>.</w:t>
      </w:r>
      <w:r w:rsidR="00453378">
        <w:rPr>
          <w:color w:val="auto"/>
        </w:rPr>
        <w:t xml:space="preserve"> </w:t>
      </w:r>
      <w:r w:rsidRPr="006E0E17">
        <w:rPr>
          <w:color w:val="auto"/>
        </w:rPr>
        <w:t xml:space="preserve">  </w:t>
      </w:r>
    </w:p>
    <w:p w14:paraId="4112E285" w14:textId="77777777" w:rsidR="006E0E17" w:rsidRDefault="006E0E17" w:rsidP="006E0E17">
      <w:pPr>
        <w:pStyle w:val="ListParagraph"/>
        <w:rPr>
          <w:color w:val="FF0000"/>
        </w:rPr>
      </w:pPr>
    </w:p>
    <w:p w14:paraId="0C88E229" w14:textId="77777777" w:rsidR="000630D6" w:rsidRPr="006E0E17" w:rsidRDefault="00203D0F" w:rsidP="00C5029B">
      <w:pPr>
        <w:pStyle w:val="Default"/>
        <w:numPr>
          <w:ilvl w:val="1"/>
          <w:numId w:val="35"/>
        </w:numPr>
        <w:ind w:hanging="792"/>
        <w:rPr>
          <w:color w:val="auto"/>
          <w:sz w:val="23"/>
          <w:szCs w:val="23"/>
        </w:rPr>
      </w:pPr>
      <w:r w:rsidRPr="001A79F2">
        <w:rPr>
          <w:b/>
          <w:color w:val="auto"/>
        </w:rPr>
        <w:t xml:space="preserve">This review </w:t>
      </w:r>
      <w:r w:rsidR="006309AD">
        <w:rPr>
          <w:b/>
          <w:color w:val="auto"/>
        </w:rPr>
        <w:t xml:space="preserve">is a technical exercise and </w:t>
      </w:r>
      <w:r w:rsidRPr="001A79F2">
        <w:rPr>
          <w:b/>
          <w:color w:val="auto"/>
        </w:rPr>
        <w:t xml:space="preserve">does not determine </w:t>
      </w:r>
      <w:proofErr w:type="gramStart"/>
      <w:r w:rsidRPr="001A79F2">
        <w:rPr>
          <w:b/>
          <w:color w:val="auto"/>
        </w:rPr>
        <w:t>whether or not</w:t>
      </w:r>
      <w:proofErr w:type="gramEnd"/>
      <w:r w:rsidRPr="001A79F2">
        <w:rPr>
          <w:b/>
          <w:color w:val="auto"/>
        </w:rPr>
        <w:t xml:space="preserve"> land should remain or be excluded from the Green Belt.</w:t>
      </w:r>
      <w:r w:rsidRPr="006E0E17">
        <w:rPr>
          <w:color w:val="auto"/>
        </w:rPr>
        <w:t xml:space="preserve">  It is the role of the </w:t>
      </w:r>
      <w:proofErr w:type="gramStart"/>
      <w:r w:rsidRPr="006E0E17">
        <w:rPr>
          <w:color w:val="auto"/>
        </w:rPr>
        <w:t>District’s</w:t>
      </w:r>
      <w:proofErr w:type="gramEnd"/>
      <w:r w:rsidRPr="006E0E17">
        <w:rPr>
          <w:color w:val="auto"/>
        </w:rPr>
        <w:t xml:space="preserve"> emerging Local Plan to formally revise Green Belt boundaries and to allocate land for development, </w:t>
      </w:r>
      <w:r w:rsidR="006309AD">
        <w:rPr>
          <w:color w:val="auto"/>
        </w:rPr>
        <w:t xml:space="preserve">where appropriate, </w:t>
      </w:r>
      <w:r w:rsidRPr="006E0E17">
        <w:rPr>
          <w:color w:val="auto"/>
        </w:rPr>
        <w:t xml:space="preserve">having taken into account all relevant planning considerations. This includes whether there are, in the first instance, exceptional circumstances for altering existing </w:t>
      </w:r>
      <w:r w:rsidRPr="001F1185">
        <w:rPr>
          <w:color w:val="auto"/>
        </w:rPr>
        <w:t xml:space="preserve">boundaries.  It is not the role of the review </w:t>
      </w:r>
      <w:r w:rsidR="001D3D3A" w:rsidRPr="001F1185">
        <w:rPr>
          <w:color w:val="auto"/>
        </w:rPr>
        <w:t xml:space="preserve">to establish whether exceptional circumstances </w:t>
      </w:r>
      <w:proofErr w:type="gramStart"/>
      <w:r w:rsidR="001D3D3A" w:rsidRPr="001F1185">
        <w:rPr>
          <w:color w:val="auto"/>
        </w:rPr>
        <w:t>exist, but</w:t>
      </w:r>
      <w:proofErr w:type="gramEnd"/>
      <w:r w:rsidR="001D3D3A" w:rsidRPr="001F1185">
        <w:rPr>
          <w:color w:val="auto"/>
        </w:rPr>
        <w:t xml:space="preserve"> should there be a need to alter Green Belt boundaries,</w:t>
      </w:r>
      <w:r w:rsidR="00B75C34">
        <w:rPr>
          <w:color w:val="auto"/>
        </w:rPr>
        <w:t xml:space="preserve"> for instance to accommodate an established need for new development,</w:t>
      </w:r>
      <w:r w:rsidR="001D3D3A" w:rsidRPr="001F1185">
        <w:rPr>
          <w:color w:val="auto"/>
        </w:rPr>
        <w:t xml:space="preserve"> the</w:t>
      </w:r>
      <w:r w:rsidR="001D3D3A" w:rsidRPr="006E0E17">
        <w:rPr>
          <w:color w:val="auto"/>
        </w:rPr>
        <w:t xml:space="preserve"> review is intended to inform how this might best be done.    </w:t>
      </w:r>
    </w:p>
    <w:p w14:paraId="7A58EA33" w14:textId="77777777" w:rsidR="000630D6" w:rsidRPr="006E0E17" w:rsidRDefault="000630D6" w:rsidP="000630D6">
      <w:pPr>
        <w:pStyle w:val="Default"/>
        <w:ind w:left="720"/>
        <w:rPr>
          <w:color w:val="auto"/>
          <w:sz w:val="23"/>
          <w:szCs w:val="23"/>
        </w:rPr>
      </w:pPr>
    </w:p>
    <w:p w14:paraId="401DA648" w14:textId="77777777" w:rsidR="00D75BA7" w:rsidRDefault="000630D6" w:rsidP="00D75BA7">
      <w:pPr>
        <w:pStyle w:val="Default"/>
        <w:numPr>
          <w:ilvl w:val="1"/>
          <w:numId w:val="35"/>
        </w:numPr>
        <w:ind w:hanging="792"/>
        <w:rPr>
          <w:color w:val="auto"/>
        </w:rPr>
      </w:pPr>
      <w:r w:rsidRPr="00996393">
        <w:rPr>
          <w:color w:val="auto"/>
        </w:rPr>
        <w:t xml:space="preserve">It should be noted that this review </w:t>
      </w:r>
      <w:r w:rsidR="000074AB">
        <w:rPr>
          <w:color w:val="auto"/>
        </w:rPr>
        <w:t xml:space="preserve">represents </w:t>
      </w:r>
      <w:r w:rsidRPr="00996393">
        <w:rPr>
          <w:color w:val="auto"/>
        </w:rPr>
        <w:t>a snapshot in time</w:t>
      </w:r>
      <w:r w:rsidR="000074AB">
        <w:rPr>
          <w:color w:val="auto"/>
        </w:rPr>
        <w:t xml:space="preserve">.  Changes in policy approach, </w:t>
      </w:r>
      <w:r w:rsidRPr="00996393">
        <w:rPr>
          <w:color w:val="auto"/>
        </w:rPr>
        <w:t xml:space="preserve">together with future development patterns, may lead to different conclusions in the future on the importance of </w:t>
      </w:r>
      <w:proofErr w:type="gramStart"/>
      <w:r w:rsidRPr="00996393">
        <w:rPr>
          <w:color w:val="auto"/>
        </w:rPr>
        <w:t>particular parts</w:t>
      </w:r>
      <w:proofErr w:type="gramEnd"/>
      <w:r w:rsidRPr="00996393">
        <w:rPr>
          <w:color w:val="auto"/>
        </w:rPr>
        <w:t xml:space="preserve"> of the Green Belt when assessed against the five purposes of including land within it.</w:t>
      </w:r>
    </w:p>
    <w:p w14:paraId="4C80E675" w14:textId="77777777" w:rsidR="00D75BA7" w:rsidRDefault="00D75BA7" w:rsidP="00D75BA7">
      <w:pPr>
        <w:pStyle w:val="ListParagraph"/>
        <w:rPr>
          <w:color w:val="auto"/>
        </w:rPr>
      </w:pPr>
    </w:p>
    <w:p w14:paraId="0815E93A" w14:textId="77777777" w:rsidR="00D75BA7" w:rsidRDefault="00D75BA7" w:rsidP="00D75BA7">
      <w:pPr>
        <w:pStyle w:val="Default"/>
        <w:ind w:left="792"/>
        <w:rPr>
          <w:color w:val="auto"/>
        </w:rPr>
      </w:pPr>
    </w:p>
    <w:p w14:paraId="4BA11DED" w14:textId="77777777" w:rsidR="00D75BA7" w:rsidRDefault="00D75BA7" w:rsidP="00D75BA7">
      <w:pPr>
        <w:pStyle w:val="ListParagraph"/>
        <w:rPr>
          <w:b/>
          <w:color w:val="auto"/>
        </w:rPr>
      </w:pPr>
    </w:p>
    <w:p w14:paraId="7F05EE5A" w14:textId="77777777" w:rsidR="00055D52" w:rsidRPr="00D75BA7" w:rsidRDefault="00055D52" w:rsidP="00D75BA7">
      <w:pPr>
        <w:pStyle w:val="Default"/>
        <w:numPr>
          <w:ilvl w:val="0"/>
          <w:numId w:val="35"/>
        </w:numPr>
        <w:rPr>
          <w:color w:val="auto"/>
        </w:rPr>
      </w:pPr>
      <w:r w:rsidRPr="00D75BA7">
        <w:rPr>
          <w:b/>
          <w:color w:val="auto"/>
        </w:rPr>
        <w:t>Introduction</w:t>
      </w:r>
    </w:p>
    <w:p w14:paraId="2195EA0F" w14:textId="77777777" w:rsidR="00D75BA7" w:rsidRPr="00D75BA7" w:rsidRDefault="00D75BA7" w:rsidP="00D75BA7">
      <w:pPr>
        <w:pStyle w:val="Default"/>
        <w:ind w:left="360"/>
        <w:rPr>
          <w:color w:val="auto"/>
        </w:rPr>
      </w:pPr>
    </w:p>
    <w:p w14:paraId="0F410291" w14:textId="77777777" w:rsidR="008835BC" w:rsidRPr="00D75BA7" w:rsidRDefault="008835BC" w:rsidP="00D75BA7">
      <w:pPr>
        <w:pStyle w:val="Default"/>
        <w:numPr>
          <w:ilvl w:val="1"/>
          <w:numId w:val="35"/>
        </w:numPr>
        <w:ind w:hanging="792"/>
        <w:rPr>
          <w:color w:val="auto"/>
        </w:rPr>
      </w:pPr>
      <w:r w:rsidRPr="00167C57">
        <w:t xml:space="preserve">An extensive part of the </w:t>
      </w:r>
      <w:r w:rsidR="009E590F">
        <w:t xml:space="preserve">District of </w:t>
      </w:r>
      <w:r w:rsidRPr="00167C57">
        <w:t xml:space="preserve">Ashfield </w:t>
      </w:r>
      <w:r w:rsidR="009434CF">
        <w:t>lie</w:t>
      </w:r>
      <w:r w:rsidR="009E590F">
        <w:t>s</w:t>
      </w:r>
      <w:r w:rsidRPr="00167C57">
        <w:t xml:space="preserve"> within the Nottingham</w:t>
      </w:r>
      <w:r>
        <w:t xml:space="preserve"> - </w:t>
      </w:r>
      <w:r w:rsidRPr="00167C57">
        <w:t xml:space="preserve">Derby Green Belt including </w:t>
      </w:r>
      <w:r>
        <w:t xml:space="preserve">land around </w:t>
      </w:r>
      <w:r w:rsidRPr="00167C57">
        <w:t>Hucknall, land to the south, and east of Kirkby-</w:t>
      </w:r>
      <w:r>
        <w:t>in-</w:t>
      </w:r>
      <w:r w:rsidRPr="00167C57">
        <w:t>Ashfield</w:t>
      </w:r>
      <w:r>
        <w:t>;</w:t>
      </w:r>
      <w:r w:rsidRPr="00167C57">
        <w:t xml:space="preserve"> and </w:t>
      </w:r>
      <w:r w:rsidR="009434CF">
        <w:t xml:space="preserve">land surrounding the </w:t>
      </w:r>
      <w:r w:rsidR="009E590F">
        <w:t xml:space="preserve">rural </w:t>
      </w:r>
      <w:r w:rsidR="009434CF">
        <w:t>villages</w:t>
      </w:r>
      <w:r w:rsidR="009E590F">
        <w:t xml:space="preserve"> of </w:t>
      </w:r>
      <w:r w:rsidR="009434CF">
        <w:t>Selston, Jacksdale</w:t>
      </w:r>
      <w:r w:rsidR="00C0171D">
        <w:t xml:space="preserve">, </w:t>
      </w:r>
      <w:r w:rsidR="009434CF">
        <w:t>Underwood</w:t>
      </w:r>
      <w:r w:rsidR="00C0171D">
        <w:t xml:space="preserve"> and Brinsley</w:t>
      </w:r>
      <w:r w:rsidRPr="00167C57">
        <w:t xml:space="preserve">. </w:t>
      </w:r>
      <w:r>
        <w:t xml:space="preserve"> Appendix 1 shows the extent of the Green Belt in Ashfield District</w:t>
      </w:r>
      <w:r w:rsidR="00A676E1">
        <w:t xml:space="preserve"> and the areas of land which were considered as part of this review</w:t>
      </w:r>
      <w:r>
        <w:t xml:space="preserve">. </w:t>
      </w:r>
    </w:p>
    <w:p w14:paraId="4C0C223B" w14:textId="77777777" w:rsidR="00307432" w:rsidRDefault="00307432" w:rsidP="00307432">
      <w:pPr>
        <w:pStyle w:val="Default"/>
        <w:ind w:left="792"/>
      </w:pPr>
    </w:p>
    <w:p w14:paraId="088A1C0F" w14:textId="77777777" w:rsidR="00307432" w:rsidRDefault="00307432" w:rsidP="00307432">
      <w:pPr>
        <w:pStyle w:val="ListParagraph"/>
      </w:pPr>
    </w:p>
    <w:p w14:paraId="35633122" w14:textId="3332C672" w:rsidR="008835BC" w:rsidRPr="00167C57" w:rsidRDefault="008835BC" w:rsidP="00D75BA7">
      <w:pPr>
        <w:pStyle w:val="Default"/>
        <w:numPr>
          <w:ilvl w:val="1"/>
          <w:numId w:val="35"/>
        </w:numPr>
        <w:ind w:hanging="792"/>
      </w:pPr>
      <w:r w:rsidRPr="00167C57">
        <w:lastRenderedPageBreak/>
        <w:t xml:space="preserve">The Green Belt boundaries in Ashfield have been established over a </w:t>
      </w:r>
      <w:r>
        <w:t>long period</w:t>
      </w:r>
      <w:r w:rsidRPr="00167C57">
        <w:t xml:space="preserve"> of time in the following plans:</w:t>
      </w:r>
    </w:p>
    <w:p w14:paraId="3960BC58" w14:textId="77777777" w:rsidR="008835BC" w:rsidRPr="00167C57" w:rsidRDefault="008835BC" w:rsidP="008835BC">
      <w:pPr>
        <w:numPr>
          <w:ilvl w:val="0"/>
          <w:numId w:val="1"/>
        </w:numPr>
        <w:tabs>
          <w:tab w:val="clear" w:pos="737"/>
        </w:tabs>
        <w:spacing w:after="120"/>
        <w:ind w:left="851" w:firstLine="142"/>
      </w:pPr>
      <w:r w:rsidRPr="00167C57">
        <w:t xml:space="preserve">Green Belt Local Plan prepared by Nottinghamshire County </w:t>
      </w:r>
      <w:r>
        <w:tab/>
      </w:r>
      <w:r>
        <w:tab/>
      </w:r>
      <w:r w:rsidRPr="00167C57">
        <w:t xml:space="preserve">Council and adopted in 1989.   </w:t>
      </w:r>
    </w:p>
    <w:p w14:paraId="4F265163" w14:textId="77777777" w:rsidR="008835BC" w:rsidRPr="00167C57" w:rsidRDefault="008835BC" w:rsidP="008835BC">
      <w:pPr>
        <w:numPr>
          <w:ilvl w:val="0"/>
          <w:numId w:val="1"/>
        </w:numPr>
        <w:tabs>
          <w:tab w:val="clear" w:pos="737"/>
        </w:tabs>
        <w:spacing w:after="120"/>
        <w:ind w:left="851" w:firstLine="142"/>
      </w:pPr>
      <w:r w:rsidRPr="00167C57">
        <w:t>Ashfield Local Plan,</w:t>
      </w:r>
      <w:r>
        <w:t xml:space="preserve"> </w:t>
      </w:r>
      <w:r w:rsidRPr="00167C57">
        <w:t xml:space="preserve">1995. </w:t>
      </w:r>
    </w:p>
    <w:p w14:paraId="0C0D1F81" w14:textId="77777777" w:rsidR="008835BC" w:rsidRDefault="008835BC" w:rsidP="008835BC">
      <w:pPr>
        <w:numPr>
          <w:ilvl w:val="0"/>
          <w:numId w:val="1"/>
        </w:numPr>
        <w:tabs>
          <w:tab w:val="clear" w:pos="737"/>
        </w:tabs>
        <w:spacing w:after="120"/>
        <w:ind w:left="851" w:firstLine="142"/>
      </w:pPr>
      <w:r w:rsidRPr="00167C57">
        <w:t xml:space="preserve">Ashfield Local Plan Review, 2002.  </w:t>
      </w:r>
    </w:p>
    <w:p w14:paraId="6E7E57D9" w14:textId="77777777" w:rsidR="008835BC" w:rsidRDefault="008835BC" w:rsidP="008835BC"/>
    <w:p w14:paraId="7FFD24AD" w14:textId="77777777" w:rsidR="008835BC" w:rsidRDefault="008835BC" w:rsidP="00D75BA7">
      <w:pPr>
        <w:pStyle w:val="Default"/>
        <w:numPr>
          <w:ilvl w:val="1"/>
          <w:numId w:val="35"/>
        </w:numPr>
        <w:ind w:hanging="792"/>
      </w:pPr>
      <w:r>
        <w:t xml:space="preserve">The review of the 2002 Ashfield Local Plan commenced following Government changes to the plan making system and the adoption of the East Midlands Regional Plan. Since this time there have been significant </w:t>
      </w:r>
      <w:r w:rsidR="00C0171D">
        <w:t>further changes</w:t>
      </w:r>
      <w:r>
        <w:t xml:space="preserve"> to the way the Council </w:t>
      </w:r>
      <w:r w:rsidR="00C0171D">
        <w:t xml:space="preserve">is required to </w:t>
      </w:r>
      <w:r>
        <w:t>plan for the future</w:t>
      </w:r>
      <w:r w:rsidR="00C0171D">
        <w:t xml:space="preserve"> </w:t>
      </w:r>
      <w:r>
        <w:t>of</w:t>
      </w:r>
      <w:r w:rsidR="00C0171D">
        <w:t xml:space="preserve"> </w:t>
      </w:r>
      <w:r>
        <w:t xml:space="preserve">the District, most </w:t>
      </w:r>
      <w:r w:rsidR="007F37A8">
        <w:t>notably</w:t>
      </w:r>
      <w:r>
        <w:t xml:space="preserve"> the Governments shift from Regional Strategies and Planning Policy Guidance Notes and Statements, to the Localism Agenda and the NPPF</w:t>
      </w:r>
      <w:r w:rsidR="00972A91">
        <w:t xml:space="preserve"> </w:t>
      </w:r>
      <w:r>
        <w:t>document.</w:t>
      </w:r>
    </w:p>
    <w:p w14:paraId="2D750300" w14:textId="77777777" w:rsidR="008835BC" w:rsidRDefault="008835BC" w:rsidP="008835BC"/>
    <w:p w14:paraId="7D00DE1B" w14:textId="77777777" w:rsidR="008835BC" w:rsidRDefault="008835BC" w:rsidP="00D75BA7">
      <w:pPr>
        <w:pStyle w:val="Default"/>
        <w:numPr>
          <w:ilvl w:val="1"/>
          <w:numId w:val="35"/>
        </w:numPr>
        <w:ind w:hanging="792"/>
      </w:pPr>
      <w:r>
        <w:t xml:space="preserve">During this transitional period the Council has </w:t>
      </w:r>
      <w:r w:rsidR="005B66F9">
        <w:t>taken the decision</w:t>
      </w:r>
      <w:r>
        <w:t xml:space="preserve"> to produce a new form of Local Plan which will capture the shift to Localism.  The Plan, once adopted will be the principal planning document which will set out the policies to protect natural and built assets, guide future development </w:t>
      </w:r>
      <w:proofErr w:type="gramStart"/>
      <w:r>
        <w:t>and also</w:t>
      </w:r>
      <w:proofErr w:type="gramEnd"/>
      <w:r>
        <w:t xml:space="preserve"> to allocat</w:t>
      </w:r>
      <w:r w:rsidR="008E5127">
        <w:t xml:space="preserve">e sites for future housing and </w:t>
      </w:r>
      <w:r>
        <w:t>employment growth.</w:t>
      </w:r>
    </w:p>
    <w:p w14:paraId="25559A1C" w14:textId="77777777" w:rsidR="008835BC" w:rsidRDefault="008835BC" w:rsidP="008835BC">
      <w:pPr>
        <w:tabs>
          <w:tab w:val="left" w:pos="709"/>
        </w:tabs>
      </w:pPr>
    </w:p>
    <w:p w14:paraId="6005F804" w14:textId="77777777" w:rsidR="008835BC" w:rsidRDefault="008835BC" w:rsidP="00D75BA7">
      <w:pPr>
        <w:pStyle w:val="Default"/>
        <w:numPr>
          <w:ilvl w:val="1"/>
          <w:numId w:val="35"/>
        </w:numPr>
        <w:ind w:hanging="792"/>
      </w:pPr>
      <w:r>
        <w:t xml:space="preserve">The Local Plan will primarily focus development </w:t>
      </w:r>
      <w:proofErr w:type="gramStart"/>
      <w:r>
        <w:t>in</w:t>
      </w:r>
      <w:proofErr w:type="gramEnd"/>
      <w:r>
        <w:t xml:space="preserve"> Ashfield</w:t>
      </w:r>
      <w:r w:rsidRPr="00864FF1">
        <w:t xml:space="preserve"> towards locations within or adjoining the main urban areas of Kirkby-in Ashfield, Sutton-in-Ashfield and Hucknall. These are the larger and more </w:t>
      </w:r>
      <w:r>
        <w:t>a</w:t>
      </w:r>
      <w:r w:rsidRPr="00864FF1">
        <w:t xml:space="preserve">ccessible towns.  </w:t>
      </w:r>
      <w:r>
        <w:t xml:space="preserve">However, given the </w:t>
      </w:r>
      <w:r w:rsidR="005B66F9">
        <w:t xml:space="preserve">anticipated </w:t>
      </w:r>
      <w:r>
        <w:t xml:space="preserve">level of development required to meet the needs of a growing population, it has been necessary to undertake a review of the Green Belt as part of the process of forming Ashfield’s new Local Plan. </w:t>
      </w:r>
    </w:p>
    <w:p w14:paraId="6008951B" w14:textId="77777777" w:rsidR="008835BC" w:rsidRDefault="008835BC" w:rsidP="008835BC">
      <w:pPr>
        <w:autoSpaceDE w:val="0"/>
        <w:autoSpaceDN w:val="0"/>
        <w:adjustRightInd w:val="0"/>
      </w:pPr>
    </w:p>
    <w:p w14:paraId="444D1CFA" w14:textId="77777777" w:rsidR="0081525D" w:rsidRPr="00CD3E5E" w:rsidRDefault="00EC670C" w:rsidP="00D75BA7">
      <w:pPr>
        <w:pStyle w:val="Default"/>
        <w:numPr>
          <w:ilvl w:val="1"/>
          <w:numId w:val="35"/>
        </w:numPr>
        <w:ind w:hanging="792"/>
        <w:rPr>
          <w:color w:val="auto"/>
        </w:rPr>
      </w:pPr>
      <w:r>
        <w:t>A</w:t>
      </w:r>
      <w:r w:rsidR="00450C2B" w:rsidRPr="00CD3E5E">
        <w:rPr>
          <w:color w:val="auto"/>
        </w:rPr>
        <w:t xml:space="preserve"> Strategic Green Belt Review for the District (excluding Hucknall) was completed in August 2013 as part of the Local Plan process. </w:t>
      </w:r>
      <w:r w:rsidR="00857B25" w:rsidRPr="00CD3E5E">
        <w:rPr>
          <w:color w:val="auto"/>
        </w:rPr>
        <w:t>However, f</w:t>
      </w:r>
      <w:r w:rsidR="00450C2B" w:rsidRPr="00CD3E5E">
        <w:rPr>
          <w:color w:val="auto"/>
        </w:rPr>
        <w:t xml:space="preserve">ollowing the </w:t>
      </w:r>
      <w:r w:rsidR="009D2615" w:rsidRPr="00CD3E5E">
        <w:rPr>
          <w:color w:val="auto"/>
        </w:rPr>
        <w:t xml:space="preserve">submission of the Local Plan to the </w:t>
      </w:r>
      <w:r w:rsidR="00AD581F" w:rsidRPr="00CD3E5E">
        <w:rPr>
          <w:color w:val="auto"/>
        </w:rPr>
        <w:t>P</w:t>
      </w:r>
      <w:r w:rsidR="00450C2B" w:rsidRPr="00CD3E5E">
        <w:rPr>
          <w:color w:val="auto"/>
        </w:rPr>
        <w:t>lanning</w:t>
      </w:r>
      <w:r w:rsidR="00AD581F" w:rsidRPr="00CD3E5E">
        <w:rPr>
          <w:color w:val="auto"/>
        </w:rPr>
        <w:t xml:space="preserve"> I</w:t>
      </w:r>
      <w:r w:rsidR="00450C2B" w:rsidRPr="00CD3E5E">
        <w:rPr>
          <w:color w:val="auto"/>
        </w:rPr>
        <w:t>nspector in</w:t>
      </w:r>
      <w:r w:rsidR="009D2615" w:rsidRPr="00CD3E5E">
        <w:rPr>
          <w:color w:val="auto"/>
        </w:rPr>
        <w:t xml:space="preserve"> December</w:t>
      </w:r>
      <w:r w:rsidR="00B25674" w:rsidRPr="00CD3E5E">
        <w:rPr>
          <w:color w:val="auto"/>
        </w:rPr>
        <w:t xml:space="preserve"> </w:t>
      </w:r>
      <w:r w:rsidR="009D2615" w:rsidRPr="00CD3E5E">
        <w:rPr>
          <w:color w:val="auto"/>
        </w:rPr>
        <w:t>2013</w:t>
      </w:r>
      <w:r w:rsidR="00B25674" w:rsidRPr="00CD3E5E">
        <w:rPr>
          <w:color w:val="auto"/>
        </w:rPr>
        <w:t>,</w:t>
      </w:r>
      <w:r w:rsidR="0081525D" w:rsidRPr="00CD3E5E">
        <w:rPr>
          <w:color w:val="auto"/>
        </w:rPr>
        <w:t xml:space="preserve"> it has been necessary to revisit this work.</w:t>
      </w:r>
    </w:p>
    <w:p w14:paraId="5D5D7970" w14:textId="77777777" w:rsidR="0081525D" w:rsidRPr="00CD3E5E" w:rsidRDefault="0081525D" w:rsidP="00857B25">
      <w:pPr>
        <w:ind w:left="709" w:hanging="709"/>
        <w:rPr>
          <w:color w:val="auto"/>
        </w:rPr>
      </w:pPr>
    </w:p>
    <w:p w14:paraId="660896A0" w14:textId="77777777" w:rsidR="00874DC5" w:rsidRPr="00CD3E5E" w:rsidRDefault="0081525D" w:rsidP="00D75BA7">
      <w:pPr>
        <w:pStyle w:val="Default"/>
        <w:numPr>
          <w:ilvl w:val="1"/>
          <w:numId w:val="35"/>
        </w:numPr>
        <w:ind w:hanging="792"/>
        <w:rPr>
          <w:color w:val="auto"/>
        </w:rPr>
      </w:pPr>
      <w:r w:rsidRPr="00D75BA7">
        <w:t>T</w:t>
      </w:r>
      <w:r w:rsidR="00857B25" w:rsidRPr="00D75BA7">
        <w:t>he</w:t>
      </w:r>
      <w:r w:rsidR="00857B25" w:rsidRPr="00CD3E5E">
        <w:rPr>
          <w:color w:val="auto"/>
        </w:rPr>
        <w:t xml:space="preserve"> Inspector raised concerns</w:t>
      </w:r>
      <w:r w:rsidR="00F41E94">
        <w:rPr>
          <w:color w:val="auto"/>
        </w:rPr>
        <w:t xml:space="preserve"> in respect of the approach to the Strategic Green </w:t>
      </w:r>
      <w:r w:rsidR="00AB2C7E">
        <w:rPr>
          <w:color w:val="auto"/>
        </w:rPr>
        <w:t>B</w:t>
      </w:r>
      <w:r w:rsidR="00F41E94">
        <w:rPr>
          <w:color w:val="auto"/>
        </w:rPr>
        <w:t>elt review</w:t>
      </w:r>
      <w:r w:rsidR="00857B25" w:rsidRPr="00CD3E5E">
        <w:rPr>
          <w:color w:val="auto"/>
        </w:rPr>
        <w:t xml:space="preserve"> at the </w:t>
      </w:r>
      <w:r w:rsidR="001B2F64" w:rsidRPr="00CD3E5E">
        <w:rPr>
          <w:color w:val="auto"/>
        </w:rPr>
        <w:t xml:space="preserve">Local Plan </w:t>
      </w:r>
      <w:r w:rsidR="00857B25" w:rsidRPr="00CD3E5E">
        <w:rPr>
          <w:color w:val="auto"/>
        </w:rPr>
        <w:t>exploratory meeting</w:t>
      </w:r>
      <w:r w:rsidR="001B2F64" w:rsidRPr="00CD3E5E">
        <w:rPr>
          <w:color w:val="auto"/>
        </w:rPr>
        <w:t xml:space="preserve"> on the </w:t>
      </w:r>
      <w:proofErr w:type="gramStart"/>
      <w:r w:rsidR="001B2F64" w:rsidRPr="00CD3E5E">
        <w:rPr>
          <w:color w:val="auto"/>
        </w:rPr>
        <w:t>11</w:t>
      </w:r>
      <w:r w:rsidR="001B2F64" w:rsidRPr="00CD3E5E">
        <w:rPr>
          <w:color w:val="auto"/>
          <w:vertAlign w:val="superscript"/>
        </w:rPr>
        <w:t>th</w:t>
      </w:r>
      <w:proofErr w:type="gramEnd"/>
      <w:r w:rsidR="001B2F64" w:rsidRPr="00CD3E5E">
        <w:rPr>
          <w:color w:val="auto"/>
        </w:rPr>
        <w:t xml:space="preserve"> March 2014</w:t>
      </w:r>
      <w:r w:rsidR="00857B25" w:rsidRPr="00CD3E5E">
        <w:rPr>
          <w:color w:val="auto"/>
        </w:rPr>
        <w:t xml:space="preserve"> and </w:t>
      </w:r>
      <w:r w:rsidR="00F41E94">
        <w:rPr>
          <w:color w:val="auto"/>
        </w:rPr>
        <w:t xml:space="preserve">also </w:t>
      </w:r>
      <w:r w:rsidR="00857B25" w:rsidRPr="00CD3E5E">
        <w:rPr>
          <w:color w:val="auto"/>
        </w:rPr>
        <w:t>in his subsequent letter dated 26</w:t>
      </w:r>
      <w:r w:rsidR="00857B25" w:rsidRPr="00CD3E5E">
        <w:rPr>
          <w:color w:val="auto"/>
          <w:vertAlign w:val="superscript"/>
        </w:rPr>
        <w:t>th</w:t>
      </w:r>
      <w:r w:rsidR="00857B25" w:rsidRPr="00CD3E5E">
        <w:rPr>
          <w:color w:val="auto"/>
        </w:rPr>
        <w:t xml:space="preserve"> March 2014</w:t>
      </w:r>
      <w:r w:rsidR="00F41E94">
        <w:rPr>
          <w:color w:val="auto"/>
        </w:rPr>
        <w:t xml:space="preserve">.  </w:t>
      </w:r>
      <w:r w:rsidR="00857B25" w:rsidRPr="00CD3E5E">
        <w:rPr>
          <w:color w:val="auto"/>
        </w:rPr>
        <w:t>The Inspector’s main concerns were based around the following questions:</w:t>
      </w:r>
    </w:p>
    <w:p w14:paraId="72876944" w14:textId="77777777" w:rsidR="00857B25" w:rsidRPr="00CD3E5E" w:rsidRDefault="00857B25" w:rsidP="00857B25">
      <w:pPr>
        <w:ind w:left="709" w:hanging="709"/>
        <w:rPr>
          <w:color w:val="auto"/>
        </w:rPr>
      </w:pPr>
    </w:p>
    <w:p w14:paraId="4FDE3A2E" w14:textId="77777777" w:rsidR="00857B25" w:rsidRPr="00CD3E5E" w:rsidRDefault="00857B25" w:rsidP="00857B25">
      <w:pPr>
        <w:numPr>
          <w:ilvl w:val="0"/>
          <w:numId w:val="25"/>
        </w:numPr>
        <w:ind w:left="1276" w:hanging="567"/>
        <w:rPr>
          <w:color w:val="auto"/>
        </w:rPr>
      </w:pPr>
      <w:r w:rsidRPr="00CD3E5E">
        <w:rPr>
          <w:color w:val="auto"/>
        </w:rPr>
        <w:t xml:space="preserve">Why are areas identified as making a negligible or no contribution to Green Belt purposes been retained as Green Belt?  </w:t>
      </w:r>
    </w:p>
    <w:p w14:paraId="1B6AE6E2" w14:textId="77777777" w:rsidR="00874DC5" w:rsidRPr="00CD3E5E" w:rsidRDefault="00874DC5" w:rsidP="00874DC5">
      <w:pPr>
        <w:ind w:left="1276"/>
        <w:rPr>
          <w:color w:val="auto"/>
        </w:rPr>
      </w:pPr>
    </w:p>
    <w:p w14:paraId="6F281C5A" w14:textId="77777777" w:rsidR="00857B25" w:rsidRPr="00CD3E5E" w:rsidRDefault="00857B25" w:rsidP="00857B25">
      <w:pPr>
        <w:numPr>
          <w:ilvl w:val="0"/>
          <w:numId w:val="25"/>
        </w:numPr>
        <w:ind w:left="1276" w:hanging="567"/>
        <w:rPr>
          <w:color w:val="auto"/>
        </w:rPr>
      </w:pPr>
      <w:r w:rsidRPr="00CD3E5E">
        <w:rPr>
          <w:color w:val="auto"/>
        </w:rPr>
        <w:t>What are the ‘exceptional circumstances’ to justify the allocation of Green Belt land for housing in preference to sites which are not in Green Belt?</w:t>
      </w:r>
    </w:p>
    <w:p w14:paraId="70D4A7FF" w14:textId="77777777" w:rsidR="00857B25" w:rsidRPr="00CD3E5E" w:rsidRDefault="00857B25" w:rsidP="00857B25">
      <w:pPr>
        <w:ind w:left="1276"/>
        <w:rPr>
          <w:color w:val="auto"/>
        </w:rPr>
      </w:pPr>
    </w:p>
    <w:p w14:paraId="293DD2DB" w14:textId="77777777" w:rsidR="00857B25" w:rsidRPr="00446BBD" w:rsidRDefault="00857B25" w:rsidP="00857B25">
      <w:pPr>
        <w:numPr>
          <w:ilvl w:val="0"/>
          <w:numId w:val="25"/>
        </w:numPr>
        <w:ind w:left="1276" w:hanging="567"/>
        <w:rPr>
          <w:color w:val="auto"/>
        </w:rPr>
      </w:pPr>
      <w:r w:rsidRPr="00CD3E5E">
        <w:rPr>
          <w:color w:val="auto"/>
        </w:rPr>
        <w:t xml:space="preserve">Is the Council satisfied that Green Belt boundaries will not need to be altered at the end of the plan period, if not, safeguarded land should be identified between the </w:t>
      </w:r>
      <w:r w:rsidR="00F41E94">
        <w:rPr>
          <w:color w:val="auto"/>
        </w:rPr>
        <w:t xml:space="preserve">existing </w:t>
      </w:r>
      <w:r w:rsidRPr="00CD3E5E">
        <w:rPr>
          <w:color w:val="auto"/>
        </w:rPr>
        <w:t xml:space="preserve">urban area and the Green Belt to meet longer term needs </w:t>
      </w:r>
      <w:r w:rsidR="00AB2C7E">
        <w:rPr>
          <w:color w:val="auto"/>
        </w:rPr>
        <w:t xml:space="preserve">beyond the plan period </w:t>
      </w:r>
      <w:r w:rsidRPr="00446BBD">
        <w:rPr>
          <w:color w:val="auto"/>
        </w:rPr>
        <w:t xml:space="preserve">(para </w:t>
      </w:r>
      <w:r w:rsidR="00D9169C" w:rsidRPr="00446BBD">
        <w:rPr>
          <w:color w:val="auto"/>
        </w:rPr>
        <w:t>143</w:t>
      </w:r>
      <w:r w:rsidRPr="00446BBD">
        <w:rPr>
          <w:color w:val="auto"/>
        </w:rPr>
        <w:t>, NPPF)</w:t>
      </w:r>
      <w:r w:rsidR="00092BEC" w:rsidRPr="00446BBD">
        <w:rPr>
          <w:color w:val="auto"/>
        </w:rPr>
        <w:t>.</w:t>
      </w:r>
      <w:r w:rsidRPr="00446BBD">
        <w:rPr>
          <w:color w:val="auto"/>
        </w:rPr>
        <w:t xml:space="preserve"> </w:t>
      </w:r>
    </w:p>
    <w:p w14:paraId="43CEE0B8" w14:textId="77777777" w:rsidR="00857B25" w:rsidRPr="00CD3E5E" w:rsidRDefault="00857B25" w:rsidP="00857B25">
      <w:pPr>
        <w:ind w:left="709" w:hanging="709"/>
        <w:rPr>
          <w:color w:val="auto"/>
        </w:rPr>
      </w:pPr>
    </w:p>
    <w:p w14:paraId="728FBF6B" w14:textId="77777777" w:rsidR="00857B25" w:rsidRPr="00CD3E5E" w:rsidRDefault="00092BEC" w:rsidP="00D75BA7">
      <w:pPr>
        <w:pStyle w:val="Default"/>
        <w:numPr>
          <w:ilvl w:val="1"/>
          <w:numId w:val="35"/>
        </w:numPr>
        <w:ind w:hanging="792"/>
        <w:rPr>
          <w:color w:val="auto"/>
        </w:rPr>
      </w:pPr>
      <w:r>
        <w:rPr>
          <w:color w:val="auto"/>
        </w:rPr>
        <w:t xml:space="preserve">This report forms part of this </w:t>
      </w:r>
      <w:r w:rsidR="00EF6FDC">
        <w:rPr>
          <w:color w:val="auto"/>
        </w:rPr>
        <w:t>additional work</w:t>
      </w:r>
      <w:r w:rsidR="00F41E94">
        <w:rPr>
          <w:color w:val="auto"/>
        </w:rPr>
        <w:t xml:space="preserve"> undertaken to address these concerns</w:t>
      </w:r>
      <w:r w:rsidR="00857B25" w:rsidRPr="00CD3E5E">
        <w:rPr>
          <w:color w:val="auto"/>
        </w:rPr>
        <w:t>.</w:t>
      </w:r>
    </w:p>
    <w:p w14:paraId="0FAF5E24" w14:textId="77777777" w:rsidR="00B25674" w:rsidRPr="00CD3E5E" w:rsidRDefault="00B25674" w:rsidP="00857B25">
      <w:pPr>
        <w:ind w:left="709" w:hanging="709"/>
        <w:rPr>
          <w:color w:val="auto"/>
        </w:rPr>
      </w:pPr>
    </w:p>
    <w:p w14:paraId="55BB3EB4" w14:textId="77777777" w:rsidR="00857B25" w:rsidRDefault="00857B25" w:rsidP="00AB30A5">
      <w:pPr>
        <w:pStyle w:val="Default"/>
        <w:numPr>
          <w:ilvl w:val="1"/>
          <w:numId w:val="35"/>
        </w:numPr>
        <w:ind w:hanging="792"/>
        <w:rPr>
          <w:color w:val="auto"/>
        </w:rPr>
      </w:pPr>
      <w:r w:rsidRPr="00CD3E5E">
        <w:rPr>
          <w:color w:val="auto"/>
        </w:rPr>
        <w:t xml:space="preserve">The Inspector’s questions have </w:t>
      </w:r>
      <w:r w:rsidR="00B54756" w:rsidRPr="00CD3E5E">
        <w:rPr>
          <w:color w:val="auto"/>
        </w:rPr>
        <w:t xml:space="preserve">also </w:t>
      </w:r>
      <w:r w:rsidRPr="00CD3E5E">
        <w:rPr>
          <w:color w:val="auto"/>
        </w:rPr>
        <w:t>raised concerns with the other Greater Nottinghamshire local authorities</w:t>
      </w:r>
      <w:r w:rsidR="00067C9B">
        <w:rPr>
          <w:color w:val="auto"/>
        </w:rPr>
        <w:t xml:space="preserve">, namely Broxtowe, </w:t>
      </w:r>
      <w:proofErr w:type="gramStart"/>
      <w:r w:rsidR="00067C9B">
        <w:rPr>
          <w:color w:val="auto"/>
        </w:rPr>
        <w:t>Gedling</w:t>
      </w:r>
      <w:proofErr w:type="gramEnd"/>
      <w:r w:rsidR="00067C9B">
        <w:rPr>
          <w:color w:val="auto"/>
        </w:rPr>
        <w:t xml:space="preserve"> and Nottingham City, </w:t>
      </w:r>
      <w:r w:rsidRPr="00CD3E5E">
        <w:rPr>
          <w:color w:val="auto"/>
        </w:rPr>
        <w:t>as they have similar issue</w:t>
      </w:r>
      <w:r w:rsidR="00F41E94">
        <w:rPr>
          <w:color w:val="auto"/>
        </w:rPr>
        <w:t>s</w:t>
      </w:r>
      <w:r w:rsidRPr="00CD3E5E">
        <w:rPr>
          <w:color w:val="auto"/>
        </w:rPr>
        <w:t xml:space="preserve"> to Ashfield.  The Council has a Duty to Co-operate with adjoining Local Authorities and as such, </w:t>
      </w:r>
      <w:r w:rsidR="00474DDF">
        <w:rPr>
          <w:color w:val="auto"/>
        </w:rPr>
        <w:t xml:space="preserve">Ashfield’s </w:t>
      </w:r>
      <w:r w:rsidRPr="00CD3E5E">
        <w:rPr>
          <w:color w:val="auto"/>
        </w:rPr>
        <w:t xml:space="preserve">Forward Planning Team </w:t>
      </w:r>
      <w:r w:rsidR="00B25674" w:rsidRPr="00CD3E5E">
        <w:rPr>
          <w:color w:val="auto"/>
        </w:rPr>
        <w:t>has</w:t>
      </w:r>
      <w:r w:rsidRPr="00CD3E5E">
        <w:rPr>
          <w:color w:val="auto"/>
        </w:rPr>
        <w:t xml:space="preserve"> work</w:t>
      </w:r>
      <w:r w:rsidR="00B25674" w:rsidRPr="00CD3E5E">
        <w:rPr>
          <w:color w:val="auto"/>
        </w:rPr>
        <w:t>ed</w:t>
      </w:r>
      <w:r w:rsidRPr="00CD3E5E">
        <w:rPr>
          <w:color w:val="auto"/>
        </w:rPr>
        <w:t xml:space="preserve"> with these </w:t>
      </w:r>
      <w:r w:rsidR="00F41E94">
        <w:rPr>
          <w:color w:val="auto"/>
        </w:rPr>
        <w:t>A</w:t>
      </w:r>
      <w:r w:rsidRPr="00CD3E5E">
        <w:rPr>
          <w:color w:val="auto"/>
        </w:rPr>
        <w:t xml:space="preserve">uthorities to prepare a joint </w:t>
      </w:r>
      <w:r w:rsidR="00D164E2">
        <w:rPr>
          <w:color w:val="auto"/>
        </w:rPr>
        <w:t xml:space="preserve">Greater Nottingham and Ashfield </w:t>
      </w:r>
      <w:r w:rsidR="00B24E0A">
        <w:rPr>
          <w:color w:val="auto"/>
        </w:rPr>
        <w:t xml:space="preserve">Green Belt </w:t>
      </w:r>
      <w:r w:rsidR="00C21F16">
        <w:rPr>
          <w:color w:val="auto"/>
        </w:rPr>
        <w:t>Assessment Framework</w:t>
      </w:r>
      <w:r w:rsidR="008F7F9E">
        <w:rPr>
          <w:color w:val="auto"/>
        </w:rPr>
        <w:t xml:space="preserve"> (The Framework)</w:t>
      </w:r>
      <w:r w:rsidR="00E83EE9">
        <w:rPr>
          <w:color w:val="auto"/>
        </w:rPr>
        <w:t>, a copy of which can be seen in Appendix 2</w:t>
      </w:r>
      <w:r w:rsidRPr="00CD3E5E">
        <w:rPr>
          <w:color w:val="auto"/>
        </w:rPr>
        <w:t>. It is considered that a joint approach will provide a more robust evidence base to support the Local Plan.</w:t>
      </w:r>
    </w:p>
    <w:p w14:paraId="0B615F01" w14:textId="77777777" w:rsidR="00BD0ABC" w:rsidRDefault="00BD0ABC" w:rsidP="00857B25">
      <w:pPr>
        <w:ind w:left="709" w:hanging="709"/>
        <w:rPr>
          <w:color w:val="auto"/>
        </w:rPr>
      </w:pPr>
    </w:p>
    <w:p w14:paraId="31865426" w14:textId="77777777" w:rsidR="00D164E2" w:rsidRPr="00474DDF" w:rsidRDefault="007B467A" w:rsidP="00AB30A5">
      <w:pPr>
        <w:pStyle w:val="Default"/>
        <w:numPr>
          <w:ilvl w:val="1"/>
          <w:numId w:val="35"/>
        </w:numPr>
        <w:ind w:hanging="792"/>
        <w:rPr>
          <w:color w:val="auto"/>
        </w:rPr>
      </w:pPr>
      <w:hyperlink r:id="rId16" w:history="1">
        <w:r w:rsidR="00D164E2" w:rsidRPr="008F7F9E">
          <w:rPr>
            <w:rStyle w:val="Hyperlink"/>
            <w:lang w:val="en"/>
          </w:rPr>
          <w:t>The Framework</w:t>
        </w:r>
      </w:hyperlink>
      <w:r w:rsidR="00D164E2">
        <w:rPr>
          <w:lang w:val="en"/>
        </w:rPr>
        <w:t xml:space="preserve"> was subject to consultation in the autumn of 2014.  A full copy of the document, comments </w:t>
      </w:r>
      <w:proofErr w:type="gramStart"/>
      <w:r w:rsidR="00D164E2">
        <w:rPr>
          <w:lang w:val="en"/>
        </w:rPr>
        <w:t>received</w:t>
      </w:r>
      <w:proofErr w:type="gramEnd"/>
      <w:r w:rsidR="00D164E2">
        <w:rPr>
          <w:lang w:val="en"/>
        </w:rPr>
        <w:t xml:space="preserve"> and amendments made to the document as a result of comments received can be viewed on the </w:t>
      </w:r>
      <w:r w:rsidR="00D164E2" w:rsidRPr="00474DDF">
        <w:rPr>
          <w:lang w:val="en"/>
        </w:rPr>
        <w:t>Councils web site</w:t>
      </w:r>
      <w:r w:rsidR="00D164E2">
        <w:rPr>
          <w:lang w:val="en"/>
        </w:rPr>
        <w:t xml:space="preserve">. </w:t>
      </w:r>
      <w:r w:rsidR="00D164E2" w:rsidRPr="00474DDF">
        <w:rPr>
          <w:lang w:val="en"/>
        </w:rPr>
        <w:t xml:space="preserve"> The appraisals within th</w:t>
      </w:r>
      <w:r w:rsidR="00D164E2">
        <w:rPr>
          <w:lang w:val="en"/>
        </w:rPr>
        <w:t>is</w:t>
      </w:r>
      <w:r w:rsidR="00D164E2" w:rsidRPr="00474DDF">
        <w:rPr>
          <w:lang w:val="en"/>
        </w:rPr>
        <w:t xml:space="preserve"> Green Belt Review are consistent with this shared </w:t>
      </w:r>
      <w:r w:rsidR="00D164E2">
        <w:rPr>
          <w:lang w:val="en"/>
        </w:rPr>
        <w:t>F</w:t>
      </w:r>
      <w:r w:rsidR="00D164E2" w:rsidRPr="00474DDF">
        <w:rPr>
          <w:lang w:val="en"/>
        </w:rPr>
        <w:t xml:space="preserve">ramework. </w:t>
      </w:r>
    </w:p>
    <w:p w14:paraId="095704C8" w14:textId="77777777" w:rsidR="00C146C1" w:rsidRDefault="00C146C1" w:rsidP="00C146C1"/>
    <w:p w14:paraId="6A5F315D" w14:textId="77777777" w:rsidR="00092BEC" w:rsidRDefault="001423FF" w:rsidP="00AB30A5">
      <w:pPr>
        <w:pStyle w:val="Default"/>
        <w:numPr>
          <w:ilvl w:val="1"/>
          <w:numId w:val="35"/>
        </w:numPr>
        <w:ind w:hanging="792"/>
      </w:pPr>
      <w:r>
        <w:t xml:space="preserve">As already stated, </w:t>
      </w:r>
      <w:r w:rsidRPr="008C6DB3">
        <w:rPr>
          <w:b/>
        </w:rPr>
        <w:t>t</w:t>
      </w:r>
      <w:r w:rsidRPr="001A79F2">
        <w:rPr>
          <w:b/>
          <w:color w:val="auto"/>
        </w:rPr>
        <w:t xml:space="preserve">his review itself does not determine </w:t>
      </w:r>
      <w:proofErr w:type="gramStart"/>
      <w:r w:rsidRPr="001A79F2">
        <w:rPr>
          <w:b/>
          <w:color w:val="auto"/>
        </w:rPr>
        <w:t>whether or not</w:t>
      </w:r>
      <w:proofErr w:type="gramEnd"/>
      <w:r w:rsidRPr="001A79F2">
        <w:rPr>
          <w:b/>
          <w:color w:val="auto"/>
        </w:rPr>
        <w:t xml:space="preserve"> land should remain or be excluded from the Green Belt.</w:t>
      </w:r>
      <w:r w:rsidRPr="006E0E17">
        <w:rPr>
          <w:color w:val="auto"/>
        </w:rPr>
        <w:t xml:space="preserve">  It is the role of the </w:t>
      </w:r>
      <w:proofErr w:type="gramStart"/>
      <w:r w:rsidRPr="006E0E17">
        <w:rPr>
          <w:color w:val="auto"/>
        </w:rPr>
        <w:t>District’s</w:t>
      </w:r>
      <w:proofErr w:type="gramEnd"/>
      <w:r w:rsidRPr="006E0E17">
        <w:rPr>
          <w:color w:val="auto"/>
        </w:rPr>
        <w:t xml:space="preserve"> emerging Local Plan to formally revise Green Belt boundaries and to allocate land for development, having taken into account all relevant planning </w:t>
      </w:r>
      <w:r w:rsidRPr="00446BBD">
        <w:rPr>
          <w:color w:val="auto"/>
        </w:rPr>
        <w:t xml:space="preserve">considerations.  </w:t>
      </w:r>
      <w:r w:rsidR="00092BEC" w:rsidRPr="00446BBD">
        <w:t xml:space="preserve">More detailed work on sites is conducted in the form of a Strategic Housing Land </w:t>
      </w:r>
      <w:r w:rsidR="00D9169C" w:rsidRPr="00446BBD">
        <w:t xml:space="preserve">and Employment </w:t>
      </w:r>
      <w:r w:rsidR="00092BEC" w:rsidRPr="00446BBD">
        <w:t>Availability Assessment (SH</w:t>
      </w:r>
      <w:r w:rsidR="00D9169C" w:rsidRPr="00446BBD">
        <w:t>E</w:t>
      </w:r>
      <w:r w:rsidR="00092BEC" w:rsidRPr="00446BBD">
        <w:t>LAA) and a Sustainability Appraisal (SA), which assess potential development</w:t>
      </w:r>
      <w:r w:rsidR="00092BEC">
        <w:t xml:space="preserve"> sites in terms of</w:t>
      </w:r>
      <w:r w:rsidR="00F41E94">
        <w:t xml:space="preserve"> planning policy, </w:t>
      </w:r>
      <w:r w:rsidR="00092BEC">
        <w:t>viability, physical site constraints and sustainable development principles.</w:t>
      </w:r>
    </w:p>
    <w:p w14:paraId="60F5AC47" w14:textId="77777777" w:rsidR="00A74EEF" w:rsidRDefault="00A74EEF" w:rsidP="00092BEC">
      <w:pPr>
        <w:autoSpaceDE w:val="0"/>
        <w:autoSpaceDN w:val="0"/>
        <w:adjustRightInd w:val="0"/>
        <w:ind w:left="720" w:hanging="720"/>
      </w:pPr>
    </w:p>
    <w:p w14:paraId="4BDF046C" w14:textId="77777777" w:rsidR="00453378" w:rsidRPr="00453378" w:rsidRDefault="00453378" w:rsidP="00AB30A5">
      <w:pPr>
        <w:pStyle w:val="Default"/>
        <w:numPr>
          <w:ilvl w:val="1"/>
          <w:numId w:val="35"/>
        </w:numPr>
        <w:ind w:hanging="792"/>
        <w:rPr>
          <w:color w:val="auto"/>
        </w:rPr>
      </w:pPr>
      <w:r w:rsidRPr="00453378">
        <w:rPr>
          <w:color w:val="auto"/>
        </w:rPr>
        <w:t xml:space="preserve">If the development needs of the </w:t>
      </w:r>
      <w:proofErr w:type="gramStart"/>
      <w:r w:rsidR="00F41E94">
        <w:rPr>
          <w:color w:val="auto"/>
        </w:rPr>
        <w:t>District</w:t>
      </w:r>
      <w:proofErr w:type="gramEnd"/>
      <w:r w:rsidRPr="00453378">
        <w:rPr>
          <w:color w:val="auto"/>
        </w:rPr>
        <w:t xml:space="preserve"> can be met without Green Belt release, consideration will still need to be given to whether releasing Green Belt land may produce a more sustainable outcome</w:t>
      </w:r>
      <w:r w:rsidR="00AB2C7E">
        <w:rPr>
          <w:color w:val="auto"/>
        </w:rPr>
        <w:t>, f</w:t>
      </w:r>
      <w:r w:rsidR="00F41E94">
        <w:rPr>
          <w:color w:val="auto"/>
        </w:rPr>
        <w:t>or instance, with regard to distribution of development or to meet longer term needs beyond the Plan period.</w:t>
      </w:r>
      <w:r w:rsidRPr="00453378">
        <w:rPr>
          <w:color w:val="auto"/>
        </w:rPr>
        <w:t xml:space="preserve"> </w:t>
      </w:r>
    </w:p>
    <w:p w14:paraId="45B97AE7" w14:textId="77777777" w:rsidR="00092BEC" w:rsidRDefault="00092BEC" w:rsidP="00092BEC">
      <w:pPr>
        <w:autoSpaceDE w:val="0"/>
        <w:autoSpaceDN w:val="0"/>
        <w:adjustRightInd w:val="0"/>
      </w:pPr>
    </w:p>
    <w:p w14:paraId="77ACB752" w14:textId="77777777" w:rsidR="00092BEC" w:rsidRPr="00446BBD" w:rsidRDefault="00092BEC" w:rsidP="00AB30A5">
      <w:pPr>
        <w:pStyle w:val="Default"/>
        <w:numPr>
          <w:ilvl w:val="1"/>
          <w:numId w:val="35"/>
        </w:numPr>
        <w:ind w:hanging="792"/>
      </w:pPr>
      <w:r>
        <w:t>This Green Belt Review is</w:t>
      </w:r>
      <w:r w:rsidRPr="00167C57">
        <w:t xml:space="preserve"> not intended </w:t>
      </w:r>
      <w:r>
        <w:t xml:space="preserve">to identify </w:t>
      </w:r>
      <w:r w:rsidRPr="00167C57">
        <w:t xml:space="preserve">existing </w:t>
      </w:r>
      <w:r w:rsidR="0038318D">
        <w:t xml:space="preserve">minor </w:t>
      </w:r>
      <w:r w:rsidRPr="00167C57">
        <w:t>anomalies to the Green Belt</w:t>
      </w:r>
      <w:r>
        <w:t xml:space="preserve"> boundaries. This has been undertaken </w:t>
      </w:r>
      <w:r w:rsidR="0038318D">
        <w:t xml:space="preserve">previously </w:t>
      </w:r>
      <w:r>
        <w:t xml:space="preserve">as a separate exercise (see Green Belt </w:t>
      </w:r>
      <w:r w:rsidR="00D9169C">
        <w:t xml:space="preserve">Boundary </w:t>
      </w:r>
      <w:r>
        <w:t xml:space="preserve">Technical Paper, </w:t>
      </w:r>
      <w:r w:rsidR="00F06C78">
        <w:t xml:space="preserve">December </w:t>
      </w:r>
      <w:proofErr w:type="gramStart"/>
      <w:r w:rsidR="00F06C78" w:rsidRPr="00446BBD">
        <w:t>2015</w:t>
      </w:r>
      <w:proofErr w:type="gramEnd"/>
      <w:r w:rsidR="00D9169C" w:rsidRPr="00446BBD">
        <w:t xml:space="preserve"> and its subsequent update in 2021</w:t>
      </w:r>
      <w:r w:rsidRPr="00446BBD">
        <w:t>).</w:t>
      </w:r>
    </w:p>
    <w:p w14:paraId="3801C8F7" w14:textId="77777777" w:rsidR="00092BEC" w:rsidRDefault="00092BEC" w:rsidP="00B25674">
      <w:pPr>
        <w:ind w:left="709" w:hanging="709"/>
        <w:rPr>
          <w:color w:val="auto"/>
        </w:rPr>
      </w:pPr>
    </w:p>
    <w:p w14:paraId="37876F18" w14:textId="3DF3D443" w:rsidR="00446BBD" w:rsidRDefault="00446BBD">
      <w:pPr>
        <w:rPr>
          <w:color w:val="auto"/>
        </w:rPr>
      </w:pPr>
      <w:r>
        <w:rPr>
          <w:color w:val="auto"/>
        </w:rPr>
        <w:br w:type="page"/>
      </w:r>
    </w:p>
    <w:p w14:paraId="4E22E7CE" w14:textId="77777777" w:rsidR="00AB2C7E" w:rsidRDefault="00AB2C7E" w:rsidP="00B25674">
      <w:pPr>
        <w:ind w:left="709" w:hanging="709"/>
        <w:rPr>
          <w:color w:val="auto"/>
        </w:rPr>
      </w:pPr>
    </w:p>
    <w:p w14:paraId="61BDAA82" w14:textId="77777777" w:rsidR="00696D73" w:rsidRPr="00523A1F" w:rsidRDefault="00C369F2" w:rsidP="00AB30A5">
      <w:pPr>
        <w:numPr>
          <w:ilvl w:val="0"/>
          <w:numId w:val="35"/>
        </w:numPr>
        <w:autoSpaceDE w:val="0"/>
        <w:autoSpaceDN w:val="0"/>
        <w:adjustRightInd w:val="0"/>
        <w:outlineLvl w:val="0"/>
        <w:rPr>
          <w:b/>
        </w:rPr>
      </w:pPr>
      <w:r>
        <w:rPr>
          <w:b/>
        </w:rPr>
        <w:t>Planning Policy Context</w:t>
      </w:r>
    </w:p>
    <w:p w14:paraId="44431F4F" w14:textId="77777777" w:rsidR="00DC6FD2" w:rsidRDefault="0005000C" w:rsidP="00DC6FD2">
      <w:pPr>
        <w:autoSpaceDE w:val="0"/>
        <w:autoSpaceDN w:val="0"/>
        <w:adjustRightInd w:val="0"/>
        <w:outlineLvl w:val="0"/>
        <w:rPr>
          <w:bCs/>
          <w:color w:val="auto"/>
        </w:rPr>
      </w:pPr>
      <w:r w:rsidRPr="0005000C">
        <w:rPr>
          <w:bCs/>
          <w:color w:val="auto"/>
        </w:rPr>
        <w:tab/>
      </w:r>
    </w:p>
    <w:p w14:paraId="5E14EA9F" w14:textId="77777777" w:rsidR="00C369F2" w:rsidRPr="00C369F2" w:rsidRDefault="00DC6FD2" w:rsidP="00DC6FD2">
      <w:pPr>
        <w:autoSpaceDE w:val="0"/>
        <w:autoSpaceDN w:val="0"/>
        <w:adjustRightInd w:val="0"/>
        <w:outlineLvl w:val="0"/>
        <w:rPr>
          <w:bCs/>
          <w:color w:val="auto"/>
          <w:u w:val="single"/>
        </w:rPr>
      </w:pPr>
      <w:r>
        <w:rPr>
          <w:bCs/>
          <w:color w:val="auto"/>
        </w:rPr>
        <w:tab/>
      </w:r>
      <w:r w:rsidR="00E62D6F">
        <w:rPr>
          <w:bCs/>
          <w:color w:val="auto"/>
          <w:u w:val="single"/>
        </w:rPr>
        <w:t>National Planning Policy Framework (NPPF)</w:t>
      </w:r>
    </w:p>
    <w:p w14:paraId="6379B631" w14:textId="77777777" w:rsidR="00C369F2" w:rsidRDefault="00C369F2" w:rsidP="00566433">
      <w:pPr>
        <w:numPr>
          <w:ilvl w:val="1"/>
          <w:numId w:val="23"/>
        </w:numPr>
        <w:autoSpaceDE w:val="0"/>
        <w:autoSpaceDN w:val="0"/>
        <w:adjustRightInd w:val="0"/>
      </w:pPr>
      <w:r>
        <w:rPr>
          <w:bCs/>
          <w:color w:val="auto"/>
        </w:rPr>
        <w:t xml:space="preserve">The NPPF states that the Government attaches great importance to Green Belts and </w:t>
      </w:r>
      <w:r w:rsidR="005C627D">
        <w:rPr>
          <w:bCs/>
          <w:color w:val="auto"/>
        </w:rPr>
        <w:t>stresse</w:t>
      </w:r>
      <w:r>
        <w:rPr>
          <w:bCs/>
          <w:color w:val="auto"/>
        </w:rPr>
        <w:t>s</w:t>
      </w:r>
      <w:r w:rsidR="002A0A5E" w:rsidRPr="00167C57">
        <w:rPr>
          <w:bCs/>
          <w:color w:val="auto"/>
        </w:rPr>
        <w:t xml:space="preserve"> that the</w:t>
      </w:r>
      <w:r w:rsidR="002A0A5E" w:rsidRPr="00167C57">
        <w:rPr>
          <w:b/>
          <w:bCs/>
          <w:color w:val="auto"/>
        </w:rPr>
        <w:t xml:space="preserve"> </w:t>
      </w:r>
      <w:r w:rsidR="00696D73" w:rsidRPr="00167C57">
        <w:t xml:space="preserve">fundamental aim of Green Belt policy </w:t>
      </w:r>
      <w:r w:rsidR="002A0A5E" w:rsidRPr="00167C57">
        <w:t xml:space="preserve">is to </w:t>
      </w:r>
      <w:r w:rsidR="00696D73" w:rsidRPr="00167C57">
        <w:t>prevent urban sprawl b</w:t>
      </w:r>
      <w:r>
        <w:t>y keeping land permanently open; the essential characteristics of Green Belt are their openness and their permanence.</w:t>
      </w:r>
    </w:p>
    <w:p w14:paraId="4F4F6D3C" w14:textId="77777777" w:rsidR="004915F1" w:rsidRDefault="004915F1" w:rsidP="0005000C">
      <w:pPr>
        <w:autoSpaceDE w:val="0"/>
        <w:autoSpaceDN w:val="0"/>
        <w:adjustRightInd w:val="0"/>
        <w:rPr>
          <w:color w:val="auto"/>
        </w:rPr>
      </w:pPr>
    </w:p>
    <w:p w14:paraId="351E852B" w14:textId="77777777" w:rsidR="00EE3E11" w:rsidRPr="00A90263" w:rsidRDefault="00EE3E11" w:rsidP="00AB30A5">
      <w:pPr>
        <w:numPr>
          <w:ilvl w:val="1"/>
          <w:numId w:val="23"/>
        </w:numPr>
        <w:autoSpaceDE w:val="0"/>
        <w:autoSpaceDN w:val="0"/>
        <w:adjustRightInd w:val="0"/>
        <w:rPr>
          <w:color w:val="auto"/>
        </w:rPr>
      </w:pPr>
      <w:r w:rsidRPr="00A90263">
        <w:rPr>
          <w:color w:val="auto"/>
        </w:rPr>
        <w:t>The five purposes of including land in Green Belts are:</w:t>
      </w:r>
    </w:p>
    <w:p w14:paraId="6EE78B73" w14:textId="77777777" w:rsidR="00EE3E11" w:rsidRDefault="00EE3E11" w:rsidP="00815CB9">
      <w:pPr>
        <w:numPr>
          <w:ilvl w:val="0"/>
          <w:numId w:val="2"/>
        </w:numPr>
        <w:tabs>
          <w:tab w:val="clear" w:pos="397"/>
          <w:tab w:val="left" w:pos="1080"/>
        </w:tabs>
        <w:autoSpaceDE w:val="0"/>
        <w:autoSpaceDN w:val="0"/>
        <w:adjustRightInd w:val="0"/>
        <w:spacing w:after="120"/>
        <w:ind w:left="1077" w:hanging="357"/>
        <w:rPr>
          <w:color w:val="auto"/>
        </w:rPr>
      </w:pPr>
      <w:r w:rsidRPr="00A90263">
        <w:rPr>
          <w:color w:val="auto"/>
        </w:rPr>
        <w:t xml:space="preserve">to check the unrestricted sprawl of large built-up </w:t>
      </w:r>
      <w:proofErr w:type="gramStart"/>
      <w:r w:rsidRPr="00A90263">
        <w:rPr>
          <w:color w:val="auto"/>
        </w:rPr>
        <w:t>areas;</w:t>
      </w:r>
      <w:proofErr w:type="gramEnd"/>
    </w:p>
    <w:p w14:paraId="43DDA9E5" w14:textId="77777777" w:rsidR="00EE3E11" w:rsidRDefault="00EE3E11" w:rsidP="00815CB9">
      <w:pPr>
        <w:numPr>
          <w:ilvl w:val="0"/>
          <w:numId w:val="2"/>
        </w:numPr>
        <w:tabs>
          <w:tab w:val="clear" w:pos="397"/>
          <w:tab w:val="left" w:pos="1080"/>
        </w:tabs>
        <w:autoSpaceDE w:val="0"/>
        <w:autoSpaceDN w:val="0"/>
        <w:adjustRightInd w:val="0"/>
        <w:spacing w:after="120"/>
        <w:ind w:left="1077" w:hanging="357"/>
        <w:rPr>
          <w:color w:val="auto"/>
        </w:rPr>
      </w:pPr>
      <w:r w:rsidRPr="00A90263">
        <w:rPr>
          <w:color w:val="auto"/>
        </w:rPr>
        <w:t xml:space="preserve">to prevent neighbouring towns from merging into </w:t>
      </w:r>
      <w:proofErr w:type="gramStart"/>
      <w:r w:rsidRPr="00A90263">
        <w:rPr>
          <w:color w:val="auto"/>
        </w:rPr>
        <w:t>one another;</w:t>
      </w:r>
      <w:proofErr w:type="gramEnd"/>
    </w:p>
    <w:p w14:paraId="29CB9E6B" w14:textId="77777777" w:rsidR="00EE3E11" w:rsidRDefault="00EE3E11" w:rsidP="00815CB9">
      <w:pPr>
        <w:numPr>
          <w:ilvl w:val="0"/>
          <w:numId w:val="2"/>
        </w:numPr>
        <w:tabs>
          <w:tab w:val="clear" w:pos="397"/>
          <w:tab w:val="left" w:pos="1080"/>
        </w:tabs>
        <w:autoSpaceDE w:val="0"/>
        <w:autoSpaceDN w:val="0"/>
        <w:adjustRightInd w:val="0"/>
        <w:spacing w:after="120"/>
        <w:ind w:left="1077" w:hanging="357"/>
        <w:rPr>
          <w:color w:val="auto"/>
        </w:rPr>
      </w:pPr>
      <w:r w:rsidRPr="00A90263">
        <w:rPr>
          <w:color w:val="auto"/>
        </w:rPr>
        <w:t xml:space="preserve">to assist in safeguarding the countryside from </w:t>
      </w:r>
      <w:proofErr w:type="gramStart"/>
      <w:r w:rsidRPr="00A90263">
        <w:rPr>
          <w:color w:val="auto"/>
        </w:rPr>
        <w:t>encroachment;</w:t>
      </w:r>
      <w:proofErr w:type="gramEnd"/>
    </w:p>
    <w:p w14:paraId="03893BC0" w14:textId="77777777" w:rsidR="00EE3E11" w:rsidRPr="00D32198" w:rsidRDefault="00EE3E11" w:rsidP="00815CB9">
      <w:pPr>
        <w:numPr>
          <w:ilvl w:val="0"/>
          <w:numId w:val="2"/>
        </w:numPr>
        <w:tabs>
          <w:tab w:val="clear" w:pos="397"/>
          <w:tab w:val="left" w:pos="1080"/>
        </w:tabs>
        <w:autoSpaceDE w:val="0"/>
        <w:autoSpaceDN w:val="0"/>
        <w:adjustRightInd w:val="0"/>
        <w:spacing w:after="120"/>
        <w:ind w:left="1077" w:hanging="357"/>
        <w:rPr>
          <w:color w:val="auto"/>
        </w:rPr>
      </w:pPr>
      <w:r w:rsidRPr="00D32198">
        <w:rPr>
          <w:color w:val="auto"/>
        </w:rPr>
        <w:t xml:space="preserve">to preserve the setting and special character of historic towns; and </w:t>
      </w:r>
    </w:p>
    <w:p w14:paraId="42C5F62A" w14:textId="77777777" w:rsidR="00FF71FD" w:rsidRDefault="00EE3E11" w:rsidP="00815CB9">
      <w:pPr>
        <w:numPr>
          <w:ilvl w:val="0"/>
          <w:numId w:val="2"/>
        </w:numPr>
        <w:tabs>
          <w:tab w:val="clear" w:pos="397"/>
          <w:tab w:val="left" w:pos="1080"/>
        </w:tabs>
        <w:autoSpaceDE w:val="0"/>
        <w:autoSpaceDN w:val="0"/>
        <w:adjustRightInd w:val="0"/>
        <w:spacing w:after="120"/>
        <w:ind w:left="1077" w:hanging="357"/>
        <w:rPr>
          <w:color w:val="auto"/>
        </w:rPr>
      </w:pPr>
      <w:r w:rsidRPr="00D32198">
        <w:rPr>
          <w:color w:val="auto"/>
        </w:rPr>
        <w:t>to assist in urban regeneration, by encouraging the recycling of d</w:t>
      </w:r>
      <w:r w:rsidR="00C369F2">
        <w:rPr>
          <w:color w:val="auto"/>
        </w:rPr>
        <w:t xml:space="preserve">erelict and other urban land. </w:t>
      </w:r>
    </w:p>
    <w:p w14:paraId="3F8172B0" w14:textId="77777777" w:rsidR="00D87D6C" w:rsidRPr="00D32198" w:rsidRDefault="00D87D6C" w:rsidP="00D87D6C">
      <w:pPr>
        <w:tabs>
          <w:tab w:val="left" w:pos="1080"/>
        </w:tabs>
        <w:autoSpaceDE w:val="0"/>
        <w:autoSpaceDN w:val="0"/>
        <w:adjustRightInd w:val="0"/>
        <w:ind w:left="720"/>
        <w:rPr>
          <w:color w:val="auto"/>
        </w:rPr>
      </w:pPr>
    </w:p>
    <w:p w14:paraId="6419A413" w14:textId="77777777" w:rsidR="00BC439D" w:rsidRPr="00446BBD" w:rsidRDefault="00333A54" w:rsidP="00AB30A5">
      <w:pPr>
        <w:numPr>
          <w:ilvl w:val="1"/>
          <w:numId w:val="23"/>
        </w:numPr>
        <w:autoSpaceDE w:val="0"/>
        <w:autoSpaceDN w:val="0"/>
        <w:adjustRightInd w:val="0"/>
        <w:rPr>
          <w:color w:val="auto"/>
        </w:rPr>
      </w:pPr>
      <w:r w:rsidRPr="00446BBD">
        <w:rPr>
          <w:color w:val="auto"/>
        </w:rPr>
        <w:t xml:space="preserve">Paragraph </w:t>
      </w:r>
      <w:r w:rsidR="00D9169C" w:rsidRPr="00446BBD">
        <w:rPr>
          <w:color w:val="auto"/>
        </w:rPr>
        <w:t>140</w:t>
      </w:r>
      <w:r w:rsidRPr="00446BBD">
        <w:rPr>
          <w:color w:val="auto"/>
        </w:rPr>
        <w:t xml:space="preserve"> of the </w:t>
      </w:r>
      <w:r w:rsidR="00606E09" w:rsidRPr="00446BBD">
        <w:rPr>
          <w:color w:val="auto"/>
        </w:rPr>
        <w:t>NPPF identifies that</w:t>
      </w:r>
      <w:r w:rsidR="00BC439D" w:rsidRPr="00446BBD">
        <w:rPr>
          <w:color w:val="auto"/>
        </w:rPr>
        <w:t>,</w:t>
      </w:r>
      <w:r w:rsidR="00606E09" w:rsidRPr="00446BBD">
        <w:rPr>
          <w:color w:val="auto"/>
        </w:rPr>
        <w:t xml:space="preserve"> once established</w:t>
      </w:r>
      <w:r w:rsidR="00BC439D" w:rsidRPr="00446BBD">
        <w:rPr>
          <w:color w:val="auto"/>
        </w:rPr>
        <w:t xml:space="preserve"> in Local Plans,</w:t>
      </w:r>
      <w:r w:rsidR="00606E09" w:rsidRPr="00446BBD">
        <w:rPr>
          <w:color w:val="auto"/>
        </w:rPr>
        <w:t xml:space="preserve"> Green Belt boundaries should only be altered in exceptional circumstances, through the preparation or</w:t>
      </w:r>
      <w:r w:rsidR="006E2166" w:rsidRPr="00446BBD">
        <w:rPr>
          <w:color w:val="auto"/>
        </w:rPr>
        <w:t xml:space="preserve"> </w:t>
      </w:r>
      <w:r w:rsidR="00606E09" w:rsidRPr="00446BBD">
        <w:rPr>
          <w:color w:val="auto"/>
        </w:rPr>
        <w:t xml:space="preserve">review of the Local Plan. </w:t>
      </w:r>
      <w:r w:rsidR="00D441E8" w:rsidRPr="00446BBD">
        <w:rPr>
          <w:color w:val="auto"/>
        </w:rPr>
        <w:t xml:space="preserve"> </w:t>
      </w:r>
      <w:r w:rsidR="00606E09" w:rsidRPr="00446BBD">
        <w:rPr>
          <w:color w:val="auto"/>
        </w:rPr>
        <w:t>At that time, authorities should consider the Green</w:t>
      </w:r>
      <w:r w:rsidR="006E2166" w:rsidRPr="00446BBD">
        <w:rPr>
          <w:color w:val="auto"/>
        </w:rPr>
        <w:t xml:space="preserve"> Belt boundaries having regard to their intended permanence in the long term, so that they should be capable of e</w:t>
      </w:r>
      <w:r w:rsidR="002D6731" w:rsidRPr="00446BBD">
        <w:rPr>
          <w:color w:val="auto"/>
        </w:rPr>
        <w:t>nduring beyond the plan period.</w:t>
      </w:r>
    </w:p>
    <w:p w14:paraId="46B85A73" w14:textId="77777777" w:rsidR="00BC439D" w:rsidRPr="00446BBD" w:rsidRDefault="00BC439D" w:rsidP="00BC439D">
      <w:pPr>
        <w:autoSpaceDE w:val="0"/>
        <w:autoSpaceDN w:val="0"/>
        <w:adjustRightInd w:val="0"/>
        <w:ind w:left="720"/>
        <w:rPr>
          <w:color w:val="auto"/>
        </w:rPr>
      </w:pPr>
    </w:p>
    <w:p w14:paraId="2972B6AF" w14:textId="77777777" w:rsidR="0039214A" w:rsidRPr="00446BBD" w:rsidRDefault="00871192" w:rsidP="00AB30A5">
      <w:pPr>
        <w:numPr>
          <w:ilvl w:val="1"/>
          <w:numId w:val="23"/>
        </w:numPr>
        <w:autoSpaceDE w:val="0"/>
        <w:autoSpaceDN w:val="0"/>
        <w:adjustRightInd w:val="0"/>
        <w:rPr>
          <w:rStyle w:val="A8"/>
          <w:rFonts w:cs="Arial"/>
          <w:color w:val="auto"/>
        </w:rPr>
      </w:pPr>
      <w:r w:rsidRPr="00446BBD">
        <w:rPr>
          <w:rStyle w:val="A8"/>
          <w:rFonts w:cs="Arial"/>
          <w:color w:val="auto"/>
        </w:rPr>
        <w:t>Paragr</w:t>
      </w:r>
      <w:r w:rsidR="002B3881" w:rsidRPr="00446BBD">
        <w:rPr>
          <w:rStyle w:val="A8"/>
          <w:rFonts w:cs="Arial"/>
          <w:color w:val="auto"/>
        </w:rPr>
        <w:t>a</w:t>
      </w:r>
      <w:r w:rsidRPr="00446BBD">
        <w:rPr>
          <w:rStyle w:val="A8"/>
          <w:rFonts w:cs="Arial"/>
          <w:color w:val="auto"/>
        </w:rPr>
        <w:t xml:space="preserve">ph </w:t>
      </w:r>
      <w:r w:rsidR="00D9169C" w:rsidRPr="00446BBD">
        <w:rPr>
          <w:rStyle w:val="A8"/>
          <w:rFonts w:cs="Arial"/>
          <w:color w:val="auto"/>
        </w:rPr>
        <w:t>142</w:t>
      </w:r>
      <w:r w:rsidR="006E2166" w:rsidRPr="00446BBD">
        <w:rPr>
          <w:rStyle w:val="A8"/>
          <w:rFonts w:cs="Arial"/>
          <w:color w:val="auto"/>
        </w:rPr>
        <w:t xml:space="preserve"> </w:t>
      </w:r>
      <w:r w:rsidR="00C369F2" w:rsidRPr="00446BBD">
        <w:rPr>
          <w:rStyle w:val="A8"/>
          <w:rFonts w:cs="Arial"/>
          <w:color w:val="auto"/>
        </w:rPr>
        <w:t xml:space="preserve">of the NPPF </w:t>
      </w:r>
      <w:r w:rsidR="002B3881" w:rsidRPr="00446BBD">
        <w:rPr>
          <w:rStyle w:val="A8"/>
          <w:rFonts w:cs="Arial"/>
          <w:color w:val="auto"/>
        </w:rPr>
        <w:t>states that</w:t>
      </w:r>
      <w:r w:rsidR="00D441E8" w:rsidRPr="00446BBD">
        <w:rPr>
          <w:rStyle w:val="A8"/>
          <w:rFonts w:cs="Arial"/>
          <w:color w:val="auto"/>
        </w:rPr>
        <w:t xml:space="preserve">: </w:t>
      </w:r>
    </w:p>
    <w:p w14:paraId="30D7274D" w14:textId="77777777" w:rsidR="00815CB9" w:rsidRPr="00446BBD" w:rsidRDefault="00815CB9" w:rsidP="00815CB9">
      <w:pPr>
        <w:autoSpaceDE w:val="0"/>
        <w:autoSpaceDN w:val="0"/>
        <w:adjustRightInd w:val="0"/>
        <w:ind w:left="720" w:hanging="720"/>
        <w:rPr>
          <w:rStyle w:val="A8"/>
          <w:rFonts w:cs="Arial"/>
          <w:color w:val="auto"/>
        </w:rPr>
      </w:pPr>
    </w:p>
    <w:p w14:paraId="490B72A3" w14:textId="77777777" w:rsidR="00210F8F" w:rsidRPr="00446BBD" w:rsidRDefault="00D441E8" w:rsidP="00D9169C">
      <w:pPr>
        <w:ind w:left="1440"/>
        <w:rPr>
          <w:color w:val="auto"/>
        </w:rPr>
      </w:pPr>
      <w:r w:rsidRPr="00446BBD">
        <w:rPr>
          <w:i/>
          <w:color w:val="auto"/>
        </w:rPr>
        <w:t xml:space="preserve">“When drawing up </w:t>
      </w:r>
      <w:r w:rsidR="00D9169C" w:rsidRPr="00446BBD">
        <w:rPr>
          <w:i/>
          <w:color w:val="auto"/>
        </w:rPr>
        <w:t xml:space="preserve">or reviewing </w:t>
      </w:r>
      <w:r w:rsidRPr="00446BBD">
        <w:rPr>
          <w:i/>
          <w:color w:val="auto"/>
        </w:rPr>
        <w:t>Green Belt boundaries</w:t>
      </w:r>
      <w:r w:rsidR="00D9169C" w:rsidRPr="00446BBD">
        <w:rPr>
          <w:i/>
          <w:color w:val="auto"/>
        </w:rPr>
        <w:t xml:space="preserve">, </w:t>
      </w:r>
      <w:r w:rsidRPr="00446BBD">
        <w:rPr>
          <w:i/>
          <w:color w:val="auto"/>
        </w:rPr>
        <w:t>the need to promote sustainable patterns of development</w:t>
      </w:r>
      <w:r w:rsidR="00D9169C" w:rsidRPr="00446BBD">
        <w:rPr>
          <w:i/>
          <w:color w:val="auto"/>
        </w:rPr>
        <w:t xml:space="preserve"> should be </w:t>
      </w:r>
      <w:proofErr w:type="gramStart"/>
      <w:r w:rsidR="00D9169C" w:rsidRPr="00446BBD">
        <w:rPr>
          <w:i/>
          <w:color w:val="auto"/>
        </w:rPr>
        <w:t>taken into account</w:t>
      </w:r>
      <w:proofErr w:type="gramEnd"/>
      <w:r w:rsidRPr="00446BBD">
        <w:rPr>
          <w:i/>
          <w:color w:val="auto"/>
        </w:rPr>
        <w:t xml:space="preserve">. </w:t>
      </w:r>
      <w:r w:rsidR="00D9169C" w:rsidRPr="00446BBD">
        <w:rPr>
          <w:i/>
          <w:color w:val="auto"/>
        </w:rPr>
        <w:t xml:space="preserve">Strategic policy-making authorities should </w:t>
      </w:r>
      <w:r w:rsidRPr="00446BBD">
        <w:rPr>
          <w:i/>
          <w:color w:val="auto"/>
        </w:rPr>
        <w:t>consider the consequences for sustainable development of channelling development towards urban areas inside the Green Belt boundary</w:t>
      </w:r>
      <w:r w:rsidR="0048221B" w:rsidRPr="00446BBD">
        <w:rPr>
          <w:i/>
          <w:color w:val="auto"/>
        </w:rPr>
        <w:t>, t</w:t>
      </w:r>
      <w:r w:rsidRPr="00446BBD">
        <w:rPr>
          <w:i/>
          <w:color w:val="auto"/>
        </w:rPr>
        <w:t>owards towns and villages inset within the Green Belt or towards locations beyond the outer Green Belt</w:t>
      </w:r>
      <w:r w:rsidR="00D9169C" w:rsidRPr="00446BBD">
        <w:rPr>
          <w:i/>
          <w:color w:val="auto"/>
        </w:rPr>
        <w:t xml:space="preserve"> </w:t>
      </w:r>
      <w:r w:rsidRPr="00446BBD">
        <w:rPr>
          <w:i/>
          <w:color w:val="auto"/>
        </w:rPr>
        <w:t>boundary.”</w:t>
      </w:r>
    </w:p>
    <w:p w14:paraId="5739C3DC" w14:textId="77777777" w:rsidR="00F03BD2" w:rsidRPr="00446BBD" w:rsidRDefault="00F03BD2" w:rsidP="0005000C">
      <w:pPr>
        <w:rPr>
          <w:color w:val="auto"/>
        </w:rPr>
      </w:pPr>
    </w:p>
    <w:p w14:paraId="5E1BB74C" w14:textId="77777777" w:rsidR="002B3881" w:rsidRPr="00446BBD" w:rsidRDefault="00C369F2" w:rsidP="00AB30A5">
      <w:pPr>
        <w:numPr>
          <w:ilvl w:val="1"/>
          <w:numId w:val="23"/>
        </w:numPr>
        <w:autoSpaceDE w:val="0"/>
        <w:autoSpaceDN w:val="0"/>
        <w:adjustRightInd w:val="0"/>
      </w:pPr>
      <w:r w:rsidRPr="00446BBD">
        <w:rPr>
          <w:rStyle w:val="A8"/>
          <w:rFonts w:cs="Arial"/>
          <w:color w:val="auto"/>
        </w:rPr>
        <w:t xml:space="preserve">The NPPF in paragraph </w:t>
      </w:r>
      <w:r w:rsidR="00D9169C" w:rsidRPr="00446BBD">
        <w:rPr>
          <w:rStyle w:val="A8"/>
          <w:rFonts w:cs="Arial"/>
          <w:color w:val="auto"/>
        </w:rPr>
        <w:t>143</w:t>
      </w:r>
      <w:r w:rsidRPr="00446BBD">
        <w:rPr>
          <w:rStyle w:val="A8"/>
          <w:rFonts w:cs="Arial"/>
          <w:color w:val="auto"/>
        </w:rPr>
        <w:t xml:space="preserve"> </w:t>
      </w:r>
      <w:r w:rsidR="002B3881" w:rsidRPr="00446BBD">
        <w:rPr>
          <w:rStyle w:val="A8"/>
          <w:rFonts w:cs="Arial"/>
          <w:color w:val="auto"/>
        </w:rPr>
        <w:t>provides that w</w:t>
      </w:r>
      <w:r w:rsidR="00871192" w:rsidRPr="00446BBD">
        <w:t>hen defining boundaries, local planning authorities should:</w:t>
      </w:r>
    </w:p>
    <w:p w14:paraId="6853B96C" w14:textId="77777777" w:rsidR="00D9169C" w:rsidRPr="00C369F2" w:rsidRDefault="00D9169C" w:rsidP="00D9169C">
      <w:pPr>
        <w:autoSpaceDE w:val="0"/>
        <w:autoSpaceDN w:val="0"/>
        <w:adjustRightInd w:val="0"/>
        <w:ind w:left="720"/>
      </w:pPr>
    </w:p>
    <w:p w14:paraId="6EFD43C4" w14:textId="77777777" w:rsidR="002B3881" w:rsidRPr="00D32198" w:rsidRDefault="00871192" w:rsidP="00D87D6C">
      <w:pPr>
        <w:pStyle w:val="Pa10"/>
        <w:numPr>
          <w:ilvl w:val="0"/>
          <w:numId w:val="4"/>
        </w:numPr>
        <w:tabs>
          <w:tab w:val="clear" w:pos="1117"/>
          <w:tab w:val="num" w:pos="1080"/>
        </w:tabs>
        <w:spacing w:after="120" w:line="240" w:lineRule="auto"/>
        <w:ind w:left="1080" w:hanging="360"/>
        <w:rPr>
          <w:rFonts w:ascii="Arial" w:hAnsi="Arial" w:cs="Arial"/>
        </w:rPr>
      </w:pPr>
      <w:r w:rsidRPr="00D32198">
        <w:rPr>
          <w:rFonts w:ascii="Arial" w:hAnsi="Arial" w:cs="Arial"/>
        </w:rPr>
        <w:t xml:space="preserve">ensure consistency with the </w:t>
      </w:r>
      <w:r w:rsidR="00D9169C">
        <w:rPr>
          <w:rFonts w:ascii="Arial" w:hAnsi="Arial" w:cs="Arial"/>
        </w:rPr>
        <w:t xml:space="preserve">development plan’s strategy </w:t>
      </w:r>
      <w:r w:rsidRPr="00D32198">
        <w:rPr>
          <w:rFonts w:ascii="Arial" w:hAnsi="Arial" w:cs="Arial"/>
        </w:rPr>
        <w:t xml:space="preserve">for meeting identified requirements for sustainable </w:t>
      </w:r>
      <w:proofErr w:type="gramStart"/>
      <w:r w:rsidRPr="00D32198">
        <w:rPr>
          <w:rFonts w:ascii="Arial" w:hAnsi="Arial" w:cs="Arial"/>
        </w:rPr>
        <w:t>development</w:t>
      </w:r>
      <w:r w:rsidR="002B3881" w:rsidRPr="00D32198">
        <w:rPr>
          <w:rFonts w:ascii="Arial" w:hAnsi="Arial" w:cs="Arial"/>
        </w:rPr>
        <w:t>;</w:t>
      </w:r>
      <w:proofErr w:type="gramEnd"/>
    </w:p>
    <w:p w14:paraId="051DA6C0" w14:textId="77777777" w:rsidR="002B3881" w:rsidRPr="00D32198" w:rsidRDefault="00871192" w:rsidP="00D87D6C">
      <w:pPr>
        <w:pStyle w:val="Pa10"/>
        <w:numPr>
          <w:ilvl w:val="0"/>
          <w:numId w:val="4"/>
        </w:numPr>
        <w:tabs>
          <w:tab w:val="clear" w:pos="1117"/>
          <w:tab w:val="num" w:pos="1080"/>
        </w:tabs>
        <w:spacing w:after="120" w:line="240" w:lineRule="auto"/>
        <w:ind w:left="1080" w:hanging="360"/>
        <w:rPr>
          <w:rFonts w:ascii="Arial" w:hAnsi="Arial" w:cs="Arial"/>
        </w:rPr>
      </w:pPr>
      <w:r w:rsidRPr="00D32198">
        <w:rPr>
          <w:rFonts w:ascii="Arial" w:hAnsi="Arial" w:cs="Arial"/>
        </w:rPr>
        <w:t xml:space="preserve">not include land which it is unnecessary to keep permanently </w:t>
      </w:r>
      <w:proofErr w:type="gramStart"/>
      <w:r w:rsidRPr="00D32198">
        <w:rPr>
          <w:rFonts w:ascii="Arial" w:hAnsi="Arial" w:cs="Arial"/>
        </w:rPr>
        <w:t>open</w:t>
      </w:r>
      <w:r w:rsidR="002B3881" w:rsidRPr="00D32198">
        <w:rPr>
          <w:rFonts w:ascii="Arial" w:hAnsi="Arial" w:cs="Arial"/>
        </w:rPr>
        <w:t>;</w:t>
      </w:r>
      <w:proofErr w:type="gramEnd"/>
    </w:p>
    <w:p w14:paraId="5D92C0A1" w14:textId="77777777" w:rsidR="00C369F2" w:rsidRDefault="00871192" w:rsidP="00D87D6C">
      <w:pPr>
        <w:pStyle w:val="Pa10"/>
        <w:numPr>
          <w:ilvl w:val="0"/>
          <w:numId w:val="4"/>
        </w:numPr>
        <w:tabs>
          <w:tab w:val="clear" w:pos="1117"/>
          <w:tab w:val="num" w:pos="1080"/>
        </w:tabs>
        <w:spacing w:after="120" w:line="240" w:lineRule="auto"/>
        <w:ind w:left="1080" w:hanging="360"/>
        <w:rPr>
          <w:rFonts w:ascii="Arial" w:hAnsi="Arial" w:cs="Arial"/>
        </w:rPr>
      </w:pPr>
      <w:r w:rsidRPr="00D32198">
        <w:rPr>
          <w:rFonts w:ascii="Arial" w:hAnsi="Arial" w:cs="Arial"/>
        </w:rPr>
        <w:t xml:space="preserve">where necessary, identify </w:t>
      </w:r>
      <w:r w:rsidR="00D9169C">
        <w:rPr>
          <w:rFonts w:ascii="Arial" w:hAnsi="Arial" w:cs="Arial"/>
        </w:rPr>
        <w:t xml:space="preserve">areas </w:t>
      </w:r>
      <w:r w:rsidRPr="00D32198">
        <w:rPr>
          <w:rFonts w:ascii="Arial" w:hAnsi="Arial" w:cs="Arial"/>
        </w:rPr>
        <w:t xml:space="preserve">safeguarded land between the urban area and the Green Belt, in order to meet longer-term development needs stretching well beyond the plan </w:t>
      </w:r>
      <w:proofErr w:type="gramStart"/>
      <w:r w:rsidRPr="00D32198">
        <w:rPr>
          <w:rFonts w:ascii="Arial" w:hAnsi="Arial" w:cs="Arial"/>
        </w:rPr>
        <w:t>period</w:t>
      </w:r>
      <w:r w:rsidR="002B3881" w:rsidRPr="00D32198">
        <w:rPr>
          <w:rFonts w:ascii="Arial" w:hAnsi="Arial" w:cs="Arial"/>
        </w:rPr>
        <w:t>;</w:t>
      </w:r>
      <w:proofErr w:type="gramEnd"/>
    </w:p>
    <w:p w14:paraId="61F4D91F" w14:textId="77777777" w:rsidR="00C369F2" w:rsidRPr="00815CB9" w:rsidRDefault="00871192" w:rsidP="00D87D6C">
      <w:pPr>
        <w:pStyle w:val="Pa10"/>
        <w:numPr>
          <w:ilvl w:val="0"/>
          <w:numId w:val="4"/>
        </w:numPr>
        <w:tabs>
          <w:tab w:val="clear" w:pos="1117"/>
          <w:tab w:val="num" w:pos="1080"/>
        </w:tabs>
        <w:spacing w:after="120" w:line="240" w:lineRule="auto"/>
        <w:ind w:left="1080" w:hanging="360"/>
        <w:rPr>
          <w:rFonts w:ascii="Arial" w:hAnsi="Arial" w:cs="Arial"/>
        </w:rPr>
      </w:pPr>
      <w:r w:rsidRPr="00C369F2">
        <w:rPr>
          <w:rFonts w:ascii="Arial" w:hAnsi="Arial" w:cs="Arial"/>
        </w:rPr>
        <w:lastRenderedPageBreak/>
        <w:t xml:space="preserve">make clear that the safeguarded land is not allocated for development at the present time. Planning permission for the permanent development of </w:t>
      </w:r>
      <w:r w:rsidR="001B3BF0">
        <w:rPr>
          <w:rFonts w:ascii="Arial" w:hAnsi="Arial" w:cs="Arial"/>
        </w:rPr>
        <w:t>‘</w:t>
      </w:r>
      <w:r w:rsidR="00D87D6C">
        <w:rPr>
          <w:rFonts w:ascii="Arial" w:hAnsi="Arial" w:cs="Arial"/>
        </w:rPr>
        <w:t>safeguarded</w:t>
      </w:r>
      <w:r w:rsidR="001B3BF0">
        <w:rPr>
          <w:rFonts w:ascii="Arial" w:hAnsi="Arial" w:cs="Arial"/>
        </w:rPr>
        <w:t>’</w:t>
      </w:r>
      <w:r w:rsidR="00D87D6C">
        <w:rPr>
          <w:rFonts w:ascii="Arial" w:hAnsi="Arial" w:cs="Arial"/>
        </w:rPr>
        <w:t xml:space="preserve"> land should only be </w:t>
      </w:r>
      <w:r w:rsidRPr="00815CB9">
        <w:rPr>
          <w:rFonts w:ascii="Arial" w:hAnsi="Arial" w:cs="Arial"/>
        </w:rPr>
        <w:t>granted following a</w:t>
      </w:r>
      <w:r w:rsidR="001B3BF0">
        <w:rPr>
          <w:rFonts w:ascii="Arial" w:hAnsi="Arial" w:cs="Arial"/>
        </w:rPr>
        <w:t xml:space="preserve">n update to a </w:t>
      </w:r>
      <w:r w:rsidR="00D87D6C" w:rsidRPr="00815CB9">
        <w:rPr>
          <w:rFonts w:ascii="Arial" w:hAnsi="Arial" w:cs="Arial"/>
        </w:rPr>
        <w:t xml:space="preserve">plan which proposes the </w:t>
      </w:r>
      <w:proofErr w:type="gramStart"/>
      <w:r w:rsidRPr="00815CB9">
        <w:rPr>
          <w:rFonts w:ascii="Arial" w:hAnsi="Arial" w:cs="Arial"/>
        </w:rPr>
        <w:t>development</w:t>
      </w:r>
      <w:r w:rsidR="002B3881" w:rsidRPr="00815CB9">
        <w:rPr>
          <w:rFonts w:ascii="Arial" w:hAnsi="Arial" w:cs="Arial"/>
        </w:rPr>
        <w:t>;</w:t>
      </w:r>
      <w:proofErr w:type="gramEnd"/>
    </w:p>
    <w:p w14:paraId="093A650A" w14:textId="77777777" w:rsidR="00C369F2" w:rsidRPr="00815CB9" w:rsidRDefault="001B3BF0" w:rsidP="00D87D6C">
      <w:pPr>
        <w:pStyle w:val="Pa10"/>
        <w:numPr>
          <w:ilvl w:val="0"/>
          <w:numId w:val="4"/>
        </w:numPr>
        <w:tabs>
          <w:tab w:val="clear" w:pos="1117"/>
          <w:tab w:val="num" w:pos="1080"/>
        </w:tabs>
        <w:spacing w:after="120" w:line="240" w:lineRule="auto"/>
        <w:ind w:left="1080" w:hanging="360"/>
        <w:rPr>
          <w:rFonts w:ascii="Arial" w:hAnsi="Arial" w:cs="Arial"/>
        </w:rPr>
      </w:pPr>
      <w:r>
        <w:rPr>
          <w:rFonts w:ascii="Arial" w:hAnsi="Arial" w:cs="Arial"/>
        </w:rPr>
        <w:t xml:space="preserve">be able to demonstrate </w:t>
      </w:r>
      <w:r w:rsidR="00871192" w:rsidRPr="00815CB9">
        <w:rPr>
          <w:rFonts w:ascii="Arial" w:hAnsi="Arial" w:cs="Arial"/>
        </w:rPr>
        <w:t>that Green Belt boundaries will not need to be altered at the end of the development plan period; and</w:t>
      </w:r>
    </w:p>
    <w:p w14:paraId="2042DDE4" w14:textId="77777777" w:rsidR="00871192" w:rsidRPr="00815CB9" w:rsidRDefault="00871192" w:rsidP="00D87D6C">
      <w:pPr>
        <w:pStyle w:val="Pa10"/>
        <w:numPr>
          <w:ilvl w:val="0"/>
          <w:numId w:val="4"/>
        </w:numPr>
        <w:tabs>
          <w:tab w:val="clear" w:pos="1117"/>
          <w:tab w:val="num" w:pos="1080"/>
        </w:tabs>
        <w:spacing w:after="120" w:line="240" w:lineRule="auto"/>
        <w:ind w:left="1080" w:hanging="360"/>
        <w:rPr>
          <w:rFonts w:ascii="Arial" w:hAnsi="Arial" w:cs="Arial"/>
        </w:rPr>
      </w:pPr>
      <w:r w:rsidRPr="00815CB9">
        <w:rPr>
          <w:rFonts w:ascii="Arial" w:hAnsi="Arial" w:cs="Arial"/>
        </w:rPr>
        <w:t>define boundaries clearly, using physical features that are readily recognisable and likely to be permanent.</w:t>
      </w:r>
    </w:p>
    <w:p w14:paraId="40474294" w14:textId="77777777" w:rsidR="00A357FF" w:rsidRPr="00815CB9" w:rsidRDefault="00A357FF" w:rsidP="00A357FF">
      <w:pPr>
        <w:rPr>
          <w:color w:val="auto"/>
        </w:rPr>
      </w:pPr>
    </w:p>
    <w:p w14:paraId="08D1FDF0" w14:textId="77777777" w:rsidR="00A357FF" w:rsidRPr="00446BBD" w:rsidRDefault="00A357FF" w:rsidP="00AB30A5">
      <w:pPr>
        <w:numPr>
          <w:ilvl w:val="1"/>
          <w:numId w:val="23"/>
        </w:numPr>
        <w:autoSpaceDE w:val="0"/>
        <w:autoSpaceDN w:val="0"/>
        <w:adjustRightInd w:val="0"/>
        <w:rPr>
          <w:color w:val="auto"/>
        </w:rPr>
      </w:pPr>
      <w:r w:rsidRPr="00815CB9">
        <w:rPr>
          <w:color w:val="auto"/>
        </w:rPr>
        <w:t>While the amount of land required to</w:t>
      </w:r>
      <w:r w:rsidR="004B7EDA" w:rsidRPr="00815CB9">
        <w:rPr>
          <w:color w:val="auto"/>
        </w:rPr>
        <w:t xml:space="preserve"> </w:t>
      </w:r>
      <w:r w:rsidRPr="00815CB9">
        <w:rPr>
          <w:color w:val="auto"/>
        </w:rPr>
        <w:t xml:space="preserve">satisfy existing identified housing, employment and associated development requirements are the driving force behind the need to review Green Belt boundaries, in order to ensure any new boundaries can maintain a degree of permanence, they should ideally not be drawn excessively tightly around existing </w:t>
      </w:r>
      <w:proofErr w:type="gramStart"/>
      <w:r w:rsidRPr="00815CB9">
        <w:rPr>
          <w:color w:val="auto"/>
        </w:rPr>
        <w:t>built up</w:t>
      </w:r>
      <w:proofErr w:type="gramEnd"/>
      <w:r w:rsidRPr="00815CB9">
        <w:rPr>
          <w:color w:val="auto"/>
        </w:rPr>
        <w:t xml:space="preserve"> areas. Linked to this</w:t>
      </w:r>
      <w:r w:rsidR="00C146C1" w:rsidRPr="00815CB9">
        <w:rPr>
          <w:color w:val="auto"/>
        </w:rPr>
        <w:t>,</w:t>
      </w:r>
      <w:r w:rsidRPr="00815CB9">
        <w:rPr>
          <w:color w:val="auto"/>
        </w:rPr>
        <w:t xml:space="preserve"> </w:t>
      </w:r>
      <w:r w:rsidR="00C146C1" w:rsidRPr="00815CB9">
        <w:rPr>
          <w:color w:val="auto"/>
        </w:rPr>
        <w:t xml:space="preserve">future </w:t>
      </w:r>
      <w:r w:rsidRPr="00815CB9">
        <w:rPr>
          <w:color w:val="auto"/>
        </w:rPr>
        <w:t xml:space="preserve">consideration will be given as to the appropriateness of excluding other land from the Green Belt as part of a boundary review to allow for longer term development needs, as advised by Government guidance. This can aid the ‘permanence’ of new or revised Green Belt </w:t>
      </w:r>
      <w:proofErr w:type="gramStart"/>
      <w:r w:rsidRPr="00815CB9">
        <w:rPr>
          <w:color w:val="auto"/>
        </w:rPr>
        <w:t>boundaries, and</w:t>
      </w:r>
      <w:proofErr w:type="gramEnd"/>
      <w:r w:rsidRPr="00815CB9">
        <w:rPr>
          <w:color w:val="auto"/>
        </w:rPr>
        <w:t xml:space="preserve"> prevent the need for further early review of its boundaries. In some cases, this review may recommend that some areas of land may be ‘safeguarded’, in line with </w:t>
      </w:r>
      <w:r w:rsidRPr="00446BBD">
        <w:rPr>
          <w:color w:val="auto"/>
        </w:rPr>
        <w:t xml:space="preserve">paragraph </w:t>
      </w:r>
      <w:r w:rsidR="001B3BF0" w:rsidRPr="00446BBD">
        <w:rPr>
          <w:color w:val="auto"/>
        </w:rPr>
        <w:t>143</w:t>
      </w:r>
      <w:r w:rsidRPr="00446BBD">
        <w:rPr>
          <w:color w:val="auto"/>
        </w:rPr>
        <w:t xml:space="preserve"> of the NPPF.</w:t>
      </w:r>
    </w:p>
    <w:p w14:paraId="7B078F50" w14:textId="77777777" w:rsidR="000C58C4" w:rsidRPr="00446BBD" w:rsidRDefault="000C58C4" w:rsidP="00A849FC">
      <w:pPr>
        <w:autoSpaceDE w:val="0"/>
        <w:autoSpaceDN w:val="0"/>
        <w:adjustRightInd w:val="0"/>
        <w:ind w:left="720" w:hanging="720"/>
        <w:rPr>
          <w:color w:val="auto"/>
        </w:rPr>
      </w:pPr>
    </w:p>
    <w:p w14:paraId="6C11F9EE" w14:textId="77777777" w:rsidR="00A74EEF" w:rsidRPr="00446BBD" w:rsidRDefault="00A74EEF" w:rsidP="00DC6FD2">
      <w:pPr>
        <w:autoSpaceDE w:val="0"/>
        <w:autoSpaceDN w:val="0"/>
        <w:adjustRightInd w:val="0"/>
        <w:outlineLvl w:val="0"/>
        <w:rPr>
          <w:color w:val="auto"/>
        </w:rPr>
      </w:pPr>
    </w:p>
    <w:p w14:paraId="08AE01B2" w14:textId="77777777" w:rsidR="00AB30A5" w:rsidRPr="00446BBD" w:rsidRDefault="00790660" w:rsidP="00AB30A5">
      <w:pPr>
        <w:numPr>
          <w:ilvl w:val="0"/>
          <w:numId w:val="35"/>
        </w:numPr>
        <w:autoSpaceDE w:val="0"/>
        <w:autoSpaceDN w:val="0"/>
        <w:adjustRightInd w:val="0"/>
        <w:outlineLvl w:val="0"/>
        <w:rPr>
          <w:b/>
        </w:rPr>
      </w:pPr>
      <w:r w:rsidRPr="00446BBD">
        <w:rPr>
          <w:b/>
          <w:color w:val="auto"/>
        </w:rPr>
        <w:t>The</w:t>
      </w:r>
      <w:r w:rsidRPr="00446BBD">
        <w:rPr>
          <w:b/>
        </w:rPr>
        <w:t xml:space="preserve"> Framework</w:t>
      </w:r>
    </w:p>
    <w:p w14:paraId="1683C23D" w14:textId="77777777" w:rsidR="00AB30A5" w:rsidRPr="00446BBD" w:rsidRDefault="00AB30A5" w:rsidP="00AB30A5">
      <w:pPr>
        <w:autoSpaceDE w:val="0"/>
        <w:autoSpaceDN w:val="0"/>
        <w:adjustRightInd w:val="0"/>
        <w:ind w:left="360"/>
        <w:outlineLvl w:val="0"/>
        <w:rPr>
          <w:b/>
        </w:rPr>
      </w:pPr>
    </w:p>
    <w:p w14:paraId="57BF56F4" w14:textId="77777777" w:rsidR="000C58C4" w:rsidRPr="00446BBD" w:rsidRDefault="00BD0ABC" w:rsidP="00AB30A5">
      <w:pPr>
        <w:numPr>
          <w:ilvl w:val="1"/>
          <w:numId w:val="35"/>
        </w:numPr>
        <w:autoSpaceDE w:val="0"/>
        <w:autoSpaceDN w:val="0"/>
        <w:adjustRightInd w:val="0"/>
        <w:ind w:hanging="792"/>
        <w:outlineLvl w:val="0"/>
        <w:rPr>
          <w:b/>
        </w:rPr>
      </w:pPr>
      <w:r w:rsidRPr="00446BBD">
        <w:rPr>
          <w:color w:val="auto"/>
        </w:rPr>
        <w:t xml:space="preserve">Ashfield, Broxtowe, </w:t>
      </w:r>
      <w:proofErr w:type="gramStart"/>
      <w:r w:rsidRPr="00446BBD">
        <w:rPr>
          <w:color w:val="auto"/>
        </w:rPr>
        <w:t>Gedling</w:t>
      </w:r>
      <w:proofErr w:type="gramEnd"/>
      <w:r w:rsidRPr="00446BBD">
        <w:rPr>
          <w:color w:val="auto"/>
        </w:rPr>
        <w:t xml:space="preserve"> and Nottingham City Councils have worked jointly to prepare evidence to sup</w:t>
      </w:r>
      <w:r w:rsidR="004350FE" w:rsidRPr="00446BBD">
        <w:rPr>
          <w:color w:val="auto"/>
        </w:rPr>
        <w:t>port their emerging Local Plans,</w:t>
      </w:r>
      <w:r w:rsidRPr="00446BBD">
        <w:rPr>
          <w:color w:val="auto"/>
        </w:rPr>
        <w:t xml:space="preserve"> including a Green Belt Assessment</w:t>
      </w:r>
      <w:r w:rsidR="004350FE" w:rsidRPr="00446BBD">
        <w:rPr>
          <w:color w:val="auto"/>
        </w:rPr>
        <w:t xml:space="preserve"> Framework. The appraisals in the following appendices are consistent with this shared Framework</w:t>
      </w:r>
      <w:r w:rsidR="000C58C4" w:rsidRPr="00446BBD">
        <w:rPr>
          <w:color w:val="auto"/>
        </w:rPr>
        <w:t>:</w:t>
      </w:r>
    </w:p>
    <w:p w14:paraId="6277C2B4" w14:textId="77777777" w:rsidR="00E83EE9" w:rsidRPr="00446BBD" w:rsidRDefault="00E83EE9" w:rsidP="00790660">
      <w:pPr>
        <w:autoSpaceDE w:val="0"/>
        <w:autoSpaceDN w:val="0"/>
        <w:adjustRightInd w:val="0"/>
        <w:ind w:left="720" w:hanging="720"/>
        <w:rPr>
          <w:color w:val="auto"/>
        </w:rPr>
      </w:pPr>
    </w:p>
    <w:p w14:paraId="27755B18" w14:textId="77777777" w:rsidR="000C58C4" w:rsidRPr="00446BBD" w:rsidRDefault="009513C3" w:rsidP="000C58C4">
      <w:pPr>
        <w:numPr>
          <w:ilvl w:val="0"/>
          <w:numId w:val="32"/>
        </w:numPr>
        <w:autoSpaceDE w:val="0"/>
        <w:autoSpaceDN w:val="0"/>
        <w:adjustRightInd w:val="0"/>
        <w:rPr>
          <w:color w:val="auto"/>
        </w:rPr>
      </w:pPr>
      <w:r w:rsidRPr="00446BBD">
        <w:rPr>
          <w:color w:val="auto"/>
        </w:rPr>
        <w:t>Appendi</w:t>
      </w:r>
      <w:r w:rsidR="000C58C4" w:rsidRPr="00446BBD">
        <w:rPr>
          <w:color w:val="auto"/>
        </w:rPr>
        <w:t>x</w:t>
      </w:r>
      <w:r w:rsidRPr="00446BBD">
        <w:rPr>
          <w:color w:val="auto"/>
        </w:rPr>
        <w:t xml:space="preserve"> 3 – </w:t>
      </w:r>
      <w:r w:rsidR="000C58C4" w:rsidRPr="00446BBD">
        <w:rPr>
          <w:color w:val="auto"/>
        </w:rPr>
        <w:t>Kirkby and Annesley,</w:t>
      </w:r>
    </w:p>
    <w:p w14:paraId="5C346A2E" w14:textId="77777777" w:rsidR="000C58C4" w:rsidRPr="00446BBD" w:rsidRDefault="000C58C4" w:rsidP="000C58C4">
      <w:pPr>
        <w:numPr>
          <w:ilvl w:val="0"/>
          <w:numId w:val="32"/>
        </w:numPr>
        <w:autoSpaceDE w:val="0"/>
        <w:autoSpaceDN w:val="0"/>
        <w:adjustRightInd w:val="0"/>
        <w:rPr>
          <w:color w:val="auto"/>
        </w:rPr>
      </w:pPr>
      <w:r w:rsidRPr="00446BBD">
        <w:rPr>
          <w:color w:val="auto"/>
        </w:rPr>
        <w:t>Appendix 4 – Selston,</w:t>
      </w:r>
    </w:p>
    <w:p w14:paraId="61DA44F8" w14:textId="77777777" w:rsidR="000C58C4" w:rsidRPr="00446BBD" w:rsidRDefault="000C58C4" w:rsidP="000C58C4">
      <w:pPr>
        <w:numPr>
          <w:ilvl w:val="0"/>
          <w:numId w:val="32"/>
        </w:numPr>
        <w:autoSpaceDE w:val="0"/>
        <w:autoSpaceDN w:val="0"/>
        <w:adjustRightInd w:val="0"/>
        <w:rPr>
          <w:color w:val="auto"/>
        </w:rPr>
      </w:pPr>
      <w:r w:rsidRPr="00446BBD">
        <w:rPr>
          <w:color w:val="auto"/>
        </w:rPr>
        <w:t>Appendix 5 – Jacksdale,</w:t>
      </w:r>
    </w:p>
    <w:p w14:paraId="0D94CB45" w14:textId="77777777" w:rsidR="000C58C4" w:rsidRPr="00446BBD" w:rsidRDefault="000C58C4" w:rsidP="000C58C4">
      <w:pPr>
        <w:numPr>
          <w:ilvl w:val="0"/>
          <w:numId w:val="32"/>
        </w:numPr>
        <w:autoSpaceDE w:val="0"/>
        <w:autoSpaceDN w:val="0"/>
        <w:adjustRightInd w:val="0"/>
        <w:rPr>
          <w:color w:val="auto"/>
        </w:rPr>
      </w:pPr>
      <w:r w:rsidRPr="00446BBD">
        <w:rPr>
          <w:color w:val="auto"/>
        </w:rPr>
        <w:t>Appendix 6 – Brinsley,</w:t>
      </w:r>
    </w:p>
    <w:p w14:paraId="2046BC22" w14:textId="77777777" w:rsidR="000C58C4" w:rsidRPr="00446BBD" w:rsidRDefault="000C58C4" w:rsidP="000C58C4">
      <w:pPr>
        <w:numPr>
          <w:ilvl w:val="0"/>
          <w:numId w:val="32"/>
        </w:numPr>
        <w:autoSpaceDE w:val="0"/>
        <w:autoSpaceDN w:val="0"/>
        <w:adjustRightInd w:val="0"/>
        <w:rPr>
          <w:color w:val="auto"/>
        </w:rPr>
      </w:pPr>
      <w:r w:rsidRPr="00446BBD">
        <w:rPr>
          <w:color w:val="auto"/>
        </w:rPr>
        <w:t xml:space="preserve">Appendix 7 – Underwood, and </w:t>
      </w:r>
    </w:p>
    <w:p w14:paraId="54AC2251" w14:textId="77777777" w:rsidR="000C58C4" w:rsidRPr="00446BBD" w:rsidRDefault="00F06C78" w:rsidP="000C58C4">
      <w:pPr>
        <w:numPr>
          <w:ilvl w:val="0"/>
          <w:numId w:val="32"/>
        </w:numPr>
        <w:autoSpaceDE w:val="0"/>
        <w:autoSpaceDN w:val="0"/>
        <w:adjustRightInd w:val="0"/>
        <w:rPr>
          <w:color w:val="auto"/>
        </w:rPr>
      </w:pPr>
      <w:r w:rsidRPr="00446BBD">
        <w:rPr>
          <w:color w:val="auto"/>
        </w:rPr>
        <w:t>Appendix 8 – Hucknall.</w:t>
      </w:r>
    </w:p>
    <w:p w14:paraId="6AAD5F94" w14:textId="77777777" w:rsidR="001B3BF0" w:rsidRPr="00446BBD" w:rsidRDefault="001B3BF0" w:rsidP="000C58C4">
      <w:pPr>
        <w:numPr>
          <w:ilvl w:val="0"/>
          <w:numId w:val="32"/>
        </w:numPr>
        <w:autoSpaceDE w:val="0"/>
        <w:autoSpaceDN w:val="0"/>
        <w:adjustRightInd w:val="0"/>
        <w:rPr>
          <w:color w:val="auto"/>
        </w:rPr>
      </w:pPr>
      <w:r w:rsidRPr="00446BBD">
        <w:rPr>
          <w:color w:val="auto"/>
        </w:rPr>
        <w:t>Appendix 9 – Junction 27, M1 Motorway</w:t>
      </w:r>
    </w:p>
    <w:p w14:paraId="1838AF06" w14:textId="77777777" w:rsidR="00F06C78" w:rsidRPr="00446BBD" w:rsidRDefault="00F06C78" w:rsidP="00F06C78">
      <w:pPr>
        <w:autoSpaceDE w:val="0"/>
        <w:autoSpaceDN w:val="0"/>
        <w:adjustRightInd w:val="0"/>
        <w:rPr>
          <w:color w:val="auto"/>
        </w:rPr>
      </w:pPr>
    </w:p>
    <w:p w14:paraId="519F2F21" w14:textId="77777777" w:rsidR="00F06C78" w:rsidRDefault="00F06C78" w:rsidP="00F06C78">
      <w:pPr>
        <w:autoSpaceDE w:val="0"/>
        <w:autoSpaceDN w:val="0"/>
        <w:adjustRightInd w:val="0"/>
        <w:rPr>
          <w:color w:val="auto"/>
        </w:rPr>
      </w:pPr>
      <w:r w:rsidRPr="00446BBD">
        <w:rPr>
          <w:color w:val="auto"/>
        </w:rPr>
        <w:tab/>
        <w:t>(N.B. If you are viewing this document online</w:t>
      </w:r>
      <w:r>
        <w:rPr>
          <w:color w:val="auto"/>
        </w:rPr>
        <w:t xml:space="preserve"> the Appendices are </w:t>
      </w:r>
      <w:r>
        <w:rPr>
          <w:color w:val="auto"/>
        </w:rPr>
        <w:tab/>
        <w:t>contained in separate links.)</w:t>
      </w:r>
    </w:p>
    <w:p w14:paraId="62DFD66F" w14:textId="77777777" w:rsidR="000C58C4" w:rsidRDefault="000C58C4" w:rsidP="000C58C4">
      <w:pPr>
        <w:autoSpaceDE w:val="0"/>
        <w:autoSpaceDN w:val="0"/>
        <w:adjustRightInd w:val="0"/>
        <w:ind w:left="720"/>
        <w:rPr>
          <w:color w:val="auto"/>
        </w:rPr>
      </w:pPr>
    </w:p>
    <w:p w14:paraId="40324B2C" w14:textId="77777777" w:rsidR="00DF68C9" w:rsidRDefault="00DF68C9" w:rsidP="000C58C4">
      <w:pPr>
        <w:autoSpaceDE w:val="0"/>
        <w:autoSpaceDN w:val="0"/>
        <w:adjustRightInd w:val="0"/>
        <w:ind w:left="720"/>
        <w:rPr>
          <w:color w:val="auto"/>
        </w:rPr>
      </w:pPr>
    </w:p>
    <w:p w14:paraId="647AB192" w14:textId="77777777" w:rsidR="001B3BF0" w:rsidRDefault="003C3ED0" w:rsidP="003C3ED0">
      <w:pPr>
        <w:pStyle w:val="Default"/>
        <w:rPr>
          <w:b/>
          <w:bCs/>
        </w:rPr>
      </w:pPr>
      <w:r>
        <w:rPr>
          <w:b/>
          <w:bCs/>
        </w:rPr>
        <w:tab/>
      </w:r>
    </w:p>
    <w:p w14:paraId="51FB1F08" w14:textId="77777777" w:rsidR="001B3BF0" w:rsidRDefault="001B3BF0" w:rsidP="003C3ED0">
      <w:pPr>
        <w:pStyle w:val="Default"/>
        <w:rPr>
          <w:b/>
          <w:bCs/>
        </w:rPr>
      </w:pPr>
    </w:p>
    <w:p w14:paraId="29E24C73" w14:textId="77777777" w:rsidR="001B3BF0" w:rsidRDefault="001B3BF0" w:rsidP="003C3ED0">
      <w:pPr>
        <w:pStyle w:val="Default"/>
        <w:rPr>
          <w:b/>
          <w:bCs/>
        </w:rPr>
      </w:pPr>
    </w:p>
    <w:p w14:paraId="699BA9BF" w14:textId="77777777" w:rsidR="003C3ED0" w:rsidRDefault="00DF68C9" w:rsidP="003C3ED0">
      <w:pPr>
        <w:pStyle w:val="Default"/>
        <w:rPr>
          <w:b/>
          <w:bCs/>
          <w:sz w:val="23"/>
          <w:szCs w:val="23"/>
        </w:rPr>
      </w:pPr>
      <w:r w:rsidRPr="00A66D43">
        <w:rPr>
          <w:b/>
          <w:bCs/>
        </w:rPr>
        <w:lastRenderedPageBreak/>
        <w:t>Overall Approach</w:t>
      </w:r>
      <w:r>
        <w:rPr>
          <w:b/>
          <w:bCs/>
          <w:sz w:val="23"/>
          <w:szCs w:val="23"/>
        </w:rPr>
        <w:t xml:space="preserve"> </w:t>
      </w:r>
    </w:p>
    <w:p w14:paraId="13CBF9A7" w14:textId="77777777" w:rsidR="00AB30A5" w:rsidRDefault="00AB30A5" w:rsidP="003C3ED0">
      <w:pPr>
        <w:pStyle w:val="Default"/>
        <w:rPr>
          <w:b/>
          <w:bCs/>
          <w:sz w:val="23"/>
          <w:szCs w:val="23"/>
        </w:rPr>
      </w:pPr>
    </w:p>
    <w:p w14:paraId="13353969" w14:textId="77777777" w:rsidR="00DF68C9" w:rsidRDefault="007B6B83" w:rsidP="00AB30A5">
      <w:pPr>
        <w:numPr>
          <w:ilvl w:val="1"/>
          <w:numId w:val="35"/>
        </w:numPr>
        <w:autoSpaceDE w:val="0"/>
        <w:autoSpaceDN w:val="0"/>
        <w:adjustRightInd w:val="0"/>
        <w:ind w:hanging="792"/>
        <w:outlineLvl w:val="0"/>
      </w:pPr>
      <w:r>
        <w:t>T</w:t>
      </w:r>
      <w:r w:rsidR="00DF68C9" w:rsidRPr="00A66D43">
        <w:t>h</w:t>
      </w:r>
      <w:r w:rsidR="0099457D">
        <w:t xml:space="preserve">e </w:t>
      </w:r>
      <w:r w:rsidR="00664A12">
        <w:t xml:space="preserve">Strategic </w:t>
      </w:r>
      <w:r w:rsidR="0099457D">
        <w:t xml:space="preserve">Green </w:t>
      </w:r>
      <w:r>
        <w:t>B</w:t>
      </w:r>
      <w:r w:rsidR="0099457D">
        <w:t xml:space="preserve">elt Review </w:t>
      </w:r>
      <w:r w:rsidR="00295AD0">
        <w:t xml:space="preserve">in Ashfield </w:t>
      </w:r>
      <w:r w:rsidR="0099457D">
        <w:t>has been undertaken in two stages</w:t>
      </w:r>
      <w:r w:rsidR="00DF68C9" w:rsidRPr="00A66D43">
        <w:t>, as</w:t>
      </w:r>
      <w:r w:rsidR="0045544B">
        <w:t xml:space="preserve"> set out </w:t>
      </w:r>
      <w:r w:rsidR="00DF68C9" w:rsidRPr="00A66D43">
        <w:t xml:space="preserve">below. </w:t>
      </w:r>
    </w:p>
    <w:p w14:paraId="7BE83E64" w14:textId="77777777" w:rsidR="004350FE" w:rsidRDefault="004350FE" w:rsidP="007B6B83">
      <w:pPr>
        <w:pStyle w:val="Default"/>
        <w:ind w:left="1440"/>
      </w:pPr>
    </w:p>
    <w:p w14:paraId="17AE8CF3" w14:textId="77777777" w:rsidR="00DF68C9" w:rsidRPr="00A66D43" w:rsidRDefault="00DF68C9" w:rsidP="00B4760D">
      <w:pPr>
        <w:pStyle w:val="Default"/>
        <w:shd w:val="clear" w:color="auto" w:fill="C5E0B3"/>
      </w:pPr>
      <w:r>
        <w:rPr>
          <w:b/>
          <w:bCs/>
          <w:sz w:val="23"/>
          <w:szCs w:val="23"/>
        </w:rPr>
        <w:tab/>
      </w:r>
      <w:r w:rsidRPr="00A66D43">
        <w:rPr>
          <w:b/>
          <w:bCs/>
        </w:rPr>
        <w:t xml:space="preserve">Assessment 1 </w:t>
      </w:r>
      <w:r w:rsidR="00A441C5" w:rsidRPr="00A66D43">
        <w:rPr>
          <w:b/>
          <w:bCs/>
        </w:rPr>
        <w:tab/>
      </w:r>
      <w:r w:rsidR="00A441C5" w:rsidRPr="00A66D43">
        <w:rPr>
          <w:b/>
          <w:bCs/>
        </w:rPr>
        <w:tab/>
      </w:r>
      <w:r w:rsidR="00A441C5" w:rsidRPr="00A66D43">
        <w:rPr>
          <w:b/>
          <w:bCs/>
        </w:rPr>
        <w:tab/>
      </w:r>
      <w:r w:rsidR="00A441C5" w:rsidRPr="00A66D43">
        <w:rPr>
          <w:b/>
          <w:bCs/>
        </w:rPr>
        <w:tab/>
      </w:r>
      <w:r w:rsidR="00A441C5" w:rsidRPr="00A66D43">
        <w:rPr>
          <w:b/>
          <w:bCs/>
        </w:rPr>
        <w:tab/>
      </w:r>
      <w:r w:rsidR="00A441C5" w:rsidRPr="00A66D43">
        <w:rPr>
          <w:b/>
          <w:bCs/>
        </w:rPr>
        <w:tab/>
      </w:r>
      <w:r w:rsidR="00A441C5" w:rsidRPr="00A66D43">
        <w:rPr>
          <w:b/>
          <w:bCs/>
        </w:rPr>
        <w:tab/>
      </w:r>
      <w:r w:rsidR="00A441C5" w:rsidRPr="00A66D43">
        <w:rPr>
          <w:b/>
          <w:bCs/>
        </w:rPr>
        <w:tab/>
      </w:r>
    </w:p>
    <w:p w14:paraId="1E61FB41" w14:textId="77777777" w:rsidR="00DF68C9" w:rsidRPr="00A66D43" w:rsidRDefault="00DF68C9" w:rsidP="00DF68C9">
      <w:pPr>
        <w:pStyle w:val="Default"/>
      </w:pPr>
    </w:p>
    <w:p w14:paraId="2FF0B033" w14:textId="77777777" w:rsidR="00DF68C9" w:rsidRPr="00A66D43" w:rsidRDefault="00B46205" w:rsidP="004D30A2">
      <w:pPr>
        <w:numPr>
          <w:ilvl w:val="1"/>
          <w:numId w:val="35"/>
        </w:numPr>
        <w:autoSpaceDE w:val="0"/>
        <w:autoSpaceDN w:val="0"/>
        <w:adjustRightInd w:val="0"/>
        <w:ind w:left="709" w:hanging="709"/>
        <w:outlineLvl w:val="0"/>
      </w:pPr>
      <w:r w:rsidRPr="00446BBD">
        <w:t xml:space="preserve">The Green Belt land surrounding all </w:t>
      </w:r>
      <w:r w:rsidR="00DF68C9" w:rsidRPr="00446BBD">
        <w:t xml:space="preserve">settlements (see Appendix 1) </w:t>
      </w:r>
      <w:r w:rsidR="0068596F" w:rsidRPr="00446BBD">
        <w:t>and land around Junction 27 of the M1 Motorway</w:t>
      </w:r>
      <w:r w:rsidR="0068596F">
        <w:t xml:space="preserve"> </w:t>
      </w:r>
      <w:r w:rsidR="00DF68C9" w:rsidRPr="00A66D43">
        <w:t>w</w:t>
      </w:r>
      <w:r w:rsidR="00EE7A18" w:rsidRPr="00A66D43">
        <w:t xml:space="preserve">as </w:t>
      </w:r>
      <w:r w:rsidR="00DF68C9" w:rsidRPr="00A66D43">
        <w:t>divided into broad</w:t>
      </w:r>
      <w:r>
        <w:t xml:space="preserve"> </w:t>
      </w:r>
      <w:r w:rsidR="00DF68C9" w:rsidRPr="00A66D43">
        <w:t xml:space="preserve">areas (such as north, south, </w:t>
      </w:r>
      <w:proofErr w:type="gramStart"/>
      <w:r w:rsidR="00DF68C9" w:rsidRPr="00A66D43">
        <w:t>east</w:t>
      </w:r>
      <w:proofErr w:type="gramEnd"/>
      <w:r w:rsidR="00DF68C9" w:rsidRPr="00A66D43">
        <w:t xml:space="preserve"> and west of the settlement) based on their similar characteristics in terms of size, structure and form. The boundaries of these broad areas w</w:t>
      </w:r>
      <w:r w:rsidR="00EE7A18" w:rsidRPr="00A66D43">
        <w:t>ere</w:t>
      </w:r>
      <w:r w:rsidR="00DF68C9" w:rsidRPr="00A66D43">
        <w:t xml:space="preserve"> chosen using Ordnance Survey maps, topographical maps, </w:t>
      </w:r>
      <w:r w:rsidR="00F7525C">
        <w:t xml:space="preserve">historical maps, </w:t>
      </w:r>
      <w:r w:rsidR="00DF68C9" w:rsidRPr="00A66D43">
        <w:t xml:space="preserve">aerial </w:t>
      </w:r>
      <w:proofErr w:type="gramStart"/>
      <w:r w:rsidR="00DF68C9" w:rsidRPr="00A66D43">
        <w:t>photographs</w:t>
      </w:r>
      <w:proofErr w:type="gramEnd"/>
      <w:r w:rsidR="00DF68C9" w:rsidRPr="00A66D43">
        <w:t xml:space="preserve"> and professional judgment.</w:t>
      </w:r>
    </w:p>
    <w:p w14:paraId="3FA46839" w14:textId="77777777" w:rsidR="00BD0ABC" w:rsidRPr="00A66D43" w:rsidRDefault="00BD0ABC" w:rsidP="00BD0ABC">
      <w:pPr>
        <w:autoSpaceDE w:val="0"/>
        <w:autoSpaceDN w:val="0"/>
        <w:adjustRightInd w:val="0"/>
        <w:rPr>
          <w:b/>
          <w:bCs/>
          <w:color w:val="auto"/>
        </w:rPr>
      </w:pPr>
    </w:p>
    <w:p w14:paraId="213F286D" w14:textId="77777777" w:rsidR="00DF68C9" w:rsidRDefault="00DF68C9" w:rsidP="004D30A2">
      <w:pPr>
        <w:numPr>
          <w:ilvl w:val="1"/>
          <w:numId w:val="35"/>
        </w:numPr>
        <w:autoSpaceDE w:val="0"/>
        <w:autoSpaceDN w:val="0"/>
        <w:adjustRightInd w:val="0"/>
        <w:ind w:left="709" w:hanging="709"/>
        <w:outlineLvl w:val="0"/>
      </w:pPr>
      <w:r w:rsidRPr="00A66D43">
        <w:t>These broad areas w</w:t>
      </w:r>
      <w:r w:rsidR="009C074D">
        <w:t>ere</w:t>
      </w:r>
      <w:r w:rsidRPr="00A66D43">
        <w:t xml:space="preserve"> then assessed using </w:t>
      </w:r>
      <w:r w:rsidR="009317A2">
        <w:t xml:space="preserve">both </w:t>
      </w:r>
      <w:r w:rsidRPr="00A66D43">
        <w:t>the Assessment Criteria (figure 1</w:t>
      </w:r>
      <w:r w:rsidR="009C074D">
        <w:t xml:space="preserve"> below</w:t>
      </w:r>
      <w:r w:rsidRPr="00A66D43">
        <w:t>), and Assessment Matrix (figure 2</w:t>
      </w:r>
      <w:r w:rsidR="009C074D">
        <w:t xml:space="preserve"> below</w:t>
      </w:r>
      <w:r w:rsidRPr="00A66D43">
        <w:t xml:space="preserve">) which </w:t>
      </w:r>
      <w:r w:rsidR="00F7525C">
        <w:t>are</w:t>
      </w:r>
      <w:r w:rsidRPr="00A66D43">
        <w:t xml:space="preserve"> based on the five purposes of the Green Belt as set out in the NPPF (see</w:t>
      </w:r>
      <w:r w:rsidR="009C074D">
        <w:t xml:space="preserve"> </w:t>
      </w:r>
      <w:r w:rsidRPr="00A66D43">
        <w:t>paragraph 3.2). The assessments w</w:t>
      </w:r>
      <w:r w:rsidR="009C074D">
        <w:t>ere</w:t>
      </w:r>
      <w:r w:rsidRPr="00A66D43">
        <w:t xml:space="preserve"> made using Ordnance Survey maps, topographical maps, </w:t>
      </w:r>
      <w:r w:rsidR="00F7525C">
        <w:t xml:space="preserve">historical maps, </w:t>
      </w:r>
      <w:r w:rsidRPr="00A66D43">
        <w:t xml:space="preserve">aerial photographs, professional </w:t>
      </w:r>
      <w:proofErr w:type="gramStart"/>
      <w:r w:rsidRPr="00A66D43">
        <w:t>judgment</w:t>
      </w:r>
      <w:proofErr w:type="gramEnd"/>
      <w:r w:rsidRPr="00A66D43">
        <w:t xml:space="preserve"> and site visits. </w:t>
      </w:r>
    </w:p>
    <w:p w14:paraId="0EFEAFA6" w14:textId="77777777" w:rsidR="00377E61" w:rsidRDefault="00377E61" w:rsidP="00377E61">
      <w:pPr>
        <w:pStyle w:val="ListParagraph"/>
      </w:pPr>
    </w:p>
    <w:p w14:paraId="5BA522CF" w14:textId="77777777" w:rsidR="00C5029B" w:rsidRPr="000E364C" w:rsidRDefault="00377E61" w:rsidP="00F84097">
      <w:pPr>
        <w:numPr>
          <w:ilvl w:val="1"/>
          <w:numId w:val="35"/>
        </w:numPr>
        <w:autoSpaceDE w:val="0"/>
        <w:autoSpaceDN w:val="0"/>
        <w:adjustRightInd w:val="0"/>
        <w:ind w:left="709" w:hanging="709"/>
        <w:outlineLvl w:val="0"/>
      </w:pPr>
      <w:r w:rsidRPr="000E364C">
        <w:t xml:space="preserve">Assessment 1 therefore gives a broad overview of the performance of the Green </w:t>
      </w:r>
      <w:r w:rsidR="005804C6">
        <w:t>B</w:t>
      </w:r>
      <w:r w:rsidRPr="000E364C">
        <w:t xml:space="preserve">elt at a strategic level. The joint </w:t>
      </w:r>
      <w:r w:rsidR="005804C6">
        <w:t>F</w:t>
      </w:r>
      <w:r w:rsidRPr="000E364C">
        <w:t xml:space="preserve">ramework </w:t>
      </w:r>
      <w:r w:rsidR="00BD056C" w:rsidRPr="000E364C">
        <w:t xml:space="preserve">enables authorities to remove a stage 1 area from further assessment at this </w:t>
      </w:r>
      <w:r w:rsidR="005804C6">
        <w:t>point</w:t>
      </w:r>
      <w:r w:rsidR="00BD056C" w:rsidRPr="000E364C">
        <w:t xml:space="preserve"> if it is deemed appropriate. For instance, if the whole area is found to be of significantly high importance in respect of all five purposes of Green Belt, or because no suitable defensible boundaries exist which would allow for part of the area to be removed without significant detriment to the overall purpose.</w:t>
      </w:r>
    </w:p>
    <w:p w14:paraId="3AC5BBB3" w14:textId="77777777" w:rsidR="00DF68C9" w:rsidRPr="00A66D43" w:rsidRDefault="00DF68C9" w:rsidP="004D30A2">
      <w:pPr>
        <w:pStyle w:val="Default"/>
        <w:ind w:left="709" w:hanging="709"/>
        <w:rPr>
          <w:b/>
          <w:bCs/>
        </w:rPr>
      </w:pPr>
    </w:p>
    <w:p w14:paraId="4EBEA2C2" w14:textId="77777777" w:rsidR="00DF68C9" w:rsidRPr="00A66D43" w:rsidRDefault="00DF68C9" w:rsidP="004D30A2">
      <w:pPr>
        <w:pStyle w:val="Default"/>
        <w:shd w:val="clear" w:color="auto" w:fill="BDD6EE"/>
        <w:ind w:left="709" w:hanging="709"/>
      </w:pPr>
      <w:r w:rsidRPr="00A66D43">
        <w:rPr>
          <w:b/>
          <w:bCs/>
        </w:rPr>
        <w:tab/>
      </w:r>
      <w:r w:rsidRPr="00B4760D">
        <w:rPr>
          <w:b/>
          <w:bCs/>
          <w:shd w:val="clear" w:color="auto" w:fill="BDD6EE"/>
        </w:rPr>
        <w:t>Assessment 2</w:t>
      </w:r>
      <w:r w:rsidRPr="00A66D43">
        <w:rPr>
          <w:b/>
          <w:bCs/>
        </w:rPr>
        <w:t xml:space="preserve"> </w:t>
      </w:r>
      <w:r w:rsidR="00A441C5" w:rsidRPr="00A66D43">
        <w:rPr>
          <w:b/>
          <w:bCs/>
        </w:rPr>
        <w:tab/>
      </w:r>
      <w:r w:rsidR="00A441C5" w:rsidRPr="00A66D43">
        <w:rPr>
          <w:b/>
          <w:bCs/>
        </w:rPr>
        <w:tab/>
      </w:r>
      <w:r w:rsidR="00A441C5" w:rsidRPr="00A66D43">
        <w:rPr>
          <w:b/>
          <w:bCs/>
        </w:rPr>
        <w:tab/>
      </w:r>
      <w:r w:rsidR="00A441C5" w:rsidRPr="00A66D43">
        <w:rPr>
          <w:b/>
          <w:bCs/>
        </w:rPr>
        <w:tab/>
      </w:r>
      <w:r w:rsidR="00A441C5" w:rsidRPr="00A66D43">
        <w:rPr>
          <w:b/>
          <w:bCs/>
        </w:rPr>
        <w:tab/>
      </w:r>
      <w:r w:rsidR="00A441C5" w:rsidRPr="00A66D43">
        <w:rPr>
          <w:b/>
          <w:bCs/>
        </w:rPr>
        <w:tab/>
      </w:r>
      <w:r w:rsidR="00A441C5" w:rsidRPr="00A66D43">
        <w:rPr>
          <w:b/>
          <w:bCs/>
        </w:rPr>
        <w:tab/>
      </w:r>
      <w:r w:rsidR="00A441C5" w:rsidRPr="00A66D43">
        <w:rPr>
          <w:b/>
          <w:bCs/>
        </w:rPr>
        <w:tab/>
      </w:r>
    </w:p>
    <w:p w14:paraId="0276D96D" w14:textId="77777777" w:rsidR="00DF68C9" w:rsidRPr="00A66D43" w:rsidRDefault="00DF68C9" w:rsidP="004D30A2">
      <w:pPr>
        <w:pStyle w:val="Default"/>
        <w:ind w:left="709" w:hanging="709"/>
      </w:pPr>
    </w:p>
    <w:p w14:paraId="247FE21F" w14:textId="77777777" w:rsidR="00DF68C9" w:rsidRPr="00A66D43" w:rsidRDefault="00DF68C9" w:rsidP="004D30A2">
      <w:pPr>
        <w:numPr>
          <w:ilvl w:val="1"/>
          <w:numId w:val="35"/>
        </w:numPr>
        <w:autoSpaceDE w:val="0"/>
        <w:autoSpaceDN w:val="0"/>
        <w:adjustRightInd w:val="0"/>
        <w:ind w:left="709" w:hanging="709"/>
        <w:outlineLvl w:val="0"/>
      </w:pPr>
      <w:r w:rsidRPr="00A66D43">
        <w:t xml:space="preserve">The broad areas from Assessment 1 </w:t>
      </w:r>
      <w:r w:rsidR="00956787">
        <w:t xml:space="preserve">were </w:t>
      </w:r>
      <w:r w:rsidR="00C5029B">
        <w:t xml:space="preserve">then divided </w:t>
      </w:r>
      <w:r w:rsidRPr="00A66D43">
        <w:t xml:space="preserve">into smaller </w:t>
      </w:r>
      <w:r w:rsidRPr="00446BBD">
        <w:t>sites</w:t>
      </w:r>
      <w:r w:rsidR="0068596F" w:rsidRPr="00446BBD">
        <w:t xml:space="preserve"> (where necessary)</w:t>
      </w:r>
      <w:r w:rsidRPr="00446BBD">
        <w:t>,</w:t>
      </w:r>
      <w:r w:rsidRPr="00A66D43">
        <w:t xml:space="preserve"> using defined physical feature such as roads, railways, watercourses, tree belts, woodlands, </w:t>
      </w:r>
      <w:proofErr w:type="gramStart"/>
      <w:r w:rsidRPr="00A66D43">
        <w:t>ridgelines</w:t>
      </w:r>
      <w:proofErr w:type="gramEnd"/>
      <w:r w:rsidRPr="00A66D43">
        <w:t xml:space="preserve"> or field boundaries to determine suitable </w:t>
      </w:r>
      <w:r w:rsidR="00956787">
        <w:t>s</w:t>
      </w:r>
      <w:r w:rsidRPr="00A66D43">
        <w:t>ites for assessment. This w</w:t>
      </w:r>
      <w:r w:rsidR="00956787">
        <w:t xml:space="preserve">as </w:t>
      </w:r>
      <w:r w:rsidRPr="00A66D43">
        <w:t xml:space="preserve">done in the first instance using Ordnance Survey maps, topographical maps, </w:t>
      </w:r>
      <w:r w:rsidR="00C5029B">
        <w:t xml:space="preserve">historical maps, </w:t>
      </w:r>
      <w:r w:rsidRPr="00A66D43">
        <w:t xml:space="preserve">aerial </w:t>
      </w:r>
      <w:proofErr w:type="gramStart"/>
      <w:r w:rsidRPr="00A66D43">
        <w:t>photographs</w:t>
      </w:r>
      <w:proofErr w:type="gramEnd"/>
      <w:r w:rsidRPr="00A66D43">
        <w:t xml:space="preserve"> and professional judgement. </w:t>
      </w:r>
    </w:p>
    <w:p w14:paraId="59128997" w14:textId="77777777" w:rsidR="00AB30A5" w:rsidRDefault="00AB30A5" w:rsidP="004D30A2">
      <w:pPr>
        <w:pStyle w:val="Default"/>
        <w:ind w:left="709" w:hanging="709"/>
      </w:pPr>
    </w:p>
    <w:p w14:paraId="37355DE4" w14:textId="77777777" w:rsidR="00815CB9" w:rsidRDefault="00DF68C9" w:rsidP="004D30A2">
      <w:pPr>
        <w:numPr>
          <w:ilvl w:val="1"/>
          <w:numId w:val="35"/>
        </w:numPr>
        <w:autoSpaceDE w:val="0"/>
        <w:autoSpaceDN w:val="0"/>
        <w:adjustRightInd w:val="0"/>
        <w:ind w:left="709" w:hanging="709"/>
        <w:outlineLvl w:val="0"/>
      </w:pPr>
      <w:r w:rsidRPr="00A66D43">
        <w:t>Sites w</w:t>
      </w:r>
      <w:r w:rsidR="00956787">
        <w:t>ere</w:t>
      </w:r>
      <w:r w:rsidRPr="00A66D43">
        <w:t xml:space="preserve"> then assessed again, using the Criteria</w:t>
      </w:r>
      <w:r w:rsidR="008C19EF">
        <w:t xml:space="preserve"> (figure 1</w:t>
      </w:r>
      <w:r w:rsidR="00DB2870">
        <w:t xml:space="preserve"> below</w:t>
      </w:r>
      <w:r w:rsidR="008C19EF">
        <w:t>)</w:t>
      </w:r>
      <w:r w:rsidRPr="00A66D43">
        <w:t xml:space="preserve"> and Matrix</w:t>
      </w:r>
      <w:r w:rsidR="008C19EF">
        <w:t xml:space="preserve"> (figure 2</w:t>
      </w:r>
      <w:r w:rsidR="00DB2870">
        <w:t xml:space="preserve"> below</w:t>
      </w:r>
      <w:r w:rsidR="008C19EF">
        <w:t>)</w:t>
      </w:r>
      <w:r w:rsidRPr="00A66D43">
        <w:t xml:space="preserve">, in the same way as at Assessment 1. </w:t>
      </w:r>
      <w:r w:rsidR="00956787">
        <w:t xml:space="preserve"> </w:t>
      </w:r>
      <w:r w:rsidRPr="00A66D43">
        <w:t>An integral part of Assessment 2 w</w:t>
      </w:r>
      <w:r w:rsidR="00956787">
        <w:t>as an o</w:t>
      </w:r>
      <w:r w:rsidRPr="00A66D43">
        <w:t xml:space="preserve">n-site appraisal. </w:t>
      </w:r>
      <w:r w:rsidR="001236AB">
        <w:t xml:space="preserve">In </w:t>
      </w:r>
      <w:r w:rsidR="00956787">
        <w:t>some circumstances</w:t>
      </w:r>
      <w:r w:rsidR="001236AB">
        <w:t xml:space="preserve"> it was necessary to</w:t>
      </w:r>
      <w:r w:rsidR="001236AB" w:rsidRPr="001236AB">
        <w:t xml:space="preserve"> </w:t>
      </w:r>
      <w:r w:rsidR="001236AB" w:rsidRPr="00A66D43">
        <w:t>amend a site</w:t>
      </w:r>
      <w:r w:rsidR="001236AB">
        <w:t>’</w:t>
      </w:r>
      <w:r w:rsidR="001236AB" w:rsidRPr="00A66D43">
        <w:t>s boundary to reflect</w:t>
      </w:r>
      <w:r w:rsidR="001236AB">
        <w:t xml:space="preserve"> what was</w:t>
      </w:r>
      <w:r w:rsidR="001236AB" w:rsidRPr="00A66D43">
        <w:t xml:space="preserve"> </w:t>
      </w:r>
      <w:proofErr w:type="gramStart"/>
      <w:r w:rsidR="001236AB" w:rsidRPr="00A66D43">
        <w:t>actually on</w:t>
      </w:r>
      <w:proofErr w:type="gramEnd"/>
      <w:r w:rsidR="001236AB" w:rsidRPr="00A66D43">
        <w:t xml:space="preserve"> the</w:t>
      </w:r>
      <w:r w:rsidR="001236AB">
        <w:t xml:space="preserve"> </w:t>
      </w:r>
      <w:r w:rsidR="001236AB" w:rsidRPr="00A66D43">
        <w:t>ground</w:t>
      </w:r>
      <w:r w:rsidRPr="00A66D43">
        <w:t xml:space="preserve"> following </w:t>
      </w:r>
      <w:r w:rsidR="00956787">
        <w:t>the</w:t>
      </w:r>
      <w:r w:rsidRPr="00A66D43">
        <w:t xml:space="preserve"> on-site</w:t>
      </w:r>
      <w:r w:rsidR="00956787">
        <w:t xml:space="preserve"> </w:t>
      </w:r>
      <w:r w:rsidR="001236AB">
        <w:t>appraisal</w:t>
      </w:r>
      <w:r w:rsidRPr="00A66D43">
        <w:t xml:space="preserve">. </w:t>
      </w:r>
    </w:p>
    <w:p w14:paraId="155FCD38" w14:textId="01020CC6" w:rsidR="00C55BA0" w:rsidRDefault="00C55BA0">
      <w:r>
        <w:br w:type="page"/>
      </w:r>
    </w:p>
    <w:p w14:paraId="04EB5EE1" w14:textId="77777777" w:rsidR="00181EA1" w:rsidRPr="00181EA1" w:rsidRDefault="00181EA1" w:rsidP="004D30A2">
      <w:pPr>
        <w:pStyle w:val="Default"/>
        <w:shd w:val="clear" w:color="auto" w:fill="DBDBDB"/>
        <w:ind w:left="709" w:hanging="709"/>
        <w:rPr>
          <w:b/>
        </w:rPr>
      </w:pPr>
      <w:r>
        <w:lastRenderedPageBreak/>
        <w:tab/>
      </w:r>
      <w:r w:rsidRPr="00181EA1">
        <w:rPr>
          <w:b/>
        </w:rPr>
        <w:t>Overall Scores</w:t>
      </w:r>
    </w:p>
    <w:p w14:paraId="54A38D04" w14:textId="77777777" w:rsidR="00181EA1" w:rsidRDefault="00181EA1" w:rsidP="004D30A2">
      <w:pPr>
        <w:pStyle w:val="Default"/>
        <w:ind w:left="709" w:hanging="709"/>
      </w:pPr>
    </w:p>
    <w:p w14:paraId="2165C3E6" w14:textId="77777777" w:rsidR="00181EA1" w:rsidRDefault="00181EA1" w:rsidP="004D30A2">
      <w:pPr>
        <w:numPr>
          <w:ilvl w:val="1"/>
          <w:numId w:val="35"/>
        </w:numPr>
        <w:autoSpaceDE w:val="0"/>
        <w:autoSpaceDN w:val="0"/>
        <w:adjustRightInd w:val="0"/>
        <w:ind w:left="709" w:hanging="709"/>
        <w:outlineLvl w:val="0"/>
      </w:pPr>
      <w:r>
        <w:t xml:space="preserve">Each site assessed has been given an overall score ranging between 4 (low) and 20 (high).  For ease of reference these overall scores are shown on maps which accompany the Green Belt Assessments in Appendices 3 – 8.   </w:t>
      </w:r>
    </w:p>
    <w:p w14:paraId="5819022E" w14:textId="77777777" w:rsidR="005804C6" w:rsidRDefault="005804C6" w:rsidP="005804C6">
      <w:pPr>
        <w:autoSpaceDE w:val="0"/>
        <w:autoSpaceDN w:val="0"/>
        <w:adjustRightInd w:val="0"/>
        <w:ind w:left="709"/>
        <w:outlineLvl w:val="0"/>
      </w:pPr>
    </w:p>
    <w:p w14:paraId="007BE0F1" w14:textId="77777777" w:rsidR="00181EA1" w:rsidRDefault="001236AB" w:rsidP="004D30A2">
      <w:pPr>
        <w:numPr>
          <w:ilvl w:val="1"/>
          <w:numId w:val="35"/>
        </w:numPr>
        <w:autoSpaceDE w:val="0"/>
        <w:autoSpaceDN w:val="0"/>
        <w:adjustRightInd w:val="0"/>
        <w:ind w:left="709" w:hanging="709"/>
        <w:outlineLvl w:val="0"/>
      </w:pPr>
      <w:r>
        <w:t>It should be noted that w</w:t>
      </w:r>
      <w:r w:rsidR="00181EA1" w:rsidRPr="00E83EE9">
        <w:t xml:space="preserve">hilst a site may </w:t>
      </w:r>
      <w:r w:rsidR="00181EA1">
        <w:t xml:space="preserve">have a </w:t>
      </w:r>
      <w:r w:rsidR="00181EA1" w:rsidRPr="00E83EE9">
        <w:t>low</w:t>
      </w:r>
      <w:r w:rsidR="00181EA1">
        <w:t xml:space="preserve"> overall score, it may score particularly high for one single Green Belt purpose.  In these instances, it could </w:t>
      </w:r>
      <w:proofErr w:type="gramStart"/>
      <w:r w:rsidR="00181EA1">
        <w:t>be considered to be</w:t>
      </w:r>
      <w:proofErr w:type="gramEnd"/>
      <w:r w:rsidR="00181EA1">
        <w:t xml:space="preserve"> of sufficient importance on that one single purpose for the site to be retained as Green Belt.  This </w:t>
      </w:r>
      <w:r w:rsidR="00F739B0">
        <w:t>is</w:t>
      </w:r>
      <w:r w:rsidR="00181EA1">
        <w:t xml:space="preserve"> particularly important for the following Green Belt purposes:</w:t>
      </w:r>
    </w:p>
    <w:p w14:paraId="2B71262A" w14:textId="77777777" w:rsidR="00181EA1" w:rsidRDefault="00181EA1" w:rsidP="004D30A2">
      <w:pPr>
        <w:ind w:left="709" w:hanging="709"/>
      </w:pPr>
    </w:p>
    <w:p w14:paraId="2ED1DDF8" w14:textId="77777777" w:rsidR="00181EA1" w:rsidRDefault="00181EA1" w:rsidP="001236AB">
      <w:pPr>
        <w:numPr>
          <w:ilvl w:val="0"/>
          <w:numId w:val="33"/>
        </w:numPr>
        <w:ind w:left="1418" w:hanging="709"/>
      </w:pPr>
      <w:r>
        <w:t>Check the unrestricted sprawl of settlements.</w:t>
      </w:r>
    </w:p>
    <w:p w14:paraId="443D47BA" w14:textId="77777777" w:rsidR="00181EA1" w:rsidRDefault="00181EA1" w:rsidP="001236AB">
      <w:pPr>
        <w:numPr>
          <w:ilvl w:val="0"/>
          <w:numId w:val="33"/>
        </w:numPr>
        <w:ind w:left="1418" w:hanging="709"/>
      </w:pPr>
      <w:r>
        <w:t>Prevent neighbouring towns from merging into one another.</w:t>
      </w:r>
    </w:p>
    <w:p w14:paraId="682D039E" w14:textId="3F1CA6ED" w:rsidR="00E50E2A" w:rsidRDefault="00181EA1" w:rsidP="00E07876">
      <w:pPr>
        <w:numPr>
          <w:ilvl w:val="0"/>
          <w:numId w:val="33"/>
        </w:numPr>
        <w:ind w:left="1418" w:hanging="709"/>
      </w:pPr>
      <w:r>
        <w:t xml:space="preserve">Preserve the setting and special character of historic </w:t>
      </w:r>
      <w:r>
        <w:tab/>
        <w:t>settlements.</w:t>
      </w:r>
    </w:p>
    <w:p w14:paraId="493C97EE" w14:textId="77777777" w:rsidR="00C55BA0" w:rsidRPr="00E50E2A" w:rsidRDefault="00C55BA0" w:rsidP="00C55BA0"/>
    <w:p w14:paraId="21F0B05F" w14:textId="77777777" w:rsidR="003C139D" w:rsidRDefault="00994B0A" w:rsidP="004D30A2">
      <w:pPr>
        <w:autoSpaceDE w:val="0"/>
        <w:autoSpaceDN w:val="0"/>
        <w:adjustRightInd w:val="0"/>
        <w:ind w:left="709" w:hanging="709"/>
        <w:rPr>
          <w:b/>
          <w:bCs/>
          <w:color w:val="auto"/>
        </w:rPr>
      </w:pPr>
      <w:r>
        <w:br w:type="page"/>
      </w:r>
    </w:p>
    <w:p w14:paraId="29AAFC89" w14:textId="77777777" w:rsidR="00BD0ABC" w:rsidRDefault="00BD0ABC" w:rsidP="00174E3E">
      <w:pPr>
        <w:pStyle w:val="Figureheadings"/>
      </w:pPr>
      <w:r>
        <w:lastRenderedPageBreak/>
        <w:t>Figure 1: Assessment Criteria</w:t>
      </w:r>
    </w:p>
    <w:tbl>
      <w:tblPr>
        <w:tblStyle w:val="TableGrid"/>
        <w:tblW w:w="8755" w:type="dxa"/>
        <w:tblLayout w:type="fixed"/>
        <w:tblLook w:val="0020" w:firstRow="1" w:lastRow="0" w:firstColumn="0" w:lastColumn="0" w:noHBand="0" w:noVBand="0"/>
      </w:tblPr>
      <w:tblGrid>
        <w:gridCol w:w="2943"/>
        <w:gridCol w:w="5812"/>
      </w:tblGrid>
      <w:tr w:rsidR="00174E3E" w14:paraId="39EADBBC" w14:textId="77777777" w:rsidTr="00174E3E">
        <w:trPr>
          <w:trHeight w:val="255"/>
        </w:trPr>
        <w:tc>
          <w:tcPr>
            <w:tcW w:w="2943" w:type="dxa"/>
          </w:tcPr>
          <w:p w14:paraId="78747ED5" w14:textId="77777777" w:rsidR="00174E3E" w:rsidRDefault="00174E3E" w:rsidP="00C45A5D">
            <w:pPr>
              <w:pStyle w:val="Default"/>
              <w:jc w:val="center"/>
              <w:rPr>
                <w:b/>
                <w:bCs/>
                <w:sz w:val="23"/>
                <w:szCs w:val="23"/>
              </w:rPr>
            </w:pPr>
            <w:r>
              <w:rPr>
                <w:b/>
                <w:bCs/>
                <w:sz w:val="23"/>
                <w:szCs w:val="23"/>
              </w:rPr>
              <w:t>NPPF Purpose of the Green Belt</w:t>
            </w:r>
          </w:p>
        </w:tc>
        <w:tc>
          <w:tcPr>
            <w:tcW w:w="5812" w:type="dxa"/>
          </w:tcPr>
          <w:p w14:paraId="3BD372E0" w14:textId="77777777" w:rsidR="00174E3E" w:rsidRDefault="00174E3E" w:rsidP="00174E3E">
            <w:pPr>
              <w:pStyle w:val="Default"/>
              <w:ind w:left="352" w:hanging="352"/>
              <w:jc w:val="center"/>
              <w:rPr>
                <w:b/>
                <w:bCs/>
                <w:sz w:val="23"/>
                <w:szCs w:val="23"/>
              </w:rPr>
            </w:pPr>
            <w:r>
              <w:rPr>
                <w:b/>
                <w:bCs/>
                <w:sz w:val="23"/>
                <w:szCs w:val="23"/>
              </w:rPr>
              <w:t>Assessment Criteria</w:t>
            </w:r>
          </w:p>
        </w:tc>
      </w:tr>
      <w:tr w:rsidR="00174E3E" w14:paraId="36ECA51C" w14:textId="77777777" w:rsidTr="00174E3E">
        <w:trPr>
          <w:trHeight w:val="3326"/>
        </w:trPr>
        <w:tc>
          <w:tcPr>
            <w:tcW w:w="2943" w:type="dxa"/>
          </w:tcPr>
          <w:p w14:paraId="70ECF214" w14:textId="77777777" w:rsidR="00174E3E" w:rsidRDefault="00174E3E" w:rsidP="00174E3E">
            <w:pPr>
              <w:pStyle w:val="Default"/>
              <w:ind w:left="177" w:right="285"/>
              <w:rPr>
                <w:sz w:val="14"/>
                <w:szCs w:val="14"/>
              </w:rPr>
            </w:pPr>
            <w:r>
              <w:rPr>
                <w:sz w:val="22"/>
                <w:szCs w:val="22"/>
              </w:rPr>
              <w:t xml:space="preserve">To check the unrestricted sprawl of large built-up </w:t>
            </w:r>
            <w:proofErr w:type="gramStart"/>
            <w:r>
              <w:rPr>
                <w:sz w:val="22"/>
                <w:szCs w:val="22"/>
              </w:rPr>
              <w:t>areas</w:t>
            </w:r>
            <w:r w:rsidRPr="00542C9D">
              <w:rPr>
                <w:sz w:val="16"/>
                <w:szCs w:val="16"/>
              </w:rPr>
              <w:t>(</w:t>
            </w:r>
            <w:proofErr w:type="gramEnd"/>
            <w:r w:rsidRPr="00542C9D">
              <w:rPr>
                <w:sz w:val="16"/>
                <w:szCs w:val="16"/>
              </w:rPr>
              <w:t>1</w:t>
            </w:r>
            <w:r>
              <w:rPr>
                <w:sz w:val="16"/>
                <w:szCs w:val="16"/>
              </w:rPr>
              <w:t>)</w:t>
            </w:r>
            <w:r w:rsidRPr="00542C9D">
              <w:rPr>
                <w:sz w:val="16"/>
                <w:szCs w:val="16"/>
              </w:rPr>
              <w:t xml:space="preserve"> </w:t>
            </w:r>
          </w:p>
        </w:tc>
        <w:tc>
          <w:tcPr>
            <w:tcW w:w="5812" w:type="dxa"/>
          </w:tcPr>
          <w:p w14:paraId="7357968D" w14:textId="77777777" w:rsidR="00174E3E" w:rsidRDefault="00174E3E" w:rsidP="00174E3E">
            <w:pPr>
              <w:pStyle w:val="Default"/>
              <w:ind w:left="211" w:right="297"/>
              <w:rPr>
                <w:sz w:val="22"/>
                <w:szCs w:val="22"/>
              </w:rPr>
            </w:pPr>
            <w:r>
              <w:rPr>
                <w:sz w:val="22"/>
                <w:szCs w:val="22"/>
              </w:rPr>
              <w:t xml:space="preserve">• The extent to which the site/location is contained by existing built-up areas, and therefore the extent to which development would ‘round off’ these areas. </w:t>
            </w:r>
          </w:p>
          <w:p w14:paraId="02378295" w14:textId="77777777" w:rsidR="00174E3E" w:rsidRDefault="00174E3E" w:rsidP="00174E3E">
            <w:pPr>
              <w:pStyle w:val="Default"/>
              <w:ind w:left="211" w:right="297"/>
              <w:rPr>
                <w:sz w:val="22"/>
                <w:szCs w:val="22"/>
              </w:rPr>
            </w:pPr>
          </w:p>
          <w:p w14:paraId="26993C36" w14:textId="77777777" w:rsidR="00174E3E" w:rsidRDefault="00174E3E" w:rsidP="00174E3E">
            <w:pPr>
              <w:pStyle w:val="Default"/>
              <w:ind w:left="211" w:right="297"/>
              <w:rPr>
                <w:sz w:val="22"/>
                <w:szCs w:val="22"/>
              </w:rPr>
            </w:pPr>
            <w:r>
              <w:rPr>
                <w:sz w:val="22"/>
                <w:szCs w:val="22"/>
              </w:rPr>
              <w:t xml:space="preserve">• The extent to which the site/location is contained by physical features which can act as defensible boundaries, e.g. motorways, roads, railways, watercourses, tree belts, </w:t>
            </w:r>
            <w:proofErr w:type="gramStart"/>
            <w:r>
              <w:rPr>
                <w:sz w:val="22"/>
                <w:szCs w:val="22"/>
              </w:rPr>
              <w:t>woodlands</w:t>
            </w:r>
            <w:proofErr w:type="gramEnd"/>
            <w:r>
              <w:rPr>
                <w:sz w:val="22"/>
                <w:szCs w:val="22"/>
              </w:rPr>
              <w:t xml:space="preserve"> and field boundaries. </w:t>
            </w:r>
          </w:p>
          <w:p w14:paraId="5FA7B24B" w14:textId="77777777" w:rsidR="00174E3E" w:rsidRDefault="00174E3E" w:rsidP="00174E3E">
            <w:pPr>
              <w:pStyle w:val="Default"/>
              <w:ind w:left="211" w:right="297"/>
              <w:rPr>
                <w:sz w:val="22"/>
                <w:szCs w:val="22"/>
              </w:rPr>
            </w:pPr>
          </w:p>
          <w:p w14:paraId="3F6FCD73" w14:textId="77777777" w:rsidR="00174E3E" w:rsidRDefault="00174E3E" w:rsidP="00174E3E">
            <w:pPr>
              <w:pStyle w:val="Default"/>
              <w:ind w:left="211" w:right="297"/>
              <w:rPr>
                <w:sz w:val="22"/>
                <w:szCs w:val="22"/>
              </w:rPr>
            </w:pPr>
            <w:r>
              <w:rPr>
                <w:sz w:val="22"/>
                <w:szCs w:val="22"/>
              </w:rPr>
              <w:t xml:space="preserve">• The extent to which the site/location appears to be visually connected with existing built-up areas, </w:t>
            </w:r>
            <w:proofErr w:type="gramStart"/>
            <w:r>
              <w:rPr>
                <w:sz w:val="22"/>
                <w:szCs w:val="22"/>
              </w:rPr>
              <w:t>taking into account</w:t>
            </w:r>
            <w:proofErr w:type="gramEnd"/>
            <w:r>
              <w:rPr>
                <w:sz w:val="22"/>
                <w:szCs w:val="22"/>
              </w:rPr>
              <w:t xml:space="preserve"> topographical features. </w:t>
            </w:r>
          </w:p>
          <w:p w14:paraId="3F298553" w14:textId="77777777" w:rsidR="00174E3E" w:rsidRDefault="00174E3E" w:rsidP="00174E3E">
            <w:pPr>
              <w:pStyle w:val="Default"/>
              <w:ind w:left="211" w:right="297"/>
              <w:rPr>
                <w:sz w:val="22"/>
                <w:szCs w:val="22"/>
              </w:rPr>
            </w:pPr>
          </w:p>
        </w:tc>
      </w:tr>
      <w:tr w:rsidR="00174E3E" w14:paraId="26A77B79" w14:textId="77777777" w:rsidTr="00174E3E">
        <w:trPr>
          <w:trHeight w:val="1339"/>
        </w:trPr>
        <w:tc>
          <w:tcPr>
            <w:tcW w:w="2943" w:type="dxa"/>
          </w:tcPr>
          <w:p w14:paraId="7CCB4285" w14:textId="77777777" w:rsidR="00174E3E" w:rsidRDefault="00174E3E" w:rsidP="00174E3E">
            <w:pPr>
              <w:pStyle w:val="Default"/>
              <w:ind w:left="177" w:right="285"/>
              <w:rPr>
                <w:sz w:val="22"/>
                <w:szCs w:val="22"/>
              </w:rPr>
            </w:pPr>
            <w:r>
              <w:rPr>
                <w:sz w:val="22"/>
                <w:szCs w:val="22"/>
              </w:rPr>
              <w:t xml:space="preserve">To prevent neighbouring towns </w:t>
            </w:r>
            <w:r w:rsidRPr="00542C9D">
              <w:rPr>
                <w:sz w:val="16"/>
                <w:szCs w:val="16"/>
              </w:rPr>
              <w:t>(1)</w:t>
            </w:r>
            <w:r>
              <w:rPr>
                <w:sz w:val="22"/>
                <w:szCs w:val="22"/>
              </w:rPr>
              <w:t xml:space="preserve"> merging into one another </w:t>
            </w:r>
          </w:p>
        </w:tc>
        <w:tc>
          <w:tcPr>
            <w:tcW w:w="5812" w:type="dxa"/>
          </w:tcPr>
          <w:p w14:paraId="18E9BCE0" w14:textId="77777777" w:rsidR="00174E3E" w:rsidRDefault="00174E3E" w:rsidP="00174E3E">
            <w:pPr>
              <w:pStyle w:val="Default"/>
              <w:ind w:left="211" w:right="297"/>
              <w:rPr>
                <w:sz w:val="22"/>
                <w:szCs w:val="22"/>
              </w:rPr>
            </w:pPr>
            <w:r>
              <w:rPr>
                <w:sz w:val="22"/>
                <w:szCs w:val="22"/>
              </w:rPr>
              <w:t xml:space="preserve">• The extent to which development would reduce the size of the gap between settlements. </w:t>
            </w:r>
          </w:p>
          <w:p w14:paraId="59FFA6E1" w14:textId="77777777" w:rsidR="00174E3E" w:rsidRDefault="00174E3E" w:rsidP="00174E3E">
            <w:pPr>
              <w:pStyle w:val="Default"/>
              <w:ind w:left="211" w:right="297"/>
              <w:rPr>
                <w:sz w:val="22"/>
                <w:szCs w:val="22"/>
              </w:rPr>
            </w:pPr>
          </w:p>
          <w:p w14:paraId="3FB1E6D8" w14:textId="77777777" w:rsidR="00174E3E" w:rsidRDefault="00174E3E" w:rsidP="00174E3E">
            <w:pPr>
              <w:pStyle w:val="Default"/>
              <w:ind w:left="211" w:right="297"/>
              <w:rPr>
                <w:sz w:val="22"/>
                <w:szCs w:val="22"/>
              </w:rPr>
            </w:pPr>
            <w:r>
              <w:rPr>
                <w:sz w:val="22"/>
                <w:szCs w:val="22"/>
              </w:rPr>
              <w:t xml:space="preserve">• The extent to which development would result in the perception of reducing the gap between settlements. </w:t>
            </w:r>
          </w:p>
          <w:p w14:paraId="26F1D5E5" w14:textId="77777777" w:rsidR="00174E3E" w:rsidRDefault="00174E3E" w:rsidP="00174E3E">
            <w:pPr>
              <w:pStyle w:val="Default"/>
              <w:ind w:left="211" w:right="297"/>
              <w:rPr>
                <w:sz w:val="22"/>
                <w:szCs w:val="22"/>
              </w:rPr>
            </w:pPr>
          </w:p>
        </w:tc>
      </w:tr>
      <w:tr w:rsidR="00174E3E" w14:paraId="0275D7F4" w14:textId="77777777" w:rsidTr="00174E3E">
        <w:trPr>
          <w:trHeight w:val="1393"/>
        </w:trPr>
        <w:tc>
          <w:tcPr>
            <w:tcW w:w="2943" w:type="dxa"/>
          </w:tcPr>
          <w:p w14:paraId="69E92E75" w14:textId="77777777" w:rsidR="00174E3E" w:rsidRDefault="00174E3E" w:rsidP="00174E3E">
            <w:pPr>
              <w:pStyle w:val="Default"/>
              <w:ind w:left="177" w:right="285"/>
              <w:rPr>
                <w:sz w:val="22"/>
                <w:szCs w:val="22"/>
              </w:rPr>
            </w:pPr>
            <w:r>
              <w:rPr>
                <w:sz w:val="22"/>
                <w:szCs w:val="22"/>
              </w:rPr>
              <w:t xml:space="preserve">To assist in safeguarding the countryside from encroachment </w:t>
            </w:r>
          </w:p>
        </w:tc>
        <w:tc>
          <w:tcPr>
            <w:tcW w:w="5812" w:type="dxa"/>
          </w:tcPr>
          <w:p w14:paraId="3054CA9F" w14:textId="77777777" w:rsidR="00174E3E" w:rsidRDefault="00174E3E" w:rsidP="00174E3E">
            <w:pPr>
              <w:pStyle w:val="Default"/>
              <w:ind w:left="211" w:right="297"/>
              <w:rPr>
                <w:sz w:val="22"/>
                <w:szCs w:val="22"/>
              </w:rPr>
            </w:pPr>
            <w:r>
              <w:rPr>
                <w:sz w:val="22"/>
                <w:szCs w:val="22"/>
              </w:rPr>
              <w:t xml:space="preserve">• The extent to which the site/location contains inappropriate development. </w:t>
            </w:r>
          </w:p>
          <w:p w14:paraId="3FEE032A" w14:textId="77777777" w:rsidR="00174E3E" w:rsidRDefault="00174E3E" w:rsidP="00174E3E">
            <w:pPr>
              <w:pStyle w:val="Default"/>
              <w:ind w:left="211" w:right="297"/>
              <w:rPr>
                <w:sz w:val="22"/>
                <w:szCs w:val="22"/>
              </w:rPr>
            </w:pPr>
          </w:p>
          <w:p w14:paraId="28FC2E16" w14:textId="77777777" w:rsidR="00174E3E" w:rsidRDefault="00174E3E" w:rsidP="00174E3E">
            <w:pPr>
              <w:pStyle w:val="Default"/>
              <w:ind w:left="211" w:right="297"/>
              <w:rPr>
                <w:sz w:val="22"/>
                <w:szCs w:val="22"/>
              </w:rPr>
            </w:pPr>
            <w:r>
              <w:rPr>
                <w:sz w:val="22"/>
                <w:szCs w:val="22"/>
              </w:rPr>
              <w:t xml:space="preserve">• The extent to which the character of the site/location is ‘urban fringe’ as opposed to ‘open countryside’. </w:t>
            </w:r>
          </w:p>
          <w:p w14:paraId="6D80D4EF" w14:textId="77777777" w:rsidR="00174E3E" w:rsidRDefault="00174E3E" w:rsidP="00174E3E">
            <w:pPr>
              <w:pStyle w:val="Default"/>
              <w:ind w:left="211" w:right="297"/>
              <w:rPr>
                <w:sz w:val="22"/>
                <w:szCs w:val="22"/>
              </w:rPr>
            </w:pPr>
          </w:p>
        </w:tc>
      </w:tr>
      <w:tr w:rsidR="00174E3E" w14:paraId="798AEF38" w14:textId="77777777" w:rsidTr="00174E3E">
        <w:trPr>
          <w:trHeight w:val="1575"/>
        </w:trPr>
        <w:tc>
          <w:tcPr>
            <w:tcW w:w="2943" w:type="dxa"/>
          </w:tcPr>
          <w:p w14:paraId="003296E7" w14:textId="77777777" w:rsidR="00174E3E" w:rsidRDefault="00174E3E" w:rsidP="00174E3E">
            <w:pPr>
              <w:pStyle w:val="Default"/>
              <w:ind w:left="177" w:right="285"/>
              <w:rPr>
                <w:sz w:val="22"/>
                <w:szCs w:val="22"/>
              </w:rPr>
            </w:pPr>
            <w:r>
              <w:rPr>
                <w:sz w:val="22"/>
                <w:szCs w:val="22"/>
              </w:rPr>
              <w:t xml:space="preserve">To preserve the setting and special character of historic towns </w:t>
            </w:r>
            <w:r w:rsidRPr="00542C9D">
              <w:rPr>
                <w:sz w:val="16"/>
                <w:szCs w:val="16"/>
              </w:rPr>
              <w:t>(1)</w:t>
            </w:r>
            <w:r>
              <w:rPr>
                <w:sz w:val="22"/>
                <w:szCs w:val="22"/>
              </w:rPr>
              <w:t xml:space="preserve"> </w:t>
            </w:r>
          </w:p>
        </w:tc>
        <w:tc>
          <w:tcPr>
            <w:tcW w:w="5812" w:type="dxa"/>
          </w:tcPr>
          <w:p w14:paraId="35A18F5C" w14:textId="77777777" w:rsidR="00174E3E" w:rsidRDefault="00174E3E" w:rsidP="00174E3E">
            <w:pPr>
              <w:pStyle w:val="Default"/>
              <w:ind w:left="211" w:right="297"/>
              <w:rPr>
                <w:sz w:val="22"/>
                <w:szCs w:val="22"/>
              </w:rPr>
            </w:pPr>
            <w:r>
              <w:rPr>
                <w:sz w:val="22"/>
                <w:szCs w:val="22"/>
              </w:rPr>
              <w:t xml:space="preserve">• The degree of harm that may be caused to the setting or special character of the settlement, </w:t>
            </w:r>
            <w:proofErr w:type="gramStart"/>
            <w:r>
              <w:rPr>
                <w:sz w:val="22"/>
                <w:szCs w:val="22"/>
              </w:rPr>
              <w:t>taking into account</w:t>
            </w:r>
            <w:proofErr w:type="gramEnd"/>
            <w:r>
              <w:rPr>
                <w:sz w:val="22"/>
                <w:szCs w:val="22"/>
              </w:rPr>
              <w:t xml:space="preserve"> designated and non-designated heritage assets such as Conservation Areas, Listed Buildings, Historic Parks and Gardens, Scheduled Monuments or important heritage features. </w:t>
            </w:r>
          </w:p>
          <w:p w14:paraId="120589FA" w14:textId="77777777" w:rsidR="00174E3E" w:rsidRDefault="00174E3E" w:rsidP="00174E3E">
            <w:pPr>
              <w:pStyle w:val="Default"/>
              <w:ind w:left="211" w:right="297"/>
              <w:rPr>
                <w:sz w:val="22"/>
                <w:szCs w:val="22"/>
              </w:rPr>
            </w:pPr>
          </w:p>
        </w:tc>
      </w:tr>
      <w:tr w:rsidR="00174E3E" w14:paraId="720E2D43" w14:textId="77777777" w:rsidTr="00174E3E">
        <w:trPr>
          <w:trHeight w:val="652"/>
        </w:trPr>
        <w:tc>
          <w:tcPr>
            <w:tcW w:w="2943" w:type="dxa"/>
          </w:tcPr>
          <w:p w14:paraId="17455BAA" w14:textId="77777777" w:rsidR="00174E3E" w:rsidRDefault="00174E3E" w:rsidP="00174E3E">
            <w:pPr>
              <w:pStyle w:val="Default"/>
              <w:ind w:left="177" w:right="285"/>
              <w:rPr>
                <w:sz w:val="22"/>
                <w:szCs w:val="22"/>
              </w:rPr>
            </w:pPr>
            <w:r>
              <w:rPr>
                <w:sz w:val="22"/>
                <w:szCs w:val="22"/>
              </w:rPr>
              <w:t xml:space="preserve">To assist in urban regeneration, by encouraging the recycling of derelict and other urban land </w:t>
            </w:r>
          </w:p>
        </w:tc>
        <w:tc>
          <w:tcPr>
            <w:tcW w:w="5812" w:type="dxa"/>
          </w:tcPr>
          <w:p w14:paraId="59822D3C" w14:textId="77777777" w:rsidR="00174E3E" w:rsidRDefault="00174E3E" w:rsidP="00174E3E">
            <w:pPr>
              <w:pStyle w:val="Default"/>
              <w:ind w:left="211" w:right="297"/>
              <w:rPr>
                <w:sz w:val="22"/>
                <w:szCs w:val="22"/>
              </w:rPr>
            </w:pPr>
            <w:r>
              <w:rPr>
                <w:sz w:val="22"/>
                <w:szCs w:val="22"/>
              </w:rPr>
              <w:t xml:space="preserve">It is considered that all land in the Green Belt assists in urban regeneration to the same extent and therefore no criteria are proposed to distinguish between the values of various sites/locations. </w:t>
            </w:r>
          </w:p>
        </w:tc>
      </w:tr>
    </w:tbl>
    <w:p w14:paraId="4C654D88" w14:textId="77777777" w:rsidR="00853C74" w:rsidRDefault="00542C9D" w:rsidP="00820B9E">
      <w:pPr>
        <w:autoSpaceDE w:val="0"/>
        <w:autoSpaceDN w:val="0"/>
        <w:adjustRightInd w:val="0"/>
        <w:ind w:right="-651"/>
        <w:rPr>
          <w:i/>
          <w:iCs/>
          <w:sz w:val="20"/>
          <w:szCs w:val="20"/>
        </w:rPr>
        <w:sectPr w:rsidR="00853C74" w:rsidSect="00A95A88">
          <w:headerReference w:type="first" r:id="rId17"/>
          <w:pgSz w:w="11906" w:h="16838"/>
          <w:pgMar w:top="1440" w:right="1826" w:bottom="1440" w:left="1800" w:header="708" w:footer="708" w:gutter="0"/>
          <w:pgNumType w:start="1"/>
          <w:cols w:space="708"/>
          <w:docGrid w:linePitch="360"/>
        </w:sectPr>
      </w:pPr>
      <w:r>
        <w:rPr>
          <w:sz w:val="13"/>
          <w:szCs w:val="13"/>
        </w:rPr>
        <w:t>(1)</w:t>
      </w:r>
      <w:r w:rsidR="00C13C2D">
        <w:rPr>
          <w:sz w:val="13"/>
          <w:szCs w:val="13"/>
        </w:rPr>
        <w:t xml:space="preserve"> </w:t>
      </w:r>
      <w:r w:rsidR="00C13C2D">
        <w:rPr>
          <w:i/>
          <w:iCs/>
          <w:sz w:val="20"/>
          <w:szCs w:val="20"/>
        </w:rPr>
        <w:t>Note: Because of the nature and locations of the built-up areas in Ashfield and Greater Nottingham, the Councils consider that this purpose should relate to all settlements (rather than only to ‘large built-up areas’ and ‘towns/historic towns’), as listed in the ‘Accessible Settlements Study for Greater Nottingham February</w:t>
      </w:r>
      <w:r>
        <w:rPr>
          <w:i/>
          <w:iCs/>
          <w:sz w:val="20"/>
          <w:szCs w:val="20"/>
        </w:rPr>
        <w:t xml:space="preserve"> </w:t>
      </w:r>
      <w:r w:rsidR="00C13C2D">
        <w:rPr>
          <w:i/>
          <w:iCs/>
          <w:sz w:val="20"/>
          <w:szCs w:val="20"/>
        </w:rPr>
        <w:t>2010’ (see Appendix 1</w:t>
      </w:r>
      <w:r>
        <w:rPr>
          <w:i/>
          <w:iCs/>
          <w:sz w:val="20"/>
          <w:szCs w:val="20"/>
        </w:rPr>
        <w:t xml:space="preserve"> in The Framework</w:t>
      </w:r>
      <w:r w:rsidR="00C13C2D">
        <w:rPr>
          <w:i/>
          <w:iCs/>
          <w:sz w:val="20"/>
          <w:szCs w:val="20"/>
        </w:rPr>
        <w:t xml:space="preserve">). Settlements will be considered </w:t>
      </w:r>
      <w:proofErr w:type="gramStart"/>
      <w:r w:rsidR="00C13C2D">
        <w:rPr>
          <w:i/>
          <w:iCs/>
          <w:sz w:val="20"/>
          <w:szCs w:val="20"/>
        </w:rPr>
        <w:t>on the basis of</w:t>
      </w:r>
      <w:proofErr w:type="gramEnd"/>
      <w:r w:rsidR="00C13C2D">
        <w:rPr>
          <w:i/>
          <w:iCs/>
          <w:sz w:val="20"/>
          <w:szCs w:val="20"/>
        </w:rPr>
        <w:t xml:space="preserve"> their built form and not on the basis of town or parish boundaries. </w:t>
      </w:r>
    </w:p>
    <w:p w14:paraId="1B533D53" w14:textId="77777777" w:rsidR="006F4AA0" w:rsidRDefault="006F4AA0" w:rsidP="00174E3E">
      <w:pPr>
        <w:pStyle w:val="Figureheadings"/>
      </w:pPr>
      <w:r w:rsidRPr="009779DB">
        <w:lastRenderedPageBreak/>
        <w:t>Figure 2</w:t>
      </w:r>
      <w:r>
        <w:t xml:space="preserve">: </w:t>
      </w:r>
      <w:r w:rsidRPr="009779DB">
        <w:t xml:space="preserve"> Assessment Matrix</w:t>
      </w:r>
    </w:p>
    <w:p w14:paraId="63644895" w14:textId="77777777" w:rsidR="00AD3A4A" w:rsidRDefault="006F4AA0" w:rsidP="006F4AA0">
      <w:r w:rsidRPr="00277344">
        <w:t>The Matrix provides a grading system for the assessment of sites (as set out in paragraph 5.4</w:t>
      </w:r>
      <w:r w:rsidR="00AD3A4A">
        <w:t xml:space="preserve"> of The Framework – see Appendix 2</w:t>
      </w:r>
      <w:r w:rsidRPr="00277344">
        <w:t xml:space="preserve">) and will be used at both assessment </w:t>
      </w:r>
      <w:r>
        <w:t>stages</w:t>
      </w:r>
      <w:r w:rsidRPr="00277344">
        <w:t xml:space="preserve">.  Higher scoring sites are </w:t>
      </w:r>
      <w:r w:rsidRPr="00C51934">
        <w:t>generally</w:t>
      </w:r>
      <w:r>
        <w:t xml:space="preserve"> </w:t>
      </w:r>
      <w:r w:rsidRPr="00277344">
        <w:t xml:space="preserve">the most important in Green Belt terms.  </w:t>
      </w:r>
    </w:p>
    <w:p w14:paraId="19415525" w14:textId="77777777" w:rsidR="006F4AA0" w:rsidRDefault="006F4AA0" w:rsidP="006F4AA0">
      <w:r w:rsidRPr="00277344">
        <w:t xml:space="preserve">(NB. The term ‘site’ is used for consistency and includes broad locations) </w:t>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3240"/>
        <w:gridCol w:w="1017"/>
        <w:gridCol w:w="3626"/>
        <w:gridCol w:w="1001"/>
        <w:gridCol w:w="3356"/>
      </w:tblGrid>
      <w:tr w:rsidR="006F4AA0" w:rsidRPr="006F4AA0" w14:paraId="1D690356" w14:textId="77777777" w:rsidTr="00640501">
        <w:tc>
          <w:tcPr>
            <w:tcW w:w="2088" w:type="dxa"/>
          </w:tcPr>
          <w:p w14:paraId="7A6C3E2F" w14:textId="77777777" w:rsidR="006F4AA0" w:rsidRPr="006F4AA0" w:rsidRDefault="006F4AA0" w:rsidP="00640501">
            <w:pPr>
              <w:rPr>
                <w:b/>
                <w:sz w:val="22"/>
                <w:szCs w:val="22"/>
              </w:rPr>
            </w:pPr>
            <w:r w:rsidRPr="006F4AA0">
              <w:rPr>
                <w:b/>
                <w:sz w:val="22"/>
                <w:szCs w:val="22"/>
              </w:rPr>
              <w:t>Purpose / Impact</w:t>
            </w:r>
          </w:p>
        </w:tc>
        <w:tc>
          <w:tcPr>
            <w:tcW w:w="3240" w:type="dxa"/>
          </w:tcPr>
          <w:p w14:paraId="259A97CC" w14:textId="77777777" w:rsidR="006F4AA0" w:rsidRPr="006F4AA0" w:rsidRDefault="006F4AA0" w:rsidP="00640501">
            <w:pPr>
              <w:jc w:val="center"/>
              <w:rPr>
                <w:sz w:val="22"/>
                <w:szCs w:val="22"/>
              </w:rPr>
            </w:pPr>
            <w:r w:rsidRPr="006F4AA0">
              <w:rPr>
                <w:sz w:val="22"/>
                <w:szCs w:val="22"/>
              </w:rPr>
              <w:sym w:font="Wingdings" w:char="F0AB"/>
            </w:r>
            <w:r w:rsidRPr="006F4AA0">
              <w:rPr>
                <w:sz w:val="22"/>
                <w:szCs w:val="22"/>
              </w:rPr>
              <w:t xml:space="preserve"> </w:t>
            </w:r>
          </w:p>
        </w:tc>
        <w:tc>
          <w:tcPr>
            <w:tcW w:w="1017" w:type="dxa"/>
          </w:tcPr>
          <w:p w14:paraId="36BE375D" w14:textId="77777777" w:rsidR="006F4AA0" w:rsidRPr="006F4AA0" w:rsidRDefault="006F4AA0" w:rsidP="00640501">
            <w:pPr>
              <w:tabs>
                <w:tab w:val="center" w:pos="1073"/>
              </w:tabs>
              <w:jc w:val="center"/>
              <w:rPr>
                <w:sz w:val="22"/>
                <w:szCs w:val="22"/>
              </w:rPr>
            </w:pPr>
            <w:r w:rsidRPr="006F4AA0">
              <w:rPr>
                <w:sz w:val="22"/>
                <w:szCs w:val="22"/>
              </w:rPr>
              <w:sym w:font="Wingdings" w:char="F0AB"/>
            </w:r>
            <w:r w:rsidRPr="006F4AA0">
              <w:rPr>
                <w:sz w:val="22"/>
                <w:szCs w:val="22"/>
              </w:rPr>
              <w:sym w:font="Wingdings" w:char="F0AB"/>
            </w:r>
          </w:p>
        </w:tc>
        <w:tc>
          <w:tcPr>
            <w:tcW w:w="3626" w:type="dxa"/>
          </w:tcPr>
          <w:p w14:paraId="3A5EC4DA" w14:textId="77777777" w:rsidR="006F4AA0" w:rsidRPr="006F4AA0" w:rsidRDefault="006F4AA0" w:rsidP="00640501">
            <w:pPr>
              <w:tabs>
                <w:tab w:val="center" w:pos="1073"/>
              </w:tabs>
              <w:jc w:val="center"/>
              <w:rPr>
                <w:sz w:val="22"/>
                <w:szCs w:val="22"/>
              </w:rPr>
            </w:pPr>
            <w:r w:rsidRPr="006F4AA0">
              <w:rPr>
                <w:sz w:val="22"/>
                <w:szCs w:val="22"/>
              </w:rPr>
              <w:sym w:font="Wingdings" w:char="F0AB"/>
            </w:r>
            <w:r w:rsidRPr="006F4AA0">
              <w:rPr>
                <w:sz w:val="22"/>
                <w:szCs w:val="22"/>
              </w:rPr>
              <w:sym w:font="Wingdings" w:char="F0AB"/>
            </w:r>
            <w:r w:rsidRPr="006F4AA0">
              <w:rPr>
                <w:sz w:val="22"/>
                <w:szCs w:val="22"/>
              </w:rPr>
              <w:sym w:font="Wingdings" w:char="F0AB"/>
            </w:r>
          </w:p>
        </w:tc>
        <w:tc>
          <w:tcPr>
            <w:tcW w:w="1001" w:type="dxa"/>
          </w:tcPr>
          <w:p w14:paraId="60B29F68" w14:textId="77777777" w:rsidR="006F4AA0" w:rsidRPr="006F4AA0" w:rsidRDefault="006F4AA0" w:rsidP="00640501">
            <w:pPr>
              <w:tabs>
                <w:tab w:val="center" w:pos="1073"/>
              </w:tabs>
              <w:jc w:val="center"/>
              <w:rPr>
                <w:sz w:val="22"/>
                <w:szCs w:val="22"/>
              </w:rPr>
            </w:pPr>
            <w:r w:rsidRPr="006F4AA0">
              <w:rPr>
                <w:sz w:val="22"/>
                <w:szCs w:val="22"/>
              </w:rPr>
              <w:sym w:font="Wingdings" w:char="F0AB"/>
            </w:r>
            <w:r w:rsidRPr="006F4AA0">
              <w:rPr>
                <w:sz w:val="22"/>
                <w:szCs w:val="22"/>
              </w:rPr>
              <w:sym w:font="Wingdings" w:char="F0AB"/>
            </w:r>
            <w:r w:rsidRPr="006F4AA0">
              <w:rPr>
                <w:sz w:val="22"/>
                <w:szCs w:val="22"/>
              </w:rPr>
              <w:sym w:font="Wingdings" w:char="F0AB"/>
            </w:r>
            <w:r w:rsidRPr="006F4AA0">
              <w:rPr>
                <w:sz w:val="22"/>
                <w:szCs w:val="22"/>
              </w:rPr>
              <w:sym w:font="Wingdings" w:char="F0AB"/>
            </w:r>
          </w:p>
        </w:tc>
        <w:tc>
          <w:tcPr>
            <w:tcW w:w="3356" w:type="dxa"/>
          </w:tcPr>
          <w:p w14:paraId="3F9A4C2C" w14:textId="77777777" w:rsidR="006F4AA0" w:rsidRPr="006F4AA0" w:rsidRDefault="006F4AA0" w:rsidP="00640501">
            <w:pPr>
              <w:jc w:val="center"/>
              <w:rPr>
                <w:sz w:val="22"/>
                <w:szCs w:val="22"/>
              </w:rPr>
            </w:pPr>
            <w:r w:rsidRPr="006F4AA0">
              <w:rPr>
                <w:sz w:val="22"/>
                <w:szCs w:val="22"/>
              </w:rPr>
              <w:sym w:font="Wingdings" w:char="F0AB"/>
            </w:r>
            <w:r w:rsidRPr="006F4AA0">
              <w:rPr>
                <w:sz w:val="22"/>
                <w:szCs w:val="22"/>
              </w:rPr>
              <w:sym w:font="Wingdings" w:char="F0AB"/>
            </w:r>
            <w:r w:rsidRPr="006F4AA0">
              <w:rPr>
                <w:sz w:val="22"/>
                <w:szCs w:val="22"/>
              </w:rPr>
              <w:sym w:font="Wingdings" w:char="F0AB"/>
            </w:r>
            <w:r w:rsidRPr="006F4AA0">
              <w:rPr>
                <w:sz w:val="22"/>
                <w:szCs w:val="22"/>
              </w:rPr>
              <w:sym w:font="Wingdings" w:char="F0AB"/>
            </w:r>
            <w:r w:rsidRPr="006F4AA0">
              <w:rPr>
                <w:sz w:val="22"/>
                <w:szCs w:val="22"/>
              </w:rPr>
              <w:sym w:font="Wingdings" w:char="F0AB"/>
            </w:r>
          </w:p>
        </w:tc>
      </w:tr>
      <w:tr w:rsidR="006F4AA0" w:rsidRPr="006F4AA0" w14:paraId="4506455F" w14:textId="77777777" w:rsidTr="00640501">
        <w:tc>
          <w:tcPr>
            <w:tcW w:w="2088" w:type="dxa"/>
          </w:tcPr>
          <w:p w14:paraId="60B1BB6E" w14:textId="77777777" w:rsidR="006F4AA0" w:rsidRPr="006F4AA0" w:rsidRDefault="006F4AA0" w:rsidP="00640501">
            <w:pPr>
              <w:rPr>
                <w:b/>
                <w:sz w:val="22"/>
                <w:szCs w:val="22"/>
              </w:rPr>
            </w:pPr>
            <w:r w:rsidRPr="006F4AA0">
              <w:rPr>
                <w:b/>
                <w:sz w:val="22"/>
                <w:szCs w:val="22"/>
              </w:rPr>
              <w:t>Check the unrestricted sprawl of settlements</w:t>
            </w:r>
          </w:p>
        </w:tc>
        <w:tc>
          <w:tcPr>
            <w:tcW w:w="3240" w:type="dxa"/>
          </w:tcPr>
          <w:p w14:paraId="1D7045DA" w14:textId="77777777" w:rsidR="006F4AA0" w:rsidRPr="006F4AA0" w:rsidRDefault="006F4AA0" w:rsidP="00640501">
            <w:pPr>
              <w:rPr>
                <w:sz w:val="22"/>
                <w:szCs w:val="22"/>
              </w:rPr>
            </w:pPr>
            <w:r w:rsidRPr="006F4AA0">
              <w:rPr>
                <w:sz w:val="22"/>
                <w:szCs w:val="22"/>
              </w:rPr>
              <w:t>The site has two or more boundaries adjoining a settlement or rounds off an existing settlement.  The site is well contained by strong physical features which can act as defensible boundaries and does not extend over topographical features.</w:t>
            </w:r>
          </w:p>
        </w:tc>
        <w:tc>
          <w:tcPr>
            <w:tcW w:w="1017" w:type="dxa"/>
          </w:tcPr>
          <w:p w14:paraId="77347C55" w14:textId="77777777" w:rsidR="006F4AA0" w:rsidRPr="006F4AA0" w:rsidRDefault="006F4AA0" w:rsidP="00640501">
            <w:pPr>
              <w:rPr>
                <w:sz w:val="22"/>
                <w:szCs w:val="22"/>
              </w:rPr>
            </w:pPr>
          </w:p>
        </w:tc>
        <w:tc>
          <w:tcPr>
            <w:tcW w:w="3626" w:type="dxa"/>
          </w:tcPr>
          <w:p w14:paraId="3392B54D" w14:textId="77777777" w:rsidR="006F4AA0" w:rsidRPr="006F4AA0" w:rsidRDefault="006F4AA0" w:rsidP="00640501">
            <w:pPr>
              <w:rPr>
                <w:sz w:val="22"/>
                <w:szCs w:val="22"/>
              </w:rPr>
            </w:pPr>
            <w:r w:rsidRPr="006F4AA0">
              <w:rPr>
                <w:sz w:val="22"/>
                <w:szCs w:val="22"/>
              </w:rPr>
              <w:t>The site has two or more boundaries adjoining a settlement but is not well contained and there are weak or no features to act as defensible boundaries.</w:t>
            </w:r>
          </w:p>
        </w:tc>
        <w:tc>
          <w:tcPr>
            <w:tcW w:w="1001" w:type="dxa"/>
          </w:tcPr>
          <w:p w14:paraId="1E421E85" w14:textId="77777777" w:rsidR="006F4AA0" w:rsidRPr="006F4AA0" w:rsidRDefault="006F4AA0" w:rsidP="00640501">
            <w:pPr>
              <w:rPr>
                <w:sz w:val="22"/>
                <w:szCs w:val="22"/>
              </w:rPr>
            </w:pPr>
            <w:r w:rsidRPr="006F4AA0">
              <w:rPr>
                <w:sz w:val="22"/>
                <w:szCs w:val="22"/>
              </w:rPr>
              <w:t xml:space="preserve">   </w:t>
            </w:r>
          </w:p>
        </w:tc>
        <w:tc>
          <w:tcPr>
            <w:tcW w:w="3356" w:type="dxa"/>
          </w:tcPr>
          <w:p w14:paraId="69999C18" w14:textId="77777777" w:rsidR="006F4AA0" w:rsidRPr="006F4AA0" w:rsidRDefault="006F4AA0" w:rsidP="00640501">
            <w:pPr>
              <w:rPr>
                <w:sz w:val="22"/>
                <w:szCs w:val="22"/>
              </w:rPr>
            </w:pPr>
            <w:r w:rsidRPr="006F4AA0">
              <w:rPr>
                <w:sz w:val="22"/>
                <w:szCs w:val="22"/>
              </w:rPr>
              <w:t>The site does not adjoin a settlement, or has only one boundary with a settlement, or forms a long limb into open countryside.  There are weak or no features to act as defensible boundaries.  The site is visually disconnected from any settlement.</w:t>
            </w:r>
          </w:p>
        </w:tc>
      </w:tr>
      <w:tr w:rsidR="006F4AA0" w:rsidRPr="006F4AA0" w14:paraId="7716B64D" w14:textId="77777777" w:rsidTr="00640501">
        <w:tc>
          <w:tcPr>
            <w:tcW w:w="2088" w:type="dxa"/>
          </w:tcPr>
          <w:p w14:paraId="1CA022A2" w14:textId="77777777" w:rsidR="006F4AA0" w:rsidRPr="006F4AA0" w:rsidRDefault="006F4AA0" w:rsidP="00640501">
            <w:pPr>
              <w:rPr>
                <w:b/>
                <w:sz w:val="22"/>
                <w:szCs w:val="22"/>
              </w:rPr>
            </w:pPr>
            <w:r w:rsidRPr="006F4AA0">
              <w:rPr>
                <w:b/>
                <w:sz w:val="22"/>
                <w:szCs w:val="22"/>
              </w:rPr>
              <w:t>Prevent neighbouring settlements from merging into one another</w:t>
            </w:r>
          </w:p>
        </w:tc>
        <w:tc>
          <w:tcPr>
            <w:tcW w:w="3240" w:type="dxa"/>
          </w:tcPr>
          <w:p w14:paraId="465D6184" w14:textId="77777777" w:rsidR="006F4AA0" w:rsidRPr="006F4AA0" w:rsidRDefault="006F4AA0" w:rsidP="00640501">
            <w:pPr>
              <w:rPr>
                <w:sz w:val="22"/>
                <w:szCs w:val="22"/>
              </w:rPr>
            </w:pPr>
            <w:r w:rsidRPr="006F4AA0">
              <w:rPr>
                <w:sz w:val="22"/>
                <w:szCs w:val="22"/>
              </w:rPr>
              <w:t xml:space="preserve">Development would not reduce the size of the gap between </w:t>
            </w:r>
            <w:proofErr w:type="gramStart"/>
            <w:r w:rsidRPr="006F4AA0">
              <w:rPr>
                <w:sz w:val="22"/>
                <w:szCs w:val="22"/>
              </w:rPr>
              <w:t>settlements, or</w:t>
            </w:r>
            <w:proofErr w:type="gramEnd"/>
            <w:r w:rsidRPr="006F4AA0">
              <w:rPr>
                <w:sz w:val="22"/>
                <w:szCs w:val="22"/>
              </w:rPr>
              <w:t xml:space="preserve"> would result in only very limited reduction.</w:t>
            </w:r>
          </w:p>
        </w:tc>
        <w:tc>
          <w:tcPr>
            <w:tcW w:w="1017" w:type="dxa"/>
          </w:tcPr>
          <w:p w14:paraId="0772D56E" w14:textId="77777777" w:rsidR="006F4AA0" w:rsidRPr="006F4AA0" w:rsidRDefault="006F4AA0" w:rsidP="00640501">
            <w:pPr>
              <w:rPr>
                <w:sz w:val="22"/>
                <w:szCs w:val="22"/>
              </w:rPr>
            </w:pPr>
          </w:p>
        </w:tc>
        <w:tc>
          <w:tcPr>
            <w:tcW w:w="3626" w:type="dxa"/>
          </w:tcPr>
          <w:p w14:paraId="5B729395" w14:textId="77777777" w:rsidR="006F4AA0" w:rsidRPr="006F4AA0" w:rsidRDefault="006F4AA0" w:rsidP="00640501">
            <w:pPr>
              <w:rPr>
                <w:sz w:val="22"/>
                <w:szCs w:val="22"/>
              </w:rPr>
            </w:pPr>
            <w:r w:rsidRPr="006F4AA0">
              <w:rPr>
                <w:sz w:val="22"/>
                <w:szCs w:val="22"/>
              </w:rPr>
              <w:t>Development would result in a moderate reduction in the size of a gap between settlements.</w:t>
            </w:r>
          </w:p>
        </w:tc>
        <w:tc>
          <w:tcPr>
            <w:tcW w:w="1001" w:type="dxa"/>
          </w:tcPr>
          <w:p w14:paraId="5594A4ED" w14:textId="77777777" w:rsidR="006F4AA0" w:rsidRPr="006F4AA0" w:rsidRDefault="006F4AA0" w:rsidP="00640501">
            <w:pPr>
              <w:rPr>
                <w:sz w:val="22"/>
                <w:szCs w:val="22"/>
              </w:rPr>
            </w:pPr>
          </w:p>
        </w:tc>
        <w:tc>
          <w:tcPr>
            <w:tcW w:w="3356" w:type="dxa"/>
          </w:tcPr>
          <w:p w14:paraId="42880438" w14:textId="77777777" w:rsidR="006F4AA0" w:rsidRPr="006F4AA0" w:rsidRDefault="006F4AA0" w:rsidP="00640501">
            <w:pPr>
              <w:rPr>
                <w:sz w:val="22"/>
                <w:szCs w:val="22"/>
              </w:rPr>
            </w:pPr>
            <w:r w:rsidRPr="006F4AA0">
              <w:rPr>
                <w:sz w:val="22"/>
                <w:szCs w:val="22"/>
              </w:rPr>
              <w:t>Development would result in a complete or virtually complete merging of settlements.</w:t>
            </w:r>
          </w:p>
        </w:tc>
      </w:tr>
      <w:tr w:rsidR="006F4AA0" w:rsidRPr="006F4AA0" w14:paraId="270DB5F1" w14:textId="77777777" w:rsidTr="00640501">
        <w:tc>
          <w:tcPr>
            <w:tcW w:w="2088" w:type="dxa"/>
          </w:tcPr>
          <w:p w14:paraId="3D5C9FA2" w14:textId="77777777" w:rsidR="006F4AA0" w:rsidRPr="006F4AA0" w:rsidRDefault="006F4AA0" w:rsidP="00640501">
            <w:pPr>
              <w:rPr>
                <w:b/>
                <w:sz w:val="22"/>
                <w:szCs w:val="22"/>
              </w:rPr>
            </w:pPr>
            <w:r w:rsidRPr="006F4AA0">
              <w:rPr>
                <w:b/>
                <w:sz w:val="22"/>
                <w:szCs w:val="22"/>
              </w:rPr>
              <w:t>Assist in safeguarding the countryside from encroachment</w:t>
            </w:r>
          </w:p>
        </w:tc>
        <w:tc>
          <w:tcPr>
            <w:tcW w:w="3240" w:type="dxa"/>
          </w:tcPr>
          <w:p w14:paraId="2564E6D7" w14:textId="77777777" w:rsidR="006F4AA0" w:rsidRPr="006F4AA0" w:rsidRDefault="006F4AA0" w:rsidP="00640501">
            <w:pPr>
              <w:rPr>
                <w:sz w:val="22"/>
                <w:szCs w:val="22"/>
              </w:rPr>
            </w:pPr>
            <w:r w:rsidRPr="006F4AA0">
              <w:rPr>
                <w:sz w:val="22"/>
                <w:szCs w:val="22"/>
              </w:rPr>
              <w:t>The site includes a large amount of existing inappropriate developments which have caused a significant degree of encroachment.</w:t>
            </w:r>
          </w:p>
        </w:tc>
        <w:tc>
          <w:tcPr>
            <w:tcW w:w="1017" w:type="dxa"/>
          </w:tcPr>
          <w:p w14:paraId="2AF8898B" w14:textId="77777777" w:rsidR="006F4AA0" w:rsidRPr="006F4AA0" w:rsidRDefault="006F4AA0" w:rsidP="00640501">
            <w:pPr>
              <w:rPr>
                <w:sz w:val="22"/>
                <w:szCs w:val="22"/>
              </w:rPr>
            </w:pPr>
          </w:p>
        </w:tc>
        <w:tc>
          <w:tcPr>
            <w:tcW w:w="3626" w:type="dxa"/>
          </w:tcPr>
          <w:p w14:paraId="1BC15F42" w14:textId="77777777" w:rsidR="006F4AA0" w:rsidRPr="006F4AA0" w:rsidRDefault="006F4AA0" w:rsidP="00640501">
            <w:pPr>
              <w:rPr>
                <w:sz w:val="22"/>
                <w:szCs w:val="22"/>
              </w:rPr>
            </w:pPr>
            <w:r w:rsidRPr="006F4AA0">
              <w:rPr>
                <w:sz w:val="22"/>
                <w:szCs w:val="22"/>
              </w:rPr>
              <w:t>The site includes some existing inappropriate developments which have caused some encroachment.</w:t>
            </w:r>
          </w:p>
        </w:tc>
        <w:tc>
          <w:tcPr>
            <w:tcW w:w="1001" w:type="dxa"/>
          </w:tcPr>
          <w:p w14:paraId="64701E92" w14:textId="77777777" w:rsidR="006F4AA0" w:rsidRPr="006F4AA0" w:rsidRDefault="006F4AA0" w:rsidP="00640501">
            <w:pPr>
              <w:rPr>
                <w:sz w:val="22"/>
                <w:szCs w:val="22"/>
              </w:rPr>
            </w:pPr>
          </w:p>
        </w:tc>
        <w:tc>
          <w:tcPr>
            <w:tcW w:w="3356" w:type="dxa"/>
          </w:tcPr>
          <w:p w14:paraId="3C51BEB3" w14:textId="77777777" w:rsidR="006F4AA0" w:rsidRPr="006F4AA0" w:rsidRDefault="006F4AA0" w:rsidP="00640501">
            <w:pPr>
              <w:rPr>
                <w:sz w:val="22"/>
                <w:szCs w:val="22"/>
              </w:rPr>
            </w:pPr>
            <w:r w:rsidRPr="006F4AA0">
              <w:rPr>
                <w:sz w:val="22"/>
                <w:szCs w:val="22"/>
              </w:rPr>
              <w:t>The site does not have any inappropriate developments and therefore no encroachment.</w:t>
            </w:r>
          </w:p>
        </w:tc>
      </w:tr>
      <w:tr w:rsidR="006F4AA0" w:rsidRPr="006F4AA0" w14:paraId="4AC50D77" w14:textId="77777777" w:rsidTr="00640501">
        <w:tc>
          <w:tcPr>
            <w:tcW w:w="2088" w:type="dxa"/>
          </w:tcPr>
          <w:p w14:paraId="54099B04" w14:textId="77777777" w:rsidR="006F4AA0" w:rsidRPr="006F4AA0" w:rsidRDefault="006F4AA0" w:rsidP="00640501">
            <w:pPr>
              <w:rPr>
                <w:b/>
                <w:sz w:val="22"/>
                <w:szCs w:val="22"/>
              </w:rPr>
            </w:pPr>
            <w:r w:rsidRPr="006F4AA0">
              <w:rPr>
                <w:b/>
                <w:sz w:val="22"/>
                <w:szCs w:val="22"/>
              </w:rPr>
              <w:t>Preserve the setting and special character of historic settlements</w:t>
            </w:r>
          </w:p>
        </w:tc>
        <w:tc>
          <w:tcPr>
            <w:tcW w:w="3240" w:type="dxa"/>
          </w:tcPr>
          <w:p w14:paraId="0F8CD8B3" w14:textId="77777777" w:rsidR="006F4AA0" w:rsidRPr="006F4AA0" w:rsidRDefault="006F4AA0" w:rsidP="00640501">
            <w:pPr>
              <w:rPr>
                <w:sz w:val="22"/>
                <w:szCs w:val="22"/>
              </w:rPr>
            </w:pPr>
            <w:r w:rsidRPr="006F4AA0">
              <w:rPr>
                <w:sz w:val="22"/>
                <w:szCs w:val="22"/>
              </w:rPr>
              <w:t xml:space="preserve">The site will have no adverse impact on one or more conservation areas or designated or non-designated heritage assets associated with settlements. </w:t>
            </w:r>
          </w:p>
        </w:tc>
        <w:tc>
          <w:tcPr>
            <w:tcW w:w="1017" w:type="dxa"/>
          </w:tcPr>
          <w:p w14:paraId="29620240" w14:textId="77777777" w:rsidR="006F4AA0" w:rsidRPr="006F4AA0" w:rsidRDefault="006F4AA0" w:rsidP="00640501">
            <w:pPr>
              <w:rPr>
                <w:sz w:val="22"/>
                <w:szCs w:val="22"/>
              </w:rPr>
            </w:pPr>
          </w:p>
        </w:tc>
        <w:tc>
          <w:tcPr>
            <w:tcW w:w="3626" w:type="dxa"/>
          </w:tcPr>
          <w:p w14:paraId="2FFD2612" w14:textId="77777777" w:rsidR="006F4AA0" w:rsidRPr="006F4AA0" w:rsidRDefault="006F4AA0" w:rsidP="00640501">
            <w:pPr>
              <w:rPr>
                <w:sz w:val="22"/>
                <w:szCs w:val="22"/>
              </w:rPr>
            </w:pPr>
            <w:r w:rsidRPr="006F4AA0">
              <w:rPr>
                <w:sz w:val="22"/>
                <w:szCs w:val="22"/>
              </w:rPr>
              <w:t>The site will have a moderate adverse impact on one or more conservation areas or designated or non-designated heritage assets associated with settlements.</w:t>
            </w:r>
          </w:p>
        </w:tc>
        <w:tc>
          <w:tcPr>
            <w:tcW w:w="1001" w:type="dxa"/>
          </w:tcPr>
          <w:p w14:paraId="1DAA4BB2" w14:textId="77777777" w:rsidR="006F4AA0" w:rsidRPr="006F4AA0" w:rsidRDefault="006F4AA0" w:rsidP="00640501">
            <w:pPr>
              <w:rPr>
                <w:sz w:val="22"/>
                <w:szCs w:val="22"/>
              </w:rPr>
            </w:pPr>
          </w:p>
        </w:tc>
        <w:tc>
          <w:tcPr>
            <w:tcW w:w="3356" w:type="dxa"/>
          </w:tcPr>
          <w:p w14:paraId="2926A642" w14:textId="77777777" w:rsidR="006F4AA0" w:rsidRPr="006F4AA0" w:rsidRDefault="006F4AA0" w:rsidP="00640501">
            <w:pPr>
              <w:rPr>
                <w:sz w:val="22"/>
                <w:szCs w:val="22"/>
              </w:rPr>
            </w:pPr>
            <w:r w:rsidRPr="006F4AA0">
              <w:rPr>
                <w:sz w:val="22"/>
                <w:szCs w:val="22"/>
              </w:rPr>
              <w:t>The site will have a significant adverse impact on one or more conservation areas or designated or non-designated heritage assets associated with settlements.</w:t>
            </w:r>
          </w:p>
        </w:tc>
      </w:tr>
      <w:tr w:rsidR="006F4AA0" w:rsidRPr="006F4AA0" w14:paraId="0F13A325" w14:textId="77777777" w:rsidTr="00640501">
        <w:tc>
          <w:tcPr>
            <w:tcW w:w="2088" w:type="dxa"/>
          </w:tcPr>
          <w:p w14:paraId="04A25FC2" w14:textId="77777777" w:rsidR="006F4AA0" w:rsidRPr="006F4AA0" w:rsidRDefault="006F4AA0" w:rsidP="00A53741">
            <w:pPr>
              <w:rPr>
                <w:b/>
                <w:sz w:val="22"/>
                <w:szCs w:val="22"/>
              </w:rPr>
            </w:pPr>
            <w:r w:rsidRPr="006F4AA0">
              <w:rPr>
                <w:b/>
                <w:sz w:val="22"/>
                <w:szCs w:val="22"/>
              </w:rPr>
              <w:t>Assist in urban regeneration</w:t>
            </w:r>
          </w:p>
        </w:tc>
        <w:tc>
          <w:tcPr>
            <w:tcW w:w="12240" w:type="dxa"/>
            <w:gridSpan w:val="5"/>
          </w:tcPr>
          <w:p w14:paraId="64403A90" w14:textId="77777777" w:rsidR="006F4AA0" w:rsidRPr="006F4AA0" w:rsidRDefault="006F4AA0" w:rsidP="00640501">
            <w:pPr>
              <w:rPr>
                <w:sz w:val="22"/>
                <w:szCs w:val="22"/>
              </w:rPr>
            </w:pPr>
            <w:r w:rsidRPr="006F4AA0">
              <w:rPr>
                <w:sz w:val="22"/>
                <w:szCs w:val="22"/>
              </w:rPr>
              <w:t>It is considered that all sites in the Green Belt assist in urban regeneration. This is not considered to be a matter of difference between Green Belt sites and therefore this Green Belt purpose is not scored as part of the Framework.</w:t>
            </w:r>
          </w:p>
        </w:tc>
      </w:tr>
    </w:tbl>
    <w:p w14:paraId="7F668D71" w14:textId="77777777" w:rsidR="00E83EE9" w:rsidRDefault="00E83EE9" w:rsidP="006F4AA0">
      <w:pPr>
        <w:rPr>
          <w:sz w:val="22"/>
          <w:szCs w:val="22"/>
        </w:rPr>
        <w:sectPr w:rsidR="00E83EE9" w:rsidSect="006F4AA0">
          <w:pgSz w:w="16838" w:h="11906" w:orient="landscape"/>
          <w:pgMar w:top="1304" w:right="1440" w:bottom="1826" w:left="1134" w:header="709" w:footer="709" w:gutter="0"/>
          <w:cols w:space="708"/>
          <w:docGrid w:linePitch="360"/>
        </w:sectPr>
      </w:pPr>
    </w:p>
    <w:p w14:paraId="1C4D2170" w14:textId="77777777" w:rsidR="00983B29" w:rsidRDefault="00983B29" w:rsidP="00983B29">
      <w:pPr>
        <w:ind w:left="1701" w:hanging="1701"/>
        <w:jc w:val="center"/>
        <w:rPr>
          <w:b/>
        </w:rPr>
      </w:pPr>
    </w:p>
    <w:p w14:paraId="5608830E" w14:textId="77777777" w:rsidR="00983B29" w:rsidRDefault="00983B29" w:rsidP="00983B29">
      <w:pPr>
        <w:ind w:left="1701" w:hanging="1701"/>
        <w:jc w:val="center"/>
        <w:rPr>
          <w:b/>
        </w:rPr>
      </w:pPr>
    </w:p>
    <w:sectPr w:rsidR="00983B29" w:rsidSect="00E83EE9">
      <w:pgSz w:w="11906" w:h="16838"/>
      <w:pgMar w:top="1440" w:right="1826"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795D6" w14:textId="77777777" w:rsidR="00B52C08" w:rsidRDefault="00B52C08">
      <w:r>
        <w:separator/>
      </w:r>
    </w:p>
  </w:endnote>
  <w:endnote w:type="continuationSeparator" w:id="0">
    <w:p w14:paraId="1BD33936" w14:textId="77777777" w:rsidR="00B52C08" w:rsidRDefault="00B52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D8CD2" w14:textId="77777777" w:rsidR="00AA10A3" w:rsidRDefault="00AA10A3" w:rsidP="00EA78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C013FA" w14:textId="77777777" w:rsidR="00AA10A3" w:rsidRDefault="00AA10A3" w:rsidP="00CA54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7C5F0" w14:textId="77777777" w:rsidR="00A95A88" w:rsidRDefault="00A95A88" w:rsidP="00A95A8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3CD73" w14:textId="77777777" w:rsidR="001127CE" w:rsidRDefault="001127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C47D4" w14:textId="77777777" w:rsidR="00B52C08" w:rsidRDefault="00B52C08">
      <w:r>
        <w:separator/>
      </w:r>
    </w:p>
  </w:footnote>
  <w:footnote w:type="continuationSeparator" w:id="0">
    <w:p w14:paraId="7585B7AC" w14:textId="77777777" w:rsidR="00B52C08" w:rsidRDefault="00B52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9C006" w14:textId="77777777" w:rsidR="001127CE" w:rsidRDefault="001127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1AE00" w14:textId="77777777" w:rsidR="00AA10A3" w:rsidRPr="008B646B" w:rsidRDefault="00AA10A3" w:rsidP="008B646B">
    <w:pPr>
      <w:pStyle w:val="Header"/>
      <w:jc w:val="right"/>
      <w:rPr>
        <w:sz w:val="20"/>
        <w:szCs w:val="20"/>
      </w:rPr>
    </w:pPr>
    <w:r w:rsidRPr="008B646B">
      <w:rPr>
        <w:sz w:val="20"/>
        <w:szCs w:val="20"/>
      </w:rPr>
      <w:t>Ashfield District Council</w:t>
    </w:r>
  </w:p>
  <w:p w14:paraId="6F3CECD8" w14:textId="107C3CC8" w:rsidR="00AA10A3" w:rsidRPr="008B646B" w:rsidRDefault="00174E3E" w:rsidP="008B646B">
    <w:pPr>
      <w:pStyle w:val="Header"/>
      <w:jc w:val="right"/>
      <w:rPr>
        <w:sz w:val="20"/>
        <w:szCs w:val="20"/>
      </w:rPr>
    </w:pPr>
    <w:r w:rsidRPr="001127CE">
      <w:rPr>
        <w:noProof/>
        <w:color w:val="auto"/>
        <w:sz w:val="20"/>
        <w:szCs w:val="20"/>
      </w:rPr>
      <mc:AlternateContent>
        <mc:Choice Requires="wps">
          <w:drawing>
            <wp:anchor distT="0" distB="0" distL="114300" distR="114300" simplePos="0" relativeHeight="251657216" behindDoc="0" locked="0" layoutInCell="1" allowOverlap="1" wp14:anchorId="193E63D0" wp14:editId="62DB6A89">
              <wp:simplePos x="0" y="0"/>
              <wp:positionH relativeFrom="column">
                <wp:posOffset>-97790</wp:posOffset>
              </wp:positionH>
              <wp:positionV relativeFrom="paragraph">
                <wp:posOffset>203835</wp:posOffset>
              </wp:positionV>
              <wp:extent cx="8965565" cy="0"/>
              <wp:effectExtent l="45085" t="41910" r="38100" b="43815"/>
              <wp:wrapNone/>
              <wp:docPr id="2"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6556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10A74" id="Line 6"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16.05pt" to="698.2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" strokeweight="6pt"/>
          </w:pict>
        </mc:Fallback>
      </mc:AlternateContent>
    </w:r>
    <w:r w:rsidR="00AA10A3">
      <w:rPr>
        <w:sz w:val="20"/>
        <w:szCs w:val="20"/>
      </w:rPr>
      <w:t xml:space="preserve">Strategic </w:t>
    </w:r>
    <w:r w:rsidR="00AA10A3" w:rsidRPr="008B646B">
      <w:rPr>
        <w:sz w:val="20"/>
        <w:szCs w:val="20"/>
      </w:rPr>
      <w:t>Green Belt Review, 201</w:t>
    </w:r>
    <w:r w:rsidR="00E50E2A">
      <w:rPr>
        <w:sz w:val="20"/>
        <w:szCs w:val="20"/>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3A2F0" w14:textId="77777777" w:rsidR="001127CE" w:rsidRDefault="001127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B0F0D" w14:textId="77777777" w:rsidR="00AA10A3" w:rsidRPr="008B646B" w:rsidRDefault="00AA10A3" w:rsidP="00AB6362">
    <w:pPr>
      <w:pStyle w:val="Header"/>
      <w:jc w:val="right"/>
      <w:rPr>
        <w:sz w:val="20"/>
        <w:szCs w:val="20"/>
      </w:rPr>
    </w:pPr>
    <w:r w:rsidRPr="008B646B">
      <w:rPr>
        <w:sz w:val="20"/>
        <w:szCs w:val="20"/>
      </w:rPr>
      <w:t>Ashfield District Council</w:t>
    </w:r>
  </w:p>
  <w:p w14:paraId="6C8D3D89" w14:textId="4A6661B9" w:rsidR="00AA10A3" w:rsidRDefault="00174E3E" w:rsidP="00AB6362">
    <w:pPr>
      <w:pStyle w:val="Header"/>
      <w:jc w:val="right"/>
    </w:pPr>
    <w:r>
      <w:rPr>
        <w:noProof/>
        <w:sz w:val="20"/>
        <w:szCs w:val="20"/>
      </w:rPr>
      <mc:AlternateContent>
        <mc:Choice Requires="wps">
          <w:drawing>
            <wp:anchor distT="0" distB="0" distL="114300" distR="114300" simplePos="0" relativeHeight="251658240" behindDoc="0" locked="0" layoutInCell="1" allowOverlap="1" wp14:anchorId="0987E1BB" wp14:editId="6885A549">
              <wp:simplePos x="0" y="0"/>
              <wp:positionH relativeFrom="column">
                <wp:posOffset>-97790</wp:posOffset>
              </wp:positionH>
              <wp:positionV relativeFrom="paragraph">
                <wp:posOffset>203835</wp:posOffset>
              </wp:positionV>
              <wp:extent cx="5372100" cy="0"/>
              <wp:effectExtent l="45085" t="41910" r="40640" b="43815"/>
              <wp:wrapNone/>
              <wp:docPr id="1" name="Lin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762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00F57" id="Line 8"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16.05pt" to="415.3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" strokecolor="maroon" strokeweight="6pt"/>
          </w:pict>
        </mc:Fallback>
      </mc:AlternateContent>
    </w:r>
    <w:r w:rsidR="00AA10A3">
      <w:rPr>
        <w:sz w:val="20"/>
        <w:szCs w:val="20"/>
      </w:rPr>
      <w:t xml:space="preserve">Strategic </w:t>
    </w:r>
    <w:r w:rsidR="00AA10A3" w:rsidRPr="008B646B">
      <w:rPr>
        <w:sz w:val="20"/>
        <w:szCs w:val="20"/>
      </w:rPr>
      <w:t>Green Belt Review, 2012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256F"/>
    <w:multiLevelType w:val="hybridMultilevel"/>
    <w:tmpl w:val="BF7C763E"/>
    <w:lvl w:ilvl="0" w:tplc="0A7C729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73A8E"/>
    <w:multiLevelType w:val="multilevel"/>
    <w:tmpl w:val="5062399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953774E"/>
    <w:multiLevelType w:val="multilevel"/>
    <w:tmpl w:val="19BA44FA"/>
    <w:lvl w:ilvl="0">
      <w:start w:val="5"/>
      <w:numFmt w:val="decimal"/>
      <w:lvlText w:val="%1"/>
      <w:lvlJc w:val="left"/>
      <w:pPr>
        <w:tabs>
          <w:tab w:val="num" w:pos="465"/>
        </w:tabs>
        <w:ind w:left="465" w:hanging="465"/>
      </w:pPr>
      <w:rPr>
        <w:rFonts w:hint="default"/>
      </w:rPr>
    </w:lvl>
    <w:lvl w:ilvl="1">
      <w:start w:val="1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B44133"/>
    <w:multiLevelType w:val="hybridMultilevel"/>
    <w:tmpl w:val="EBD043A0"/>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4" w15:restartNumberingAfterBreak="0">
    <w:nsid w:val="0BC47CEF"/>
    <w:multiLevelType w:val="hybridMultilevel"/>
    <w:tmpl w:val="853E13C8"/>
    <w:lvl w:ilvl="0" w:tplc="73AE4B1A">
      <w:start w:val="2"/>
      <w:numFmt w:val="bullet"/>
      <w:lvlText w:val=""/>
      <w:lvlJc w:val="left"/>
      <w:pPr>
        <w:tabs>
          <w:tab w:val="num" w:pos="1117"/>
        </w:tabs>
        <w:ind w:left="1117" w:hanging="397"/>
      </w:pPr>
      <w:rPr>
        <w:rFonts w:ascii="Symbol" w:hAnsi="Symbol" w:hint="default"/>
      </w:rPr>
    </w:lvl>
    <w:lvl w:ilvl="1" w:tplc="08090003" w:tentative="1">
      <w:start w:val="1"/>
      <w:numFmt w:val="bullet"/>
      <w:lvlText w:val="o"/>
      <w:lvlJc w:val="left"/>
      <w:pPr>
        <w:tabs>
          <w:tab w:val="num" w:pos="1423"/>
        </w:tabs>
        <w:ind w:left="1423" w:hanging="360"/>
      </w:pPr>
      <w:rPr>
        <w:rFonts w:ascii="Courier New" w:hAnsi="Courier New" w:cs="Courier New" w:hint="default"/>
      </w:rPr>
    </w:lvl>
    <w:lvl w:ilvl="2" w:tplc="08090005" w:tentative="1">
      <w:start w:val="1"/>
      <w:numFmt w:val="bullet"/>
      <w:lvlText w:val=""/>
      <w:lvlJc w:val="left"/>
      <w:pPr>
        <w:tabs>
          <w:tab w:val="num" w:pos="2143"/>
        </w:tabs>
        <w:ind w:left="2143" w:hanging="360"/>
      </w:pPr>
      <w:rPr>
        <w:rFonts w:ascii="Wingdings" w:hAnsi="Wingdings" w:hint="default"/>
      </w:rPr>
    </w:lvl>
    <w:lvl w:ilvl="3" w:tplc="08090001" w:tentative="1">
      <w:start w:val="1"/>
      <w:numFmt w:val="bullet"/>
      <w:lvlText w:val=""/>
      <w:lvlJc w:val="left"/>
      <w:pPr>
        <w:tabs>
          <w:tab w:val="num" w:pos="2863"/>
        </w:tabs>
        <w:ind w:left="2863" w:hanging="360"/>
      </w:pPr>
      <w:rPr>
        <w:rFonts w:ascii="Symbol" w:hAnsi="Symbol" w:hint="default"/>
      </w:rPr>
    </w:lvl>
    <w:lvl w:ilvl="4" w:tplc="08090003" w:tentative="1">
      <w:start w:val="1"/>
      <w:numFmt w:val="bullet"/>
      <w:lvlText w:val="o"/>
      <w:lvlJc w:val="left"/>
      <w:pPr>
        <w:tabs>
          <w:tab w:val="num" w:pos="3583"/>
        </w:tabs>
        <w:ind w:left="3583" w:hanging="360"/>
      </w:pPr>
      <w:rPr>
        <w:rFonts w:ascii="Courier New" w:hAnsi="Courier New" w:cs="Courier New" w:hint="default"/>
      </w:rPr>
    </w:lvl>
    <w:lvl w:ilvl="5" w:tplc="08090005" w:tentative="1">
      <w:start w:val="1"/>
      <w:numFmt w:val="bullet"/>
      <w:lvlText w:val=""/>
      <w:lvlJc w:val="left"/>
      <w:pPr>
        <w:tabs>
          <w:tab w:val="num" w:pos="4303"/>
        </w:tabs>
        <w:ind w:left="4303" w:hanging="360"/>
      </w:pPr>
      <w:rPr>
        <w:rFonts w:ascii="Wingdings" w:hAnsi="Wingdings" w:hint="default"/>
      </w:rPr>
    </w:lvl>
    <w:lvl w:ilvl="6" w:tplc="08090001" w:tentative="1">
      <w:start w:val="1"/>
      <w:numFmt w:val="bullet"/>
      <w:lvlText w:val=""/>
      <w:lvlJc w:val="left"/>
      <w:pPr>
        <w:tabs>
          <w:tab w:val="num" w:pos="5023"/>
        </w:tabs>
        <w:ind w:left="5023" w:hanging="360"/>
      </w:pPr>
      <w:rPr>
        <w:rFonts w:ascii="Symbol" w:hAnsi="Symbol" w:hint="default"/>
      </w:rPr>
    </w:lvl>
    <w:lvl w:ilvl="7" w:tplc="08090003" w:tentative="1">
      <w:start w:val="1"/>
      <w:numFmt w:val="bullet"/>
      <w:lvlText w:val="o"/>
      <w:lvlJc w:val="left"/>
      <w:pPr>
        <w:tabs>
          <w:tab w:val="num" w:pos="5743"/>
        </w:tabs>
        <w:ind w:left="5743" w:hanging="360"/>
      </w:pPr>
      <w:rPr>
        <w:rFonts w:ascii="Courier New" w:hAnsi="Courier New" w:cs="Courier New" w:hint="default"/>
      </w:rPr>
    </w:lvl>
    <w:lvl w:ilvl="8" w:tplc="08090005" w:tentative="1">
      <w:start w:val="1"/>
      <w:numFmt w:val="bullet"/>
      <w:lvlText w:val=""/>
      <w:lvlJc w:val="left"/>
      <w:pPr>
        <w:tabs>
          <w:tab w:val="num" w:pos="6463"/>
        </w:tabs>
        <w:ind w:left="6463" w:hanging="360"/>
      </w:pPr>
      <w:rPr>
        <w:rFonts w:ascii="Wingdings" w:hAnsi="Wingdings" w:hint="default"/>
      </w:rPr>
    </w:lvl>
  </w:abstractNum>
  <w:abstractNum w:abstractNumId="5" w15:restartNumberingAfterBreak="0">
    <w:nsid w:val="0CCC1E1E"/>
    <w:multiLevelType w:val="multilevel"/>
    <w:tmpl w:val="2CD8E7C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FDC17B4"/>
    <w:multiLevelType w:val="hybridMultilevel"/>
    <w:tmpl w:val="0854D25C"/>
    <w:lvl w:ilvl="0" w:tplc="E46492B0">
      <w:start w:val="1"/>
      <w:numFmt w:val="bullet"/>
      <w:lvlText w:val=""/>
      <w:lvlJc w:val="left"/>
      <w:pPr>
        <w:tabs>
          <w:tab w:val="num" w:pos="397"/>
        </w:tabs>
        <w:ind w:left="397" w:hanging="397"/>
      </w:pPr>
      <w:rPr>
        <w:rFonts w:ascii="Symbol" w:hAnsi="Symbol" w:hint="default"/>
        <w:color w:val="auto"/>
      </w:rPr>
    </w:lvl>
    <w:lvl w:ilvl="1" w:tplc="08090003" w:tentative="1">
      <w:start w:val="1"/>
      <w:numFmt w:val="bullet"/>
      <w:lvlText w:val="o"/>
      <w:lvlJc w:val="left"/>
      <w:pPr>
        <w:tabs>
          <w:tab w:val="num" w:pos="1100"/>
        </w:tabs>
        <w:ind w:left="1100" w:hanging="360"/>
      </w:pPr>
      <w:rPr>
        <w:rFonts w:ascii="Courier New" w:hAnsi="Courier New" w:cs="Courier New" w:hint="default"/>
      </w:rPr>
    </w:lvl>
    <w:lvl w:ilvl="2" w:tplc="08090005" w:tentative="1">
      <w:start w:val="1"/>
      <w:numFmt w:val="bullet"/>
      <w:lvlText w:val=""/>
      <w:lvlJc w:val="left"/>
      <w:pPr>
        <w:tabs>
          <w:tab w:val="num" w:pos="1820"/>
        </w:tabs>
        <w:ind w:left="1820" w:hanging="360"/>
      </w:pPr>
      <w:rPr>
        <w:rFonts w:ascii="Wingdings" w:hAnsi="Wingdings" w:hint="default"/>
      </w:rPr>
    </w:lvl>
    <w:lvl w:ilvl="3" w:tplc="08090001" w:tentative="1">
      <w:start w:val="1"/>
      <w:numFmt w:val="bullet"/>
      <w:lvlText w:val=""/>
      <w:lvlJc w:val="left"/>
      <w:pPr>
        <w:tabs>
          <w:tab w:val="num" w:pos="2540"/>
        </w:tabs>
        <w:ind w:left="2540" w:hanging="360"/>
      </w:pPr>
      <w:rPr>
        <w:rFonts w:ascii="Symbol" w:hAnsi="Symbol" w:hint="default"/>
      </w:rPr>
    </w:lvl>
    <w:lvl w:ilvl="4" w:tplc="08090003" w:tentative="1">
      <w:start w:val="1"/>
      <w:numFmt w:val="bullet"/>
      <w:lvlText w:val="o"/>
      <w:lvlJc w:val="left"/>
      <w:pPr>
        <w:tabs>
          <w:tab w:val="num" w:pos="3260"/>
        </w:tabs>
        <w:ind w:left="3260" w:hanging="360"/>
      </w:pPr>
      <w:rPr>
        <w:rFonts w:ascii="Courier New" w:hAnsi="Courier New" w:cs="Courier New" w:hint="default"/>
      </w:rPr>
    </w:lvl>
    <w:lvl w:ilvl="5" w:tplc="08090005" w:tentative="1">
      <w:start w:val="1"/>
      <w:numFmt w:val="bullet"/>
      <w:lvlText w:val=""/>
      <w:lvlJc w:val="left"/>
      <w:pPr>
        <w:tabs>
          <w:tab w:val="num" w:pos="3980"/>
        </w:tabs>
        <w:ind w:left="3980" w:hanging="360"/>
      </w:pPr>
      <w:rPr>
        <w:rFonts w:ascii="Wingdings" w:hAnsi="Wingdings" w:hint="default"/>
      </w:rPr>
    </w:lvl>
    <w:lvl w:ilvl="6" w:tplc="08090001" w:tentative="1">
      <w:start w:val="1"/>
      <w:numFmt w:val="bullet"/>
      <w:lvlText w:val=""/>
      <w:lvlJc w:val="left"/>
      <w:pPr>
        <w:tabs>
          <w:tab w:val="num" w:pos="4700"/>
        </w:tabs>
        <w:ind w:left="4700" w:hanging="360"/>
      </w:pPr>
      <w:rPr>
        <w:rFonts w:ascii="Symbol" w:hAnsi="Symbol" w:hint="default"/>
      </w:rPr>
    </w:lvl>
    <w:lvl w:ilvl="7" w:tplc="08090003" w:tentative="1">
      <w:start w:val="1"/>
      <w:numFmt w:val="bullet"/>
      <w:lvlText w:val="o"/>
      <w:lvlJc w:val="left"/>
      <w:pPr>
        <w:tabs>
          <w:tab w:val="num" w:pos="5420"/>
        </w:tabs>
        <w:ind w:left="5420" w:hanging="360"/>
      </w:pPr>
      <w:rPr>
        <w:rFonts w:ascii="Courier New" w:hAnsi="Courier New" w:cs="Courier New" w:hint="default"/>
      </w:rPr>
    </w:lvl>
    <w:lvl w:ilvl="8" w:tplc="08090005" w:tentative="1">
      <w:start w:val="1"/>
      <w:numFmt w:val="bullet"/>
      <w:lvlText w:val=""/>
      <w:lvlJc w:val="left"/>
      <w:pPr>
        <w:tabs>
          <w:tab w:val="num" w:pos="6140"/>
        </w:tabs>
        <w:ind w:left="6140" w:hanging="360"/>
      </w:pPr>
      <w:rPr>
        <w:rFonts w:ascii="Wingdings" w:hAnsi="Wingdings" w:hint="default"/>
      </w:rPr>
    </w:lvl>
  </w:abstractNum>
  <w:abstractNum w:abstractNumId="7" w15:restartNumberingAfterBreak="0">
    <w:nsid w:val="14A41C9B"/>
    <w:multiLevelType w:val="hybridMultilevel"/>
    <w:tmpl w:val="31BAF6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015ACC"/>
    <w:multiLevelType w:val="hybridMultilevel"/>
    <w:tmpl w:val="407A1B12"/>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9" w15:restartNumberingAfterBreak="0">
    <w:nsid w:val="160314A8"/>
    <w:multiLevelType w:val="hybridMultilevel"/>
    <w:tmpl w:val="6568C6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CC29AC"/>
    <w:multiLevelType w:val="multilevel"/>
    <w:tmpl w:val="BB50856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05295C"/>
    <w:multiLevelType w:val="hybridMultilevel"/>
    <w:tmpl w:val="DAB85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B20CC4"/>
    <w:multiLevelType w:val="hybridMultilevel"/>
    <w:tmpl w:val="06B0F7A4"/>
    <w:lvl w:ilvl="0" w:tplc="0A7C729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5007C4"/>
    <w:multiLevelType w:val="multilevel"/>
    <w:tmpl w:val="3336056C"/>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B51A6E"/>
    <w:multiLevelType w:val="hybridMultilevel"/>
    <w:tmpl w:val="2B3AD0C4"/>
    <w:lvl w:ilvl="0" w:tplc="08090001">
      <w:start w:val="1"/>
      <w:numFmt w:val="bullet"/>
      <w:lvlText w:val=""/>
      <w:lvlJc w:val="left"/>
      <w:pPr>
        <w:ind w:left="2183" w:hanging="360"/>
      </w:pPr>
      <w:rPr>
        <w:rFonts w:ascii="Symbol" w:hAnsi="Symbol" w:hint="default"/>
      </w:rPr>
    </w:lvl>
    <w:lvl w:ilvl="1" w:tplc="08090003">
      <w:start w:val="1"/>
      <w:numFmt w:val="bullet"/>
      <w:lvlText w:val="o"/>
      <w:lvlJc w:val="left"/>
      <w:pPr>
        <w:ind w:left="2903" w:hanging="360"/>
      </w:pPr>
      <w:rPr>
        <w:rFonts w:ascii="Courier New" w:hAnsi="Courier New" w:cs="Courier New" w:hint="default"/>
      </w:rPr>
    </w:lvl>
    <w:lvl w:ilvl="2" w:tplc="08090005" w:tentative="1">
      <w:start w:val="1"/>
      <w:numFmt w:val="bullet"/>
      <w:lvlText w:val=""/>
      <w:lvlJc w:val="left"/>
      <w:pPr>
        <w:ind w:left="3623" w:hanging="360"/>
      </w:pPr>
      <w:rPr>
        <w:rFonts w:ascii="Wingdings" w:hAnsi="Wingdings" w:hint="default"/>
      </w:rPr>
    </w:lvl>
    <w:lvl w:ilvl="3" w:tplc="08090001" w:tentative="1">
      <w:start w:val="1"/>
      <w:numFmt w:val="bullet"/>
      <w:lvlText w:val=""/>
      <w:lvlJc w:val="left"/>
      <w:pPr>
        <w:ind w:left="4343" w:hanging="360"/>
      </w:pPr>
      <w:rPr>
        <w:rFonts w:ascii="Symbol" w:hAnsi="Symbol" w:hint="default"/>
      </w:rPr>
    </w:lvl>
    <w:lvl w:ilvl="4" w:tplc="08090003" w:tentative="1">
      <w:start w:val="1"/>
      <w:numFmt w:val="bullet"/>
      <w:lvlText w:val="o"/>
      <w:lvlJc w:val="left"/>
      <w:pPr>
        <w:ind w:left="5063" w:hanging="360"/>
      </w:pPr>
      <w:rPr>
        <w:rFonts w:ascii="Courier New" w:hAnsi="Courier New" w:cs="Courier New" w:hint="default"/>
      </w:rPr>
    </w:lvl>
    <w:lvl w:ilvl="5" w:tplc="08090005" w:tentative="1">
      <w:start w:val="1"/>
      <w:numFmt w:val="bullet"/>
      <w:lvlText w:val=""/>
      <w:lvlJc w:val="left"/>
      <w:pPr>
        <w:ind w:left="5783" w:hanging="360"/>
      </w:pPr>
      <w:rPr>
        <w:rFonts w:ascii="Wingdings" w:hAnsi="Wingdings" w:hint="default"/>
      </w:rPr>
    </w:lvl>
    <w:lvl w:ilvl="6" w:tplc="08090001" w:tentative="1">
      <w:start w:val="1"/>
      <w:numFmt w:val="bullet"/>
      <w:lvlText w:val=""/>
      <w:lvlJc w:val="left"/>
      <w:pPr>
        <w:ind w:left="6503" w:hanging="360"/>
      </w:pPr>
      <w:rPr>
        <w:rFonts w:ascii="Symbol" w:hAnsi="Symbol" w:hint="default"/>
      </w:rPr>
    </w:lvl>
    <w:lvl w:ilvl="7" w:tplc="08090003" w:tentative="1">
      <w:start w:val="1"/>
      <w:numFmt w:val="bullet"/>
      <w:lvlText w:val="o"/>
      <w:lvlJc w:val="left"/>
      <w:pPr>
        <w:ind w:left="7223" w:hanging="360"/>
      </w:pPr>
      <w:rPr>
        <w:rFonts w:ascii="Courier New" w:hAnsi="Courier New" w:cs="Courier New" w:hint="default"/>
      </w:rPr>
    </w:lvl>
    <w:lvl w:ilvl="8" w:tplc="08090005" w:tentative="1">
      <w:start w:val="1"/>
      <w:numFmt w:val="bullet"/>
      <w:lvlText w:val=""/>
      <w:lvlJc w:val="left"/>
      <w:pPr>
        <w:ind w:left="7943" w:hanging="360"/>
      </w:pPr>
      <w:rPr>
        <w:rFonts w:ascii="Wingdings" w:hAnsi="Wingdings" w:hint="default"/>
      </w:rPr>
    </w:lvl>
  </w:abstractNum>
  <w:abstractNum w:abstractNumId="15" w15:restartNumberingAfterBreak="0">
    <w:nsid w:val="2CF61078"/>
    <w:multiLevelType w:val="multilevel"/>
    <w:tmpl w:val="07AA57E8"/>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ED96AD2"/>
    <w:multiLevelType w:val="hybridMultilevel"/>
    <w:tmpl w:val="834ECCC6"/>
    <w:lvl w:ilvl="0" w:tplc="C26A0782">
      <w:start w:val="1"/>
      <w:numFmt w:val="bullet"/>
      <w:lvlText w:val=""/>
      <w:lvlJc w:val="left"/>
      <w:pPr>
        <w:tabs>
          <w:tab w:val="num" w:pos="1080"/>
        </w:tabs>
        <w:ind w:left="1250" w:hanging="170"/>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F70B28"/>
    <w:multiLevelType w:val="hybridMultilevel"/>
    <w:tmpl w:val="B240B066"/>
    <w:lvl w:ilvl="0" w:tplc="BED225C4">
      <w:start w:val="1"/>
      <w:numFmt w:val="bullet"/>
      <w:lvlText w:val=""/>
      <w:lvlJc w:val="left"/>
      <w:pPr>
        <w:ind w:left="1179" w:hanging="360"/>
      </w:pPr>
      <w:rPr>
        <w:rFonts w:ascii="Symbol" w:hAnsi="Symbol" w:hint="default"/>
        <w:color w:val="FF0000"/>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8" w15:restartNumberingAfterBreak="0">
    <w:nsid w:val="3B0275AE"/>
    <w:multiLevelType w:val="multilevel"/>
    <w:tmpl w:val="714AA8E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B195C2B"/>
    <w:multiLevelType w:val="multilevel"/>
    <w:tmpl w:val="8C0C16E2"/>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BB25E8C"/>
    <w:multiLevelType w:val="multilevel"/>
    <w:tmpl w:val="30EC1400"/>
    <w:lvl w:ilvl="0">
      <w:start w:val="5"/>
      <w:numFmt w:val="decimal"/>
      <w:lvlText w:val="%1"/>
      <w:lvlJc w:val="left"/>
      <w:pPr>
        <w:tabs>
          <w:tab w:val="num" w:pos="360"/>
        </w:tabs>
        <w:ind w:left="360" w:hanging="360"/>
      </w:pPr>
      <w:rPr>
        <w:rFonts w:hint="default"/>
      </w:rPr>
    </w:lvl>
    <w:lvl w:ilvl="1">
      <w:start w:val="8"/>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513EF3"/>
    <w:multiLevelType w:val="multilevel"/>
    <w:tmpl w:val="714AA8E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CA37CDA"/>
    <w:multiLevelType w:val="multilevel"/>
    <w:tmpl w:val="21D2E140"/>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1C67D78"/>
    <w:multiLevelType w:val="multilevel"/>
    <w:tmpl w:val="558C62BC"/>
    <w:lvl w:ilvl="0">
      <w:start w:val="5"/>
      <w:numFmt w:val="decimal"/>
      <w:lvlText w:val="%1"/>
      <w:lvlJc w:val="left"/>
      <w:pPr>
        <w:tabs>
          <w:tab w:val="num" w:pos="720"/>
        </w:tabs>
        <w:ind w:left="720" w:hanging="720"/>
      </w:pPr>
      <w:rPr>
        <w:rFonts w:hint="default"/>
      </w:rPr>
    </w:lvl>
    <w:lvl w:ilvl="1">
      <w:start w:val="1"/>
      <w:numFmt w:val="bullet"/>
      <w:lvlText w:val=""/>
      <w:lvlJc w:val="left"/>
      <w:pPr>
        <w:tabs>
          <w:tab w:val="num" w:pos="0"/>
        </w:tabs>
        <w:ind w:left="170" w:hanging="170"/>
      </w:pPr>
      <w:rPr>
        <w:rFonts w:ascii="Symbol" w:hAnsi="Symbol" w:hint="default"/>
        <w:color w:val="auto"/>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5CE39A7"/>
    <w:multiLevelType w:val="multilevel"/>
    <w:tmpl w:val="96024CE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100"/>
        </w:tabs>
        <w:ind w:left="1100" w:hanging="360"/>
      </w:pPr>
      <w:rPr>
        <w:rFonts w:ascii="Courier New" w:hAnsi="Courier New" w:cs="Courier New" w:hint="default"/>
      </w:rPr>
    </w:lvl>
    <w:lvl w:ilvl="2">
      <w:start w:val="1"/>
      <w:numFmt w:val="bullet"/>
      <w:lvlText w:val=""/>
      <w:lvlJc w:val="left"/>
      <w:pPr>
        <w:tabs>
          <w:tab w:val="num" w:pos="1820"/>
        </w:tabs>
        <w:ind w:left="1820" w:hanging="360"/>
      </w:pPr>
      <w:rPr>
        <w:rFonts w:ascii="Wingdings" w:hAnsi="Wingdings" w:hint="default"/>
      </w:rPr>
    </w:lvl>
    <w:lvl w:ilvl="3">
      <w:start w:val="1"/>
      <w:numFmt w:val="bullet"/>
      <w:lvlText w:val=""/>
      <w:lvlJc w:val="left"/>
      <w:pPr>
        <w:tabs>
          <w:tab w:val="num" w:pos="2540"/>
        </w:tabs>
        <w:ind w:left="2540" w:hanging="360"/>
      </w:pPr>
      <w:rPr>
        <w:rFonts w:ascii="Symbol" w:hAnsi="Symbol" w:hint="default"/>
      </w:rPr>
    </w:lvl>
    <w:lvl w:ilvl="4">
      <w:start w:val="1"/>
      <w:numFmt w:val="bullet"/>
      <w:lvlText w:val="o"/>
      <w:lvlJc w:val="left"/>
      <w:pPr>
        <w:tabs>
          <w:tab w:val="num" w:pos="3260"/>
        </w:tabs>
        <w:ind w:left="3260" w:hanging="360"/>
      </w:pPr>
      <w:rPr>
        <w:rFonts w:ascii="Courier New" w:hAnsi="Courier New" w:cs="Courier New" w:hint="default"/>
      </w:rPr>
    </w:lvl>
    <w:lvl w:ilvl="5">
      <w:start w:val="1"/>
      <w:numFmt w:val="bullet"/>
      <w:lvlText w:val=""/>
      <w:lvlJc w:val="left"/>
      <w:pPr>
        <w:tabs>
          <w:tab w:val="num" w:pos="3980"/>
        </w:tabs>
        <w:ind w:left="3980" w:hanging="360"/>
      </w:pPr>
      <w:rPr>
        <w:rFonts w:ascii="Wingdings" w:hAnsi="Wingdings" w:hint="default"/>
      </w:rPr>
    </w:lvl>
    <w:lvl w:ilvl="6">
      <w:start w:val="1"/>
      <w:numFmt w:val="bullet"/>
      <w:lvlText w:val=""/>
      <w:lvlJc w:val="left"/>
      <w:pPr>
        <w:tabs>
          <w:tab w:val="num" w:pos="4700"/>
        </w:tabs>
        <w:ind w:left="4700" w:hanging="360"/>
      </w:pPr>
      <w:rPr>
        <w:rFonts w:ascii="Symbol" w:hAnsi="Symbol" w:hint="default"/>
      </w:rPr>
    </w:lvl>
    <w:lvl w:ilvl="7">
      <w:start w:val="1"/>
      <w:numFmt w:val="bullet"/>
      <w:lvlText w:val="o"/>
      <w:lvlJc w:val="left"/>
      <w:pPr>
        <w:tabs>
          <w:tab w:val="num" w:pos="5420"/>
        </w:tabs>
        <w:ind w:left="5420" w:hanging="360"/>
      </w:pPr>
      <w:rPr>
        <w:rFonts w:ascii="Courier New" w:hAnsi="Courier New" w:cs="Courier New" w:hint="default"/>
      </w:rPr>
    </w:lvl>
    <w:lvl w:ilvl="8">
      <w:start w:val="1"/>
      <w:numFmt w:val="bullet"/>
      <w:lvlText w:val=""/>
      <w:lvlJc w:val="left"/>
      <w:pPr>
        <w:tabs>
          <w:tab w:val="num" w:pos="6140"/>
        </w:tabs>
        <w:ind w:left="6140" w:hanging="360"/>
      </w:pPr>
      <w:rPr>
        <w:rFonts w:ascii="Wingdings" w:hAnsi="Wingdings" w:hint="default"/>
      </w:rPr>
    </w:lvl>
  </w:abstractNum>
  <w:abstractNum w:abstractNumId="25" w15:restartNumberingAfterBreak="0">
    <w:nsid w:val="47DF7372"/>
    <w:multiLevelType w:val="multilevel"/>
    <w:tmpl w:val="45621C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95E6D48"/>
    <w:multiLevelType w:val="multilevel"/>
    <w:tmpl w:val="43B0434E"/>
    <w:lvl w:ilvl="0">
      <w:start w:val="3"/>
      <w:numFmt w:val="decimal"/>
      <w:lvlText w:val="%1"/>
      <w:lvlJc w:val="left"/>
      <w:pPr>
        <w:tabs>
          <w:tab w:val="num" w:pos="720"/>
        </w:tabs>
        <w:ind w:left="720" w:hanging="720"/>
      </w:pPr>
      <w:rPr>
        <w:rFonts w:hint="default"/>
        <w:color w:val="auto"/>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7" w15:restartNumberingAfterBreak="0">
    <w:nsid w:val="4AA14395"/>
    <w:multiLevelType w:val="hybridMultilevel"/>
    <w:tmpl w:val="D08C32EC"/>
    <w:lvl w:ilvl="0" w:tplc="0A7C729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A23E03"/>
    <w:multiLevelType w:val="multilevel"/>
    <w:tmpl w:val="7F624506"/>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51475582"/>
    <w:multiLevelType w:val="multilevel"/>
    <w:tmpl w:val="8C0C16E2"/>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2294379"/>
    <w:multiLevelType w:val="multilevel"/>
    <w:tmpl w:val="7E2A72D8"/>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5458713C"/>
    <w:multiLevelType w:val="hybridMultilevel"/>
    <w:tmpl w:val="374CCE1C"/>
    <w:lvl w:ilvl="0" w:tplc="0A7C729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D51E64"/>
    <w:multiLevelType w:val="hybridMultilevel"/>
    <w:tmpl w:val="27D464F4"/>
    <w:lvl w:ilvl="0" w:tplc="0A7C729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606D09"/>
    <w:multiLevelType w:val="hybridMultilevel"/>
    <w:tmpl w:val="96024CEC"/>
    <w:lvl w:ilvl="0" w:tplc="E46492B0">
      <w:start w:val="1"/>
      <w:numFmt w:val="bullet"/>
      <w:lvlText w:val=""/>
      <w:lvlJc w:val="left"/>
      <w:pPr>
        <w:tabs>
          <w:tab w:val="num" w:pos="397"/>
        </w:tabs>
        <w:ind w:left="397" w:hanging="397"/>
      </w:pPr>
      <w:rPr>
        <w:rFonts w:ascii="Symbol" w:hAnsi="Symbol" w:hint="default"/>
        <w:color w:val="auto"/>
      </w:rPr>
    </w:lvl>
    <w:lvl w:ilvl="1" w:tplc="08090003" w:tentative="1">
      <w:start w:val="1"/>
      <w:numFmt w:val="bullet"/>
      <w:lvlText w:val="o"/>
      <w:lvlJc w:val="left"/>
      <w:pPr>
        <w:tabs>
          <w:tab w:val="num" w:pos="1100"/>
        </w:tabs>
        <w:ind w:left="1100" w:hanging="360"/>
      </w:pPr>
      <w:rPr>
        <w:rFonts w:ascii="Courier New" w:hAnsi="Courier New" w:cs="Courier New" w:hint="default"/>
      </w:rPr>
    </w:lvl>
    <w:lvl w:ilvl="2" w:tplc="08090005" w:tentative="1">
      <w:start w:val="1"/>
      <w:numFmt w:val="bullet"/>
      <w:lvlText w:val=""/>
      <w:lvlJc w:val="left"/>
      <w:pPr>
        <w:tabs>
          <w:tab w:val="num" w:pos="1820"/>
        </w:tabs>
        <w:ind w:left="1820" w:hanging="360"/>
      </w:pPr>
      <w:rPr>
        <w:rFonts w:ascii="Wingdings" w:hAnsi="Wingdings" w:hint="default"/>
      </w:rPr>
    </w:lvl>
    <w:lvl w:ilvl="3" w:tplc="08090001" w:tentative="1">
      <w:start w:val="1"/>
      <w:numFmt w:val="bullet"/>
      <w:lvlText w:val=""/>
      <w:lvlJc w:val="left"/>
      <w:pPr>
        <w:tabs>
          <w:tab w:val="num" w:pos="2540"/>
        </w:tabs>
        <w:ind w:left="2540" w:hanging="360"/>
      </w:pPr>
      <w:rPr>
        <w:rFonts w:ascii="Symbol" w:hAnsi="Symbol" w:hint="default"/>
      </w:rPr>
    </w:lvl>
    <w:lvl w:ilvl="4" w:tplc="08090003" w:tentative="1">
      <w:start w:val="1"/>
      <w:numFmt w:val="bullet"/>
      <w:lvlText w:val="o"/>
      <w:lvlJc w:val="left"/>
      <w:pPr>
        <w:tabs>
          <w:tab w:val="num" w:pos="3260"/>
        </w:tabs>
        <w:ind w:left="3260" w:hanging="360"/>
      </w:pPr>
      <w:rPr>
        <w:rFonts w:ascii="Courier New" w:hAnsi="Courier New" w:cs="Courier New" w:hint="default"/>
      </w:rPr>
    </w:lvl>
    <w:lvl w:ilvl="5" w:tplc="08090005" w:tentative="1">
      <w:start w:val="1"/>
      <w:numFmt w:val="bullet"/>
      <w:lvlText w:val=""/>
      <w:lvlJc w:val="left"/>
      <w:pPr>
        <w:tabs>
          <w:tab w:val="num" w:pos="3980"/>
        </w:tabs>
        <w:ind w:left="3980" w:hanging="360"/>
      </w:pPr>
      <w:rPr>
        <w:rFonts w:ascii="Wingdings" w:hAnsi="Wingdings" w:hint="default"/>
      </w:rPr>
    </w:lvl>
    <w:lvl w:ilvl="6" w:tplc="08090001" w:tentative="1">
      <w:start w:val="1"/>
      <w:numFmt w:val="bullet"/>
      <w:lvlText w:val=""/>
      <w:lvlJc w:val="left"/>
      <w:pPr>
        <w:tabs>
          <w:tab w:val="num" w:pos="4700"/>
        </w:tabs>
        <w:ind w:left="4700" w:hanging="360"/>
      </w:pPr>
      <w:rPr>
        <w:rFonts w:ascii="Symbol" w:hAnsi="Symbol" w:hint="default"/>
      </w:rPr>
    </w:lvl>
    <w:lvl w:ilvl="7" w:tplc="08090003" w:tentative="1">
      <w:start w:val="1"/>
      <w:numFmt w:val="bullet"/>
      <w:lvlText w:val="o"/>
      <w:lvlJc w:val="left"/>
      <w:pPr>
        <w:tabs>
          <w:tab w:val="num" w:pos="5420"/>
        </w:tabs>
        <w:ind w:left="5420" w:hanging="360"/>
      </w:pPr>
      <w:rPr>
        <w:rFonts w:ascii="Courier New" w:hAnsi="Courier New" w:cs="Courier New" w:hint="default"/>
      </w:rPr>
    </w:lvl>
    <w:lvl w:ilvl="8" w:tplc="08090005" w:tentative="1">
      <w:start w:val="1"/>
      <w:numFmt w:val="bullet"/>
      <w:lvlText w:val=""/>
      <w:lvlJc w:val="left"/>
      <w:pPr>
        <w:tabs>
          <w:tab w:val="num" w:pos="6140"/>
        </w:tabs>
        <w:ind w:left="6140" w:hanging="360"/>
      </w:pPr>
      <w:rPr>
        <w:rFonts w:ascii="Wingdings" w:hAnsi="Wingdings" w:hint="default"/>
      </w:rPr>
    </w:lvl>
  </w:abstractNum>
  <w:abstractNum w:abstractNumId="34" w15:restartNumberingAfterBreak="0">
    <w:nsid w:val="5BA93D6C"/>
    <w:multiLevelType w:val="hybridMultilevel"/>
    <w:tmpl w:val="BDDA0300"/>
    <w:lvl w:ilvl="0" w:tplc="0A7C729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FF43C2"/>
    <w:multiLevelType w:val="hybridMultilevel"/>
    <w:tmpl w:val="2152971A"/>
    <w:lvl w:ilvl="0" w:tplc="0A7C729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8311AE"/>
    <w:multiLevelType w:val="multilevel"/>
    <w:tmpl w:val="DAD0DF4A"/>
    <w:lvl w:ilvl="0">
      <w:start w:val="6"/>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5F423B9D"/>
    <w:multiLevelType w:val="hybridMultilevel"/>
    <w:tmpl w:val="4BEC06AC"/>
    <w:lvl w:ilvl="0" w:tplc="E46492B0">
      <w:start w:val="1"/>
      <w:numFmt w:val="bullet"/>
      <w:lvlText w:val=""/>
      <w:lvlJc w:val="left"/>
      <w:pPr>
        <w:tabs>
          <w:tab w:val="num" w:pos="737"/>
        </w:tabs>
        <w:ind w:left="737" w:hanging="39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7F727B"/>
    <w:multiLevelType w:val="hybridMultilevel"/>
    <w:tmpl w:val="8EB66D9C"/>
    <w:lvl w:ilvl="0" w:tplc="856AA29C">
      <w:start w:val="1"/>
      <w:numFmt w:val="decimal"/>
      <w:lvlText w:val="7.%1"/>
      <w:lvlJc w:val="left"/>
      <w:pPr>
        <w:tabs>
          <w:tab w:val="num" w:pos="1440"/>
        </w:tabs>
        <w:ind w:left="144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DDF601D"/>
    <w:multiLevelType w:val="hybridMultilevel"/>
    <w:tmpl w:val="025A935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E35253D"/>
    <w:multiLevelType w:val="multilevel"/>
    <w:tmpl w:val="AA7E1DE4"/>
    <w:lvl w:ilvl="0">
      <w:start w:val="3"/>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1" w15:restartNumberingAfterBreak="0">
    <w:nsid w:val="6EB90516"/>
    <w:multiLevelType w:val="multilevel"/>
    <w:tmpl w:val="714AA8EA"/>
    <w:lvl w:ilvl="0">
      <w:start w:val="4"/>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42" w15:restartNumberingAfterBreak="0">
    <w:nsid w:val="71AC30E2"/>
    <w:multiLevelType w:val="hybridMultilevel"/>
    <w:tmpl w:val="06E4A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5E4DF7"/>
    <w:multiLevelType w:val="hybridMultilevel"/>
    <w:tmpl w:val="CB72717A"/>
    <w:lvl w:ilvl="0" w:tplc="0A7C729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3C15FB"/>
    <w:multiLevelType w:val="hybridMultilevel"/>
    <w:tmpl w:val="8C5E8C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9F7D58"/>
    <w:multiLevelType w:val="hybridMultilevel"/>
    <w:tmpl w:val="ED6E4DF2"/>
    <w:lvl w:ilvl="0" w:tplc="D794C674">
      <w:start w:val="2"/>
      <w:numFmt w:val="decimal"/>
      <w:lvlText w:val="6.%1"/>
      <w:lvlJc w:val="left"/>
      <w:pPr>
        <w:tabs>
          <w:tab w:val="num" w:pos="1440"/>
        </w:tabs>
        <w:ind w:left="14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114472125">
    <w:abstractNumId w:val="37"/>
  </w:num>
  <w:num w:numId="2" w16cid:durableId="1780374400">
    <w:abstractNumId w:val="33"/>
  </w:num>
  <w:num w:numId="3" w16cid:durableId="1819375033">
    <w:abstractNumId w:val="6"/>
  </w:num>
  <w:num w:numId="4" w16cid:durableId="284772924">
    <w:abstractNumId w:val="4"/>
  </w:num>
  <w:num w:numId="5" w16cid:durableId="1575360794">
    <w:abstractNumId w:val="9"/>
  </w:num>
  <w:num w:numId="6" w16cid:durableId="276908350">
    <w:abstractNumId w:val="7"/>
  </w:num>
  <w:num w:numId="7" w16cid:durableId="1945114531">
    <w:abstractNumId w:val="42"/>
  </w:num>
  <w:num w:numId="8" w16cid:durableId="2051566263">
    <w:abstractNumId w:val="44"/>
  </w:num>
  <w:num w:numId="9" w16cid:durableId="523907880">
    <w:abstractNumId w:val="25"/>
  </w:num>
  <w:num w:numId="10" w16cid:durableId="944382185">
    <w:abstractNumId w:val="1"/>
  </w:num>
  <w:num w:numId="11" w16cid:durableId="2077891459">
    <w:abstractNumId w:val="29"/>
  </w:num>
  <w:num w:numId="12" w16cid:durableId="1988821789">
    <w:abstractNumId w:val="16"/>
  </w:num>
  <w:num w:numId="13" w16cid:durableId="1947613395">
    <w:abstractNumId w:val="36"/>
  </w:num>
  <w:num w:numId="14" w16cid:durableId="1278951796">
    <w:abstractNumId w:val="20"/>
  </w:num>
  <w:num w:numId="15" w16cid:durableId="1323268001">
    <w:abstractNumId w:val="30"/>
  </w:num>
  <w:num w:numId="16" w16cid:durableId="848982978">
    <w:abstractNumId w:val="22"/>
  </w:num>
  <w:num w:numId="17" w16cid:durableId="799567169">
    <w:abstractNumId w:val="23"/>
  </w:num>
  <w:num w:numId="18" w16cid:durableId="363946665">
    <w:abstractNumId w:val="5"/>
  </w:num>
  <w:num w:numId="19" w16cid:durableId="812211363">
    <w:abstractNumId w:val="2"/>
  </w:num>
  <w:num w:numId="20" w16cid:durableId="528300502">
    <w:abstractNumId w:val="38"/>
  </w:num>
  <w:num w:numId="21" w16cid:durableId="839663289">
    <w:abstractNumId w:val="45"/>
  </w:num>
  <w:num w:numId="22" w16cid:durableId="1739746169">
    <w:abstractNumId w:val="19"/>
  </w:num>
  <w:num w:numId="23" w16cid:durableId="791823030">
    <w:abstractNumId w:val="26"/>
  </w:num>
  <w:num w:numId="24" w16cid:durableId="2090883925">
    <w:abstractNumId w:val="24"/>
  </w:num>
  <w:num w:numId="25" w16cid:durableId="2033803788">
    <w:abstractNumId w:val="14"/>
  </w:num>
  <w:num w:numId="26" w16cid:durableId="1032807223">
    <w:abstractNumId w:val="10"/>
  </w:num>
  <w:num w:numId="27" w16cid:durableId="1244725622">
    <w:abstractNumId w:val="40"/>
  </w:num>
  <w:num w:numId="28" w16cid:durableId="2136749595">
    <w:abstractNumId w:val="21"/>
  </w:num>
  <w:num w:numId="29" w16cid:durableId="806777412">
    <w:abstractNumId w:val="28"/>
  </w:num>
  <w:num w:numId="30" w16cid:durableId="1083182918">
    <w:abstractNumId w:val="18"/>
  </w:num>
  <w:num w:numId="31" w16cid:durableId="403454028">
    <w:abstractNumId w:val="41"/>
  </w:num>
  <w:num w:numId="32" w16cid:durableId="481459487">
    <w:abstractNumId w:val="8"/>
  </w:num>
  <w:num w:numId="33" w16cid:durableId="579294682">
    <w:abstractNumId w:val="3"/>
  </w:num>
  <w:num w:numId="34" w16cid:durableId="990911737">
    <w:abstractNumId w:val="39"/>
  </w:num>
  <w:num w:numId="35" w16cid:durableId="795833137">
    <w:abstractNumId w:val="13"/>
  </w:num>
  <w:num w:numId="36" w16cid:durableId="999311491">
    <w:abstractNumId w:val="15"/>
  </w:num>
  <w:num w:numId="37" w16cid:durableId="1169253808">
    <w:abstractNumId w:val="17"/>
  </w:num>
  <w:num w:numId="38" w16cid:durableId="1880972493">
    <w:abstractNumId w:val="32"/>
  </w:num>
  <w:num w:numId="39" w16cid:durableId="775714604">
    <w:abstractNumId w:val="35"/>
  </w:num>
  <w:num w:numId="40" w16cid:durableId="146437533">
    <w:abstractNumId w:val="12"/>
  </w:num>
  <w:num w:numId="41" w16cid:durableId="1956205059">
    <w:abstractNumId w:val="43"/>
  </w:num>
  <w:num w:numId="42" w16cid:durableId="181356836">
    <w:abstractNumId w:val="27"/>
  </w:num>
  <w:num w:numId="43" w16cid:durableId="431753129">
    <w:abstractNumId w:val="0"/>
  </w:num>
  <w:num w:numId="44" w16cid:durableId="85076776">
    <w:abstractNumId w:val="31"/>
  </w:num>
  <w:num w:numId="45" w16cid:durableId="888568538">
    <w:abstractNumId w:val="34"/>
  </w:num>
  <w:num w:numId="46" w16cid:durableId="169952264">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1BC"/>
    <w:rsid w:val="00000398"/>
    <w:rsid w:val="000006D3"/>
    <w:rsid w:val="00000A60"/>
    <w:rsid w:val="0000586A"/>
    <w:rsid w:val="00006E74"/>
    <w:rsid w:val="000074AB"/>
    <w:rsid w:val="00013914"/>
    <w:rsid w:val="00015973"/>
    <w:rsid w:val="00017652"/>
    <w:rsid w:val="000176CA"/>
    <w:rsid w:val="00020509"/>
    <w:rsid w:val="00021E5A"/>
    <w:rsid w:val="000222F8"/>
    <w:rsid w:val="00022F0A"/>
    <w:rsid w:val="00023C2E"/>
    <w:rsid w:val="000260D7"/>
    <w:rsid w:val="00034242"/>
    <w:rsid w:val="000362FA"/>
    <w:rsid w:val="00041443"/>
    <w:rsid w:val="0004607D"/>
    <w:rsid w:val="0005000C"/>
    <w:rsid w:val="000521FF"/>
    <w:rsid w:val="00052FDD"/>
    <w:rsid w:val="00054889"/>
    <w:rsid w:val="00055D52"/>
    <w:rsid w:val="00056383"/>
    <w:rsid w:val="000630D6"/>
    <w:rsid w:val="000649B1"/>
    <w:rsid w:val="00067C9B"/>
    <w:rsid w:val="00067DFE"/>
    <w:rsid w:val="0007153A"/>
    <w:rsid w:val="00082B4E"/>
    <w:rsid w:val="000851B5"/>
    <w:rsid w:val="000853A7"/>
    <w:rsid w:val="0008592C"/>
    <w:rsid w:val="0008750E"/>
    <w:rsid w:val="000914FF"/>
    <w:rsid w:val="00092BEC"/>
    <w:rsid w:val="0009368C"/>
    <w:rsid w:val="000A1AB2"/>
    <w:rsid w:val="000A3BC4"/>
    <w:rsid w:val="000A7800"/>
    <w:rsid w:val="000B232A"/>
    <w:rsid w:val="000B5EE4"/>
    <w:rsid w:val="000B6054"/>
    <w:rsid w:val="000C58C4"/>
    <w:rsid w:val="000D27A2"/>
    <w:rsid w:val="000D284D"/>
    <w:rsid w:val="000D4E1B"/>
    <w:rsid w:val="000D655B"/>
    <w:rsid w:val="000E2651"/>
    <w:rsid w:val="000E364C"/>
    <w:rsid w:val="000E44C8"/>
    <w:rsid w:val="000E7D6C"/>
    <w:rsid w:val="000F07BE"/>
    <w:rsid w:val="000F11AB"/>
    <w:rsid w:val="000F3C1D"/>
    <w:rsid w:val="000F5101"/>
    <w:rsid w:val="00104953"/>
    <w:rsid w:val="00111C96"/>
    <w:rsid w:val="001127CE"/>
    <w:rsid w:val="00116AA5"/>
    <w:rsid w:val="001170EF"/>
    <w:rsid w:val="0012027E"/>
    <w:rsid w:val="00120CD6"/>
    <w:rsid w:val="001236AB"/>
    <w:rsid w:val="00124805"/>
    <w:rsid w:val="00125B45"/>
    <w:rsid w:val="001319C0"/>
    <w:rsid w:val="00133D12"/>
    <w:rsid w:val="0014180F"/>
    <w:rsid w:val="001423FF"/>
    <w:rsid w:val="001432B5"/>
    <w:rsid w:val="00143EEA"/>
    <w:rsid w:val="00147111"/>
    <w:rsid w:val="00154C36"/>
    <w:rsid w:val="00160665"/>
    <w:rsid w:val="0016162B"/>
    <w:rsid w:val="00167C57"/>
    <w:rsid w:val="001700F6"/>
    <w:rsid w:val="00174E3E"/>
    <w:rsid w:val="00177038"/>
    <w:rsid w:val="001815FA"/>
    <w:rsid w:val="00181EA1"/>
    <w:rsid w:val="00194C01"/>
    <w:rsid w:val="00197B39"/>
    <w:rsid w:val="001A1216"/>
    <w:rsid w:val="001A1407"/>
    <w:rsid w:val="001A2E15"/>
    <w:rsid w:val="001A3418"/>
    <w:rsid w:val="001A4F7C"/>
    <w:rsid w:val="001A635A"/>
    <w:rsid w:val="001A6F8A"/>
    <w:rsid w:val="001A79F2"/>
    <w:rsid w:val="001B2991"/>
    <w:rsid w:val="001B2F64"/>
    <w:rsid w:val="001B3B3D"/>
    <w:rsid w:val="001B3BF0"/>
    <w:rsid w:val="001B7585"/>
    <w:rsid w:val="001B7E06"/>
    <w:rsid w:val="001C3AC9"/>
    <w:rsid w:val="001C456C"/>
    <w:rsid w:val="001C6375"/>
    <w:rsid w:val="001C7191"/>
    <w:rsid w:val="001D01BC"/>
    <w:rsid w:val="001D3A1C"/>
    <w:rsid w:val="001D3D3A"/>
    <w:rsid w:val="001D3F30"/>
    <w:rsid w:val="001D74E3"/>
    <w:rsid w:val="001D7A24"/>
    <w:rsid w:val="001E2006"/>
    <w:rsid w:val="001E212D"/>
    <w:rsid w:val="001E23FF"/>
    <w:rsid w:val="001E643E"/>
    <w:rsid w:val="001E646D"/>
    <w:rsid w:val="001E6C0F"/>
    <w:rsid w:val="001F0B6E"/>
    <w:rsid w:val="001F1185"/>
    <w:rsid w:val="001F1B64"/>
    <w:rsid w:val="00203C91"/>
    <w:rsid w:val="00203D0F"/>
    <w:rsid w:val="002048D2"/>
    <w:rsid w:val="00204B66"/>
    <w:rsid w:val="00205B78"/>
    <w:rsid w:val="00205FB0"/>
    <w:rsid w:val="00206AA9"/>
    <w:rsid w:val="00210F8F"/>
    <w:rsid w:val="0023136C"/>
    <w:rsid w:val="00232477"/>
    <w:rsid w:val="0023367A"/>
    <w:rsid w:val="002425E5"/>
    <w:rsid w:val="00246CC4"/>
    <w:rsid w:val="00250860"/>
    <w:rsid w:val="00252D7F"/>
    <w:rsid w:val="00254DE8"/>
    <w:rsid w:val="002554A9"/>
    <w:rsid w:val="00260759"/>
    <w:rsid w:val="002650CB"/>
    <w:rsid w:val="00270ED2"/>
    <w:rsid w:val="00273384"/>
    <w:rsid w:val="00273421"/>
    <w:rsid w:val="00283878"/>
    <w:rsid w:val="00286617"/>
    <w:rsid w:val="00292F43"/>
    <w:rsid w:val="00295AD0"/>
    <w:rsid w:val="00297D2D"/>
    <w:rsid w:val="002A0A5E"/>
    <w:rsid w:val="002A5615"/>
    <w:rsid w:val="002A6DE9"/>
    <w:rsid w:val="002B142A"/>
    <w:rsid w:val="002B3881"/>
    <w:rsid w:val="002B3C4B"/>
    <w:rsid w:val="002B701D"/>
    <w:rsid w:val="002C092D"/>
    <w:rsid w:val="002C1719"/>
    <w:rsid w:val="002C6F66"/>
    <w:rsid w:val="002D305C"/>
    <w:rsid w:val="002D6731"/>
    <w:rsid w:val="002E3B91"/>
    <w:rsid w:val="002E4053"/>
    <w:rsid w:val="002E65B0"/>
    <w:rsid w:val="002E7371"/>
    <w:rsid w:val="003001B4"/>
    <w:rsid w:val="00300233"/>
    <w:rsid w:val="00301261"/>
    <w:rsid w:val="0030220B"/>
    <w:rsid w:val="00303B08"/>
    <w:rsid w:val="00305E95"/>
    <w:rsid w:val="00307432"/>
    <w:rsid w:val="0031141E"/>
    <w:rsid w:val="00314242"/>
    <w:rsid w:val="00314F14"/>
    <w:rsid w:val="00316F8A"/>
    <w:rsid w:val="003202FC"/>
    <w:rsid w:val="0032474F"/>
    <w:rsid w:val="00333A54"/>
    <w:rsid w:val="00333C1F"/>
    <w:rsid w:val="00336B49"/>
    <w:rsid w:val="00337B2B"/>
    <w:rsid w:val="00343773"/>
    <w:rsid w:val="00343A90"/>
    <w:rsid w:val="00343BE0"/>
    <w:rsid w:val="00343D8E"/>
    <w:rsid w:val="0034736C"/>
    <w:rsid w:val="00353087"/>
    <w:rsid w:val="00353485"/>
    <w:rsid w:val="00353B1A"/>
    <w:rsid w:val="003606E1"/>
    <w:rsid w:val="00363102"/>
    <w:rsid w:val="00365436"/>
    <w:rsid w:val="003716A2"/>
    <w:rsid w:val="00372C6F"/>
    <w:rsid w:val="0037336E"/>
    <w:rsid w:val="00374252"/>
    <w:rsid w:val="0037452E"/>
    <w:rsid w:val="00374AD1"/>
    <w:rsid w:val="00376A36"/>
    <w:rsid w:val="00377E61"/>
    <w:rsid w:val="0038040B"/>
    <w:rsid w:val="003828D9"/>
    <w:rsid w:val="0038318D"/>
    <w:rsid w:val="0038582E"/>
    <w:rsid w:val="00386969"/>
    <w:rsid w:val="00386ED4"/>
    <w:rsid w:val="003877D3"/>
    <w:rsid w:val="00390802"/>
    <w:rsid w:val="0039214A"/>
    <w:rsid w:val="003930C8"/>
    <w:rsid w:val="0039351E"/>
    <w:rsid w:val="00395551"/>
    <w:rsid w:val="003A29FC"/>
    <w:rsid w:val="003A6777"/>
    <w:rsid w:val="003B2385"/>
    <w:rsid w:val="003B4489"/>
    <w:rsid w:val="003C139D"/>
    <w:rsid w:val="003C1E0F"/>
    <w:rsid w:val="003C3166"/>
    <w:rsid w:val="003C3ED0"/>
    <w:rsid w:val="003C5661"/>
    <w:rsid w:val="003D2C56"/>
    <w:rsid w:val="003D3691"/>
    <w:rsid w:val="003D6717"/>
    <w:rsid w:val="003E11B7"/>
    <w:rsid w:val="003E3BB1"/>
    <w:rsid w:val="003E5DA5"/>
    <w:rsid w:val="003E6032"/>
    <w:rsid w:val="003F3489"/>
    <w:rsid w:val="003F3FEA"/>
    <w:rsid w:val="003F3FF3"/>
    <w:rsid w:val="003F5BE2"/>
    <w:rsid w:val="00402D10"/>
    <w:rsid w:val="004036A5"/>
    <w:rsid w:val="0040658D"/>
    <w:rsid w:val="004173D7"/>
    <w:rsid w:val="00417AC3"/>
    <w:rsid w:val="004231B1"/>
    <w:rsid w:val="0043348C"/>
    <w:rsid w:val="004350FE"/>
    <w:rsid w:val="0043586D"/>
    <w:rsid w:val="00437801"/>
    <w:rsid w:val="00444D12"/>
    <w:rsid w:val="00446BBD"/>
    <w:rsid w:val="00450C2B"/>
    <w:rsid w:val="00450D3D"/>
    <w:rsid w:val="004510B6"/>
    <w:rsid w:val="00453378"/>
    <w:rsid w:val="0045544B"/>
    <w:rsid w:val="00460DB2"/>
    <w:rsid w:val="00466DD0"/>
    <w:rsid w:val="00472080"/>
    <w:rsid w:val="00474DDF"/>
    <w:rsid w:val="00476287"/>
    <w:rsid w:val="004776E7"/>
    <w:rsid w:val="00480643"/>
    <w:rsid w:val="004818A8"/>
    <w:rsid w:val="0048221B"/>
    <w:rsid w:val="00482B1A"/>
    <w:rsid w:val="00483E84"/>
    <w:rsid w:val="004843A0"/>
    <w:rsid w:val="00485247"/>
    <w:rsid w:val="004915F1"/>
    <w:rsid w:val="004939CD"/>
    <w:rsid w:val="00493F9D"/>
    <w:rsid w:val="00496038"/>
    <w:rsid w:val="004A6C74"/>
    <w:rsid w:val="004B2298"/>
    <w:rsid w:val="004B22FB"/>
    <w:rsid w:val="004B27DF"/>
    <w:rsid w:val="004B5BAB"/>
    <w:rsid w:val="004B60FF"/>
    <w:rsid w:val="004B66AF"/>
    <w:rsid w:val="004B798F"/>
    <w:rsid w:val="004B7E5B"/>
    <w:rsid w:val="004B7EDA"/>
    <w:rsid w:val="004C19D7"/>
    <w:rsid w:val="004C1B3C"/>
    <w:rsid w:val="004C5F21"/>
    <w:rsid w:val="004D1C66"/>
    <w:rsid w:val="004D2C1A"/>
    <w:rsid w:val="004D30A2"/>
    <w:rsid w:val="004D51D2"/>
    <w:rsid w:val="004E3140"/>
    <w:rsid w:val="004E7B56"/>
    <w:rsid w:val="004F42E2"/>
    <w:rsid w:val="004F4979"/>
    <w:rsid w:val="00500F88"/>
    <w:rsid w:val="00505B97"/>
    <w:rsid w:val="00507837"/>
    <w:rsid w:val="0051280A"/>
    <w:rsid w:val="00523A1F"/>
    <w:rsid w:val="00524B32"/>
    <w:rsid w:val="0053609B"/>
    <w:rsid w:val="00537DC1"/>
    <w:rsid w:val="00541155"/>
    <w:rsid w:val="00542AC3"/>
    <w:rsid w:val="00542C9D"/>
    <w:rsid w:val="00543D79"/>
    <w:rsid w:val="005465D6"/>
    <w:rsid w:val="00546C30"/>
    <w:rsid w:val="00547C9B"/>
    <w:rsid w:val="005502B2"/>
    <w:rsid w:val="00550883"/>
    <w:rsid w:val="00551C11"/>
    <w:rsid w:val="0055205A"/>
    <w:rsid w:val="00560118"/>
    <w:rsid w:val="00566433"/>
    <w:rsid w:val="005719BB"/>
    <w:rsid w:val="00572578"/>
    <w:rsid w:val="00577CEC"/>
    <w:rsid w:val="005804C6"/>
    <w:rsid w:val="0058726A"/>
    <w:rsid w:val="0059046F"/>
    <w:rsid w:val="00592404"/>
    <w:rsid w:val="0059658C"/>
    <w:rsid w:val="005A1750"/>
    <w:rsid w:val="005A25E8"/>
    <w:rsid w:val="005A4689"/>
    <w:rsid w:val="005B28DB"/>
    <w:rsid w:val="005B66F9"/>
    <w:rsid w:val="005C5064"/>
    <w:rsid w:val="005C627D"/>
    <w:rsid w:val="005C65AB"/>
    <w:rsid w:val="005D0205"/>
    <w:rsid w:val="005D38F9"/>
    <w:rsid w:val="005D4EFE"/>
    <w:rsid w:val="005D5505"/>
    <w:rsid w:val="005D5DF9"/>
    <w:rsid w:val="005E01BC"/>
    <w:rsid w:val="005E3B02"/>
    <w:rsid w:val="005E4193"/>
    <w:rsid w:val="005F3B02"/>
    <w:rsid w:val="005F4277"/>
    <w:rsid w:val="005F54F2"/>
    <w:rsid w:val="005F596C"/>
    <w:rsid w:val="006028AC"/>
    <w:rsid w:val="00605597"/>
    <w:rsid w:val="00606E09"/>
    <w:rsid w:val="00607BFC"/>
    <w:rsid w:val="00611672"/>
    <w:rsid w:val="00612490"/>
    <w:rsid w:val="0061585A"/>
    <w:rsid w:val="006227B0"/>
    <w:rsid w:val="00624982"/>
    <w:rsid w:val="006309AD"/>
    <w:rsid w:val="00640501"/>
    <w:rsid w:val="00640DDE"/>
    <w:rsid w:val="00641D44"/>
    <w:rsid w:val="00642AA4"/>
    <w:rsid w:val="00643585"/>
    <w:rsid w:val="00643FB0"/>
    <w:rsid w:val="00645D7D"/>
    <w:rsid w:val="00645DE7"/>
    <w:rsid w:val="00651CDC"/>
    <w:rsid w:val="006560DF"/>
    <w:rsid w:val="00661AA1"/>
    <w:rsid w:val="00664A12"/>
    <w:rsid w:val="00664F2C"/>
    <w:rsid w:val="006672E5"/>
    <w:rsid w:val="0067386A"/>
    <w:rsid w:val="00676527"/>
    <w:rsid w:val="00677900"/>
    <w:rsid w:val="00681325"/>
    <w:rsid w:val="00681602"/>
    <w:rsid w:val="0068587E"/>
    <w:rsid w:val="0068596F"/>
    <w:rsid w:val="00692C96"/>
    <w:rsid w:val="006940F5"/>
    <w:rsid w:val="0069476C"/>
    <w:rsid w:val="00696D73"/>
    <w:rsid w:val="006A6E5A"/>
    <w:rsid w:val="006B00F1"/>
    <w:rsid w:val="006B7F88"/>
    <w:rsid w:val="006C5B97"/>
    <w:rsid w:val="006D0145"/>
    <w:rsid w:val="006D176B"/>
    <w:rsid w:val="006E0E17"/>
    <w:rsid w:val="006E2166"/>
    <w:rsid w:val="006E369C"/>
    <w:rsid w:val="006E6DD6"/>
    <w:rsid w:val="006F0FBD"/>
    <w:rsid w:val="006F2599"/>
    <w:rsid w:val="006F25BE"/>
    <w:rsid w:val="006F4AA0"/>
    <w:rsid w:val="006F678A"/>
    <w:rsid w:val="006F7B76"/>
    <w:rsid w:val="00704771"/>
    <w:rsid w:val="00705254"/>
    <w:rsid w:val="007160C5"/>
    <w:rsid w:val="007301E9"/>
    <w:rsid w:val="0074391F"/>
    <w:rsid w:val="0074504B"/>
    <w:rsid w:val="00751255"/>
    <w:rsid w:val="00751D09"/>
    <w:rsid w:val="00752889"/>
    <w:rsid w:val="00753075"/>
    <w:rsid w:val="00756667"/>
    <w:rsid w:val="0076755A"/>
    <w:rsid w:val="00767CEF"/>
    <w:rsid w:val="00771A89"/>
    <w:rsid w:val="00772D6D"/>
    <w:rsid w:val="00773B54"/>
    <w:rsid w:val="00775FD0"/>
    <w:rsid w:val="007849A1"/>
    <w:rsid w:val="007852C5"/>
    <w:rsid w:val="00790660"/>
    <w:rsid w:val="00790DA7"/>
    <w:rsid w:val="00794CAA"/>
    <w:rsid w:val="007B2AF1"/>
    <w:rsid w:val="007B467A"/>
    <w:rsid w:val="007B5784"/>
    <w:rsid w:val="007B5A44"/>
    <w:rsid w:val="007B5D1D"/>
    <w:rsid w:val="007B6B83"/>
    <w:rsid w:val="007C0A81"/>
    <w:rsid w:val="007C7357"/>
    <w:rsid w:val="007D47D5"/>
    <w:rsid w:val="007D48B4"/>
    <w:rsid w:val="007D4CDC"/>
    <w:rsid w:val="007E34BD"/>
    <w:rsid w:val="007F0ED5"/>
    <w:rsid w:val="007F37A8"/>
    <w:rsid w:val="007F50D2"/>
    <w:rsid w:val="007F6535"/>
    <w:rsid w:val="007F7D7E"/>
    <w:rsid w:val="00800E9D"/>
    <w:rsid w:val="0080223D"/>
    <w:rsid w:val="00805D45"/>
    <w:rsid w:val="00807518"/>
    <w:rsid w:val="0081525D"/>
    <w:rsid w:val="00815CB9"/>
    <w:rsid w:val="00815D49"/>
    <w:rsid w:val="00816192"/>
    <w:rsid w:val="0082042D"/>
    <w:rsid w:val="00820B9E"/>
    <w:rsid w:val="00824BA1"/>
    <w:rsid w:val="00837356"/>
    <w:rsid w:val="00842945"/>
    <w:rsid w:val="00842B2E"/>
    <w:rsid w:val="00843232"/>
    <w:rsid w:val="00844E8D"/>
    <w:rsid w:val="008479E0"/>
    <w:rsid w:val="00853C74"/>
    <w:rsid w:val="0085554F"/>
    <w:rsid w:val="00857B25"/>
    <w:rsid w:val="00857C66"/>
    <w:rsid w:val="00860D9F"/>
    <w:rsid w:val="00871192"/>
    <w:rsid w:val="0087456E"/>
    <w:rsid w:val="00874DC5"/>
    <w:rsid w:val="00881C82"/>
    <w:rsid w:val="008835BC"/>
    <w:rsid w:val="0088638C"/>
    <w:rsid w:val="008878D4"/>
    <w:rsid w:val="00891301"/>
    <w:rsid w:val="0089296A"/>
    <w:rsid w:val="00893CAA"/>
    <w:rsid w:val="00895D6C"/>
    <w:rsid w:val="008A6855"/>
    <w:rsid w:val="008B05EC"/>
    <w:rsid w:val="008B6082"/>
    <w:rsid w:val="008B646B"/>
    <w:rsid w:val="008B7B5E"/>
    <w:rsid w:val="008C19EF"/>
    <w:rsid w:val="008C5D6B"/>
    <w:rsid w:val="008C6DB3"/>
    <w:rsid w:val="008C7ED6"/>
    <w:rsid w:val="008D6059"/>
    <w:rsid w:val="008E4C2F"/>
    <w:rsid w:val="008E5127"/>
    <w:rsid w:val="008E740B"/>
    <w:rsid w:val="008F7F9E"/>
    <w:rsid w:val="00900C6B"/>
    <w:rsid w:val="00906D96"/>
    <w:rsid w:val="00911A38"/>
    <w:rsid w:val="0091438A"/>
    <w:rsid w:val="00921681"/>
    <w:rsid w:val="009262C5"/>
    <w:rsid w:val="00931157"/>
    <w:rsid w:val="009317A2"/>
    <w:rsid w:val="009319A9"/>
    <w:rsid w:val="00932635"/>
    <w:rsid w:val="00935E71"/>
    <w:rsid w:val="00935F9A"/>
    <w:rsid w:val="00936888"/>
    <w:rsid w:val="00941288"/>
    <w:rsid w:val="009434CF"/>
    <w:rsid w:val="00944363"/>
    <w:rsid w:val="009513C3"/>
    <w:rsid w:val="009543FC"/>
    <w:rsid w:val="009550F1"/>
    <w:rsid w:val="00956787"/>
    <w:rsid w:val="00956BB0"/>
    <w:rsid w:val="00960FFF"/>
    <w:rsid w:val="00961A01"/>
    <w:rsid w:val="009626F2"/>
    <w:rsid w:val="00967F8C"/>
    <w:rsid w:val="00972A91"/>
    <w:rsid w:val="009753FE"/>
    <w:rsid w:val="00975438"/>
    <w:rsid w:val="0098097A"/>
    <w:rsid w:val="00980AD0"/>
    <w:rsid w:val="00983B29"/>
    <w:rsid w:val="00985671"/>
    <w:rsid w:val="009904A5"/>
    <w:rsid w:val="00994165"/>
    <w:rsid w:val="0099457D"/>
    <w:rsid w:val="00994B0A"/>
    <w:rsid w:val="00994F98"/>
    <w:rsid w:val="00996393"/>
    <w:rsid w:val="00996BDD"/>
    <w:rsid w:val="009A225E"/>
    <w:rsid w:val="009A75E8"/>
    <w:rsid w:val="009B0C9E"/>
    <w:rsid w:val="009C0101"/>
    <w:rsid w:val="009C074D"/>
    <w:rsid w:val="009C46DA"/>
    <w:rsid w:val="009C4CEC"/>
    <w:rsid w:val="009C6DF9"/>
    <w:rsid w:val="009D2615"/>
    <w:rsid w:val="009D7C50"/>
    <w:rsid w:val="009E20E2"/>
    <w:rsid w:val="009E3574"/>
    <w:rsid w:val="009E5581"/>
    <w:rsid w:val="009E590F"/>
    <w:rsid w:val="009E5C3D"/>
    <w:rsid w:val="009F0BFD"/>
    <w:rsid w:val="00A034D9"/>
    <w:rsid w:val="00A067F3"/>
    <w:rsid w:val="00A10C61"/>
    <w:rsid w:val="00A303A2"/>
    <w:rsid w:val="00A357FF"/>
    <w:rsid w:val="00A3663F"/>
    <w:rsid w:val="00A4337D"/>
    <w:rsid w:val="00A441C5"/>
    <w:rsid w:val="00A446E5"/>
    <w:rsid w:val="00A46765"/>
    <w:rsid w:val="00A518C2"/>
    <w:rsid w:val="00A53741"/>
    <w:rsid w:val="00A611A2"/>
    <w:rsid w:val="00A63ABE"/>
    <w:rsid w:val="00A63E9B"/>
    <w:rsid w:val="00A66D43"/>
    <w:rsid w:val="00A676E1"/>
    <w:rsid w:val="00A70DA9"/>
    <w:rsid w:val="00A723C4"/>
    <w:rsid w:val="00A735F8"/>
    <w:rsid w:val="00A74EEF"/>
    <w:rsid w:val="00A7692A"/>
    <w:rsid w:val="00A849FC"/>
    <w:rsid w:val="00A85DBF"/>
    <w:rsid w:val="00A87367"/>
    <w:rsid w:val="00A90263"/>
    <w:rsid w:val="00A921FE"/>
    <w:rsid w:val="00A9325E"/>
    <w:rsid w:val="00A94904"/>
    <w:rsid w:val="00A95A88"/>
    <w:rsid w:val="00AA10A3"/>
    <w:rsid w:val="00AA1BE9"/>
    <w:rsid w:val="00AA5A26"/>
    <w:rsid w:val="00AA6C50"/>
    <w:rsid w:val="00AA7549"/>
    <w:rsid w:val="00AB2C7E"/>
    <w:rsid w:val="00AB30A5"/>
    <w:rsid w:val="00AB5E73"/>
    <w:rsid w:val="00AB6362"/>
    <w:rsid w:val="00AC1FCF"/>
    <w:rsid w:val="00AC32BD"/>
    <w:rsid w:val="00AD3A4A"/>
    <w:rsid w:val="00AD581F"/>
    <w:rsid w:val="00AF1C8A"/>
    <w:rsid w:val="00B03CD6"/>
    <w:rsid w:val="00B12FA2"/>
    <w:rsid w:val="00B20390"/>
    <w:rsid w:val="00B212D5"/>
    <w:rsid w:val="00B24E0A"/>
    <w:rsid w:val="00B25674"/>
    <w:rsid w:val="00B27FA1"/>
    <w:rsid w:val="00B323E7"/>
    <w:rsid w:val="00B4119E"/>
    <w:rsid w:val="00B42292"/>
    <w:rsid w:val="00B44372"/>
    <w:rsid w:val="00B44F81"/>
    <w:rsid w:val="00B46205"/>
    <w:rsid w:val="00B46CC9"/>
    <w:rsid w:val="00B4760D"/>
    <w:rsid w:val="00B5062E"/>
    <w:rsid w:val="00B52C08"/>
    <w:rsid w:val="00B53B1E"/>
    <w:rsid w:val="00B54756"/>
    <w:rsid w:val="00B60BB5"/>
    <w:rsid w:val="00B61818"/>
    <w:rsid w:val="00B704FF"/>
    <w:rsid w:val="00B70BBC"/>
    <w:rsid w:val="00B7580F"/>
    <w:rsid w:val="00B75C34"/>
    <w:rsid w:val="00B8239E"/>
    <w:rsid w:val="00B8297E"/>
    <w:rsid w:val="00B864D7"/>
    <w:rsid w:val="00B97A62"/>
    <w:rsid w:val="00BA0B24"/>
    <w:rsid w:val="00BB210D"/>
    <w:rsid w:val="00BB380F"/>
    <w:rsid w:val="00BC2A6A"/>
    <w:rsid w:val="00BC439D"/>
    <w:rsid w:val="00BC65FA"/>
    <w:rsid w:val="00BC721D"/>
    <w:rsid w:val="00BC7DE3"/>
    <w:rsid w:val="00BD056C"/>
    <w:rsid w:val="00BD0ABC"/>
    <w:rsid w:val="00BD0C9F"/>
    <w:rsid w:val="00BD13AE"/>
    <w:rsid w:val="00BD1440"/>
    <w:rsid w:val="00BD2448"/>
    <w:rsid w:val="00BD551C"/>
    <w:rsid w:val="00BD6E70"/>
    <w:rsid w:val="00BD7000"/>
    <w:rsid w:val="00BE122B"/>
    <w:rsid w:val="00BE4C44"/>
    <w:rsid w:val="00BE67EE"/>
    <w:rsid w:val="00BF5FD4"/>
    <w:rsid w:val="00BF7777"/>
    <w:rsid w:val="00C0171D"/>
    <w:rsid w:val="00C01CDA"/>
    <w:rsid w:val="00C02307"/>
    <w:rsid w:val="00C10A1A"/>
    <w:rsid w:val="00C13C2D"/>
    <w:rsid w:val="00C146C1"/>
    <w:rsid w:val="00C16F64"/>
    <w:rsid w:val="00C21F16"/>
    <w:rsid w:val="00C33D0A"/>
    <w:rsid w:val="00C3525C"/>
    <w:rsid w:val="00C366F6"/>
    <w:rsid w:val="00C369F2"/>
    <w:rsid w:val="00C41717"/>
    <w:rsid w:val="00C41C68"/>
    <w:rsid w:val="00C45A5D"/>
    <w:rsid w:val="00C47C8B"/>
    <w:rsid w:val="00C500BE"/>
    <w:rsid w:val="00C5029B"/>
    <w:rsid w:val="00C514B3"/>
    <w:rsid w:val="00C51C20"/>
    <w:rsid w:val="00C55BA0"/>
    <w:rsid w:val="00C565C2"/>
    <w:rsid w:val="00C578F8"/>
    <w:rsid w:val="00C611D2"/>
    <w:rsid w:val="00C64409"/>
    <w:rsid w:val="00C647BB"/>
    <w:rsid w:val="00C6489D"/>
    <w:rsid w:val="00C65D6F"/>
    <w:rsid w:val="00C70E30"/>
    <w:rsid w:val="00C72020"/>
    <w:rsid w:val="00C73865"/>
    <w:rsid w:val="00C73876"/>
    <w:rsid w:val="00C738D2"/>
    <w:rsid w:val="00C815EE"/>
    <w:rsid w:val="00C919A9"/>
    <w:rsid w:val="00C93EC9"/>
    <w:rsid w:val="00C96E44"/>
    <w:rsid w:val="00C97923"/>
    <w:rsid w:val="00CA0F96"/>
    <w:rsid w:val="00CA5468"/>
    <w:rsid w:val="00CA6518"/>
    <w:rsid w:val="00CB1F11"/>
    <w:rsid w:val="00CB2185"/>
    <w:rsid w:val="00CB2E0A"/>
    <w:rsid w:val="00CB507A"/>
    <w:rsid w:val="00CB514E"/>
    <w:rsid w:val="00CB76C9"/>
    <w:rsid w:val="00CC225E"/>
    <w:rsid w:val="00CC3F2F"/>
    <w:rsid w:val="00CC7F67"/>
    <w:rsid w:val="00CD036A"/>
    <w:rsid w:val="00CD19C0"/>
    <w:rsid w:val="00CD3E5E"/>
    <w:rsid w:val="00CD6A8F"/>
    <w:rsid w:val="00CE36E6"/>
    <w:rsid w:val="00CE4D93"/>
    <w:rsid w:val="00CE6EE5"/>
    <w:rsid w:val="00CE7160"/>
    <w:rsid w:val="00CF23B6"/>
    <w:rsid w:val="00CF2B90"/>
    <w:rsid w:val="00CF3DBB"/>
    <w:rsid w:val="00D00CD8"/>
    <w:rsid w:val="00D07186"/>
    <w:rsid w:val="00D164E2"/>
    <w:rsid w:val="00D16A5F"/>
    <w:rsid w:val="00D178C8"/>
    <w:rsid w:val="00D179C8"/>
    <w:rsid w:val="00D240F9"/>
    <w:rsid w:val="00D31061"/>
    <w:rsid w:val="00D31A1A"/>
    <w:rsid w:val="00D32198"/>
    <w:rsid w:val="00D34172"/>
    <w:rsid w:val="00D40302"/>
    <w:rsid w:val="00D43400"/>
    <w:rsid w:val="00D441E8"/>
    <w:rsid w:val="00D44236"/>
    <w:rsid w:val="00D47324"/>
    <w:rsid w:val="00D474B9"/>
    <w:rsid w:val="00D54D29"/>
    <w:rsid w:val="00D54E16"/>
    <w:rsid w:val="00D55CE4"/>
    <w:rsid w:val="00D61B68"/>
    <w:rsid w:val="00D653D8"/>
    <w:rsid w:val="00D7169F"/>
    <w:rsid w:val="00D72CCC"/>
    <w:rsid w:val="00D75BA7"/>
    <w:rsid w:val="00D803D1"/>
    <w:rsid w:val="00D82C81"/>
    <w:rsid w:val="00D86939"/>
    <w:rsid w:val="00D87D6C"/>
    <w:rsid w:val="00D90CEF"/>
    <w:rsid w:val="00D9169C"/>
    <w:rsid w:val="00D95B18"/>
    <w:rsid w:val="00D963C0"/>
    <w:rsid w:val="00D97805"/>
    <w:rsid w:val="00DA21F4"/>
    <w:rsid w:val="00DA3C27"/>
    <w:rsid w:val="00DA4887"/>
    <w:rsid w:val="00DB2870"/>
    <w:rsid w:val="00DB30BA"/>
    <w:rsid w:val="00DC6FD2"/>
    <w:rsid w:val="00DD1577"/>
    <w:rsid w:val="00DD1F41"/>
    <w:rsid w:val="00DE1E9E"/>
    <w:rsid w:val="00DE2F17"/>
    <w:rsid w:val="00DE568B"/>
    <w:rsid w:val="00DE750F"/>
    <w:rsid w:val="00DF6656"/>
    <w:rsid w:val="00DF68C9"/>
    <w:rsid w:val="00E0179E"/>
    <w:rsid w:val="00E0335F"/>
    <w:rsid w:val="00E07876"/>
    <w:rsid w:val="00E10327"/>
    <w:rsid w:val="00E1204D"/>
    <w:rsid w:val="00E124D9"/>
    <w:rsid w:val="00E140E9"/>
    <w:rsid w:val="00E1693F"/>
    <w:rsid w:val="00E207C8"/>
    <w:rsid w:val="00E2105A"/>
    <w:rsid w:val="00E22F2F"/>
    <w:rsid w:val="00E27345"/>
    <w:rsid w:val="00E31E02"/>
    <w:rsid w:val="00E4634C"/>
    <w:rsid w:val="00E50522"/>
    <w:rsid w:val="00E50E2A"/>
    <w:rsid w:val="00E520E7"/>
    <w:rsid w:val="00E53F50"/>
    <w:rsid w:val="00E556E6"/>
    <w:rsid w:val="00E55EF7"/>
    <w:rsid w:val="00E6118E"/>
    <w:rsid w:val="00E62D47"/>
    <w:rsid w:val="00E62D6F"/>
    <w:rsid w:val="00E64323"/>
    <w:rsid w:val="00E72637"/>
    <w:rsid w:val="00E75B10"/>
    <w:rsid w:val="00E7601A"/>
    <w:rsid w:val="00E816F6"/>
    <w:rsid w:val="00E83EE9"/>
    <w:rsid w:val="00E85FE8"/>
    <w:rsid w:val="00E93C6D"/>
    <w:rsid w:val="00E963D7"/>
    <w:rsid w:val="00EA06AB"/>
    <w:rsid w:val="00EA2155"/>
    <w:rsid w:val="00EA232C"/>
    <w:rsid w:val="00EA71E4"/>
    <w:rsid w:val="00EA7847"/>
    <w:rsid w:val="00EB0799"/>
    <w:rsid w:val="00EB5988"/>
    <w:rsid w:val="00EC11F9"/>
    <w:rsid w:val="00EC3BE7"/>
    <w:rsid w:val="00EC670C"/>
    <w:rsid w:val="00ED278E"/>
    <w:rsid w:val="00ED4615"/>
    <w:rsid w:val="00ED7568"/>
    <w:rsid w:val="00EE3E11"/>
    <w:rsid w:val="00EE6AF3"/>
    <w:rsid w:val="00EE6EE6"/>
    <w:rsid w:val="00EE7A18"/>
    <w:rsid w:val="00EF64E6"/>
    <w:rsid w:val="00EF6FDC"/>
    <w:rsid w:val="00F03BD2"/>
    <w:rsid w:val="00F06C78"/>
    <w:rsid w:val="00F07E0B"/>
    <w:rsid w:val="00F142BB"/>
    <w:rsid w:val="00F20680"/>
    <w:rsid w:val="00F20CDE"/>
    <w:rsid w:val="00F26B0D"/>
    <w:rsid w:val="00F33C09"/>
    <w:rsid w:val="00F41E94"/>
    <w:rsid w:val="00F42BD5"/>
    <w:rsid w:val="00F43405"/>
    <w:rsid w:val="00F46B19"/>
    <w:rsid w:val="00F50058"/>
    <w:rsid w:val="00F5323D"/>
    <w:rsid w:val="00F5648A"/>
    <w:rsid w:val="00F71797"/>
    <w:rsid w:val="00F739B0"/>
    <w:rsid w:val="00F73EAA"/>
    <w:rsid w:val="00F74245"/>
    <w:rsid w:val="00F74DA0"/>
    <w:rsid w:val="00F7525C"/>
    <w:rsid w:val="00F82393"/>
    <w:rsid w:val="00F84097"/>
    <w:rsid w:val="00FA0C84"/>
    <w:rsid w:val="00FA6D31"/>
    <w:rsid w:val="00FB159B"/>
    <w:rsid w:val="00FB26F7"/>
    <w:rsid w:val="00FC6B4B"/>
    <w:rsid w:val="00FD2CCE"/>
    <w:rsid w:val="00FD5A12"/>
    <w:rsid w:val="00FE4291"/>
    <w:rsid w:val="00FF3C14"/>
    <w:rsid w:val="00FF7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0DF83AC"/>
  <w15:chartTrackingRefBased/>
  <w15:docId w15:val="{4379C50C-FC9B-49CD-9979-B93A51DA1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color w:val="000000"/>
      <w:sz w:val="24"/>
      <w:szCs w:val="24"/>
    </w:rPr>
  </w:style>
  <w:style w:type="paragraph" w:styleId="Heading1">
    <w:name w:val="heading 1"/>
    <w:basedOn w:val="Normal"/>
    <w:next w:val="Normal"/>
    <w:link w:val="Heading1Char"/>
    <w:qFormat/>
    <w:rsid w:val="00174E3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C55BA0"/>
    <w:pPr>
      <w:keepNext/>
      <w:keepLines/>
      <w:spacing w:before="40"/>
      <w:jc w:val="center"/>
      <w:outlineLvl w:val="1"/>
    </w:pPr>
    <w:rPr>
      <w:rFonts w:eastAsiaTheme="majorEastAsia" w:cstheme="majorBidi"/>
      <w:b/>
      <w:color w:val="000000" w:themeColor="text1"/>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41443"/>
    <w:pPr>
      <w:ind w:left="720"/>
      <w:contextualSpacing/>
    </w:pPr>
  </w:style>
  <w:style w:type="character" w:customStyle="1" w:styleId="dcslink1">
    <w:name w:val="dcslink1"/>
    <w:rsid w:val="00041443"/>
    <w:rPr>
      <w:color w:val="FF0000"/>
      <w:u w:val="single"/>
    </w:rPr>
  </w:style>
  <w:style w:type="paragraph" w:customStyle="1" w:styleId="Pa9">
    <w:name w:val="Pa9"/>
    <w:basedOn w:val="Normal"/>
    <w:next w:val="Normal"/>
    <w:rsid w:val="00871192"/>
    <w:pPr>
      <w:autoSpaceDE w:val="0"/>
      <w:autoSpaceDN w:val="0"/>
      <w:adjustRightInd w:val="0"/>
      <w:spacing w:line="241" w:lineRule="atLeast"/>
    </w:pPr>
    <w:rPr>
      <w:rFonts w:ascii="Frutiger LT Std 45 Light" w:hAnsi="Frutiger LT Std 45 Light" w:cs="Times New Roman"/>
      <w:color w:val="auto"/>
    </w:rPr>
  </w:style>
  <w:style w:type="character" w:customStyle="1" w:styleId="A8">
    <w:name w:val="A8"/>
    <w:rsid w:val="00871192"/>
    <w:rPr>
      <w:rFonts w:cs="Frutiger LT Std 45 Light"/>
      <w:color w:val="000000"/>
    </w:rPr>
  </w:style>
  <w:style w:type="paragraph" w:customStyle="1" w:styleId="Pa10">
    <w:name w:val="Pa10"/>
    <w:basedOn w:val="Normal"/>
    <w:next w:val="Normal"/>
    <w:rsid w:val="00871192"/>
    <w:pPr>
      <w:autoSpaceDE w:val="0"/>
      <w:autoSpaceDN w:val="0"/>
      <w:adjustRightInd w:val="0"/>
      <w:spacing w:line="241" w:lineRule="atLeast"/>
    </w:pPr>
    <w:rPr>
      <w:rFonts w:ascii="Frutiger LT Std 45 Light" w:hAnsi="Frutiger LT Std 45 Light" w:cs="Times New Roman"/>
      <w:color w:val="auto"/>
    </w:rPr>
  </w:style>
  <w:style w:type="paragraph" w:customStyle="1" w:styleId="Pa11">
    <w:name w:val="Pa11"/>
    <w:basedOn w:val="Normal"/>
    <w:next w:val="Normal"/>
    <w:rsid w:val="00871192"/>
    <w:pPr>
      <w:autoSpaceDE w:val="0"/>
      <w:autoSpaceDN w:val="0"/>
      <w:adjustRightInd w:val="0"/>
      <w:spacing w:line="241" w:lineRule="atLeast"/>
    </w:pPr>
    <w:rPr>
      <w:rFonts w:ascii="Frutiger LT Std 45 Light" w:hAnsi="Frutiger LT Std 45 Light" w:cs="Times New Roman"/>
      <w:color w:val="auto"/>
    </w:rPr>
  </w:style>
  <w:style w:type="paragraph" w:styleId="DocumentMap">
    <w:name w:val="Document Map"/>
    <w:basedOn w:val="Normal"/>
    <w:link w:val="DocumentMapChar"/>
    <w:rsid w:val="00F71797"/>
    <w:rPr>
      <w:rFonts w:ascii="Tahoma" w:hAnsi="Tahoma" w:cs="Tahoma"/>
      <w:sz w:val="16"/>
      <w:szCs w:val="16"/>
    </w:rPr>
  </w:style>
  <w:style w:type="character" w:customStyle="1" w:styleId="DocumentMapChar">
    <w:name w:val="Document Map Char"/>
    <w:link w:val="DocumentMap"/>
    <w:rsid w:val="00F71797"/>
    <w:rPr>
      <w:rFonts w:ascii="Tahoma" w:hAnsi="Tahoma" w:cs="Tahoma"/>
      <w:color w:val="000000"/>
      <w:sz w:val="16"/>
      <w:szCs w:val="16"/>
    </w:rPr>
  </w:style>
  <w:style w:type="character" w:styleId="CommentReference">
    <w:name w:val="annotation reference"/>
    <w:semiHidden/>
    <w:rsid w:val="00C73865"/>
    <w:rPr>
      <w:sz w:val="16"/>
      <w:szCs w:val="16"/>
    </w:rPr>
  </w:style>
  <w:style w:type="paragraph" w:styleId="CommentText">
    <w:name w:val="annotation text"/>
    <w:basedOn w:val="Normal"/>
    <w:semiHidden/>
    <w:rsid w:val="00C73865"/>
    <w:rPr>
      <w:sz w:val="20"/>
      <w:szCs w:val="20"/>
    </w:rPr>
  </w:style>
  <w:style w:type="paragraph" w:styleId="CommentSubject">
    <w:name w:val="annotation subject"/>
    <w:basedOn w:val="CommentText"/>
    <w:next w:val="CommentText"/>
    <w:semiHidden/>
    <w:rsid w:val="00C73865"/>
    <w:rPr>
      <w:b/>
      <w:bCs/>
    </w:rPr>
  </w:style>
  <w:style w:type="paragraph" w:styleId="BalloonText">
    <w:name w:val="Balloon Text"/>
    <w:basedOn w:val="Normal"/>
    <w:semiHidden/>
    <w:rsid w:val="00C73865"/>
    <w:rPr>
      <w:rFonts w:ascii="Tahoma" w:hAnsi="Tahoma" w:cs="Tahoma"/>
      <w:sz w:val="16"/>
      <w:szCs w:val="16"/>
    </w:rPr>
  </w:style>
  <w:style w:type="paragraph" w:styleId="Header">
    <w:name w:val="header"/>
    <w:basedOn w:val="Normal"/>
    <w:rsid w:val="0016162B"/>
    <w:pPr>
      <w:tabs>
        <w:tab w:val="center" w:pos="4153"/>
        <w:tab w:val="right" w:pos="8306"/>
      </w:tabs>
    </w:pPr>
  </w:style>
  <w:style w:type="paragraph" w:styleId="Footer">
    <w:name w:val="footer"/>
    <w:basedOn w:val="Normal"/>
    <w:link w:val="FooterChar"/>
    <w:uiPriority w:val="99"/>
    <w:rsid w:val="0016162B"/>
    <w:pPr>
      <w:tabs>
        <w:tab w:val="center" w:pos="4153"/>
        <w:tab w:val="right" w:pos="8306"/>
      </w:tabs>
    </w:pPr>
  </w:style>
  <w:style w:type="character" w:styleId="PageNumber">
    <w:name w:val="page number"/>
    <w:basedOn w:val="DefaultParagraphFont"/>
    <w:rsid w:val="00082B4E"/>
  </w:style>
  <w:style w:type="paragraph" w:customStyle="1" w:styleId="Default">
    <w:name w:val="Default"/>
    <w:rsid w:val="0004607D"/>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3B2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74DDF"/>
    <w:rPr>
      <w:color w:val="0000FF"/>
      <w:u w:val="single"/>
    </w:rPr>
  </w:style>
  <w:style w:type="character" w:styleId="FollowedHyperlink">
    <w:name w:val="FollowedHyperlink"/>
    <w:rsid w:val="00474DDF"/>
    <w:rPr>
      <w:color w:val="800080"/>
      <w:u w:val="single"/>
    </w:rPr>
  </w:style>
  <w:style w:type="character" w:customStyle="1" w:styleId="FooterChar">
    <w:name w:val="Footer Char"/>
    <w:link w:val="Footer"/>
    <w:uiPriority w:val="99"/>
    <w:rsid w:val="008C7ED6"/>
    <w:rPr>
      <w:rFonts w:ascii="Arial" w:hAnsi="Arial" w:cs="Arial"/>
      <w:color w:val="000000"/>
      <w:sz w:val="24"/>
      <w:szCs w:val="24"/>
    </w:rPr>
  </w:style>
  <w:style w:type="paragraph" w:styleId="FootnoteText">
    <w:name w:val="footnote text"/>
    <w:basedOn w:val="Normal"/>
    <w:link w:val="FootnoteTextChar"/>
    <w:rsid w:val="00542C9D"/>
    <w:rPr>
      <w:sz w:val="20"/>
      <w:szCs w:val="20"/>
    </w:rPr>
  </w:style>
  <w:style w:type="character" w:customStyle="1" w:styleId="FootnoteTextChar">
    <w:name w:val="Footnote Text Char"/>
    <w:link w:val="FootnoteText"/>
    <w:rsid w:val="00542C9D"/>
    <w:rPr>
      <w:rFonts w:ascii="Arial" w:hAnsi="Arial" w:cs="Arial"/>
      <w:color w:val="000000"/>
    </w:rPr>
  </w:style>
  <w:style w:type="character" w:styleId="FootnoteReference">
    <w:name w:val="footnote reference"/>
    <w:rsid w:val="00542C9D"/>
    <w:rPr>
      <w:vertAlign w:val="superscript"/>
    </w:rPr>
  </w:style>
  <w:style w:type="paragraph" w:customStyle="1" w:styleId="FrontCoverHeading">
    <w:name w:val="Front Cover Heading"/>
    <w:basedOn w:val="Heading1"/>
    <w:next w:val="Normal"/>
    <w:link w:val="FrontCoverHeadingChar"/>
    <w:qFormat/>
    <w:rsid w:val="00174E3E"/>
    <w:pPr>
      <w:spacing w:after="240"/>
      <w:jc w:val="center"/>
    </w:pPr>
    <w:rPr>
      <w:rFonts w:ascii="Arial" w:hAnsi="Arial"/>
      <w:b/>
      <w:color w:val="auto"/>
      <w:sz w:val="96"/>
      <w:szCs w:val="96"/>
    </w:rPr>
  </w:style>
  <w:style w:type="paragraph" w:customStyle="1" w:styleId="Frontcoverheading2">
    <w:name w:val="Front cover heading 2"/>
    <w:basedOn w:val="Heading2"/>
    <w:next w:val="Normal"/>
    <w:link w:val="Frontcoverheading2Char"/>
    <w:qFormat/>
    <w:rsid w:val="00174E3E"/>
    <w:pPr>
      <w:spacing w:before="360" w:after="360"/>
      <w:jc w:val="right"/>
      <w:outlineLvl w:val="0"/>
    </w:pPr>
    <w:rPr>
      <w:b w:val="0"/>
      <w:color w:val="auto"/>
      <w:sz w:val="56"/>
      <w:szCs w:val="56"/>
    </w:rPr>
  </w:style>
  <w:style w:type="character" w:customStyle="1" w:styleId="Heading1Char">
    <w:name w:val="Heading 1 Char"/>
    <w:basedOn w:val="DefaultParagraphFont"/>
    <w:link w:val="Heading1"/>
    <w:rsid w:val="00174E3E"/>
    <w:rPr>
      <w:rFonts w:asciiTheme="majorHAnsi" w:eastAsiaTheme="majorEastAsia" w:hAnsiTheme="majorHAnsi" w:cstheme="majorBidi"/>
      <w:color w:val="2F5496" w:themeColor="accent1" w:themeShade="BF"/>
      <w:sz w:val="32"/>
      <w:szCs w:val="32"/>
    </w:rPr>
  </w:style>
  <w:style w:type="character" w:customStyle="1" w:styleId="FrontCoverHeadingChar">
    <w:name w:val="Front Cover Heading Char"/>
    <w:basedOn w:val="Heading1Char"/>
    <w:link w:val="FrontCoverHeading"/>
    <w:rsid w:val="00174E3E"/>
    <w:rPr>
      <w:rFonts w:ascii="Arial" w:eastAsiaTheme="majorEastAsia" w:hAnsi="Arial" w:cstheme="majorBidi"/>
      <w:b/>
      <w:color w:val="2F5496" w:themeColor="accent1" w:themeShade="BF"/>
      <w:sz w:val="96"/>
      <w:szCs w:val="96"/>
    </w:rPr>
  </w:style>
  <w:style w:type="paragraph" w:customStyle="1" w:styleId="Addendumheading">
    <w:name w:val="Addendum heading"/>
    <w:basedOn w:val="Heading2"/>
    <w:next w:val="Normal"/>
    <w:link w:val="AddendumheadingChar"/>
    <w:autoRedefine/>
    <w:qFormat/>
    <w:rsid w:val="00C55BA0"/>
    <w:pPr>
      <w:spacing w:before="280" w:after="280"/>
      <w:jc w:val="left"/>
      <w:outlineLvl w:val="0"/>
    </w:pPr>
    <w:rPr>
      <w:sz w:val="28"/>
      <w:szCs w:val="28"/>
    </w:rPr>
  </w:style>
  <w:style w:type="character" w:customStyle="1" w:styleId="Heading2Char">
    <w:name w:val="Heading 2 Char"/>
    <w:basedOn w:val="DefaultParagraphFont"/>
    <w:link w:val="Heading2"/>
    <w:rsid w:val="00C55BA0"/>
    <w:rPr>
      <w:rFonts w:ascii="Arial" w:eastAsiaTheme="majorEastAsia" w:hAnsi="Arial" w:cstheme="majorBidi"/>
      <w:b/>
      <w:color w:val="000000" w:themeColor="text1"/>
      <w:sz w:val="36"/>
      <w:szCs w:val="26"/>
    </w:rPr>
  </w:style>
  <w:style w:type="character" w:customStyle="1" w:styleId="Frontcoverheading2Char">
    <w:name w:val="Front cover heading 2 Char"/>
    <w:basedOn w:val="Heading2Char"/>
    <w:link w:val="Frontcoverheading2"/>
    <w:rsid w:val="00174E3E"/>
    <w:rPr>
      <w:rFonts w:ascii="Arial" w:eastAsiaTheme="majorEastAsia" w:hAnsi="Arial" w:cstheme="majorBidi"/>
      <w:b w:val="0"/>
      <w:color w:val="000000" w:themeColor="text1"/>
      <w:sz w:val="56"/>
      <w:szCs w:val="56"/>
    </w:rPr>
  </w:style>
  <w:style w:type="paragraph" w:customStyle="1" w:styleId="ContentsPageheading">
    <w:name w:val="Contents Page heading"/>
    <w:basedOn w:val="Heading1"/>
    <w:link w:val="ContentsPageheadingChar"/>
    <w:qFormat/>
    <w:rsid w:val="00174E3E"/>
    <w:pPr>
      <w:spacing w:after="320"/>
      <w:ind w:right="-357"/>
    </w:pPr>
    <w:rPr>
      <w:rFonts w:ascii="Arial" w:hAnsi="Arial"/>
      <w:b/>
      <w:color w:val="000000" w:themeColor="text1"/>
    </w:rPr>
  </w:style>
  <w:style w:type="character" w:customStyle="1" w:styleId="AddendumheadingChar">
    <w:name w:val="Addendum heading Char"/>
    <w:basedOn w:val="Heading2Char"/>
    <w:link w:val="Addendumheading"/>
    <w:rsid w:val="00C55BA0"/>
    <w:rPr>
      <w:rFonts w:ascii="Arial" w:eastAsiaTheme="majorEastAsia" w:hAnsi="Arial" w:cstheme="majorBidi"/>
      <w:b/>
      <w:color w:val="000000" w:themeColor="text1"/>
      <w:sz w:val="28"/>
      <w:szCs w:val="28"/>
    </w:rPr>
  </w:style>
  <w:style w:type="paragraph" w:customStyle="1" w:styleId="Figureheadings">
    <w:name w:val="Figure headings"/>
    <w:basedOn w:val="Heading2"/>
    <w:next w:val="Normal"/>
    <w:link w:val="FigureheadingsChar"/>
    <w:autoRedefine/>
    <w:qFormat/>
    <w:rsid w:val="00C55BA0"/>
    <w:pPr>
      <w:tabs>
        <w:tab w:val="left" w:pos="3969"/>
      </w:tabs>
      <w:autoSpaceDE w:val="0"/>
      <w:autoSpaceDN w:val="0"/>
      <w:adjustRightInd w:val="0"/>
      <w:spacing w:after="120"/>
      <w:jc w:val="left"/>
    </w:pPr>
    <w:rPr>
      <w:bCs/>
      <w:color w:val="auto"/>
      <w:sz w:val="24"/>
    </w:rPr>
  </w:style>
  <w:style w:type="character" w:customStyle="1" w:styleId="ContentsPageheadingChar">
    <w:name w:val="Contents Page heading Char"/>
    <w:basedOn w:val="Heading1Char"/>
    <w:link w:val="ContentsPageheading"/>
    <w:rsid w:val="00174E3E"/>
    <w:rPr>
      <w:rFonts w:ascii="Arial" w:eastAsiaTheme="majorEastAsia" w:hAnsi="Arial" w:cstheme="majorBidi"/>
      <w:b/>
      <w:color w:val="000000" w:themeColor="text1"/>
      <w:sz w:val="32"/>
      <w:szCs w:val="32"/>
    </w:rPr>
  </w:style>
  <w:style w:type="character" w:customStyle="1" w:styleId="FigureheadingsChar">
    <w:name w:val="Figure headings Char"/>
    <w:basedOn w:val="Heading2Char"/>
    <w:link w:val="Figureheadings"/>
    <w:rsid w:val="00C55BA0"/>
    <w:rPr>
      <w:rFonts w:ascii="Arial" w:eastAsiaTheme="majorEastAsia" w:hAnsi="Arial" w:cstheme="majorBidi"/>
      <w:b/>
      <w:bCs/>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409124">
      <w:bodyDiv w:val="1"/>
      <w:marLeft w:val="0"/>
      <w:marRight w:val="0"/>
      <w:marTop w:val="0"/>
      <w:marBottom w:val="0"/>
      <w:divBdr>
        <w:top w:val="none" w:sz="0" w:space="0" w:color="auto"/>
        <w:left w:val="none" w:sz="0" w:space="0" w:color="auto"/>
        <w:bottom w:val="none" w:sz="0" w:space="0" w:color="auto"/>
        <w:right w:val="none" w:sz="0" w:space="0" w:color="auto"/>
      </w:divBdr>
    </w:div>
    <w:div w:id="994918309">
      <w:bodyDiv w:val="1"/>
      <w:marLeft w:val="0"/>
      <w:marRight w:val="0"/>
      <w:marTop w:val="0"/>
      <w:marBottom w:val="0"/>
      <w:divBdr>
        <w:top w:val="none" w:sz="0" w:space="0" w:color="auto"/>
        <w:left w:val="none" w:sz="0" w:space="0" w:color="auto"/>
        <w:bottom w:val="none" w:sz="0" w:space="0" w:color="auto"/>
        <w:right w:val="none" w:sz="0" w:space="0" w:color="auto"/>
      </w:divBdr>
    </w:div>
    <w:div w:id="1850411336">
      <w:bodyDiv w:val="1"/>
      <w:marLeft w:val="0"/>
      <w:marRight w:val="0"/>
      <w:marTop w:val="0"/>
      <w:marBottom w:val="0"/>
      <w:divBdr>
        <w:top w:val="none" w:sz="0" w:space="0" w:color="auto"/>
        <w:left w:val="none" w:sz="0" w:space="0" w:color="auto"/>
        <w:bottom w:val="none" w:sz="0" w:space="0" w:color="auto"/>
        <w:right w:val="none" w:sz="0" w:space="0" w:color="auto"/>
      </w:divBdr>
    </w:div>
    <w:div w:id="194880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ashfield-dc.gov.uk/residents/planning,-property-and-housing/forward-planning/environment-and-conservation/green-be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1.png@01D7B5FD.93C8260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69AEC8-E313-4A73-B4A2-71A5C730D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3423</Words>
  <Characters>19639</Characters>
  <Application>Microsoft Office Word</Application>
  <DocSecurity>2</DocSecurity>
  <Lines>163</Lines>
  <Paragraphs>46</Paragraphs>
  <ScaleCrop>false</ScaleCrop>
  <HeadingPairs>
    <vt:vector size="2" baseType="variant">
      <vt:variant>
        <vt:lpstr>Title</vt:lpstr>
      </vt:variant>
      <vt:variant>
        <vt:i4>1</vt:i4>
      </vt:variant>
    </vt:vector>
  </HeadingPairs>
  <TitlesOfParts>
    <vt:vector size="1" baseType="lpstr">
      <vt:lpstr>www</vt:lpstr>
    </vt:vector>
  </TitlesOfParts>
  <Company>Ashfield District Council</Company>
  <LinksUpToDate>false</LinksUpToDate>
  <CharactersWithSpaces>23016</CharactersWithSpaces>
  <SharedDoc>false</SharedDoc>
  <HLinks>
    <vt:vector size="12" baseType="variant">
      <vt:variant>
        <vt:i4>4915228</vt:i4>
      </vt:variant>
      <vt:variant>
        <vt:i4>3</vt:i4>
      </vt:variant>
      <vt:variant>
        <vt:i4>0</vt:i4>
      </vt:variant>
      <vt:variant>
        <vt:i4>5</vt:i4>
      </vt:variant>
      <vt:variant>
        <vt:lpwstr>http://www.ashfield-dc.gov.uk/residents/planning,-property-and-housing/forward-planning/environment-and-conservation/green-belt.aspx</vt:lpwstr>
      </vt:variant>
      <vt:variant>
        <vt:lpwstr/>
      </vt:variant>
      <vt:variant>
        <vt:i4>3932245</vt:i4>
      </vt:variant>
      <vt:variant>
        <vt:i4>2127</vt:i4>
      </vt:variant>
      <vt:variant>
        <vt:i4>1025</vt:i4>
      </vt:variant>
      <vt:variant>
        <vt:i4>1</vt:i4>
      </vt:variant>
      <vt:variant>
        <vt:lpwstr>cid:image001.png@01D7B5FD.93C82600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SEV/07	Strategic Green Belt Review Methodology</dc:title>
  <dc:subject/>
  <dc:creator>ts24002</dc:creator>
  <cp:keywords/>
  <cp:lastModifiedBy>Sharon.Simcox</cp:lastModifiedBy>
  <cp:revision>2</cp:revision>
  <cp:lastPrinted>2016-07-26T08:49:00Z</cp:lastPrinted>
  <dcterms:created xsi:type="dcterms:W3CDTF">2024-05-09T13:55:00Z</dcterms:created>
  <dcterms:modified xsi:type="dcterms:W3CDTF">2024-05-09T13:55:00Z</dcterms:modified>
</cp:coreProperties>
</file>