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C6BFB" w14:textId="77777777" w:rsidR="00A64FD3" w:rsidRPr="00206074" w:rsidRDefault="00A64FD3" w:rsidP="00A64FD3">
      <w:pPr>
        <w:jc w:val="left"/>
        <w:rPr>
          <w:b/>
          <w:bCs/>
        </w:rPr>
      </w:pPr>
      <w:r w:rsidRPr="00206074">
        <w:rPr>
          <w:b/>
          <w:bCs/>
        </w:rPr>
        <w:t>Ashfield District Council</w:t>
      </w:r>
      <w:r>
        <w:rPr>
          <w:b/>
          <w:bCs/>
        </w:rPr>
        <w:t>: L</w:t>
      </w:r>
      <w:r w:rsidRPr="00206074">
        <w:rPr>
          <w:b/>
          <w:bCs/>
        </w:rPr>
        <w:t xml:space="preserve">ocal Plan examination </w:t>
      </w:r>
    </w:p>
    <w:p w14:paraId="63617F61" w14:textId="3B8E9C20" w:rsidR="00BD21EA" w:rsidRPr="006A0994" w:rsidRDefault="00C636B5" w:rsidP="00A64FD3">
      <w:pPr>
        <w:jc w:val="left"/>
        <w:rPr>
          <w:rFonts w:ascii="Oxygen" w:hAnsi="Oxygen"/>
          <w:b/>
          <w:bCs/>
          <w:color w:val="0A0A0A"/>
          <w:szCs w:val="24"/>
          <w:shd w:val="clear" w:color="auto" w:fill="FEFEFE"/>
        </w:rPr>
      </w:pPr>
      <w:r>
        <w:rPr>
          <w:b/>
          <w:bCs/>
        </w:rPr>
        <w:t xml:space="preserve">Existing Local </w:t>
      </w:r>
      <w:r w:rsidRPr="006A0994">
        <w:rPr>
          <w:b/>
          <w:bCs/>
          <w:szCs w:val="24"/>
        </w:rPr>
        <w:t xml:space="preserve">Plan policies to be </w:t>
      </w:r>
      <w:r w:rsidR="00293816" w:rsidRPr="006A0994">
        <w:rPr>
          <w:b/>
          <w:bCs/>
          <w:szCs w:val="24"/>
        </w:rPr>
        <w:t>superseded</w:t>
      </w:r>
      <w:r w:rsidRPr="006A0994">
        <w:rPr>
          <w:b/>
          <w:bCs/>
          <w:szCs w:val="24"/>
        </w:rPr>
        <w:t xml:space="preserve"> upon adoption of the Ashfield Local Plan 2023 – 2040</w:t>
      </w:r>
    </w:p>
    <w:p w14:paraId="650FE9BB" w14:textId="17C2EDF9" w:rsidR="006A0994" w:rsidRPr="00D20981" w:rsidRDefault="00BD21EA" w:rsidP="00D20981">
      <w:pPr>
        <w:pStyle w:val="NormalWeb"/>
        <w:rPr>
          <w:color w:val="000000"/>
        </w:rPr>
      </w:pPr>
      <w:r w:rsidRPr="006A0994">
        <w:rPr>
          <w:color w:val="0A0A0A"/>
          <w:shd w:val="clear" w:color="auto" w:fill="FEFEFE"/>
        </w:rPr>
        <w:t xml:space="preserve">It is proposed that, upon adoption, the Ashfield Local Plan 2023 – 2040 will replace the following </w:t>
      </w:r>
      <w:r w:rsidR="006A0994" w:rsidRPr="006A0994">
        <w:rPr>
          <w:color w:val="0A0A0A"/>
          <w:shd w:val="clear" w:color="auto" w:fill="FEFEFE"/>
        </w:rPr>
        <w:t xml:space="preserve">saved </w:t>
      </w:r>
      <w:r w:rsidRPr="006A0994">
        <w:rPr>
          <w:color w:val="0A0A0A"/>
          <w:shd w:val="clear" w:color="auto" w:fill="FEFEFE"/>
        </w:rPr>
        <w:t xml:space="preserve">policies, which are set out in </w:t>
      </w:r>
      <w:r w:rsidR="006A0994">
        <w:rPr>
          <w:color w:val="0A0A0A"/>
          <w:shd w:val="clear" w:color="auto" w:fill="FEFEFE"/>
        </w:rPr>
        <w:t>the ‘D</w:t>
      </w:r>
      <w:r w:rsidR="006A0994" w:rsidRPr="006A0994">
        <w:rPr>
          <w:color w:val="000000"/>
        </w:rPr>
        <w:t xml:space="preserve">irection under paragraph 1(3) of </w:t>
      </w:r>
      <w:r w:rsidR="006A0994">
        <w:rPr>
          <w:color w:val="000000"/>
        </w:rPr>
        <w:t>S</w:t>
      </w:r>
      <w:r w:rsidR="006A0994" w:rsidRPr="006A0994">
        <w:rPr>
          <w:color w:val="000000"/>
        </w:rPr>
        <w:t xml:space="preserve">chedule 8 to the </w:t>
      </w:r>
      <w:r w:rsidR="006A0994">
        <w:rPr>
          <w:color w:val="000000"/>
        </w:rPr>
        <w:t>P</w:t>
      </w:r>
      <w:r w:rsidR="006A0994" w:rsidRPr="006A0994">
        <w:rPr>
          <w:color w:val="000000"/>
        </w:rPr>
        <w:t xml:space="preserve">lanning and </w:t>
      </w:r>
      <w:r w:rsidR="006A0994">
        <w:rPr>
          <w:color w:val="000000"/>
        </w:rPr>
        <w:t>C</w:t>
      </w:r>
      <w:r w:rsidR="006A0994" w:rsidRPr="006A0994">
        <w:rPr>
          <w:color w:val="000000"/>
        </w:rPr>
        <w:t xml:space="preserve">ompulsory </w:t>
      </w:r>
      <w:r w:rsidR="006A0994">
        <w:rPr>
          <w:color w:val="000000"/>
        </w:rPr>
        <w:t>P</w:t>
      </w:r>
      <w:r w:rsidR="006A0994" w:rsidRPr="006A0994">
        <w:rPr>
          <w:color w:val="000000"/>
        </w:rPr>
        <w:t xml:space="preserve">urchase </w:t>
      </w:r>
      <w:r w:rsidR="006A0994">
        <w:rPr>
          <w:color w:val="000000"/>
        </w:rPr>
        <w:t>A</w:t>
      </w:r>
      <w:r w:rsidR="006A0994" w:rsidRPr="006A0994">
        <w:rPr>
          <w:color w:val="000000"/>
        </w:rPr>
        <w:t>ct 2004</w:t>
      </w:r>
      <w:r w:rsidR="006A0994">
        <w:rPr>
          <w:color w:val="000000"/>
        </w:rPr>
        <w:t>’ (</w:t>
      </w:r>
      <w:r w:rsidR="00972BDC">
        <w:rPr>
          <w:color w:val="000000"/>
        </w:rPr>
        <w:t xml:space="preserve">ADC Website, </w:t>
      </w:r>
      <w:r w:rsidR="006A0994">
        <w:rPr>
          <w:color w:val="000000"/>
        </w:rPr>
        <w:t xml:space="preserve">05 September 2025).  </w:t>
      </w:r>
    </w:p>
    <w:p w14:paraId="653C3FD5" w14:textId="053C25CC" w:rsidR="00667C56" w:rsidRPr="00D20981" w:rsidRDefault="00D20981" w:rsidP="00D20981">
      <w:pPr>
        <w:shd w:val="clear" w:color="auto" w:fill="FEFEFE"/>
        <w:spacing w:after="0" w:line="240" w:lineRule="auto"/>
        <w:jc w:val="left"/>
        <w:rPr>
          <w:rFonts w:eastAsia="Times New Roman" w:cs="Arial"/>
          <w:color w:val="0A0A0A"/>
          <w:kern w:val="0"/>
          <w:szCs w:val="24"/>
          <w:lang w:eastAsia="en-GB"/>
          <w14:ligatures w14:val="none"/>
        </w:rPr>
      </w:pPr>
      <w:r w:rsidRPr="00D20981">
        <w:rPr>
          <w:rFonts w:eastAsia="Times New Roman" w:cs="Arial"/>
          <w:color w:val="0A0A0A"/>
          <w:kern w:val="0"/>
          <w:szCs w:val="24"/>
          <w:lang w:eastAsia="en-GB"/>
          <w14:ligatures w14:val="none"/>
        </w:rPr>
        <w:t xml:space="preserve">The following Table identifies the relevant policies of the Submitted Local Plan which will replace saved policies from the adopted Local Plan.  </w:t>
      </w:r>
    </w:p>
    <w:p w14:paraId="3FE2B3E8" w14:textId="77777777" w:rsidR="00755BA5" w:rsidRPr="00BD21EA" w:rsidRDefault="00755BA5" w:rsidP="00667C56">
      <w:pPr>
        <w:shd w:val="clear" w:color="auto" w:fill="FEFEFE"/>
        <w:spacing w:after="0" w:line="480" w:lineRule="auto"/>
        <w:jc w:val="left"/>
        <w:rPr>
          <w:rFonts w:ascii="Oxygen" w:eastAsia="Times New Roman" w:hAnsi="Oxygen" w:cs="Arial"/>
          <w:color w:val="0A0A0A"/>
          <w:kern w:val="0"/>
          <w:szCs w:val="24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7"/>
        <w:gridCol w:w="6104"/>
      </w:tblGrid>
      <w:tr w:rsidR="003038ED" w14:paraId="14392936" w14:textId="77777777" w:rsidTr="003038ED">
        <w:tc>
          <w:tcPr>
            <w:tcW w:w="3247" w:type="dxa"/>
          </w:tcPr>
          <w:p w14:paraId="4AC76D14" w14:textId="16BE45EC" w:rsidR="003038ED" w:rsidRPr="002C1D40" w:rsidRDefault="003038ED">
            <w:p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Ashfield Local Plan Review – 2002 Saved Policies</w:t>
            </w:r>
          </w:p>
        </w:tc>
        <w:tc>
          <w:tcPr>
            <w:tcW w:w="6104" w:type="dxa"/>
          </w:tcPr>
          <w:p w14:paraId="5FB069C9" w14:textId="3893503B" w:rsidR="003038ED" w:rsidRPr="002C1D40" w:rsidRDefault="003038ED" w:rsidP="00E773FC">
            <w:pPr>
              <w:pStyle w:val="NormalWeb"/>
              <w:rPr>
                <w:b/>
                <w:bCs/>
              </w:rPr>
            </w:pPr>
            <w:r w:rsidRPr="002C1D40">
              <w:rPr>
                <w:b/>
                <w:bCs/>
                <w:color w:val="000000"/>
              </w:rPr>
              <w:t>Ashfield Local Plan 2023 to 2040:</w:t>
            </w:r>
            <w:r>
              <w:rPr>
                <w:b/>
                <w:bCs/>
                <w:color w:val="000000"/>
              </w:rPr>
              <w:t xml:space="preserve"> </w:t>
            </w:r>
            <w:r w:rsidRPr="002C1D40">
              <w:rPr>
                <w:b/>
                <w:bCs/>
                <w:color w:val="000000"/>
              </w:rPr>
              <w:t>Regulation 19 Pre-Submission Draft</w:t>
            </w:r>
            <w:r>
              <w:rPr>
                <w:b/>
                <w:bCs/>
                <w:color w:val="000000"/>
              </w:rPr>
              <w:t xml:space="preserve">, </w:t>
            </w:r>
            <w:r w:rsidRPr="002C1D40">
              <w:rPr>
                <w:b/>
                <w:bCs/>
                <w:color w:val="000000"/>
              </w:rPr>
              <w:t>November 2023</w:t>
            </w:r>
          </w:p>
        </w:tc>
      </w:tr>
      <w:tr w:rsidR="003038ED" w:rsidRPr="00515274" w14:paraId="4ECBCBBD" w14:textId="77777777" w:rsidTr="003038ED">
        <w:tc>
          <w:tcPr>
            <w:tcW w:w="3247" w:type="dxa"/>
          </w:tcPr>
          <w:p w14:paraId="6FEEC79E" w14:textId="1652DE2C" w:rsidR="003038ED" w:rsidRPr="00515274" w:rsidRDefault="003038ED" w:rsidP="00173493">
            <w:pPr>
              <w:shd w:val="clear" w:color="auto" w:fill="FEFEFE"/>
              <w:ind w:left="142"/>
              <w:jc w:val="left"/>
              <w:rPr>
                <w:rFonts w:cs="Arial"/>
                <w:szCs w:val="24"/>
              </w:rPr>
            </w:pPr>
            <w:r w:rsidRPr="00515274">
              <w:rPr>
                <w:rFonts w:eastAsia="Times New Roman" w:cs="Arial"/>
                <w:color w:val="0A0A0A"/>
                <w:kern w:val="0"/>
                <w:szCs w:val="24"/>
                <w:lang w:eastAsia="en-GB"/>
                <w14:ligatures w14:val="none"/>
              </w:rPr>
              <w:t>ST1 Development</w:t>
            </w:r>
          </w:p>
        </w:tc>
        <w:tc>
          <w:tcPr>
            <w:tcW w:w="6104" w:type="dxa"/>
          </w:tcPr>
          <w:p w14:paraId="366CF1C8" w14:textId="2C0AF994" w:rsidR="003038ED" w:rsidRPr="00515274" w:rsidRDefault="003038ED" w:rsidP="00640890">
            <w:pPr>
              <w:ind w:left="184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S2 Achieving Sustainable Development</w:t>
            </w:r>
          </w:p>
        </w:tc>
      </w:tr>
      <w:tr w:rsidR="003038ED" w:rsidRPr="00515274" w14:paraId="2616213B" w14:textId="77777777" w:rsidTr="003038ED">
        <w:tc>
          <w:tcPr>
            <w:tcW w:w="3247" w:type="dxa"/>
          </w:tcPr>
          <w:p w14:paraId="7B53E427" w14:textId="0421FF40" w:rsidR="003038ED" w:rsidRPr="00515274" w:rsidRDefault="003038ED" w:rsidP="00173493">
            <w:pPr>
              <w:shd w:val="clear" w:color="auto" w:fill="FEFEFE"/>
              <w:ind w:left="142"/>
              <w:jc w:val="left"/>
              <w:rPr>
                <w:rFonts w:cs="Arial"/>
                <w:szCs w:val="24"/>
              </w:rPr>
            </w:pPr>
            <w:r w:rsidRPr="00515274">
              <w:rPr>
                <w:rFonts w:eastAsia="Times New Roman" w:cs="Arial"/>
                <w:color w:val="0A0A0A"/>
                <w:kern w:val="0"/>
                <w:szCs w:val="24"/>
                <w:lang w:eastAsia="en-GB"/>
                <w14:ligatures w14:val="none"/>
              </w:rPr>
              <w:t>ST2 Main Urban Areas</w:t>
            </w:r>
          </w:p>
        </w:tc>
        <w:tc>
          <w:tcPr>
            <w:tcW w:w="6104" w:type="dxa"/>
          </w:tcPr>
          <w:p w14:paraId="5C64ABD8" w14:textId="78F259C6" w:rsidR="003038ED" w:rsidRPr="00515274" w:rsidRDefault="003038ED" w:rsidP="00640890">
            <w:pPr>
              <w:ind w:left="184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S1 Spatial Strategy to Deliver the Vision</w:t>
            </w:r>
          </w:p>
        </w:tc>
      </w:tr>
      <w:tr w:rsidR="003038ED" w:rsidRPr="00515274" w14:paraId="008CBBC3" w14:textId="77777777" w:rsidTr="003038ED">
        <w:tc>
          <w:tcPr>
            <w:tcW w:w="3247" w:type="dxa"/>
          </w:tcPr>
          <w:p w14:paraId="5875E7BC" w14:textId="2749F5BF" w:rsidR="003038ED" w:rsidRPr="00515274" w:rsidRDefault="003038ED" w:rsidP="00173493">
            <w:pPr>
              <w:shd w:val="clear" w:color="auto" w:fill="FEFEFE"/>
              <w:ind w:left="142"/>
              <w:jc w:val="left"/>
              <w:rPr>
                <w:rFonts w:cs="Arial"/>
                <w:szCs w:val="24"/>
              </w:rPr>
            </w:pPr>
            <w:r w:rsidRPr="00515274">
              <w:rPr>
                <w:rFonts w:eastAsia="Times New Roman" w:cs="Arial"/>
                <w:color w:val="0A0A0A"/>
                <w:kern w:val="0"/>
                <w:szCs w:val="24"/>
                <w:lang w:eastAsia="en-GB"/>
                <w14:ligatures w14:val="none"/>
              </w:rPr>
              <w:t xml:space="preserve">ST3 Named Settlements </w:t>
            </w:r>
          </w:p>
        </w:tc>
        <w:tc>
          <w:tcPr>
            <w:tcW w:w="6104" w:type="dxa"/>
          </w:tcPr>
          <w:p w14:paraId="3E480B96" w14:textId="249948AD" w:rsidR="003038ED" w:rsidRPr="00515274" w:rsidRDefault="003038ED" w:rsidP="00640890">
            <w:pPr>
              <w:ind w:left="184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S1 Spatial Strategy to Deliver the Vision</w:t>
            </w:r>
          </w:p>
        </w:tc>
      </w:tr>
      <w:tr w:rsidR="003038ED" w:rsidRPr="00515274" w14:paraId="1FE3D7BE" w14:textId="77777777" w:rsidTr="003038ED">
        <w:tc>
          <w:tcPr>
            <w:tcW w:w="3247" w:type="dxa"/>
          </w:tcPr>
          <w:p w14:paraId="320BE103" w14:textId="5B655C67" w:rsidR="003038ED" w:rsidRPr="00515274" w:rsidRDefault="003038ED" w:rsidP="00173493">
            <w:pPr>
              <w:shd w:val="clear" w:color="auto" w:fill="FEFEFE"/>
              <w:ind w:left="142"/>
              <w:jc w:val="left"/>
              <w:rPr>
                <w:rFonts w:cs="Arial"/>
                <w:szCs w:val="24"/>
              </w:rPr>
            </w:pPr>
            <w:r w:rsidRPr="00515274">
              <w:rPr>
                <w:rFonts w:eastAsia="Times New Roman" w:cs="Arial"/>
                <w:color w:val="0A0A0A"/>
                <w:kern w:val="0"/>
                <w:szCs w:val="24"/>
                <w:lang w:eastAsia="en-GB"/>
                <w14:ligatures w14:val="none"/>
              </w:rPr>
              <w:t>ST4 The Remainder of the District</w:t>
            </w:r>
          </w:p>
        </w:tc>
        <w:tc>
          <w:tcPr>
            <w:tcW w:w="6104" w:type="dxa"/>
          </w:tcPr>
          <w:p w14:paraId="0CC3FA46" w14:textId="65C89C51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S1 Spatial Strategy to Deliver the Vision</w:t>
            </w:r>
          </w:p>
        </w:tc>
      </w:tr>
      <w:tr w:rsidR="003038ED" w:rsidRPr="00515274" w14:paraId="2F698D3F" w14:textId="77777777" w:rsidTr="003038ED">
        <w:tc>
          <w:tcPr>
            <w:tcW w:w="3247" w:type="dxa"/>
          </w:tcPr>
          <w:p w14:paraId="02D8610E" w14:textId="4A214B26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EV1 Green Belt</w:t>
            </w:r>
          </w:p>
        </w:tc>
        <w:tc>
          <w:tcPr>
            <w:tcW w:w="6104" w:type="dxa"/>
          </w:tcPr>
          <w:p w14:paraId="420FFF12" w14:textId="6B105A99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S4 Green Belt, EV1 Green Belt</w:t>
            </w:r>
          </w:p>
        </w:tc>
      </w:tr>
      <w:tr w:rsidR="003038ED" w:rsidRPr="00515274" w14:paraId="0287E7B6" w14:textId="77777777" w:rsidTr="003038ED">
        <w:tc>
          <w:tcPr>
            <w:tcW w:w="3247" w:type="dxa"/>
          </w:tcPr>
          <w:p w14:paraId="7F5C8752" w14:textId="7C35D2DB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EV2 Countryside</w:t>
            </w:r>
          </w:p>
        </w:tc>
        <w:tc>
          <w:tcPr>
            <w:tcW w:w="6104" w:type="dxa"/>
          </w:tcPr>
          <w:p w14:paraId="6E8F496C" w14:textId="77777777" w:rsidR="000015BD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S1 Spatial Strategy to Deliver the Vision</w:t>
            </w:r>
          </w:p>
          <w:p w14:paraId="1BC04209" w14:textId="2BA1859B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EV2 Countryside</w:t>
            </w:r>
          </w:p>
        </w:tc>
      </w:tr>
      <w:tr w:rsidR="003038ED" w:rsidRPr="00515274" w14:paraId="275CCC16" w14:textId="77777777" w:rsidTr="003038ED">
        <w:tc>
          <w:tcPr>
            <w:tcW w:w="3247" w:type="dxa"/>
          </w:tcPr>
          <w:p w14:paraId="32D0E50B" w14:textId="4F199F9C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EV4 Mature Landscape Areas</w:t>
            </w:r>
          </w:p>
        </w:tc>
        <w:tc>
          <w:tcPr>
            <w:tcW w:w="6104" w:type="dxa"/>
          </w:tcPr>
          <w:p w14:paraId="4860E631" w14:textId="77777777" w:rsidR="000015BD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S13 Protecting and Enhancing Our Green Infrastructure and the Natural Environment</w:t>
            </w:r>
          </w:p>
          <w:p w14:paraId="12EFAC1F" w14:textId="6805FA51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EV10 Protection and Enhancement of Landscape Character</w:t>
            </w:r>
          </w:p>
        </w:tc>
      </w:tr>
      <w:tr w:rsidR="003038ED" w:rsidRPr="00515274" w14:paraId="349E1FD7" w14:textId="77777777" w:rsidTr="003038ED">
        <w:tc>
          <w:tcPr>
            <w:tcW w:w="3247" w:type="dxa"/>
          </w:tcPr>
          <w:p w14:paraId="2E0E1F71" w14:textId="6932C07E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EV5 Sites of Special Scientific Interest</w:t>
            </w:r>
          </w:p>
        </w:tc>
        <w:tc>
          <w:tcPr>
            <w:tcW w:w="6104" w:type="dxa"/>
          </w:tcPr>
          <w:p w14:paraId="01835021" w14:textId="77777777" w:rsidR="000015BD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S13 Protecting and Enhancing Our Green Infrastructure and the Natural Environment</w:t>
            </w:r>
          </w:p>
          <w:p w14:paraId="6ED8F569" w14:textId="584245F9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EV4 Green Infrastructure, Biodiversity and Geodiversity</w:t>
            </w:r>
          </w:p>
        </w:tc>
      </w:tr>
      <w:tr w:rsidR="003038ED" w:rsidRPr="00515274" w14:paraId="0712F1EA" w14:textId="77777777" w:rsidTr="003038ED">
        <w:tc>
          <w:tcPr>
            <w:tcW w:w="3247" w:type="dxa"/>
          </w:tcPr>
          <w:p w14:paraId="313859F7" w14:textId="489B2AAA" w:rsidR="003038ED" w:rsidRPr="00DA5E21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 w:rsidRPr="00DA5E21">
              <w:rPr>
                <w:rFonts w:cs="Arial"/>
                <w:szCs w:val="24"/>
              </w:rPr>
              <w:t xml:space="preserve">EV6 </w:t>
            </w:r>
            <w:r w:rsidRPr="00DA5E21">
              <w:rPr>
                <w:rFonts w:cs="Arial"/>
                <w:color w:val="000000"/>
                <w:szCs w:val="24"/>
              </w:rPr>
              <w:t>Local Nature Reserves and Sites of Importance for Nature Conservation and Geological Significance</w:t>
            </w:r>
          </w:p>
        </w:tc>
        <w:tc>
          <w:tcPr>
            <w:tcW w:w="6104" w:type="dxa"/>
          </w:tcPr>
          <w:p w14:paraId="0D366871" w14:textId="77777777" w:rsidR="000015BD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S13 Protecting and Enhancing Our Green Infrastructure and the Natural Environment</w:t>
            </w:r>
          </w:p>
          <w:p w14:paraId="59E030EB" w14:textId="6893E7F4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EV4 Green Infrastructure, Biodiversity and Geodiversity</w:t>
            </w:r>
          </w:p>
        </w:tc>
      </w:tr>
      <w:tr w:rsidR="003038ED" w:rsidRPr="00515274" w14:paraId="25E2F50E" w14:textId="77777777" w:rsidTr="003038ED">
        <w:tc>
          <w:tcPr>
            <w:tcW w:w="3247" w:type="dxa"/>
          </w:tcPr>
          <w:p w14:paraId="7CD763FD" w14:textId="53302EEA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EV8 Trees and Woodland</w:t>
            </w:r>
          </w:p>
        </w:tc>
        <w:tc>
          <w:tcPr>
            <w:tcW w:w="6104" w:type="dxa"/>
          </w:tcPr>
          <w:p w14:paraId="47EF2D4A" w14:textId="77777777" w:rsidR="000015BD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S13 Protecting and Enhancing Our Green Infrastructure and the Natural Environment</w:t>
            </w:r>
          </w:p>
          <w:p w14:paraId="6E23D3C6" w14:textId="05D14275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EV6 Trees, Woodland and Hedgerows</w:t>
            </w:r>
          </w:p>
        </w:tc>
      </w:tr>
      <w:tr w:rsidR="003038ED" w:rsidRPr="00515274" w14:paraId="62326310" w14:textId="77777777" w:rsidTr="003038ED">
        <w:tc>
          <w:tcPr>
            <w:tcW w:w="3247" w:type="dxa"/>
          </w:tcPr>
          <w:p w14:paraId="0EDFCEEA" w14:textId="21B549C5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EV10 Conservation Areas</w:t>
            </w:r>
          </w:p>
        </w:tc>
        <w:tc>
          <w:tcPr>
            <w:tcW w:w="6104" w:type="dxa"/>
          </w:tcPr>
          <w:p w14:paraId="5D55C6D0" w14:textId="77777777" w:rsidR="000015BD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S14 Conserving and Enhancing Our Historic Environment</w:t>
            </w:r>
          </w:p>
          <w:p w14:paraId="3B119CA8" w14:textId="635209FB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EV9 The Historic Environment</w:t>
            </w:r>
          </w:p>
        </w:tc>
      </w:tr>
      <w:tr w:rsidR="003038ED" w:rsidRPr="00515274" w14:paraId="41D5A2D6" w14:textId="77777777" w:rsidTr="003038ED">
        <w:tc>
          <w:tcPr>
            <w:tcW w:w="3247" w:type="dxa"/>
          </w:tcPr>
          <w:p w14:paraId="420F35E7" w14:textId="1539AA25" w:rsidR="003038ED" w:rsidRPr="00DA5E21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 w:rsidRPr="00DA5E21">
              <w:rPr>
                <w:rFonts w:cs="Arial"/>
                <w:szCs w:val="24"/>
              </w:rPr>
              <w:t xml:space="preserve">EV11 </w:t>
            </w:r>
            <w:r w:rsidRPr="00DA5E21">
              <w:rPr>
                <w:rFonts w:cs="Arial"/>
                <w:color w:val="000000"/>
                <w:szCs w:val="24"/>
              </w:rPr>
              <w:t>Ancient Monuments and Archaeological Site</w:t>
            </w:r>
          </w:p>
        </w:tc>
        <w:tc>
          <w:tcPr>
            <w:tcW w:w="6104" w:type="dxa"/>
          </w:tcPr>
          <w:p w14:paraId="20325EBC" w14:textId="77777777" w:rsidR="000015BD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S14 Conserving and Enhancing Our Historic Environment</w:t>
            </w:r>
          </w:p>
          <w:p w14:paraId="5C93B7A2" w14:textId="3F9DB4EB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EV9 The Historic Environment</w:t>
            </w:r>
          </w:p>
        </w:tc>
      </w:tr>
      <w:tr w:rsidR="003038ED" w:rsidRPr="00515274" w14:paraId="1AF070E0" w14:textId="77777777" w:rsidTr="003038ED">
        <w:tc>
          <w:tcPr>
            <w:tcW w:w="3247" w:type="dxa"/>
          </w:tcPr>
          <w:p w14:paraId="3BD4B459" w14:textId="42593EB8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EV14 Historic Parks and Gardens</w:t>
            </w:r>
          </w:p>
        </w:tc>
        <w:tc>
          <w:tcPr>
            <w:tcW w:w="6104" w:type="dxa"/>
          </w:tcPr>
          <w:p w14:paraId="43F25716" w14:textId="77777777" w:rsidR="000015BD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S14 Conserving and Enhancing Our Historic Environment</w:t>
            </w:r>
          </w:p>
          <w:p w14:paraId="6A17948B" w14:textId="28CFB8D4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EV9 The Historic Environment</w:t>
            </w:r>
          </w:p>
        </w:tc>
      </w:tr>
      <w:tr w:rsidR="003038ED" w:rsidRPr="00515274" w14:paraId="22C80151" w14:textId="77777777" w:rsidTr="003038ED">
        <w:tc>
          <w:tcPr>
            <w:tcW w:w="3247" w:type="dxa"/>
          </w:tcPr>
          <w:p w14:paraId="1527117A" w14:textId="4E6EDA48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EM1 Employment Land Allocations</w:t>
            </w:r>
          </w:p>
        </w:tc>
        <w:tc>
          <w:tcPr>
            <w:tcW w:w="6104" w:type="dxa"/>
          </w:tcPr>
          <w:p w14:paraId="7D94C009" w14:textId="77777777" w:rsidR="000015BD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S8 Delivering Economic Opportunities</w:t>
            </w:r>
          </w:p>
          <w:p w14:paraId="21F90ACB" w14:textId="77777777" w:rsidR="000015BD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S6 Meeting Future Needs – Strategic Employment Allocation at Junction 27 M1 Motorway</w:t>
            </w:r>
          </w:p>
          <w:p w14:paraId="16D62F78" w14:textId="5623441E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EM2 Employment Land Allocations</w:t>
            </w:r>
          </w:p>
        </w:tc>
      </w:tr>
      <w:tr w:rsidR="003038ED" w:rsidRPr="00515274" w14:paraId="741591E9" w14:textId="77777777" w:rsidTr="003038ED">
        <w:tc>
          <w:tcPr>
            <w:tcW w:w="3247" w:type="dxa"/>
          </w:tcPr>
          <w:p w14:paraId="6DE749A1" w14:textId="1F49A117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 w:rsidRPr="004F359A">
              <w:rPr>
                <w:rFonts w:cs="Arial"/>
                <w:szCs w:val="24"/>
              </w:rPr>
              <w:t>EM2 Open Air Testing Zone at Rolls Royce</w:t>
            </w:r>
          </w:p>
        </w:tc>
        <w:tc>
          <w:tcPr>
            <w:tcW w:w="6104" w:type="dxa"/>
          </w:tcPr>
          <w:p w14:paraId="5D009115" w14:textId="734E75C4" w:rsidR="003038ED" w:rsidRPr="00515274" w:rsidRDefault="004F359A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 longer applicable</w:t>
            </w:r>
          </w:p>
        </w:tc>
      </w:tr>
      <w:tr w:rsidR="003038ED" w:rsidRPr="00515274" w14:paraId="260F8639" w14:textId="77777777" w:rsidTr="003038ED">
        <w:tc>
          <w:tcPr>
            <w:tcW w:w="3247" w:type="dxa"/>
          </w:tcPr>
          <w:p w14:paraId="7A8B9871" w14:textId="7F2D68E2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EM4 Protection of Employment Land Allocations</w:t>
            </w:r>
          </w:p>
        </w:tc>
        <w:tc>
          <w:tcPr>
            <w:tcW w:w="6104" w:type="dxa"/>
          </w:tcPr>
          <w:p w14:paraId="3E4611B1" w14:textId="77777777" w:rsidR="003445B0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S8 Delivering Economic Opportunities</w:t>
            </w:r>
          </w:p>
          <w:p w14:paraId="30F0310C" w14:textId="77777777" w:rsidR="003445B0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EM1 Business and Economic Development</w:t>
            </w:r>
          </w:p>
          <w:p w14:paraId="41757E7C" w14:textId="1A28F949" w:rsidR="003445B0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EM2 Employment Land Allocations</w:t>
            </w:r>
          </w:p>
          <w:p w14:paraId="5864308B" w14:textId="266D12C3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EM3 Retention of Employment Sites and Allocations</w:t>
            </w:r>
          </w:p>
        </w:tc>
      </w:tr>
      <w:tr w:rsidR="003038ED" w:rsidRPr="00515274" w14:paraId="44B803BA" w14:textId="77777777" w:rsidTr="003038ED">
        <w:tc>
          <w:tcPr>
            <w:tcW w:w="3247" w:type="dxa"/>
          </w:tcPr>
          <w:p w14:paraId="3C9D0AE7" w14:textId="08E9A44E" w:rsidR="003038ED" w:rsidRPr="00DA5E21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 w:rsidRPr="00DA5E21">
              <w:rPr>
                <w:rFonts w:cs="Arial"/>
                <w:szCs w:val="24"/>
              </w:rPr>
              <w:t xml:space="preserve">EM5 </w:t>
            </w:r>
            <w:r w:rsidRPr="00DA5E21">
              <w:rPr>
                <w:rFonts w:cs="Arial"/>
                <w:color w:val="000000"/>
                <w:szCs w:val="24"/>
              </w:rPr>
              <w:t>Protection of Existing Employment Sites and Buildings</w:t>
            </w:r>
          </w:p>
        </w:tc>
        <w:tc>
          <w:tcPr>
            <w:tcW w:w="6104" w:type="dxa"/>
          </w:tcPr>
          <w:p w14:paraId="7E09EF5C" w14:textId="77777777" w:rsidR="00CC6EE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S8 Delivering Economic Opportunities</w:t>
            </w:r>
          </w:p>
          <w:p w14:paraId="76CE26F7" w14:textId="77777777" w:rsidR="00CC6EE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EM1 Business and Economic Development</w:t>
            </w:r>
          </w:p>
          <w:p w14:paraId="6FB823B8" w14:textId="71A58AE3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EM3 Retention of Employment Sites and Allocations</w:t>
            </w:r>
          </w:p>
        </w:tc>
      </w:tr>
      <w:tr w:rsidR="003038ED" w:rsidRPr="00515274" w14:paraId="1BEDD81B" w14:textId="77777777" w:rsidTr="003038ED">
        <w:tc>
          <w:tcPr>
            <w:tcW w:w="3247" w:type="dxa"/>
          </w:tcPr>
          <w:p w14:paraId="6273D73A" w14:textId="2C0F9267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HG1 Housing Land Allocations</w:t>
            </w:r>
          </w:p>
        </w:tc>
        <w:tc>
          <w:tcPr>
            <w:tcW w:w="6104" w:type="dxa"/>
          </w:tcPr>
          <w:p w14:paraId="1B888A38" w14:textId="77777777" w:rsidR="0001645B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S7 Meeting Future Housing Provision</w:t>
            </w:r>
          </w:p>
          <w:p w14:paraId="1114B20D" w14:textId="5925D5D1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H1 Housing Site Allocations</w:t>
            </w:r>
          </w:p>
        </w:tc>
      </w:tr>
      <w:tr w:rsidR="003038ED" w:rsidRPr="00515274" w14:paraId="5ED32505" w14:textId="77777777" w:rsidTr="003038ED">
        <w:tc>
          <w:tcPr>
            <w:tcW w:w="3247" w:type="dxa"/>
          </w:tcPr>
          <w:p w14:paraId="0E884201" w14:textId="2C4503F5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HG3 Housing Density</w:t>
            </w:r>
          </w:p>
        </w:tc>
        <w:tc>
          <w:tcPr>
            <w:tcW w:w="6104" w:type="dxa"/>
          </w:tcPr>
          <w:p w14:paraId="04957C52" w14:textId="77777777" w:rsidR="0001645B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S2 Achieving Sustainable Development</w:t>
            </w:r>
          </w:p>
          <w:p w14:paraId="72C2B52B" w14:textId="77777777" w:rsidR="0001645B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S7 Meeting Future Housing Provision</w:t>
            </w:r>
          </w:p>
          <w:p w14:paraId="1C58CAB3" w14:textId="1417DE95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H7 Housing Density</w:t>
            </w:r>
          </w:p>
        </w:tc>
      </w:tr>
      <w:tr w:rsidR="003038ED" w:rsidRPr="00515274" w14:paraId="576DD566" w14:textId="77777777" w:rsidTr="003038ED">
        <w:tc>
          <w:tcPr>
            <w:tcW w:w="3247" w:type="dxa"/>
          </w:tcPr>
          <w:p w14:paraId="65401E0F" w14:textId="256D6650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HG4 Affordable Housing</w:t>
            </w:r>
          </w:p>
        </w:tc>
        <w:tc>
          <w:tcPr>
            <w:tcW w:w="6104" w:type="dxa"/>
          </w:tcPr>
          <w:p w14:paraId="39B8C967" w14:textId="77777777" w:rsidR="0001645B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S7 Meeting Future Housing Provision</w:t>
            </w:r>
          </w:p>
          <w:p w14:paraId="67CE1F35" w14:textId="537B3BFA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H3 Affordable Housing</w:t>
            </w:r>
          </w:p>
        </w:tc>
      </w:tr>
      <w:tr w:rsidR="003038ED" w:rsidRPr="00515274" w14:paraId="1856D846" w14:textId="77777777" w:rsidTr="003038ED">
        <w:tc>
          <w:tcPr>
            <w:tcW w:w="3247" w:type="dxa"/>
          </w:tcPr>
          <w:p w14:paraId="2BA07E6D" w14:textId="3086DE3F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HG5 New Residential Development</w:t>
            </w:r>
          </w:p>
        </w:tc>
        <w:tc>
          <w:tcPr>
            <w:tcW w:w="6104" w:type="dxa"/>
          </w:tcPr>
          <w:p w14:paraId="48E3FBA1" w14:textId="77777777" w:rsidR="004E0B00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S2 Achieving Sustainable Development</w:t>
            </w:r>
          </w:p>
          <w:p w14:paraId="4630337F" w14:textId="77777777" w:rsidR="004E0B00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S7 Meeting Future Housing Provision</w:t>
            </w:r>
          </w:p>
          <w:p w14:paraId="541BE984" w14:textId="77777777" w:rsidR="004E0B00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H4 Rural Exceptions Sites</w:t>
            </w:r>
          </w:p>
          <w:p w14:paraId="042E588E" w14:textId="25F644CF" w:rsidR="004E0B00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H5 Public Open Space in New Residential Developments</w:t>
            </w:r>
          </w:p>
          <w:p w14:paraId="7C0E111F" w14:textId="42B3BB89" w:rsidR="004E0B00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H6 Housing Mix</w:t>
            </w:r>
          </w:p>
          <w:p w14:paraId="2940DBC5" w14:textId="4C7FD41F" w:rsidR="004E0B00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H7 Housing Density,</w:t>
            </w:r>
          </w:p>
          <w:p w14:paraId="471EE34E" w14:textId="0107F4A4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SD2 Good Design Considerations for Development</w:t>
            </w:r>
          </w:p>
        </w:tc>
      </w:tr>
      <w:tr w:rsidR="003038ED" w:rsidRPr="00515274" w14:paraId="2ED65ACE" w14:textId="77777777" w:rsidTr="003038ED">
        <w:tc>
          <w:tcPr>
            <w:tcW w:w="3247" w:type="dxa"/>
          </w:tcPr>
          <w:p w14:paraId="56B3B5B8" w14:textId="63E158AA" w:rsidR="003038ED" w:rsidRPr="009508CB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 w:rsidRPr="009508CB">
              <w:rPr>
                <w:rFonts w:cs="Arial"/>
                <w:szCs w:val="24"/>
              </w:rPr>
              <w:t xml:space="preserve">HG6 </w:t>
            </w:r>
            <w:r w:rsidRPr="009508CB">
              <w:rPr>
                <w:rFonts w:cs="Arial"/>
                <w:color w:val="000000"/>
                <w:szCs w:val="24"/>
              </w:rPr>
              <w:t>Public Open Space in New Residential Developments</w:t>
            </w:r>
          </w:p>
        </w:tc>
        <w:tc>
          <w:tcPr>
            <w:tcW w:w="6104" w:type="dxa"/>
          </w:tcPr>
          <w:p w14:paraId="7CB52600" w14:textId="77777777" w:rsidR="004E0B00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S7 Meeting Future Housing Provision</w:t>
            </w:r>
          </w:p>
          <w:p w14:paraId="474F27D7" w14:textId="73BA766A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H5 Public Open Space in New Residential Developments</w:t>
            </w:r>
          </w:p>
        </w:tc>
      </w:tr>
      <w:tr w:rsidR="003038ED" w:rsidRPr="00515274" w14:paraId="27480229" w14:textId="77777777" w:rsidTr="003038ED">
        <w:tc>
          <w:tcPr>
            <w:tcW w:w="3247" w:type="dxa"/>
          </w:tcPr>
          <w:p w14:paraId="70666833" w14:textId="3FE4EC61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 w:rsidRPr="001F7C93">
              <w:rPr>
                <w:rFonts w:cs="Arial"/>
                <w:szCs w:val="24"/>
              </w:rPr>
              <w:t>HG7 Residential Extensions</w:t>
            </w:r>
          </w:p>
        </w:tc>
        <w:tc>
          <w:tcPr>
            <w:tcW w:w="6104" w:type="dxa"/>
          </w:tcPr>
          <w:p w14:paraId="1F0E00E8" w14:textId="77777777" w:rsidR="004E0B00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S2 Achieving Sustainable Development</w:t>
            </w:r>
          </w:p>
          <w:p w14:paraId="1C4FA6D1" w14:textId="77777777" w:rsidR="004E0B00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S5 High Quality Buildings and Places through Place Making and Design</w:t>
            </w:r>
          </w:p>
          <w:p w14:paraId="1286CE2A" w14:textId="77777777" w:rsidR="004E0B00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S7 Meeting Future Housing Provision</w:t>
            </w:r>
          </w:p>
          <w:p w14:paraId="23B864CA" w14:textId="162131F9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SD2 Good Design Considerations for Development</w:t>
            </w:r>
          </w:p>
        </w:tc>
      </w:tr>
      <w:tr w:rsidR="003038ED" w:rsidRPr="00515274" w14:paraId="5423490A" w14:textId="77777777" w:rsidTr="003038ED">
        <w:tc>
          <w:tcPr>
            <w:tcW w:w="3247" w:type="dxa"/>
          </w:tcPr>
          <w:p w14:paraId="1087A7A7" w14:textId="556BC4C9" w:rsidR="003038ED" w:rsidRPr="004B0629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 w:rsidRPr="004B0629">
              <w:rPr>
                <w:rFonts w:cs="Arial"/>
                <w:szCs w:val="24"/>
              </w:rPr>
              <w:t xml:space="preserve">HG8 </w:t>
            </w:r>
            <w:r w:rsidRPr="004B0629">
              <w:rPr>
                <w:rFonts w:cs="Arial"/>
                <w:color w:val="000000"/>
                <w:szCs w:val="24"/>
              </w:rPr>
              <w:t>Residential Care Facilities, Houses in Multiple Occupation, Bedsits, Flats and Hostels</w:t>
            </w:r>
          </w:p>
        </w:tc>
        <w:tc>
          <w:tcPr>
            <w:tcW w:w="6104" w:type="dxa"/>
          </w:tcPr>
          <w:p w14:paraId="0695EA2B" w14:textId="77777777" w:rsidR="004E0B00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S7 Meeting Future Housing Provision</w:t>
            </w:r>
          </w:p>
          <w:p w14:paraId="3F377375" w14:textId="74FF70C3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H8 Houses in Multiple Occupation, Flats and Bedsits</w:t>
            </w:r>
          </w:p>
        </w:tc>
      </w:tr>
      <w:tr w:rsidR="003038ED" w:rsidRPr="00515274" w14:paraId="371E565C" w14:textId="77777777" w:rsidTr="003038ED">
        <w:tc>
          <w:tcPr>
            <w:tcW w:w="3247" w:type="dxa"/>
          </w:tcPr>
          <w:p w14:paraId="68B5F40D" w14:textId="6D36AA83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HG9 Gypsy Caravan Sites for Travelling Show people</w:t>
            </w:r>
          </w:p>
        </w:tc>
        <w:tc>
          <w:tcPr>
            <w:tcW w:w="6104" w:type="dxa"/>
          </w:tcPr>
          <w:p w14:paraId="6A603C9E" w14:textId="77777777" w:rsidR="004E0B00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S7 Meeting Future Housing Provision</w:t>
            </w:r>
          </w:p>
          <w:p w14:paraId="6C576D27" w14:textId="77777777" w:rsidR="004E0B00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H2 Provision for Gypsies, Travellers and Travelling </w:t>
            </w:r>
            <w:proofErr w:type="spellStart"/>
            <w:r>
              <w:rPr>
                <w:rFonts w:cs="Arial"/>
                <w:szCs w:val="24"/>
              </w:rPr>
              <w:t>Showpeople</w:t>
            </w:r>
            <w:proofErr w:type="spellEnd"/>
          </w:p>
          <w:p w14:paraId="27607463" w14:textId="4BBB5277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H2a Gypsy, Traveller and Travelling </w:t>
            </w:r>
            <w:proofErr w:type="spellStart"/>
            <w:r>
              <w:rPr>
                <w:rFonts w:cs="Arial"/>
                <w:szCs w:val="24"/>
              </w:rPr>
              <w:t>Showpeople</w:t>
            </w:r>
            <w:proofErr w:type="spellEnd"/>
            <w:r>
              <w:rPr>
                <w:rFonts w:cs="Arial"/>
                <w:szCs w:val="24"/>
              </w:rPr>
              <w:t xml:space="preserve"> Site Allocations</w:t>
            </w:r>
          </w:p>
        </w:tc>
      </w:tr>
      <w:tr w:rsidR="003038ED" w:rsidRPr="00515274" w14:paraId="1FA54E30" w14:textId="77777777" w:rsidTr="003038ED">
        <w:tc>
          <w:tcPr>
            <w:tcW w:w="3247" w:type="dxa"/>
          </w:tcPr>
          <w:p w14:paraId="21E3E8C2" w14:textId="00B7B2BD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TR1 Nottingham Express Transit</w:t>
            </w:r>
          </w:p>
        </w:tc>
        <w:tc>
          <w:tcPr>
            <w:tcW w:w="6104" w:type="dxa"/>
          </w:tcPr>
          <w:p w14:paraId="3F650C14" w14:textId="1CCA3E9A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S10 Improving Transport Infrastructure</w:t>
            </w:r>
          </w:p>
        </w:tc>
      </w:tr>
      <w:tr w:rsidR="003038ED" w:rsidRPr="00515274" w14:paraId="22C4E14A" w14:textId="77777777" w:rsidTr="003038ED">
        <w:tc>
          <w:tcPr>
            <w:tcW w:w="3247" w:type="dxa"/>
          </w:tcPr>
          <w:p w14:paraId="23B54C4C" w14:textId="451722D7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TR2 Cycling Provision in New Development</w:t>
            </w:r>
          </w:p>
        </w:tc>
        <w:tc>
          <w:tcPr>
            <w:tcW w:w="6104" w:type="dxa"/>
          </w:tcPr>
          <w:p w14:paraId="7117EA7B" w14:textId="77777777" w:rsidR="004E0B00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S10 Improving Transport Infrastructure</w:t>
            </w:r>
          </w:p>
          <w:p w14:paraId="7D3CD6AC" w14:textId="5FEBB8A8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SD10 Transport Infrastructure</w:t>
            </w:r>
          </w:p>
        </w:tc>
      </w:tr>
      <w:tr w:rsidR="003038ED" w:rsidRPr="00515274" w14:paraId="30D4A601" w14:textId="77777777" w:rsidTr="003038ED">
        <w:tc>
          <w:tcPr>
            <w:tcW w:w="3247" w:type="dxa"/>
          </w:tcPr>
          <w:p w14:paraId="76039B36" w14:textId="1F819ED1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TR3 Pedestrians and People with Limited Mobility</w:t>
            </w:r>
          </w:p>
        </w:tc>
        <w:tc>
          <w:tcPr>
            <w:tcW w:w="6104" w:type="dxa"/>
          </w:tcPr>
          <w:p w14:paraId="3485CBD8" w14:textId="77777777" w:rsidR="004E0B00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S10 Improving Transport Infrastructure</w:t>
            </w:r>
          </w:p>
          <w:p w14:paraId="036663D4" w14:textId="56C73D41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SD2 Good Design Considerations for Development</w:t>
            </w:r>
          </w:p>
        </w:tc>
      </w:tr>
      <w:tr w:rsidR="003038ED" w:rsidRPr="00515274" w14:paraId="049FEF7C" w14:textId="77777777" w:rsidTr="003038ED">
        <w:tc>
          <w:tcPr>
            <w:tcW w:w="3247" w:type="dxa"/>
          </w:tcPr>
          <w:p w14:paraId="68F12F7B" w14:textId="242E6C58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TR4 Pedestrian Priority Schemes</w:t>
            </w:r>
          </w:p>
        </w:tc>
        <w:tc>
          <w:tcPr>
            <w:tcW w:w="6104" w:type="dxa"/>
          </w:tcPr>
          <w:p w14:paraId="07B76797" w14:textId="45A09DAD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S10 Improving Transport Infrastructure,</w:t>
            </w:r>
          </w:p>
        </w:tc>
      </w:tr>
      <w:tr w:rsidR="003038ED" w:rsidRPr="00515274" w14:paraId="23C2B133" w14:textId="77777777" w:rsidTr="003038ED">
        <w:tc>
          <w:tcPr>
            <w:tcW w:w="3247" w:type="dxa"/>
          </w:tcPr>
          <w:p w14:paraId="06B325DE" w14:textId="266A56D1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TR5 County Council Highway Schemes</w:t>
            </w:r>
          </w:p>
        </w:tc>
        <w:tc>
          <w:tcPr>
            <w:tcW w:w="6104" w:type="dxa"/>
          </w:tcPr>
          <w:p w14:paraId="21C06382" w14:textId="60B42F9E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S10 Improving Transport Infrastructure</w:t>
            </w:r>
          </w:p>
        </w:tc>
      </w:tr>
      <w:tr w:rsidR="003038ED" w:rsidRPr="00515274" w14:paraId="623160EE" w14:textId="77777777" w:rsidTr="003038ED">
        <w:tc>
          <w:tcPr>
            <w:tcW w:w="3247" w:type="dxa"/>
          </w:tcPr>
          <w:p w14:paraId="7F14CA2A" w14:textId="2548C0EA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TR6 Developer Contributions to Transport Improvements</w:t>
            </w:r>
          </w:p>
        </w:tc>
        <w:tc>
          <w:tcPr>
            <w:tcW w:w="6104" w:type="dxa"/>
          </w:tcPr>
          <w:p w14:paraId="69F4F97C" w14:textId="77777777" w:rsidR="004E0B00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S10 Improving Transport Infrastructure</w:t>
            </w:r>
          </w:p>
          <w:p w14:paraId="3C09FE98" w14:textId="77777777" w:rsidR="004E0B00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S9 Aligning Growth and Infrastructure</w:t>
            </w:r>
          </w:p>
          <w:p w14:paraId="5B9CA8E3" w14:textId="4E9B6F4F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SD5 Developer Contributions </w:t>
            </w:r>
          </w:p>
        </w:tc>
      </w:tr>
      <w:tr w:rsidR="003038ED" w:rsidRPr="00515274" w14:paraId="4E389529" w14:textId="77777777" w:rsidTr="003038ED">
        <w:tc>
          <w:tcPr>
            <w:tcW w:w="3247" w:type="dxa"/>
          </w:tcPr>
          <w:p w14:paraId="1B608652" w14:textId="6B438A5F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SH1 District Shopping Centres</w:t>
            </w:r>
          </w:p>
        </w:tc>
        <w:tc>
          <w:tcPr>
            <w:tcW w:w="6104" w:type="dxa"/>
          </w:tcPr>
          <w:p w14:paraId="1CB63203" w14:textId="77777777" w:rsidR="004E0B00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S11 Vibrant Town Centres</w:t>
            </w:r>
          </w:p>
          <w:p w14:paraId="610DB4EE" w14:textId="5E346FE9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SH1 Retail, Leisure and Town Centre Uses </w:t>
            </w:r>
          </w:p>
        </w:tc>
      </w:tr>
      <w:tr w:rsidR="003038ED" w:rsidRPr="00515274" w14:paraId="7118D5CF" w14:textId="77777777" w:rsidTr="003038ED">
        <w:tc>
          <w:tcPr>
            <w:tcW w:w="3247" w:type="dxa"/>
          </w:tcPr>
          <w:p w14:paraId="6BBF1E15" w14:textId="6B8823B1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SH2 Retail Development Sites</w:t>
            </w:r>
          </w:p>
        </w:tc>
        <w:tc>
          <w:tcPr>
            <w:tcW w:w="6104" w:type="dxa"/>
          </w:tcPr>
          <w:p w14:paraId="4C5A2F8E" w14:textId="77777777" w:rsidR="004E0B00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S11 Vibrant Town Centres</w:t>
            </w:r>
          </w:p>
          <w:p w14:paraId="1DF203D1" w14:textId="62CF78CD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SH1 Retail, Leisure and Town Centre Uses</w:t>
            </w:r>
          </w:p>
        </w:tc>
      </w:tr>
      <w:tr w:rsidR="003038ED" w:rsidRPr="00515274" w14:paraId="2056596A" w14:textId="77777777" w:rsidTr="003038ED">
        <w:tc>
          <w:tcPr>
            <w:tcW w:w="3247" w:type="dxa"/>
          </w:tcPr>
          <w:p w14:paraId="60CF5910" w14:textId="675AE71C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SH4 Local Shopping Centres</w:t>
            </w:r>
          </w:p>
        </w:tc>
        <w:tc>
          <w:tcPr>
            <w:tcW w:w="6104" w:type="dxa"/>
          </w:tcPr>
          <w:p w14:paraId="7EF1EDD6" w14:textId="77777777" w:rsidR="004E0B00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S11 Vibrant Town Centres</w:t>
            </w:r>
          </w:p>
          <w:p w14:paraId="0D98A630" w14:textId="4BCC7D5B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SH2 Local Shopping Centres, Shopping Parades and Single Shops</w:t>
            </w:r>
          </w:p>
        </w:tc>
      </w:tr>
      <w:tr w:rsidR="003038ED" w:rsidRPr="00515274" w14:paraId="483BE0B2" w14:textId="77777777" w:rsidTr="003038ED">
        <w:tc>
          <w:tcPr>
            <w:tcW w:w="3247" w:type="dxa"/>
          </w:tcPr>
          <w:p w14:paraId="2BB0EA50" w14:textId="405E02F4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SH5 Minor Shopping Centres and Single Shops</w:t>
            </w:r>
          </w:p>
        </w:tc>
        <w:tc>
          <w:tcPr>
            <w:tcW w:w="6104" w:type="dxa"/>
          </w:tcPr>
          <w:p w14:paraId="15A9B696" w14:textId="77777777" w:rsidR="004E0B00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S11 Vibrant Town Centres</w:t>
            </w:r>
          </w:p>
          <w:p w14:paraId="3D19B862" w14:textId="6EAD9E95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SH2 Local Shopping Centres, Shopping Parades and Single Shops</w:t>
            </w:r>
          </w:p>
        </w:tc>
      </w:tr>
      <w:tr w:rsidR="003038ED" w:rsidRPr="00515274" w14:paraId="3E6A23C5" w14:textId="77777777" w:rsidTr="003038ED">
        <w:tc>
          <w:tcPr>
            <w:tcW w:w="3247" w:type="dxa"/>
          </w:tcPr>
          <w:p w14:paraId="3C27F81D" w14:textId="3C5D1D12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SH7 Farm Shops</w:t>
            </w:r>
          </w:p>
        </w:tc>
        <w:tc>
          <w:tcPr>
            <w:tcW w:w="6104" w:type="dxa"/>
          </w:tcPr>
          <w:p w14:paraId="3EDFE0D9" w14:textId="77777777" w:rsidR="004E0B00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S11 Vibrant Town Centres</w:t>
            </w:r>
          </w:p>
          <w:p w14:paraId="64663624" w14:textId="357E0703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EM4 Rural Development</w:t>
            </w:r>
          </w:p>
        </w:tc>
      </w:tr>
      <w:tr w:rsidR="003038ED" w:rsidRPr="00515274" w14:paraId="6A3BA1EA" w14:textId="77777777" w:rsidTr="003038ED">
        <w:tc>
          <w:tcPr>
            <w:tcW w:w="3247" w:type="dxa"/>
          </w:tcPr>
          <w:p w14:paraId="08EB18BB" w14:textId="7AEF3795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SH8 Commercial/Retail Development</w:t>
            </w:r>
          </w:p>
        </w:tc>
        <w:tc>
          <w:tcPr>
            <w:tcW w:w="6104" w:type="dxa"/>
          </w:tcPr>
          <w:p w14:paraId="5E7876FD" w14:textId="77777777" w:rsidR="004E0B00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S11 Vibrant Town Centres</w:t>
            </w:r>
          </w:p>
          <w:p w14:paraId="3E208172" w14:textId="1AE1AB61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SH1 Retail, Leisure and Town Centre Uses</w:t>
            </w:r>
          </w:p>
        </w:tc>
      </w:tr>
      <w:tr w:rsidR="003038ED" w:rsidRPr="00515274" w14:paraId="7A1854A7" w14:textId="77777777" w:rsidTr="003038ED">
        <w:tc>
          <w:tcPr>
            <w:tcW w:w="3247" w:type="dxa"/>
          </w:tcPr>
          <w:p w14:paraId="0CBF860C" w14:textId="134C6B71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SH9 Hot Food Shops</w:t>
            </w:r>
          </w:p>
        </w:tc>
        <w:tc>
          <w:tcPr>
            <w:tcW w:w="6104" w:type="dxa"/>
          </w:tcPr>
          <w:p w14:paraId="14900A6B" w14:textId="77777777" w:rsidR="004E0B00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S11 Vibrant Town Centres</w:t>
            </w:r>
          </w:p>
          <w:p w14:paraId="14D778CC" w14:textId="77777777" w:rsidR="004E0B00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SH1 Retail, Leisure and Town Centre Uses</w:t>
            </w:r>
          </w:p>
          <w:p w14:paraId="2A863B06" w14:textId="22E70C81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SH2 Local Shopping Centres, Shopping Parades and Single Shops</w:t>
            </w:r>
          </w:p>
        </w:tc>
      </w:tr>
      <w:tr w:rsidR="003038ED" w:rsidRPr="00515274" w14:paraId="4030376C" w14:textId="77777777" w:rsidTr="003038ED">
        <w:tc>
          <w:tcPr>
            <w:tcW w:w="3247" w:type="dxa"/>
          </w:tcPr>
          <w:p w14:paraId="1274748B" w14:textId="5ED4BAC8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RC1 New Informal Open Space</w:t>
            </w:r>
          </w:p>
        </w:tc>
        <w:tc>
          <w:tcPr>
            <w:tcW w:w="6104" w:type="dxa"/>
          </w:tcPr>
          <w:p w14:paraId="3D71E676" w14:textId="77777777" w:rsidR="004E0B00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S7 Meeting Future Housing Provision</w:t>
            </w:r>
          </w:p>
          <w:p w14:paraId="2C7A5606" w14:textId="77777777" w:rsidR="004E0B00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H5 Public Open Space in New Residential Developments</w:t>
            </w:r>
          </w:p>
          <w:p w14:paraId="18A7C54D" w14:textId="2DC9A98D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SD2 Good Design Considerations for Development</w:t>
            </w:r>
          </w:p>
        </w:tc>
      </w:tr>
      <w:tr w:rsidR="003038ED" w:rsidRPr="00515274" w14:paraId="18FC27F9" w14:textId="77777777" w:rsidTr="003038ED">
        <w:tc>
          <w:tcPr>
            <w:tcW w:w="3247" w:type="dxa"/>
          </w:tcPr>
          <w:p w14:paraId="14CB0414" w14:textId="6A0F5B51" w:rsidR="003038ED" w:rsidRPr="000400D0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 w:rsidRPr="000400D0">
              <w:rPr>
                <w:rFonts w:cs="Arial"/>
                <w:szCs w:val="24"/>
              </w:rPr>
              <w:t xml:space="preserve">RC2 </w:t>
            </w:r>
            <w:r w:rsidRPr="000400D0">
              <w:rPr>
                <w:rFonts w:cs="Arial"/>
                <w:color w:val="000000"/>
                <w:szCs w:val="24"/>
              </w:rPr>
              <w:t xml:space="preserve">Open Areas </w:t>
            </w:r>
            <w:r>
              <w:rPr>
                <w:rFonts w:cs="Arial"/>
                <w:color w:val="000000"/>
                <w:szCs w:val="24"/>
              </w:rPr>
              <w:t xml:space="preserve">in Named Urban Areas and Names Settlements </w:t>
            </w:r>
          </w:p>
        </w:tc>
        <w:tc>
          <w:tcPr>
            <w:tcW w:w="6104" w:type="dxa"/>
          </w:tcPr>
          <w:p w14:paraId="3EB55030" w14:textId="77777777" w:rsidR="004E0B00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S12 Tackling Health Inequalities and Facilitating Healthier Lifestyles</w:t>
            </w:r>
          </w:p>
          <w:p w14:paraId="4B681E93" w14:textId="02DBA0D2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EV5 Protection of Green Spaces and Recreation Facilities</w:t>
            </w:r>
          </w:p>
        </w:tc>
      </w:tr>
      <w:tr w:rsidR="003038ED" w:rsidRPr="00515274" w14:paraId="49595FF7" w14:textId="77777777" w:rsidTr="003038ED">
        <w:tc>
          <w:tcPr>
            <w:tcW w:w="3247" w:type="dxa"/>
          </w:tcPr>
          <w:p w14:paraId="1C964736" w14:textId="4558D366" w:rsidR="003038ED" w:rsidRPr="00C9750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 w:rsidRPr="00C97504">
              <w:rPr>
                <w:rFonts w:cs="Arial"/>
                <w:szCs w:val="24"/>
              </w:rPr>
              <w:t xml:space="preserve">RC3 </w:t>
            </w:r>
            <w:r w:rsidRPr="00C97504">
              <w:rPr>
                <w:rFonts w:cs="Arial"/>
                <w:color w:val="000000"/>
                <w:szCs w:val="24"/>
              </w:rPr>
              <w:t xml:space="preserve">Formal Open Space </w:t>
            </w:r>
          </w:p>
        </w:tc>
        <w:tc>
          <w:tcPr>
            <w:tcW w:w="6104" w:type="dxa"/>
          </w:tcPr>
          <w:p w14:paraId="43D5A4EB" w14:textId="77777777" w:rsidR="004E0B00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S12 Tackling Health Inequalities and Facilitating Healthier Lifestyles</w:t>
            </w:r>
          </w:p>
          <w:p w14:paraId="4C36AE98" w14:textId="1B7DCAB1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EV5 Protection of Green Spaces and Recreation Facilities</w:t>
            </w:r>
          </w:p>
        </w:tc>
      </w:tr>
      <w:tr w:rsidR="003038ED" w:rsidRPr="00515274" w14:paraId="4914A319" w14:textId="77777777" w:rsidTr="003038ED">
        <w:tc>
          <w:tcPr>
            <w:tcW w:w="3247" w:type="dxa"/>
          </w:tcPr>
          <w:p w14:paraId="04C35C61" w14:textId="2998097C" w:rsidR="003038ED" w:rsidRPr="00C9750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 w:rsidRPr="00C97504">
              <w:rPr>
                <w:rFonts w:cs="Arial"/>
                <w:szCs w:val="24"/>
              </w:rPr>
              <w:t xml:space="preserve">RC4 </w:t>
            </w:r>
            <w:r w:rsidRPr="00C97504">
              <w:rPr>
                <w:rFonts w:cs="Arial"/>
                <w:color w:val="000000"/>
                <w:szCs w:val="24"/>
              </w:rPr>
              <w:t xml:space="preserve">New Formal Open Space </w:t>
            </w:r>
          </w:p>
        </w:tc>
        <w:tc>
          <w:tcPr>
            <w:tcW w:w="6104" w:type="dxa"/>
          </w:tcPr>
          <w:p w14:paraId="206F1021" w14:textId="77777777" w:rsidR="004E0B00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S7 Meeting Future Housing Provision</w:t>
            </w:r>
          </w:p>
          <w:p w14:paraId="7F4D422F" w14:textId="77777777" w:rsidR="004E0B00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H5 Public Open Space in New Residential Developments</w:t>
            </w:r>
          </w:p>
          <w:p w14:paraId="55BB99F4" w14:textId="676DEDEB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SD2 Good Design Considerations for Development</w:t>
            </w:r>
          </w:p>
        </w:tc>
      </w:tr>
      <w:tr w:rsidR="003038ED" w:rsidRPr="00515274" w14:paraId="485653B0" w14:textId="77777777" w:rsidTr="003038ED">
        <w:tc>
          <w:tcPr>
            <w:tcW w:w="3247" w:type="dxa"/>
          </w:tcPr>
          <w:p w14:paraId="37C1C73B" w14:textId="339D5C78" w:rsidR="003038ED" w:rsidRPr="00C9750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 w:rsidRPr="00C97504">
              <w:rPr>
                <w:rFonts w:cs="Arial"/>
                <w:szCs w:val="24"/>
              </w:rPr>
              <w:t xml:space="preserve">RC5 </w:t>
            </w:r>
            <w:r w:rsidRPr="00C97504">
              <w:rPr>
                <w:rFonts w:cs="Arial"/>
                <w:color w:val="000000"/>
                <w:szCs w:val="24"/>
              </w:rPr>
              <w:t xml:space="preserve">Allotments </w:t>
            </w:r>
          </w:p>
        </w:tc>
        <w:tc>
          <w:tcPr>
            <w:tcW w:w="6104" w:type="dxa"/>
          </w:tcPr>
          <w:p w14:paraId="31A988A5" w14:textId="77777777" w:rsidR="004E0B00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S12 Tackling Health Inequalities and Facilitating Healthier Lifestyles</w:t>
            </w:r>
          </w:p>
          <w:p w14:paraId="2004F169" w14:textId="0D953F49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EV7 Provision and Protection of Allotments</w:t>
            </w:r>
          </w:p>
        </w:tc>
      </w:tr>
      <w:tr w:rsidR="003038ED" w:rsidRPr="00515274" w14:paraId="7AE5B4AF" w14:textId="77777777" w:rsidTr="003038ED">
        <w:tc>
          <w:tcPr>
            <w:tcW w:w="3247" w:type="dxa"/>
          </w:tcPr>
          <w:p w14:paraId="32D56B91" w14:textId="3F8B9B04" w:rsidR="003038ED" w:rsidRPr="00C9750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 w:rsidRPr="00C97504">
              <w:rPr>
                <w:rFonts w:cs="Arial"/>
                <w:szCs w:val="24"/>
              </w:rPr>
              <w:lastRenderedPageBreak/>
              <w:t xml:space="preserve">RC6 </w:t>
            </w:r>
            <w:r w:rsidRPr="00C97504">
              <w:rPr>
                <w:rFonts w:cs="Arial"/>
                <w:color w:val="000000"/>
                <w:szCs w:val="24"/>
              </w:rPr>
              <w:t>Indoor Leisure Facilities</w:t>
            </w:r>
          </w:p>
        </w:tc>
        <w:tc>
          <w:tcPr>
            <w:tcW w:w="6104" w:type="dxa"/>
          </w:tcPr>
          <w:p w14:paraId="3A3EA000" w14:textId="77777777" w:rsidR="004E0B00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S12 Tackling Health Inequalities and Facilitating Healthier Lifestyles</w:t>
            </w:r>
          </w:p>
          <w:p w14:paraId="1B32925A" w14:textId="77777777" w:rsidR="004E0B00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SH1 Retail, Leisure and Town Centre Uses</w:t>
            </w:r>
          </w:p>
          <w:p w14:paraId="408C7158" w14:textId="0759CDA3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SH2 Local Shopping Centres, Shopping Parades and Single Shops</w:t>
            </w:r>
          </w:p>
        </w:tc>
      </w:tr>
      <w:tr w:rsidR="003038ED" w:rsidRPr="00515274" w14:paraId="47E6358C" w14:textId="77777777" w:rsidTr="003038ED">
        <w:tc>
          <w:tcPr>
            <w:tcW w:w="3247" w:type="dxa"/>
          </w:tcPr>
          <w:p w14:paraId="5951874C" w14:textId="7CEE153C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RC8 Recreational Routes</w:t>
            </w:r>
          </w:p>
        </w:tc>
        <w:tc>
          <w:tcPr>
            <w:tcW w:w="6104" w:type="dxa"/>
          </w:tcPr>
          <w:p w14:paraId="4D8A6CFC" w14:textId="77777777" w:rsidR="004E0B00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S2 Achieving Sustainable Development</w:t>
            </w:r>
          </w:p>
          <w:p w14:paraId="138AE6D5" w14:textId="77777777" w:rsidR="004E0B00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S10 Improving Transport Infrastructure</w:t>
            </w:r>
          </w:p>
          <w:p w14:paraId="27C053D7" w14:textId="31F15D09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S12 Tackling Health Inequalities and Facilitating Healthier Lifestyles</w:t>
            </w:r>
          </w:p>
        </w:tc>
      </w:tr>
      <w:tr w:rsidR="003038ED" w:rsidRPr="00515274" w14:paraId="2488A31B" w14:textId="77777777" w:rsidTr="003038ED">
        <w:tc>
          <w:tcPr>
            <w:tcW w:w="3247" w:type="dxa"/>
          </w:tcPr>
          <w:p w14:paraId="65A11CAA" w14:textId="071B9379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RC9 Community Services</w:t>
            </w:r>
          </w:p>
        </w:tc>
        <w:tc>
          <w:tcPr>
            <w:tcW w:w="6104" w:type="dxa"/>
          </w:tcPr>
          <w:p w14:paraId="574C78C3" w14:textId="77777777" w:rsidR="004E0B00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S2 Achieving Sustainable Development</w:t>
            </w:r>
          </w:p>
          <w:p w14:paraId="7FD80372" w14:textId="77777777" w:rsidR="004E0B00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S12 Tackling Health Inequalities and Facilitating Healthier Lifestyles</w:t>
            </w:r>
          </w:p>
          <w:p w14:paraId="70D599AB" w14:textId="1CBFA98B" w:rsidR="003038ED" w:rsidRPr="00515274" w:rsidRDefault="003038ED" w:rsidP="00173493">
            <w:pPr>
              <w:ind w:left="142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SD13 Provision and Protection of Health and Community Facilities</w:t>
            </w:r>
          </w:p>
        </w:tc>
      </w:tr>
    </w:tbl>
    <w:p w14:paraId="439109F9" w14:textId="77777777" w:rsidR="00733ABD" w:rsidRPr="00515274" w:rsidRDefault="00733ABD" w:rsidP="00173493">
      <w:pPr>
        <w:spacing w:line="240" w:lineRule="auto"/>
        <w:ind w:left="142"/>
        <w:jc w:val="left"/>
        <w:rPr>
          <w:rFonts w:cs="Arial"/>
          <w:szCs w:val="24"/>
        </w:rPr>
      </w:pPr>
    </w:p>
    <w:p w14:paraId="55A3DBCE" w14:textId="77777777" w:rsidR="00515274" w:rsidRPr="00515274" w:rsidRDefault="00515274" w:rsidP="00173493">
      <w:pPr>
        <w:spacing w:line="240" w:lineRule="auto"/>
        <w:ind w:left="142"/>
        <w:jc w:val="left"/>
        <w:rPr>
          <w:rFonts w:cs="Arial"/>
          <w:szCs w:val="24"/>
        </w:rPr>
      </w:pPr>
    </w:p>
    <w:sectPr w:rsidR="00515274" w:rsidRPr="00515274" w:rsidSect="00690CA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CB1C4" w14:textId="77777777" w:rsidR="00690CA6" w:rsidRDefault="00690CA6" w:rsidP="00690CA6">
      <w:pPr>
        <w:spacing w:after="0" w:line="240" w:lineRule="auto"/>
      </w:pPr>
      <w:r>
        <w:separator/>
      </w:r>
    </w:p>
  </w:endnote>
  <w:endnote w:type="continuationSeparator" w:id="0">
    <w:p w14:paraId="5C38A329" w14:textId="77777777" w:rsidR="00690CA6" w:rsidRDefault="00690CA6" w:rsidP="00690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xygen">
    <w:charset w:val="00"/>
    <w:family w:val="auto"/>
    <w:pitch w:val="variable"/>
    <w:sig w:usb0="A00000E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3E098" w14:textId="5D31F66B" w:rsidR="00690CA6" w:rsidRDefault="00690CA6">
    <w:pPr>
      <w:pStyle w:val="Footer"/>
    </w:pPr>
    <w:r>
      <w:t>12 November 2024</w:t>
    </w:r>
  </w:p>
  <w:p w14:paraId="196982D9" w14:textId="77777777" w:rsidR="00690CA6" w:rsidRDefault="00690C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624CF" w14:textId="55FECB07" w:rsidR="00122107" w:rsidRDefault="00122107">
    <w:pPr>
      <w:pStyle w:val="Footer"/>
    </w:pPr>
    <w:r>
      <w:t>12 November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49C49" w14:textId="77777777" w:rsidR="00690CA6" w:rsidRDefault="00690CA6" w:rsidP="00690CA6">
      <w:pPr>
        <w:spacing w:after="0" w:line="240" w:lineRule="auto"/>
      </w:pPr>
      <w:r>
        <w:separator/>
      </w:r>
    </w:p>
  </w:footnote>
  <w:footnote w:type="continuationSeparator" w:id="0">
    <w:p w14:paraId="12C968B5" w14:textId="77777777" w:rsidR="00690CA6" w:rsidRDefault="00690CA6" w:rsidP="00690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8D811" w14:textId="2B472821" w:rsidR="00690CA6" w:rsidRDefault="00690CA6" w:rsidP="00690CA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3AE02" w14:textId="63DB5313" w:rsidR="00690CA6" w:rsidRDefault="00690CA6" w:rsidP="00690CA6">
    <w:pPr>
      <w:pStyle w:val="Header"/>
      <w:jc w:val="right"/>
    </w:pPr>
    <w:r>
      <w:rPr>
        <w:noProof/>
      </w:rPr>
      <w:drawing>
        <wp:inline distT="0" distB="0" distL="0" distR="0" wp14:anchorId="700EFEFA" wp14:editId="46FF38F8">
          <wp:extent cx="2114550" cy="874395"/>
          <wp:effectExtent l="0" t="0" r="0" b="1905"/>
          <wp:docPr id="1" name="Picture 1" descr="A black and whi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550" cy="874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147A"/>
    <w:multiLevelType w:val="multilevel"/>
    <w:tmpl w:val="7A38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684EAC"/>
    <w:multiLevelType w:val="multilevel"/>
    <w:tmpl w:val="AE98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F624FD"/>
    <w:multiLevelType w:val="multilevel"/>
    <w:tmpl w:val="85CA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37314C"/>
    <w:multiLevelType w:val="multilevel"/>
    <w:tmpl w:val="DCA2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3708A4"/>
    <w:multiLevelType w:val="multilevel"/>
    <w:tmpl w:val="627A6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6909D3"/>
    <w:multiLevelType w:val="multilevel"/>
    <w:tmpl w:val="35B2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858554E"/>
    <w:multiLevelType w:val="multilevel"/>
    <w:tmpl w:val="D3B4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3625910">
    <w:abstractNumId w:val="4"/>
  </w:num>
  <w:num w:numId="2" w16cid:durableId="563104468">
    <w:abstractNumId w:val="0"/>
  </w:num>
  <w:num w:numId="3" w16cid:durableId="1192760985">
    <w:abstractNumId w:val="6"/>
  </w:num>
  <w:num w:numId="4" w16cid:durableId="839930275">
    <w:abstractNumId w:val="5"/>
  </w:num>
  <w:num w:numId="5" w16cid:durableId="357241063">
    <w:abstractNumId w:val="2"/>
  </w:num>
  <w:num w:numId="6" w16cid:durableId="1298954054">
    <w:abstractNumId w:val="3"/>
  </w:num>
  <w:num w:numId="7" w16cid:durableId="549151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1EA"/>
    <w:rsid w:val="000015BD"/>
    <w:rsid w:val="000035E4"/>
    <w:rsid w:val="00015415"/>
    <w:rsid w:val="0001645B"/>
    <w:rsid w:val="00026D1A"/>
    <w:rsid w:val="000335F8"/>
    <w:rsid w:val="000400D0"/>
    <w:rsid w:val="000536A4"/>
    <w:rsid w:val="000572DB"/>
    <w:rsid w:val="000655A2"/>
    <w:rsid w:val="000661AE"/>
    <w:rsid w:val="000669C3"/>
    <w:rsid w:val="00095C87"/>
    <w:rsid w:val="000A1B79"/>
    <w:rsid w:val="000B525A"/>
    <w:rsid w:val="000C40A3"/>
    <w:rsid w:val="000D17B3"/>
    <w:rsid w:val="000F2C46"/>
    <w:rsid w:val="000F5445"/>
    <w:rsid w:val="00120733"/>
    <w:rsid w:val="00122107"/>
    <w:rsid w:val="00132E85"/>
    <w:rsid w:val="00143722"/>
    <w:rsid w:val="00161820"/>
    <w:rsid w:val="00161A9E"/>
    <w:rsid w:val="00173493"/>
    <w:rsid w:val="001C3713"/>
    <w:rsid w:val="001D3C29"/>
    <w:rsid w:val="001F7C93"/>
    <w:rsid w:val="00205B10"/>
    <w:rsid w:val="00241C34"/>
    <w:rsid w:val="002548C8"/>
    <w:rsid w:val="00254AD7"/>
    <w:rsid w:val="00261CF1"/>
    <w:rsid w:val="00280D72"/>
    <w:rsid w:val="00285814"/>
    <w:rsid w:val="00293816"/>
    <w:rsid w:val="002C1D40"/>
    <w:rsid w:val="002F7762"/>
    <w:rsid w:val="003038ED"/>
    <w:rsid w:val="003276EF"/>
    <w:rsid w:val="003445B0"/>
    <w:rsid w:val="00361953"/>
    <w:rsid w:val="00362072"/>
    <w:rsid w:val="003B39FB"/>
    <w:rsid w:val="003D22D0"/>
    <w:rsid w:val="003F371C"/>
    <w:rsid w:val="0042606D"/>
    <w:rsid w:val="004320FD"/>
    <w:rsid w:val="004500A0"/>
    <w:rsid w:val="00451B4A"/>
    <w:rsid w:val="00463C58"/>
    <w:rsid w:val="00480E42"/>
    <w:rsid w:val="00491345"/>
    <w:rsid w:val="00495A93"/>
    <w:rsid w:val="004A40F5"/>
    <w:rsid w:val="004B0629"/>
    <w:rsid w:val="004B2BD0"/>
    <w:rsid w:val="004D51B2"/>
    <w:rsid w:val="004E0B00"/>
    <w:rsid w:val="004F359A"/>
    <w:rsid w:val="00505F91"/>
    <w:rsid w:val="00515274"/>
    <w:rsid w:val="0051557C"/>
    <w:rsid w:val="00542EAF"/>
    <w:rsid w:val="005568D4"/>
    <w:rsid w:val="005F14C1"/>
    <w:rsid w:val="00600D5C"/>
    <w:rsid w:val="00610AD3"/>
    <w:rsid w:val="00614253"/>
    <w:rsid w:val="0062034E"/>
    <w:rsid w:val="00623677"/>
    <w:rsid w:val="00636E53"/>
    <w:rsid w:val="00640890"/>
    <w:rsid w:val="00656B32"/>
    <w:rsid w:val="00667C56"/>
    <w:rsid w:val="0067079F"/>
    <w:rsid w:val="00676607"/>
    <w:rsid w:val="006814D4"/>
    <w:rsid w:val="00690CA6"/>
    <w:rsid w:val="00694830"/>
    <w:rsid w:val="006A0994"/>
    <w:rsid w:val="006A2124"/>
    <w:rsid w:val="006A5FF8"/>
    <w:rsid w:val="006D2CDC"/>
    <w:rsid w:val="006E6AB4"/>
    <w:rsid w:val="00703AF1"/>
    <w:rsid w:val="00703C1F"/>
    <w:rsid w:val="00710D9B"/>
    <w:rsid w:val="00711359"/>
    <w:rsid w:val="007236BE"/>
    <w:rsid w:val="0073283F"/>
    <w:rsid w:val="00733ABD"/>
    <w:rsid w:val="00755BA5"/>
    <w:rsid w:val="0078442F"/>
    <w:rsid w:val="007847CA"/>
    <w:rsid w:val="007E6987"/>
    <w:rsid w:val="00803EA0"/>
    <w:rsid w:val="0081026B"/>
    <w:rsid w:val="0081627B"/>
    <w:rsid w:val="00837CF7"/>
    <w:rsid w:val="00862ACA"/>
    <w:rsid w:val="0087403E"/>
    <w:rsid w:val="00886C00"/>
    <w:rsid w:val="008874C5"/>
    <w:rsid w:val="0089176E"/>
    <w:rsid w:val="008A1ADB"/>
    <w:rsid w:val="008B15BA"/>
    <w:rsid w:val="008B27DD"/>
    <w:rsid w:val="008C1973"/>
    <w:rsid w:val="0090557B"/>
    <w:rsid w:val="009242E3"/>
    <w:rsid w:val="00942BBC"/>
    <w:rsid w:val="009508CB"/>
    <w:rsid w:val="00966C2E"/>
    <w:rsid w:val="00972BDC"/>
    <w:rsid w:val="00982F1C"/>
    <w:rsid w:val="0098745E"/>
    <w:rsid w:val="009C4E75"/>
    <w:rsid w:val="009E43E1"/>
    <w:rsid w:val="009F1293"/>
    <w:rsid w:val="00A03310"/>
    <w:rsid w:val="00A07C85"/>
    <w:rsid w:val="00A64FD3"/>
    <w:rsid w:val="00A71C66"/>
    <w:rsid w:val="00A77A16"/>
    <w:rsid w:val="00A92454"/>
    <w:rsid w:val="00AB0457"/>
    <w:rsid w:val="00AB64EA"/>
    <w:rsid w:val="00AE3C5D"/>
    <w:rsid w:val="00AE6C53"/>
    <w:rsid w:val="00B0767B"/>
    <w:rsid w:val="00B2777E"/>
    <w:rsid w:val="00B35DF8"/>
    <w:rsid w:val="00B65596"/>
    <w:rsid w:val="00B93496"/>
    <w:rsid w:val="00B93AE2"/>
    <w:rsid w:val="00BB41E7"/>
    <w:rsid w:val="00BB48DA"/>
    <w:rsid w:val="00BD21EA"/>
    <w:rsid w:val="00BD4241"/>
    <w:rsid w:val="00BF248A"/>
    <w:rsid w:val="00BF29C5"/>
    <w:rsid w:val="00BF55F9"/>
    <w:rsid w:val="00C03663"/>
    <w:rsid w:val="00C270AB"/>
    <w:rsid w:val="00C6135F"/>
    <w:rsid w:val="00C636B5"/>
    <w:rsid w:val="00C64E81"/>
    <w:rsid w:val="00C97504"/>
    <w:rsid w:val="00CA09F4"/>
    <w:rsid w:val="00CC6EE4"/>
    <w:rsid w:val="00CD1AB9"/>
    <w:rsid w:val="00CF792B"/>
    <w:rsid w:val="00D20981"/>
    <w:rsid w:val="00D22C68"/>
    <w:rsid w:val="00D3256D"/>
    <w:rsid w:val="00D47CD4"/>
    <w:rsid w:val="00D63D0C"/>
    <w:rsid w:val="00D73AE7"/>
    <w:rsid w:val="00D93E37"/>
    <w:rsid w:val="00DA5E21"/>
    <w:rsid w:val="00DB1BB3"/>
    <w:rsid w:val="00DB5124"/>
    <w:rsid w:val="00DC7636"/>
    <w:rsid w:val="00DF3534"/>
    <w:rsid w:val="00E227E9"/>
    <w:rsid w:val="00E442CA"/>
    <w:rsid w:val="00E60083"/>
    <w:rsid w:val="00E73DB1"/>
    <w:rsid w:val="00E773FC"/>
    <w:rsid w:val="00EA08C5"/>
    <w:rsid w:val="00EC28C0"/>
    <w:rsid w:val="00EF3965"/>
    <w:rsid w:val="00F141B3"/>
    <w:rsid w:val="00F20D66"/>
    <w:rsid w:val="00F43FA4"/>
    <w:rsid w:val="00F45687"/>
    <w:rsid w:val="00F574FD"/>
    <w:rsid w:val="00F90804"/>
    <w:rsid w:val="00FB6128"/>
    <w:rsid w:val="00FD26B5"/>
    <w:rsid w:val="00FD76B4"/>
    <w:rsid w:val="00FE688C"/>
    <w:rsid w:val="00FF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F276E"/>
  <w15:chartTrackingRefBased/>
  <w15:docId w15:val="{ACE0BD11-99D7-483C-9457-B89116AD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24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4241"/>
    <w:pPr>
      <w:keepNext/>
      <w:keepLines/>
      <w:spacing w:before="320" w:after="40"/>
      <w:outlineLvl w:val="0"/>
    </w:pPr>
    <w:rPr>
      <w:rFonts w:eastAsiaTheme="majorEastAsia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241"/>
    <w:pPr>
      <w:keepNext/>
      <w:keepLines/>
      <w:spacing w:before="120" w:after="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4241"/>
    <w:pPr>
      <w:keepNext/>
      <w:keepLines/>
      <w:spacing w:before="120" w:after="0"/>
      <w:outlineLvl w:val="2"/>
    </w:pPr>
    <w:rPr>
      <w:rFonts w:eastAsiaTheme="majorEastAsia" w:cstheme="majorBidi"/>
      <w:spacing w:val="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D4241"/>
    <w:pPr>
      <w:keepNext/>
      <w:keepLines/>
      <w:spacing w:before="120" w:after="0"/>
      <w:outlineLvl w:val="3"/>
    </w:pPr>
    <w:rPr>
      <w:rFonts w:eastAsiaTheme="majorEastAsia" w:cstheme="majorBidi"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D4241"/>
    <w:pPr>
      <w:keepNext/>
      <w:keepLines/>
      <w:spacing w:before="120"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D4241"/>
    <w:pPr>
      <w:keepNext/>
      <w:keepLines/>
      <w:spacing w:before="120" w:after="0"/>
      <w:outlineLvl w:val="5"/>
    </w:pPr>
    <w:rPr>
      <w:rFonts w:eastAsiaTheme="majorEastAsia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BD21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BD21E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BD21E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241"/>
    <w:rPr>
      <w:rFonts w:ascii="Arial" w:eastAsiaTheme="majorEastAsia" w:hAnsi="Arial" w:cstheme="majorBidi"/>
      <w:b/>
      <w:bCs/>
      <w:caps/>
      <w:spacing w:val="4"/>
      <w:sz w:val="28"/>
      <w:szCs w:val="28"/>
    </w:rPr>
  </w:style>
  <w:style w:type="paragraph" w:styleId="NoSpacing">
    <w:name w:val="No Spacing"/>
    <w:uiPriority w:val="1"/>
    <w:qFormat/>
    <w:rsid w:val="00BD4241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D424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4241"/>
    <w:rPr>
      <w:rFonts w:ascii="Arial" w:eastAsiaTheme="majorEastAsia" w:hAnsi="Arial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D4241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4241"/>
    <w:rPr>
      <w:rFonts w:ascii="Arial" w:eastAsiaTheme="majorEastAsia" w:hAnsi="Arial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241"/>
    <w:rPr>
      <w:rFonts w:ascii="Arial" w:eastAsiaTheme="majorEastAsia" w:hAnsi="Arial" w:cstheme="majorBidi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D4241"/>
    <w:pPr>
      <w:spacing w:after="0" w:line="240" w:lineRule="auto"/>
      <w:contextualSpacing/>
      <w:jc w:val="center"/>
    </w:pPr>
    <w:rPr>
      <w:rFonts w:eastAsiaTheme="majorEastAsia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D4241"/>
    <w:rPr>
      <w:rFonts w:ascii="Arial" w:eastAsiaTheme="majorEastAsia" w:hAnsi="Arial" w:cstheme="majorBidi"/>
      <w:b/>
      <w:bCs/>
      <w:spacing w:val="-7"/>
      <w:sz w:val="48"/>
      <w:szCs w:val="4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4241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241"/>
    <w:pPr>
      <w:numPr>
        <w:ilvl w:val="1"/>
      </w:numPr>
      <w:spacing w:after="240"/>
      <w:jc w:val="center"/>
    </w:pPr>
    <w:rPr>
      <w:rFonts w:eastAsiaTheme="majorEastAsia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4241"/>
    <w:rPr>
      <w:rFonts w:ascii="Arial" w:eastAsiaTheme="majorEastAsia" w:hAnsi="Arial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D424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D4241"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BD42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424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D424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24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241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BD4241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D424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D4241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D4241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BD4241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4241"/>
    <w:pPr>
      <w:outlineLvl w:val="9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BD21EA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1E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1EA"/>
    <w:rPr>
      <w:rFonts w:eastAsiaTheme="majorEastAsia" w:cstheme="majorBidi"/>
      <w:color w:val="272727" w:themeColor="text1" w:themeTint="D8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BD2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0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CA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90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CA6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9C4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1D40"/>
    <w:pPr>
      <w:spacing w:before="100" w:beforeAutospacing="1" w:after="100" w:afterAutospacing="1" w:line="240" w:lineRule="auto"/>
      <w:jc w:val="left"/>
    </w:pPr>
    <w:rPr>
      <w:rFonts w:eastAsia="Times New Roman" w:cs="Arial"/>
      <w:kern w:val="0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4</Pages>
  <Words>944</Words>
  <Characters>5862</Characters>
  <Application>Microsoft Office Word</Application>
  <DocSecurity>0</DocSecurity>
  <Lines>238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Ashfield District Council</Company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Julie.King</dc:creator>
  <cp:keywords/>
  <dc:description/>
  <cp:lastModifiedBy>Darius.Walker</cp:lastModifiedBy>
  <cp:revision>107</cp:revision>
  <dcterms:created xsi:type="dcterms:W3CDTF">2026-01-20T13:45:00Z</dcterms:created>
  <dcterms:modified xsi:type="dcterms:W3CDTF">2026-01-21T14:28:00Z</dcterms:modified>
</cp:coreProperties>
</file>