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F4B3" w14:textId="6735D8C5" w:rsidR="009F59CD" w:rsidRPr="00392D46" w:rsidRDefault="005F687A" w:rsidP="007553C9">
      <w:pPr>
        <w:jc w:val="center"/>
      </w:pPr>
      <w:r>
        <w:rPr>
          <w:noProof/>
        </w:rPr>
        <w:drawing>
          <wp:inline distT="0" distB="0" distL="0" distR="0" wp14:anchorId="456B2836" wp14:editId="7413811B">
            <wp:extent cx="2114550" cy="874395"/>
            <wp:effectExtent l="0" t="0" r="0" b="1905"/>
            <wp:docPr id="197"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 descr="Ashfield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874395"/>
                    </a:xfrm>
                    <a:prstGeom prst="rect">
                      <a:avLst/>
                    </a:prstGeom>
                    <a:noFill/>
                    <a:ln>
                      <a:noFill/>
                    </a:ln>
                  </pic:spPr>
                </pic:pic>
              </a:graphicData>
            </a:graphic>
          </wp:inline>
        </w:drawing>
      </w:r>
    </w:p>
    <w:p w14:paraId="2ACF471C" w14:textId="77777777" w:rsidR="00122169" w:rsidRPr="00C366EF" w:rsidRDefault="00DD0C0A" w:rsidP="00392D46">
      <w:pPr>
        <w:pStyle w:val="Heading1"/>
      </w:pPr>
      <w:r>
        <w:t xml:space="preserve">Full </w:t>
      </w:r>
      <w:r w:rsidR="007553C9" w:rsidRPr="00AC4B6A">
        <w:t>E</w:t>
      </w:r>
      <w:r>
        <w:t xml:space="preserve">quality Impact </w:t>
      </w:r>
      <w:r w:rsidRPr="00392D46">
        <w:t>Assessment</w:t>
      </w:r>
      <w:r>
        <w:t xml:space="preserve"> (EIA)</w:t>
      </w:r>
      <w:r w:rsidR="00C01811">
        <w:t xml:space="preserve"> </w:t>
      </w:r>
    </w:p>
    <w:p w14:paraId="0FFA9BC6" w14:textId="1E1C87E4" w:rsidR="00122169" w:rsidRPr="00542FC5" w:rsidRDefault="00542FC5" w:rsidP="005419AC">
      <w:pPr>
        <w:pStyle w:val="BodyText"/>
      </w:pPr>
      <w:r w:rsidRPr="00542FC5">
        <w:t>Impact assessment should be considered in the full range of functions, activities and decisions that the organisation is responsible for. Their purpose is to analyse policies and practices to ensure that they do not discriminate or disadvantage people. They must be relevant and proportionate to the level of changes and impact and where potential for disadvantage is identified they should demonstrate plans to eliminate.</w:t>
      </w:r>
    </w:p>
    <w:p w14:paraId="262D92AD" w14:textId="265FF624" w:rsidR="007553C9" w:rsidRDefault="00DD0C0A" w:rsidP="005419AC">
      <w:pPr>
        <w:pStyle w:val="BodyText"/>
        <w:rPr>
          <w:lang w:eastAsia="en-US"/>
        </w:rPr>
      </w:pPr>
      <w:r w:rsidRPr="00392D46">
        <w:rPr>
          <w:lang w:eastAsia="en-US"/>
        </w:rPr>
        <w:t>Complete a full equality impact assessment where there is a potential risk of disadvantage to groups</w:t>
      </w:r>
      <w:r w:rsidR="00392D46" w:rsidRPr="00392D46">
        <w:rPr>
          <w:lang w:eastAsia="en-US"/>
        </w:rPr>
        <w:t xml:space="preserve"> or </w:t>
      </w:r>
      <w:proofErr w:type="gramStart"/>
      <w:r w:rsidRPr="00392D46">
        <w:rPr>
          <w:lang w:eastAsia="en-US"/>
        </w:rPr>
        <w:t>individuals</w:t>
      </w:r>
      <w:proofErr w:type="gramEnd"/>
      <w:r w:rsidRPr="00392D46">
        <w:rPr>
          <w:lang w:eastAsia="en-US"/>
        </w:rPr>
        <w:t xml:space="preserve"> representative of the protected characteristics.</w:t>
      </w:r>
    </w:p>
    <w:p w14:paraId="60307E25" w14:textId="583A3DA2" w:rsidR="00013BBD" w:rsidRDefault="00013BBD" w:rsidP="00C366EF">
      <w:pPr>
        <w:pStyle w:val="Boxedheading2"/>
      </w:pPr>
      <w:r w:rsidRPr="00C366EF">
        <w:t>Which Function/policy are you assessing?</w:t>
      </w:r>
    </w:p>
    <w:p w14:paraId="49FB5996" w14:textId="77777777" w:rsidR="00C366EF" w:rsidRPr="00C366EF" w:rsidRDefault="00C366EF" w:rsidP="00C366EF">
      <w:pPr>
        <w:pStyle w:val="inbetween"/>
      </w:pPr>
    </w:p>
    <w:p w14:paraId="60A26212" w14:textId="50992E65" w:rsidR="00C366EF" w:rsidRDefault="00C366EF" w:rsidP="00C366EF">
      <w:pPr>
        <w:pStyle w:val="boxedtext1"/>
      </w:pPr>
      <w:r w:rsidRPr="00392D46">
        <w:t>Damp and Mould Policy</w:t>
      </w:r>
    </w:p>
    <w:p w14:paraId="568B0421" w14:textId="77777777" w:rsidR="00C366EF" w:rsidRPr="00C366EF" w:rsidRDefault="00C366EF" w:rsidP="00C366EF">
      <w:pPr>
        <w:pStyle w:val="inbetween"/>
      </w:pPr>
    </w:p>
    <w:p w14:paraId="6CAF012D" w14:textId="69A5667B" w:rsidR="00013BBD" w:rsidRDefault="00013BBD" w:rsidP="00C366EF">
      <w:pPr>
        <w:pStyle w:val="Boxedheading2"/>
      </w:pPr>
      <w:r w:rsidRPr="00C366EF">
        <w:t>2. Who is responsible for this Function/policy? (Manager and Section)</w:t>
      </w:r>
    </w:p>
    <w:p w14:paraId="4CAA2B28" w14:textId="77777777" w:rsidR="00C366EF" w:rsidRDefault="00C366EF" w:rsidP="00C366EF">
      <w:pPr>
        <w:pStyle w:val="inbetween"/>
      </w:pPr>
    </w:p>
    <w:p w14:paraId="25A06636" w14:textId="157DECF4" w:rsidR="00C366EF" w:rsidRDefault="00C366EF" w:rsidP="00C366EF">
      <w:pPr>
        <w:pStyle w:val="boxedtext1"/>
      </w:pPr>
      <w:r w:rsidRPr="00C366EF">
        <w:t>Chris Clipstone, Assistant Director – Housing Operations</w:t>
      </w:r>
    </w:p>
    <w:p w14:paraId="4C738041" w14:textId="77777777" w:rsidR="00C366EF" w:rsidRPr="00C366EF" w:rsidRDefault="00C366EF" w:rsidP="00C366EF">
      <w:pPr>
        <w:pStyle w:val="inbetween"/>
      </w:pPr>
    </w:p>
    <w:p w14:paraId="68161884" w14:textId="74AECE04" w:rsidR="008801CD" w:rsidRDefault="008801CD" w:rsidP="00C366EF">
      <w:pPr>
        <w:pStyle w:val="Boxedheading2"/>
      </w:pPr>
      <w:r w:rsidRPr="00C366EF">
        <w:t>3. What changes are you proposing to this service?</w:t>
      </w:r>
    </w:p>
    <w:p w14:paraId="4249CF32" w14:textId="77777777" w:rsidR="00C366EF" w:rsidRDefault="00C366EF" w:rsidP="00C366EF">
      <w:pPr>
        <w:pStyle w:val="inbetween"/>
      </w:pPr>
    </w:p>
    <w:p w14:paraId="6FE30712" w14:textId="674CF227" w:rsidR="00C366EF" w:rsidRDefault="00C366EF" w:rsidP="00C366EF">
      <w:pPr>
        <w:pStyle w:val="boxedtext1"/>
      </w:pPr>
      <w:r>
        <w:t>Policy reviewed to include reference to Awaab’s Law</w:t>
      </w:r>
    </w:p>
    <w:p w14:paraId="4AA6425E" w14:textId="77777777" w:rsidR="00C366EF" w:rsidRPr="00C366EF" w:rsidRDefault="00C366EF" w:rsidP="00C366EF">
      <w:pPr>
        <w:pStyle w:val="inbetween"/>
      </w:pPr>
    </w:p>
    <w:p w14:paraId="5E4E38C0" w14:textId="77777777" w:rsidR="008801CD" w:rsidRDefault="008801CD" w:rsidP="008801CD">
      <w:pPr>
        <w:pStyle w:val="BodyText"/>
      </w:pPr>
      <w:r>
        <w:br w:type="page"/>
      </w:r>
    </w:p>
    <w:p w14:paraId="17BED3A6" w14:textId="7E64062F" w:rsidR="008801CD" w:rsidRPr="00C366EF" w:rsidRDefault="008801CD" w:rsidP="00C366EF">
      <w:pPr>
        <w:pStyle w:val="Boxedheading2"/>
      </w:pPr>
      <w:r w:rsidRPr="00C366EF">
        <w:lastRenderedPageBreak/>
        <w:t>4. What potential impact will these changes have on each equality strand?</w:t>
      </w:r>
    </w:p>
    <w:p w14:paraId="0008F22D" w14:textId="77777777" w:rsidR="008801CD" w:rsidRDefault="008801CD" w:rsidP="008801CD">
      <w:pPr>
        <w:pStyle w:val="inbetwee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0"/>
        <w:gridCol w:w="3030"/>
        <w:gridCol w:w="2742"/>
        <w:gridCol w:w="2676"/>
      </w:tblGrid>
      <w:tr w:rsidR="008801CD" w:rsidRPr="00792E59" w14:paraId="5BAB40AA" w14:textId="77777777" w:rsidTr="00532C31">
        <w:trPr>
          <w:trHeight w:val="39"/>
        </w:trPr>
        <w:tc>
          <w:tcPr>
            <w:tcW w:w="6680" w:type="dxa"/>
            <w:shd w:val="clear" w:color="auto" w:fill="F2DBDB"/>
          </w:tcPr>
          <w:p w14:paraId="74924E1F" w14:textId="77777777" w:rsidR="008801CD" w:rsidRPr="00EB623D" w:rsidRDefault="008801CD" w:rsidP="00EB623D">
            <w:pPr>
              <w:pStyle w:val="tabletext"/>
              <w:rPr>
                <w:b/>
                <w:bCs/>
              </w:rPr>
            </w:pPr>
            <w:r w:rsidRPr="00EB623D">
              <w:rPr>
                <w:b/>
                <w:bCs/>
              </w:rPr>
              <w:t>Equality Strand</w:t>
            </w:r>
          </w:p>
        </w:tc>
        <w:tc>
          <w:tcPr>
            <w:tcW w:w="3030" w:type="dxa"/>
            <w:shd w:val="clear" w:color="auto" w:fill="F2DBDB"/>
          </w:tcPr>
          <w:p w14:paraId="2BCBE151" w14:textId="77777777" w:rsidR="008801CD" w:rsidRPr="00EB623D" w:rsidRDefault="008801CD" w:rsidP="00EB623D">
            <w:pPr>
              <w:pStyle w:val="tabletext"/>
              <w:rPr>
                <w:b/>
                <w:bCs/>
              </w:rPr>
            </w:pPr>
            <w:r w:rsidRPr="00EB623D">
              <w:rPr>
                <w:b/>
                <w:bCs/>
              </w:rPr>
              <w:t>Positive</w:t>
            </w:r>
          </w:p>
          <w:p w14:paraId="478FA330" w14:textId="77777777" w:rsidR="008801CD" w:rsidRPr="00EB623D" w:rsidRDefault="008801CD" w:rsidP="00EB623D">
            <w:pPr>
              <w:pStyle w:val="tabletext"/>
              <w:rPr>
                <w:b/>
                <w:bCs/>
              </w:rPr>
            </w:pPr>
            <w:r w:rsidRPr="00EB623D">
              <w:rPr>
                <w:b/>
                <w:bCs/>
              </w:rPr>
              <w:t>(Please provide evidence)</w:t>
            </w:r>
          </w:p>
        </w:tc>
        <w:tc>
          <w:tcPr>
            <w:tcW w:w="2742" w:type="dxa"/>
            <w:shd w:val="clear" w:color="auto" w:fill="F2DBDB"/>
          </w:tcPr>
          <w:p w14:paraId="6C743C34" w14:textId="77777777" w:rsidR="008801CD" w:rsidRPr="00EB623D" w:rsidRDefault="008801CD" w:rsidP="00EB623D">
            <w:pPr>
              <w:pStyle w:val="tabletext"/>
              <w:rPr>
                <w:b/>
                <w:bCs/>
              </w:rPr>
            </w:pPr>
            <w:r w:rsidRPr="00EB623D">
              <w:rPr>
                <w:b/>
                <w:bCs/>
              </w:rPr>
              <w:t>Negative</w:t>
            </w:r>
          </w:p>
          <w:p w14:paraId="423699F1" w14:textId="77777777" w:rsidR="008801CD" w:rsidRPr="00EB623D" w:rsidRDefault="008801CD" w:rsidP="00EB623D">
            <w:pPr>
              <w:pStyle w:val="tabletext"/>
              <w:rPr>
                <w:b/>
                <w:bCs/>
              </w:rPr>
            </w:pPr>
            <w:r w:rsidRPr="00EB623D">
              <w:rPr>
                <w:b/>
                <w:bCs/>
              </w:rPr>
              <w:t>(Please provide evidence)</w:t>
            </w:r>
          </w:p>
        </w:tc>
        <w:tc>
          <w:tcPr>
            <w:tcW w:w="2676" w:type="dxa"/>
            <w:shd w:val="clear" w:color="auto" w:fill="F2DBDB"/>
          </w:tcPr>
          <w:p w14:paraId="43BC808D" w14:textId="77777777" w:rsidR="008801CD" w:rsidRPr="00EB623D" w:rsidRDefault="008801CD" w:rsidP="00EB623D">
            <w:pPr>
              <w:pStyle w:val="tabletext"/>
              <w:rPr>
                <w:b/>
                <w:bCs/>
              </w:rPr>
            </w:pPr>
            <w:r w:rsidRPr="00EB623D">
              <w:rPr>
                <w:b/>
                <w:bCs/>
              </w:rPr>
              <w:t>Unmet Need</w:t>
            </w:r>
          </w:p>
          <w:p w14:paraId="319C7E6F" w14:textId="77777777" w:rsidR="008801CD" w:rsidRPr="00EB623D" w:rsidRDefault="008801CD" w:rsidP="00EB623D">
            <w:pPr>
              <w:pStyle w:val="tabletext"/>
              <w:rPr>
                <w:b/>
                <w:bCs/>
              </w:rPr>
            </w:pPr>
            <w:r w:rsidRPr="00EB623D">
              <w:rPr>
                <w:b/>
                <w:bCs/>
              </w:rPr>
              <w:t>(please provide evidence)</w:t>
            </w:r>
          </w:p>
        </w:tc>
      </w:tr>
      <w:tr w:rsidR="008801CD" w:rsidRPr="00792E59" w14:paraId="7A0DD3C1" w14:textId="77777777" w:rsidTr="00532C31">
        <w:trPr>
          <w:trHeight w:val="33"/>
        </w:trPr>
        <w:tc>
          <w:tcPr>
            <w:tcW w:w="6680" w:type="dxa"/>
          </w:tcPr>
          <w:p w14:paraId="53DC9984" w14:textId="77777777" w:rsidR="008801CD" w:rsidRPr="00792E59" w:rsidRDefault="008801CD" w:rsidP="00532C31">
            <w:pPr>
              <w:pStyle w:val="tabletext"/>
            </w:pPr>
            <w:r w:rsidRPr="00792E59">
              <w:t>Age</w:t>
            </w:r>
          </w:p>
        </w:tc>
        <w:tc>
          <w:tcPr>
            <w:tcW w:w="3030" w:type="dxa"/>
          </w:tcPr>
          <w:p w14:paraId="50FA3C09" w14:textId="77777777" w:rsidR="008801CD" w:rsidRPr="00392D46" w:rsidRDefault="008801CD" w:rsidP="00532C31">
            <w:pPr>
              <w:pStyle w:val="tabletext"/>
            </w:pPr>
            <w:r w:rsidRPr="00392D46">
              <w:t>Emphasis within the new legislation on recognising the adverse effects Damp and Mould can have on young children and acting quickly to reduce harm</w:t>
            </w:r>
          </w:p>
        </w:tc>
        <w:tc>
          <w:tcPr>
            <w:tcW w:w="2742" w:type="dxa"/>
          </w:tcPr>
          <w:p w14:paraId="2ADE125E" w14:textId="77777777" w:rsidR="008801CD" w:rsidRPr="00792E59" w:rsidRDefault="008801CD" w:rsidP="00532C31">
            <w:pPr>
              <w:pStyle w:val="tabletext"/>
            </w:pPr>
            <w:r>
              <w:t>N/A</w:t>
            </w:r>
          </w:p>
        </w:tc>
        <w:tc>
          <w:tcPr>
            <w:tcW w:w="2676" w:type="dxa"/>
          </w:tcPr>
          <w:p w14:paraId="2473659C" w14:textId="77777777" w:rsidR="008801CD" w:rsidRPr="00792E59" w:rsidRDefault="008801CD" w:rsidP="00532C31">
            <w:pPr>
              <w:pStyle w:val="tabletext"/>
            </w:pPr>
            <w:r>
              <w:t>N/A</w:t>
            </w:r>
          </w:p>
        </w:tc>
      </w:tr>
      <w:tr w:rsidR="008801CD" w:rsidRPr="00792E59" w14:paraId="362F1209" w14:textId="77777777" w:rsidTr="00532C31">
        <w:trPr>
          <w:trHeight w:val="33"/>
        </w:trPr>
        <w:tc>
          <w:tcPr>
            <w:tcW w:w="6680" w:type="dxa"/>
          </w:tcPr>
          <w:p w14:paraId="7F819B41" w14:textId="77777777" w:rsidR="008801CD" w:rsidRPr="00792E59" w:rsidRDefault="008801CD" w:rsidP="00532C31">
            <w:pPr>
              <w:pStyle w:val="tabletext"/>
            </w:pPr>
            <w:r w:rsidRPr="00792E59">
              <w:t>Disability</w:t>
            </w:r>
          </w:p>
        </w:tc>
        <w:tc>
          <w:tcPr>
            <w:tcW w:w="3030" w:type="dxa"/>
          </w:tcPr>
          <w:p w14:paraId="2A2E0E77" w14:textId="77777777" w:rsidR="008801CD" w:rsidRPr="00392D46" w:rsidRDefault="008801CD" w:rsidP="00532C31">
            <w:pPr>
              <w:pStyle w:val="tabletext"/>
            </w:pPr>
            <w:r w:rsidRPr="00392D46">
              <w:t>Emphasis within the new legislation on recognising the adverse effects Damp and Mould can have on various vulnerabilities and acting quickly to reduce harm</w:t>
            </w:r>
          </w:p>
        </w:tc>
        <w:tc>
          <w:tcPr>
            <w:tcW w:w="2742" w:type="dxa"/>
          </w:tcPr>
          <w:p w14:paraId="43EDBCD4" w14:textId="77777777" w:rsidR="008801CD" w:rsidRPr="00792E59" w:rsidRDefault="008801CD" w:rsidP="00532C31">
            <w:pPr>
              <w:pStyle w:val="tabletext"/>
            </w:pPr>
            <w:r>
              <w:t>N/A</w:t>
            </w:r>
          </w:p>
        </w:tc>
        <w:tc>
          <w:tcPr>
            <w:tcW w:w="2676" w:type="dxa"/>
          </w:tcPr>
          <w:p w14:paraId="1271E371" w14:textId="77777777" w:rsidR="008801CD" w:rsidRPr="00792E59" w:rsidRDefault="008801CD" w:rsidP="00532C31">
            <w:pPr>
              <w:pStyle w:val="tabletext"/>
            </w:pPr>
            <w:r>
              <w:t>N/A</w:t>
            </w:r>
          </w:p>
        </w:tc>
      </w:tr>
      <w:tr w:rsidR="008801CD" w:rsidRPr="00792E59" w14:paraId="76859857" w14:textId="77777777" w:rsidTr="00532C31">
        <w:trPr>
          <w:trHeight w:val="283"/>
        </w:trPr>
        <w:tc>
          <w:tcPr>
            <w:tcW w:w="6680" w:type="dxa"/>
          </w:tcPr>
          <w:p w14:paraId="46D3AEA6" w14:textId="77777777" w:rsidR="008801CD" w:rsidRPr="00792E59" w:rsidRDefault="008801CD" w:rsidP="00532C31">
            <w:pPr>
              <w:pStyle w:val="tabletext"/>
            </w:pPr>
            <w:r w:rsidRPr="00792E59">
              <w:t>Gender</w:t>
            </w:r>
          </w:p>
        </w:tc>
        <w:tc>
          <w:tcPr>
            <w:tcW w:w="3030" w:type="dxa"/>
          </w:tcPr>
          <w:p w14:paraId="41DFE5CE" w14:textId="77777777" w:rsidR="008801CD" w:rsidRPr="00792E59" w:rsidRDefault="008801CD" w:rsidP="00532C31">
            <w:pPr>
              <w:pStyle w:val="tabletext"/>
            </w:pPr>
            <w:r>
              <w:t>N/A</w:t>
            </w:r>
          </w:p>
        </w:tc>
        <w:tc>
          <w:tcPr>
            <w:tcW w:w="2742" w:type="dxa"/>
          </w:tcPr>
          <w:p w14:paraId="457FDEF6" w14:textId="77777777" w:rsidR="008801CD" w:rsidRPr="00792E59" w:rsidRDefault="008801CD" w:rsidP="00532C31">
            <w:pPr>
              <w:pStyle w:val="tabletext"/>
            </w:pPr>
            <w:r>
              <w:t>N/A</w:t>
            </w:r>
          </w:p>
        </w:tc>
        <w:tc>
          <w:tcPr>
            <w:tcW w:w="2676" w:type="dxa"/>
          </w:tcPr>
          <w:p w14:paraId="55995603" w14:textId="77777777" w:rsidR="008801CD" w:rsidRPr="00792E59" w:rsidRDefault="008801CD" w:rsidP="00532C31">
            <w:pPr>
              <w:pStyle w:val="tabletext"/>
            </w:pPr>
            <w:r>
              <w:t>N/A</w:t>
            </w:r>
          </w:p>
        </w:tc>
      </w:tr>
      <w:tr w:rsidR="008801CD" w:rsidRPr="00792E59" w14:paraId="15DBDDB1" w14:textId="77777777" w:rsidTr="00532C31">
        <w:trPr>
          <w:trHeight w:val="283"/>
        </w:trPr>
        <w:tc>
          <w:tcPr>
            <w:tcW w:w="6680" w:type="dxa"/>
          </w:tcPr>
          <w:p w14:paraId="7E3226FB" w14:textId="77777777" w:rsidR="008801CD" w:rsidRPr="00792E59" w:rsidRDefault="008801CD" w:rsidP="00532C31">
            <w:pPr>
              <w:pStyle w:val="tabletext"/>
            </w:pPr>
            <w:r w:rsidRPr="00792E59">
              <w:t>Race</w:t>
            </w:r>
          </w:p>
        </w:tc>
        <w:tc>
          <w:tcPr>
            <w:tcW w:w="3030" w:type="dxa"/>
          </w:tcPr>
          <w:p w14:paraId="650E623E" w14:textId="77777777" w:rsidR="008801CD" w:rsidRPr="00792E59" w:rsidRDefault="008801CD" w:rsidP="00532C31">
            <w:pPr>
              <w:pStyle w:val="tabletext"/>
            </w:pPr>
            <w:r>
              <w:t>N/A</w:t>
            </w:r>
          </w:p>
        </w:tc>
        <w:tc>
          <w:tcPr>
            <w:tcW w:w="2742" w:type="dxa"/>
          </w:tcPr>
          <w:p w14:paraId="73DBD67D" w14:textId="77777777" w:rsidR="008801CD" w:rsidRPr="00792E59" w:rsidRDefault="008801CD" w:rsidP="00532C31">
            <w:pPr>
              <w:pStyle w:val="tabletext"/>
            </w:pPr>
            <w:r>
              <w:t>N/A</w:t>
            </w:r>
          </w:p>
        </w:tc>
        <w:tc>
          <w:tcPr>
            <w:tcW w:w="2676" w:type="dxa"/>
          </w:tcPr>
          <w:p w14:paraId="53C05DD0" w14:textId="77777777" w:rsidR="008801CD" w:rsidRPr="00792E59" w:rsidRDefault="008801CD" w:rsidP="00532C31">
            <w:pPr>
              <w:pStyle w:val="tabletext"/>
            </w:pPr>
            <w:r>
              <w:t>N/A</w:t>
            </w:r>
          </w:p>
        </w:tc>
      </w:tr>
      <w:tr w:rsidR="008801CD" w:rsidRPr="00792E59" w14:paraId="27ECFF47" w14:textId="77777777" w:rsidTr="00532C31">
        <w:trPr>
          <w:trHeight w:val="283"/>
        </w:trPr>
        <w:tc>
          <w:tcPr>
            <w:tcW w:w="6680" w:type="dxa"/>
          </w:tcPr>
          <w:p w14:paraId="2ED47CB5" w14:textId="77777777" w:rsidR="008801CD" w:rsidRPr="00792E59" w:rsidRDefault="008801CD" w:rsidP="00532C31">
            <w:pPr>
              <w:pStyle w:val="tabletext"/>
            </w:pPr>
            <w:r w:rsidRPr="00792E59">
              <w:t>Religion or Belief</w:t>
            </w:r>
          </w:p>
        </w:tc>
        <w:tc>
          <w:tcPr>
            <w:tcW w:w="3030" w:type="dxa"/>
          </w:tcPr>
          <w:p w14:paraId="28C10871" w14:textId="77777777" w:rsidR="008801CD" w:rsidRPr="00792E59" w:rsidRDefault="008801CD" w:rsidP="00532C31">
            <w:pPr>
              <w:pStyle w:val="tabletext"/>
            </w:pPr>
            <w:r>
              <w:t>N/A</w:t>
            </w:r>
          </w:p>
        </w:tc>
        <w:tc>
          <w:tcPr>
            <w:tcW w:w="2742" w:type="dxa"/>
          </w:tcPr>
          <w:p w14:paraId="106DA4FB" w14:textId="77777777" w:rsidR="008801CD" w:rsidRPr="00792E59" w:rsidRDefault="008801CD" w:rsidP="00532C31">
            <w:pPr>
              <w:pStyle w:val="tabletext"/>
            </w:pPr>
            <w:r>
              <w:t>N/A</w:t>
            </w:r>
          </w:p>
        </w:tc>
        <w:tc>
          <w:tcPr>
            <w:tcW w:w="2676" w:type="dxa"/>
          </w:tcPr>
          <w:p w14:paraId="595EE110" w14:textId="77777777" w:rsidR="008801CD" w:rsidRPr="00792E59" w:rsidRDefault="008801CD" w:rsidP="00532C31">
            <w:pPr>
              <w:pStyle w:val="tabletext"/>
            </w:pPr>
            <w:r>
              <w:t>N/A</w:t>
            </w:r>
          </w:p>
        </w:tc>
      </w:tr>
      <w:tr w:rsidR="008801CD" w:rsidRPr="00792E59" w14:paraId="63CC8534" w14:textId="77777777" w:rsidTr="00532C31">
        <w:trPr>
          <w:trHeight w:val="283"/>
        </w:trPr>
        <w:tc>
          <w:tcPr>
            <w:tcW w:w="6680" w:type="dxa"/>
          </w:tcPr>
          <w:p w14:paraId="4A09FFD0" w14:textId="77777777" w:rsidR="008801CD" w:rsidRPr="00792E59" w:rsidRDefault="008801CD" w:rsidP="00532C31">
            <w:pPr>
              <w:pStyle w:val="tabletext"/>
            </w:pPr>
            <w:r w:rsidRPr="00792E59">
              <w:t xml:space="preserve">Sexual Orientation </w:t>
            </w:r>
          </w:p>
        </w:tc>
        <w:tc>
          <w:tcPr>
            <w:tcW w:w="3030" w:type="dxa"/>
          </w:tcPr>
          <w:p w14:paraId="7CA7B12A" w14:textId="77777777" w:rsidR="008801CD" w:rsidRPr="00792E59" w:rsidRDefault="008801CD" w:rsidP="00532C31">
            <w:pPr>
              <w:pStyle w:val="tabletext"/>
            </w:pPr>
            <w:r>
              <w:t>N/A</w:t>
            </w:r>
          </w:p>
        </w:tc>
        <w:tc>
          <w:tcPr>
            <w:tcW w:w="2742" w:type="dxa"/>
          </w:tcPr>
          <w:p w14:paraId="484499F5" w14:textId="77777777" w:rsidR="008801CD" w:rsidRPr="00792E59" w:rsidRDefault="008801CD" w:rsidP="00532C31">
            <w:pPr>
              <w:pStyle w:val="tabletext"/>
            </w:pPr>
            <w:r>
              <w:t>N/A</w:t>
            </w:r>
          </w:p>
        </w:tc>
        <w:tc>
          <w:tcPr>
            <w:tcW w:w="2676" w:type="dxa"/>
          </w:tcPr>
          <w:p w14:paraId="0AD33608" w14:textId="77777777" w:rsidR="008801CD" w:rsidRPr="00792E59" w:rsidRDefault="008801CD" w:rsidP="00532C31">
            <w:pPr>
              <w:pStyle w:val="tabletext"/>
            </w:pPr>
            <w:r>
              <w:t>N/A</w:t>
            </w:r>
          </w:p>
        </w:tc>
      </w:tr>
      <w:tr w:rsidR="008801CD" w:rsidRPr="00792E59" w14:paraId="6BEB5BB3" w14:textId="77777777" w:rsidTr="00532C31">
        <w:trPr>
          <w:trHeight w:val="33"/>
        </w:trPr>
        <w:tc>
          <w:tcPr>
            <w:tcW w:w="6680" w:type="dxa"/>
          </w:tcPr>
          <w:p w14:paraId="381F13DA" w14:textId="77777777" w:rsidR="008801CD" w:rsidRPr="00792E59" w:rsidRDefault="008801CD" w:rsidP="00532C31">
            <w:pPr>
              <w:pStyle w:val="tabletext"/>
            </w:pPr>
            <w:r w:rsidRPr="00792E59">
              <w:t>Socio Economic (Deprivation)</w:t>
            </w:r>
          </w:p>
        </w:tc>
        <w:tc>
          <w:tcPr>
            <w:tcW w:w="3030" w:type="dxa"/>
          </w:tcPr>
          <w:p w14:paraId="1B49649E" w14:textId="77777777" w:rsidR="008801CD" w:rsidRPr="00392D46" w:rsidRDefault="008801CD" w:rsidP="00532C31">
            <w:pPr>
              <w:pStyle w:val="tabletext"/>
            </w:pPr>
            <w:r w:rsidRPr="00392D46">
              <w:t xml:space="preserve">Emphasis within the new legislation on recognising </w:t>
            </w:r>
            <w:proofErr w:type="gramStart"/>
            <w:r w:rsidRPr="00392D46">
              <w:t>socio economic</w:t>
            </w:r>
            <w:proofErr w:type="gramEnd"/>
            <w:r w:rsidRPr="00392D46">
              <w:t xml:space="preserve"> issues and supporting tenants to improve their housing situation.</w:t>
            </w:r>
          </w:p>
        </w:tc>
        <w:tc>
          <w:tcPr>
            <w:tcW w:w="2742" w:type="dxa"/>
          </w:tcPr>
          <w:p w14:paraId="69A5D3BE" w14:textId="77777777" w:rsidR="008801CD" w:rsidRPr="00392D46" w:rsidRDefault="008801CD" w:rsidP="00532C31">
            <w:pPr>
              <w:pStyle w:val="tabletext"/>
            </w:pPr>
            <w:r w:rsidRPr="00392D46">
              <w:t xml:space="preserve">There is a requirement for tenants to use the heating within the property. Tenants on low incomes may not use this. Lack of </w:t>
            </w:r>
            <w:r w:rsidRPr="00392D46">
              <w:lastRenderedPageBreak/>
              <w:t>heating causes cold surfaces, leading to condensation which fuels damp and black mould growth.</w:t>
            </w:r>
          </w:p>
        </w:tc>
        <w:tc>
          <w:tcPr>
            <w:tcW w:w="2676" w:type="dxa"/>
          </w:tcPr>
          <w:p w14:paraId="19B911C4" w14:textId="77777777" w:rsidR="008801CD" w:rsidRPr="00792E59" w:rsidRDefault="008801CD" w:rsidP="00532C31">
            <w:pPr>
              <w:pStyle w:val="tabletext"/>
            </w:pPr>
          </w:p>
        </w:tc>
      </w:tr>
    </w:tbl>
    <w:p w14:paraId="132392FD" w14:textId="77777777" w:rsidR="00C366EF" w:rsidRDefault="00C366EF" w:rsidP="00013BBD">
      <w:pPr>
        <w:pStyle w:val="BodyText"/>
        <w:sectPr w:rsidR="00C366EF" w:rsidSect="00890AB8">
          <w:pgSz w:w="16840" w:h="11907" w:orient="landscape" w:code="9"/>
          <w:pgMar w:top="851" w:right="851" w:bottom="851" w:left="851" w:header="720" w:footer="720" w:gutter="0"/>
          <w:cols w:space="1134"/>
          <w:docGrid w:linePitch="360"/>
        </w:sectPr>
      </w:pPr>
    </w:p>
    <w:p w14:paraId="3964259D" w14:textId="77777777" w:rsidR="00C366EF" w:rsidRDefault="00C366EF" w:rsidP="00C366EF">
      <w:pPr>
        <w:pStyle w:val="Boxedheading2"/>
      </w:pPr>
      <w:r w:rsidRPr="00F37724">
        <w:lastRenderedPageBreak/>
        <w:t xml:space="preserve">What evidence or data do you have that supports your assessment? </w:t>
      </w:r>
    </w:p>
    <w:p w14:paraId="2424F8A9" w14:textId="09AD8138" w:rsidR="00C366EF" w:rsidRDefault="00C366EF" w:rsidP="00C366EF">
      <w:pPr>
        <w:pStyle w:val="Boxedheading2"/>
      </w:pPr>
      <w:r w:rsidRPr="00F37724">
        <w:t xml:space="preserve">For </w:t>
      </w:r>
      <w:proofErr w:type="gramStart"/>
      <w:r w:rsidRPr="00F37724">
        <w:t>example</w:t>
      </w:r>
      <w:proofErr w:type="gramEnd"/>
      <w:r w:rsidRPr="00F37724">
        <w:t xml:space="preserve"> usage, customer feedback, consultation, comparative information etc.</w:t>
      </w:r>
      <w:r>
        <w:t>#</w:t>
      </w:r>
    </w:p>
    <w:p w14:paraId="04875497" w14:textId="77777777" w:rsidR="00C366EF" w:rsidRDefault="00C366EF" w:rsidP="00C366EF">
      <w:pPr>
        <w:pStyle w:val="inbetween"/>
      </w:pPr>
    </w:p>
    <w:p w14:paraId="62B2F075" w14:textId="77777777" w:rsidR="00C366EF" w:rsidRPr="00C366EF" w:rsidRDefault="00C366EF" w:rsidP="00C366EF">
      <w:pPr>
        <w:pStyle w:val="BLankboxedheading20"/>
      </w:pPr>
      <w:r w:rsidRPr="00C366EF">
        <w:t>Consultation with tenants</w:t>
      </w:r>
    </w:p>
    <w:p w14:paraId="05BFB62A" w14:textId="77777777" w:rsidR="00C366EF" w:rsidRPr="005419AC" w:rsidRDefault="00C366EF" w:rsidP="00EB623D">
      <w:pPr>
        <w:pStyle w:val="blankboxedtext"/>
      </w:pPr>
      <w:r w:rsidRPr="00392D46">
        <w:t>Awaab’s Law / Damp and Mould – Special Interest Group</w:t>
      </w:r>
    </w:p>
    <w:p w14:paraId="2F837F2F" w14:textId="26BC0DD3" w:rsidR="00C366EF" w:rsidRDefault="00C366EF" w:rsidP="00EB623D">
      <w:pPr>
        <w:pStyle w:val="blankboxedtext"/>
      </w:pPr>
      <w:r w:rsidRPr="00392D46">
        <w:t>Tenants completed the Housing Ombudsman Service’s ‘Spotlight on Damp and Mould’ eLearning. They then developed reality-check questions for tenants with recent damp and mould cases and met with management colleagues across the Housing Operations Directorate to gather information.</w:t>
      </w:r>
    </w:p>
    <w:p w14:paraId="190C9DF0" w14:textId="1413D0F7" w:rsidR="00EB623D" w:rsidRDefault="00EB623D" w:rsidP="00EB623D">
      <w:pPr>
        <w:pStyle w:val="Notoporbottomborderboxedheading2"/>
      </w:pPr>
      <w:r w:rsidRPr="00EB623D">
        <w:t>Learning</w:t>
      </w:r>
    </w:p>
    <w:p w14:paraId="01B70ADA" w14:textId="77777777" w:rsidR="00EB623D" w:rsidRPr="00392D46" w:rsidRDefault="00EB623D" w:rsidP="00EB623D">
      <w:pPr>
        <w:pStyle w:val="blankboxedtext"/>
      </w:pPr>
      <w:r w:rsidRPr="00392D46">
        <w:t>Tenants completed Housing Ombudsman Service Centre for learning eLearning and reviewed the two Housing Ombudsman Service Spotlight reports:</w:t>
      </w:r>
    </w:p>
    <w:p w14:paraId="6628107B" w14:textId="77777777" w:rsidR="00EB623D" w:rsidRPr="00CB527E" w:rsidRDefault="00EB623D" w:rsidP="00EB623D">
      <w:pPr>
        <w:pStyle w:val="blankboxedtext"/>
        <w:numPr>
          <w:ilvl w:val="0"/>
          <w:numId w:val="22"/>
        </w:numPr>
        <w:ind w:hanging="720"/>
      </w:pPr>
      <w:r w:rsidRPr="00CB527E">
        <w:t>Spotlight report on damp and mould – it’s not a lifestyle</w:t>
      </w:r>
    </w:p>
    <w:p w14:paraId="2A0D1CDF" w14:textId="77777777" w:rsidR="00EB623D" w:rsidRPr="00CB527E" w:rsidRDefault="00EB623D" w:rsidP="00EB623D">
      <w:pPr>
        <w:pStyle w:val="blankboxedtext"/>
        <w:numPr>
          <w:ilvl w:val="0"/>
          <w:numId w:val="22"/>
        </w:numPr>
        <w:ind w:hanging="720"/>
      </w:pPr>
      <w:r w:rsidRPr="00CB527E">
        <w:t>Follow up: Spotlight on damp and mould – it’s not lifestyle</w:t>
      </w:r>
    </w:p>
    <w:p w14:paraId="5A5ECBA3" w14:textId="54196DDA" w:rsidR="00EB623D" w:rsidRDefault="00EB623D" w:rsidP="00EB623D">
      <w:pPr>
        <w:pStyle w:val="blankboxedtext"/>
        <w:numPr>
          <w:ilvl w:val="0"/>
          <w:numId w:val="22"/>
        </w:numPr>
        <w:ind w:hanging="720"/>
      </w:pPr>
      <w:r w:rsidRPr="00CB527E">
        <w:t>Reviewing the spotlight reports and completing the learning enabled tenants to understand national failings and learning from cases, the Ombudsman’s expectations, and how Awaab’s Law changes landlord responsibilities.</w:t>
      </w:r>
    </w:p>
    <w:p w14:paraId="2FE23C49" w14:textId="77777777" w:rsidR="00EB623D" w:rsidRPr="008801CD" w:rsidRDefault="00EB623D" w:rsidP="00EB623D">
      <w:pPr>
        <w:pStyle w:val="Notoporbottomborderboxedheading2"/>
      </w:pPr>
      <w:r w:rsidRPr="00CB527E">
        <w:t>Meetings with Staff</w:t>
      </w:r>
    </w:p>
    <w:p w14:paraId="65425FE2" w14:textId="152F8DF8" w:rsidR="00EB623D" w:rsidRDefault="00EB623D" w:rsidP="00EB623D">
      <w:pPr>
        <w:pStyle w:val="blankboxedtext"/>
      </w:pPr>
      <w:r w:rsidRPr="00392D46">
        <w:t>Tenants met with managers responsible for damp and mould on 11 June 2025 and 31 October 2025. Following these meetings, tenants are confident that:</w:t>
      </w:r>
    </w:p>
    <w:p w14:paraId="11B7DAB5" w14:textId="77777777" w:rsidR="00EB623D" w:rsidRPr="00CB527E" w:rsidRDefault="00EB623D" w:rsidP="00EB623D">
      <w:pPr>
        <w:pStyle w:val="blankboxedtext"/>
        <w:numPr>
          <w:ilvl w:val="0"/>
          <w:numId w:val="23"/>
        </w:numPr>
        <w:ind w:hanging="720"/>
      </w:pPr>
      <w:r w:rsidRPr="00CB527E">
        <w:t>The council’s Damp and Mould Policy reflect Awaab’s Law timescales.</w:t>
      </w:r>
    </w:p>
    <w:p w14:paraId="554E1F27" w14:textId="77777777" w:rsidR="00EB623D" w:rsidRPr="00CB527E" w:rsidRDefault="00EB623D" w:rsidP="00EB623D">
      <w:pPr>
        <w:pStyle w:val="blankboxedtext"/>
        <w:numPr>
          <w:ilvl w:val="0"/>
          <w:numId w:val="23"/>
        </w:numPr>
        <w:ind w:hanging="720"/>
      </w:pPr>
      <w:r w:rsidRPr="00CB527E">
        <w:t>All housing and repairs staff complete mandatory annual learning.</w:t>
      </w:r>
    </w:p>
    <w:p w14:paraId="310E0D5C" w14:textId="77777777" w:rsidR="00EB623D" w:rsidRPr="00CB527E" w:rsidRDefault="00EB623D" w:rsidP="00EB623D">
      <w:pPr>
        <w:pStyle w:val="blankboxedtext"/>
        <w:numPr>
          <w:ilvl w:val="0"/>
          <w:numId w:val="23"/>
        </w:numPr>
        <w:ind w:hanging="720"/>
      </w:pPr>
      <w:r w:rsidRPr="00CB527E">
        <w:t>All damp and mould reports are triaged at first contact, ensuring cases are prioritised correctly.</w:t>
      </w:r>
    </w:p>
    <w:p w14:paraId="0323555F" w14:textId="77777777" w:rsidR="00EB623D" w:rsidRPr="00CB527E" w:rsidRDefault="00EB623D" w:rsidP="00EB623D">
      <w:pPr>
        <w:pStyle w:val="blankboxedtext"/>
        <w:numPr>
          <w:ilvl w:val="0"/>
          <w:numId w:val="23"/>
        </w:numPr>
        <w:ind w:hanging="720"/>
      </w:pPr>
      <w:r w:rsidRPr="00CB527E">
        <w:t>A decant policy is in place for severe cases.</w:t>
      </w:r>
    </w:p>
    <w:p w14:paraId="7D8ED3E8" w14:textId="77777777" w:rsidR="00EB623D" w:rsidRPr="00CB527E" w:rsidRDefault="00EB623D" w:rsidP="00EB623D">
      <w:pPr>
        <w:pStyle w:val="blankboxedtext"/>
        <w:numPr>
          <w:ilvl w:val="0"/>
          <w:numId w:val="23"/>
        </w:numPr>
        <w:ind w:hanging="720"/>
      </w:pPr>
      <w:r w:rsidRPr="00CB527E">
        <w:lastRenderedPageBreak/>
        <w:t>Systems have been updated to monitor compliance against Awaab’s Law.</w:t>
      </w:r>
    </w:p>
    <w:p w14:paraId="7704E450" w14:textId="6B64668A" w:rsidR="00EB623D" w:rsidRDefault="00EB623D" w:rsidP="00EB623D">
      <w:pPr>
        <w:pStyle w:val="blankboxedtext"/>
        <w:numPr>
          <w:ilvl w:val="0"/>
          <w:numId w:val="23"/>
        </w:numPr>
        <w:ind w:hanging="720"/>
      </w:pPr>
      <w:r w:rsidRPr="00CB527E">
        <w:t>Tenant vulnerabilities are identified via Capita the Capita Housing system.</w:t>
      </w:r>
    </w:p>
    <w:p w14:paraId="16E88B4A" w14:textId="77777777" w:rsidR="00EB623D" w:rsidRPr="008801CD" w:rsidRDefault="00EB623D" w:rsidP="00EB623D">
      <w:pPr>
        <w:pStyle w:val="Notoporbottomborderboxedheading2"/>
      </w:pPr>
      <w:r w:rsidRPr="00CB527E">
        <w:t xml:space="preserve">Reality Checks </w:t>
      </w:r>
    </w:p>
    <w:p w14:paraId="72344BFA" w14:textId="77777777" w:rsidR="00EB623D" w:rsidRPr="00392D46" w:rsidRDefault="00EB623D" w:rsidP="00EB623D">
      <w:pPr>
        <w:pStyle w:val="blankboxedtext"/>
      </w:pPr>
      <w:r w:rsidRPr="00392D46">
        <w:t xml:space="preserve">Between November 2024 and May 2025 Ashfield Council received 317 reports of Damp and Mould. The group contacted 178 tenants with email addresses. Fifteen responded (8% response rate). </w:t>
      </w:r>
    </w:p>
    <w:p w14:paraId="5B53BB91" w14:textId="77777777" w:rsidR="00EB623D" w:rsidRPr="00392D46" w:rsidRDefault="00EB623D" w:rsidP="00EB623D">
      <w:pPr>
        <w:pStyle w:val="blankboxedtext"/>
      </w:pPr>
      <w:r w:rsidRPr="00392D46">
        <w:t>Key findings:</w:t>
      </w:r>
    </w:p>
    <w:p w14:paraId="364F8C5B" w14:textId="77777777" w:rsidR="00EB623D" w:rsidRPr="00CB527E" w:rsidRDefault="00EB623D" w:rsidP="00EB623D">
      <w:pPr>
        <w:pStyle w:val="blankboxedtext"/>
        <w:numPr>
          <w:ilvl w:val="0"/>
          <w:numId w:val="24"/>
        </w:numPr>
        <w:ind w:hanging="720"/>
      </w:pPr>
      <w:r w:rsidRPr="00CB527E">
        <w:t>Tenants experienced damp and mould in kitchens, hallways, landings, bathrooms and bedrooms.</w:t>
      </w:r>
    </w:p>
    <w:p w14:paraId="24C8615E" w14:textId="77777777" w:rsidR="00EB623D" w:rsidRPr="00CB527E" w:rsidRDefault="00EB623D" w:rsidP="00EB623D">
      <w:pPr>
        <w:pStyle w:val="blankboxedtext"/>
        <w:numPr>
          <w:ilvl w:val="0"/>
          <w:numId w:val="24"/>
        </w:numPr>
        <w:ind w:hanging="720"/>
      </w:pPr>
      <w:r w:rsidRPr="00CB527E">
        <w:t>47% said their issue was resolved to their satisfaction; 53% said it was not.</w:t>
      </w:r>
    </w:p>
    <w:p w14:paraId="364C129D" w14:textId="77777777" w:rsidR="00EB623D" w:rsidRPr="00CB527E" w:rsidRDefault="00EB623D" w:rsidP="00EB623D">
      <w:pPr>
        <w:pStyle w:val="blankboxedtext"/>
        <w:numPr>
          <w:ilvl w:val="0"/>
          <w:numId w:val="24"/>
        </w:numPr>
        <w:ind w:hanging="720"/>
      </w:pPr>
      <w:r w:rsidRPr="00CB527E">
        <w:t>60% felt well-informed throughout their case.</w:t>
      </w:r>
    </w:p>
    <w:p w14:paraId="1F72E51B" w14:textId="77777777" w:rsidR="00EB623D" w:rsidRPr="00CB527E" w:rsidRDefault="00EB623D" w:rsidP="00EB623D">
      <w:pPr>
        <w:pStyle w:val="blankboxedtext"/>
        <w:numPr>
          <w:ilvl w:val="0"/>
          <w:numId w:val="24"/>
        </w:numPr>
        <w:ind w:hanging="720"/>
      </w:pPr>
      <w:r w:rsidRPr="00CB527E">
        <w:t>47% felt the council takes damp and mould reports seriously.</w:t>
      </w:r>
    </w:p>
    <w:p w14:paraId="6439C286" w14:textId="15CC0F02" w:rsidR="00EB623D" w:rsidRDefault="00EB623D" w:rsidP="00EB623D">
      <w:pPr>
        <w:pStyle w:val="blankboxedtext"/>
        <w:numPr>
          <w:ilvl w:val="0"/>
          <w:numId w:val="24"/>
        </w:numPr>
        <w:ind w:hanging="720"/>
      </w:pPr>
      <w:r w:rsidRPr="00CB527E">
        <w:t>40% said damp and mould had returned in the same areas</w:t>
      </w:r>
    </w:p>
    <w:p w14:paraId="4E668B44" w14:textId="77777777" w:rsidR="00EB623D" w:rsidRPr="008801CD" w:rsidRDefault="00EB623D" w:rsidP="00EB623D">
      <w:pPr>
        <w:pStyle w:val="Notoporbottomborderboxedheading2"/>
      </w:pPr>
      <w:r w:rsidRPr="005419AC">
        <w:t>Tenant Profiling</w:t>
      </w:r>
    </w:p>
    <w:p w14:paraId="4EF996E1" w14:textId="77777777" w:rsidR="00EB623D" w:rsidRPr="008801CD" w:rsidRDefault="00EB623D" w:rsidP="00EB623D">
      <w:pPr>
        <w:pStyle w:val="Notoporbottomborderboxedheading2"/>
      </w:pPr>
      <w:r w:rsidRPr="001175AC">
        <w:t>Summary of Indices of Deprivation 2025</w:t>
      </w:r>
    </w:p>
    <w:p w14:paraId="581E1426" w14:textId="77777777" w:rsidR="00EB623D" w:rsidRPr="008801CD" w:rsidRDefault="00EB623D" w:rsidP="00EB623D">
      <w:pPr>
        <w:pStyle w:val="blankboxedtext"/>
      </w:pPr>
      <w:r w:rsidRPr="001175AC">
        <w:t>Ashfield District Council has 77 Lower Super Output Areas (LSOA’s) in the district and 9 of them are in the most deprived 10% in the Country a further 12 are in the most deprived 20% of LSOA’s in the Country.</w:t>
      </w:r>
    </w:p>
    <w:p w14:paraId="14F7CA8D" w14:textId="77777777" w:rsidR="00EB623D" w:rsidRPr="008801CD" w:rsidRDefault="00EB623D" w:rsidP="00EB623D">
      <w:pPr>
        <w:pStyle w:val="blankboxedtext"/>
      </w:pPr>
      <w:r w:rsidRPr="001175AC">
        <w:t>Ashfield is more deprived in the Overall IMD than 75% of all local authority districts in Nottinghamshire.</w:t>
      </w:r>
    </w:p>
    <w:p w14:paraId="46D4023C" w14:textId="658875AE" w:rsidR="00EB623D" w:rsidRDefault="00EB623D" w:rsidP="00EB623D">
      <w:pPr>
        <w:pStyle w:val="blankboxedtext"/>
        <w:rPr>
          <w:noProof/>
        </w:rPr>
      </w:pPr>
      <w:r w:rsidRPr="001175AC">
        <w:lastRenderedPageBreak/>
        <w:t>Pink dots represent Ashfield, and grey dots represent other Districts in Nottinghamshire.</w:t>
      </w:r>
      <w:r w:rsidRPr="00EB623D">
        <w:rPr>
          <w:noProof/>
        </w:rPr>
        <w:t xml:space="preserve"> </w:t>
      </w:r>
      <w:r w:rsidRPr="001175AC">
        <w:rPr>
          <w:noProof/>
        </w:rPr>
        <w:drawing>
          <wp:inline distT="0" distB="0" distL="0" distR="0" wp14:anchorId="226752A0" wp14:editId="70D99079">
            <wp:extent cx="3971925" cy="2981325"/>
            <wp:effectExtent l="0" t="0" r="9525" b="9525"/>
            <wp:docPr id="1546166553" name="Picture 1" descr="Data chart showing the levels of different types of deprivation in Ashfield against other districts in Nottingham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66553" name="Picture 1" descr="Data chart showing the levels of different types of deprivation in Ashfield against other districts in Nottinghamshi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2981325"/>
                    </a:xfrm>
                    <a:prstGeom prst="rect">
                      <a:avLst/>
                    </a:prstGeom>
                    <a:noFill/>
                    <a:ln>
                      <a:noFill/>
                    </a:ln>
                  </pic:spPr>
                </pic:pic>
              </a:graphicData>
            </a:graphic>
          </wp:inline>
        </w:drawing>
      </w:r>
    </w:p>
    <w:p w14:paraId="141FE0CE" w14:textId="77777777" w:rsidR="00EB623D" w:rsidRPr="008801CD" w:rsidRDefault="00EB623D" w:rsidP="00EB623D">
      <w:pPr>
        <w:pStyle w:val="blankboxedtext"/>
      </w:pPr>
      <w:r w:rsidRPr="001175AC">
        <w:t>The most deprived LSOA’s are concentrated in Ashfield and Ashfield has 2 LSOAs which are in the 10% most deprived in England.</w:t>
      </w:r>
    </w:p>
    <w:p w14:paraId="260006FE" w14:textId="77777777" w:rsidR="00EB623D" w:rsidRPr="001175AC" w:rsidRDefault="00EB623D" w:rsidP="00EB623D">
      <w:pPr>
        <w:pStyle w:val="blankboxedtext"/>
        <w:numPr>
          <w:ilvl w:val="0"/>
          <w:numId w:val="25"/>
        </w:numPr>
        <w:ind w:hanging="720"/>
      </w:pPr>
      <w:r w:rsidRPr="001175AC">
        <w:t>Kirkby: Coniston Road area</w:t>
      </w:r>
    </w:p>
    <w:p w14:paraId="6B576DE5" w14:textId="6A19150A" w:rsidR="00EB623D" w:rsidRDefault="00EB623D" w:rsidP="00EB623D">
      <w:pPr>
        <w:pStyle w:val="blankboxedtext"/>
        <w:numPr>
          <w:ilvl w:val="0"/>
          <w:numId w:val="25"/>
        </w:numPr>
        <w:ind w:hanging="720"/>
      </w:pPr>
      <w:r w:rsidRPr="001175AC">
        <w:t>Sutton: Leamington Estate</w:t>
      </w:r>
    </w:p>
    <w:p w14:paraId="6567BD59" w14:textId="77777777" w:rsidR="00EB623D" w:rsidRPr="001175AC" w:rsidRDefault="00EB623D" w:rsidP="00EB623D">
      <w:pPr>
        <w:pStyle w:val="blankboxedtext"/>
      </w:pPr>
      <w:r w:rsidRPr="001175AC">
        <w:t>Large parts of Sutton, Kirkby and Hucknall are ranked in the top 20% of the most deprived wards in the country.</w:t>
      </w:r>
    </w:p>
    <w:p w14:paraId="57D7F1E5" w14:textId="77777777" w:rsidR="00EB623D" w:rsidRPr="00392D46" w:rsidRDefault="00EB623D" w:rsidP="00EB623D">
      <w:pPr>
        <w:pStyle w:val="blankboxedtext"/>
      </w:pPr>
      <w:r w:rsidRPr="001175AC">
        <w:t>The following issues have been highlighted in Ashfield by Census 2021:</w:t>
      </w:r>
    </w:p>
    <w:p w14:paraId="1267D3FB" w14:textId="77777777" w:rsidR="00EB623D" w:rsidRPr="00392D46" w:rsidRDefault="00EB623D" w:rsidP="00EB623D">
      <w:pPr>
        <w:pStyle w:val="blankboxedtext"/>
        <w:numPr>
          <w:ilvl w:val="0"/>
          <w:numId w:val="26"/>
        </w:numPr>
        <w:ind w:hanging="720"/>
      </w:pPr>
      <w:r w:rsidRPr="00392D46">
        <w:t>20% of population are under 18 and 20% are over 65 years old.</w:t>
      </w:r>
    </w:p>
    <w:p w14:paraId="343C0C57" w14:textId="77777777" w:rsidR="00EB623D" w:rsidRPr="00392D46" w:rsidRDefault="00EB623D" w:rsidP="00EB623D">
      <w:pPr>
        <w:pStyle w:val="blankboxedtext"/>
        <w:numPr>
          <w:ilvl w:val="0"/>
          <w:numId w:val="26"/>
        </w:numPr>
        <w:ind w:hanging="720"/>
      </w:pPr>
      <w:r w:rsidRPr="00392D46">
        <w:t>Ashfield ranked average among local authority areas in England for health in 2021.</w:t>
      </w:r>
    </w:p>
    <w:p w14:paraId="7EB23C5E" w14:textId="77777777" w:rsidR="00EB623D" w:rsidRPr="00392D46" w:rsidRDefault="00EB623D" w:rsidP="00EB623D">
      <w:pPr>
        <w:pStyle w:val="blankboxedtext"/>
        <w:numPr>
          <w:ilvl w:val="0"/>
          <w:numId w:val="26"/>
        </w:numPr>
        <w:ind w:hanging="720"/>
      </w:pPr>
      <w:r w:rsidRPr="00392D46">
        <w:t>Worse than median 16-64 years with a level 3 or above qualification.</w:t>
      </w:r>
    </w:p>
    <w:p w14:paraId="16C2EF64" w14:textId="77777777" w:rsidR="00EB623D" w:rsidRPr="00392D46" w:rsidRDefault="00EB623D" w:rsidP="00EB623D">
      <w:pPr>
        <w:pStyle w:val="blankboxedtext"/>
        <w:numPr>
          <w:ilvl w:val="0"/>
          <w:numId w:val="26"/>
        </w:numPr>
        <w:ind w:hanging="720"/>
      </w:pPr>
      <w:r w:rsidRPr="00392D46">
        <w:t xml:space="preserve">Life expectancy is lower in male and females in Ashfield compared to                       </w:t>
      </w:r>
      <w:r w:rsidRPr="00392D46">
        <w:br/>
        <w:t>Nottinghamshire and England overall.</w:t>
      </w:r>
    </w:p>
    <w:p w14:paraId="4F6691F0" w14:textId="77777777" w:rsidR="00EB623D" w:rsidRPr="00392D46" w:rsidRDefault="00EB623D" w:rsidP="00EB623D">
      <w:pPr>
        <w:pStyle w:val="blankboxedtext"/>
        <w:numPr>
          <w:ilvl w:val="0"/>
          <w:numId w:val="26"/>
        </w:numPr>
        <w:ind w:hanging="720"/>
      </w:pPr>
      <w:r w:rsidRPr="00392D46">
        <w:t>The median gross weekly wage for Ashfield is far lower than England average and lower than Nottinghamshire average.</w:t>
      </w:r>
    </w:p>
    <w:p w14:paraId="07911F3B" w14:textId="2CF99063" w:rsidR="00EB623D" w:rsidRDefault="00EB623D" w:rsidP="00EB623D">
      <w:pPr>
        <w:pStyle w:val="blankboxedtext"/>
        <w:numPr>
          <w:ilvl w:val="0"/>
          <w:numId w:val="26"/>
        </w:numPr>
        <w:ind w:hanging="720"/>
      </w:pPr>
      <w:r w:rsidRPr="00392D46">
        <w:lastRenderedPageBreak/>
        <w:t>Taken from ONS around 2,600 people aged 16 and over in Ashfield are unemployed at year end December 2023 rate of 4.9%.</w:t>
      </w:r>
    </w:p>
    <w:p w14:paraId="3FFE193A" w14:textId="77777777" w:rsidR="00EB623D" w:rsidRPr="008801CD" w:rsidRDefault="00EB623D" w:rsidP="00EB623D">
      <w:pPr>
        <w:pStyle w:val="blankboxedtext"/>
      </w:pPr>
      <w:r w:rsidRPr="001175AC">
        <w:t>From the research and analysis that we have undertaken, we can see that amongst our tenant base:</w:t>
      </w:r>
    </w:p>
    <w:p w14:paraId="121A9499" w14:textId="77777777" w:rsidR="00EB623D" w:rsidRPr="001175AC" w:rsidRDefault="00EB623D" w:rsidP="00EB623D">
      <w:pPr>
        <w:pStyle w:val="blankboxedtext"/>
        <w:numPr>
          <w:ilvl w:val="0"/>
          <w:numId w:val="27"/>
        </w:numPr>
        <w:ind w:hanging="720"/>
      </w:pPr>
      <w:r w:rsidRPr="001175AC">
        <w:t>61.6% of tenants are female.</w:t>
      </w:r>
    </w:p>
    <w:p w14:paraId="20C372D9" w14:textId="77777777" w:rsidR="00EB623D" w:rsidRPr="001175AC" w:rsidRDefault="00EB623D" w:rsidP="00EB623D">
      <w:pPr>
        <w:pStyle w:val="blankboxedtext"/>
        <w:numPr>
          <w:ilvl w:val="0"/>
          <w:numId w:val="27"/>
        </w:numPr>
        <w:ind w:hanging="720"/>
      </w:pPr>
      <w:r w:rsidRPr="001175AC">
        <w:t>84.0% of tenants are White British</w:t>
      </w:r>
    </w:p>
    <w:p w14:paraId="70A52562" w14:textId="0519AA54" w:rsidR="00EB623D" w:rsidRDefault="00EB623D" w:rsidP="00EB623D">
      <w:pPr>
        <w:pStyle w:val="blankboxedtext"/>
        <w:numPr>
          <w:ilvl w:val="0"/>
          <w:numId w:val="27"/>
        </w:numPr>
        <w:ind w:hanging="720"/>
      </w:pPr>
      <w:r w:rsidRPr="001175AC">
        <w:t>40% are between 50-70 years, while 22% are 70 plus</w:t>
      </w:r>
    </w:p>
    <w:p w14:paraId="6A0BD6CA" w14:textId="77777777" w:rsidR="00EB623D" w:rsidRDefault="00EB623D" w:rsidP="00EB623D">
      <w:pPr>
        <w:pStyle w:val="Notoporbottomborderboxedheading2"/>
      </w:pPr>
      <w:bookmarkStart w:id="0" w:name="_Toc217462136"/>
      <w:r w:rsidRPr="001175AC">
        <w:t>Age of all tenants</w:t>
      </w:r>
      <w:bookmarkEnd w:id="0"/>
    </w:p>
    <w:p w14:paraId="0D784E44" w14:textId="70899AFD" w:rsidR="00EB623D" w:rsidRDefault="00EB623D" w:rsidP="00EB623D">
      <w:pPr>
        <w:pStyle w:val="Notoporbottomborderboxedheading2"/>
      </w:pPr>
      <w:r w:rsidRPr="001175AC">
        <w:rPr>
          <w:noProof/>
        </w:rPr>
        <w:drawing>
          <wp:inline distT="0" distB="0" distL="0" distR="0" wp14:anchorId="4A4DBEFA" wp14:editId="23A448CD">
            <wp:extent cx="6437630" cy="3243580"/>
            <wp:effectExtent l="0" t="0" r="1270" b="0"/>
            <wp:docPr id="221502865" name="Picture 3" descr="Age of tenants bar chart - breakdown of ADC housing tenants based on age b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02865" name="Picture 3" descr="Age of tenants bar chart - breakdown of ADC housing tenants based on age ban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7630" cy="3243580"/>
                    </a:xfrm>
                    <a:prstGeom prst="rect">
                      <a:avLst/>
                    </a:prstGeom>
                    <a:noFill/>
                  </pic:spPr>
                </pic:pic>
              </a:graphicData>
            </a:graphic>
          </wp:inline>
        </w:drawing>
      </w:r>
    </w:p>
    <w:p w14:paraId="114ACFD8" w14:textId="77777777" w:rsidR="00EB623D" w:rsidRPr="008801CD" w:rsidRDefault="00EB623D" w:rsidP="00EB623D">
      <w:pPr>
        <w:pStyle w:val="blankboxedtext"/>
      </w:pPr>
      <w:r w:rsidRPr="001175AC">
        <w:t>The table shows the breakdown of tenants based on age bands.</w:t>
      </w:r>
    </w:p>
    <w:p w14:paraId="37F6C75B" w14:textId="7E144684" w:rsidR="00EB623D" w:rsidRDefault="00EB623D" w:rsidP="00EB623D">
      <w:pPr>
        <w:pStyle w:val="blankboxedtext"/>
      </w:pPr>
      <w:r w:rsidRPr="001175AC">
        <w:t>The lowest number of tenants in all areas was in 18-25 age group followed by 75+. The highest proportion of tenants fall in the 41-59 category but 60-74 are still increasing from previous profiles.</w:t>
      </w:r>
    </w:p>
    <w:tbl>
      <w:tblPr>
        <w:tblW w:w="5000" w:type="pct"/>
        <w:tblLook w:val="04A0" w:firstRow="1" w:lastRow="0" w:firstColumn="1" w:lastColumn="0" w:noHBand="0" w:noVBand="1"/>
      </w:tblPr>
      <w:tblGrid>
        <w:gridCol w:w="2891"/>
        <w:gridCol w:w="9234"/>
        <w:gridCol w:w="2993"/>
      </w:tblGrid>
      <w:tr w:rsidR="00EB623D" w:rsidRPr="005419AC" w14:paraId="77470B64" w14:textId="77777777" w:rsidTr="00EB623D">
        <w:trPr>
          <w:trHeight w:val="1116"/>
        </w:trPr>
        <w:tc>
          <w:tcPr>
            <w:tcW w:w="956" w:type="pct"/>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236851DA" w14:textId="77777777" w:rsidR="00EB623D" w:rsidRPr="00C366EF" w:rsidRDefault="00EB623D" w:rsidP="00EB623D">
            <w:pPr>
              <w:pStyle w:val="blankboxedtext"/>
            </w:pPr>
            <w:r w:rsidRPr="00C366EF">
              <w:lastRenderedPageBreak/>
              <w:t>Age band</w:t>
            </w:r>
          </w:p>
        </w:tc>
        <w:tc>
          <w:tcPr>
            <w:tcW w:w="3054" w:type="pct"/>
            <w:tcBorders>
              <w:top w:val="single" w:sz="8" w:space="0" w:color="auto"/>
              <w:left w:val="nil"/>
              <w:bottom w:val="single" w:sz="8" w:space="0" w:color="auto"/>
              <w:right w:val="single" w:sz="8" w:space="0" w:color="auto"/>
            </w:tcBorders>
            <w:shd w:val="clear" w:color="000000" w:fill="DCE6F1"/>
            <w:noWrap/>
            <w:vAlign w:val="center"/>
            <w:hideMark/>
          </w:tcPr>
          <w:p w14:paraId="7418D7BB" w14:textId="774476AC" w:rsidR="00EB623D" w:rsidRPr="00C366EF" w:rsidRDefault="00EB623D" w:rsidP="00EB623D">
            <w:pPr>
              <w:pStyle w:val="blankboxedtext"/>
            </w:pPr>
            <w:r>
              <w:t>Percentage</w:t>
            </w:r>
            <w:r w:rsidRPr="00C366EF">
              <w:t xml:space="preserve"> of residents (End of 2024</w:t>
            </w:r>
            <w:r>
              <w:t xml:space="preserve"> </w:t>
            </w:r>
            <w:r w:rsidRPr="00C366EF">
              <w:t>-</w:t>
            </w:r>
            <w:r>
              <w:t xml:space="preserve"> 20</w:t>
            </w:r>
            <w:r w:rsidRPr="00C366EF">
              <w:t>25)</w:t>
            </w:r>
          </w:p>
        </w:tc>
        <w:tc>
          <w:tcPr>
            <w:tcW w:w="990" w:type="pct"/>
            <w:tcBorders>
              <w:top w:val="single" w:sz="8" w:space="0" w:color="auto"/>
              <w:left w:val="nil"/>
              <w:bottom w:val="single" w:sz="8" w:space="0" w:color="auto"/>
              <w:right w:val="single" w:sz="8" w:space="0" w:color="auto"/>
            </w:tcBorders>
            <w:shd w:val="clear" w:color="000000" w:fill="DCE6F1"/>
            <w:vAlign w:val="center"/>
            <w:hideMark/>
          </w:tcPr>
          <w:p w14:paraId="78192255" w14:textId="4308F79E" w:rsidR="00EB623D" w:rsidRPr="00C366EF" w:rsidRDefault="00EB623D" w:rsidP="00EB623D">
            <w:pPr>
              <w:pStyle w:val="blankboxedtext"/>
            </w:pPr>
            <w:r w:rsidRPr="00C366EF">
              <w:t xml:space="preserve">Change from </w:t>
            </w:r>
            <w:r>
              <w:t>e</w:t>
            </w:r>
            <w:r w:rsidRPr="00C366EF">
              <w:t xml:space="preserve">nd of </w:t>
            </w:r>
            <w:r>
              <w:t>20</w:t>
            </w:r>
            <w:r w:rsidRPr="00C366EF">
              <w:t>24</w:t>
            </w:r>
            <w:r>
              <w:t xml:space="preserve"> </w:t>
            </w:r>
            <w:r w:rsidRPr="00C366EF">
              <w:t>-</w:t>
            </w:r>
            <w:r>
              <w:t xml:space="preserve"> 20</w:t>
            </w:r>
            <w:r w:rsidRPr="00C366EF">
              <w:t>25</w:t>
            </w:r>
          </w:p>
        </w:tc>
      </w:tr>
      <w:tr w:rsidR="00EB623D" w:rsidRPr="005419AC" w14:paraId="6859F63E" w14:textId="77777777" w:rsidTr="00EB623D">
        <w:trPr>
          <w:trHeight w:val="564"/>
        </w:trPr>
        <w:tc>
          <w:tcPr>
            <w:tcW w:w="956" w:type="pct"/>
            <w:tcBorders>
              <w:top w:val="nil"/>
              <w:left w:val="single" w:sz="8" w:space="0" w:color="auto"/>
              <w:bottom w:val="single" w:sz="8" w:space="0" w:color="auto"/>
              <w:right w:val="single" w:sz="8" w:space="0" w:color="auto"/>
            </w:tcBorders>
            <w:noWrap/>
            <w:vAlign w:val="center"/>
            <w:hideMark/>
          </w:tcPr>
          <w:p w14:paraId="7B8CE68C" w14:textId="77777777" w:rsidR="00EB623D" w:rsidRPr="005419AC" w:rsidRDefault="00EB623D" w:rsidP="00EB623D">
            <w:pPr>
              <w:pStyle w:val="blankboxedtext"/>
            </w:pPr>
            <w:r w:rsidRPr="005419AC">
              <w:t>18-25</w:t>
            </w:r>
          </w:p>
        </w:tc>
        <w:tc>
          <w:tcPr>
            <w:tcW w:w="3054" w:type="pct"/>
            <w:tcBorders>
              <w:top w:val="nil"/>
              <w:left w:val="nil"/>
              <w:bottom w:val="single" w:sz="8" w:space="0" w:color="auto"/>
              <w:right w:val="single" w:sz="8" w:space="0" w:color="auto"/>
            </w:tcBorders>
            <w:noWrap/>
            <w:vAlign w:val="center"/>
            <w:hideMark/>
          </w:tcPr>
          <w:p w14:paraId="6775865D" w14:textId="77777777" w:rsidR="00EB623D" w:rsidRPr="005419AC" w:rsidRDefault="00EB623D" w:rsidP="00EB623D">
            <w:pPr>
              <w:pStyle w:val="blankboxedtext"/>
            </w:pPr>
            <w:r w:rsidRPr="005419AC">
              <w:t>3.34% (3.43%)</w:t>
            </w:r>
          </w:p>
        </w:tc>
        <w:tc>
          <w:tcPr>
            <w:tcW w:w="990" w:type="pct"/>
            <w:tcBorders>
              <w:top w:val="nil"/>
              <w:left w:val="nil"/>
              <w:bottom w:val="single" w:sz="8" w:space="0" w:color="auto"/>
              <w:right w:val="single" w:sz="8" w:space="0" w:color="auto"/>
            </w:tcBorders>
            <w:vAlign w:val="center"/>
            <w:hideMark/>
          </w:tcPr>
          <w:p w14:paraId="22B08138" w14:textId="77777777" w:rsidR="00EB623D" w:rsidRPr="005419AC" w:rsidRDefault="00EB623D" w:rsidP="00EB623D">
            <w:pPr>
              <w:pStyle w:val="blankboxedtext"/>
            </w:pPr>
            <w:r w:rsidRPr="005419AC">
              <w:t>Down 0.09%</w:t>
            </w:r>
          </w:p>
        </w:tc>
      </w:tr>
      <w:tr w:rsidR="00EB623D" w:rsidRPr="005419AC" w14:paraId="3475A828" w14:textId="77777777" w:rsidTr="00EB623D">
        <w:trPr>
          <w:trHeight w:val="564"/>
        </w:trPr>
        <w:tc>
          <w:tcPr>
            <w:tcW w:w="956" w:type="pct"/>
            <w:tcBorders>
              <w:top w:val="nil"/>
              <w:left w:val="single" w:sz="8" w:space="0" w:color="auto"/>
              <w:bottom w:val="single" w:sz="8" w:space="0" w:color="auto"/>
              <w:right w:val="single" w:sz="8" w:space="0" w:color="auto"/>
            </w:tcBorders>
            <w:noWrap/>
            <w:vAlign w:val="center"/>
            <w:hideMark/>
          </w:tcPr>
          <w:p w14:paraId="5E488B81" w14:textId="77777777" w:rsidR="00EB623D" w:rsidRPr="005419AC" w:rsidRDefault="00EB623D" w:rsidP="00EB623D">
            <w:pPr>
              <w:pStyle w:val="blankboxedtext"/>
            </w:pPr>
            <w:r w:rsidRPr="005419AC">
              <w:t>26-40</w:t>
            </w:r>
          </w:p>
        </w:tc>
        <w:tc>
          <w:tcPr>
            <w:tcW w:w="3054" w:type="pct"/>
            <w:tcBorders>
              <w:top w:val="nil"/>
              <w:left w:val="nil"/>
              <w:bottom w:val="single" w:sz="8" w:space="0" w:color="auto"/>
              <w:right w:val="single" w:sz="8" w:space="0" w:color="auto"/>
            </w:tcBorders>
            <w:noWrap/>
            <w:vAlign w:val="center"/>
            <w:hideMark/>
          </w:tcPr>
          <w:p w14:paraId="201CABAE" w14:textId="77777777" w:rsidR="00EB623D" w:rsidRPr="005419AC" w:rsidRDefault="00EB623D" w:rsidP="00EB623D">
            <w:pPr>
              <w:pStyle w:val="blankboxedtext"/>
            </w:pPr>
            <w:r w:rsidRPr="005419AC">
              <w:t>20.05% (20.46%)</w:t>
            </w:r>
          </w:p>
        </w:tc>
        <w:tc>
          <w:tcPr>
            <w:tcW w:w="990" w:type="pct"/>
            <w:tcBorders>
              <w:top w:val="nil"/>
              <w:left w:val="nil"/>
              <w:bottom w:val="single" w:sz="8" w:space="0" w:color="auto"/>
              <w:right w:val="single" w:sz="8" w:space="0" w:color="auto"/>
            </w:tcBorders>
            <w:vAlign w:val="center"/>
            <w:hideMark/>
          </w:tcPr>
          <w:p w14:paraId="06F3078F" w14:textId="77777777" w:rsidR="00EB623D" w:rsidRPr="005419AC" w:rsidRDefault="00EB623D" w:rsidP="00EB623D">
            <w:pPr>
              <w:pStyle w:val="blankboxedtext"/>
            </w:pPr>
            <w:r w:rsidRPr="005419AC">
              <w:t>Down 0.41%</w:t>
            </w:r>
          </w:p>
        </w:tc>
      </w:tr>
      <w:tr w:rsidR="00EB623D" w:rsidRPr="005419AC" w14:paraId="4F15FAA7" w14:textId="77777777" w:rsidTr="00EB623D">
        <w:trPr>
          <w:trHeight w:val="564"/>
        </w:trPr>
        <w:tc>
          <w:tcPr>
            <w:tcW w:w="956" w:type="pct"/>
            <w:tcBorders>
              <w:top w:val="nil"/>
              <w:left w:val="single" w:sz="8" w:space="0" w:color="auto"/>
              <w:bottom w:val="single" w:sz="8" w:space="0" w:color="auto"/>
              <w:right w:val="single" w:sz="8" w:space="0" w:color="auto"/>
            </w:tcBorders>
            <w:noWrap/>
            <w:vAlign w:val="center"/>
            <w:hideMark/>
          </w:tcPr>
          <w:p w14:paraId="20C0CAA5" w14:textId="77777777" w:rsidR="00EB623D" w:rsidRPr="005419AC" w:rsidRDefault="00EB623D" w:rsidP="00EB623D">
            <w:pPr>
              <w:pStyle w:val="blankboxedtext"/>
            </w:pPr>
            <w:r w:rsidRPr="005419AC">
              <w:t>41-59</w:t>
            </w:r>
          </w:p>
        </w:tc>
        <w:tc>
          <w:tcPr>
            <w:tcW w:w="3054" w:type="pct"/>
            <w:tcBorders>
              <w:top w:val="nil"/>
              <w:left w:val="nil"/>
              <w:bottom w:val="single" w:sz="8" w:space="0" w:color="auto"/>
              <w:right w:val="single" w:sz="8" w:space="0" w:color="auto"/>
            </w:tcBorders>
            <w:noWrap/>
            <w:vAlign w:val="center"/>
            <w:hideMark/>
          </w:tcPr>
          <w:p w14:paraId="1F2AD3B1" w14:textId="77777777" w:rsidR="00EB623D" w:rsidRPr="005419AC" w:rsidRDefault="00EB623D" w:rsidP="00EB623D">
            <w:pPr>
              <w:pStyle w:val="blankboxedtext"/>
            </w:pPr>
            <w:r w:rsidRPr="005419AC">
              <w:t>32.12% (32.73%)</w:t>
            </w:r>
          </w:p>
        </w:tc>
        <w:tc>
          <w:tcPr>
            <w:tcW w:w="990" w:type="pct"/>
            <w:tcBorders>
              <w:top w:val="nil"/>
              <w:left w:val="nil"/>
              <w:bottom w:val="single" w:sz="8" w:space="0" w:color="auto"/>
              <w:right w:val="single" w:sz="8" w:space="0" w:color="auto"/>
            </w:tcBorders>
            <w:vAlign w:val="center"/>
            <w:hideMark/>
          </w:tcPr>
          <w:p w14:paraId="4907E62C" w14:textId="77777777" w:rsidR="00EB623D" w:rsidRPr="005419AC" w:rsidRDefault="00EB623D" w:rsidP="00EB623D">
            <w:pPr>
              <w:pStyle w:val="blankboxedtext"/>
            </w:pPr>
            <w:r w:rsidRPr="005419AC">
              <w:t>Down 0.61%</w:t>
            </w:r>
          </w:p>
        </w:tc>
      </w:tr>
      <w:tr w:rsidR="00EB623D" w:rsidRPr="005419AC" w14:paraId="6DBE0292" w14:textId="77777777" w:rsidTr="00EB623D">
        <w:trPr>
          <w:trHeight w:val="564"/>
        </w:trPr>
        <w:tc>
          <w:tcPr>
            <w:tcW w:w="956" w:type="pct"/>
            <w:tcBorders>
              <w:top w:val="nil"/>
              <w:left w:val="single" w:sz="8" w:space="0" w:color="auto"/>
              <w:bottom w:val="single" w:sz="8" w:space="0" w:color="auto"/>
              <w:right w:val="single" w:sz="8" w:space="0" w:color="auto"/>
            </w:tcBorders>
            <w:noWrap/>
            <w:vAlign w:val="center"/>
            <w:hideMark/>
          </w:tcPr>
          <w:p w14:paraId="193DBC40" w14:textId="77777777" w:rsidR="00EB623D" w:rsidRPr="005419AC" w:rsidRDefault="00EB623D" w:rsidP="00EB623D">
            <w:pPr>
              <w:pStyle w:val="blankboxedtext"/>
            </w:pPr>
            <w:r w:rsidRPr="005419AC">
              <w:t>60-74</w:t>
            </w:r>
          </w:p>
        </w:tc>
        <w:tc>
          <w:tcPr>
            <w:tcW w:w="3054" w:type="pct"/>
            <w:tcBorders>
              <w:top w:val="nil"/>
              <w:left w:val="nil"/>
              <w:bottom w:val="single" w:sz="8" w:space="0" w:color="auto"/>
              <w:right w:val="single" w:sz="8" w:space="0" w:color="auto"/>
            </w:tcBorders>
            <w:noWrap/>
            <w:vAlign w:val="center"/>
            <w:hideMark/>
          </w:tcPr>
          <w:p w14:paraId="706BA615" w14:textId="77777777" w:rsidR="00EB623D" w:rsidRPr="005419AC" w:rsidRDefault="00EB623D" w:rsidP="00EB623D">
            <w:pPr>
              <w:pStyle w:val="blankboxedtext"/>
            </w:pPr>
            <w:r w:rsidRPr="005419AC">
              <w:t>28.43% (28.13%)</w:t>
            </w:r>
          </w:p>
        </w:tc>
        <w:tc>
          <w:tcPr>
            <w:tcW w:w="990" w:type="pct"/>
            <w:tcBorders>
              <w:top w:val="nil"/>
              <w:left w:val="nil"/>
              <w:bottom w:val="single" w:sz="8" w:space="0" w:color="auto"/>
              <w:right w:val="single" w:sz="8" w:space="0" w:color="auto"/>
            </w:tcBorders>
            <w:vAlign w:val="center"/>
            <w:hideMark/>
          </w:tcPr>
          <w:p w14:paraId="6CCF74BA" w14:textId="77777777" w:rsidR="00EB623D" w:rsidRPr="005419AC" w:rsidRDefault="00EB623D" w:rsidP="00EB623D">
            <w:pPr>
              <w:pStyle w:val="blankboxedtext"/>
            </w:pPr>
            <w:r w:rsidRPr="005419AC">
              <w:t>Up 0.30%</w:t>
            </w:r>
          </w:p>
        </w:tc>
      </w:tr>
      <w:tr w:rsidR="00EB623D" w:rsidRPr="005419AC" w14:paraId="1F3F518A" w14:textId="77777777" w:rsidTr="00EB623D">
        <w:trPr>
          <w:trHeight w:val="564"/>
        </w:trPr>
        <w:tc>
          <w:tcPr>
            <w:tcW w:w="956" w:type="pct"/>
            <w:tcBorders>
              <w:top w:val="nil"/>
              <w:left w:val="single" w:sz="8" w:space="0" w:color="auto"/>
              <w:bottom w:val="single" w:sz="8" w:space="0" w:color="auto"/>
              <w:right w:val="single" w:sz="8" w:space="0" w:color="auto"/>
            </w:tcBorders>
            <w:noWrap/>
            <w:vAlign w:val="center"/>
            <w:hideMark/>
          </w:tcPr>
          <w:p w14:paraId="2D7596BF" w14:textId="77777777" w:rsidR="00EB623D" w:rsidRPr="005419AC" w:rsidRDefault="00EB623D" w:rsidP="00EB623D">
            <w:pPr>
              <w:pStyle w:val="blankboxedtext"/>
            </w:pPr>
            <w:r w:rsidRPr="005419AC">
              <w:t>75+</w:t>
            </w:r>
          </w:p>
        </w:tc>
        <w:tc>
          <w:tcPr>
            <w:tcW w:w="3054" w:type="pct"/>
            <w:tcBorders>
              <w:top w:val="nil"/>
              <w:left w:val="nil"/>
              <w:bottom w:val="single" w:sz="8" w:space="0" w:color="auto"/>
              <w:right w:val="single" w:sz="8" w:space="0" w:color="auto"/>
            </w:tcBorders>
            <w:noWrap/>
            <w:vAlign w:val="center"/>
            <w:hideMark/>
          </w:tcPr>
          <w:p w14:paraId="1324F308" w14:textId="77777777" w:rsidR="00EB623D" w:rsidRPr="005419AC" w:rsidRDefault="00EB623D" w:rsidP="00EB623D">
            <w:pPr>
              <w:pStyle w:val="blankboxedtext"/>
            </w:pPr>
            <w:r w:rsidRPr="005419AC">
              <w:t>16.05% (15.85%)</w:t>
            </w:r>
          </w:p>
        </w:tc>
        <w:tc>
          <w:tcPr>
            <w:tcW w:w="990" w:type="pct"/>
            <w:tcBorders>
              <w:top w:val="nil"/>
              <w:left w:val="nil"/>
              <w:bottom w:val="single" w:sz="8" w:space="0" w:color="auto"/>
              <w:right w:val="single" w:sz="8" w:space="0" w:color="auto"/>
            </w:tcBorders>
            <w:vAlign w:val="center"/>
            <w:hideMark/>
          </w:tcPr>
          <w:p w14:paraId="0B8C44FD" w14:textId="77777777" w:rsidR="00EB623D" w:rsidRPr="005419AC" w:rsidRDefault="00EB623D" w:rsidP="00EB623D">
            <w:pPr>
              <w:pStyle w:val="blankboxedtext"/>
            </w:pPr>
            <w:r w:rsidRPr="005419AC">
              <w:t>Up 0.20%</w:t>
            </w:r>
          </w:p>
        </w:tc>
      </w:tr>
      <w:tr w:rsidR="00EB623D" w:rsidRPr="005419AC" w14:paraId="4FE64442" w14:textId="77777777" w:rsidTr="00EB623D">
        <w:trPr>
          <w:trHeight w:val="300"/>
        </w:trPr>
        <w:tc>
          <w:tcPr>
            <w:tcW w:w="956" w:type="pct"/>
            <w:tcBorders>
              <w:top w:val="nil"/>
              <w:left w:val="single" w:sz="8" w:space="0" w:color="auto"/>
              <w:bottom w:val="single" w:sz="8" w:space="0" w:color="auto"/>
              <w:right w:val="single" w:sz="8" w:space="0" w:color="auto"/>
            </w:tcBorders>
            <w:shd w:val="clear" w:color="000000" w:fill="DCE6F1"/>
            <w:noWrap/>
            <w:vAlign w:val="center"/>
            <w:hideMark/>
          </w:tcPr>
          <w:p w14:paraId="5B27D460" w14:textId="77777777" w:rsidR="00EB623D" w:rsidRPr="00C366EF" w:rsidRDefault="00EB623D" w:rsidP="00EB623D">
            <w:pPr>
              <w:pStyle w:val="blankboxedtext"/>
            </w:pPr>
            <w:r w:rsidRPr="00C366EF">
              <w:t>Total</w:t>
            </w:r>
          </w:p>
        </w:tc>
        <w:tc>
          <w:tcPr>
            <w:tcW w:w="3054" w:type="pct"/>
            <w:tcBorders>
              <w:top w:val="nil"/>
              <w:left w:val="nil"/>
              <w:bottom w:val="single" w:sz="8" w:space="0" w:color="auto"/>
              <w:right w:val="single" w:sz="8" w:space="0" w:color="auto"/>
            </w:tcBorders>
            <w:shd w:val="clear" w:color="000000" w:fill="DCE6F1"/>
            <w:noWrap/>
            <w:vAlign w:val="center"/>
            <w:hideMark/>
          </w:tcPr>
          <w:p w14:paraId="220B5E63" w14:textId="77777777" w:rsidR="00EB623D" w:rsidRPr="00C366EF" w:rsidRDefault="00EB623D" w:rsidP="00EB623D">
            <w:pPr>
              <w:pStyle w:val="blankboxedtext"/>
            </w:pPr>
            <w:r w:rsidRPr="00C366EF">
              <w:t>100.00%</w:t>
            </w:r>
          </w:p>
        </w:tc>
        <w:tc>
          <w:tcPr>
            <w:tcW w:w="990" w:type="pct"/>
            <w:tcBorders>
              <w:top w:val="nil"/>
              <w:left w:val="nil"/>
              <w:bottom w:val="single" w:sz="8" w:space="0" w:color="auto"/>
              <w:right w:val="single" w:sz="8" w:space="0" w:color="auto"/>
            </w:tcBorders>
            <w:shd w:val="clear" w:color="000000" w:fill="DCE6F1"/>
            <w:vAlign w:val="center"/>
            <w:hideMark/>
          </w:tcPr>
          <w:p w14:paraId="2930CAF1" w14:textId="77777777" w:rsidR="00EB623D" w:rsidRPr="005419AC" w:rsidRDefault="00EB623D" w:rsidP="00EB623D">
            <w:pPr>
              <w:pStyle w:val="blankboxedtext"/>
            </w:pPr>
            <w:r w:rsidRPr="005419AC">
              <w:t> </w:t>
            </w:r>
          </w:p>
        </w:tc>
      </w:tr>
    </w:tbl>
    <w:p w14:paraId="32461502" w14:textId="2D63283F" w:rsidR="00EB623D" w:rsidRDefault="00EB623D" w:rsidP="00EB623D">
      <w:pPr>
        <w:pStyle w:val="Notoporbottomborderboxedheading2"/>
      </w:pPr>
      <w:r w:rsidRPr="001175AC">
        <w:t>Vulnerabilities</w:t>
      </w:r>
    </w:p>
    <w:tbl>
      <w:tblPr>
        <w:tblW w:w="14902" w:type="dxa"/>
        <w:tblCellMar>
          <w:left w:w="57" w:type="dxa"/>
          <w:right w:w="57" w:type="dxa"/>
        </w:tblCellMar>
        <w:tblLook w:val="04A0" w:firstRow="1" w:lastRow="0" w:firstColumn="1" w:lastColumn="0" w:noHBand="0" w:noVBand="1"/>
      </w:tblPr>
      <w:tblGrid>
        <w:gridCol w:w="1364"/>
        <w:gridCol w:w="785"/>
        <w:gridCol w:w="806"/>
        <w:gridCol w:w="825"/>
        <w:gridCol w:w="842"/>
        <w:gridCol w:w="992"/>
        <w:gridCol w:w="945"/>
        <w:gridCol w:w="944"/>
        <w:gridCol w:w="923"/>
        <w:gridCol w:w="786"/>
        <w:gridCol w:w="786"/>
        <w:gridCol w:w="827"/>
        <w:gridCol w:w="1051"/>
        <w:gridCol w:w="764"/>
        <w:gridCol w:w="690"/>
        <w:gridCol w:w="786"/>
        <w:gridCol w:w="786"/>
      </w:tblGrid>
      <w:tr w:rsidR="00EB623D" w:rsidRPr="006B6303" w14:paraId="2D2D6EA2" w14:textId="77777777" w:rsidTr="00532C31">
        <w:trPr>
          <w:cantSplit/>
          <w:trHeight w:val="1644"/>
        </w:trPr>
        <w:tc>
          <w:tcPr>
            <w:tcW w:w="1364" w:type="dxa"/>
            <w:tcBorders>
              <w:top w:val="single" w:sz="4" w:space="0" w:color="44B3E1"/>
              <w:left w:val="single" w:sz="4" w:space="0" w:color="44B3E1"/>
              <w:bottom w:val="single" w:sz="4" w:space="0" w:color="44B3E1"/>
              <w:right w:val="nil"/>
            </w:tcBorders>
            <w:shd w:val="clear" w:color="156082" w:fill="156082"/>
            <w:noWrap/>
            <w:vAlign w:val="bottom"/>
            <w:hideMark/>
          </w:tcPr>
          <w:p w14:paraId="2D706DFE" w14:textId="77777777" w:rsidR="00EB623D" w:rsidRPr="005419AC" w:rsidRDefault="00EB623D" w:rsidP="00532C31">
            <w:pPr>
              <w:pStyle w:val="Tabletext2"/>
              <w:rPr>
                <w:color w:val="FFFFFF" w:themeColor="background1"/>
              </w:rPr>
            </w:pPr>
            <w:r w:rsidRPr="005419AC">
              <w:rPr>
                <w:color w:val="FFFFFF" w:themeColor="background1"/>
              </w:rPr>
              <w:t>Area</w:t>
            </w:r>
          </w:p>
        </w:tc>
        <w:tc>
          <w:tcPr>
            <w:tcW w:w="785" w:type="dxa"/>
            <w:tcBorders>
              <w:top w:val="single" w:sz="4" w:space="0" w:color="44B3E1"/>
              <w:left w:val="nil"/>
              <w:bottom w:val="single" w:sz="4" w:space="0" w:color="44B3E1"/>
              <w:right w:val="nil"/>
            </w:tcBorders>
            <w:shd w:val="clear" w:color="156082" w:fill="156082"/>
            <w:noWrap/>
            <w:textDirection w:val="btLr"/>
            <w:vAlign w:val="center"/>
            <w:hideMark/>
          </w:tcPr>
          <w:p w14:paraId="4D387E8B" w14:textId="77777777" w:rsidR="00EB623D" w:rsidRPr="005419AC" w:rsidRDefault="00EB623D" w:rsidP="00532C31">
            <w:pPr>
              <w:pStyle w:val="Tabletext2"/>
              <w:rPr>
                <w:color w:val="FFFFFF" w:themeColor="background1"/>
              </w:rPr>
            </w:pPr>
            <w:r w:rsidRPr="005419AC">
              <w:rPr>
                <w:color w:val="FFFFFF" w:themeColor="background1"/>
              </w:rPr>
              <w:t>Autism</w:t>
            </w:r>
          </w:p>
        </w:tc>
        <w:tc>
          <w:tcPr>
            <w:tcW w:w="806" w:type="dxa"/>
            <w:tcBorders>
              <w:top w:val="single" w:sz="4" w:space="0" w:color="44B3E1"/>
              <w:left w:val="nil"/>
              <w:bottom w:val="single" w:sz="4" w:space="0" w:color="44B3E1"/>
              <w:right w:val="nil"/>
            </w:tcBorders>
            <w:shd w:val="clear" w:color="156082" w:fill="156082"/>
            <w:noWrap/>
            <w:textDirection w:val="btLr"/>
            <w:vAlign w:val="center"/>
            <w:hideMark/>
          </w:tcPr>
          <w:p w14:paraId="0B5B6919" w14:textId="77777777" w:rsidR="00EB623D" w:rsidRPr="005419AC" w:rsidRDefault="00EB623D" w:rsidP="00532C31">
            <w:pPr>
              <w:pStyle w:val="Tabletext2"/>
              <w:rPr>
                <w:color w:val="FFFFFF" w:themeColor="background1"/>
              </w:rPr>
            </w:pPr>
            <w:r w:rsidRPr="005419AC">
              <w:rPr>
                <w:color w:val="FFFFFF" w:themeColor="background1"/>
              </w:rPr>
              <w:t>Blind</w:t>
            </w:r>
          </w:p>
        </w:tc>
        <w:tc>
          <w:tcPr>
            <w:tcW w:w="825" w:type="dxa"/>
            <w:tcBorders>
              <w:top w:val="single" w:sz="4" w:space="0" w:color="44B3E1"/>
              <w:left w:val="nil"/>
              <w:bottom w:val="single" w:sz="4" w:space="0" w:color="44B3E1"/>
              <w:right w:val="nil"/>
            </w:tcBorders>
            <w:shd w:val="clear" w:color="156082" w:fill="156082"/>
            <w:noWrap/>
            <w:textDirection w:val="btLr"/>
            <w:vAlign w:val="center"/>
            <w:hideMark/>
          </w:tcPr>
          <w:p w14:paraId="4CDBAC50" w14:textId="77777777" w:rsidR="00EB623D" w:rsidRPr="005419AC" w:rsidRDefault="00EB623D" w:rsidP="00532C31">
            <w:pPr>
              <w:pStyle w:val="Tabletext2"/>
              <w:rPr>
                <w:color w:val="FFFFFF" w:themeColor="background1"/>
              </w:rPr>
            </w:pPr>
            <w:r w:rsidRPr="005419AC">
              <w:rPr>
                <w:color w:val="FFFFFF" w:themeColor="background1"/>
              </w:rPr>
              <w:t>Cancer</w:t>
            </w:r>
          </w:p>
        </w:tc>
        <w:tc>
          <w:tcPr>
            <w:tcW w:w="842" w:type="dxa"/>
            <w:tcBorders>
              <w:top w:val="single" w:sz="4" w:space="0" w:color="44B3E1"/>
              <w:left w:val="nil"/>
              <w:bottom w:val="single" w:sz="4" w:space="0" w:color="44B3E1"/>
              <w:right w:val="nil"/>
            </w:tcBorders>
            <w:shd w:val="clear" w:color="156082" w:fill="156082"/>
            <w:noWrap/>
            <w:textDirection w:val="btLr"/>
            <w:vAlign w:val="center"/>
            <w:hideMark/>
          </w:tcPr>
          <w:p w14:paraId="226E56CD" w14:textId="77777777" w:rsidR="00EB623D" w:rsidRPr="005419AC" w:rsidRDefault="00EB623D" w:rsidP="00532C31">
            <w:pPr>
              <w:pStyle w:val="Tabletext2"/>
              <w:rPr>
                <w:color w:val="FFFFFF" w:themeColor="background1"/>
              </w:rPr>
            </w:pPr>
            <w:r w:rsidRPr="005419AC">
              <w:rPr>
                <w:color w:val="FFFFFF" w:themeColor="background1"/>
              </w:rPr>
              <w:t>Care Leaver</w:t>
            </w:r>
          </w:p>
        </w:tc>
        <w:tc>
          <w:tcPr>
            <w:tcW w:w="992" w:type="dxa"/>
            <w:tcBorders>
              <w:top w:val="single" w:sz="4" w:space="0" w:color="44B3E1"/>
              <w:left w:val="nil"/>
              <w:bottom w:val="single" w:sz="4" w:space="0" w:color="44B3E1"/>
              <w:right w:val="nil"/>
            </w:tcBorders>
            <w:shd w:val="clear" w:color="156082" w:fill="156082"/>
            <w:noWrap/>
            <w:textDirection w:val="btLr"/>
            <w:vAlign w:val="center"/>
            <w:hideMark/>
          </w:tcPr>
          <w:p w14:paraId="7E04B2DD" w14:textId="77777777" w:rsidR="00EB623D" w:rsidRPr="005419AC" w:rsidRDefault="00EB623D" w:rsidP="00532C31">
            <w:pPr>
              <w:pStyle w:val="Tabletext2"/>
              <w:rPr>
                <w:color w:val="FFFFFF" w:themeColor="background1"/>
              </w:rPr>
            </w:pPr>
            <w:r w:rsidRPr="005419AC">
              <w:rPr>
                <w:color w:val="FFFFFF" w:themeColor="background1"/>
              </w:rPr>
              <w:t>Deaf</w:t>
            </w:r>
          </w:p>
        </w:tc>
        <w:tc>
          <w:tcPr>
            <w:tcW w:w="945" w:type="dxa"/>
            <w:tcBorders>
              <w:top w:val="single" w:sz="4" w:space="0" w:color="44B3E1"/>
              <w:left w:val="nil"/>
              <w:bottom w:val="single" w:sz="4" w:space="0" w:color="44B3E1"/>
              <w:right w:val="nil"/>
            </w:tcBorders>
            <w:shd w:val="clear" w:color="156082" w:fill="156082"/>
            <w:noWrap/>
            <w:textDirection w:val="btLr"/>
            <w:vAlign w:val="center"/>
            <w:hideMark/>
          </w:tcPr>
          <w:p w14:paraId="154EB190" w14:textId="77777777" w:rsidR="00EB623D" w:rsidRPr="005419AC" w:rsidRDefault="00EB623D" w:rsidP="00532C31">
            <w:pPr>
              <w:pStyle w:val="Tabletext2"/>
              <w:rPr>
                <w:color w:val="FFFFFF" w:themeColor="background1"/>
              </w:rPr>
            </w:pPr>
            <w:r w:rsidRPr="005419AC">
              <w:rPr>
                <w:color w:val="FFFFFF" w:themeColor="background1"/>
              </w:rPr>
              <w:t>Dementia</w:t>
            </w:r>
          </w:p>
        </w:tc>
        <w:tc>
          <w:tcPr>
            <w:tcW w:w="944" w:type="dxa"/>
            <w:tcBorders>
              <w:top w:val="single" w:sz="4" w:space="0" w:color="44B3E1"/>
              <w:left w:val="nil"/>
              <w:bottom w:val="single" w:sz="4" w:space="0" w:color="44B3E1"/>
              <w:right w:val="nil"/>
            </w:tcBorders>
            <w:shd w:val="clear" w:color="156082" w:fill="156082"/>
            <w:textDirection w:val="btLr"/>
            <w:vAlign w:val="center"/>
            <w:hideMark/>
          </w:tcPr>
          <w:p w14:paraId="06FE9CBC" w14:textId="77777777" w:rsidR="00EB623D" w:rsidRPr="005419AC" w:rsidRDefault="00EB623D" w:rsidP="00532C31">
            <w:pPr>
              <w:pStyle w:val="Tabletext2"/>
              <w:rPr>
                <w:color w:val="FFFFFF" w:themeColor="background1"/>
              </w:rPr>
            </w:pPr>
            <w:r w:rsidRPr="005419AC">
              <w:rPr>
                <w:color w:val="FFFFFF" w:themeColor="background1"/>
              </w:rPr>
              <w:t xml:space="preserve">Dependency </w:t>
            </w:r>
            <w:r w:rsidRPr="005419AC">
              <w:rPr>
                <w:color w:val="FFFFFF" w:themeColor="background1"/>
              </w:rPr>
              <w:br/>
              <w:t>issues</w:t>
            </w:r>
          </w:p>
        </w:tc>
        <w:tc>
          <w:tcPr>
            <w:tcW w:w="923" w:type="dxa"/>
            <w:tcBorders>
              <w:top w:val="single" w:sz="4" w:space="0" w:color="44B3E1"/>
              <w:left w:val="nil"/>
              <w:bottom w:val="single" w:sz="4" w:space="0" w:color="44B3E1"/>
              <w:right w:val="nil"/>
            </w:tcBorders>
            <w:shd w:val="clear" w:color="156082" w:fill="156082"/>
            <w:textDirection w:val="btLr"/>
            <w:vAlign w:val="center"/>
            <w:hideMark/>
          </w:tcPr>
          <w:p w14:paraId="70CF8D58" w14:textId="77777777" w:rsidR="00EB623D" w:rsidRPr="005419AC" w:rsidRDefault="00EB623D" w:rsidP="00532C31">
            <w:pPr>
              <w:pStyle w:val="Tabletext2"/>
              <w:rPr>
                <w:color w:val="FFFFFF" w:themeColor="background1"/>
              </w:rPr>
            </w:pPr>
            <w:r w:rsidRPr="005419AC">
              <w:rPr>
                <w:color w:val="FFFFFF" w:themeColor="background1"/>
              </w:rPr>
              <w:t>Disabled -</w:t>
            </w:r>
            <w:r w:rsidRPr="005419AC">
              <w:rPr>
                <w:color w:val="FFFFFF" w:themeColor="background1"/>
              </w:rPr>
              <w:br/>
              <w:t xml:space="preserve"> prefer not </w:t>
            </w:r>
            <w:r w:rsidRPr="005419AC">
              <w:rPr>
                <w:color w:val="FFFFFF" w:themeColor="background1"/>
              </w:rPr>
              <w:br/>
              <w:t>to say</w:t>
            </w:r>
          </w:p>
        </w:tc>
        <w:tc>
          <w:tcPr>
            <w:tcW w:w="786" w:type="dxa"/>
            <w:tcBorders>
              <w:top w:val="single" w:sz="4" w:space="0" w:color="44B3E1"/>
              <w:left w:val="nil"/>
              <w:bottom w:val="single" w:sz="4" w:space="0" w:color="44B3E1"/>
              <w:right w:val="nil"/>
            </w:tcBorders>
            <w:shd w:val="clear" w:color="156082" w:fill="156082"/>
            <w:textDirection w:val="btLr"/>
            <w:vAlign w:val="center"/>
            <w:hideMark/>
          </w:tcPr>
          <w:p w14:paraId="656E59E2" w14:textId="77777777" w:rsidR="00EB623D" w:rsidRPr="005419AC" w:rsidRDefault="00EB623D" w:rsidP="00532C31">
            <w:pPr>
              <w:pStyle w:val="Tabletext2"/>
              <w:rPr>
                <w:color w:val="FFFFFF" w:themeColor="background1"/>
              </w:rPr>
            </w:pPr>
            <w:r w:rsidRPr="005419AC">
              <w:rPr>
                <w:color w:val="FFFFFF" w:themeColor="background1"/>
              </w:rPr>
              <w:t xml:space="preserve">Disabled - </w:t>
            </w:r>
            <w:r w:rsidRPr="005419AC">
              <w:rPr>
                <w:color w:val="FFFFFF" w:themeColor="background1"/>
              </w:rPr>
              <w:br/>
              <w:t>other</w:t>
            </w:r>
          </w:p>
        </w:tc>
        <w:tc>
          <w:tcPr>
            <w:tcW w:w="786" w:type="dxa"/>
            <w:tcBorders>
              <w:top w:val="single" w:sz="4" w:space="0" w:color="44B3E1"/>
              <w:left w:val="nil"/>
              <w:bottom w:val="single" w:sz="4" w:space="0" w:color="44B3E1"/>
              <w:right w:val="nil"/>
            </w:tcBorders>
            <w:shd w:val="clear" w:color="156082" w:fill="156082"/>
            <w:textDirection w:val="btLr"/>
            <w:vAlign w:val="center"/>
            <w:hideMark/>
          </w:tcPr>
          <w:p w14:paraId="557B291D" w14:textId="77777777" w:rsidR="00EB623D" w:rsidRPr="005419AC" w:rsidRDefault="00EB623D" w:rsidP="00532C31">
            <w:pPr>
              <w:pStyle w:val="Tabletext2"/>
              <w:rPr>
                <w:color w:val="FFFFFF" w:themeColor="background1"/>
              </w:rPr>
            </w:pPr>
            <w:r w:rsidRPr="005419AC">
              <w:rPr>
                <w:color w:val="FFFFFF" w:themeColor="background1"/>
              </w:rPr>
              <w:t xml:space="preserve">Learning </w:t>
            </w:r>
            <w:r w:rsidRPr="005419AC">
              <w:rPr>
                <w:color w:val="FFFFFF" w:themeColor="background1"/>
              </w:rPr>
              <w:br/>
              <w:t>disability</w:t>
            </w:r>
          </w:p>
        </w:tc>
        <w:tc>
          <w:tcPr>
            <w:tcW w:w="827" w:type="dxa"/>
            <w:tcBorders>
              <w:top w:val="single" w:sz="4" w:space="0" w:color="44B3E1"/>
              <w:left w:val="nil"/>
              <w:bottom w:val="single" w:sz="4" w:space="0" w:color="44B3E1"/>
              <w:right w:val="nil"/>
            </w:tcBorders>
            <w:shd w:val="clear" w:color="156082" w:fill="156082"/>
            <w:noWrap/>
            <w:textDirection w:val="btLr"/>
            <w:vAlign w:val="center"/>
            <w:hideMark/>
          </w:tcPr>
          <w:p w14:paraId="70E51A98" w14:textId="77777777" w:rsidR="00EB623D" w:rsidRPr="005419AC" w:rsidRDefault="00EB623D" w:rsidP="00532C31">
            <w:pPr>
              <w:pStyle w:val="Tabletext2"/>
              <w:rPr>
                <w:color w:val="FFFFFF" w:themeColor="background1"/>
              </w:rPr>
            </w:pPr>
            <w:r w:rsidRPr="005419AC">
              <w:rPr>
                <w:color w:val="FFFFFF" w:themeColor="background1"/>
              </w:rPr>
              <w:t>Literacy</w:t>
            </w:r>
          </w:p>
        </w:tc>
        <w:tc>
          <w:tcPr>
            <w:tcW w:w="1051" w:type="dxa"/>
            <w:tcBorders>
              <w:top w:val="single" w:sz="4" w:space="0" w:color="44B3E1"/>
              <w:left w:val="nil"/>
              <w:bottom w:val="single" w:sz="4" w:space="0" w:color="44B3E1"/>
              <w:right w:val="nil"/>
            </w:tcBorders>
            <w:shd w:val="clear" w:color="156082" w:fill="156082"/>
            <w:textDirection w:val="btLr"/>
            <w:vAlign w:val="center"/>
            <w:hideMark/>
          </w:tcPr>
          <w:p w14:paraId="203A29FD" w14:textId="77777777" w:rsidR="00EB623D" w:rsidRPr="005419AC" w:rsidRDefault="00EB623D" w:rsidP="00532C31">
            <w:pPr>
              <w:pStyle w:val="Tabletext2"/>
              <w:rPr>
                <w:color w:val="FFFFFF" w:themeColor="background1"/>
              </w:rPr>
            </w:pPr>
            <w:r w:rsidRPr="005419AC">
              <w:rPr>
                <w:color w:val="FFFFFF" w:themeColor="background1"/>
              </w:rPr>
              <w:t xml:space="preserve">Mental </w:t>
            </w:r>
            <w:r w:rsidRPr="005419AC">
              <w:rPr>
                <w:color w:val="FFFFFF" w:themeColor="background1"/>
              </w:rPr>
              <w:br/>
              <w:t>Health</w:t>
            </w:r>
          </w:p>
        </w:tc>
        <w:tc>
          <w:tcPr>
            <w:tcW w:w="764" w:type="dxa"/>
            <w:tcBorders>
              <w:top w:val="single" w:sz="4" w:space="0" w:color="44B3E1"/>
              <w:left w:val="nil"/>
              <w:bottom w:val="single" w:sz="4" w:space="0" w:color="44B3E1"/>
              <w:right w:val="nil"/>
            </w:tcBorders>
            <w:shd w:val="clear" w:color="156082" w:fill="156082"/>
            <w:noWrap/>
            <w:textDirection w:val="btLr"/>
            <w:vAlign w:val="center"/>
            <w:hideMark/>
          </w:tcPr>
          <w:p w14:paraId="7269909F" w14:textId="77777777" w:rsidR="00EB623D" w:rsidRPr="005419AC" w:rsidRDefault="00EB623D" w:rsidP="00532C31">
            <w:pPr>
              <w:pStyle w:val="Tabletext2"/>
              <w:rPr>
                <w:color w:val="FFFFFF" w:themeColor="background1"/>
              </w:rPr>
            </w:pPr>
            <w:r w:rsidRPr="005419AC">
              <w:rPr>
                <w:color w:val="FFFFFF" w:themeColor="background1"/>
              </w:rPr>
              <w:t>Mobility</w:t>
            </w:r>
          </w:p>
        </w:tc>
        <w:tc>
          <w:tcPr>
            <w:tcW w:w="690" w:type="dxa"/>
            <w:tcBorders>
              <w:top w:val="single" w:sz="4" w:space="0" w:color="44B3E1"/>
              <w:left w:val="nil"/>
              <w:bottom w:val="single" w:sz="4" w:space="0" w:color="44B3E1"/>
              <w:right w:val="nil"/>
            </w:tcBorders>
            <w:shd w:val="clear" w:color="156082" w:fill="156082"/>
            <w:noWrap/>
            <w:textDirection w:val="btLr"/>
            <w:vAlign w:val="center"/>
            <w:hideMark/>
          </w:tcPr>
          <w:p w14:paraId="56DE0910" w14:textId="77777777" w:rsidR="00EB623D" w:rsidRPr="005419AC" w:rsidRDefault="00EB623D" w:rsidP="00532C31">
            <w:pPr>
              <w:pStyle w:val="Tabletext2"/>
              <w:rPr>
                <w:color w:val="FFFFFF" w:themeColor="background1"/>
              </w:rPr>
            </w:pPr>
            <w:r w:rsidRPr="005419AC">
              <w:rPr>
                <w:color w:val="FFFFFF" w:themeColor="background1"/>
              </w:rPr>
              <w:t>Respiratory</w:t>
            </w:r>
          </w:p>
        </w:tc>
        <w:tc>
          <w:tcPr>
            <w:tcW w:w="786" w:type="dxa"/>
            <w:tcBorders>
              <w:top w:val="single" w:sz="4" w:space="0" w:color="44B3E1"/>
              <w:left w:val="nil"/>
              <w:bottom w:val="single" w:sz="4" w:space="0" w:color="44B3E1"/>
              <w:right w:val="nil"/>
            </w:tcBorders>
            <w:shd w:val="clear" w:color="156082" w:fill="156082"/>
            <w:textDirection w:val="btLr"/>
            <w:vAlign w:val="center"/>
            <w:hideMark/>
          </w:tcPr>
          <w:p w14:paraId="1F0E9AD5" w14:textId="77777777" w:rsidR="00EB623D" w:rsidRPr="005419AC" w:rsidRDefault="00EB623D" w:rsidP="00532C31">
            <w:pPr>
              <w:pStyle w:val="Tabletext2"/>
              <w:rPr>
                <w:color w:val="FFFFFF" w:themeColor="background1"/>
              </w:rPr>
            </w:pPr>
            <w:r w:rsidRPr="005419AC">
              <w:rPr>
                <w:color w:val="FFFFFF" w:themeColor="background1"/>
              </w:rPr>
              <w:t xml:space="preserve">Survivor </w:t>
            </w:r>
            <w:r w:rsidRPr="005419AC">
              <w:rPr>
                <w:color w:val="FFFFFF" w:themeColor="background1"/>
              </w:rPr>
              <w:br/>
              <w:t>of DV</w:t>
            </w:r>
          </w:p>
        </w:tc>
        <w:tc>
          <w:tcPr>
            <w:tcW w:w="786" w:type="dxa"/>
            <w:tcBorders>
              <w:top w:val="single" w:sz="4" w:space="0" w:color="44B3E1"/>
              <w:left w:val="nil"/>
              <w:bottom w:val="single" w:sz="4" w:space="0" w:color="44B3E1"/>
              <w:right w:val="single" w:sz="4" w:space="0" w:color="44B3E1"/>
            </w:tcBorders>
            <w:shd w:val="clear" w:color="156082" w:fill="156082"/>
            <w:textDirection w:val="btLr"/>
            <w:vAlign w:val="center"/>
            <w:hideMark/>
          </w:tcPr>
          <w:p w14:paraId="0E56A610" w14:textId="77777777" w:rsidR="00EB623D" w:rsidRPr="005419AC" w:rsidRDefault="00EB623D" w:rsidP="00532C31">
            <w:pPr>
              <w:pStyle w:val="Tabletext2"/>
              <w:rPr>
                <w:color w:val="FFFFFF" w:themeColor="background1"/>
              </w:rPr>
            </w:pPr>
            <w:r w:rsidRPr="005419AC">
              <w:rPr>
                <w:color w:val="FFFFFF" w:themeColor="background1"/>
              </w:rPr>
              <w:t xml:space="preserve">Wheelchair </w:t>
            </w:r>
            <w:r w:rsidRPr="005419AC">
              <w:rPr>
                <w:color w:val="FFFFFF" w:themeColor="background1"/>
              </w:rPr>
              <w:br/>
              <w:t>user</w:t>
            </w:r>
          </w:p>
        </w:tc>
      </w:tr>
      <w:tr w:rsidR="00EB623D" w:rsidRPr="006B6303" w14:paraId="6B5381B6" w14:textId="77777777" w:rsidTr="00532C31">
        <w:trPr>
          <w:trHeight w:val="288"/>
        </w:trPr>
        <w:tc>
          <w:tcPr>
            <w:tcW w:w="1364" w:type="dxa"/>
            <w:tcBorders>
              <w:top w:val="single" w:sz="4" w:space="0" w:color="44B3E1"/>
              <w:left w:val="single" w:sz="4" w:space="0" w:color="44B3E1"/>
              <w:bottom w:val="single" w:sz="4" w:space="0" w:color="44B3E1"/>
              <w:right w:val="nil"/>
            </w:tcBorders>
            <w:shd w:val="clear" w:color="C0E6F5" w:fill="C0E6F5"/>
            <w:noWrap/>
            <w:vAlign w:val="bottom"/>
            <w:hideMark/>
          </w:tcPr>
          <w:p w14:paraId="42FA06E2" w14:textId="77777777" w:rsidR="00EB623D" w:rsidRPr="006B6303" w:rsidRDefault="00EB623D" w:rsidP="00532C31">
            <w:pPr>
              <w:pStyle w:val="Tabletext2"/>
              <w:rPr>
                <w:color w:val="000000"/>
              </w:rPr>
            </w:pPr>
            <w:r w:rsidRPr="006B6303">
              <w:rPr>
                <w:color w:val="000000"/>
              </w:rPr>
              <w:t>Hucknall</w:t>
            </w:r>
          </w:p>
        </w:tc>
        <w:tc>
          <w:tcPr>
            <w:tcW w:w="785" w:type="dxa"/>
            <w:tcBorders>
              <w:top w:val="single" w:sz="4" w:space="0" w:color="44B3E1"/>
              <w:left w:val="nil"/>
              <w:bottom w:val="single" w:sz="4" w:space="0" w:color="44B3E1"/>
              <w:right w:val="nil"/>
            </w:tcBorders>
            <w:shd w:val="clear" w:color="C0E6F5" w:fill="C0E6F5"/>
            <w:noWrap/>
            <w:vAlign w:val="bottom"/>
            <w:hideMark/>
          </w:tcPr>
          <w:p w14:paraId="0CE6D144" w14:textId="77777777" w:rsidR="00EB623D" w:rsidRPr="006B6303" w:rsidRDefault="00EB623D" w:rsidP="00532C31">
            <w:pPr>
              <w:pStyle w:val="Tabletext2"/>
              <w:rPr>
                <w:color w:val="000000"/>
              </w:rPr>
            </w:pPr>
            <w:r w:rsidRPr="006B6303">
              <w:rPr>
                <w:color w:val="000000"/>
              </w:rPr>
              <w:t>19</w:t>
            </w:r>
          </w:p>
        </w:tc>
        <w:tc>
          <w:tcPr>
            <w:tcW w:w="806" w:type="dxa"/>
            <w:tcBorders>
              <w:top w:val="single" w:sz="4" w:space="0" w:color="44B3E1"/>
              <w:left w:val="nil"/>
              <w:bottom w:val="single" w:sz="4" w:space="0" w:color="44B3E1"/>
              <w:right w:val="nil"/>
            </w:tcBorders>
            <w:shd w:val="clear" w:color="C0E6F5" w:fill="C0E6F5"/>
            <w:noWrap/>
            <w:vAlign w:val="bottom"/>
            <w:hideMark/>
          </w:tcPr>
          <w:p w14:paraId="0DF6C3EC" w14:textId="77777777" w:rsidR="00EB623D" w:rsidRPr="006B6303" w:rsidRDefault="00EB623D" w:rsidP="00532C31">
            <w:pPr>
              <w:pStyle w:val="Tabletext2"/>
              <w:rPr>
                <w:color w:val="000000"/>
              </w:rPr>
            </w:pPr>
            <w:r w:rsidRPr="006B6303">
              <w:rPr>
                <w:color w:val="000000"/>
              </w:rPr>
              <w:t>21</w:t>
            </w:r>
          </w:p>
        </w:tc>
        <w:tc>
          <w:tcPr>
            <w:tcW w:w="825" w:type="dxa"/>
            <w:tcBorders>
              <w:top w:val="single" w:sz="4" w:space="0" w:color="44B3E1"/>
              <w:left w:val="nil"/>
              <w:bottom w:val="single" w:sz="4" w:space="0" w:color="44B3E1"/>
              <w:right w:val="nil"/>
            </w:tcBorders>
            <w:shd w:val="clear" w:color="C0E6F5" w:fill="C0E6F5"/>
            <w:noWrap/>
            <w:vAlign w:val="bottom"/>
            <w:hideMark/>
          </w:tcPr>
          <w:p w14:paraId="4EC6DA46" w14:textId="77777777" w:rsidR="00EB623D" w:rsidRPr="006B6303" w:rsidRDefault="00EB623D" w:rsidP="00532C31">
            <w:pPr>
              <w:pStyle w:val="Tabletext2"/>
              <w:rPr>
                <w:color w:val="000000"/>
              </w:rPr>
            </w:pPr>
            <w:r w:rsidRPr="006B6303">
              <w:rPr>
                <w:color w:val="000000"/>
              </w:rPr>
              <w:t>7</w:t>
            </w:r>
          </w:p>
        </w:tc>
        <w:tc>
          <w:tcPr>
            <w:tcW w:w="842" w:type="dxa"/>
            <w:tcBorders>
              <w:top w:val="single" w:sz="4" w:space="0" w:color="44B3E1"/>
              <w:left w:val="nil"/>
              <w:bottom w:val="single" w:sz="4" w:space="0" w:color="44B3E1"/>
              <w:right w:val="nil"/>
            </w:tcBorders>
            <w:shd w:val="clear" w:color="C0E6F5" w:fill="C0E6F5"/>
            <w:noWrap/>
            <w:vAlign w:val="bottom"/>
            <w:hideMark/>
          </w:tcPr>
          <w:p w14:paraId="3DB08958" w14:textId="77777777" w:rsidR="00EB623D" w:rsidRPr="006B6303" w:rsidRDefault="00EB623D" w:rsidP="00532C31">
            <w:pPr>
              <w:pStyle w:val="Tabletext2"/>
              <w:rPr>
                <w:color w:val="000000"/>
              </w:rPr>
            </w:pPr>
            <w:r w:rsidRPr="006B6303">
              <w:rPr>
                <w:color w:val="000000"/>
              </w:rPr>
              <w:t>4</w:t>
            </w:r>
          </w:p>
        </w:tc>
        <w:tc>
          <w:tcPr>
            <w:tcW w:w="992" w:type="dxa"/>
            <w:tcBorders>
              <w:top w:val="single" w:sz="4" w:space="0" w:color="44B3E1"/>
              <w:left w:val="nil"/>
              <w:bottom w:val="single" w:sz="4" w:space="0" w:color="44B3E1"/>
              <w:right w:val="nil"/>
            </w:tcBorders>
            <w:shd w:val="clear" w:color="C0E6F5" w:fill="C0E6F5"/>
            <w:noWrap/>
            <w:vAlign w:val="bottom"/>
            <w:hideMark/>
          </w:tcPr>
          <w:p w14:paraId="3891CD9C" w14:textId="77777777" w:rsidR="00EB623D" w:rsidRPr="006B6303" w:rsidRDefault="00EB623D" w:rsidP="00532C31">
            <w:pPr>
              <w:pStyle w:val="Tabletext2"/>
              <w:rPr>
                <w:color w:val="000000"/>
              </w:rPr>
            </w:pPr>
            <w:r w:rsidRPr="006B6303">
              <w:rPr>
                <w:color w:val="000000"/>
              </w:rPr>
              <w:t>44</w:t>
            </w:r>
          </w:p>
        </w:tc>
        <w:tc>
          <w:tcPr>
            <w:tcW w:w="945" w:type="dxa"/>
            <w:tcBorders>
              <w:top w:val="single" w:sz="4" w:space="0" w:color="44B3E1"/>
              <w:left w:val="nil"/>
              <w:bottom w:val="single" w:sz="4" w:space="0" w:color="44B3E1"/>
              <w:right w:val="nil"/>
            </w:tcBorders>
            <w:shd w:val="clear" w:color="C0E6F5" w:fill="C0E6F5"/>
            <w:noWrap/>
            <w:vAlign w:val="bottom"/>
            <w:hideMark/>
          </w:tcPr>
          <w:p w14:paraId="4C89AEF1" w14:textId="77777777" w:rsidR="00EB623D" w:rsidRPr="006B6303" w:rsidRDefault="00EB623D" w:rsidP="00532C31">
            <w:pPr>
              <w:pStyle w:val="Tabletext2"/>
              <w:rPr>
                <w:color w:val="000000"/>
              </w:rPr>
            </w:pPr>
            <w:r w:rsidRPr="006B6303">
              <w:rPr>
                <w:color w:val="000000"/>
              </w:rPr>
              <w:t>2</w:t>
            </w:r>
          </w:p>
        </w:tc>
        <w:tc>
          <w:tcPr>
            <w:tcW w:w="944" w:type="dxa"/>
            <w:tcBorders>
              <w:top w:val="single" w:sz="4" w:space="0" w:color="44B3E1"/>
              <w:left w:val="nil"/>
              <w:bottom w:val="single" w:sz="4" w:space="0" w:color="44B3E1"/>
              <w:right w:val="nil"/>
            </w:tcBorders>
            <w:shd w:val="clear" w:color="C0E6F5" w:fill="C0E6F5"/>
            <w:noWrap/>
            <w:vAlign w:val="bottom"/>
            <w:hideMark/>
          </w:tcPr>
          <w:p w14:paraId="59092226" w14:textId="77777777" w:rsidR="00EB623D" w:rsidRPr="006B6303" w:rsidRDefault="00EB623D" w:rsidP="00532C31">
            <w:pPr>
              <w:pStyle w:val="Tabletext2"/>
              <w:rPr>
                <w:color w:val="000000"/>
              </w:rPr>
            </w:pPr>
            <w:r w:rsidRPr="006B6303">
              <w:rPr>
                <w:color w:val="000000"/>
              </w:rPr>
              <w:t>10</w:t>
            </w:r>
          </w:p>
        </w:tc>
        <w:tc>
          <w:tcPr>
            <w:tcW w:w="923" w:type="dxa"/>
            <w:tcBorders>
              <w:top w:val="single" w:sz="4" w:space="0" w:color="44B3E1"/>
              <w:left w:val="nil"/>
              <w:bottom w:val="single" w:sz="4" w:space="0" w:color="44B3E1"/>
              <w:right w:val="nil"/>
            </w:tcBorders>
            <w:shd w:val="clear" w:color="C0E6F5" w:fill="C0E6F5"/>
            <w:noWrap/>
            <w:vAlign w:val="bottom"/>
            <w:hideMark/>
          </w:tcPr>
          <w:p w14:paraId="4E6FFA66" w14:textId="77777777" w:rsidR="00EB623D" w:rsidRPr="006B6303" w:rsidRDefault="00EB623D" w:rsidP="00532C31">
            <w:pPr>
              <w:pStyle w:val="Tabletext2"/>
              <w:rPr>
                <w:color w:val="000000"/>
              </w:rPr>
            </w:pPr>
            <w:r w:rsidRPr="006B6303">
              <w:rPr>
                <w:color w:val="000000"/>
              </w:rPr>
              <w:t>4</w:t>
            </w:r>
          </w:p>
        </w:tc>
        <w:tc>
          <w:tcPr>
            <w:tcW w:w="786" w:type="dxa"/>
            <w:tcBorders>
              <w:top w:val="single" w:sz="4" w:space="0" w:color="44B3E1"/>
              <w:left w:val="nil"/>
              <w:bottom w:val="single" w:sz="4" w:space="0" w:color="44B3E1"/>
              <w:right w:val="nil"/>
            </w:tcBorders>
            <w:shd w:val="clear" w:color="C0E6F5" w:fill="C0E6F5"/>
            <w:noWrap/>
            <w:vAlign w:val="bottom"/>
            <w:hideMark/>
          </w:tcPr>
          <w:p w14:paraId="38E5F8CA" w14:textId="77777777" w:rsidR="00EB623D" w:rsidRPr="006B6303" w:rsidRDefault="00EB623D" w:rsidP="00532C31">
            <w:pPr>
              <w:pStyle w:val="Tabletext2"/>
              <w:rPr>
                <w:color w:val="000000"/>
              </w:rPr>
            </w:pPr>
            <w:r w:rsidRPr="006B6303">
              <w:rPr>
                <w:color w:val="000000"/>
              </w:rPr>
              <w:t>46</w:t>
            </w:r>
          </w:p>
        </w:tc>
        <w:tc>
          <w:tcPr>
            <w:tcW w:w="786" w:type="dxa"/>
            <w:tcBorders>
              <w:top w:val="single" w:sz="4" w:space="0" w:color="44B3E1"/>
              <w:left w:val="nil"/>
              <w:bottom w:val="single" w:sz="4" w:space="0" w:color="44B3E1"/>
              <w:right w:val="nil"/>
            </w:tcBorders>
            <w:shd w:val="clear" w:color="C0E6F5" w:fill="C0E6F5"/>
            <w:noWrap/>
            <w:vAlign w:val="bottom"/>
            <w:hideMark/>
          </w:tcPr>
          <w:p w14:paraId="69864023" w14:textId="77777777" w:rsidR="00EB623D" w:rsidRPr="006B6303" w:rsidRDefault="00EB623D" w:rsidP="00532C31">
            <w:pPr>
              <w:pStyle w:val="Tabletext2"/>
              <w:rPr>
                <w:color w:val="000000"/>
              </w:rPr>
            </w:pPr>
            <w:r w:rsidRPr="006B6303">
              <w:rPr>
                <w:color w:val="000000"/>
              </w:rPr>
              <w:t>51</w:t>
            </w:r>
          </w:p>
        </w:tc>
        <w:tc>
          <w:tcPr>
            <w:tcW w:w="827" w:type="dxa"/>
            <w:tcBorders>
              <w:top w:val="single" w:sz="4" w:space="0" w:color="44B3E1"/>
              <w:left w:val="nil"/>
              <w:bottom w:val="single" w:sz="4" w:space="0" w:color="44B3E1"/>
              <w:right w:val="nil"/>
            </w:tcBorders>
            <w:shd w:val="clear" w:color="C0E6F5" w:fill="C0E6F5"/>
            <w:noWrap/>
            <w:vAlign w:val="bottom"/>
            <w:hideMark/>
          </w:tcPr>
          <w:p w14:paraId="5E5767FD" w14:textId="77777777" w:rsidR="00EB623D" w:rsidRPr="006B6303" w:rsidRDefault="00EB623D" w:rsidP="00532C31">
            <w:pPr>
              <w:pStyle w:val="Tabletext2"/>
              <w:rPr>
                <w:color w:val="000000"/>
              </w:rPr>
            </w:pPr>
            <w:r w:rsidRPr="006B6303">
              <w:rPr>
                <w:color w:val="000000"/>
              </w:rPr>
              <w:t>20</w:t>
            </w:r>
          </w:p>
        </w:tc>
        <w:tc>
          <w:tcPr>
            <w:tcW w:w="1051" w:type="dxa"/>
            <w:tcBorders>
              <w:top w:val="single" w:sz="4" w:space="0" w:color="44B3E1"/>
              <w:left w:val="nil"/>
              <w:bottom w:val="single" w:sz="4" w:space="0" w:color="44B3E1"/>
              <w:right w:val="nil"/>
            </w:tcBorders>
            <w:shd w:val="clear" w:color="C0E6F5" w:fill="C0E6F5"/>
            <w:noWrap/>
            <w:vAlign w:val="bottom"/>
            <w:hideMark/>
          </w:tcPr>
          <w:p w14:paraId="5A3D369E" w14:textId="77777777" w:rsidR="00EB623D" w:rsidRPr="006B6303" w:rsidRDefault="00EB623D" w:rsidP="00532C31">
            <w:pPr>
              <w:pStyle w:val="Tabletext2"/>
              <w:rPr>
                <w:color w:val="000000"/>
              </w:rPr>
            </w:pPr>
            <w:r w:rsidRPr="006B6303">
              <w:rPr>
                <w:color w:val="000000"/>
              </w:rPr>
              <w:t>226</w:t>
            </w:r>
          </w:p>
        </w:tc>
        <w:tc>
          <w:tcPr>
            <w:tcW w:w="764" w:type="dxa"/>
            <w:tcBorders>
              <w:top w:val="single" w:sz="4" w:space="0" w:color="44B3E1"/>
              <w:left w:val="nil"/>
              <w:bottom w:val="single" w:sz="4" w:space="0" w:color="44B3E1"/>
              <w:right w:val="nil"/>
            </w:tcBorders>
            <w:shd w:val="clear" w:color="C0E6F5" w:fill="C0E6F5"/>
            <w:noWrap/>
            <w:vAlign w:val="bottom"/>
            <w:hideMark/>
          </w:tcPr>
          <w:p w14:paraId="79651FD7" w14:textId="77777777" w:rsidR="00EB623D" w:rsidRPr="006B6303" w:rsidRDefault="00EB623D" w:rsidP="00532C31">
            <w:pPr>
              <w:pStyle w:val="Tabletext2"/>
              <w:rPr>
                <w:color w:val="000000"/>
              </w:rPr>
            </w:pPr>
            <w:r w:rsidRPr="006B6303">
              <w:rPr>
                <w:color w:val="000000"/>
              </w:rPr>
              <w:t>215</w:t>
            </w:r>
          </w:p>
        </w:tc>
        <w:tc>
          <w:tcPr>
            <w:tcW w:w="690" w:type="dxa"/>
            <w:tcBorders>
              <w:top w:val="single" w:sz="4" w:space="0" w:color="44B3E1"/>
              <w:left w:val="nil"/>
              <w:bottom w:val="single" w:sz="4" w:space="0" w:color="44B3E1"/>
              <w:right w:val="nil"/>
            </w:tcBorders>
            <w:shd w:val="clear" w:color="C0E6F5" w:fill="C0E6F5"/>
            <w:noWrap/>
            <w:vAlign w:val="bottom"/>
            <w:hideMark/>
          </w:tcPr>
          <w:p w14:paraId="37837025" w14:textId="77777777" w:rsidR="00EB623D" w:rsidRPr="006B6303" w:rsidRDefault="00EB623D" w:rsidP="00532C31">
            <w:pPr>
              <w:pStyle w:val="Tabletext2"/>
              <w:rPr>
                <w:color w:val="000000"/>
              </w:rPr>
            </w:pPr>
            <w:r w:rsidRPr="006B6303">
              <w:rPr>
                <w:color w:val="000000"/>
              </w:rPr>
              <w:t>18</w:t>
            </w:r>
          </w:p>
        </w:tc>
        <w:tc>
          <w:tcPr>
            <w:tcW w:w="786" w:type="dxa"/>
            <w:tcBorders>
              <w:top w:val="single" w:sz="4" w:space="0" w:color="44B3E1"/>
              <w:left w:val="nil"/>
              <w:bottom w:val="single" w:sz="4" w:space="0" w:color="44B3E1"/>
              <w:right w:val="nil"/>
            </w:tcBorders>
            <w:shd w:val="clear" w:color="C0E6F5" w:fill="C0E6F5"/>
            <w:noWrap/>
            <w:vAlign w:val="bottom"/>
            <w:hideMark/>
          </w:tcPr>
          <w:p w14:paraId="48720ACA" w14:textId="77777777" w:rsidR="00EB623D" w:rsidRPr="006B6303" w:rsidRDefault="00EB623D" w:rsidP="00532C31">
            <w:pPr>
              <w:pStyle w:val="Tabletext2"/>
              <w:rPr>
                <w:color w:val="000000"/>
              </w:rPr>
            </w:pPr>
            <w:r w:rsidRPr="006B6303">
              <w:rPr>
                <w:color w:val="000000"/>
              </w:rPr>
              <w:t>10</w:t>
            </w:r>
          </w:p>
        </w:tc>
        <w:tc>
          <w:tcPr>
            <w:tcW w:w="786" w:type="dxa"/>
            <w:tcBorders>
              <w:top w:val="single" w:sz="4" w:space="0" w:color="44B3E1"/>
              <w:left w:val="nil"/>
              <w:bottom w:val="single" w:sz="4" w:space="0" w:color="44B3E1"/>
              <w:right w:val="single" w:sz="4" w:space="0" w:color="44B3E1"/>
            </w:tcBorders>
            <w:shd w:val="clear" w:color="C0E6F5" w:fill="C0E6F5"/>
            <w:noWrap/>
            <w:vAlign w:val="bottom"/>
            <w:hideMark/>
          </w:tcPr>
          <w:p w14:paraId="5A14CEEF" w14:textId="77777777" w:rsidR="00EB623D" w:rsidRPr="006B6303" w:rsidRDefault="00EB623D" w:rsidP="00532C31">
            <w:pPr>
              <w:pStyle w:val="Tabletext2"/>
              <w:rPr>
                <w:color w:val="000000"/>
              </w:rPr>
            </w:pPr>
            <w:r w:rsidRPr="006B6303">
              <w:rPr>
                <w:color w:val="000000"/>
              </w:rPr>
              <w:t>26</w:t>
            </w:r>
          </w:p>
        </w:tc>
      </w:tr>
      <w:tr w:rsidR="00EB623D" w:rsidRPr="006B6303" w14:paraId="41C3FB33" w14:textId="77777777" w:rsidTr="00532C31">
        <w:trPr>
          <w:trHeight w:val="288"/>
        </w:trPr>
        <w:tc>
          <w:tcPr>
            <w:tcW w:w="1364" w:type="dxa"/>
            <w:tcBorders>
              <w:top w:val="single" w:sz="4" w:space="0" w:color="44B3E1"/>
              <w:left w:val="single" w:sz="4" w:space="0" w:color="44B3E1"/>
              <w:bottom w:val="single" w:sz="4" w:space="0" w:color="44B3E1"/>
              <w:right w:val="nil"/>
            </w:tcBorders>
            <w:noWrap/>
            <w:vAlign w:val="bottom"/>
            <w:hideMark/>
          </w:tcPr>
          <w:p w14:paraId="7DA4099E" w14:textId="77777777" w:rsidR="00EB623D" w:rsidRPr="006B6303" w:rsidRDefault="00EB623D" w:rsidP="00532C31">
            <w:pPr>
              <w:pStyle w:val="Tabletext2"/>
              <w:rPr>
                <w:color w:val="000000"/>
              </w:rPr>
            </w:pPr>
            <w:r w:rsidRPr="006B6303">
              <w:rPr>
                <w:color w:val="000000"/>
              </w:rPr>
              <w:t>Kirkby in Ashfield</w:t>
            </w:r>
          </w:p>
        </w:tc>
        <w:tc>
          <w:tcPr>
            <w:tcW w:w="785" w:type="dxa"/>
            <w:tcBorders>
              <w:top w:val="single" w:sz="4" w:space="0" w:color="44B3E1"/>
              <w:left w:val="nil"/>
              <w:bottom w:val="single" w:sz="4" w:space="0" w:color="44B3E1"/>
              <w:right w:val="nil"/>
            </w:tcBorders>
            <w:noWrap/>
            <w:vAlign w:val="bottom"/>
            <w:hideMark/>
          </w:tcPr>
          <w:p w14:paraId="1911DED3" w14:textId="77777777" w:rsidR="00EB623D" w:rsidRPr="006B6303" w:rsidRDefault="00EB623D" w:rsidP="00532C31">
            <w:pPr>
              <w:pStyle w:val="Tabletext2"/>
              <w:rPr>
                <w:color w:val="000000"/>
              </w:rPr>
            </w:pPr>
            <w:r w:rsidRPr="006B6303">
              <w:rPr>
                <w:color w:val="000000"/>
              </w:rPr>
              <w:t>32</w:t>
            </w:r>
          </w:p>
        </w:tc>
        <w:tc>
          <w:tcPr>
            <w:tcW w:w="806" w:type="dxa"/>
            <w:tcBorders>
              <w:top w:val="single" w:sz="4" w:space="0" w:color="44B3E1"/>
              <w:left w:val="nil"/>
              <w:bottom w:val="single" w:sz="4" w:space="0" w:color="44B3E1"/>
              <w:right w:val="nil"/>
            </w:tcBorders>
            <w:noWrap/>
            <w:vAlign w:val="bottom"/>
            <w:hideMark/>
          </w:tcPr>
          <w:p w14:paraId="5D9DF1D5" w14:textId="77777777" w:rsidR="00EB623D" w:rsidRPr="006B6303" w:rsidRDefault="00EB623D" w:rsidP="00532C31">
            <w:pPr>
              <w:pStyle w:val="Tabletext2"/>
              <w:rPr>
                <w:color w:val="000000"/>
              </w:rPr>
            </w:pPr>
            <w:r w:rsidRPr="006B6303">
              <w:rPr>
                <w:color w:val="000000"/>
              </w:rPr>
              <w:t>35</w:t>
            </w:r>
          </w:p>
        </w:tc>
        <w:tc>
          <w:tcPr>
            <w:tcW w:w="825" w:type="dxa"/>
            <w:tcBorders>
              <w:top w:val="single" w:sz="4" w:space="0" w:color="44B3E1"/>
              <w:left w:val="nil"/>
              <w:bottom w:val="single" w:sz="4" w:space="0" w:color="44B3E1"/>
              <w:right w:val="nil"/>
            </w:tcBorders>
            <w:noWrap/>
            <w:vAlign w:val="bottom"/>
            <w:hideMark/>
          </w:tcPr>
          <w:p w14:paraId="0F536687" w14:textId="77777777" w:rsidR="00EB623D" w:rsidRPr="006B6303" w:rsidRDefault="00EB623D" w:rsidP="00532C31">
            <w:pPr>
              <w:pStyle w:val="Tabletext2"/>
              <w:rPr>
                <w:color w:val="000000"/>
              </w:rPr>
            </w:pPr>
            <w:r w:rsidRPr="006B6303">
              <w:rPr>
                <w:color w:val="000000"/>
              </w:rPr>
              <w:t>10</w:t>
            </w:r>
          </w:p>
        </w:tc>
        <w:tc>
          <w:tcPr>
            <w:tcW w:w="842" w:type="dxa"/>
            <w:tcBorders>
              <w:top w:val="single" w:sz="4" w:space="0" w:color="44B3E1"/>
              <w:left w:val="nil"/>
              <w:bottom w:val="single" w:sz="4" w:space="0" w:color="44B3E1"/>
              <w:right w:val="nil"/>
            </w:tcBorders>
            <w:noWrap/>
            <w:vAlign w:val="bottom"/>
            <w:hideMark/>
          </w:tcPr>
          <w:p w14:paraId="0D90FCF9" w14:textId="77777777" w:rsidR="00EB623D" w:rsidRPr="006B6303" w:rsidRDefault="00EB623D" w:rsidP="00532C31">
            <w:pPr>
              <w:pStyle w:val="Tabletext2"/>
              <w:rPr>
                <w:color w:val="000000"/>
              </w:rPr>
            </w:pPr>
            <w:r w:rsidRPr="006B6303">
              <w:rPr>
                <w:color w:val="000000"/>
              </w:rPr>
              <w:t>3</w:t>
            </w:r>
          </w:p>
        </w:tc>
        <w:tc>
          <w:tcPr>
            <w:tcW w:w="992" w:type="dxa"/>
            <w:tcBorders>
              <w:top w:val="single" w:sz="4" w:space="0" w:color="44B3E1"/>
              <w:left w:val="nil"/>
              <w:bottom w:val="single" w:sz="4" w:space="0" w:color="44B3E1"/>
              <w:right w:val="nil"/>
            </w:tcBorders>
            <w:noWrap/>
            <w:vAlign w:val="bottom"/>
            <w:hideMark/>
          </w:tcPr>
          <w:p w14:paraId="0E458B37" w14:textId="77777777" w:rsidR="00EB623D" w:rsidRPr="006B6303" w:rsidRDefault="00EB623D" w:rsidP="00532C31">
            <w:pPr>
              <w:pStyle w:val="Tabletext2"/>
              <w:rPr>
                <w:color w:val="000000"/>
              </w:rPr>
            </w:pPr>
            <w:r w:rsidRPr="006B6303">
              <w:rPr>
                <w:color w:val="000000"/>
              </w:rPr>
              <w:t>51</w:t>
            </w:r>
          </w:p>
        </w:tc>
        <w:tc>
          <w:tcPr>
            <w:tcW w:w="945" w:type="dxa"/>
            <w:tcBorders>
              <w:top w:val="single" w:sz="4" w:space="0" w:color="44B3E1"/>
              <w:left w:val="nil"/>
              <w:bottom w:val="single" w:sz="4" w:space="0" w:color="44B3E1"/>
              <w:right w:val="nil"/>
            </w:tcBorders>
            <w:noWrap/>
            <w:vAlign w:val="bottom"/>
            <w:hideMark/>
          </w:tcPr>
          <w:p w14:paraId="1CFA7DA5" w14:textId="77777777" w:rsidR="00EB623D" w:rsidRPr="006B6303" w:rsidRDefault="00EB623D" w:rsidP="00532C31">
            <w:pPr>
              <w:pStyle w:val="Tabletext2"/>
              <w:rPr>
                <w:color w:val="000000"/>
              </w:rPr>
            </w:pPr>
            <w:r w:rsidRPr="006B6303">
              <w:rPr>
                <w:color w:val="000000"/>
              </w:rPr>
              <w:t>6</w:t>
            </w:r>
          </w:p>
        </w:tc>
        <w:tc>
          <w:tcPr>
            <w:tcW w:w="944" w:type="dxa"/>
            <w:tcBorders>
              <w:top w:val="single" w:sz="4" w:space="0" w:color="44B3E1"/>
              <w:left w:val="nil"/>
              <w:bottom w:val="single" w:sz="4" w:space="0" w:color="44B3E1"/>
              <w:right w:val="nil"/>
            </w:tcBorders>
            <w:noWrap/>
            <w:vAlign w:val="bottom"/>
            <w:hideMark/>
          </w:tcPr>
          <w:p w14:paraId="50B2F36A" w14:textId="77777777" w:rsidR="00EB623D" w:rsidRPr="006B6303" w:rsidRDefault="00EB623D" w:rsidP="00532C31">
            <w:pPr>
              <w:pStyle w:val="Tabletext2"/>
              <w:rPr>
                <w:color w:val="000000"/>
              </w:rPr>
            </w:pPr>
            <w:r w:rsidRPr="006B6303">
              <w:rPr>
                <w:color w:val="000000"/>
              </w:rPr>
              <w:t>4</w:t>
            </w:r>
          </w:p>
        </w:tc>
        <w:tc>
          <w:tcPr>
            <w:tcW w:w="923" w:type="dxa"/>
            <w:tcBorders>
              <w:top w:val="single" w:sz="4" w:space="0" w:color="44B3E1"/>
              <w:left w:val="nil"/>
              <w:bottom w:val="single" w:sz="4" w:space="0" w:color="44B3E1"/>
              <w:right w:val="nil"/>
            </w:tcBorders>
            <w:noWrap/>
            <w:vAlign w:val="bottom"/>
            <w:hideMark/>
          </w:tcPr>
          <w:p w14:paraId="7C31067E" w14:textId="77777777" w:rsidR="00EB623D" w:rsidRPr="006B6303" w:rsidRDefault="00EB623D" w:rsidP="00532C31">
            <w:pPr>
              <w:pStyle w:val="Tabletext2"/>
              <w:rPr>
                <w:color w:val="000000"/>
              </w:rPr>
            </w:pPr>
            <w:r w:rsidRPr="006B6303">
              <w:rPr>
                <w:color w:val="000000"/>
              </w:rPr>
              <w:t>0</w:t>
            </w:r>
          </w:p>
        </w:tc>
        <w:tc>
          <w:tcPr>
            <w:tcW w:w="786" w:type="dxa"/>
            <w:tcBorders>
              <w:top w:val="single" w:sz="4" w:space="0" w:color="44B3E1"/>
              <w:left w:val="nil"/>
              <w:bottom w:val="single" w:sz="4" w:space="0" w:color="44B3E1"/>
              <w:right w:val="nil"/>
            </w:tcBorders>
            <w:noWrap/>
            <w:vAlign w:val="bottom"/>
            <w:hideMark/>
          </w:tcPr>
          <w:p w14:paraId="7FD2F992" w14:textId="77777777" w:rsidR="00EB623D" w:rsidRPr="006B6303" w:rsidRDefault="00EB623D" w:rsidP="00532C31">
            <w:pPr>
              <w:pStyle w:val="Tabletext2"/>
              <w:rPr>
                <w:color w:val="000000"/>
              </w:rPr>
            </w:pPr>
            <w:r w:rsidRPr="006B6303">
              <w:rPr>
                <w:color w:val="000000"/>
              </w:rPr>
              <w:t>56</w:t>
            </w:r>
          </w:p>
        </w:tc>
        <w:tc>
          <w:tcPr>
            <w:tcW w:w="786" w:type="dxa"/>
            <w:tcBorders>
              <w:top w:val="single" w:sz="4" w:space="0" w:color="44B3E1"/>
              <w:left w:val="nil"/>
              <w:bottom w:val="single" w:sz="4" w:space="0" w:color="44B3E1"/>
              <w:right w:val="nil"/>
            </w:tcBorders>
            <w:noWrap/>
            <w:vAlign w:val="bottom"/>
            <w:hideMark/>
          </w:tcPr>
          <w:p w14:paraId="5BBD4229" w14:textId="77777777" w:rsidR="00EB623D" w:rsidRPr="006B6303" w:rsidRDefault="00EB623D" w:rsidP="00532C31">
            <w:pPr>
              <w:pStyle w:val="Tabletext2"/>
              <w:rPr>
                <w:color w:val="000000"/>
              </w:rPr>
            </w:pPr>
            <w:r w:rsidRPr="006B6303">
              <w:rPr>
                <w:color w:val="000000"/>
              </w:rPr>
              <w:t>55</w:t>
            </w:r>
          </w:p>
        </w:tc>
        <w:tc>
          <w:tcPr>
            <w:tcW w:w="827" w:type="dxa"/>
            <w:tcBorders>
              <w:top w:val="single" w:sz="4" w:space="0" w:color="44B3E1"/>
              <w:left w:val="nil"/>
              <w:bottom w:val="single" w:sz="4" w:space="0" w:color="44B3E1"/>
              <w:right w:val="nil"/>
            </w:tcBorders>
            <w:noWrap/>
            <w:vAlign w:val="bottom"/>
            <w:hideMark/>
          </w:tcPr>
          <w:p w14:paraId="069FFCEF" w14:textId="77777777" w:rsidR="00EB623D" w:rsidRPr="006B6303" w:rsidRDefault="00EB623D" w:rsidP="00532C31">
            <w:pPr>
              <w:pStyle w:val="Tabletext2"/>
              <w:rPr>
                <w:color w:val="000000"/>
              </w:rPr>
            </w:pPr>
            <w:r w:rsidRPr="006B6303">
              <w:rPr>
                <w:color w:val="000000"/>
              </w:rPr>
              <w:t>11</w:t>
            </w:r>
          </w:p>
        </w:tc>
        <w:tc>
          <w:tcPr>
            <w:tcW w:w="1051" w:type="dxa"/>
            <w:tcBorders>
              <w:top w:val="single" w:sz="4" w:space="0" w:color="44B3E1"/>
              <w:left w:val="nil"/>
              <w:bottom w:val="single" w:sz="4" w:space="0" w:color="44B3E1"/>
              <w:right w:val="nil"/>
            </w:tcBorders>
            <w:noWrap/>
            <w:vAlign w:val="bottom"/>
            <w:hideMark/>
          </w:tcPr>
          <w:p w14:paraId="42B70EBA" w14:textId="77777777" w:rsidR="00EB623D" w:rsidRPr="006B6303" w:rsidRDefault="00EB623D" w:rsidP="00532C31">
            <w:pPr>
              <w:pStyle w:val="Tabletext2"/>
              <w:rPr>
                <w:color w:val="000000"/>
              </w:rPr>
            </w:pPr>
            <w:r w:rsidRPr="006B6303">
              <w:rPr>
                <w:color w:val="000000"/>
              </w:rPr>
              <w:t>1051</w:t>
            </w:r>
          </w:p>
        </w:tc>
        <w:tc>
          <w:tcPr>
            <w:tcW w:w="764" w:type="dxa"/>
            <w:tcBorders>
              <w:top w:val="single" w:sz="4" w:space="0" w:color="44B3E1"/>
              <w:left w:val="nil"/>
              <w:bottom w:val="single" w:sz="4" w:space="0" w:color="44B3E1"/>
              <w:right w:val="nil"/>
            </w:tcBorders>
            <w:noWrap/>
            <w:vAlign w:val="bottom"/>
            <w:hideMark/>
          </w:tcPr>
          <w:p w14:paraId="03BCCE5D" w14:textId="77777777" w:rsidR="00EB623D" w:rsidRPr="006B6303" w:rsidRDefault="00EB623D" w:rsidP="00532C31">
            <w:pPr>
              <w:pStyle w:val="Tabletext2"/>
              <w:rPr>
                <w:color w:val="000000"/>
              </w:rPr>
            </w:pPr>
            <w:r w:rsidRPr="006B6303">
              <w:rPr>
                <w:color w:val="000000"/>
              </w:rPr>
              <w:t>326</w:t>
            </w:r>
          </w:p>
        </w:tc>
        <w:tc>
          <w:tcPr>
            <w:tcW w:w="690" w:type="dxa"/>
            <w:tcBorders>
              <w:top w:val="single" w:sz="4" w:space="0" w:color="44B3E1"/>
              <w:left w:val="nil"/>
              <w:bottom w:val="single" w:sz="4" w:space="0" w:color="44B3E1"/>
              <w:right w:val="nil"/>
            </w:tcBorders>
            <w:noWrap/>
            <w:vAlign w:val="bottom"/>
            <w:hideMark/>
          </w:tcPr>
          <w:p w14:paraId="7D4582A0" w14:textId="77777777" w:rsidR="00EB623D" w:rsidRPr="006B6303" w:rsidRDefault="00EB623D" w:rsidP="00532C31">
            <w:pPr>
              <w:pStyle w:val="Tabletext2"/>
              <w:rPr>
                <w:color w:val="000000"/>
              </w:rPr>
            </w:pPr>
            <w:r w:rsidRPr="006B6303">
              <w:rPr>
                <w:color w:val="000000"/>
              </w:rPr>
              <w:t>15</w:t>
            </w:r>
          </w:p>
        </w:tc>
        <w:tc>
          <w:tcPr>
            <w:tcW w:w="786" w:type="dxa"/>
            <w:tcBorders>
              <w:top w:val="single" w:sz="4" w:space="0" w:color="44B3E1"/>
              <w:left w:val="nil"/>
              <w:bottom w:val="single" w:sz="4" w:space="0" w:color="44B3E1"/>
              <w:right w:val="nil"/>
            </w:tcBorders>
            <w:noWrap/>
            <w:vAlign w:val="bottom"/>
            <w:hideMark/>
          </w:tcPr>
          <w:p w14:paraId="6EB120D8" w14:textId="77777777" w:rsidR="00EB623D" w:rsidRPr="006B6303" w:rsidRDefault="00EB623D" w:rsidP="00532C31">
            <w:pPr>
              <w:pStyle w:val="Tabletext2"/>
              <w:rPr>
                <w:color w:val="000000"/>
              </w:rPr>
            </w:pPr>
            <w:r w:rsidRPr="006B6303">
              <w:rPr>
                <w:color w:val="000000"/>
              </w:rPr>
              <w:t>21</w:t>
            </w:r>
          </w:p>
        </w:tc>
        <w:tc>
          <w:tcPr>
            <w:tcW w:w="786" w:type="dxa"/>
            <w:tcBorders>
              <w:top w:val="single" w:sz="4" w:space="0" w:color="44B3E1"/>
              <w:left w:val="nil"/>
              <w:bottom w:val="single" w:sz="4" w:space="0" w:color="44B3E1"/>
              <w:right w:val="single" w:sz="4" w:space="0" w:color="44B3E1"/>
            </w:tcBorders>
            <w:noWrap/>
            <w:vAlign w:val="bottom"/>
            <w:hideMark/>
          </w:tcPr>
          <w:p w14:paraId="1C45EDE4" w14:textId="77777777" w:rsidR="00EB623D" w:rsidRPr="006B6303" w:rsidRDefault="00EB623D" w:rsidP="00532C31">
            <w:pPr>
              <w:pStyle w:val="Tabletext2"/>
              <w:rPr>
                <w:color w:val="000000"/>
              </w:rPr>
            </w:pPr>
            <w:r w:rsidRPr="006B6303">
              <w:rPr>
                <w:color w:val="000000"/>
              </w:rPr>
              <w:t>27</w:t>
            </w:r>
          </w:p>
        </w:tc>
      </w:tr>
      <w:tr w:rsidR="00EB623D" w:rsidRPr="006B6303" w14:paraId="4E410506" w14:textId="77777777" w:rsidTr="00532C31">
        <w:trPr>
          <w:trHeight w:val="288"/>
        </w:trPr>
        <w:tc>
          <w:tcPr>
            <w:tcW w:w="1364" w:type="dxa"/>
            <w:tcBorders>
              <w:top w:val="single" w:sz="4" w:space="0" w:color="44B3E1"/>
              <w:left w:val="single" w:sz="4" w:space="0" w:color="44B3E1"/>
              <w:bottom w:val="single" w:sz="4" w:space="0" w:color="44B3E1"/>
              <w:right w:val="nil"/>
            </w:tcBorders>
            <w:shd w:val="clear" w:color="C0E6F5" w:fill="C0E6F5"/>
            <w:noWrap/>
            <w:vAlign w:val="bottom"/>
            <w:hideMark/>
          </w:tcPr>
          <w:p w14:paraId="1688B649" w14:textId="77777777" w:rsidR="00EB623D" w:rsidRPr="006B6303" w:rsidRDefault="00EB623D" w:rsidP="00532C31">
            <w:pPr>
              <w:pStyle w:val="Tabletext2"/>
              <w:rPr>
                <w:color w:val="000000"/>
              </w:rPr>
            </w:pPr>
            <w:r w:rsidRPr="006B6303">
              <w:rPr>
                <w:color w:val="000000"/>
              </w:rPr>
              <w:t>Rural</w:t>
            </w:r>
          </w:p>
        </w:tc>
        <w:tc>
          <w:tcPr>
            <w:tcW w:w="785" w:type="dxa"/>
            <w:tcBorders>
              <w:top w:val="single" w:sz="4" w:space="0" w:color="44B3E1"/>
              <w:left w:val="nil"/>
              <w:bottom w:val="single" w:sz="4" w:space="0" w:color="44B3E1"/>
              <w:right w:val="nil"/>
            </w:tcBorders>
            <w:shd w:val="clear" w:color="C0E6F5" w:fill="C0E6F5"/>
            <w:noWrap/>
            <w:vAlign w:val="bottom"/>
            <w:hideMark/>
          </w:tcPr>
          <w:p w14:paraId="15C5D16F" w14:textId="77777777" w:rsidR="00EB623D" w:rsidRPr="006B6303" w:rsidRDefault="00EB623D" w:rsidP="00532C31">
            <w:pPr>
              <w:pStyle w:val="Tabletext2"/>
              <w:rPr>
                <w:color w:val="000000"/>
              </w:rPr>
            </w:pPr>
            <w:r w:rsidRPr="006B6303">
              <w:rPr>
                <w:color w:val="000000"/>
              </w:rPr>
              <w:t>7</w:t>
            </w:r>
          </w:p>
        </w:tc>
        <w:tc>
          <w:tcPr>
            <w:tcW w:w="806" w:type="dxa"/>
            <w:tcBorders>
              <w:top w:val="single" w:sz="4" w:space="0" w:color="44B3E1"/>
              <w:left w:val="nil"/>
              <w:bottom w:val="single" w:sz="4" w:space="0" w:color="44B3E1"/>
              <w:right w:val="nil"/>
            </w:tcBorders>
            <w:shd w:val="clear" w:color="C0E6F5" w:fill="C0E6F5"/>
            <w:noWrap/>
            <w:vAlign w:val="bottom"/>
            <w:hideMark/>
          </w:tcPr>
          <w:p w14:paraId="61004AAA" w14:textId="77777777" w:rsidR="00EB623D" w:rsidRPr="006B6303" w:rsidRDefault="00EB623D" w:rsidP="00532C31">
            <w:pPr>
              <w:pStyle w:val="Tabletext2"/>
              <w:rPr>
                <w:color w:val="000000"/>
              </w:rPr>
            </w:pPr>
            <w:r w:rsidRPr="006B6303">
              <w:rPr>
                <w:color w:val="000000"/>
              </w:rPr>
              <w:t>9</w:t>
            </w:r>
          </w:p>
        </w:tc>
        <w:tc>
          <w:tcPr>
            <w:tcW w:w="825" w:type="dxa"/>
            <w:tcBorders>
              <w:top w:val="single" w:sz="4" w:space="0" w:color="44B3E1"/>
              <w:left w:val="nil"/>
              <w:bottom w:val="single" w:sz="4" w:space="0" w:color="44B3E1"/>
              <w:right w:val="nil"/>
            </w:tcBorders>
            <w:shd w:val="clear" w:color="C0E6F5" w:fill="C0E6F5"/>
            <w:noWrap/>
            <w:vAlign w:val="bottom"/>
            <w:hideMark/>
          </w:tcPr>
          <w:p w14:paraId="633D5690" w14:textId="77777777" w:rsidR="00EB623D" w:rsidRPr="006B6303" w:rsidRDefault="00EB623D" w:rsidP="00532C31">
            <w:pPr>
              <w:pStyle w:val="Tabletext2"/>
              <w:rPr>
                <w:color w:val="000000"/>
              </w:rPr>
            </w:pPr>
            <w:r w:rsidRPr="006B6303">
              <w:rPr>
                <w:color w:val="000000"/>
              </w:rPr>
              <w:t>5</w:t>
            </w:r>
          </w:p>
        </w:tc>
        <w:tc>
          <w:tcPr>
            <w:tcW w:w="842" w:type="dxa"/>
            <w:tcBorders>
              <w:top w:val="single" w:sz="4" w:space="0" w:color="44B3E1"/>
              <w:left w:val="nil"/>
              <w:bottom w:val="single" w:sz="4" w:space="0" w:color="44B3E1"/>
              <w:right w:val="nil"/>
            </w:tcBorders>
            <w:shd w:val="clear" w:color="C0E6F5" w:fill="C0E6F5"/>
            <w:noWrap/>
            <w:vAlign w:val="bottom"/>
            <w:hideMark/>
          </w:tcPr>
          <w:p w14:paraId="432EC75A" w14:textId="77777777" w:rsidR="00EB623D" w:rsidRPr="006B6303" w:rsidRDefault="00EB623D" w:rsidP="00532C31">
            <w:pPr>
              <w:pStyle w:val="Tabletext2"/>
              <w:rPr>
                <w:color w:val="000000"/>
              </w:rPr>
            </w:pPr>
            <w:r w:rsidRPr="006B6303">
              <w:rPr>
                <w:color w:val="000000"/>
              </w:rPr>
              <w:t>0</w:t>
            </w:r>
          </w:p>
        </w:tc>
        <w:tc>
          <w:tcPr>
            <w:tcW w:w="992" w:type="dxa"/>
            <w:tcBorders>
              <w:top w:val="single" w:sz="4" w:space="0" w:color="44B3E1"/>
              <w:left w:val="nil"/>
              <w:bottom w:val="single" w:sz="4" w:space="0" w:color="44B3E1"/>
              <w:right w:val="nil"/>
            </w:tcBorders>
            <w:shd w:val="clear" w:color="C0E6F5" w:fill="C0E6F5"/>
            <w:noWrap/>
            <w:vAlign w:val="bottom"/>
            <w:hideMark/>
          </w:tcPr>
          <w:p w14:paraId="74A296E4" w14:textId="77777777" w:rsidR="00EB623D" w:rsidRPr="006B6303" w:rsidRDefault="00EB623D" w:rsidP="00532C31">
            <w:pPr>
              <w:pStyle w:val="Tabletext2"/>
              <w:rPr>
                <w:color w:val="000000"/>
              </w:rPr>
            </w:pPr>
            <w:r w:rsidRPr="006B6303">
              <w:rPr>
                <w:color w:val="000000"/>
              </w:rPr>
              <w:t>12</w:t>
            </w:r>
          </w:p>
        </w:tc>
        <w:tc>
          <w:tcPr>
            <w:tcW w:w="945" w:type="dxa"/>
            <w:tcBorders>
              <w:top w:val="single" w:sz="4" w:space="0" w:color="44B3E1"/>
              <w:left w:val="nil"/>
              <w:bottom w:val="single" w:sz="4" w:space="0" w:color="44B3E1"/>
              <w:right w:val="nil"/>
            </w:tcBorders>
            <w:shd w:val="clear" w:color="C0E6F5" w:fill="C0E6F5"/>
            <w:noWrap/>
            <w:vAlign w:val="bottom"/>
            <w:hideMark/>
          </w:tcPr>
          <w:p w14:paraId="1C83A8CF" w14:textId="77777777" w:rsidR="00EB623D" w:rsidRPr="006B6303" w:rsidRDefault="00EB623D" w:rsidP="00532C31">
            <w:pPr>
              <w:pStyle w:val="Tabletext2"/>
              <w:rPr>
                <w:color w:val="000000"/>
              </w:rPr>
            </w:pPr>
            <w:r w:rsidRPr="006B6303">
              <w:rPr>
                <w:color w:val="000000"/>
              </w:rPr>
              <w:t>1</w:t>
            </w:r>
          </w:p>
        </w:tc>
        <w:tc>
          <w:tcPr>
            <w:tcW w:w="944" w:type="dxa"/>
            <w:tcBorders>
              <w:top w:val="single" w:sz="4" w:space="0" w:color="44B3E1"/>
              <w:left w:val="nil"/>
              <w:bottom w:val="single" w:sz="4" w:space="0" w:color="44B3E1"/>
              <w:right w:val="nil"/>
            </w:tcBorders>
            <w:shd w:val="clear" w:color="C0E6F5" w:fill="C0E6F5"/>
            <w:noWrap/>
            <w:vAlign w:val="bottom"/>
            <w:hideMark/>
          </w:tcPr>
          <w:p w14:paraId="01EFC9F8" w14:textId="77777777" w:rsidR="00EB623D" w:rsidRPr="006B6303" w:rsidRDefault="00EB623D" w:rsidP="00532C31">
            <w:pPr>
              <w:pStyle w:val="Tabletext2"/>
              <w:rPr>
                <w:color w:val="000000"/>
              </w:rPr>
            </w:pPr>
            <w:r w:rsidRPr="006B6303">
              <w:rPr>
                <w:color w:val="000000"/>
              </w:rPr>
              <w:t>1</w:t>
            </w:r>
          </w:p>
        </w:tc>
        <w:tc>
          <w:tcPr>
            <w:tcW w:w="923" w:type="dxa"/>
            <w:tcBorders>
              <w:top w:val="single" w:sz="4" w:space="0" w:color="44B3E1"/>
              <w:left w:val="nil"/>
              <w:bottom w:val="single" w:sz="4" w:space="0" w:color="44B3E1"/>
              <w:right w:val="nil"/>
            </w:tcBorders>
            <w:shd w:val="clear" w:color="C0E6F5" w:fill="C0E6F5"/>
            <w:noWrap/>
            <w:vAlign w:val="bottom"/>
            <w:hideMark/>
          </w:tcPr>
          <w:p w14:paraId="6723EE7B" w14:textId="77777777" w:rsidR="00EB623D" w:rsidRPr="006B6303" w:rsidRDefault="00EB623D" w:rsidP="00532C31">
            <w:pPr>
              <w:pStyle w:val="Tabletext2"/>
              <w:rPr>
                <w:color w:val="000000"/>
              </w:rPr>
            </w:pPr>
            <w:r w:rsidRPr="006B6303">
              <w:rPr>
                <w:color w:val="000000"/>
              </w:rPr>
              <w:t>2</w:t>
            </w:r>
          </w:p>
        </w:tc>
        <w:tc>
          <w:tcPr>
            <w:tcW w:w="786" w:type="dxa"/>
            <w:tcBorders>
              <w:top w:val="single" w:sz="4" w:space="0" w:color="44B3E1"/>
              <w:left w:val="nil"/>
              <w:bottom w:val="single" w:sz="4" w:space="0" w:color="44B3E1"/>
              <w:right w:val="nil"/>
            </w:tcBorders>
            <w:shd w:val="clear" w:color="C0E6F5" w:fill="C0E6F5"/>
            <w:noWrap/>
            <w:vAlign w:val="bottom"/>
            <w:hideMark/>
          </w:tcPr>
          <w:p w14:paraId="6880D826" w14:textId="77777777" w:rsidR="00EB623D" w:rsidRPr="006B6303" w:rsidRDefault="00EB623D" w:rsidP="00532C31">
            <w:pPr>
              <w:pStyle w:val="Tabletext2"/>
              <w:rPr>
                <w:color w:val="000000"/>
              </w:rPr>
            </w:pPr>
            <w:r w:rsidRPr="006B6303">
              <w:rPr>
                <w:color w:val="000000"/>
              </w:rPr>
              <w:t>15</w:t>
            </w:r>
          </w:p>
        </w:tc>
        <w:tc>
          <w:tcPr>
            <w:tcW w:w="786" w:type="dxa"/>
            <w:tcBorders>
              <w:top w:val="single" w:sz="4" w:space="0" w:color="44B3E1"/>
              <w:left w:val="nil"/>
              <w:bottom w:val="single" w:sz="4" w:space="0" w:color="44B3E1"/>
              <w:right w:val="nil"/>
            </w:tcBorders>
            <w:shd w:val="clear" w:color="C0E6F5" w:fill="C0E6F5"/>
            <w:noWrap/>
            <w:vAlign w:val="bottom"/>
            <w:hideMark/>
          </w:tcPr>
          <w:p w14:paraId="31F11720" w14:textId="77777777" w:rsidR="00EB623D" w:rsidRPr="006B6303" w:rsidRDefault="00EB623D" w:rsidP="00532C31">
            <w:pPr>
              <w:pStyle w:val="Tabletext2"/>
              <w:rPr>
                <w:color w:val="000000"/>
              </w:rPr>
            </w:pPr>
            <w:r w:rsidRPr="006B6303">
              <w:rPr>
                <w:color w:val="000000"/>
              </w:rPr>
              <w:t>18</w:t>
            </w:r>
          </w:p>
        </w:tc>
        <w:tc>
          <w:tcPr>
            <w:tcW w:w="827" w:type="dxa"/>
            <w:tcBorders>
              <w:top w:val="single" w:sz="4" w:space="0" w:color="44B3E1"/>
              <w:left w:val="nil"/>
              <w:bottom w:val="single" w:sz="4" w:space="0" w:color="44B3E1"/>
              <w:right w:val="nil"/>
            </w:tcBorders>
            <w:shd w:val="clear" w:color="C0E6F5" w:fill="C0E6F5"/>
            <w:noWrap/>
            <w:vAlign w:val="bottom"/>
            <w:hideMark/>
          </w:tcPr>
          <w:p w14:paraId="091100FE" w14:textId="77777777" w:rsidR="00EB623D" w:rsidRPr="006B6303" w:rsidRDefault="00EB623D" w:rsidP="00532C31">
            <w:pPr>
              <w:pStyle w:val="Tabletext2"/>
              <w:rPr>
                <w:color w:val="000000"/>
              </w:rPr>
            </w:pPr>
            <w:r w:rsidRPr="006B6303">
              <w:rPr>
                <w:color w:val="000000"/>
              </w:rPr>
              <w:t>7</w:t>
            </w:r>
          </w:p>
        </w:tc>
        <w:tc>
          <w:tcPr>
            <w:tcW w:w="1051" w:type="dxa"/>
            <w:tcBorders>
              <w:top w:val="single" w:sz="4" w:space="0" w:color="44B3E1"/>
              <w:left w:val="nil"/>
              <w:bottom w:val="single" w:sz="4" w:space="0" w:color="44B3E1"/>
              <w:right w:val="nil"/>
            </w:tcBorders>
            <w:shd w:val="clear" w:color="C0E6F5" w:fill="C0E6F5"/>
            <w:noWrap/>
            <w:vAlign w:val="bottom"/>
            <w:hideMark/>
          </w:tcPr>
          <w:p w14:paraId="6C5FC5FF" w14:textId="77777777" w:rsidR="00EB623D" w:rsidRPr="006B6303" w:rsidRDefault="00EB623D" w:rsidP="00532C31">
            <w:pPr>
              <w:pStyle w:val="Tabletext2"/>
              <w:rPr>
                <w:color w:val="000000"/>
              </w:rPr>
            </w:pPr>
            <w:r w:rsidRPr="006B6303">
              <w:rPr>
                <w:color w:val="000000"/>
              </w:rPr>
              <w:t>273</w:t>
            </w:r>
          </w:p>
        </w:tc>
        <w:tc>
          <w:tcPr>
            <w:tcW w:w="764" w:type="dxa"/>
            <w:tcBorders>
              <w:top w:val="single" w:sz="4" w:space="0" w:color="44B3E1"/>
              <w:left w:val="nil"/>
              <w:bottom w:val="single" w:sz="4" w:space="0" w:color="44B3E1"/>
              <w:right w:val="nil"/>
            </w:tcBorders>
            <w:shd w:val="clear" w:color="C0E6F5" w:fill="C0E6F5"/>
            <w:noWrap/>
            <w:vAlign w:val="bottom"/>
            <w:hideMark/>
          </w:tcPr>
          <w:p w14:paraId="313BAA8B" w14:textId="77777777" w:rsidR="00EB623D" w:rsidRPr="006B6303" w:rsidRDefault="00EB623D" w:rsidP="00532C31">
            <w:pPr>
              <w:pStyle w:val="Tabletext2"/>
              <w:rPr>
                <w:color w:val="000000"/>
              </w:rPr>
            </w:pPr>
            <w:r w:rsidRPr="006B6303">
              <w:rPr>
                <w:color w:val="000000"/>
              </w:rPr>
              <w:t>87</w:t>
            </w:r>
          </w:p>
        </w:tc>
        <w:tc>
          <w:tcPr>
            <w:tcW w:w="690" w:type="dxa"/>
            <w:tcBorders>
              <w:top w:val="single" w:sz="4" w:space="0" w:color="44B3E1"/>
              <w:left w:val="nil"/>
              <w:bottom w:val="single" w:sz="4" w:space="0" w:color="44B3E1"/>
              <w:right w:val="nil"/>
            </w:tcBorders>
            <w:shd w:val="clear" w:color="C0E6F5" w:fill="C0E6F5"/>
            <w:noWrap/>
            <w:vAlign w:val="bottom"/>
            <w:hideMark/>
          </w:tcPr>
          <w:p w14:paraId="590A6758" w14:textId="77777777" w:rsidR="00EB623D" w:rsidRPr="006B6303" w:rsidRDefault="00EB623D" w:rsidP="00532C31">
            <w:pPr>
              <w:pStyle w:val="Tabletext2"/>
              <w:rPr>
                <w:color w:val="000000"/>
              </w:rPr>
            </w:pPr>
            <w:r w:rsidRPr="006B6303">
              <w:rPr>
                <w:color w:val="000000"/>
              </w:rPr>
              <w:t>6</w:t>
            </w:r>
          </w:p>
        </w:tc>
        <w:tc>
          <w:tcPr>
            <w:tcW w:w="786" w:type="dxa"/>
            <w:tcBorders>
              <w:top w:val="single" w:sz="4" w:space="0" w:color="44B3E1"/>
              <w:left w:val="nil"/>
              <w:bottom w:val="single" w:sz="4" w:space="0" w:color="44B3E1"/>
              <w:right w:val="nil"/>
            </w:tcBorders>
            <w:shd w:val="clear" w:color="C0E6F5" w:fill="C0E6F5"/>
            <w:noWrap/>
            <w:vAlign w:val="bottom"/>
            <w:hideMark/>
          </w:tcPr>
          <w:p w14:paraId="7F2B746E" w14:textId="77777777" w:rsidR="00EB623D" w:rsidRPr="006B6303" w:rsidRDefault="00EB623D" w:rsidP="00532C31">
            <w:pPr>
              <w:pStyle w:val="Tabletext2"/>
              <w:rPr>
                <w:color w:val="000000"/>
              </w:rPr>
            </w:pPr>
            <w:r w:rsidRPr="006B6303">
              <w:rPr>
                <w:color w:val="000000"/>
              </w:rPr>
              <w:t>7</w:t>
            </w:r>
          </w:p>
        </w:tc>
        <w:tc>
          <w:tcPr>
            <w:tcW w:w="786" w:type="dxa"/>
            <w:tcBorders>
              <w:top w:val="single" w:sz="4" w:space="0" w:color="44B3E1"/>
              <w:left w:val="nil"/>
              <w:bottom w:val="single" w:sz="4" w:space="0" w:color="44B3E1"/>
              <w:right w:val="single" w:sz="4" w:space="0" w:color="44B3E1"/>
            </w:tcBorders>
            <w:shd w:val="clear" w:color="C0E6F5" w:fill="C0E6F5"/>
            <w:noWrap/>
            <w:vAlign w:val="bottom"/>
            <w:hideMark/>
          </w:tcPr>
          <w:p w14:paraId="411E9B85" w14:textId="77777777" w:rsidR="00EB623D" w:rsidRPr="006B6303" w:rsidRDefault="00EB623D" w:rsidP="00532C31">
            <w:pPr>
              <w:pStyle w:val="Tabletext2"/>
              <w:rPr>
                <w:color w:val="000000"/>
              </w:rPr>
            </w:pPr>
            <w:r w:rsidRPr="006B6303">
              <w:rPr>
                <w:color w:val="000000"/>
              </w:rPr>
              <w:t>3</w:t>
            </w:r>
          </w:p>
        </w:tc>
      </w:tr>
      <w:tr w:rsidR="00EB623D" w:rsidRPr="006B6303" w14:paraId="2B2F115B" w14:textId="77777777" w:rsidTr="00532C31">
        <w:trPr>
          <w:trHeight w:val="288"/>
        </w:trPr>
        <w:tc>
          <w:tcPr>
            <w:tcW w:w="1364" w:type="dxa"/>
            <w:tcBorders>
              <w:top w:val="single" w:sz="4" w:space="0" w:color="44B3E1"/>
              <w:left w:val="single" w:sz="4" w:space="0" w:color="44B3E1"/>
              <w:bottom w:val="single" w:sz="4" w:space="0" w:color="44B3E1"/>
              <w:right w:val="nil"/>
            </w:tcBorders>
            <w:noWrap/>
            <w:vAlign w:val="bottom"/>
            <w:hideMark/>
          </w:tcPr>
          <w:p w14:paraId="2F6A8A80" w14:textId="77777777" w:rsidR="00EB623D" w:rsidRPr="006B6303" w:rsidRDefault="00EB623D" w:rsidP="00532C31">
            <w:pPr>
              <w:pStyle w:val="Tabletext2"/>
              <w:rPr>
                <w:color w:val="000000"/>
              </w:rPr>
            </w:pPr>
            <w:r w:rsidRPr="006B6303">
              <w:rPr>
                <w:color w:val="000000"/>
              </w:rPr>
              <w:t>Sutton in Ashfield</w:t>
            </w:r>
          </w:p>
        </w:tc>
        <w:tc>
          <w:tcPr>
            <w:tcW w:w="785" w:type="dxa"/>
            <w:tcBorders>
              <w:top w:val="single" w:sz="4" w:space="0" w:color="44B3E1"/>
              <w:left w:val="nil"/>
              <w:bottom w:val="single" w:sz="4" w:space="0" w:color="44B3E1"/>
              <w:right w:val="nil"/>
            </w:tcBorders>
            <w:noWrap/>
            <w:vAlign w:val="bottom"/>
            <w:hideMark/>
          </w:tcPr>
          <w:p w14:paraId="255029BE" w14:textId="77777777" w:rsidR="00EB623D" w:rsidRPr="006B6303" w:rsidRDefault="00EB623D" w:rsidP="00532C31">
            <w:pPr>
              <w:pStyle w:val="Tabletext2"/>
              <w:rPr>
                <w:color w:val="000000"/>
              </w:rPr>
            </w:pPr>
            <w:r w:rsidRPr="006B6303">
              <w:rPr>
                <w:color w:val="000000"/>
              </w:rPr>
              <w:t>54</w:t>
            </w:r>
          </w:p>
        </w:tc>
        <w:tc>
          <w:tcPr>
            <w:tcW w:w="806" w:type="dxa"/>
            <w:tcBorders>
              <w:top w:val="single" w:sz="4" w:space="0" w:color="44B3E1"/>
              <w:left w:val="nil"/>
              <w:bottom w:val="single" w:sz="4" w:space="0" w:color="44B3E1"/>
              <w:right w:val="nil"/>
            </w:tcBorders>
            <w:noWrap/>
            <w:vAlign w:val="bottom"/>
            <w:hideMark/>
          </w:tcPr>
          <w:p w14:paraId="0F5E1E51" w14:textId="77777777" w:rsidR="00EB623D" w:rsidRPr="006B6303" w:rsidRDefault="00EB623D" w:rsidP="00532C31">
            <w:pPr>
              <w:pStyle w:val="Tabletext2"/>
              <w:rPr>
                <w:color w:val="000000"/>
              </w:rPr>
            </w:pPr>
            <w:r w:rsidRPr="006B6303">
              <w:rPr>
                <w:color w:val="000000"/>
              </w:rPr>
              <w:t>47</w:t>
            </w:r>
          </w:p>
        </w:tc>
        <w:tc>
          <w:tcPr>
            <w:tcW w:w="825" w:type="dxa"/>
            <w:tcBorders>
              <w:top w:val="single" w:sz="4" w:space="0" w:color="44B3E1"/>
              <w:left w:val="nil"/>
              <w:bottom w:val="single" w:sz="4" w:space="0" w:color="44B3E1"/>
              <w:right w:val="nil"/>
            </w:tcBorders>
            <w:noWrap/>
            <w:vAlign w:val="bottom"/>
            <w:hideMark/>
          </w:tcPr>
          <w:p w14:paraId="28BDB70F" w14:textId="77777777" w:rsidR="00EB623D" w:rsidRPr="006B6303" w:rsidRDefault="00EB623D" w:rsidP="00532C31">
            <w:pPr>
              <w:pStyle w:val="Tabletext2"/>
              <w:rPr>
                <w:color w:val="000000"/>
              </w:rPr>
            </w:pPr>
            <w:r w:rsidRPr="006B6303">
              <w:rPr>
                <w:color w:val="000000"/>
              </w:rPr>
              <w:t>12</w:t>
            </w:r>
          </w:p>
        </w:tc>
        <w:tc>
          <w:tcPr>
            <w:tcW w:w="842" w:type="dxa"/>
            <w:tcBorders>
              <w:top w:val="single" w:sz="4" w:space="0" w:color="44B3E1"/>
              <w:left w:val="nil"/>
              <w:bottom w:val="single" w:sz="4" w:space="0" w:color="44B3E1"/>
              <w:right w:val="nil"/>
            </w:tcBorders>
            <w:noWrap/>
            <w:vAlign w:val="bottom"/>
            <w:hideMark/>
          </w:tcPr>
          <w:p w14:paraId="112485AE" w14:textId="77777777" w:rsidR="00EB623D" w:rsidRPr="006B6303" w:rsidRDefault="00EB623D" w:rsidP="00532C31">
            <w:pPr>
              <w:pStyle w:val="Tabletext2"/>
              <w:rPr>
                <w:color w:val="000000"/>
              </w:rPr>
            </w:pPr>
            <w:r w:rsidRPr="006B6303">
              <w:rPr>
                <w:color w:val="000000"/>
              </w:rPr>
              <w:t>12</w:t>
            </w:r>
          </w:p>
        </w:tc>
        <w:tc>
          <w:tcPr>
            <w:tcW w:w="992" w:type="dxa"/>
            <w:tcBorders>
              <w:top w:val="single" w:sz="4" w:space="0" w:color="44B3E1"/>
              <w:left w:val="nil"/>
              <w:bottom w:val="single" w:sz="4" w:space="0" w:color="44B3E1"/>
              <w:right w:val="nil"/>
            </w:tcBorders>
            <w:noWrap/>
            <w:vAlign w:val="bottom"/>
            <w:hideMark/>
          </w:tcPr>
          <w:p w14:paraId="412925C6" w14:textId="77777777" w:rsidR="00EB623D" w:rsidRPr="006B6303" w:rsidRDefault="00EB623D" w:rsidP="00532C31">
            <w:pPr>
              <w:pStyle w:val="Tabletext2"/>
              <w:rPr>
                <w:color w:val="000000"/>
              </w:rPr>
            </w:pPr>
            <w:r w:rsidRPr="006B6303">
              <w:rPr>
                <w:color w:val="000000"/>
              </w:rPr>
              <w:t>86</w:t>
            </w:r>
          </w:p>
        </w:tc>
        <w:tc>
          <w:tcPr>
            <w:tcW w:w="945" w:type="dxa"/>
            <w:tcBorders>
              <w:top w:val="single" w:sz="4" w:space="0" w:color="44B3E1"/>
              <w:left w:val="nil"/>
              <w:bottom w:val="single" w:sz="4" w:space="0" w:color="44B3E1"/>
              <w:right w:val="nil"/>
            </w:tcBorders>
            <w:noWrap/>
            <w:vAlign w:val="bottom"/>
            <w:hideMark/>
          </w:tcPr>
          <w:p w14:paraId="629AF44B" w14:textId="77777777" w:rsidR="00EB623D" w:rsidRPr="006B6303" w:rsidRDefault="00EB623D" w:rsidP="00532C31">
            <w:pPr>
              <w:pStyle w:val="Tabletext2"/>
              <w:rPr>
                <w:color w:val="000000"/>
              </w:rPr>
            </w:pPr>
            <w:r w:rsidRPr="006B6303">
              <w:rPr>
                <w:color w:val="000000"/>
              </w:rPr>
              <w:t>14</w:t>
            </w:r>
          </w:p>
        </w:tc>
        <w:tc>
          <w:tcPr>
            <w:tcW w:w="944" w:type="dxa"/>
            <w:tcBorders>
              <w:top w:val="single" w:sz="4" w:space="0" w:color="44B3E1"/>
              <w:left w:val="nil"/>
              <w:bottom w:val="single" w:sz="4" w:space="0" w:color="44B3E1"/>
              <w:right w:val="nil"/>
            </w:tcBorders>
            <w:noWrap/>
            <w:vAlign w:val="bottom"/>
            <w:hideMark/>
          </w:tcPr>
          <w:p w14:paraId="6D9AD981" w14:textId="77777777" w:rsidR="00EB623D" w:rsidRPr="006B6303" w:rsidRDefault="00EB623D" w:rsidP="00532C31">
            <w:pPr>
              <w:pStyle w:val="Tabletext2"/>
              <w:rPr>
                <w:color w:val="000000"/>
              </w:rPr>
            </w:pPr>
            <w:r w:rsidRPr="006B6303">
              <w:rPr>
                <w:color w:val="000000"/>
              </w:rPr>
              <w:t>8</w:t>
            </w:r>
          </w:p>
        </w:tc>
        <w:tc>
          <w:tcPr>
            <w:tcW w:w="923" w:type="dxa"/>
            <w:tcBorders>
              <w:top w:val="single" w:sz="4" w:space="0" w:color="44B3E1"/>
              <w:left w:val="nil"/>
              <w:bottom w:val="single" w:sz="4" w:space="0" w:color="44B3E1"/>
              <w:right w:val="nil"/>
            </w:tcBorders>
            <w:noWrap/>
            <w:vAlign w:val="bottom"/>
            <w:hideMark/>
          </w:tcPr>
          <w:p w14:paraId="68971828" w14:textId="77777777" w:rsidR="00EB623D" w:rsidRPr="006B6303" w:rsidRDefault="00EB623D" w:rsidP="00532C31">
            <w:pPr>
              <w:pStyle w:val="Tabletext2"/>
              <w:rPr>
                <w:color w:val="000000"/>
              </w:rPr>
            </w:pPr>
            <w:r w:rsidRPr="006B6303">
              <w:rPr>
                <w:color w:val="000000"/>
              </w:rPr>
              <w:t>1</w:t>
            </w:r>
          </w:p>
        </w:tc>
        <w:tc>
          <w:tcPr>
            <w:tcW w:w="786" w:type="dxa"/>
            <w:tcBorders>
              <w:top w:val="single" w:sz="4" w:space="0" w:color="44B3E1"/>
              <w:left w:val="nil"/>
              <w:bottom w:val="single" w:sz="4" w:space="0" w:color="44B3E1"/>
              <w:right w:val="nil"/>
            </w:tcBorders>
            <w:noWrap/>
            <w:vAlign w:val="bottom"/>
            <w:hideMark/>
          </w:tcPr>
          <w:p w14:paraId="07869EC3" w14:textId="77777777" w:rsidR="00EB623D" w:rsidRPr="006B6303" w:rsidRDefault="00EB623D" w:rsidP="00532C31">
            <w:pPr>
              <w:pStyle w:val="Tabletext2"/>
              <w:rPr>
                <w:color w:val="000000"/>
              </w:rPr>
            </w:pPr>
            <w:r w:rsidRPr="006B6303">
              <w:rPr>
                <w:color w:val="000000"/>
              </w:rPr>
              <w:t>93</w:t>
            </w:r>
          </w:p>
        </w:tc>
        <w:tc>
          <w:tcPr>
            <w:tcW w:w="786" w:type="dxa"/>
            <w:tcBorders>
              <w:top w:val="single" w:sz="4" w:space="0" w:color="44B3E1"/>
              <w:left w:val="nil"/>
              <w:bottom w:val="single" w:sz="4" w:space="0" w:color="44B3E1"/>
              <w:right w:val="nil"/>
            </w:tcBorders>
            <w:noWrap/>
            <w:vAlign w:val="bottom"/>
            <w:hideMark/>
          </w:tcPr>
          <w:p w14:paraId="5285455A" w14:textId="77777777" w:rsidR="00EB623D" w:rsidRPr="006B6303" w:rsidRDefault="00EB623D" w:rsidP="00532C31">
            <w:pPr>
              <w:pStyle w:val="Tabletext2"/>
              <w:rPr>
                <w:color w:val="000000"/>
              </w:rPr>
            </w:pPr>
            <w:r w:rsidRPr="006B6303">
              <w:rPr>
                <w:color w:val="000000"/>
              </w:rPr>
              <w:t>178</w:t>
            </w:r>
          </w:p>
        </w:tc>
        <w:tc>
          <w:tcPr>
            <w:tcW w:w="827" w:type="dxa"/>
            <w:tcBorders>
              <w:top w:val="single" w:sz="4" w:space="0" w:color="44B3E1"/>
              <w:left w:val="nil"/>
              <w:bottom w:val="single" w:sz="4" w:space="0" w:color="44B3E1"/>
              <w:right w:val="nil"/>
            </w:tcBorders>
            <w:noWrap/>
            <w:vAlign w:val="bottom"/>
            <w:hideMark/>
          </w:tcPr>
          <w:p w14:paraId="5DC27578" w14:textId="77777777" w:rsidR="00EB623D" w:rsidRPr="006B6303" w:rsidRDefault="00EB623D" w:rsidP="00532C31">
            <w:pPr>
              <w:pStyle w:val="Tabletext2"/>
              <w:rPr>
                <w:color w:val="000000"/>
              </w:rPr>
            </w:pPr>
            <w:r w:rsidRPr="006B6303">
              <w:rPr>
                <w:color w:val="000000"/>
              </w:rPr>
              <w:t>6</w:t>
            </w:r>
          </w:p>
        </w:tc>
        <w:tc>
          <w:tcPr>
            <w:tcW w:w="1051" w:type="dxa"/>
            <w:tcBorders>
              <w:top w:val="single" w:sz="4" w:space="0" w:color="44B3E1"/>
              <w:left w:val="nil"/>
              <w:bottom w:val="single" w:sz="4" w:space="0" w:color="44B3E1"/>
              <w:right w:val="nil"/>
            </w:tcBorders>
            <w:noWrap/>
            <w:vAlign w:val="bottom"/>
            <w:hideMark/>
          </w:tcPr>
          <w:p w14:paraId="08216C64" w14:textId="77777777" w:rsidR="00EB623D" w:rsidRPr="006B6303" w:rsidRDefault="00EB623D" w:rsidP="00532C31">
            <w:pPr>
              <w:pStyle w:val="Tabletext2"/>
              <w:rPr>
                <w:color w:val="000000"/>
              </w:rPr>
            </w:pPr>
            <w:r w:rsidRPr="006B6303">
              <w:rPr>
                <w:color w:val="000000"/>
              </w:rPr>
              <w:t>1315</w:t>
            </w:r>
          </w:p>
        </w:tc>
        <w:tc>
          <w:tcPr>
            <w:tcW w:w="764" w:type="dxa"/>
            <w:tcBorders>
              <w:top w:val="single" w:sz="4" w:space="0" w:color="44B3E1"/>
              <w:left w:val="nil"/>
              <w:bottom w:val="single" w:sz="4" w:space="0" w:color="44B3E1"/>
              <w:right w:val="nil"/>
            </w:tcBorders>
            <w:noWrap/>
            <w:vAlign w:val="bottom"/>
            <w:hideMark/>
          </w:tcPr>
          <w:p w14:paraId="0547EC1C" w14:textId="77777777" w:rsidR="00EB623D" w:rsidRPr="006B6303" w:rsidRDefault="00EB623D" w:rsidP="00532C31">
            <w:pPr>
              <w:pStyle w:val="Tabletext2"/>
              <w:rPr>
                <w:color w:val="000000"/>
              </w:rPr>
            </w:pPr>
            <w:r w:rsidRPr="006B6303">
              <w:rPr>
                <w:color w:val="000000"/>
              </w:rPr>
              <w:t>679</w:t>
            </w:r>
          </w:p>
        </w:tc>
        <w:tc>
          <w:tcPr>
            <w:tcW w:w="690" w:type="dxa"/>
            <w:tcBorders>
              <w:top w:val="single" w:sz="4" w:space="0" w:color="44B3E1"/>
              <w:left w:val="nil"/>
              <w:bottom w:val="single" w:sz="4" w:space="0" w:color="44B3E1"/>
              <w:right w:val="nil"/>
            </w:tcBorders>
            <w:noWrap/>
            <w:vAlign w:val="bottom"/>
            <w:hideMark/>
          </w:tcPr>
          <w:p w14:paraId="33398EFE" w14:textId="77777777" w:rsidR="00EB623D" w:rsidRPr="006B6303" w:rsidRDefault="00EB623D" w:rsidP="00532C31">
            <w:pPr>
              <w:pStyle w:val="Tabletext2"/>
              <w:rPr>
                <w:color w:val="000000"/>
              </w:rPr>
            </w:pPr>
            <w:r w:rsidRPr="006B6303">
              <w:rPr>
                <w:color w:val="000000"/>
              </w:rPr>
              <w:t>36</w:t>
            </w:r>
          </w:p>
        </w:tc>
        <w:tc>
          <w:tcPr>
            <w:tcW w:w="786" w:type="dxa"/>
            <w:tcBorders>
              <w:top w:val="single" w:sz="4" w:space="0" w:color="44B3E1"/>
              <w:left w:val="nil"/>
              <w:bottom w:val="single" w:sz="4" w:space="0" w:color="44B3E1"/>
              <w:right w:val="nil"/>
            </w:tcBorders>
            <w:noWrap/>
            <w:vAlign w:val="bottom"/>
            <w:hideMark/>
          </w:tcPr>
          <w:p w14:paraId="422F6F2E" w14:textId="77777777" w:rsidR="00EB623D" w:rsidRPr="006B6303" w:rsidRDefault="00EB623D" w:rsidP="00532C31">
            <w:pPr>
              <w:pStyle w:val="Tabletext2"/>
              <w:rPr>
                <w:color w:val="000000"/>
              </w:rPr>
            </w:pPr>
            <w:r w:rsidRPr="006B6303">
              <w:rPr>
                <w:color w:val="000000"/>
              </w:rPr>
              <w:t>18</w:t>
            </w:r>
          </w:p>
        </w:tc>
        <w:tc>
          <w:tcPr>
            <w:tcW w:w="786" w:type="dxa"/>
            <w:tcBorders>
              <w:top w:val="single" w:sz="4" w:space="0" w:color="44B3E1"/>
              <w:left w:val="nil"/>
              <w:bottom w:val="single" w:sz="4" w:space="0" w:color="44B3E1"/>
              <w:right w:val="single" w:sz="4" w:space="0" w:color="44B3E1"/>
            </w:tcBorders>
            <w:noWrap/>
            <w:vAlign w:val="bottom"/>
            <w:hideMark/>
          </w:tcPr>
          <w:p w14:paraId="30C90770" w14:textId="77777777" w:rsidR="00EB623D" w:rsidRPr="006B6303" w:rsidRDefault="00EB623D" w:rsidP="00532C31">
            <w:pPr>
              <w:pStyle w:val="Tabletext2"/>
              <w:rPr>
                <w:color w:val="000000"/>
              </w:rPr>
            </w:pPr>
            <w:r w:rsidRPr="006B6303">
              <w:rPr>
                <w:color w:val="000000"/>
              </w:rPr>
              <w:t>40</w:t>
            </w:r>
          </w:p>
        </w:tc>
      </w:tr>
      <w:tr w:rsidR="00EB623D" w:rsidRPr="006B6303" w14:paraId="1F69988A" w14:textId="77777777" w:rsidTr="00532C31">
        <w:trPr>
          <w:trHeight w:val="288"/>
        </w:trPr>
        <w:tc>
          <w:tcPr>
            <w:tcW w:w="1364" w:type="dxa"/>
            <w:tcBorders>
              <w:top w:val="single" w:sz="4" w:space="0" w:color="44B3E1"/>
              <w:left w:val="single" w:sz="4" w:space="0" w:color="44B3E1"/>
              <w:bottom w:val="single" w:sz="4" w:space="0" w:color="44B3E1"/>
              <w:right w:val="nil"/>
            </w:tcBorders>
            <w:shd w:val="clear" w:color="C0E6F5" w:fill="C0E6F5"/>
            <w:noWrap/>
            <w:vAlign w:val="bottom"/>
            <w:hideMark/>
          </w:tcPr>
          <w:p w14:paraId="47B99657" w14:textId="77777777" w:rsidR="00EB623D" w:rsidRPr="006B6303" w:rsidRDefault="00EB623D" w:rsidP="00532C31">
            <w:pPr>
              <w:pStyle w:val="Tabletext2"/>
              <w:rPr>
                <w:color w:val="000000"/>
              </w:rPr>
            </w:pPr>
            <w:r w:rsidRPr="006B6303">
              <w:rPr>
                <w:color w:val="000000"/>
              </w:rPr>
              <w:t>Total</w:t>
            </w:r>
          </w:p>
        </w:tc>
        <w:tc>
          <w:tcPr>
            <w:tcW w:w="785" w:type="dxa"/>
            <w:tcBorders>
              <w:top w:val="single" w:sz="4" w:space="0" w:color="44B3E1"/>
              <w:left w:val="nil"/>
              <w:bottom w:val="single" w:sz="4" w:space="0" w:color="44B3E1"/>
              <w:right w:val="nil"/>
            </w:tcBorders>
            <w:shd w:val="clear" w:color="C0E6F5" w:fill="C0E6F5"/>
            <w:noWrap/>
            <w:vAlign w:val="bottom"/>
            <w:hideMark/>
          </w:tcPr>
          <w:p w14:paraId="35C96FFB" w14:textId="77777777" w:rsidR="00EB623D" w:rsidRPr="006B6303" w:rsidRDefault="00EB623D" w:rsidP="00532C31">
            <w:pPr>
              <w:pStyle w:val="Tabletext2"/>
              <w:rPr>
                <w:color w:val="000000"/>
              </w:rPr>
            </w:pPr>
            <w:r w:rsidRPr="006B6303">
              <w:rPr>
                <w:color w:val="000000"/>
              </w:rPr>
              <w:t>112</w:t>
            </w:r>
          </w:p>
        </w:tc>
        <w:tc>
          <w:tcPr>
            <w:tcW w:w="806" w:type="dxa"/>
            <w:tcBorders>
              <w:top w:val="single" w:sz="4" w:space="0" w:color="44B3E1"/>
              <w:left w:val="nil"/>
              <w:bottom w:val="single" w:sz="4" w:space="0" w:color="44B3E1"/>
              <w:right w:val="nil"/>
            </w:tcBorders>
            <w:shd w:val="clear" w:color="C0E6F5" w:fill="C0E6F5"/>
            <w:noWrap/>
            <w:vAlign w:val="bottom"/>
            <w:hideMark/>
          </w:tcPr>
          <w:p w14:paraId="0BD9CB00" w14:textId="77777777" w:rsidR="00EB623D" w:rsidRPr="006B6303" w:rsidRDefault="00EB623D" w:rsidP="00532C31">
            <w:pPr>
              <w:pStyle w:val="Tabletext2"/>
              <w:rPr>
                <w:color w:val="000000"/>
              </w:rPr>
            </w:pPr>
            <w:r w:rsidRPr="006B6303">
              <w:rPr>
                <w:color w:val="000000"/>
              </w:rPr>
              <w:t>112</w:t>
            </w:r>
          </w:p>
        </w:tc>
        <w:tc>
          <w:tcPr>
            <w:tcW w:w="825" w:type="dxa"/>
            <w:tcBorders>
              <w:top w:val="single" w:sz="4" w:space="0" w:color="44B3E1"/>
              <w:left w:val="nil"/>
              <w:bottom w:val="single" w:sz="4" w:space="0" w:color="44B3E1"/>
              <w:right w:val="nil"/>
            </w:tcBorders>
            <w:shd w:val="clear" w:color="C0E6F5" w:fill="C0E6F5"/>
            <w:noWrap/>
            <w:vAlign w:val="bottom"/>
            <w:hideMark/>
          </w:tcPr>
          <w:p w14:paraId="3D4D782C" w14:textId="77777777" w:rsidR="00EB623D" w:rsidRPr="006B6303" w:rsidRDefault="00EB623D" w:rsidP="00532C31">
            <w:pPr>
              <w:pStyle w:val="Tabletext2"/>
              <w:rPr>
                <w:color w:val="000000"/>
              </w:rPr>
            </w:pPr>
            <w:r w:rsidRPr="006B6303">
              <w:rPr>
                <w:color w:val="000000"/>
              </w:rPr>
              <w:t>34</w:t>
            </w:r>
          </w:p>
        </w:tc>
        <w:tc>
          <w:tcPr>
            <w:tcW w:w="842" w:type="dxa"/>
            <w:tcBorders>
              <w:top w:val="single" w:sz="4" w:space="0" w:color="44B3E1"/>
              <w:left w:val="nil"/>
              <w:bottom w:val="single" w:sz="4" w:space="0" w:color="44B3E1"/>
              <w:right w:val="nil"/>
            </w:tcBorders>
            <w:shd w:val="clear" w:color="C0E6F5" w:fill="C0E6F5"/>
            <w:noWrap/>
            <w:vAlign w:val="bottom"/>
            <w:hideMark/>
          </w:tcPr>
          <w:p w14:paraId="6007FA29" w14:textId="77777777" w:rsidR="00EB623D" w:rsidRPr="006B6303" w:rsidRDefault="00EB623D" w:rsidP="00532C31">
            <w:pPr>
              <w:pStyle w:val="Tabletext2"/>
              <w:rPr>
                <w:color w:val="000000"/>
              </w:rPr>
            </w:pPr>
            <w:r w:rsidRPr="006B6303">
              <w:rPr>
                <w:color w:val="000000"/>
              </w:rPr>
              <w:t>19</w:t>
            </w:r>
          </w:p>
        </w:tc>
        <w:tc>
          <w:tcPr>
            <w:tcW w:w="992" w:type="dxa"/>
            <w:tcBorders>
              <w:top w:val="single" w:sz="4" w:space="0" w:color="44B3E1"/>
              <w:left w:val="nil"/>
              <w:bottom w:val="single" w:sz="4" w:space="0" w:color="44B3E1"/>
              <w:right w:val="nil"/>
            </w:tcBorders>
            <w:shd w:val="clear" w:color="C0E6F5" w:fill="C0E6F5"/>
            <w:noWrap/>
            <w:vAlign w:val="bottom"/>
            <w:hideMark/>
          </w:tcPr>
          <w:p w14:paraId="2D14F05B" w14:textId="77777777" w:rsidR="00EB623D" w:rsidRPr="006B6303" w:rsidRDefault="00EB623D" w:rsidP="00532C31">
            <w:pPr>
              <w:pStyle w:val="Tabletext2"/>
              <w:rPr>
                <w:color w:val="000000"/>
              </w:rPr>
            </w:pPr>
            <w:r w:rsidRPr="006B6303">
              <w:rPr>
                <w:color w:val="000000"/>
              </w:rPr>
              <w:t>193</w:t>
            </w:r>
          </w:p>
        </w:tc>
        <w:tc>
          <w:tcPr>
            <w:tcW w:w="945" w:type="dxa"/>
            <w:tcBorders>
              <w:top w:val="single" w:sz="4" w:space="0" w:color="44B3E1"/>
              <w:left w:val="nil"/>
              <w:bottom w:val="single" w:sz="4" w:space="0" w:color="44B3E1"/>
              <w:right w:val="nil"/>
            </w:tcBorders>
            <w:shd w:val="clear" w:color="C0E6F5" w:fill="C0E6F5"/>
            <w:noWrap/>
            <w:vAlign w:val="bottom"/>
            <w:hideMark/>
          </w:tcPr>
          <w:p w14:paraId="17559765" w14:textId="77777777" w:rsidR="00EB623D" w:rsidRPr="006B6303" w:rsidRDefault="00EB623D" w:rsidP="00532C31">
            <w:pPr>
              <w:pStyle w:val="Tabletext2"/>
              <w:rPr>
                <w:color w:val="000000"/>
              </w:rPr>
            </w:pPr>
            <w:r w:rsidRPr="006B6303">
              <w:rPr>
                <w:color w:val="000000"/>
              </w:rPr>
              <w:t>23</w:t>
            </w:r>
          </w:p>
        </w:tc>
        <w:tc>
          <w:tcPr>
            <w:tcW w:w="944" w:type="dxa"/>
            <w:tcBorders>
              <w:top w:val="single" w:sz="4" w:space="0" w:color="44B3E1"/>
              <w:left w:val="nil"/>
              <w:bottom w:val="single" w:sz="4" w:space="0" w:color="44B3E1"/>
              <w:right w:val="nil"/>
            </w:tcBorders>
            <w:shd w:val="clear" w:color="C0E6F5" w:fill="C0E6F5"/>
            <w:noWrap/>
            <w:vAlign w:val="bottom"/>
            <w:hideMark/>
          </w:tcPr>
          <w:p w14:paraId="499DCA58" w14:textId="77777777" w:rsidR="00EB623D" w:rsidRPr="006B6303" w:rsidRDefault="00EB623D" w:rsidP="00532C31">
            <w:pPr>
              <w:pStyle w:val="Tabletext2"/>
              <w:rPr>
                <w:color w:val="000000"/>
              </w:rPr>
            </w:pPr>
            <w:r w:rsidRPr="006B6303">
              <w:rPr>
                <w:color w:val="000000"/>
              </w:rPr>
              <w:t>23</w:t>
            </w:r>
          </w:p>
        </w:tc>
        <w:tc>
          <w:tcPr>
            <w:tcW w:w="923" w:type="dxa"/>
            <w:tcBorders>
              <w:top w:val="single" w:sz="4" w:space="0" w:color="44B3E1"/>
              <w:left w:val="nil"/>
              <w:bottom w:val="single" w:sz="4" w:space="0" w:color="44B3E1"/>
              <w:right w:val="nil"/>
            </w:tcBorders>
            <w:shd w:val="clear" w:color="C0E6F5" w:fill="C0E6F5"/>
            <w:noWrap/>
            <w:vAlign w:val="bottom"/>
            <w:hideMark/>
          </w:tcPr>
          <w:p w14:paraId="456864D7" w14:textId="77777777" w:rsidR="00EB623D" w:rsidRPr="006B6303" w:rsidRDefault="00EB623D" w:rsidP="00532C31">
            <w:pPr>
              <w:pStyle w:val="Tabletext2"/>
              <w:rPr>
                <w:color w:val="000000"/>
              </w:rPr>
            </w:pPr>
            <w:r w:rsidRPr="006B6303">
              <w:rPr>
                <w:color w:val="000000"/>
              </w:rPr>
              <w:t>7</w:t>
            </w:r>
          </w:p>
        </w:tc>
        <w:tc>
          <w:tcPr>
            <w:tcW w:w="786" w:type="dxa"/>
            <w:tcBorders>
              <w:top w:val="single" w:sz="4" w:space="0" w:color="44B3E1"/>
              <w:left w:val="nil"/>
              <w:bottom w:val="single" w:sz="4" w:space="0" w:color="44B3E1"/>
              <w:right w:val="nil"/>
            </w:tcBorders>
            <w:shd w:val="clear" w:color="C0E6F5" w:fill="C0E6F5"/>
            <w:noWrap/>
            <w:vAlign w:val="bottom"/>
            <w:hideMark/>
          </w:tcPr>
          <w:p w14:paraId="50F161E6" w14:textId="77777777" w:rsidR="00EB623D" w:rsidRPr="006B6303" w:rsidRDefault="00EB623D" w:rsidP="00532C31">
            <w:pPr>
              <w:pStyle w:val="Tabletext2"/>
              <w:rPr>
                <w:color w:val="000000"/>
              </w:rPr>
            </w:pPr>
            <w:r w:rsidRPr="006B6303">
              <w:rPr>
                <w:color w:val="000000"/>
              </w:rPr>
              <w:t>210</w:t>
            </w:r>
          </w:p>
        </w:tc>
        <w:tc>
          <w:tcPr>
            <w:tcW w:w="786" w:type="dxa"/>
            <w:tcBorders>
              <w:top w:val="single" w:sz="4" w:space="0" w:color="44B3E1"/>
              <w:left w:val="nil"/>
              <w:bottom w:val="single" w:sz="4" w:space="0" w:color="44B3E1"/>
              <w:right w:val="nil"/>
            </w:tcBorders>
            <w:shd w:val="clear" w:color="C0E6F5" w:fill="C0E6F5"/>
            <w:noWrap/>
            <w:vAlign w:val="bottom"/>
            <w:hideMark/>
          </w:tcPr>
          <w:p w14:paraId="57458D92" w14:textId="77777777" w:rsidR="00EB623D" w:rsidRPr="006B6303" w:rsidRDefault="00EB623D" w:rsidP="00532C31">
            <w:pPr>
              <w:pStyle w:val="Tabletext2"/>
              <w:rPr>
                <w:color w:val="000000"/>
              </w:rPr>
            </w:pPr>
            <w:r w:rsidRPr="006B6303">
              <w:rPr>
                <w:color w:val="000000"/>
              </w:rPr>
              <w:t>302</w:t>
            </w:r>
          </w:p>
        </w:tc>
        <w:tc>
          <w:tcPr>
            <w:tcW w:w="827" w:type="dxa"/>
            <w:tcBorders>
              <w:top w:val="single" w:sz="4" w:space="0" w:color="44B3E1"/>
              <w:left w:val="nil"/>
              <w:bottom w:val="single" w:sz="4" w:space="0" w:color="44B3E1"/>
              <w:right w:val="nil"/>
            </w:tcBorders>
            <w:shd w:val="clear" w:color="C0E6F5" w:fill="C0E6F5"/>
            <w:noWrap/>
            <w:vAlign w:val="bottom"/>
            <w:hideMark/>
          </w:tcPr>
          <w:p w14:paraId="2254EBCA" w14:textId="77777777" w:rsidR="00EB623D" w:rsidRPr="006B6303" w:rsidRDefault="00EB623D" w:rsidP="00532C31">
            <w:pPr>
              <w:pStyle w:val="Tabletext2"/>
              <w:rPr>
                <w:color w:val="000000"/>
              </w:rPr>
            </w:pPr>
            <w:r w:rsidRPr="006B6303">
              <w:rPr>
                <w:color w:val="000000"/>
              </w:rPr>
              <w:t>44</w:t>
            </w:r>
          </w:p>
        </w:tc>
        <w:tc>
          <w:tcPr>
            <w:tcW w:w="1051" w:type="dxa"/>
            <w:tcBorders>
              <w:top w:val="single" w:sz="4" w:space="0" w:color="44B3E1"/>
              <w:left w:val="nil"/>
              <w:bottom w:val="single" w:sz="4" w:space="0" w:color="44B3E1"/>
              <w:right w:val="nil"/>
            </w:tcBorders>
            <w:shd w:val="clear" w:color="C0E6F5" w:fill="C0E6F5"/>
            <w:noWrap/>
            <w:vAlign w:val="bottom"/>
            <w:hideMark/>
          </w:tcPr>
          <w:p w14:paraId="2EE65E61" w14:textId="77777777" w:rsidR="00EB623D" w:rsidRPr="006B6303" w:rsidRDefault="00EB623D" w:rsidP="00532C31">
            <w:pPr>
              <w:pStyle w:val="Tabletext2"/>
              <w:rPr>
                <w:color w:val="000000"/>
              </w:rPr>
            </w:pPr>
            <w:r w:rsidRPr="006B6303">
              <w:rPr>
                <w:color w:val="000000"/>
              </w:rPr>
              <w:t>3469</w:t>
            </w:r>
          </w:p>
        </w:tc>
        <w:tc>
          <w:tcPr>
            <w:tcW w:w="764" w:type="dxa"/>
            <w:tcBorders>
              <w:top w:val="single" w:sz="4" w:space="0" w:color="44B3E1"/>
              <w:left w:val="nil"/>
              <w:bottom w:val="single" w:sz="4" w:space="0" w:color="44B3E1"/>
              <w:right w:val="nil"/>
            </w:tcBorders>
            <w:shd w:val="clear" w:color="C0E6F5" w:fill="C0E6F5"/>
            <w:noWrap/>
            <w:vAlign w:val="bottom"/>
            <w:hideMark/>
          </w:tcPr>
          <w:p w14:paraId="56BF7957" w14:textId="77777777" w:rsidR="00EB623D" w:rsidRPr="006B6303" w:rsidRDefault="00EB623D" w:rsidP="00532C31">
            <w:pPr>
              <w:pStyle w:val="Tabletext2"/>
              <w:rPr>
                <w:color w:val="000000"/>
              </w:rPr>
            </w:pPr>
            <w:r w:rsidRPr="006B6303">
              <w:rPr>
                <w:color w:val="000000"/>
              </w:rPr>
              <w:t>1307</w:t>
            </w:r>
          </w:p>
        </w:tc>
        <w:tc>
          <w:tcPr>
            <w:tcW w:w="690" w:type="dxa"/>
            <w:tcBorders>
              <w:top w:val="single" w:sz="4" w:space="0" w:color="44B3E1"/>
              <w:left w:val="nil"/>
              <w:bottom w:val="single" w:sz="4" w:space="0" w:color="44B3E1"/>
              <w:right w:val="nil"/>
            </w:tcBorders>
            <w:shd w:val="clear" w:color="C0E6F5" w:fill="C0E6F5"/>
            <w:noWrap/>
            <w:vAlign w:val="bottom"/>
            <w:hideMark/>
          </w:tcPr>
          <w:p w14:paraId="0A9EF119" w14:textId="77777777" w:rsidR="00EB623D" w:rsidRPr="006B6303" w:rsidRDefault="00EB623D" w:rsidP="00532C31">
            <w:pPr>
              <w:pStyle w:val="Tabletext2"/>
              <w:rPr>
                <w:color w:val="000000"/>
              </w:rPr>
            </w:pPr>
            <w:r w:rsidRPr="006B6303">
              <w:rPr>
                <w:color w:val="000000"/>
              </w:rPr>
              <w:t>75</w:t>
            </w:r>
          </w:p>
        </w:tc>
        <w:tc>
          <w:tcPr>
            <w:tcW w:w="786" w:type="dxa"/>
            <w:tcBorders>
              <w:top w:val="single" w:sz="4" w:space="0" w:color="44B3E1"/>
              <w:left w:val="nil"/>
              <w:bottom w:val="single" w:sz="4" w:space="0" w:color="44B3E1"/>
              <w:right w:val="nil"/>
            </w:tcBorders>
            <w:shd w:val="clear" w:color="C0E6F5" w:fill="C0E6F5"/>
            <w:noWrap/>
            <w:vAlign w:val="bottom"/>
            <w:hideMark/>
          </w:tcPr>
          <w:p w14:paraId="0E94148B" w14:textId="77777777" w:rsidR="00EB623D" w:rsidRPr="006B6303" w:rsidRDefault="00EB623D" w:rsidP="00532C31">
            <w:pPr>
              <w:pStyle w:val="Tabletext2"/>
              <w:rPr>
                <w:color w:val="000000"/>
              </w:rPr>
            </w:pPr>
            <w:r w:rsidRPr="006B6303">
              <w:rPr>
                <w:color w:val="000000"/>
              </w:rPr>
              <w:t>56</w:t>
            </w:r>
          </w:p>
        </w:tc>
        <w:tc>
          <w:tcPr>
            <w:tcW w:w="786" w:type="dxa"/>
            <w:tcBorders>
              <w:top w:val="single" w:sz="4" w:space="0" w:color="44B3E1"/>
              <w:left w:val="nil"/>
              <w:bottom w:val="single" w:sz="4" w:space="0" w:color="44B3E1"/>
              <w:right w:val="single" w:sz="4" w:space="0" w:color="44B3E1"/>
            </w:tcBorders>
            <w:shd w:val="clear" w:color="C0E6F5" w:fill="C0E6F5"/>
            <w:noWrap/>
            <w:vAlign w:val="bottom"/>
            <w:hideMark/>
          </w:tcPr>
          <w:p w14:paraId="61E4BE68" w14:textId="77777777" w:rsidR="00EB623D" w:rsidRPr="006B6303" w:rsidRDefault="00EB623D" w:rsidP="00532C31">
            <w:pPr>
              <w:pStyle w:val="Tabletext2"/>
              <w:rPr>
                <w:color w:val="000000"/>
              </w:rPr>
            </w:pPr>
            <w:r w:rsidRPr="006B6303">
              <w:rPr>
                <w:color w:val="000000"/>
              </w:rPr>
              <w:t>96</w:t>
            </w:r>
          </w:p>
        </w:tc>
      </w:tr>
      <w:tr w:rsidR="00EB623D" w:rsidRPr="006B6303" w14:paraId="598E4DD2" w14:textId="77777777" w:rsidTr="00532C31">
        <w:trPr>
          <w:trHeight w:val="288"/>
        </w:trPr>
        <w:tc>
          <w:tcPr>
            <w:tcW w:w="1364" w:type="dxa"/>
            <w:tcBorders>
              <w:top w:val="single" w:sz="4" w:space="0" w:color="44B3E1"/>
              <w:left w:val="single" w:sz="4" w:space="0" w:color="44B3E1"/>
              <w:bottom w:val="single" w:sz="4" w:space="0" w:color="44B3E1"/>
              <w:right w:val="nil"/>
            </w:tcBorders>
            <w:noWrap/>
            <w:vAlign w:val="bottom"/>
            <w:hideMark/>
          </w:tcPr>
          <w:p w14:paraId="310DAA2B" w14:textId="77777777" w:rsidR="00EB623D" w:rsidRPr="006B6303" w:rsidRDefault="00EB623D" w:rsidP="00532C31">
            <w:pPr>
              <w:pStyle w:val="Tabletext2"/>
              <w:rPr>
                <w:color w:val="000000"/>
              </w:rPr>
            </w:pPr>
            <w:r w:rsidRPr="006B6303">
              <w:rPr>
                <w:color w:val="000000"/>
              </w:rPr>
              <w:t>Percentage</w:t>
            </w:r>
          </w:p>
        </w:tc>
        <w:tc>
          <w:tcPr>
            <w:tcW w:w="785" w:type="dxa"/>
            <w:tcBorders>
              <w:top w:val="single" w:sz="4" w:space="0" w:color="44B3E1"/>
              <w:left w:val="nil"/>
              <w:bottom w:val="single" w:sz="4" w:space="0" w:color="44B3E1"/>
              <w:right w:val="nil"/>
            </w:tcBorders>
            <w:noWrap/>
            <w:vAlign w:val="bottom"/>
            <w:hideMark/>
          </w:tcPr>
          <w:p w14:paraId="74460AC3" w14:textId="77777777" w:rsidR="00EB623D" w:rsidRPr="006B6303" w:rsidRDefault="00EB623D" w:rsidP="00532C31">
            <w:pPr>
              <w:pStyle w:val="Tabletext2"/>
              <w:rPr>
                <w:color w:val="000000"/>
              </w:rPr>
            </w:pPr>
            <w:r w:rsidRPr="006B6303">
              <w:rPr>
                <w:color w:val="000000"/>
              </w:rPr>
              <w:t>0.77%</w:t>
            </w:r>
          </w:p>
        </w:tc>
        <w:tc>
          <w:tcPr>
            <w:tcW w:w="806" w:type="dxa"/>
            <w:tcBorders>
              <w:top w:val="single" w:sz="4" w:space="0" w:color="44B3E1"/>
              <w:left w:val="nil"/>
              <w:bottom w:val="single" w:sz="4" w:space="0" w:color="44B3E1"/>
              <w:right w:val="nil"/>
            </w:tcBorders>
            <w:noWrap/>
            <w:vAlign w:val="bottom"/>
            <w:hideMark/>
          </w:tcPr>
          <w:p w14:paraId="3E17BE32" w14:textId="77777777" w:rsidR="00EB623D" w:rsidRPr="006B6303" w:rsidRDefault="00EB623D" w:rsidP="00532C31">
            <w:pPr>
              <w:pStyle w:val="Tabletext2"/>
              <w:rPr>
                <w:color w:val="000000"/>
              </w:rPr>
            </w:pPr>
            <w:r w:rsidRPr="006B6303">
              <w:rPr>
                <w:color w:val="000000"/>
              </w:rPr>
              <w:t>0.77%</w:t>
            </w:r>
          </w:p>
        </w:tc>
        <w:tc>
          <w:tcPr>
            <w:tcW w:w="825" w:type="dxa"/>
            <w:tcBorders>
              <w:top w:val="single" w:sz="4" w:space="0" w:color="44B3E1"/>
              <w:left w:val="nil"/>
              <w:bottom w:val="single" w:sz="4" w:space="0" w:color="44B3E1"/>
              <w:right w:val="nil"/>
            </w:tcBorders>
            <w:noWrap/>
            <w:vAlign w:val="bottom"/>
            <w:hideMark/>
          </w:tcPr>
          <w:p w14:paraId="2FE8589C" w14:textId="77777777" w:rsidR="00EB623D" w:rsidRPr="006B6303" w:rsidRDefault="00EB623D" w:rsidP="00532C31">
            <w:pPr>
              <w:pStyle w:val="Tabletext2"/>
              <w:rPr>
                <w:color w:val="000000"/>
              </w:rPr>
            </w:pPr>
            <w:r w:rsidRPr="006B6303">
              <w:rPr>
                <w:color w:val="000000"/>
              </w:rPr>
              <w:t>0.23%</w:t>
            </w:r>
          </w:p>
        </w:tc>
        <w:tc>
          <w:tcPr>
            <w:tcW w:w="842" w:type="dxa"/>
            <w:tcBorders>
              <w:top w:val="single" w:sz="4" w:space="0" w:color="44B3E1"/>
              <w:left w:val="nil"/>
              <w:bottom w:val="single" w:sz="4" w:space="0" w:color="44B3E1"/>
              <w:right w:val="nil"/>
            </w:tcBorders>
            <w:noWrap/>
            <w:vAlign w:val="bottom"/>
            <w:hideMark/>
          </w:tcPr>
          <w:p w14:paraId="7F9C2758" w14:textId="77777777" w:rsidR="00EB623D" w:rsidRPr="006B6303" w:rsidRDefault="00EB623D" w:rsidP="00532C31">
            <w:pPr>
              <w:pStyle w:val="Tabletext2"/>
              <w:rPr>
                <w:color w:val="000000"/>
              </w:rPr>
            </w:pPr>
            <w:r w:rsidRPr="006B6303">
              <w:rPr>
                <w:color w:val="000000"/>
              </w:rPr>
              <w:t>0.13%</w:t>
            </w:r>
          </w:p>
        </w:tc>
        <w:tc>
          <w:tcPr>
            <w:tcW w:w="992" w:type="dxa"/>
            <w:tcBorders>
              <w:top w:val="single" w:sz="4" w:space="0" w:color="44B3E1"/>
              <w:left w:val="nil"/>
              <w:bottom w:val="single" w:sz="4" w:space="0" w:color="44B3E1"/>
              <w:right w:val="nil"/>
            </w:tcBorders>
            <w:noWrap/>
            <w:vAlign w:val="bottom"/>
            <w:hideMark/>
          </w:tcPr>
          <w:p w14:paraId="249E5089" w14:textId="77777777" w:rsidR="00EB623D" w:rsidRPr="006B6303" w:rsidRDefault="00EB623D" w:rsidP="00532C31">
            <w:pPr>
              <w:pStyle w:val="Tabletext2"/>
              <w:rPr>
                <w:color w:val="000000"/>
              </w:rPr>
            </w:pPr>
            <w:r w:rsidRPr="006B6303">
              <w:rPr>
                <w:color w:val="000000"/>
              </w:rPr>
              <w:t>1.33%</w:t>
            </w:r>
          </w:p>
        </w:tc>
        <w:tc>
          <w:tcPr>
            <w:tcW w:w="945" w:type="dxa"/>
            <w:tcBorders>
              <w:top w:val="single" w:sz="4" w:space="0" w:color="44B3E1"/>
              <w:left w:val="nil"/>
              <w:bottom w:val="single" w:sz="4" w:space="0" w:color="44B3E1"/>
              <w:right w:val="nil"/>
            </w:tcBorders>
            <w:noWrap/>
            <w:vAlign w:val="bottom"/>
            <w:hideMark/>
          </w:tcPr>
          <w:p w14:paraId="68844B18" w14:textId="77777777" w:rsidR="00EB623D" w:rsidRPr="006B6303" w:rsidRDefault="00EB623D" w:rsidP="00532C31">
            <w:pPr>
              <w:pStyle w:val="Tabletext2"/>
              <w:rPr>
                <w:color w:val="000000"/>
              </w:rPr>
            </w:pPr>
            <w:r w:rsidRPr="006B6303">
              <w:rPr>
                <w:color w:val="000000"/>
              </w:rPr>
              <w:t>0.16%</w:t>
            </w:r>
          </w:p>
        </w:tc>
        <w:tc>
          <w:tcPr>
            <w:tcW w:w="944" w:type="dxa"/>
            <w:tcBorders>
              <w:top w:val="single" w:sz="4" w:space="0" w:color="44B3E1"/>
              <w:left w:val="nil"/>
              <w:bottom w:val="single" w:sz="4" w:space="0" w:color="44B3E1"/>
              <w:right w:val="nil"/>
            </w:tcBorders>
            <w:noWrap/>
            <w:vAlign w:val="bottom"/>
            <w:hideMark/>
          </w:tcPr>
          <w:p w14:paraId="3641C1D1" w14:textId="77777777" w:rsidR="00EB623D" w:rsidRPr="006B6303" w:rsidRDefault="00EB623D" w:rsidP="00532C31">
            <w:pPr>
              <w:pStyle w:val="Tabletext2"/>
              <w:rPr>
                <w:color w:val="000000"/>
              </w:rPr>
            </w:pPr>
            <w:r w:rsidRPr="006B6303">
              <w:rPr>
                <w:color w:val="000000"/>
              </w:rPr>
              <w:t>0.16%</w:t>
            </w:r>
          </w:p>
        </w:tc>
        <w:tc>
          <w:tcPr>
            <w:tcW w:w="923" w:type="dxa"/>
            <w:tcBorders>
              <w:top w:val="single" w:sz="4" w:space="0" w:color="44B3E1"/>
              <w:left w:val="nil"/>
              <w:bottom w:val="single" w:sz="4" w:space="0" w:color="44B3E1"/>
              <w:right w:val="nil"/>
            </w:tcBorders>
            <w:noWrap/>
            <w:vAlign w:val="bottom"/>
            <w:hideMark/>
          </w:tcPr>
          <w:p w14:paraId="13B5508F" w14:textId="77777777" w:rsidR="00EB623D" w:rsidRPr="006B6303" w:rsidRDefault="00EB623D" w:rsidP="00532C31">
            <w:pPr>
              <w:pStyle w:val="Tabletext2"/>
              <w:rPr>
                <w:color w:val="000000"/>
              </w:rPr>
            </w:pPr>
            <w:r w:rsidRPr="006B6303">
              <w:rPr>
                <w:color w:val="000000"/>
              </w:rPr>
              <w:t>0.05%</w:t>
            </w:r>
          </w:p>
        </w:tc>
        <w:tc>
          <w:tcPr>
            <w:tcW w:w="786" w:type="dxa"/>
            <w:tcBorders>
              <w:top w:val="single" w:sz="4" w:space="0" w:color="44B3E1"/>
              <w:left w:val="nil"/>
              <w:bottom w:val="single" w:sz="4" w:space="0" w:color="44B3E1"/>
              <w:right w:val="nil"/>
            </w:tcBorders>
            <w:noWrap/>
            <w:vAlign w:val="bottom"/>
            <w:hideMark/>
          </w:tcPr>
          <w:p w14:paraId="2DE04B6D" w14:textId="77777777" w:rsidR="00EB623D" w:rsidRPr="006B6303" w:rsidRDefault="00EB623D" w:rsidP="00532C31">
            <w:pPr>
              <w:pStyle w:val="Tabletext2"/>
              <w:rPr>
                <w:color w:val="000000"/>
              </w:rPr>
            </w:pPr>
            <w:r w:rsidRPr="006B6303">
              <w:rPr>
                <w:color w:val="000000"/>
              </w:rPr>
              <w:t>1.45%</w:t>
            </w:r>
          </w:p>
        </w:tc>
        <w:tc>
          <w:tcPr>
            <w:tcW w:w="786" w:type="dxa"/>
            <w:tcBorders>
              <w:top w:val="single" w:sz="4" w:space="0" w:color="44B3E1"/>
              <w:left w:val="nil"/>
              <w:bottom w:val="single" w:sz="4" w:space="0" w:color="44B3E1"/>
              <w:right w:val="nil"/>
            </w:tcBorders>
            <w:noWrap/>
            <w:vAlign w:val="bottom"/>
            <w:hideMark/>
          </w:tcPr>
          <w:p w14:paraId="10BA6766" w14:textId="77777777" w:rsidR="00EB623D" w:rsidRPr="006B6303" w:rsidRDefault="00EB623D" w:rsidP="00532C31">
            <w:pPr>
              <w:pStyle w:val="Tabletext2"/>
              <w:rPr>
                <w:color w:val="000000"/>
              </w:rPr>
            </w:pPr>
            <w:r w:rsidRPr="006B6303">
              <w:rPr>
                <w:color w:val="000000"/>
              </w:rPr>
              <w:t>2.08%</w:t>
            </w:r>
          </w:p>
        </w:tc>
        <w:tc>
          <w:tcPr>
            <w:tcW w:w="827" w:type="dxa"/>
            <w:tcBorders>
              <w:top w:val="single" w:sz="4" w:space="0" w:color="44B3E1"/>
              <w:left w:val="nil"/>
              <w:bottom w:val="single" w:sz="4" w:space="0" w:color="44B3E1"/>
              <w:right w:val="nil"/>
            </w:tcBorders>
            <w:noWrap/>
            <w:vAlign w:val="bottom"/>
            <w:hideMark/>
          </w:tcPr>
          <w:p w14:paraId="5A1D5C84" w14:textId="77777777" w:rsidR="00EB623D" w:rsidRPr="006B6303" w:rsidRDefault="00EB623D" w:rsidP="00532C31">
            <w:pPr>
              <w:pStyle w:val="Tabletext2"/>
              <w:rPr>
                <w:color w:val="000000"/>
              </w:rPr>
            </w:pPr>
            <w:r w:rsidRPr="006B6303">
              <w:rPr>
                <w:color w:val="000000"/>
              </w:rPr>
              <w:t>0.30%</w:t>
            </w:r>
          </w:p>
        </w:tc>
        <w:tc>
          <w:tcPr>
            <w:tcW w:w="1051" w:type="dxa"/>
            <w:tcBorders>
              <w:top w:val="single" w:sz="4" w:space="0" w:color="44B3E1"/>
              <w:left w:val="nil"/>
              <w:bottom w:val="single" w:sz="4" w:space="0" w:color="44B3E1"/>
              <w:right w:val="nil"/>
            </w:tcBorders>
            <w:noWrap/>
            <w:vAlign w:val="bottom"/>
            <w:hideMark/>
          </w:tcPr>
          <w:p w14:paraId="33731117" w14:textId="77777777" w:rsidR="00EB623D" w:rsidRPr="006B6303" w:rsidRDefault="00EB623D" w:rsidP="00532C31">
            <w:pPr>
              <w:pStyle w:val="Tabletext2"/>
              <w:rPr>
                <w:color w:val="000000"/>
              </w:rPr>
            </w:pPr>
            <w:r w:rsidRPr="006B6303">
              <w:rPr>
                <w:color w:val="000000"/>
              </w:rPr>
              <w:t>23.87%</w:t>
            </w:r>
          </w:p>
        </w:tc>
        <w:tc>
          <w:tcPr>
            <w:tcW w:w="764" w:type="dxa"/>
            <w:tcBorders>
              <w:top w:val="single" w:sz="4" w:space="0" w:color="44B3E1"/>
              <w:left w:val="nil"/>
              <w:bottom w:val="single" w:sz="4" w:space="0" w:color="44B3E1"/>
              <w:right w:val="nil"/>
            </w:tcBorders>
            <w:noWrap/>
            <w:vAlign w:val="bottom"/>
            <w:hideMark/>
          </w:tcPr>
          <w:p w14:paraId="606370BA" w14:textId="77777777" w:rsidR="00EB623D" w:rsidRPr="006B6303" w:rsidRDefault="00EB623D" w:rsidP="00532C31">
            <w:pPr>
              <w:pStyle w:val="Tabletext2"/>
              <w:rPr>
                <w:color w:val="000000"/>
              </w:rPr>
            </w:pPr>
            <w:r w:rsidRPr="006B6303">
              <w:rPr>
                <w:color w:val="000000"/>
              </w:rPr>
              <w:t>8.99%</w:t>
            </w:r>
          </w:p>
        </w:tc>
        <w:tc>
          <w:tcPr>
            <w:tcW w:w="690" w:type="dxa"/>
            <w:tcBorders>
              <w:top w:val="single" w:sz="4" w:space="0" w:color="44B3E1"/>
              <w:left w:val="nil"/>
              <w:bottom w:val="single" w:sz="4" w:space="0" w:color="44B3E1"/>
              <w:right w:val="nil"/>
            </w:tcBorders>
            <w:noWrap/>
            <w:vAlign w:val="bottom"/>
            <w:hideMark/>
          </w:tcPr>
          <w:p w14:paraId="61E87373" w14:textId="77777777" w:rsidR="00EB623D" w:rsidRPr="006B6303" w:rsidRDefault="00EB623D" w:rsidP="00532C31">
            <w:pPr>
              <w:pStyle w:val="Tabletext2"/>
              <w:rPr>
                <w:color w:val="000000"/>
              </w:rPr>
            </w:pPr>
            <w:r w:rsidRPr="006B6303">
              <w:rPr>
                <w:color w:val="000000"/>
              </w:rPr>
              <w:t>0.52%</w:t>
            </w:r>
          </w:p>
        </w:tc>
        <w:tc>
          <w:tcPr>
            <w:tcW w:w="786" w:type="dxa"/>
            <w:tcBorders>
              <w:top w:val="single" w:sz="4" w:space="0" w:color="44B3E1"/>
              <w:left w:val="nil"/>
              <w:bottom w:val="single" w:sz="4" w:space="0" w:color="44B3E1"/>
              <w:right w:val="nil"/>
            </w:tcBorders>
            <w:noWrap/>
            <w:vAlign w:val="bottom"/>
            <w:hideMark/>
          </w:tcPr>
          <w:p w14:paraId="2DA1E17D" w14:textId="77777777" w:rsidR="00EB623D" w:rsidRPr="006B6303" w:rsidRDefault="00EB623D" w:rsidP="00532C31">
            <w:pPr>
              <w:pStyle w:val="Tabletext2"/>
              <w:rPr>
                <w:color w:val="000000"/>
              </w:rPr>
            </w:pPr>
            <w:r w:rsidRPr="006B6303">
              <w:rPr>
                <w:color w:val="000000"/>
              </w:rPr>
              <w:t>0.39%</w:t>
            </w:r>
          </w:p>
        </w:tc>
        <w:tc>
          <w:tcPr>
            <w:tcW w:w="786" w:type="dxa"/>
            <w:tcBorders>
              <w:top w:val="single" w:sz="4" w:space="0" w:color="44B3E1"/>
              <w:left w:val="nil"/>
              <w:bottom w:val="single" w:sz="4" w:space="0" w:color="44B3E1"/>
              <w:right w:val="single" w:sz="4" w:space="0" w:color="44B3E1"/>
            </w:tcBorders>
            <w:noWrap/>
            <w:vAlign w:val="bottom"/>
            <w:hideMark/>
          </w:tcPr>
          <w:p w14:paraId="365442AA" w14:textId="77777777" w:rsidR="00EB623D" w:rsidRPr="006B6303" w:rsidRDefault="00EB623D" w:rsidP="00532C31">
            <w:pPr>
              <w:pStyle w:val="Tabletext2"/>
              <w:rPr>
                <w:color w:val="000000"/>
              </w:rPr>
            </w:pPr>
            <w:r w:rsidRPr="006B6303">
              <w:rPr>
                <w:color w:val="000000"/>
              </w:rPr>
              <w:t>0.66%</w:t>
            </w:r>
          </w:p>
        </w:tc>
      </w:tr>
    </w:tbl>
    <w:p w14:paraId="48AC5746" w14:textId="77777777" w:rsidR="00EB623D" w:rsidRPr="00392D46" w:rsidRDefault="00EB623D" w:rsidP="00EB623D">
      <w:pPr>
        <w:pStyle w:val="bottomblankboxedtext"/>
      </w:pPr>
      <w:r w:rsidRPr="00392D46">
        <w:t xml:space="preserve">The vulnerability categories have been updated, and some have been pre-populated from old categories. </w:t>
      </w:r>
    </w:p>
    <w:p w14:paraId="5D4B5222" w14:textId="169CEEC0" w:rsidR="00EB623D" w:rsidRPr="00EB623D" w:rsidRDefault="00EB623D" w:rsidP="00EB623D">
      <w:pPr>
        <w:pStyle w:val="bottomblankboxedtext"/>
      </w:pPr>
      <w:r>
        <w:lastRenderedPageBreak/>
        <w:t>T</w:t>
      </w:r>
      <w:r w:rsidRPr="00392D46">
        <w:t>he tenancy audit is now underway, so the above information will be refreshed in future reports.  Currently the vulnerability in which the highest number of tenants have disclosed is mental health followed by mobility.</w:t>
      </w:r>
    </w:p>
    <w:p w14:paraId="6CE91C49" w14:textId="1A9DCB81" w:rsidR="00013BBD" w:rsidRPr="00C366EF" w:rsidRDefault="00013BBD" w:rsidP="00C366EF">
      <w:pPr>
        <w:pStyle w:val="Boxedheading2"/>
      </w:pPr>
      <w:r w:rsidRPr="00C366EF">
        <w:t>Action plan</w:t>
      </w:r>
    </w:p>
    <w:p w14:paraId="0189B2D2" w14:textId="77777777" w:rsidR="00013BBD" w:rsidRDefault="00013BBD" w:rsidP="00C366EF">
      <w:pPr>
        <w:pStyle w:val="inbetween"/>
      </w:pPr>
    </w:p>
    <w:p w14:paraId="27B5F8EE" w14:textId="77777777" w:rsidR="00013BBD" w:rsidRPr="00792E59" w:rsidRDefault="00013BBD" w:rsidP="00C366EF">
      <w:pPr>
        <w:pStyle w:val="boxedheading3"/>
      </w:pPr>
      <w:r w:rsidRPr="00792E59">
        <w:t>5. If you have found a negative impact, wha</w:t>
      </w:r>
      <w:r>
        <w:t>t are</w:t>
      </w:r>
      <w:r w:rsidRPr="00792E59">
        <w:t xml:space="preserve"> the concern</w:t>
      </w:r>
      <w:r>
        <w:t>s</w:t>
      </w:r>
      <w:r w:rsidRPr="00792E59">
        <w:t>?</w:t>
      </w:r>
    </w:p>
    <w:p w14:paraId="0B1B884C" w14:textId="77777777" w:rsidR="00013BBD" w:rsidRPr="00792E59" w:rsidRDefault="00013BBD" w:rsidP="00C366EF">
      <w:pPr>
        <w:pStyle w:val="boxedheading3"/>
      </w:pPr>
      <w:r w:rsidRPr="00792E59">
        <w:t>6. What action do you plan to take</w:t>
      </w:r>
      <w:r>
        <w:t xml:space="preserve"> to mitigate this impact</w:t>
      </w:r>
      <w:r w:rsidRPr="00792E59">
        <w:t>?</w:t>
      </w:r>
      <w:r>
        <w:t xml:space="preserve"> This could involve consultation with those affected.</w:t>
      </w:r>
    </w:p>
    <w:p w14:paraId="3A488A2D" w14:textId="77777777" w:rsidR="00013BBD" w:rsidRPr="00792E59" w:rsidRDefault="00013BBD" w:rsidP="00C366EF">
      <w:pPr>
        <w:pStyle w:val="boxedheading3"/>
      </w:pPr>
      <w:r>
        <w:t>7. What is the target date for these actions</w:t>
      </w:r>
      <w:r w:rsidRPr="00792E59">
        <w:t>?</w:t>
      </w:r>
    </w:p>
    <w:p w14:paraId="3AAE6A2C" w14:textId="0BE9AD87" w:rsidR="00013BBD" w:rsidRDefault="00013BBD" w:rsidP="00C366EF">
      <w:pPr>
        <w:pStyle w:val="boxedheading3"/>
      </w:pPr>
      <w:r w:rsidRPr="00792E59">
        <w:t xml:space="preserve">8. Who </w:t>
      </w:r>
      <w:r>
        <w:t>is responsible</w:t>
      </w:r>
      <w:r w:rsidRPr="00792E59">
        <w:t>?</w:t>
      </w:r>
    </w:p>
    <w:p w14:paraId="419D32AB" w14:textId="77777777" w:rsidR="00013BBD" w:rsidRDefault="00013BBD" w:rsidP="00C366EF">
      <w:pPr>
        <w:pStyle w:val="inbetwee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2"/>
        <w:gridCol w:w="2947"/>
        <w:gridCol w:w="1479"/>
        <w:gridCol w:w="1950"/>
      </w:tblGrid>
      <w:tr w:rsidR="00013BBD" w:rsidRPr="00792E59" w14:paraId="4B572184" w14:textId="77777777" w:rsidTr="00532C31">
        <w:trPr>
          <w:trHeight w:val="71"/>
        </w:trPr>
        <w:tc>
          <w:tcPr>
            <w:tcW w:w="8752" w:type="dxa"/>
            <w:shd w:val="clear" w:color="auto" w:fill="F2DBDB"/>
          </w:tcPr>
          <w:p w14:paraId="0B3C4175" w14:textId="77777777" w:rsidR="00013BBD" w:rsidRPr="00EB623D" w:rsidRDefault="00013BBD" w:rsidP="00EB623D">
            <w:pPr>
              <w:pStyle w:val="tabletext"/>
              <w:rPr>
                <w:b/>
                <w:bCs/>
              </w:rPr>
            </w:pPr>
            <w:r w:rsidRPr="00EB623D">
              <w:rPr>
                <w:b/>
                <w:bCs/>
              </w:rPr>
              <w:t>5. Concern</w:t>
            </w:r>
          </w:p>
        </w:tc>
        <w:tc>
          <w:tcPr>
            <w:tcW w:w="2947" w:type="dxa"/>
            <w:shd w:val="clear" w:color="auto" w:fill="F2DBDB"/>
          </w:tcPr>
          <w:p w14:paraId="21A7D95B" w14:textId="77777777" w:rsidR="00013BBD" w:rsidRPr="00EB623D" w:rsidRDefault="00013BBD" w:rsidP="00EB623D">
            <w:pPr>
              <w:pStyle w:val="tabletext"/>
              <w:rPr>
                <w:b/>
                <w:bCs/>
              </w:rPr>
            </w:pPr>
            <w:r w:rsidRPr="00EB623D">
              <w:rPr>
                <w:b/>
                <w:bCs/>
              </w:rPr>
              <w:t>6. Action</w:t>
            </w:r>
          </w:p>
        </w:tc>
        <w:tc>
          <w:tcPr>
            <w:tcW w:w="1479" w:type="dxa"/>
            <w:shd w:val="clear" w:color="auto" w:fill="F2DBDB"/>
          </w:tcPr>
          <w:p w14:paraId="3F4A4636" w14:textId="77777777" w:rsidR="00013BBD" w:rsidRPr="00EB623D" w:rsidRDefault="00013BBD" w:rsidP="00EB623D">
            <w:pPr>
              <w:pStyle w:val="tabletext"/>
              <w:rPr>
                <w:b/>
                <w:bCs/>
              </w:rPr>
            </w:pPr>
            <w:r w:rsidRPr="00EB623D">
              <w:rPr>
                <w:b/>
                <w:bCs/>
              </w:rPr>
              <w:t>7. Target Date</w:t>
            </w:r>
          </w:p>
        </w:tc>
        <w:tc>
          <w:tcPr>
            <w:tcW w:w="1950" w:type="dxa"/>
            <w:shd w:val="clear" w:color="auto" w:fill="F2DBDB"/>
          </w:tcPr>
          <w:p w14:paraId="1F744A67" w14:textId="77777777" w:rsidR="00013BBD" w:rsidRPr="00EB623D" w:rsidRDefault="00013BBD" w:rsidP="00EB623D">
            <w:pPr>
              <w:pStyle w:val="tabletext"/>
              <w:rPr>
                <w:b/>
                <w:bCs/>
              </w:rPr>
            </w:pPr>
            <w:r w:rsidRPr="00EB623D">
              <w:rPr>
                <w:b/>
                <w:bCs/>
              </w:rPr>
              <w:t xml:space="preserve">8. Responsible </w:t>
            </w:r>
          </w:p>
        </w:tc>
      </w:tr>
      <w:tr w:rsidR="00013BBD" w:rsidRPr="005D1C75" w14:paraId="05C17F59" w14:textId="77777777" w:rsidTr="00532C31">
        <w:trPr>
          <w:trHeight w:val="71"/>
        </w:trPr>
        <w:tc>
          <w:tcPr>
            <w:tcW w:w="8752" w:type="dxa"/>
          </w:tcPr>
          <w:p w14:paraId="68ADA575" w14:textId="77777777" w:rsidR="00013BBD" w:rsidRPr="005D1C75" w:rsidRDefault="00013BBD" w:rsidP="00532C31">
            <w:pPr>
              <w:pStyle w:val="tabletext"/>
            </w:pPr>
            <w:r>
              <w:t>Tenants on low incomes may not use their heating. Lack of heating causes cold surfaces, leading to condensation which fuels damp and black mould growth.</w:t>
            </w:r>
          </w:p>
        </w:tc>
        <w:tc>
          <w:tcPr>
            <w:tcW w:w="2947" w:type="dxa"/>
          </w:tcPr>
          <w:p w14:paraId="68B177E8" w14:textId="77777777" w:rsidR="00013BBD" w:rsidRPr="005D1C75" w:rsidRDefault="00013BBD" w:rsidP="00532C31">
            <w:pPr>
              <w:pStyle w:val="tabletext"/>
            </w:pPr>
            <w:r>
              <w:t>Money Management Advice and support can be provided to tenants to enable them to manage their money, maximise their income and access support. This includes budgeting support, assistance with maximising income, accessing utility funds and any grants available e.g. NCC’s Household Support Fund (fuel vouchers). Advice can also be provided on utility tariffs and how to swap to these.</w:t>
            </w:r>
          </w:p>
        </w:tc>
        <w:tc>
          <w:tcPr>
            <w:tcW w:w="1479" w:type="dxa"/>
          </w:tcPr>
          <w:p w14:paraId="7B51E987" w14:textId="77777777" w:rsidR="00013BBD" w:rsidRPr="005D1C75" w:rsidRDefault="00013BBD" w:rsidP="00532C31">
            <w:pPr>
              <w:pStyle w:val="tabletext"/>
            </w:pPr>
            <w:r>
              <w:t>Ongoing</w:t>
            </w:r>
          </w:p>
        </w:tc>
        <w:tc>
          <w:tcPr>
            <w:tcW w:w="1950" w:type="dxa"/>
          </w:tcPr>
          <w:p w14:paraId="1078CF9D" w14:textId="77777777" w:rsidR="00013BBD" w:rsidRPr="005D1C75" w:rsidRDefault="00013BBD" w:rsidP="00532C31">
            <w:pPr>
              <w:pStyle w:val="tabletext"/>
            </w:pPr>
            <w:r>
              <w:t>Money Management Advisors in the Housing Management Department</w:t>
            </w:r>
          </w:p>
        </w:tc>
      </w:tr>
    </w:tbl>
    <w:p w14:paraId="0300BD78" w14:textId="77777777" w:rsidR="00013BBD" w:rsidRPr="00C366EF" w:rsidRDefault="00013BBD" w:rsidP="00246051"/>
    <w:p w14:paraId="3B7F7CBE" w14:textId="77777777" w:rsidR="00C366EF" w:rsidRPr="00C366EF" w:rsidRDefault="00C366EF" w:rsidP="00C366EF">
      <w:pPr>
        <w:pStyle w:val="Boxedheading2"/>
      </w:pPr>
      <w:r w:rsidRPr="00C366EF">
        <w:t>9. Explain how you have included these actions to mitigate within your service plan</w:t>
      </w:r>
    </w:p>
    <w:p w14:paraId="57B64444" w14:textId="77777777" w:rsidR="00C366EF" w:rsidRDefault="00C366EF" w:rsidP="00C366EF">
      <w:pPr>
        <w:pStyle w:val="inbetwee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8"/>
      </w:tblGrid>
      <w:tr w:rsidR="00013BBD" w:rsidRPr="00792E59" w14:paraId="225981D9" w14:textId="77777777" w:rsidTr="00532C31">
        <w:trPr>
          <w:trHeight w:val="567"/>
        </w:trPr>
        <w:tc>
          <w:tcPr>
            <w:tcW w:w="15128" w:type="dxa"/>
            <w:vAlign w:val="center"/>
          </w:tcPr>
          <w:p w14:paraId="6B25C092" w14:textId="77777777" w:rsidR="00013BBD" w:rsidRPr="00C366EF" w:rsidRDefault="00013BBD" w:rsidP="00EB623D">
            <w:pPr>
              <w:pStyle w:val="tabletext"/>
            </w:pPr>
            <w:r w:rsidRPr="00C366EF">
              <w:t>N/A</w:t>
            </w:r>
          </w:p>
        </w:tc>
      </w:tr>
    </w:tbl>
    <w:p w14:paraId="2E2A731B" w14:textId="77777777" w:rsidR="00013BBD" w:rsidRDefault="00013BBD" w:rsidP="00EB623D">
      <w:pPr>
        <w:pStyle w:val="inbetween"/>
      </w:pPr>
    </w:p>
    <w:tbl>
      <w:tblPr>
        <w:tblStyle w:val="TableGrid"/>
        <w:tblW w:w="0" w:type="auto"/>
        <w:tblLook w:val="04A0" w:firstRow="1" w:lastRow="0" w:firstColumn="1" w:lastColumn="0" w:noHBand="0" w:noVBand="1"/>
      </w:tblPr>
      <w:tblGrid>
        <w:gridCol w:w="7564"/>
        <w:gridCol w:w="7564"/>
      </w:tblGrid>
      <w:tr w:rsidR="00FD271D" w14:paraId="039CC6CD" w14:textId="77777777" w:rsidTr="00FD271D">
        <w:tc>
          <w:tcPr>
            <w:tcW w:w="7564" w:type="dxa"/>
          </w:tcPr>
          <w:p w14:paraId="6138B634" w14:textId="04AD0093" w:rsidR="00FD271D" w:rsidRDefault="00FD271D" w:rsidP="00EB623D">
            <w:pPr>
              <w:pStyle w:val="tabletext"/>
              <w:rPr>
                <w:rFonts w:cs="Arial"/>
                <w:sz w:val="22"/>
                <w:szCs w:val="22"/>
              </w:rPr>
            </w:pPr>
            <w:r w:rsidRPr="00392D46">
              <w:t>Date:</w:t>
            </w:r>
          </w:p>
        </w:tc>
        <w:tc>
          <w:tcPr>
            <w:tcW w:w="7564" w:type="dxa"/>
          </w:tcPr>
          <w:p w14:paraId="57B2DB88" w14:textId="28866D94" w:rsidR="00FD271D" w:rsidRDefault="00FD271D" w:rsidP="00EB623D">
            <w:pPr>
              <w:pStyle w:val="tabletext"/>
              <w:rPr>
                <w:rFonts w:cs="Arial"/>
                <w:sz w:val="22"/>
                <w:szCs w:val="22"/>
              </w:rPr>
            </w:pPr>
            <w:r w:rsidRPr="00392D46">
              <w:t>16 Feb</w:t>
            </w:r>
            <w:r>
              <w:t>ruary</w:t>
            </w:r>
            <w:r w:rsidRPr="00392D46">
              <w:t xml:space="preserve"> 2026</w:t>
            </w:r>
          </w:p>
        </w:tc>
      </w:tr>
      <w:tr w:rsidR="00FD271D" w14:paraId="7474FD80" w14:textId="77777777" w:rsidTr="00FD271D">
        <w:tc>
          <w:tcPr>
            <w:tcW w:w="7564" w:type="dxa"/>
          </w:tcPr>
          <w:p w14:paraId="30836A82" w14:textId="69D951CF" w:rsidR="00FD271D" w:rsidRDefault="00FD271D" w:rsidP="00EB623D">
            <w:pPr>
              <w:pStyle w:val="tabletext"/>
              <w:rPr>
                <w:rFonts w:cs="Arial"/>
                <w:sz w:val="22"/>
                <w:szCs w:val="22"/>
              </w:rPr>
            </w:pPr>
            <w:r w:rsidRPr="00392D46">
              <w:t>Signed - Chris Barley</w:t>
            </w:r>
          </w:p>
        </w:tc>
        <w:tc>
          <w:tcPr>
            <w:tcW w:w="7564" w:type="dxa"/>
          </w:tcPr>
          <w:p w14:paraId="3C99D45E" w14:textId="7A7CF6AB" w:rsidR="00FD271D" w:rsidRDefault="00FD271D" w:rsidP="00EB623D">
            <w:pPr>
              <w:pStyle w:val="tabletext"/>
              <w:rPr>
                <w:rFonts w:cs="Arial"/>
                <w:sz w:val="22"/>
                <w:szCs w:val="22"/>
              </w:rPr>
            </w:pPr>
            <w:r w:rsidRPr="00392D46">
              <w:t>Chris Barley</w:t>
            </w:r>
          </w:p>
        </w:tc>
      </w:tr>
    </w:tbl>
    <w:p w14:paraId="009FAD69" w14:textId="4AB2A90E" w:rsidR="00A01D85" w:rsidRPr="00C366EF" w:rsidRDefault="00A01D85" w:rsidP="00246051"/>
    <w:sectPr w:rsidR="00A01D85" w:rsidRPr="00C366EF" w:rsidSect="00890AB8">
      <w:pgSz w:w="16840" w:h="11907" w:orient="landscape" w:code="9"/>
      <w:pgMar w:top="851" w:right="851" w:bottom="851" w:left="851" w:header="720" w:footer="720"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14FF" w14:textId="77777777" w:rsidR="00A9474A" w:rsidRDefault="00A9474A" w:rsidP="00224F07">
      <w:r>
        <w:separator/>
      </w:r>
    </w:p>
  </w:endnote>
  <w:endnote w:type="continuationSeparator" w:id="0">
    <w:p w14:paraId="4BDDB1C3" w14:textId="77777777" w:rsidR="00A9474A" w:rsidRDefault="00A9474A" w:rsidP="0022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EA9E" w14:textId="77777777" w:rsidR="00A9474A" w:rsidRDefault="00A9474A" w:rsidP="00224F07">
      <w:r>
        <w:separator/>
      </w:r>
    </w:p>
  </w:footnote>
  <w:footnote w:type="continuationSeparator" w:id="0">
    <w:p w14:paraId="2FF28D33" w14:textId="77777777" w:rsidR="00A9474A" w:rsidRDefault="00A9474A" w:rsidP="00224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60D"/>
    <w:multiLevelType w:val="hybridMultilevel"/>
    <w:tmpl w:val="C384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54FE3"/>
    <w:multiLevelType w:val="hybridMultilevel"/>
    <w:tmpl w:val="EA9E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C2BB2"/>
    <w:multiLevelType w:val="hybridMultilevel"/>
    <w:tmpl w:val="0724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97E97"/>
    <w:multiLevelType w:val="hybridMultilevel"/>
    <w:tmpl w:val="88F2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A5599"/>
    <w:multiLevelType w:val="hybridMultilevel"/>
    <w:tmpl w:val="45C8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270E6"/>
    <w:multiLevelType w:val="hybridMultilevel"/>
    <w:tmpl w:val="008E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64C52"/>
    <w:multiLevelType w:val="hybridMultilevel"/>
    <w:tmpl w:val="2F24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21344"/>
    <w:multiLevelType w:val="hybridMultilevel"/>
    <w:tmpl w:val="913A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B02D2"/>
    <w:multiLevelType w:val="hybridMultilevel"/>
    <w:tmpl w:val="DA4049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70DE4"/>
    <w:multiLevelType w:val="hybridMultilevel"/>
    <w:tmpl w:val="0E9A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A4BAD"/>
    <w:multiLevelType w:val="hybridMultilevel"/>
    <w:tmpl w:val="D922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345B9"/>
    <w:multiLevelType w:val="hybridMultilevel"/>
    <w:tmpl w:val="0F92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04E98"/>
    <w:multiLevelType w:val="hybridMultilevel"/>
    <w:tmpl w:val="2BAA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7E44AF"/>
    <w:multiLevelType w:val="hybridMultilevel"/>
    <w:tmpl w:val="6398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047D5"/>
    <w:multiLevelType w:val="hybridMultilevel"/>
    <w:tmpl w:val="D3F6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C3597"/>
    <w:multiLevelType w:val="hybridMultilevel"/>
    <w:tmpl w:val="3AB8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80BAD"/>
    <w:multiLevelType w:val="multilevel"/>
    <w:tmpl w:val="E26A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D2BA1"/>
    <w:multiLevelType w:val="hybridMultilevel"/>
    <w:tmpl w:val="F182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46742"/>
    <w:multiLevelType w:val="hybridMultilevel"/>
    <w:tmpl w:val="3426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01B4C"/>
    <w:multiLevelType w:val="hybridMultilevel"/>
    <w:tmpl w:val="F31A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C72D5F"/>
    <w:multiLevelType w:val="hybridMultilevel"/>
    <w:tmpl w:val="670C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8542F"/>
    <w:multiLevelType w:val="hybridMultilevel"/>
    <w:tmpl w:val="4870665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2" w15:restartNumberingAfterBreak="0">
    <w:nsid w:val="5CD76417"/>
    <w:multiLevelType w:val="hybridMultilevel"/>
    <w:tmpl w:val="C84C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382E12"/>
    <w:multiLevelType w:val="hybridMultilevel"/>
    <w:tmpl w:val="3C38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3579A"/>
    <w:multiLevelType w:val="hybridMultilevel"/>
    <w:tmpl w:val="D3F8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11563"/>
    <w:multiLevelType w:val="hybridMultilevel"/>
    <w:tmpl w:val="3E4C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E426A"/>
    <w:multiLevelType w:val="hybridMultilevel"/>
    <w:tmpl w:val="29F86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9303227">
    <w:abstractNumId w:val="21"/>
  </w:num>
  <w:num w:numId="2" w16cid:durableId="713771108">
    <w:abstractNumId w:val="12"/>
  </w:num>
  <w:num w:numId="3" w16cid:durableId="1872911869">
    <w:abstractNumId w:val="20"/>
  </w:num>
  <w:num w:numId="4" w16cid:durableId="73817516">
    <w:abstractNumId w:val="8"/>
  </w:num>
  <w:num w:numId="5" w16cid:durableId="1609190777">
    <w:abstractNumId w:val="10"/>
  </w:num>
  <w:num w:numId="6" w16cid:durableId="1400597672">
    <w:abstractNumId w:val="4"/>
  </w:num>
  <w:num w:numId="7" w16cid:durableId="893589147">
    <w:abstractNumId w:val="26"/>
  </w:num>
  <w:num w:numId="8" w16cid:durableId="2013868411">
    <w:abstractNumId w:val="24"/>
  </w:num>
  <w:num w:numId="9" w16cid:durableId="723412775">
    <w:abstractNumId w:val="6"/>
  </w:num>
  <w:num w:numId="10" w16cid:durableId="768038845">
    <w:abstractNumId w:val="16"/>
  </w:num>
  <w:num w:numId="11" w16cid:durableId="513375933">
    <w:abstractNumId w:val="11"/>
  </w:num>
  <w:num w:numId="12" w16cid:durableId="677192106">
    <w:abstractNumId w:val="13"/>
  </w:num>
  <w:num w:numId="13" w16cid:durableId="1528057755">
    <w:abstractNumId w:val="14"/>
  </w:num>
  <w:num w:numId="14" w16cid:durableId="1942225477">
    <w:abstractNumId w:val="17"/>
  </w:num>
  <w:num w:numId="15" w16cid:durableId="872376682">
    <w:abstractNumId w:val="22"/>
  </w:num>
  <w:num w:numId="16" w16cid:durableId="901450071">
    <w:abstractNumId w:val="25"/>
  </w:num>
  <w:num w:numId="17" w16cid:durableId="1732145119">
    <w:abstractNumId w:val="2"/>
  </w:num>
  <w:num w:numId="18" w16cid:durableId="1437556470">
    <w:abstractNumId w:val="18"/>
  </w:num>
  <w:num w:numId="19" w16cid:durableId="1300649431">
    <w:abstractNumId w:val="23"/>
  </w:num>
  <w:num w:numId="20" w16cid:durableId="841815835">
    <w:abstractNumId w:val="7"/>
  </w:num>
  <w:num w:numId="21" w16cid:durableId="466164879">
    <w:abstractNumId w:val="19"/>
  </w:num>
  <w:num w:numId="22" w16cid:durableId="1006522130">
    <w:abstractNumId w:val="9"/>
  </w:num>
  <w:num w:numId="23" w16cid:durableId="2120296540">
    <w:abstractNumId w:val="3"/>
  </w:num>
  <w:num w:numId="24" w16cid:durableId="662708319">
    <w:abstractNumId w:val="5"/>
  </w:num>
  <w:num w:numId="25" w16cid:durableId="2123071069">
    <w:abstractNumId w:val="0"/>
  </w:num>
  <w:num w:numId="26" w16cid:durableId="1512136313">
    <w:abstractNumId w:val="1"/>
  </w:num>
  <w:num w:numId="27" w16cid:durableId="1107508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C9"/>
    <w:rsid w:val="00013BBD"/>
    <w:rsid w:val="000231F5"/>
    <w:rsid w:val="0005351E"/>
    <w:rsid w:val="00066357"/>
    <w:rsid w:val="0009503D"/>
    <w:rsid w:val="000E2A20"/>
    <w:rsid w:val="001175AC"/>
    <w:rsid w:val="00122169"/>
    <w:rsid w:val="0012739F"/>
    <w:rsid w:val="0019434E"/>
    <w:rsid w:val="001A3D33"/>
    <w:rsid w:val="001D20F4"/>
    <w:rsid w:val="00223EC9"/>
    <w:rsid w:val="00224F07"/>
    <w:rsid w:val="00231242"/>
    <w:rsid w:val="00246051"/>
    <w:rsid w:val="002668FC"/>
    <w:rsid w:val="00272F16"/>
    <w:rsid w:val="00275287"/>
    <w:rsid w:val="002A35CD"/>
    <w:rsid w:val="002C18D4"/>
    <w:rsid w:val="002F6F77"/>
    <w:rsid w:val="002F6F87"/>
    <w:rsid w:val="00331172"/>
    <w:rsid w:val="0035008A"/>
    <w:rsid w:val="00372FD1"/>
    <w:rsid w:val="00382CB4"/>
    <w:rsid w:val="00390107"/>
    <w:rsid w:val="00392D46"/>
    <w:rsid w:val="00393082"/>
    <w:rsid w:val="003A632D"/>
    <w:rsid w:val="003D2620"/>
    <w:rsid w:val="00427A21"/>
    <w:rsid w:val="00443B39"/>
    <w:rsid w:val="00462B76"/>
    <w:rsid w:val="004672E4"/>
    <w:rsid w:val="004736A4"/>
    <w:rsid w:val="004763E9"/>
    <w:rsid w:val="00476BB0"/>
    <w:rsid w:val="00483B88"/>
    <w:rsid w:val="00492BC1"/>
    <w:rsid w:val="004D28F6"/>
    <w:rsid w:val="004D6494"/>
    <w:rsid w:val="005121A8"/>
    <w:rsid w:val="005419AC"/>
    <w:rsid w:val="00542FC5"/>
    <w:rsid w:val="005A07D7"/>
    <w:rsid w:val="005A18B6"/>
    <w:rsid w:val="005A5B1A"/>
    <w:rsid w:val="005C7957"/>
    <w:rsid w:val="005D1C75"/>
    <w:rsid w:val="005D329B"/>
    <w:rsid w:val="005D6043"/>
    <w:rsid w:val="005D76AB"/>
    <w:rsid w:val="005F687A"/>
    <w:rsid w:val="00612954"/>
    <w:rsid w:val="0061319C"/>
    <w:rsid w:val="00652E54"/>
    <w:rsid w:val="006731E5"/>
    <w:rsid w:val="006A6B18"/>
    <w:rsid w:val="006B1F2A"/>
    <w:rsid w:val="006B6303"/>
    <w:rsid w:val="006B64DB"/>
    <w:rsid w:val="006C0D46"/>
    <w:rsid w:val="006C2C66"/>
    <w:rsid w:val="006D64F3"/>
    <w:rsid w:val="00702B85"/>
    <w:rsid w:val="007104CE"/>
    <w:rsid w:val="007303B4"/>
    <w:rsid w:val="00733143"/>
    <w:rsid w:val="00737E8E"/>
    <w:rsid w:val="00751921"/>
    <w:rsid w:val="007553C9"/>
    <w:rsid w:val="00792E59"/>
    <w:rsid w:val="00796A51"/>
    <w:rsid w:val="007A7D67"/>
    <w:rsid w:val="007B224A"/>
    <w:rsid w:val="007D344B"/>
    <w:rsid w:val="00816FBC"/>
    <w:rsid w:val="00821834"/>
    <w:rsid w:val="008801CD"/>
    <w:rsid w:val="00890AB8"/>
    <w:rsid w:val="00893134"/>
    <w:rsid w:val="008A556B"/>
    <w:rsid w:val="008C407F"/>
    <w:rsid w:val="008D3DDE"/>
    <w:rsid w:val="00952833"/>
    <w:rsid w:val="00953176"/>
    <w:rsid w:val="00970C86"/>
    <w:rsid w:val="009776AD"/>
    <w:rsid w:val="00983AAC"/>
    <w:rsid w:val="00991D37"/>
    <w:rsid w:val="009B4DFD"/>
    <w:rsid w:val="009B68FC"/>
    <w:rsid w:val="009C7459"/>
    <w:rsid w:val="009D63F5"/>
    <w:rsid w:val="009E4BA8"/>
    <w:rsid w:val="009F073C"/>
    <w:rsid w:val="009F59CD"/>
    <w:rsid w:val="00A0064D"/>
    <w:rsid w:val="00A01D85"/>
    <w:rsid w:val="00A64F95"/>
    <w:rsid w:val="00A77892"/>
    <w:rsid w:val="00A9474A"/>
    <w:rsid w:val="00AA29D6"/>
    <w:rsid w:val="00AB1BA1"/>
    <w:rsid w:val="00AC4B6A"/>
    <w:rsid w:val="00AD6331"/>
    <w:rsid w:val="00B203B0"/>
    <w:rsid w:val="00B42E52"/>
    <w:rsid w:val="00B437B6"/>
    <w:rsid w:val="00B6772B"/>
    <w:rsid w:val="00B70A57"/>
    <w:rsid w:val="00B9783A"/>
    <w:rsid w:val="00BB7585"/>
    <w:rsid w:val="00C00516"/>
    <w:rsid w:val="00C01811"/>
    <w:rsid w:val="00C06A7B"/>
    <w:rsid w:val="00C21EDA"/>
    <w:rsid w:val="00C27AF2"/>
    <w:rsid w:val="00C366EF"/>
    <w:rsid w:val="00C716ED"/>
    <w:rsid w:val="00CB527E"/>
    <w:rsid w:val="00CD56C0"/>
    <w:rsid w:val="00CD5FA0"/>
    <w:rsid w:val="00CE7133"/>
    <w:rsid w:val="00D2283E"/>
    <w:rsid w:val="00D24D1E"/>
    <w:rsid w:val="00D26068"/>
    <w:rsid w:val="00D26C8D"/>
    <w:rsid w:val="00D36DBF"/>
    <w:rsid w:val="00D75249"/>
    <w:rsid w:val="00DA7CAE"/>
    <w:rsid w:val="00DD0C0A"/>
    <w:rsid w:val="00DF1EE4"/>
    <w:rsid w:val="00E06F90"/>
    <w:rsid w:val="00E31D8E"/>
    <w:rsid w:val="00E3570E"/>
    <w:rsid w:val="00E50C3E"/>
    <w:rsid w:val="00E5795C"/>
    <w:rsid w:val="00E67E4F"/>
    <w:rsid w:val="00EA2686"/>
    <w:rsid w:val="00EA50ED"/>
    <w:rsid w:val="00EB623D"/>
    <w:rsid w:val="00EC62CB"/>
    <w:rsid w:val="00EE03EC"/>
    <w:rsid w:val="00EE159A"/>
    <w:rsid w:val="00EE1BFA"/>
    <w:rsid w:val="00EE3EBA"/>
    <w:rsid w:val="00EF1BB4"/>
    <w:rsid w:val="00EF723B"/>
    <w:rsid w:val="00F132B5"/>
    <w:rsid w:val="00F37724"/>
    <w:rsid w:val="00F4730E"/>
    <w:rsid w:val="00F70C8F"/>
    <w:rsid w:val="00F812B5"/>
    <w:rsid w:val="00FC1CE4"/>
    <w:rsid w:val="00FD075D"/>
    <w:rsid w:val="00FD271D"/>
    <w:rsid w:val="00FD5C5E"/>
    <w:rsid w:val="00FE0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8A109"/>
  <w15:chartTrackingRefBased/>
  <w15:docId w15:val="{B64F8C92-C7C5-4EA1-9069-8B8CABB5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23D"/>
    <w:rPr>
      <w:sz w:val="24"/>
      <w:szCs w:val="24"/>
    </w:rPr>
  </w:style>
  <w:style w:type="paragraph" w:styleId="Heading1">
    <w:name w:val="heading 1"/>
    <w:basedOn w:val="Normal"/>
    <w:next w:val="Normal"/>
    <w:qFormat/>
    <w:rsid w:val="00392D46"/>
    <w:pPr>
      <w:keepNext/>
      <w:spacing w:before="240" w:after="240" w:line="360" w:lineRule="auto"/>
      <w:jc w:val="center"/>
      <w:outlineLvl w:val="0"/>
    </w:pPr>
    <w:rPr>
      <w:rFonts w:ascii="Arial" w:hAnsi="Arial"/>
      <w:b/>
      <w:sz w:val="36"/>
      <w:szCs w:val="20"/>
      <w:lang w:eastAsia="en-US"/>
    </w:rPr>
  </w:style>
  <w:style w:type="paragraph" w:styleId="Heading2">
    <w:name w:val="heading 2"/>
    <w:basedOn w:val="Normal"/>
    <w:next w:val="Normal"/>
    <w:link w:val="Heading2Char"/>
    <w:unhideWhenUsed/>
    <w:qFormat/>
    <w:rsid w:val="008801CD"/>
    <w:pPr>
      <w:keepNext/>
      <w:keepLines/>
      <w:spacing w:before="120" w:after="120" w:line="360"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semiHidden/>
    <w:unhideWhenUsed/>
    <w:qFormat/>
    <w:rsid w:val="00372FD1"/>
    <w:pPr>
      <w:keepNext/>
      <w:spacing w:before="240" w:after="60"/>
      <w:outlineLvl w:val="2"/>
    </w:pPr>
    <w:rPr>
      <w:rFonts w:ascii="Calibri Light" w:hAnsi="Calibri Light"/>
      <w:b/>
      <w:bCs/>
      <w:sz w:val="26"/>
      <w:szCs w:val="26"/>
    </w:rPr>
  </w:style>
  <w:style w:type="paragraph" w:styleId="Heading6">
    <w:name w:val="heading 6"/>
    <w:basedOn w:val="Normal"/>
    <w:next w:val="Normal"/>
    <w:link w:val="Heading6Char"/>
    <w:semiHidden/>
    <w:unhideWhenUsed/>
    <w:qFormat/>
    <w:rsid w:val="008A556B"/>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5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7553C9"/>
    <w:rPr>
      <w:rFonts w:ascii="Courier New" w:hAnsi="Courier New" w:cs="Courier New"/>
      <w:sz w:val="20"/>
      <w:szCs w:val="20"/>
      <w:lang w:eastAsia="en-US"/>
    </w:rPr>
  </w:style>
  <w:style w:type="paragraph" w:styleId="Header">
    <w:name w:val="header"/>
    <w:basedOn w:val="Normal"/>
    <w:link w:val="HeaderChar"/>
    <w:rsid w:val="00224F07"/>
    <w:pPr>
      <w:tabs>
        <w:tab w:val="center" w:pos="4513"/>
        <w:tab w:val="right" w:pos="9026"/>
      </w:tabs>
    </w:pPr>
  </w:style>
  <w:style w:type="character" w:customStyle="1" w:styleId="HeaderChar">
    <w:name w:val="Header Char"/>
    <w:link w:val="Header"/>
    <w:rsid w:val="00224F07"/>
    <w:rPr>
      <w:sz w:val="24"/>
      <w:szCs w:val="24"/>
    </w:rPr>
  </w:style>
  <w:style w:type="paragraph" w:styleId="Footer">
    <w:name w:val="footer"/>
    <w:basedOn w:val="Normal"/>
    <w:link w:val="FooterChar"/>
    <w:rsid w:val="00224F07"/>
    <w:pPr>
      <w:tabs>
        <w:tab w:val="center" w:pos="4513"/>
        <w:tab w:val="right" w:pos="9026"/>
      </w:tabs>
    </w:pPr>
  </w:style>
  <w:style w:type="character" w:customStyle="1" w:styleId="FooterChar">
    <w:name w:val="Footer Char"/>
    <w:link w:val="Footer"/>
    <w:rsid w:val="00224F07"/>
    <w:rPr>
      <w:sz w:val="24"/>
      <w:szCs w:val="24"/>
    </w:rPr>
  </w:style>
  <w:style w:type="paragraph" w:styleId="ListParagraph">
    <w:name w:val="List Paragraph"/>
    <w:basedOn w:val="Normal"/>
    <w:uiPriority w:val="34"/>
    <w:qFormat/>
    <w:rsid w:val="00372FD1"/>
    <w:pPr>
      <w:overflowPunct w:val="0"/>
      <w:autoSpaceDE w:val="0"/>
      <w:autoSpaceDN w:val="0"/>
      <w:adjustRightInd w:val="0"/>
      <w:ind w:left="720"/>
      <w:contextualSpacing/>
      <w:textAlignment w:val="baseline"/>
    </w:pPr>
    <w:rPr>
      <w:rFonts w:ascii="Arial" w:hAnsi="Arial"/>
      <w:szCs w:val="20"/>
      <w:lang w:eastAsia="en-US"/>
    </w:rPr>
  </w:style>
  <w:style w:type="character" w:customStyle="1" w:styleId="Heading3Char">
    <w:name w:val="Heading 3 Char"/>
    <w:link w:val="Heading3"/>
    <w:uiPriority w:val="9"/>
    <w:rsid w:val="00372FD1"/>
    <w:rPr>
      <w:rFonts w:ascii="Calibri Light" w:eastAsia="Times New Roman" w:hAnsi="Calibri Light" w:cs="Times New Roman"/>
      <w:b/>
      <w:bCs/>
      <w:sz w:val="26"/>
      <w:szCs w:val="26"/>
    </w:rPr>
  </w:style>
  <w:style w:type="paragraph" w:styleId="BalloonText">
    <w:name w:val="Balloon Text"/>
    <w:basedOn w:val="Normal"/>
    <w:link w:val="BalloonTextChar"/>
    <w:rsid w:val="00427A21"/>
    <w:rPr>
      <w:rFonts w:ascii="Segoe UI" w:hAnsi="Segoe UI" w:cs="Segoe UI"/>
      <w:sz w:val="18"/>
      <w:szCs w:val="18"/>
    </w:rPr>
  </w:style>
  <w:style w:type="character" w:customStyle="1" w:styleId="BalloonTextChar">
    <w:name w:val="Balloon Text Char"/>
    <w:link w:val="BalloonText"/>
    <w:rsid w:val="00427A21"/>
    <w:rPr>
      <w:rFonts w:ascii="Segoe UI" w:hAnsi="Segoe UI" w:cs="Segoe UI"/>
      <w:sz w:val="18"/>
      <w:szCs w:val="18"/>
    </w:rPr>
  </w:style>
  <w:style w:type="paragraph" w:styleId="Revision">
    <w:name w:val="Revision"/>
    <w:hidden/>
    <w:uiPriority w:val="99"/>
    <w:semiHidden/>
    <w:rsid w:val="009E4BA8"/>
    <w:rPr>
      <w:sz w:val="24"/>
      <w:szCs w:val="24"/>
    </w:rPr>
  </w:style>
  <w:style w:type="character" w:customStyle="1" w:styleId="PlainTextChar">
    <w:name w:val="Plain Text Char"/>
    <w:basedOn w:val="DefaultParagraphFont"/>
    <w:link w:val="PlainText"/>
    <w:uiPriority w:val="99"/>
    <w:rsid w:val="006A6B18"/>
    <w:rPr>
      <w:rFonts w:ascii="Courier New" w:hAnsi="Courier New" w:cs="Courier New"/>
      <w:lang w:eastAsia="en-US"/>
    </w:rPr>
  </w:style>
  <w:style w:type="character" w:customStyle="1" w:styleId="Heading2Char">
    <w:name w:val="Heading 2 Char"/>
    <w:basedOn w:val="DefaultParagraphFont"/>
    <w:link w:val="Heading2"/>
    <w:rsid w:val="008801CD"/>
    <w:rPr>
      <w:rFonts w:ascii="Arial" w:eastAsiaTheme="majorEastAsia" w:hAnsi="Arial" w:cstheme="majorBidi"/>
      <w:b/>
      <w:sz w:val="28"/>
      <w:szCs w:val="26"/>
    </w:rPr>
  </w:style>
  <w:style w:type="character" w:customStyle="1" w:styleId="Heading6Char">
    <w:name w:val="Heading 6 Char"/>
    <w:basedOn w:val="DefaultParagraphFont"/>
    <w:link w:val="Heading6"/>
    <w:semiHidden/>
    <w:rsid w:val="008A556B"/>
    <w:rPr>
      <w:rFonts w:asciiTheme="majorHAnsi" w:eastAsiaTheme="majorEastAsia" w:hAnsiTheme="majorHAnsi" w:cstheme="majorBidi"/>
      <w:color w:val="0A2F40" w:themeColor="accent1" w:themeShade="7F"/>
      <w:sz w:val="24"/>
      <w:szCs w:val="24"/>
    </w:rPr>
  </w:style>
  <w:style w:type="character" w:styleId="CommentReference">
    <w:name w:val="annotation reference"/>
    <w:basedOn w:val="DefaultParagraphFont"/>
    <w:rsid w:val="00CB527E"/>
    <w:rPr>
      <w:sz w:val="16"/>
      <w:szCs w:val="16"/>
    </w:rPr>
  </w:style>
  <w:style w:type="paragraph" w:styleId="CommentText">
    <w:name w:val="annotation text"/>
    <w:basedOn w:val="Normal"/>
    <w:link w:val="CommentTextChar"/>
    <w:rsid w:val="00CB527E"/>
    <w:rPr>
      <w:sz w:val="20"/>
      <w:szCs w:val="20"/>
    </w:rPr>
  </w:style>
  <w:style w:type="character" w:customStyle="1" w:styleId="CommentTextChar">
    <w:name w:val="Comment Text Char"/>
    <w:basedOn w:val="DefaultParagraphFont"/>
    <w:link w:val="CommentText"/>
    <w:rsid w:val="00CB527E"/>
  </w:style>
  <w:style w:type="paragraph" w:styleId="CommentSubject">
    <w:name w:val="annotation subject"/>
    <w:basedOn w:val="CommentText"/>
    <w:next w:val="CommentText"/>
    <w:link w:val="CommentSubjectChar"/>
    <w:rsid w:val="00CB527E"/>
    <w:rPr>
      <w:b/>
      <w:bCs/>
    </w:rPr>
  </w:style>
  <w:style w:type="character" w:customStyle="1" w:styleId="CommentSubjectChar">
    <w:name w:val="Comment Subject Char"/>
    <w:basedOn w:val="CommentTextChar"/>
    <w:link w:val="CommentSubject"/>
    <w:rsid w:val="00CB527E"/>
    <w:rPr>
      <w:b/>
      <w:bCs/>
    </w:rPr>
  </w:style>
  <w:style w:type="paragraph" w:customStyle="1" w:styleId="blankboxedheading2">
    <w:name w:val="blank boxed heading 2"/>
    <w:basedOn w:val="Heading2"/>
    <w:qFormat/>
    <w:rsid w:val="00C366EF"/>
  </w:style>
  <w:style w:type="paragraph" w:styleId="BodyText">
    <w:name w:val="Body Text"/>
    <w:basedOn w:val="Normal"/>
    <w:link w:val="BodyTextChar"/>
    <w:rsid w:val="00542FC5"/>
    <w:pPr>
      <w:spacing w:before="120" w:after="120" w:line="288" w:lineRule="auto"/>
    </w:pPr>
    <w:rPr>
      <w:rFonts w:ascii="Arial" w:hAnsi="Arial"/>
    </w:rPr>
  </w:style>
  <w:style w:type="character" w:customStyle="1" w:styleId="BodyTextChar">
    <w:name w:val="Body Text Char"/>
    <w:basedOn w:val="DefaultParagraphFont"/>
    <w:link w:val="BodyText"/>
    <w:rsid w:val="00542FC5"/>
    <w:rPr>
      <w:rFonts w:ascii="Arial" w:hAnsi="Arial"/>
      <w:sz w:val="24"/>
      <w:szCs w:val="24"/>
    </w:rPr>
  </w:style>
  <w:style w:type="paragraph" w:customStyle="1" w:styleId="tabletext">
    <w:name w:val="table text"/>
    <w:basedOn w:val="BodyText"/>
    <w:qFormat/>
    <w:rsid w:val="005419AC"/>
    <w:pPr>
      <w:spacing w:line="240" w:lineRule="auto"/>
    </w:pPr>
  </w:style>
  <w:style w:type="paragraph" w:customStyle="1" w:styleId="Tabletext2">
    <w:name w:val="Table text 2"/>
    <w:basedOn w:val="tabletext"/>
    <w:qFormat/>
    <w:rsid w:val="005419AC"/>
    <w:pPr>
      <w:spacing w:before="0" w:after="0"/>
    </w:pPr>
    <w:rPr>
      <w:sz w:val="20"/>
    </w:rPr>
  </w:style>
  <w:style w:type="paragraph" w:customStyle="1" w:styleId="Boxedheading2">
    <w:name w:val="Boxed heading 2"/>
    <w:basedOn w:val="Heading2"/>
    <w:next w:val="BodyText"/>
    <w:qFormat/>
    <w:rsid w:val="00C366EF"/>
    <w:pPr>
      <w:pBdr>
        <w:top w:val="single" w:sz="4" w:space="1" w:color="auto"/>
        <w:left w:val="single" w:sz="4" w:space="4" w:color="auto"/>
        <w:bottom w:val="single" w:sz="4" w:space="1" w:color="auto"/>
        <w:right w:val="single" w:sz="4" w:space="4" w:color="auto"/>
      </w:pBdr>
      <w:shd w:val="clear" w:color="auto" w:fill="F2DBDB"/>
      <w:ind w:left="113" w:right="113"/>
    </w:pPr>
    <w:rPr>
      <w:rFonts w:cs="Arial"/>
      <w:szCs w:val="22"/>
    </w:rPr>
  </w:style>
  <w:style w:type="paragraph" w:customStyle="1" w:styleId="boxedheading3">
    <w:name w:val="boxed heading 3"/>
    <w:basedOn w:val="Boxedheading2"/>
    <w:qFormat/>
    <w:rsid w:val="00013BBD"/>
    <w:rPr>
      <w:sz w:val="24"/>
    </w:rPr>
  </w:style>
  <w:style w:type="paragraph" w:styleId="BlockText">
    <w:name w:val="Block Text"/>
    <w:basedOn w:val="Normal"/>
    <w:rsid w:val="00013BB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customStyle="1" w:styleId="inbetween">
    <w:name w:val="inbetween"/>
    <w:basedOn w:val="BodyText"/>
    <w:qFormat/>
    <w:rsid w:val="00C366EF"/>
    <w:pPr>
      <w:spacing w:before="0" w:after="0" w:line="240" w:lineRule="auto"/>
    </w:pPr>
    <w:rPr>
      <w:sz w:val="8"/>
    </w:rPr>
  </w:style>
  <w:style w:type="paragraph" w:customStyle="1" w:styleId="boxedtext">
    <w:name w:val="boxed text"/>
    <w:basedOn w:val="BodyText"/>
    <w:qFormat/>
    <w:rsid w:val="00C366EF"/>
    <w:pPr>
      <w:pBdr>
        <w:top w:val="single" w:sz="4" w:space="1" w:color="auto"/>
        <w:left w:val="single" w:sz="4" w:space="4" w:color="auto"/>
        <w:bottom w:val="single" w:sz="4" w:space="1" w:color="auto"/>
        <w:right w:val="single" w:sz="4" w:space="4" w:color="auto"/>
      </w:pBdr>
    </w:pPr>
  </w:style>
  <w:style w:type="paragraph" w:customStyle="1" w:styleId="boxedtext1">
    <w:name w:val="boxed text 1"/>
    <w:basedOn w:val="boxedtext"/>
    <w:next w:val="inbetween"/>
    <w:qFormat/>
    <w:rsid w:val="00C366EF"/>
    <w:pPr>
      <w:ind w:left="113" w:right="113"/>
    </w:pPr>
  </w:style>
  <w:style w:type="paragraph" w:customStyle="1" w:styleId="BLankboxedheading20">
    <w:name w:val="BLank boxed heading 2"/>
    <w:basedOn w:val="Heading2"/>
    <w:qFormat/>
    <w:rsid w:val="00C366EF"/>
    <w:pPr>
      <w:pBdr>
        <w:top w:val="single" w:sz="4" w:space="1" w:color="auto"/>
        <w:left w:val="single" w:sz="4" w:space="4" w:color="auto"/>
        <w:right w:val="single" w:sz="4" w:space="4" w:color="auto"/>
      </w:pBdr>
    </w:pPr>
  </w:style>
  <w:style w:type="paragraph" w:customStyle="1" w:styleId="blankboxedtext">
    <w:name w:val="blank boxed text"/>
    <w:basedOn w:val="BodyText"/>
    <w:qFormat/>
    <w:rsid w:val="00EB623D"/>
    <w:pPr>
      <w:pBdr>
        <w:left w:val="single" w:sz="4" w:space="4" w:color="auto"/>
        <w:right w:val="single" w:sz="4" w:space="4" w:color="auto"/>
      </w:pBdr>
    </w:pPr>
  </w:style>
  <w:style w:type="paragraph" w:customStyle="1" w:styleId="bottomblankboxedtext">
    <w:name w:val="bottom blank boxed text"/>
    <w:basedOn w:val="blankboxedtext"/>
    <w:qFormat/>
    <w:rsid w:val="00EB623D"/>
    <w:pPr>
      <w:pBdr>
        <w:bottom w:val="single" w:sz="4" w:space="1" w:color="auto"/>
      </w:pBdr>
    </w:pPr>
  </w:style>
  <w:style w:type="paragraph" w:customStyle="1" w:styleId="Notoporbottomborderboxedheading2">
    <w:name w:val="No top or bottom border boxed heading 2"/>
    <w:basedOn w:val="BLankboxedheading20"/>
    <w:qFormat/>
    <w:rsid w:val="00EB623D"/>
    <w:pPr>
      <w:pBdr>
        <w:top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D3807F89AB44CB424154A1F36DC2C" ma:contentTypeVersion="9" ma:contentTypeDescription="Create a new document." ma:contentTypeScope="" ma:versionID="b88ea55b77e8f0e48073b5c974e7dc32">
  <xsd:schema xmlns:xsd="http://www.w3.org/2001/XMLSchema" xmlns:xs="http://www.w3.org/2001/XMLSchema" xmlns:p="http://schemas.microsoft.com/office/2006/metadata/properties" xmlns:ns1="http://schemas.microsoft.com/sharepoint/v3" xmlns:ns2="7e3fe94c-9cb0-4ca0-9e62-6a8d18e0a16d" targetNamespace="http://schemas.microsoft.com/office/2006/metadata/properties" ma:root="true" ma:fieldsID="dddf1373202f2ade8a9feb5f463e9f10" ns1:_="" ns2:_="">
    <xsd:import namespace="http://schemas.microsoft.com/sharepoint/v3"/>
    <xsd:import namespace="7e3fe94c-9cb0-4ca0-9e62-6a8d18e0a16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fe94c-9cb0-4ca0-9e62-6a8d18e0a1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838FD-70EA-45D1-90F7-9E3FA741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3fe94c-9cb0-4ca0-9e62-6a8d18e0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8950A-FF5D-4376-AD61-3E79063FC14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E2E6C1-0453-4DFF-9FDA-4310354B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1338</Words>
  <Characters>6947</Characters>
  <Application>Microsoft Office Word</Application>
  <DocSecurity>0</DocSecurity>
  <Lines>434</Lines>
  <Paragraphs>295</Paragraphs>
  <ScaleCrop>false</ScaleCrop>
  <HeadingPairs>
    <vt:vector size="2" baseType="variant">
      <vt:variant>
        <vt:lpstr>Title</vt:lpstr>
      </vt:variant>
      <vt:variant>
        <vt:i4>1</vt:i4>
      </vt:variant>
    </vt:vector>
  </HeadingPairs>
  <TitlesOfParts>
    <vt:vector size="1" baseType="lpstr">
      <vt:lpstr> </vt:lpstr>
    </vt:vector>
  </TitlesOfParts>
  <Company>Ashfield District Council</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 and mould policy review Equality Impact Assessment 16 February 2026</dc:title>
  <dc:subject/>
  <dc:creator>pc</dc:creator>
  <cp:keywords/>
  <cp:lastModifiedBy>Sharon.Simcox</cp:lastModifiedBy>
  <cp:revision>2</cp:revision>
  <cp:lastPrinted>2026-01-30T13:09:00Z</cp:lastPrinted>
  <dcterms:created xsi:type="dcterms:W3CDTF">2026-06-25T11:14:00Z</dcterms:created>
  <dcterms:modified xsi:type="dcterms:W3CDTF">2026-06-25T11:14:00Z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0x0101001A8D3807F89AB44CB424154A1F36DC2C</vt:lpwstr>
  </property>
  <property fmtid="{D5CDD505-2E9C-101B-9397-08002B2CF9AE}" pid="3" name="Order">
    <vt:r8>151200</vt:r8>
  </property>
</Properties>
</file>