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09F9" w14:textId="407A6461" w:rsidR="00733ABD" w:rsidRDefault="007C0A37" w:rsidP="003E5875">
      <w:pPr>
        <w:pStyle w:val="Heading1"/>
      </w:pPr>
      <w:bookmarkStart w:id="0" w:name="_Hlk219286045"/>
      <w:r w:rsidRPr="007C0A37">
        <w:t>H1Vg Land North of Larch Close, Underwood</w:t>
      </w:r>
    </w:p>
    <w:bookmarkEnd w:id="0"/>
    <w:p w14:paraId="66291BB5" w14:textId="1C9073D3" w:rsidR="00870052" w:rsidRDefault="00870052" w:rsidP="003E5875">
      <w:pPr>
        <w:pStyle w:val="Heading1"/>
      </w:pPr>
      <w:r>
        <w:t>Justification for Policy Requirements</w:t>
      </w:r>
    </w:p>
    <w:p w14:paraId="6D7C11A1" w14:textId="245EE73F" w:rsidR="007C0A37" w:rsidRDefault="007617EF" w:rsidP="004F3C54">
      <w:r>
        <w:t xml:space="preserve">The B600 Alfreton Road and the A608 Mansfield Road are the main access </w:t>
      </w:r>
      <w:r w:rsidR="00B83BB4">
        <w:t xml:space="preserve">routes </w:t>
      </w:r>
      <w:r>
        <w:t xml:space="preserve">between the villages and the M1 at Junction 27.  </w:t>
      </w:r>
      <w:r w:rsidR="00552BAC">
        <w:t>The junction of the B600 and the A608 at Underwood has a very tight left hand turn from the B600 into the A608</w:t>
      </w:r>
      <w:r w:rsidR="008138D9">
        <w:t>, travelling towards Junction 27 of the M1</w:t>
      </w:r>
      <w:r w:rsidR="00552BAC">
        <w:t>.  As a result</w:t>
      </w:r>
      <w:r w:rsidR="008138D9">
        <w:t>,</w:t>
      </w:r>
      <w:r w:rsidR="00552BAC">
        <w:t xml:space="preserve"> traffic rat-runs along Sandhill Road.  This is particularly so for HG</w:t>
      </w:r>
      <w:r w:rsidR="003440F5">
        <w:t>V</w:t>
      </w:r>
      <w:r w:rsidR="00552BAC">
        <w:t xml:space="preserve"> traffic travelling towards Junction 27 of the M1. </w:t>
      </w:r>
      <w:r w:rsidR="001C7017">
        <w:t xml:space="preserve"> This in turn creates a dangerous traffic environment at the junction of Sandhill Road and the A608.</w:t>
      </w:r>
      <w:r>
        <w:t xml:space="preserve">  The Sandhill Road junctions are constrained and therefore cannot be improved.  The availability of Site H1Vg Land North of Larch Close provides the opportunity to deliver </w:t>
      </w:r>
      <w:r w:rsidR="002D1CF6">
        <w:t xml:space="preserve">a </w:t>
      </w:r>
      <w:r>
        <w:t>Link Road between the B600 and the A608</w:t>
      </w:r>
      <w:r w:rsidR="00D34887">
        <w:t>, which would alleviate the B600/A608 junction and the resulting rat-running through Sandhill Road</w:t>
      </w:r>
      <w:r>
        <w:t xml:space="preserve">.    </w:t>
      </w:r>
      <w:r w:rsidR="001C7017">
        <w:t xml:space="preserve">  </w:t>
      </w:r>
      <w:r w:rsidR="00552BAC">
        <w:t xml:space="preserve">   </w:t>
      </w:r>
    </w:p>
    <w:p w14:paraId="08BA0CBE" w14:textId="2FEC513A" w:rsidR="007902C3" w:rsidRDefault="007902C3" w:rsidP="004F3C54">
      <w:r>
        <w:t xml:space="preserve">Although there is limited development in the villages to justify </w:t>
      </w:r>
      <w:r w:rsidR="00B5503B">
        <w:t xml:space="preserve">the prioritisation of </w:t>
      </w:r>
      <w:r>
        <w:t>this scheme</w:t>
      </w:r>
      <w:r w:rsidR="00BA1B81">
        <w:t xml:space="preserve"> in a county-wide context</w:t>
      </w:r>
      <w:r>
        <w:t xml:space="preserve">, there is a widespread acknowledgement that this is a congested and dangerous junction.  </w:t>
      </w:r>
      <w:r w:rsidR="006A27DA">
        <w:t xml:space="preserve">This situation is expected to </w:t>
      </w:r>
      <w:r>
        <w:t xml:space="preserve">get worse with new development, both commercial and residential, </w:t>
      </w:r>
      <w:r w:rsidR="002D1CF6">
        <w:t xml:space="preserve">as traffic and users </w:t>
      </w:r>
      <w:r w:rsidR="00A144AB">
        <w:t xml:space="preserve">will </w:t>
      </w:r>
      <w:r>
        <w:t xml:space="preserve">require access to and from the M1. </w:t>
      </w:r>
      <w:r w:rsidR="008D2D0B">
        <w:t xml:space="preserve"> </w:t>
      </w:r>
    </w:p>
    <w:p w14:paraId="122A9171" w14:textId="13D8F860" w:rsidR="002A3A5F" w:rsidRPr="002A3A5F" w:rsidRDefault="000B384E" w:rsidP="004F3C54">
      <w:pPr>
        <w:rPr>
          <w:szCs w:val="24"/>
        </w:rPr>
      </w:pPr>
      <w:r>
        <w:t xml:space="preserve">The </w:t>
      </w:r>
      <w:r w:rsidR="007C0A37">
        <w:t>SHELAA</w:t>
      </w:r>
      <w:r w:rsidR="007C0A37" w:rsidRPr="007C0A37">
        <w:t> </w:t>
      </w:r>
      <w:r w:rsidR="007C0A37">
        <w:t>(</w:t>
      </w:r>
      <w:hyperlink r:id="rId7" w:tooltip="SHELAA Sites in Rural areas 2025" w:history="1">
        <w:r w:rsidR="007C0A37" w:rsidRPr="007C0A37">
          <w:rPr>
            <w:rStyle w:val="Hyperlink"/>
            <w:color w:val="auto"/>
            <w:u w:val="none"/>
          </w:rPr>
          <w:t>Appendix H - SHELAA sites in Rural Areas (AMENDED)</w:t>
        </w:r>
      </w:hyperlink>
      <w:r w:rsidR="00B509F7">
        <w:t xml:space="preserve"> (</w:t>
      </w:r>
      <w:r w:rsidR="00B509F7" w:rsidRPr="00B509F7">
        <w:t>SEV.20dd</w:t>
      </w:r>
      <w:r w:rsidR="007C0A37">
        <w:t>)</w:t>
      </w:r>
      <w:r w:rsidR="00B509F7">
        <w:t>)</w:t>
      </w:r>
      <w:r>
        <w:t xml:space="preserve"> </w:t>
      </w:r>
      <w:r w:rsidR="00846148">
        <w:t xml:space="preserve">summarises </w:t>
      </w:r>
      <w:r w:rsidR="002A3A5F">
        <w:t xml:space="preserve">comments from Nottinghamshire County Council Highways </w:t>
      </w:r>
      <w:r w:rsidR="00846148">
        <w:t>in the Site Details for Site SJU043  99 Mansfield Road, Underwood</w:t>
      </w:r>
      <w:r w:rsidR="00D458FA">
        <w:t xml:space="preserve">.  </w:t>
      </w:r>
      <w:r w:rsidR="00C24FFF">
        <w:t>S</w:t>
      </w:r>
      <w:r w:rsidR="00D458FA">
        <w:t>ite</w:t>
      </w:r>
      <w:r w:rsidR="00C24FFF">
        <w:t xml:space="preserve"> SJU043</w:t>
      </w:r>
      <w:r w:rsidR="00D458FA">
        <w:t xml:space="preserve"> </w:t>
      </w:r>
      <w:r w:rsidR="00846148">
        <w:t xml:space="preserve">forms part of proposed allocation H1Vg.  The Site Details </w:t>
      </w:r>
      <w:r w:rsidR="00902B9B">
        <w:t xml:space="preserve">for SJU043 </w:t>
      </w:r>
      <w:r w:rsidR="00D458FA">
        <w:rPr>
          <w:szCs w:val="24"/>
        </w:rPr>
        <w:t>state</w:t>
      </w:r>
      <w:r w:rsidR="002A3A5F" w:rsidRPr="002A3A5F">
        <w:rPr>
          <w:szCs w:val="24"/>
        </w:rPr>
        <w:t>:</w:t>
      </w:r>
    </w:p>
    <w:p w14:paraId="48D832A6" w14:textId="594CBD9F" w:rsidR="00C01B6D" w:rsidRPr="00797405" w:rsidRDefault="002A3A5F" w:rsidP="00135558">
      <w:pPr>
        <w:ind w:left="720"/>
        <w:rPr>
          <w:rFonts w:cs="Arial"/>
          <w:szCs w:val="24"/>
        </w:rPr>
      </w:pPr>
      <w:r w:rsidRPr="002A3A5F">
        <w:rPr>
          <w:szCs w:val="24"/>
        </w:rPr>
        <w:t>‘</w:t>
      </w:r>
      <w:r w:rsidRPr="00EA06EB">
        <w:rPr>
          <w:i/>
          <w:iCs/>
          <w:szCs w:val="24"/>
        </w:rPr>
        <w:t>This</w:t>
      </w:r>
      <w:r w:rsidRPr="00EA06EB">
        <w:rPr>
          <w:rFonts w:ascii="Times New Roman" w:hAnsi="Times New Roman"/>
          <w:i/>
          <w:iCs/>
          <w:szCs w:val="24"/>
        </w:rPr>
        <w:t xml:space="preserve"> </w:t>
      </w:r>
      <w:r w:rsidRPr="00EA06EB">
        <w:rPr>
          <w:i/>
          <w:iCs/>
          <w:szCs w:val="24"/>
        </w:rPr>
        <w:t>site</w:t>
      </w:r>
      <w:r w:rsidRPr="00EA06EB">
        <w:rPr>
          <w:rFonts w:ascii="Times New Roman" w:hAnsi="Times New Roman"/>
          <w:i/>
          <w:iCs/>
          <w:szCs w:val="24"/>
        </w:rPr>
        <w:t xml:space="preserve"> </w:t>
      </w:r>
      <w:r w:rsidRPr="00EA06EB">
        <w:rPr>
          <w:i/>
          <w:iCs/>
          <w:szCs w:val="24"/>
        </w:rPr>
        <w:t>potentially</w:t>
      </w:r>
      <w:r w:rsidRPr="00EA06EB">
        <w:rPr>
          <w:rFonts w:ascii="Times New Roman" w:hAnsi="Times New Roman"/>
          <w:i/>
          <w:iCs/>
          <w:szCs w:val="24"/>
        </w:rPr>
        <w:t xml:space="preserve"> </w:t>
      </w:r>
      <w:r w:rsidRPr="00EA06EB">
        <w:rPr>
          <w:i/>
          <w:iCs/>
          <w:szCs w:val="24"/>
        </w:rPr>
        <w:t>could</w:t>
      </w:r>
      <w:r w:rsidRPr="00EA06EB">
        <w:rPr>
          <w:rFonts w:ascii="Times New Roman" w:hAnsi="Times New Roman"/>
          <w:i/>
          <w:iCs/>
          <w:szCs w:val="24"/>
        </w:rPr>
        <w:t xml:space="preserve"> </w:t>
      </w:r>
      <w:r w:rsidRPr="00EA06EB">
        <w:rPr>
          <w:i/>
          <w:iCs/>
          <w:szCs w:val="24"/>
        </w:rPr>
        <w:t>be</w:t>
      </w:r>
      <w:r w:rsidRPr="00EA06EB">
        <w:rPr>
          <w:rFonts w:ascii="Times New Roman" w:hAnsi="Times New Roman"/>
          <w:i/>
          <w:iCs/>
          <w:szCs w:val="24"/>
        </w:rPr>
        <w:t xml:space="preserve"> </w:t>
      </w:r>
      <w:r w:rsidRPr="00EA06EB">
        <w:rPr>
          <w:i/>
          <w:iCs/>
          <w:szCs w:val="24"/>
        </w:rPr>
        <w:t>combined</w:t>
      </w:r>
      <w:r w:rsidRPr="00EA06EB">
        <w:rPr>
          <w:rFonts w:ascii="Times New Roman" w:hAnsi="Times New Roman"/>
          <w:i/>
          <w:iCs/>
          <w:szCs w:val="24"/>
        </w:rPr>
        <w:t xml:space="preserve"> </w:t>
      </w:r>
      <w:r w:rsidRPr="00EA06EB">
        <w:rPr>
          <w:i/>
          <w:iCs/>
          <w:szCs w:val="24"/>
        </w:rPr>
        <w:t>with</w:t>
      </w:r>
      <w:r w:rsidRPr="00EA06EB">
        <w:rPr>
          <w:rFonts w:ascii="Times New Roman" w:hAnsi="Times New Roman"/>
          <w:i/>
          <w:iCs/>
          <w:szCs w:val="24"/>
        </w:rPr>
        <w:t xml:space="preserve"> </w:t>
      </w:r>
      <w:r w:rsidRPr="00EA06EB">
        <w:rPr>
          <w:i/>
          <w:iCs/>
          <w:szCs w:val="24"/>
        </w:rPr>
        <w:t>the</w:t>
      </w:r>
      <w:r w:rsidRPr="00EA06EB">
        <w:rPr>
          <w:rFonts w:ascii="Times New Roman" w:hAnsi="Times New Roman"/>
          <w:i/>
          <w:iCs/>
          <w:szCs w:val="24"/>
        </w:rPr>
        <w:t xml:space="preserve"> </w:t>
      </w:r>
      <w:r w:rsidRPr="00EA06EB">
        <w:rPr>
          <w:i/>
          <w:iCs/>
          <w:szCs w:val="24"/>
        </w:rPr>
        <w:t>land</w:t>
      </w:r>
      <w:r w:rsidRPr="00EA06EB">
        <w:rPr>
          <w:rFonts w:ascii="Times New Roman" w:hAnsi="Times New Roman"/>
          <w:i/>
          <w:iCs/>
          <w:szCs w:val="24"/>
        </w:rPr>
        <w:t xml:space="preserve"> </w:t>
      </w:r>
      <w:r w:rsidRPr="00EA06EB">
        <w:rPr>
          <w:i/>
          <w:iCs/>
          <w:szCs w:val="24"/>
        </w:rPr>
        <w:t>to</w:t>
      </w:r>
      <w:r w:rsidRPr="00EA06EB">
        <w:rPr>
          <w:rFonts w:ascii="Times New Roman" w:hAnsi="Times New Roman"/>
          <w:i/>
          <w:iCs/>
          <w:szCs w:val="24"/>
        </w:rPr>
        <w:t xml:space="preserve"> </w:t>
      </w:r>
      <w:r w:rsidRPr="00EA06EB">
        <w:rPr>
          <w:i/>
          <w:iCs/>
          <w:szCs w:val="24"/>
        </w:rPr>
        <w:t>the</w:t>
      </w:r>
      <w:r w:rsidRPr="00EA06EB">
        <w:rPr>
          <w:rFonts w:ascii="Times New Roman" w:hAnsi="Times New Roman"/>
          <w:i/>
          <w:iCs/>
          <w:szCs w:val="24"/>
        </w:rPr>
        <w:t xml:space="preserve"> </w:t>
      </w:r>
      <w:r w:rsidRPr="00EA06EB">
        <w:rPr>
          <w:i/>
          <w:iCs/>
          <w:szCs w:val="24"/>
        </w:rPr>
        <w:t>rear</w:t>
      </w:r>
      <w:r w:rsidRPr="00EA06EB">
        <w:rPr>
          <w:rFonts w:ascii="Times New Roman" w:hAnsi="Times New Roman"/>
          <w:i/>
          <w:iCs/>
          <w:szCs w:val="24"/>
        </w:rPr>
        <w:t xml:space="preserve"> </w:t>
      </w:r>
      <w:r w:rsidRPr="00EA06EB">
        <w:rPr>
          <w:i/>
          <w:iCs/>
          <w:szCs w:val="24"/>
        </w:rPr>
        <w:t>(site</w:t>
      </w:r>
      <w:r w:rsidRPr="00EA06EB">
        <w:rPr>
          <w:rFonts w:ascii="Times New Roman" w:hAnsi="Times New Roman"/>
          <w:i/>
          <w:iCs/>
          <w:szCs w:val="24"/>
        </w:rPr>
        <w:t xml:space="preserve"> </w:t>
      </w:r>
      <w:r w:rsidRPr="00EA06EB">
        <w:rPr>
          <w:i/>
          <w:iCs/>
          <w:szCs w:val="24"/>
        </w:rPr>
        <w:t>SJU031)</w:t>
      </w:r>
      <w:r w:rsidRPr="00EA06EB">
        <w:rPr>
          <w:rFonts w:ascii="Times New Roman" w:hAnsi="Times New Roman"/>
          <w:i/>
          <w:iCs/>
          <w:szCs w:val="24"/>
        </w:rPr>
        <w:t xml:space="preserve"> </w:t>
      </w:r>
      <w:r w:rsidRPr="00EA06EB">
        <w:rPr>
          <w:i/>
          <w:iCs/>
          <w:szCs w:val="24"/>
        </w:rPr>
        <w:t>to</w:t>
      </w:r>
      <w:r w:rsidRPr="00EA06EB">
        <w:rPr>
          <w:rFonts w:ascii="Times New Roman" w:hAnsi="Times New Roman"/>
          <w:i/>
          <w:iCs/>
          <w:szCs w:val="24"/>
        </w:rPr>
        <w:t xml:space="preserve"> </w:t>
      </w:r>
      <w:r w:rsidRPr="00EA06EB">
        <w:rPr>
          <w:i/>
          <w:iCs/>
          <w:szCs w:val="24"/>
        </w:rPr>
        <w:t>form</w:t>
      </w:r>
      <w:r w:rsidRPr="00EA06EB">
        <w:rPr>
          <w:rFonts w:ascii="Times New Roman" w:hAnsi="Times New Roman"/>
          <w:i/>
          <w:iCs/>
          <w:spacing w:val="40"/>
          <w:szCs w:val="24"/>
        </w:rPr>
        <w:t xml:space="preserve"> </w:t>
      </w:r>
      <w:r w:rsidRPr="00EA06EB">
        <w:rPr>
          <w:i/>
          <w:iCs/>
          <w:szCs w:val="24"/>
        </w:rPr>
        <w:t>new</w:t>
      </w:r>
      <w:r w:rsidRPr="00EA06EB">
        <w:rPr>
          <w:rFonts w:ascii="Times New Roman" w:hAnsi="Times New Roman"/>
          <w:i/>
          <w:iCs/>
          <w:szCs w:val="24"/>
        </w:rPr>
        <w:t xml:space="preserve"> </w:t>
      </w:r>
      <w:r w:rsidRPr="00EA06EB">
        <w:rPr>
          <w:i/>
          <w:iCs/>
          <w:szCs w:val="24"/>
        </w:rPr>
        <w:t>high</w:t>
      </w:r>
      <w:r w:rsidRPr="00EA06EB">
        <w:rPr>
          <w:rFonts w:ascii="Times New Roman" w:hAnsi="Times New Roman"/>
          <w:i/>
          <w:iCs/>
          <w:szCs w:val="24"/>
        </w:rPr>
        <w:t xml:space="preserve"> </w:t>
      </w:r>
      <w:r w:rsidRPr="00EA06EB">
        <w:rPr>
          <w:rFonts w:cs="Arial"/>
          <w:i/>
          <w:iCs/>
          <w:szCs w:val="24"/>
        </w:rPr>
        <w:t>category DMRB link road (circa 20m corridor) between A608 and the B600 to reduce</w:t>
      </w:r>
      <w:r w:rsidRPr="00EA06EB">
        <w:rPr>
          <w:rFonts w:cs="Arial"/>
          <w:i/>
          <w:iCs/>
          <w:spacing w:val="40"/>
          <w:szCs w:val="24"/>
        </w:rPr>
        <w:t xml:space="preserve"> </w:t>
      </w:r>
      <w:r w:rsidRPr="00EA06EB">
        <w:rPr>
          <w:rFonts w:cs="Arial"/>
          <w:i/>
          <w:iCs/>
          <w:szCs w:val="24"/>
        </w:rPr>
        <w:t>traffic 'rat running’ along Sandhills Rd</w:t>
      </w:r>
      <w:r w:rsidRPr="00797405">
        <w:rPr>
          <w:rFonts w:cs="Arial"/>
          <w:szCs w:val="24"/>
        </w:rPr>
        <w:t>.’</w:t>
      </w:r>
    </w:p>
    <w:p w14:paraId="70B5AAD6" w14:textId="79197F67" w:rsidR="00B24398" w:rsidRDefault="000B4DEE" w:rsidP="004F3C54">
      <w:pPr>
        <w:rPr>
          <w:rFonts w:cs="Arial"/>
          <w:szCs w:val="24"/>
        </w:rPr>
      </w:pPr>
      <w:r>
        <w:rPr>
          <w:rFonts w:cs="Arial"/>
          <w:szCs w:val="24"/>
        </w:rPr>
        <w:t>The ‘Ashfield Local Plan Strategic Transport Modelling Assessment Full Report V2’ by Systra (</w:t>
      </w:r>
      <w:r w:rsidR="00B24398">
        <w:rPr>
          <w:rFonts w:cs="Arial"/>
          <w:szCs w:val="24"/>
        </w:rPr>
        <w:t>SEV 39.1</w:t>
      </w:r>
      <w:r>
        <w:rPr>
          <w:rFonts w:cs="Arial"/>
          <w:szCs w:val="24"/>
        </w:rPr>
        <w:t>)</w:t>
      </w:r>
      <w:r w:rsidR="001C775E">
        <w:rPr>
          <w:rFonts w:cs="Arial"/>
          <w:szCs w:val="24"/>
        </w:rPr>
        <w:t xml:space="preserve"> </w:t>
      </w:r>
      <w:r>
        <w:rPr>
          <w:rFonts w:cs="Arial"/>
          <w:szCs w:val="24"/>
        </w:rPr>
        <w:t>recognises in p</w:t>
      </w:r>
      <w:r w:rsidR="00B24398">
        <w:rPr>
          <w:rFonts w:cs="Arial"/>
          <w:szCs w:val="24"/>
        </w:rPr>
        <w:t>ara</w:t>
      </w:r>
      <w:r w:rsidR="001C775E">
        <w:rPr>
          <w:rFonts w:cs="Arial"/>
          <w:szCs w:val="24"/>
        </w:rPr>
        <w:t>graph</w:t>
      </w:r>
      <w:r w:rsidR="00B24398">
        <w:rPr>
          <w:rFonts w:cs="Arial"/>
          <w:szCs w:val="24"/>
        </w:rPr>
        <w:t xml:space="preserve"> 3.3.8</w:t>
      </w:r>
      <w:r>
        <w:rPr>
          <w:rFonts w:cs="Arial"/>
          <w:szCs w:val="24"/>
        </w:rPr>
        <w:t xml:space="preserve"> that:</w:t>
      </w:r>
    </w:p>
    <w:p w14:paraId="333019D8" w14:textId="73F9D45F" w:rsidR="00B24398" w:rsidRDefault="00B24398" w:rsidP="00977FD4">
      <w:pPr>
        <w:ind w:left="720"/>
      </w:pPr>
      <w:r>
        <w:rPr>
          <w:rFonts w:cs="Arial"/>
          <w:szCs w:val="24"/>
        </w:rPr>
        <w:t>‘</w:t>
      </w:r>
      <w:r w:rsidR="00F272F5" w:rsidRPr="00EA06EB">
        <w:rPr>
          <w:rFonts w:cs="Arial"/>
          <w:i/>
          <w:iCs/>
          <w:szCs w:val="24"/>
        </w:rPr>
        <w:t>During the AM Peak…</w:t>
      </w:r>
      <w:r w:rsidRPr="00EA06EB">
        <w:rPr>
          <w:i/>
          <w:iCs/>
        </w:rPr>
        <w:t>There is an increase in vehicles using the B600 and Mansfield Rd (A608) from junction 27 of the M1, as well as increases heading into Mansfield from many different directions.</w:t>
      </w:r>
      <w:r>
        <w:t>’</w:t>
      </w:r>
    </w:p>
    <w:p w14:paraId="6E609150" w14:textId="1FD761B3" w:rsidR="00D979A3" w:rsidRDefault="00D979A3" w:rsidP="00D979A3">
      <w:r>
        <w:t xml:space="preserve">The Council corresponded with the County Highways officers in April 2022 regarding the feasibility for the creation of a new strategic road link to minimise the adverse impact of HGV usage on Sandhill Road.  </w:t>
      </w:r>
    </w:p>
    <w:p w14:paraId="6D66CE3A" w14:textId="0BB8CBB8" w:rsidR="008A5922" w:rsidRDefault="008A5922" w:rsidP="00D979A3">
      <w:r>
        <w:t xml:space="preserve">Concerns regarding the number of HGVs coming through the villages and using Sandhill Road as a short cut to Junction 27 of the M1 were raised by Selston Parish </w:t>
      </w:r>
      <w:r>
        <w:lastRenderedPageBreak/>
        <w:t xml:space="preserve">Council/Neighbourhood Area Representatives at a meeting with Planning Policy Officers on 11 November 2021.  The Parish Council </w:t>
      </w:r>
      <w:r w:rsidR="006A3230">
        <w:t xml:space="preserve">noted </w:t>
      </w:r>
      <w:r w:rsidR="00D40AE0">
        <w:t>t</w:t>
      </w:r>
      <w:r w:rsidR="006A3230">
        <w:t xml:space="preserve">hat they understood that routing restrictions affecting HGVs from Park Lane industrial estate and other locations </w:t>
      </w:r>
      <w:r w:rsidR="00D40AE0">
        <w:t xml:space="preserve">were resulting in HGVs using Sandhill Road to access Junction 27 of the M1 and they suggested that options could improve accessibility in the area and reduce traffic on Sandhill Road.  </w:t>
      </w:r>
    </w:p>
    <w:p w14:paraId="456B635B" w14:textId="77777777" w:rsidR="00AA78C8" w:rsidRDefault="006A3230" w:rsidP="00D979A3">
      <w:r>
        <w:t>In a letter to the Council following that meeting</w:t>
      </w:r>
      <w:r w:rsidR="00A131C3">
        <w:t>,</w:t>
      </w:r>
      <w:r w:rsidR="00D40AE0">
        <w:t xml:space="preserve"> dated 12 November 2021,</w:t>
      </w:r>
      <w:r>
        <w:t xml:space="preserve"> Selston Parish Council reiterated their concern that housing development would increase the amount of traffic on the roads, in particular Sandhill Road</w:t>
      </w:r>
      <w:r w:rsidR="00D40AE0">
        <w:t xml:space="preserve"> and that Sandhill Road is congested on a daily basis</w:t>
      </w:r>
      <w:r>
        <w:t>.</w:t>
      </w:r>
      <w:r w:rsidR="00D40AE0">
        <w:t xml:space="preserve">  </w:t>
      </w:r>
    </w:p>
    <w:p w14:paraId="5E8BFE99" w14:textId="4E02B950" w:rsidR="00FB675D" w:rsidRDefault="00C233EC" w:rsidP="00FB675D">
      <w:pPr>
        <w:pStyle w:val="NoSpacing"/>
      </w:pPr>
      <w:r w:rsidRPr="00C233EC">
        <w:rPr>
          <w:rFonts w:cs="Arial"/>
          <w:szCs w:val="24"/>
        </w:rPr>
        <w:t>When negotiating S106 contributions, the Council engages with statutory stakeholders including the County Council as Highways Authority</w:t>
      </w:r>
      <w:r w:rsidR="0088645C">
        <w:rPr>
          <w:rFonts w:cs="Arial"/>
          <w:szCs w:val="24"/>
        </w:rPr>
        <w:t>.  T</w:t>
      </w:r>
      <w:r w:rsidRPr="00C233EC">
        <w:rPr>
          <w:rFonts w:cs="Arial"/>
          <w:szCs w:val="24"/>
        </w:rPr>
        <w:t>he</w:t>
      </w:r>
      <w:r w:rsidR="0088645C">
        <w:rPr>
          <w:rFonts w:cs="Arial"/>
          <w:szCs w:val="24"/>
        </w:rPr>
        <w:t xml:space="preserve"> statutory stakeholders </w:t>
      </w:r>
      <w:r w:rsidRPr="00C233EC">
        <w:rPr>
          <w:rFonts w:cs="Arial"/>
          <w:szCs w:val="24"/>
        </w:rPr>
        <w:t xml:space="preserve">identify their requirements and the contributions received are used to match fund other funding sources.  </w:t>
      </w:r>
      <w:r w:rsidR="0023064E" w:rsidRPr="0023064E">
        <w:rPr>
          <w:rFonts w:cs="Arial"/>
          <w:szCs w:val="24"/>
        </w:rPr>
        <w:t xml:space="preserve">The Council is confident that alternative funding sources will be realised and both the Council and the County Council have a proven track record in securing additional funding.  For example, the Council has successfully secured Towns Funding for various projects. </w:t>
      </w:r>
      <w:r w:rsidR="00DB6A0B">
        <w:rPr>
          <w:rFonts w:cs="Arial"/>
          <w:szCs w:val="24"/>
        </w:rPr>
        <w:t xml:space="preserve"> Going</w:t>
      </w:r>
      <w:r w:rsidR="00DB6A0B" w:rsidRPr="001E2529">
        <w:rPr>
          <w:rFonts w:cs="Arial"/>
          <w:szCs w:val="24"/>
        </w:rPr>
        <w:t xml:space="preserve"> forward, </w:t>
      </w:r>
      <w:r w:rsidR="00B308D5" w:rsidRPr="001E2529">
        <w:rPr>
          <w:rFonts w:cs="Arial"/>
          <w:szCs w:val="24"/>
        </w:rPr>
        <w:t xml:space="preserve">the </w:t>
      </w:r>
      <w:r w:rsidR="00B308D5" w:rsidRPr="001E2529">
        <w:t xml:space="preserve">East Midlands Combined County Authority (EMCCA) will play a key role as a funding source for infrastructure, particularly in relation to transport infrastructure.  </w:t>
      </w:r>
    </w:p>
    <w:p w14:paraId="117596F4" w14:textId="3BB3246D" w:rsidR="003B54B2" w:rsidRPr="00FB675D" w:rsidRDefault="003B54B2" w:rsidP="00FB675D">
      <w:pPr>
        <w:pStyle w:val="NoSpacing"/>
        <w:rPr>
          <w:color w:val="0070C0"/>
        </w:rPr>
      </w:pPr>
      <w:r>
        <w:rPr>
          <w:rFonts w:cs="Arial"/>
          <w:szCs w:val="24"/>
        </w:rPr>
        <w:t>W</w:t>
      </w:r>
      <w:r w:rsidRPr="00622928">
        <w:rPr>
          <w:rFonts w:cs="Arial"/>
          <w:szCs w:val="24"/>
        </w:rPr>
        <w:t xml:space="preserve">here sites have significant abnormal costs, </w:t>
      </w:r>
      <w:r>
        <w:rPr>
          <w:rFonts w:cs="Arial"/>
          <w:szCs w:val="24"/>
        </w:rPr>
        <w:t xml:space="preserve">it is the Council’s view that </w:t>
      </w:r>
      <w:r w:rsidRPr="00622928">
        <w:rPr>
          <w:rFonts w:cs="Arial"/>
          <w:szCs w:val="24"/>
        </w:rPr>
        <w:t>the land value and the purchase price will be reduced to reflect these costs and</w:t>
      </w:r>
      <w:r>
        <w:rPr>
          <w:rFonts w:cs="Arial"/>
          <w:szCs w:val="24"/>
        </w:rPr>
        <w:t xml:space="preserve"> that</w:t>
      </w:r>
      <w:r w:rsidRPr="00622928">
        <w:rPr>
          <w:rFonts w:cs="Arial"/>
          <w:szCs w:val="24"/>
        </w:rPr>
        <w:t xml:space="preserve"> the overall viability of development will remain robust.</w:t>
      </w:r>
      <w:r>
        <w:rPr>
          <w:rFonts w:cs="Arial"/>
          <w:szCs w:val="24"/>
        </w:rPr>
        <w:t xml:space="preserve">  This approach is set out in the Whole Plan Viability Assessment, in paragraphs 3.17 – 3.19 and 4.23 (SEV 38).     </w:t>
      </w:r>
    </w:p>
    <w:p w14:paraId="015EAC78" w14:textId="3E01672A" w:rsidR="0052335B" w:rsidRPr="00CB0B01" w:rsidRDefault="00457DF1" w:rsidP="003B54B2">
      <w:pPr>
        <w:pStyle w:val="NoSpacing"/>
        <w:rPr>
          <w:rFonts w:cs="Arial"/>
        </w:rPr>
      </w:pPr>
      <w:r>
        <w:t>T</w:t>
      </w:r>
      <w:r w:rsidR="0052335B" w:rsidRPr="0052335B">
        <w:t xml:space="preserve">he standard benchmark used in relation to </w:t>
      </w:r>
      <w:proofErr w:type="gramStart"/>
      <w:r w:rsidR="0052335B" w:rsidRPr="0052335B">
        <w:t>anticipated</w:t>
      </w:r>
      <w:proofErr w:type="gramEnd"/>
      <w:r w:rsidR="0052335B" w:rsidRPr="0052335B">
        <w:t xml:space="preserve"> </w:t>
      </w:r>
      <w:r>
        <w:t xml:space="preserve">DfT </w:t>
      </w:r>
      <w:r w:rsidR="0052335B" w:rsidRPr="00457DF1">
        <w:t>transport funding</w:t>
      </w:r>
      <w:r>
        <w:t xml:space="preserve"> is </w:t>
      </w:r>
      <w:r w:rsidRPr="0052335B">
        <w:t>15% match funding</w:t>
      </w:r>
      <w:r w:rsidR="0052335B" w:rsidRPr="0052335B">
        <w:t xml:space="preserve">, with </w:t>
      </w:r>
      <w:r>
        <w:t>DfT</w:t>
      </w:r>
      <w:r w:rsidR="0052335B" w:rsidRPr="0052335B">
        <w:t xml:space="preserve"> typically funding 85% of a scheme cost against a 15% match funding element.  The IDP therefore assumes a funding split of </w:t>
      </w:r>
      <w:r w:rsidR="00CD341F">
        <w:t>1</w:t>
      </w:r>
      <w:r w:rsidR="0052335B" w:rsidRPr="0052335B">
        <w:t xml:space="preserve">5% / 85% on transport schemes for which external funding is anticipated and that developer contributions will meet the 15% proportion.  Should infrastructure schemes be funded by a different external funding source then schemes may be funded at a higher %, so the Council considers that this </w:t>
      </w:r>
      <w:r w:rsidR="0052335B" w:rsidRPr="00F27C0E">
        <w:rPr>
          <w:rFonts w:cs="Arial"/>
        </w:rPr>
        <w:t>allowa</w:t>
      </w:r>
      <w:r w:rsidR="00141E1E">
        <w:rPr>
          <w:rFonts w:cs="Arial"/>
        </w:rPr>
        <w:t>nce</w:t>
      </w:r>
      <w:r w:rsidR="0052335B" w:rsidRPr="00F27C0E">
        <w:rPr>
          <w:rFonts w:cs="Arial"/>
        </w:rPr>
        <w:t xml:space="preserve"> for match funding represents a </w:t>
      </w:r>
      <w:r w:rsidR="0052335B" w:rsidRPr="00CB0B01">
        <w:rPr>
          <w:rFonts w:cs="Arial"/>
        </w:rPr>
        <w:t xml:space="preserve">cautious and reasonable approach.  </w:t>
      </w:r>
    </w:p>
    <w:p w14:paraId="7444FDED" w14:textId="432809D3" w:rsidR="00C266CA" w:rsidRPr="00CB0B01" w:rsidRDefault="00115492" w:rsidP="00A5531B">
      <w:pPr>
        <w:rPr>
          <w:rFonts w:eastAsia="Times New Roman" w:cs="Arial"/>
        </w:rPr>
      </w:pPr>
      <w:r w:rsidRPr="00CB0B01">
        <w:rPr>
          <w:rFonts w:cs="Arial"/>
          <w:color w:val="000000"/>
        </w:rPr>
        <w:t xml:space="preserve">The Whole Plan Viability Assessment (SEV 38) has a benchmark land value </w:t>
      </w:r>
      <w:r w:rsidR="002E3DF3">
        <w:rPr>
          <w:rFonts w:cs="Arial"/>
          <w:color w:val="000000"/>
        </w:rPr>
        <w:t xml:space="preserve">(BLV) </w:t>
      </w:r>
      <w:r w:rsidRPr="00CB0B01">
        <w:rPr>
          <w:rFonts w:cs="Arial"/>
          <w:color w:val="000000"/>
        </w:rPr>
        <w:t xml:space="preserve">allowance of £1.26 Million per ha in this sub-market area. This is derived </w:t>
      </w:r>
      <w:r w:rsidRPr="00CB0B01">
        <w:rPr>
          <w:rFonts w:cs="Arial"/>
        </w:rPr>
        <w:t>from the benchmark values set out in the viability appraisals supporting the report</w:t>
      </w:r>
      <w:r w:rsidR="005E6ADF" w:rsidRPr="00CB0B01">
        <w:rPr>
          <w:rFonts w:eastAsia="Times New Roman" w:cs="Arial"/>
        </w:rPr>
        <w:t xml:space="preserve"> </w:t>
      </w:r>
      <w:r w:rsidRPr="00CB0B01">
        <w:rPr>
          <w:rFonts w:cs="Arial"/>
        </w:rPr>
        <w:t>and the density assumptions at para 4.9 on page 2</w:t>
      </w:r>
      <w:r w:rsidR="005A0675" w:rsidRPr="00CB0B01">
        <w:rPr>
          <w:rFonts w:cs="Arial"/>
        </w:rPr>
        <w:t>7</w:t>
      </w:r>
      <w:r w:rsidRPr="00CB0B01">
        <w:rPr>
          <w:rFonts w:cs="Arial"/>
        </w:rPr>
        <w:t xml:space="preserve"> of the report</w:t>
      </w:r>
      <w:r w:rsidR="00BC2902" w:rsidRPr="00CB0B01">
        <w:rPr>
          <w:rFonts w:cs="Arial"/>
        </w:rPr>
        <w:t xml:space="preserve"> and</w:t>
      </w:r>
      <w:r w:rsidRPr="00CB0B01">
        <w:rPr>
          <w:rFonts w:cs="Arial"/>
        </w:rPr>
        <w:t xml:space="preserve"> illustrated in the tables below</w:t>
      </w:r>
      <w:r w:rsidR="00DE05B7">
        <w:rPr>
          <w:rFonts w:cs="Arial"/>
        </w:rPr>
        <w:t>,</w:t>
      </w:r>
      <w:r w:rsidR="00205246" w:rsidRPr="00CB0B01">
        <w:rPr>
          <w:rFonts w:cs="Arial"/>
        </w:rPr>
        <w:t xml:space="preserve"> which </w:t>
      </w:r>
      <w:r w:rsidR="000967D0" w:rsidRPr="00CB0B01">
        <w:rPr>
          <w:rFonts w:cs="Arial"/>
        </w:rPr>
        <w:t>are</w:t>
      </w:r>
      <w:r w:rsidR="00205246" w:rsidRPr="00CB0B01">
        <w:rPr>
          <w:rFonts w:cs="Arial"/>
        </w:rPr>
        <w:t xml:space="preserve"> extracted from </w:t>
      </w:r>
      <w:r w:rsidR="005E6ADF" w:rsidRPr="00CB0B01">
        <w:rPr>
          <w:rFonts w:eastAsia="Times New Roman" w:cs="Arial"/>
        </w:rPr>
        <w:t>the viability models.  The</w:t>
      </w:r>
      <w:r w:rsidR="00C266CA" w:rsidRPr="00CB0B01">
        <w:rPr>
          <w:rFonts w:eastAsia="Times New Roman" w:cs="Arial"/>
        </w:rPr>
        <w:t xml:space="preserve"> table </w:t>
      </w:r>
      <w:r w:rsidR="009177B8" w:rsidRPr="00CB0B01">
        <w:rPr>
          <w:rFonts w:eastAsia="Times New Roman" w:cs="Arial"/>
        </w:rPr>
        <w:t xml:space="preserve">below </w:t>
      </w:r>
      <w:r w:rsidR="00C266CA" w:rsidRPr="00CB0B01">
        <w:rPr>
          <w:rFonts w:eastAsia="Times New Roman" w:cs="Arial"/>
        </w:rPr>
        <w:t xml:space="preserve">shows the </w:t>
      </w:r>
      <w:r w:rsidR="005E6ADF" w:rsidRPr="00CB0B01">
        <w:rPr>
          <w:rFonts w:eastAsia="Times New Roman" w:cs="Arial"/>
        </w:rPr>
        <w:t xml:space="preserve">benchmark land values for each house type from the relevant typology test (greenfield medium zone).  In order to convert these into </w:t>
      </w:r>
      <w:r w:rsidR="006D01DE" w:rsidRPr="00CB0B01">
        <w:rPr>
          <w:rFonts w:eastAsia="Times New Roman" w:cs="Arial"/>
        </w:rPr>
        <w:t>b</w:t>
      </w:r>
      <w:r w:rsidR="005E6ADF" w:rsidRPr="00CB0B01">
        <w:rPr>
          <w:rFonts w:eastAsia="Times New Roman" w:cs="Arial"/>
        </w:rPr>
        <w:t xml:space="preserve">enchmark </w:t>
      </w:r>
      <w:r w:rsidR="006D01DE" w:rsidRPr="00CB0B01">
        <w:rPr>
          <w:rFonts w:eastAsia="Times New Roman" w:cs="Arial"/>
        </w:rPr>
        <w:t>l</w:t>
      </w:r>
      <w:r w:rsidR="005E6ADF" w:rsidRPr="00CB0B01">
        <w:rPr>
          <w:rFonts w:eastAsia="Times New Roman" w:cs="Arial"/>
        </w:rPr>
        <w:t xml:space="preserve">and </w:t>
      </w:r>
      <w:r w:rsidR="006D01DE" w:rsidRPr="00CB0B01">
        <w:rPr>
          <w:rFonts w:eastAsia="Times New Roman" w:cs="Arial"/>
        </w:rPr>
        <w:t>v</w:t>
      </w:r>
      <w:r w:rsidR="005E6ADF" w:rsidRPr="00CB0B01">
        <w:rPr>
          <w:rFonts w:eastAsia="Times New Roman" w:cs="Arial"/>
        </w:rPr>
        <w:t xml:space="preserve">alues </w:t>
      </w:r>
      <w:r w:rsidR="005E6ADF" w:rsidRPr="00CB0B01">
        <w:rPr>
          <w:rFonts w:eastAsia="Times New Roman" w:cs="Arial"/>
          <w:i/>
          <w:iCs/>
        </w:rPr>
        <w:t>per Ha</w:t>
      </w:r>
      <w:r w:rsidR="005E6ADF" w:rsidRPr="00CB0B01">
        <w:rPr>
          <w:rFonts w:eastAsia="Times New Roman" w:cs="Arial"/>
        </w:rPr>
        <w:t xml:space="preserve"> the relevant land value is multiplied by the relevant density </w:t>
      </w:r>
      <w:proofErr w:type="spellStart"/>
      <w:r w:rsidR="005E6ADF" w:rsidRPr="00CB0B01">
        <w:rPr>
          <w:rFonts w:eastAsia="Times New Roman" w:cs="Arial"/>
        </w:rPr>
        <w:t>eg</w:t>
      </w:r>
      <w:proofErr w:type="spellEnd"/>
      <w:r w:rsidR="005E6ADF" w:rsidRPr="00CB0B01">
        <w:rPr>
          <w:rFonts w:eastAsia="Times New Roman" w:cs="Arial"/>
        </w:rPr>
        <w:t xml:space="preserve"> 2 Bed Houses</w:t>
      </w:r>
      <w:r w:rsidR="00EF6D2C" w:rsidRPr="00CB0B01">
        <w:rPr>
          <w:rFonts w:eastAsia="Times New Roman" w:cs="Arial"/>
        </w:rPr>
        <w:t>:</w:t>
      </w:r>
      <w:r w:rsidR="005E6ADF" w:rsidRPr="00CB0B01">
        <w:rPr>
          <w:rFonts w:eastAsia="Times New Roman" w:cs="Arial"/>
        </w:rPr>
        <w:t xml:space="preserve"> £31,616 x 40 per Ha = £1,264,640 </w:t>
      </w:r>
      <w:r w:rsidR="00FD077C">
        <w:rPr>
          <w:rFonts w:eastAsia="Times New Roman" w:cs="Arial"/>
        </w:rPr>
        <w:t xml:space="preserve">BLV </w:t>
      </w:r>
      <w:r w:rsidR="005E6ADF" w:rsidRPr="00CB0B01">
        <w:rPr>
          <w:rFonts w:eastAsia="Times New Roman" w:cs="Arial"/>
        </w:rPr>
        <w:t>per Ha. </w:t>
      </w:r>
    </w:p>
    <w:p w14:paraId="226E8149" w14:textId="77777777" w:rsidR="000C3913" w:rsidRDefault="000C3913" w:rsidP="00DE05B7">
      <w:pPr>
        <w:rPr>
          <w:rFonts w:ascii="Aptos" w:hAnsi="Aptos" w:cs="Arial"/>
          <w:b/>
          <w:bCs/>
          <w:color w:val="000000"/>
          <w:kern w:val="0"/>
          <w:sz w:val="20"/>
          <w:szCs w:val="20"/>
          <w:lang w:eastAsia="en-GB"/>
          <w14:ligatures w14:val="none"/>
        </w:rPr>
      </w:pPr>
    </w:p>
    <w:p w14:paraId="340B5D1C" w14:textId="16D4942B" w:rsidR="00115492" w:rsidRDefault="00115492" w:rsidP="00115492">
      <w:pPr>
        <w:pStyle w:val="elementtoproof"/>
      </w:pPr>
      <w:r>
        <w:rPr>
          <w:rFonts w:ascii="Aptos" w:hAnsi="Aptos"/>
          <w:b/>
          <w:bCs/>
          <w:color w:val="000000"/>
          <w:sz w:val="20"/>
          <w:szCs w:val="20"/>
        </w:rPr>
        <w:t>Medium Zone Green</w:t>
      </w:r>
      <w:r w:rsidR="000B3536">
        <w:rPr>
          <w:rFonts w:ascii="Aptos" w:hAnsi="Aptos"/>
          <w:b/>
          <w:bCs/>
          <w:color w:val="000000"/>
          <w:sz w:val="20"/>
          <w:szCs w:val="20"/>
        </w:rPr>
        <w:t>f</w:t>
      </w:r>
      <w:r>
        <w:rPr>
          <w:rFonts w:ascii="Aptos" w:hAnsi="Aptos"/>
          <w:b/>
          <w:bCs/>
          <w:color w:val="000000"/>
          <w:sz w:val="20"/>
          <w:szCs w:val="20"/>
        </w:rPr>
        <w:t>ield Benchmark Land Values</w:t>
      </w:r>
    </w:p>
    <w:p w14:paraId="32FFD89C" w14:textId="33C394EB" w:rsidR="00115492" w:rsidRDefault="00115492" w:rsidP="00115492">
      <w:pPr>
        <w:pStyle w:val="elementtoproof"/>
      </w:pPr>
      <w:r>
        <w:rPr>
          <w:rFonts w:ascii="Aptos" w:hAnsi="Aptos"/>
          <w:noProof/>
          <w:color w:val="000000"/>
        </w:rPr>
        <w:lastRenderedPageBreak/>
        <w:drawing>
          <wp:inline distT="0" distB="0" distL="0" distR="0" wp14:anchorId="0E10ADD1" wp14:editId="5B223172">
            <wp:extent cx="6192520" cy="1449705"/>
            <wp:effectExtent l="0" t="0" r="17780" b="17145"/>
            <wp:docPr id="43496575" name="Picture 1" descr="Table from Whole Plan Viability Assessment (SEV.38), showing benchmark land values for different house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6575" name="Picture 1" descr="Table from Whole Plan Viability Assessment (SEV.38), showing benchmark land values for different house type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92520" cy="1449705"/>
                    </a:xfrm>
                    <a:prstGeom prst="rect">
                      <a:avLst/>
                    </a:prstGeom>
                    <a:noFill/>
                    <a:ln>
                      <a:noFill/>
                    </a:ln>
                  </pic:spPr>
                </pic:pic>
              </a:graphicData>
            </a:graphic>
          </wp:inline>
        </w:drawing>
      </w:r>
    </w:p>
    <w:p w14:paraId="62A1E36C" w14:textId="77777777" w:rsidR="008A54AD" w:rsidRDefault="008A54AD" w:rsidP="00115492">
      <w:pPr>
        <w:pStyle w:val="elementtoproof"/>
      </w:pPr>
    </w:p>
    <w:p w14:paraId="1C0C0244" w14:textId="77777777" w:rsidR="00B84B55" w:rsidRDefault="00B84B55" w:rsidP="00115492">
      <w:pPr>
        <w:pStyle w:val="elementtoproof"/>
        <w:rPr>
          <w:rFonts w:ascii="Aptos" w:hAnsi="Aptos"/>
          <w:b/>
          <w:bCs/>
          <w:color w:val="000000"/>
          <w:sz w:val="20"/>
          <w:szCs w:val="20"/>
        </w:rPr>
      </w:pPr>
    </w:p>
    <w:p w14:paraId="1C259F8E" w14:textId="2037E9AB" w:rsidR="00115492" w:rsidRDefault="00115492" w:rsidP="00115492">
      <w:pPr>
        <w:pStyle w:val="elementtoproof"/>
      </w:pPr>
      <w:r>
        <w:rPr>
          <w:rFonts w:ascii="Aptos" w:hAnsi="Aptos"/>
          <w:b/>
          <w:bCs/>
          <w:color w:val="000000"/>
          <w:sz w:val="20"/>
          <w:szCs w:val="20"/>
        </w:rPr>
        <w:t>Apartment 100 units per Ha </w:t>
      </w:r>
    </w:p>
    <w:p w14:paraId="6A66DDFB" w14:textId="77777777" w:rsidR="00115492" w:rsidRDefault="00115492" w:rsidP="00115492">
      <w:pPr>
        <w:pStyle w:val="elementtoproof"/>
      </w:pPr>
      <w:r>
        <w:rPr>
          <w:rFonts w:ascii="Aptos" w:hAnsi="Aptos"/>
          <w:b/>
          <w:bCs/>
          <w:color w:val="000000"/>
          <w:sz w:val="20"/>
          <w:szCs w:val="20"/>
        </w:rPr>
        <w:t>2 Bed House 40 units per Ha </w:t>
      </w:r>
    </w:p>
    <w:p w14:paraId="075EC665" w14:textId="77777777" w:rsidR="00115492" w:rsidRDefault="00115492" w:rsidP="00115492">
      <w:pPr>
        <w:pStyle w:val="elementtoproof"/>
      </w:pPr>
      <w:r>
        <w:rPr>
          <w:rFonts w:ascii="Aptos" w:hAnsi="Aptos"/>
          <w:b/>
          <w:bCs/>
          <w:color w:val="000000"/>
          <w:sz w:val="20"/>
          <w:szCs w:val="20"/>
        </w:rPr>
        <w:t>3 Bed House 35 units per Ha </w:t>
      </w:r>
    </w:p>
    <w:p w14:paraId="59EDCCDC" w14:textId="77777777" w:rsidR="00115492" w:rsidRDefault="00115492" w:rsidP="00115492">
      <w:pPr>
        <w:pStyle w:val="elementtoproof"/>
      </w:pPr>
      <w:r>
        <w:rPr>
          <w:rFonts w:ascii="Aptos" w:hAnsi="Aptos"/>
          <w:b/>
          <w:bCs/>
          <w:color w:val="000000"/>
          <w:sz w:val="20"/>
          <w:szCs w:val="20"/>
        </w:rPr>
        <w:t>4 Bed House 25 units per Ha </w:t>
      </w:r>
    </w:p>
    <w:p w14:paraId="12D8E84B" w14:textId="77777777" w:rsidR="00115492" w:rsidRPr="00142AE0" w:rsidRDefault="00115492" w:rsidP="00115492">
      <w:pPr>
        <w:pStyle w:val="elementtoproof"/>
      </w:pPr>
      <w:r>
        <w:rPr>
          <w:rFonts w:ascii="Aptos" w:hAnsi="Aptos"/>
          <w:b/>
          <w:bCs/>
          <w:color w:val="000000"/>
          <w:sz w:val="20"/>
          <w:szCs w:val="20"/>
        </w:rPr>
        <w:t>5 Bed House 20 units per Ha</w:t>
      </w:r>
    </w:p>
    <w:p w14:paraId="0B18FFF7" w14:textId="1ED50805" w:rsidR="00115492" w:rsidRPr="00142AE0" w:rsidRDefault="00115492" w:rsidP="00A5531B">
      <w:pPr>
        <w:pStyle w:val="elementtoproof"/>
        <w:jc w:val="both"/>
        <w:rPr>
          <w:color w:val="000000"/>
        </w:rPr>
      </w:pPr>
      <w:r w:rsidRPr="00142AE0">
        <w:rPr>
          <w:color w:val="000000"/>
        </w:rPr>
        <w:t>The most relevant typology test to this site identifies £70 per sqm viability margin (as set out for Suburban/Rural Large</w:t>
      </w:r>
      <w:r w:rsidR="00EA77BB">
        <w:rPr>
          <w:color w:val="000000"/>
        </w:rPr>
        <w:t>-</w:t>
      </w:r>
      <w:r w:rsidRPr="00142AE0">
        <w:rPr>
          <w:color w:val="000000"/>
        </w:rPr>
        <w:t>Scale development in para 6.4 of the Whole Plan Viability Assessment, SEV 38). Assuming an average of 35 dwellings per ha and an average dwelling size of 90 sqm, this equates to a basic viability margin of £220,000 per ha for Suburban/Rural Large Scale development sites.  This margin assumes the site is in a developable state with no significant abnormal costs.</w:t>
      </w:r>
    </w:p>
    <w:p w14:paraId="5920599B" w14:textId="77777777" w:rsidR="00115492" w:rsidRPr="00142AE0" w:rsidRDefault="00115492" w:rsidP="00A5531B">
      <w:pPr>
        <w:pStyle w:val="elementtoproof"/>
        <w:jc w:val="both"/>
        <w:rPr>
          <w:color w:val="000000"/>
        </w:rPr>
      </w:pPr>
      <w:r w:rsidRPr="00142AE0">
        <w:rPr>
          <w:color w:val="000000"/>
        </w:rPr>
        <w:t>If there are significant abnormal costs to bring a site into a developable state, an alternative approach to establishing Benchmark Land Value (BLV) may be considered using a multiplier of Existing Use Value to establish the appropriate premium.  The alternative approach discussed at the Examination adopted a 10x multiplier against Existing Use Value for Greenfield Land (see Appeal Ref: APP/Q4245/W/19/3243720 Land at Warburton Lane, Trafford). </w:t>
      </w:r>
    </w:p>
    <w:p w14:paraId="6A4967B0" w14:textId="77777777" w:rsidR="00BE62FC" w:rsidRDefault="00115492" w:rsidP="00A5531B">
      <w:pPr>
        <w:pStyle w:val="elementtoproof"/>
        <w:jc w:val="both"/>
        <w:rPr>
          <w:color w:val="000000"/>
        </w:rPr>
      </w:pPr>
      <w:r w:rsidRPr="00142AE0">
        <w:rPr>
          <w:color w:val="000000"/>
        </w:rPr>
        <w:t xml:space="preserve">If this approach were applied to the Land North of Larch Close, an alternative benchmark land value of £200,000 per ha could be justified (Existing Greenfield Use Value of £20,000 per Ha x10).   Comparing this with the benchmark land value adopted in the study of </w:t>
      </w:r>
      <w:r w:rsidR="00FB0975" w:rsidRPr="00142AE0">
        <w:rPr>
          <w:color w:val="000000"/>
        </w:rPr>
        <w:t>£</w:t>
      </w:r>
      <w:r w:rsidRPr="00142AE0">
        <w:rPr>
          <w:color w:val="000000"/>
        </w:rPr>
        <w:t>1.26 Million per Ha, there would be an additional £1,060,000 per ha to deal with abnormal costs plus the basic viability margin of £220,000 per ha. </w:t>
      </w:r>
    </w:p>
    <w:p w14:paraId="7FA4636F" w14:textId="6CCF0A52" w:rsidR="00CC6694" w:rsidRDefault="00064197" w:rsidP="00A5531B">
      <w:pPr>
        <w:pStyle w:val="elementtoproof"/>
        <w:jc w:val="both"/>
      </w:pPr>
      <w:r>
        <w:rPr>
          <w:rFonts w:eastAsia="Times New Roman"/>
          <w:color w:val="000000"/>
        </w:rPr>
        <w:t xml:space="preserve">The total site area of </w:t>
      </w:r>
      <w:r w:rsidRPr="00064197">
        <w:rPr>
          <w:rFonts w:eastAsia="Times New Roman"/>
          <w:color w:val="000000"/>
        </w:rPr>
        <w:t xml:space="preserve">Site </w:t>
      </w:r>
      <w:r w:rsidRPr="00064197">
        <w:t>H1Vg Land North of Larch Close</w:t>
      </w:r>
      <w:r>
        <w:t xml:space="preserve"> is 3 </w:t>
      </w:r>
      <w:proofErr w:type="gramStart"/>
      <w:r>
        <w:t>ha</w:t>
      </w:r>
      <w:proofErr w:type="gramEnd"/>
      <w:r>
        <w:t xml:space="preserve"> and it is </w:t>
      </w:r>
      <w:r w:rsidR="00BE2594">
        <w:t xml:space="preserve">therefore </w:t>
      </w:r>
      <w:r>
        <w:t>expected that the net developable area</w:t>
      </w:r>
      <w:r w:rsidR="000C745A">
        <w:t xml:space="preserve"> of the site</w:t>
      </w:r>
      <w:r w:rsidR="00BE2594">
        <w:t xml:space="preserve">, excluding any of the site area that would be needed </w:t>
      </w:r>
      <w:r w:rsidR="00BE2594">
        <w:lastRenderedPageBreak/>
        <w:t>to deliver the Link Road, c</w:t>
      </w:r>
      <w:r>
        <w:t>ould</w:t>
      </w:r>
      <w:r w:rsidR="00BE2594">
        <w:t xml:space="preserve"> </w:t>
      </w:r>
      <w:r>
        <w:t>make a significant contribution</w:t>
      </w:r>
      <w:r w:rsidR="00BE2594">
        <w:t xml:space="preserve"> towards transport infrastructure costs</w:t>
      </w:r>
      <w:r>
        <w:t>.</w:t>
      </w:r>
    </w:p>
    <w:p w14:paraId="4AE63B23" w14:textId="075673D2" w:rsidR="00CC6694" w:rsidRDefault="0015398D" w:rsidP="00A5531B">
      <w:r>
        <w:t xml:space="preserve">The site is well located, particularly in terms of transport connections to the wider region via the M1.  </w:t>
      </w:r>
      <w:r w:rsidR="00AD7ECA">
        <w:t xml:space="preserve">It is </w:t>
      </w:r>
      <w:r w:rsidR="0021142E">
        <w:t xml:space="preserve">therefore </w:t>
      </w:r>
      <w:r w:rsidR="00AD7ECA">
        <w:t>expected that this site would be a</w:t>
      </w:r>
      <w:r w:rsidR="0021142E">
        <w:t xml:space="preserve"> very</w:t>
      </w:r>
      <w:r w:rsidR="00AD7ECA">
        <w:t xml:space="preserve"> attractive site for significantly higher value housing units than the average</w:t>
      </w:r>
      <w:r w:rsidR="0021142E">
        <w:t xml:space="preserve">.  </w:t>
      </w:r>
      <w:r>
        <w:t>It is the Council’s view that this site could therefore successfully achieve higher sales values than those assumed in the Whole Plan Viability Assessment (SEV 38)</w:t>
      </w:r>
      <w:r w:rsidR="0021142E">
        <w:t xml:space="preserve">, </w:t>
      </w:r>
      <w:r w:rsidR="00480431">
        <w:t xml:space="preserve">resulting in </w:t>
      </w:r>
      <w:r w:rsidR="0021142E">
        <w:t>higher actual viability margins per dwelling.</w:t>
      </w:r>
    </w:p>
    <w:p w14:paraId="2A53B62B" w14:textId="2A7D151F" w:rsidR="00AC7067" w:rsidRDefault="00AC7067" w:rsidP="00A5531B">
      <w:r>
        <w:t>The estimated potential yield for this site is 52 dwellings (Policy H1) allowing for the construction of the Link Road.  The Council considers this to be a very cautious estimate of the yield.  A higher actual yield on this site would further increase the potential contribution from development of this site toward the cost of the Link Road.</w:t>
      </w:r>
    </w:p>
    <w:p w14:paraId="053F0FF4" w14:textId="68F3B781" w:rsidR="00CC6694" w:rsidRDefault="00CC6694" w:rsidP="00A5531B">
      <w:r>
        <w:t xml:space="preserve">Furthermore, other development sites within the area could potentially contribute towards this scheme if proposed development would have an impact on these junctions.  Other funding sources could </w:t>
      </w:r>
      <w:r w:rsidR="0015398D">
        <w:t xml:space="preserve">also </w:t>
      </w:r>
      <w:r>
        <w:t>potentially contribute towards the cost of the</w:t>
      </w:r>
      <w:r w:rsidR="0015398D">
        <w:t xml:space="preserve"> Link Road</w:t>
      </w:r>
      <w:r>
        <w:t>.</w:t>
      </w:r>
    </w:p>
    <w:p w14:paraId="2818269B" w14:textId="2BC477FB" w:rsidR="00DC2B58" w:rsidRDefault="00CC6694" w:rsidP="00A5531B">
      <w:r>
        <w:t xml:space="preserve">There is also the opportunity to </w:t>
      </w:r>
      <w:r w:rsidR="00F312B7">
        <w:t xml:space="preserve">consider reductions to the </w:t>
      </w:r>
      <w:r>
        <w:t>affordable housing contributions for this site</w:t>
      </w:r>
      <w:r w:rsidR="00F312B7">
        <w:t xml:space="preserve">, if it were necessary, </w:t>
      </w:r>
      <w:r>
        <w:t>to enable development contribut</w:t>
      </w:r>
      <w:r w:rsidR="00F312B7">
        <w:t>ions</w:t>
      </w:r>
      <w:r>
        <w:t xml:space="preserve"> </w:t>
      </w:r>
      <w:r w:rsidR="00F312B7">
        <w:t xml:space="preserve">to be focused </w:t>
      </w:r>
      <w:r w:rsidR="004A3B79">
        <w:t xml:space="preserve">on </w:t>
      </w:r>
      <w:r>
        <w:t xml:space="preserve">the cost of the Link Road.  </w:t>
      </w:r>
      <w:r w:rsidR="00ED120D">
        <w:t>T</w:t>
      </w:r>
      <w:r w:rsidR="00165D4B">
        <w:t>h</w:t>
      </w:r>
      <w:r w:rsidR="00A341E2">
        <w:t>is could</w:t>
      </w:r>
      <w:r w:rsidR="00194EFA">
        <w:t xml:space="preserve"> further </w:t>
      </w:r>
      <w:r w:rsidR="00165D4B">
        <w:t>assis</w:t>
      </w:r>
      <w:r w:rsidR="00FB65A1">
        <w:t>t, if needed, in</w:t>
      </w:r>
      <w:r w:rsidR="00194EFA">
        <w:t xml:space="preserve"> focus</w:t>
      </w:r>
      <w:r w:rsidR="00FB65A1">
        <w:t>ing</w:t>
      </w:r>
      <w:r w:rsidR="00194EFA">
        <w:t xml:space="preserve"> </w:t>
      </w:r>
      <w:r w:rsidR="00165D4B">
        <w:t>contributions from development on this site toward the cost of the Link Road.</w:t>
      </w:r>
    </w:p>
    <w:p w14:paraId="626067EC" w14:textId="74E272AA" w:rsidR="00DB6A0B" w:rsidRPr="00811232" w:rsidRDefault="00932565" w:rsidP="00A5531B">
      <w:r>
        <w:t xml:space="preserve">Finally, </w:t>
      </w:r>
      <w:r w:rsidR="00696D9A">
        <w:t xml:space="preserve">if the availability of funding was phased, </w:t>
      </w:r>
      <w:r>
        <w:t xml:space="preserve">the Link Road could be constructed in </w:t>
      </w:r>
      <w:r w:rsidR="00696D9A">
        <w:t xml:space="preserve">two </w:t>
      </w:r>
      <w:r>
        <w:t>phases</w:t>
      </w:r>
      <w:r w:rsidR="00035751">
        <w:t>.  T</w:t>
      </w:r>
      <w:r>
        <w:t xml:space="preserve">he first phase </w:t>
      </w:r>
      <w:r w:rsidR="00035751">
        <w:t xml:space="preserve">of the Link Road could provide </w:t>
      </w:r>
      <w:r>
        <w:t>access from Mansfield Road</w:t>
      </w:r>
      <w:r w:rsidR="00035751">
        <w:t>,</w:t>
      </w:r>
      <w:r>
        <w:t xml:space="preserve"> </w:t>
      </w:r>
      <w:r w:rsidR="00035751">
        <w:t xml:space="preserve">with </w:t>
      </w:r>
      <w:r w:rsidR="00696D9A">
        <w:t xml:space="preserve">an access road from that section of the Link Road providing access into </w:t>
      </w:r>
      <w:r>
        <w:t>the developable area of the site</w:t>
      </w:r>
      <w:r w:rsidR="00696D9A">
        <w:t xml:space="preserve">.  A </w:t>
      </w:r>
      <w:r>
        <w:t xml:space="preserve">second phase </w:t>
      </w:r>
      <w:r w:rsidR="00035751">
        <w:t xml:space="preserve">of the Link Road </w:t>
      </w:r>
      <w:r w:rsidR="00696D9A">
        <w:t xml:space="preserve">could subsequently </w:t>
      </w:r>
      <w:r w:rsidR="00A6401D">
        <w:t>extend</w:t>
      </w:r>
      <w:r w:rsidR="00035751">
        <w:t xml:space="preserve"> </w:t>
      </w:r>
      <w:r>
        <w:t>the Link Road to Alfreton Road.  This could provide flexibility</w:t>
      </w:r>
      <w:r w:rsidR="004E1719">
        <w:t>,</w:t>
      </w:r>
      <w:r>
        <w:t xml:space="preserve"> </w:t>
      </w:r>
      <w:r w:rsidR="00696D9A">
        <w:t>if needed</w:t>
      </w:r>
      <w:r w:rsidR="004E1719">
        <w:t>,</w:t>
      </w:r>
      <w:r w:rsidR="00B07166">
        <w:t xml:space="preserve"> in terms of the delivery of the Link Road.</w:t>
      </w:r>
    </w:p>
    <w:p w14:paraId="7C085D98" w14:textId="272AF62F" w:rsidR="00DB6A0B" w:rsidRDefault="004A43F5" w:rsidP="00A5531B">
      <w:pPr>
        <w:pStyle w:val="NoSpacing"/>
      </w:pPr>
      <w:r w:rsidRPr="00811232">
        <w:t xml:space="preserve">Detailed mitigation measures will be addressed on a </w:t>
      </w:r>
      <w:r w:rsidR="00DB6A0B" w:rsidRPr="00811232">
        <w:t>case</w:t>
      </w:r>
      <w:r w:rsidRPr="00811232">
        <w:t>-</w:t>
      </w:r>
      <w:r w:rsidR="00DB6A0B" w:rsidRPr="00811232">
        <w:t>by</w:t>
      </w:r>
      <w:r w:rsidRPr="00811232">
        <w:t>-</w:t>
      </w:r>
      <w:r w:rsidR="00DB6A0B" w:rsidRPr="00811232">
        <w:t xml:space="preserve">case </w:t>
      </w:r>
      <w:r w:rsidRPr="00811232">
        <w:t xml:space="preserve">basis in considering </w:t>
      </w:r>
      <w:r w:rsidR="00DB6A0B" w:rsidRPr="00811232">
        <w:t xml:space="preserve">planning applications in accordance with the NPPF and other relevant policies.  The Council considers that the strategic </w:t>
      </w:r>
      <w:r w:rsidRPr="00811232">
        <w:t xml:space="preserve">assessment of </w:t>
      </w:r>
      <w:r w:rsidR="00DB6A0B" w:rsidRPr="00811232">
        <w:t>Whole Plan Viability (SEV 38) represent</w:t>
      </w:r>
      <w:r w:rsidRPr="00811232">
        <w:t>s</w:t>
      </w:r>
      <w:r w:rsidR="00DB6A0B" w:rsidRPr="00811232">
        <w:t xml:space="preserve"> a cautious approach and demonstrates that </w:t>
      </w:r>
      <w:r w:rsidRPr="00811232">
        <w:t xml:space="preserve">the </w:t>
      </w:r>
      <w:r w:rsidR="005B50E1">
        <w:t xml:space="preserve">proposed </w:t>
      </w:r>
      <w:r w:rsidRPr="00811232">
        <w:t xml:space="preserve">Link Road </w:t>
      </w:r>
      <w:r w:rsidR="00DB6A0B" w:rsidRPr="00811232">
        <w:t>c</w:t>
      </w:r>
      <w:r w:rsidR="00AB0866">
        <w:t>ould</w:t>
      </w:r>
      <w:r w:rsidR="00DB6A0B" w:rsidRPr="00811232">
        <w:t xml:space="preserve"> be delivered and funded.</w:t>
      </w:r>
    </w:p>
    <w:p w14:paraId="1F74DF87" w14:textId="0457CE65" w:rsidR="004E1719" w:rsidRDefault="003F10C2" w:rsidP="00A5531B">
      <w:r>
        <w:t xml:space="preserve">The </w:t>
      </w:r>
      <w:r w:rsidR="004E1719">
        <w:t>deliver</w:t>
      </w:r>
      <w:r>
        <w:t>y of</w:t>
      </w:r>
      <w:r w:rsidR="004E1719">
        <w:t xml:space="preserve"> a Link Road between the B600 and the A608</w:t>
      </w:r>
      <w:r>
        <w:t xml:space="preserve"> </w:t>
      </w:r>
      <w:r w:rsidR="004E1719">
        <w:t>would alleviate the B600/A608 junction and the resulting rat-running through Sandhill Road</w:t>
      </w:r>
      <w:r w:rsidR="00937D9D">
        <w:t xml:space="preserve"> and provide better access for residents and commercial traffic to and from Junction 27 of the M1</w:t>
      </w:r>
      <w:r w:rsidR="004E1719">
        <w:t>.</w:t>
      </w:r>
    </w:p>
    <w:sectPr w:rsidR="004E1719" w:rsidSect="00690CA6">
      <w:headerReference w:type="default" r:id="rId10"/>
      <w:headerReference w:type="first" r:id="rId11"/>
      <w:footerReference w:type="first" r:id="rId12"/>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5491" w14:textId="77777777" w:rsidR="00A001FE" w:rsidRDefault="00A001FE" w:rsidP="00690CA6">
      <w:pPr>
        <w:spacing w:after="0" w:line="240" w:lineRule="auto"/>
      </w:pPr>
      <w:r>
        <w:separator/>
      </w:r>
    </w:p>
  </w:endnote>
  <w:endnote w:type="continuationSeparator" w:id="0">
    <w:p w14:paraId="203290CB" w14:textId="77777777" w:rsidR="00A001FE" w:rsidRDefault="00A001FE" w:rsidP="0069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24CF" w14:textId="6212CBD9" w:rsidR="00122107" w:rsidRDefault="004F3C54">
    <w:pPr>
      <w:pStyle w:val="Footer"/>
    </w:pPr>
    <w:r>
      <w:t>14 January</w:t>
    </w:r>
    <w:r w:rsidR="00122107">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1207" w14:textId="77777777" w:rsidR="00A001FE" w:rsidRDefault="00A001FE" w:rsidP="00690CA6">
      <w:pPr>
        <w:spacing w:after="0" w:line="240" w:lineRule="auto"/>
      </w:pPr>
      <w:r>
        <w:separator/>
      </w:r>
    </w:p>
  </w:footnote>
  <w:footnote w:type="continuationSeparator" w:id="0">
    <w:p w14:paraId="5FFA08F0" w14:textId="77777777" w:rsidR="00A001FE" w:rsidRDefault="00A001FE" w:rsidP="00690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D811" w14:textId="2B472821" w:rsidR="00690CA6" w:rsidRDefault="00690CA6" w:rsidP="00690CA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AE02" w14:textId="63DB5313" w:rsidR="00690CA6" w:rsidRDefault="00690CA6" w:rsidP="00690CA6">
    <w:pPr>
      <w:pStyle w:val="Header"/>
      <w:jc w:val="right"/>
    </w:pPr>
    <w:r>
      <w:rPr>
        <w:noProof/>
      </w:rPr>
      <w:drawing>
        <wp:inline distT="0" distB="0" distL="0" distR="0" wp14:anchorId="700EFEFA" wp14:editId="177CC874">
          <wp:extent cx="2114550" cy="874395"/>
          <wp:effectExtent l="0" t="0" r="0" b="1905"/>
          <wp:docPr id="1" name="Picture 1" descr="Ashfield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874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47A"/>
    <w:multiLevelType w:val="multilevel"/>
    <w:tmpl w:val="7A3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84EAC"/>
    <w:multiLevelType w:val="multilevel"/>
    <w:tmpl w:val="AE98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624FD"/>
    <w:multiLevelType w:val="multilevel"/>
    <w:tmpl w:val="85CA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924D43"/>
    <w:multiLevelType w:val="hybridMultilevel"/>
    <w:tmpl w:val="9D2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7314C"/>
    <w:multiLevelType w:val="multilevel"/>
    <w:tmpl w:val="DCA2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512834"/>
    <w:multiLevelType w:val="hybridMultilevel"/>
    <w:tmpl w:val="4B705548"/>
    <w:lvl w:ilvl="0" w:tplc="35AEA8A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708A4"/>
    <w:multiLevelType w:val="multilevel"/>
    <w:tmpl w:val="627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909D3"/>
    <w:multiLevelType w:val="multilevel"/>
    <w:tmpl w:val="35B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420500"/>
    <w:multiLevelType w:val="hybridMultilevel"/>
    <w:tmpl w:val="E620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8554E"/>
    <w:multiLevelType w:val="multilevel"/>
    <w:tmpl w:val="D3B4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3625910">
    <w:abstractNumId w:val="6"/>
  </w:num>
  <w:num w:numId="2" w16cid:durableId="563104468">
    <w:abstractNumId w:val="0"/>
  </w:num>
  <w:num w:numId="3" w16cid:durableId="1192760985">
    <w:abstractNumId w:val="9"/>
  </w:num>
  <w:num w:numId="4" w16cid:durableId="839930275">
    <w:abstractNumId w:val="7"/>
  </w:num>
  <w:num w:numId="5" w16cid:durableId="357241063">
    <w:abstractNumId w:val="2"/>
  </w:num>
  <w:num w:numId="6" w16cid:durableId="1298954054">
    <w:abstractNumId w:val="4"/>
  </w:num>
  <w:num w:numId="7" w16cid:durableId="549151096">
    <w:abstractNumId w:val="1"/>
  </w:num>
  <w:num w:numId="8" w16cid:durableId="999507509">
    <w:abstractNumId w:val="3"/>
  </w:num>
  <w:num w:numId="9" w16cid:durableId="174197551">
    <w:abstractNumId w:val="8"/>
  </w:num>
  <w:num w:numId="10" w16cid:durableId="1452625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EA"/>
    <w:rsid w:val="000108F3"/>
    <w:rsid w:val="0002066A"/>
    <w:rsid w:val="00026D1A"/>
    <w:rsid w:val="000335F8"/>
    <w:rsid w:val="00035751"/>
    <w:rsid w:val="00050738"/>
    <w:rsid w:val="00064197"/>
    <w:rsid w:val="00082707"/>
    <w:rsid w:val="000967D0"/>
    <w:rsid w:val="000A1F25"/>
    <w:rsid w:val="000B3536"/>
    <w:rsid w:val="000B384E"/>
    <w:rsid w:val="000B3959"/>
    <w:rsid w:val="000B4DEE"/>
    <w:rsid w:val="000B525A"/>
    <w:rsid w:val="000B6275"/>
    <w:rsid w:val="000C3913"/>
    <w:rsid w:val="000C745A"/>
    <w:rsid w:val="000D7700"/>
    <w:rsid w:val="000E254F"/>
    <w:rsid w:val="000E4E76"/>
    <w:rsid w:val="000F2C46"/>
    <w:rsid w:val="000F5557"/>
    <w:rsid w:val="000F690E"/>
    <w:rsid w:val="001007B8"/>
    <w:rsid w:val="00115492"/>
    <w:rsid w:val="00122107"/>
    <w:rsid w:val="001334BC"/>
    <w:rsid w:val="00135558"/>
    <w:rsid w:val="00141E1E"/>
    <w:rsid w:val="00142AE0"/>
    <w:rsid w:val="0015398D"/>
    <w:rsid w:val="00153E3C"/>
    <w:rsid w:val="00165D4B"/>
    <w:rsid w:val="00166F64"/>
    <w:rsid w:val="001935E9"/>
    <w:rsid w:val="00194EFA"/>
    <w:rsid w:val="001A6628"/>
    <w:rsid w:val="001C5972"/>
    <w:rsid w:val="001C7017"/>
    <w:rsid w:val="001C775E"/>
    <w:rsid w:val="001E2529"/>
    <w:rsid w:val="001F2222"/>
    <w:rsid w:val="001F3061"/>
    <w:rsid w:val="001F3E95"/>
    <w:rsid w:val="00205246"/>
    <w:rsid w:val="0021142E"/>
    <w:rsid w:val="0021620C"/>
    <w:rsid w:val="0023064E"/>
    <w:rsid w:val="002768BA"/>
    <w:rsid w:val="00276C59"/>
    <w:rsid w:val="00280D72"/>
    <w:rsid w:val="00285CA8"/>
    <w:rsid w:val="002910CD"/>
    <w:rsid w:val="002A3A5F"/>
    <w:rsid w:val="002C2758"/>
    <w:rsid w:val="002C2BF2"/>
    <w:rsid w:val="002C33C6"/>
    <w:rsid w:val="002D1CF6"/>
    <w:rsid w:val="002D6F2E"/>
    <w:rsid w:val="002E3DF3"/>
    <w:rsid w:val="002F366D"/>
    <w:rsid w:val="00301CA4"/>
    <w:rsid w:val="0030521E"/>
    <w:rsid w:val="003202C3"/>
    <w:rsid w:val="00332344"/>
    <w:rsid w:val="003440F5"/>
    <w:rsid w:val="00355BE3"/>
    <w:rsid w:val="00395949"/>
    <w:rsid w:val="003B19C3"/>
    <w:rsid w:val="003B54B2"/>
    <w:rsid w:val="003E5875"/>
    <w:rsid w:val="003F01AD"/>
    <w:rsid w:val="003F10C2"/>
    <w:rsid w:val="003F79FB"/>
    <w:rsid w:val="0042606D"/>
    <w:rsid w:val="00454832"/>
    <w:rsid w:val="00457DF1"/>
    <w:rsid w:val="0047576A"/>
    <w:rsid w:val="00480431"/>
    <w:rsid w:val="00491345"/>
    <w:rsid w:val="004A3B79"/>
    <w:rsid w:val="004A43F5"/>
    <w:rsid w:val="004A5B1B"/>
    <w:rsid w:val="004D1D34"/>
    <w:rsid w:val="004E1719"/>
    <w:rsid w:val="004F3C54"/>
    <w:rsid w:val="004F7704"/>
    <w:rsid w:val="0052335B"/>
    <w:rsid w:val="00527F15"/>
    <w:rsid w:val="005316BD"/>
    <w:rsid w:val="005345A5"/>
    <w:rsid w:val="0053568E"/>
    <w:rsid w:val="00540D55"/>
    <w:rsid w:val="00550DD4"/>
    <w:rsid w:val="00552BAC"/>
    <w:rsid w:val="00555BB2"/>
    <w:rsid w:val="005568D4"/>
    <w:rsid w:val="00576C30"/>
    <w:rsid w:val="005A0675"/>
    <w:rsid w:val="005B50E1"/>
    <w:rsid w:val="005C15C4"/>
    <w:rsid w:val="005C4405"/>
    <w:rsid w:val="005C491C"/>
    <w:rsid w:val="005E6ADF"/>
    <w:rsid w:val="00603A90"/>
    <w:rsid w:val="00622928"/>
    <w:rsid w:val="0067108D"/>
    <w:rsid w:val="00676607"/>
    <w:rsid w:val="00690CA6"/>
    <w:rsid w:val="00696D9A"/>
    <w:rsid w:val="006A27DA"/>
    <w:rsid w:val="006A3230"/>
    <w:rsid w:val="006B5346"/>
    <w:rsid w:val="006D01DE"/>
    <w:rsid w:val="006D2CDC"/>
    <w:rsid w:val="006D7210"/>
    <w:rsid w:val="006E61FB"/>
    <w:rsid w:val="006E6AB4"/>
    <w:rsid w:val="006F2A43"/>
    <w:rsid w:val="007159A6"/>
    <w:rsid w:val="00733ABD"/>
    <w:rsid w:val="00740574"/>
    <w:rsid w:val="0074685E"/>
    <w:rsid w:val="007617EF"/>
    <w:rsid w:val="00761CF0"/>
    <w:rsid w:val="007700D7"/>
    <w:rsid w:val="0078237F"/>
    <w:rsid w:val="007902C3"/>
    <w:rsid w:val="00797405"/>
    <w:rsid w:val="007C0A37"/>
    <w:rsid w:val="007C729E"/>
    <w:rsid w:val="007D5791"/>
    <w:rsid w:val="007F4CDC"/>
    <w:rsid w:val="00811232"/>
    <w:rsid w:val="008138D9"/>
    <w:rsid w:val="00815BBE"/>
    <w:rsid w:val="008377B5"/>
    <w:rsid w:val="00837CF7"/>
    <w:rsid w:val="00837E2B"/>
    <w:rsid w:val="00846148"/>
    <w:rsid w:val="00862ACA"/>
    <w:rsid w:val="00870052"/>
    <w:rsid w:val="00873769"/>
    <w:rsid w:val="0088645C"/>
    <w:rsid w:val="0089176E"/>
    <w:rsid w:val="00893633"/>
    <w:rsid w:val="00896A14"/>
    <w:rsid w:val="008A0620"/>
    <w:rsid w:val="008A54AD"/>
    <w:rsid w:val="008A5922"/>
    <w:rsid w:val="008B2CF9"/>
    <w:rsid w:val="008B3F8C"/>
    <w:rsid w:val="008C247D"/>
    <w:rsid w:val="008C3066"/>
    <w:rsid w:val="008C5886"/>
    <w:rsid w:val="008D2D0B"/>
    <w:rsid w:val="008E1693"/>
    <w:rsid w:val="008F08D3"/>
    <w:rsid w:val="008F2567"/>
    <w:rsid w:val="00902B9B"/>
    <w:rsid w:val="0090557B"/>
    <w:rsid w:val="00906DFF"/>
    <w:rsid w:val="009177B8"/>
    <w:rsid w:val="00931CF9"/>
    <w:rsid w:val="00932565"/>
    <w:rsid w:val="00937D9D"/>
    <w:rsid w:val="009720C1"/>
    <w:rsid w:val="00977FD4"/>
    <w:rsid w:val="00982F1C"/>
    <w:rsid w:val="009856E3"/>
    <w:rsid w:val="00985B0F"/>
    <w:rsid w:val="00986434"/>
    <w:rsid w:val="009872F5"/>
    <w:rsid w:val="009A3982"/>
    <w:rsid w:val="009A410E"/>
    <w:rsid w:val="009C45AF"/>
    <w:rsid w:val="009D5A78"/>
    <w:rsid w:val="009E43E1"/>
    <w:rsid w:val="009E60E9"/>
    <w:rsid w:val="009F31C0"/>
    <w:rsid w:val="00A001FE"/>
    <w:rsid w:val="00A03BF5"/>
    <w:rsid w:val="00A131C3"/>
    <w:rsid w:val="00A144AB"/>
    <w:rsid w:val="00A341E2"/>
    <w:rsid w:val="00A41B8F"/>
    <w:rsid w:val="00A5531B"/>
    <w:rsid w:val="00A6401D"/>
    <w:rsid w:val="00A77A16"/>
    <w:rsid w:val="00A877ED"/>
    <w:rsid w:val="00A92454"/>
    <w:rsid w:val="00AA391B"/>
    <w:rsid w:val="00AA78C8"/>
    <w:rsid w:val="00AB0866"/>
    <w:rsid w:val="00AB7277"/>
    <w:rsid w:val="00AC7067"/>
    <w:rsid w:val="00AD7ECA"/>
    <w:rsid w:val="00AE3C5D"/>
    <w:rsid w:val="00B07166"/>
    <w:rsid w:val="00B15977"/>
    <w:rsid w:val="00B15BF6"/>
    <w:rsid w:val="00B24398"/>
    <w:rsid w:val="00B308D5"/>
    <w:rsid w:val="00B4717A"/>
    <w:rsid w:val="00B509F7"/>
    <w:rsid w:val="00B54F4E"/>
    <w:rsid w:val="00B5503B"/>
    <w:rsid w:val="00B83BB4"/>
    <w:rsid w:val="00B84B55"/>
    <w:rsid w:val="00B9082E"/>
    <w:rsid w:val="00BA1B81"/>
    <w:rsid w:val="00BC2902"/>
    <w:rsid w:val="00BD21EA"/>
    <w:rsid w:val="00BD4241"/>
    <w:rsid w:val="00BE2594"/>
    <w:rsid w:val="00BE62FC"/>
    <w:rsid w:val="00BE7475"/>
    <w:rsid w:val="00BF55F9"/>
    <w:rsid w:val="00BF71B1"/>
    <w:rsid w:val="00C011FD"/>
    <w:rsid w:val="00C01B6D"/>
    <w:rsid w:val="00C03663"/>
    <w:rsid w:val="00C06DC5"/>
    <w:rsid w:val="00C233EC"/>
    <w:rsid w:val="00C24FFF"/>
    <w:rsid w:val="00C26126"/>
    <w:rsid w:val="00C261A5"/>
    <w:rsid w:val="00C266CA"/>
    <w:rsid w:val="00C26783"/>
    <w:rsid w:val="00C32AC1"/>
    <w:rsid w:val="00C41072"/>
    <w:rsid w:val="00C86382"/>
    <w:rsid w:val="00C974BE"/>
    <w:rsid w:val="00CA3597"/>
    <w:rsid w:val="00CB0B01"/>
    <w:rsid w:val="00CC4119"/>
    <w:rsid w:val="00CC6694"/>
    <w:rsid w:val="00CD341F"/>
    <w:rsid w:val="00CE1211"/>
    <w:rsid w:val="00D114F3"/>
    <w:rsid w:val="00D22E0E"/>
    <w:rsid w:val="00D34887"/>
    <w:rsid w:val="00D35E01"/>
    <w:rsid w:val="00D3737A"/>
    <w:rsid w:val="00D40AE0"/>
    <w:rsid w:val="00D458FA"/>
    <w:rsid w:val="00D47CD4"/>
    <w:rsid w:val="00D52156"/>
    <w:rsid w:val="00D70F60"/>
    <w:rsid w:val="00D979A3"/>
    <w:rsid w:val="00DA247C"/>
    <w:rsid w:val="00DB02AC"/>
    <w:rsid w:val="00DB1BC3"/>
    <w:rsid w:val="00DB39A3"/>
    <w:rsid w:val="00DB5124"/>
    <w:rsid w:val="00DB6A0B"/>
    <w:rsid w:val="00DC2B58"/>
    <w:rsid w:val="00DC6CFC"/>
    <w:rsid w:val="00DC7E16"/>
    <w:rsid w:val="00DE05B7"/>
    <w:rsid w:val="00DE53F3"/>
    <w:rsid w:val="00E011BB"/>
    <w:rsid w:val="00E02B7D"/>
    <w:rsid w:val="00E10A8A"/>
    <w:rsid w:val="00E40A77"/>
    <w:rsid w:val="00E40F11"/>
    <w:rsid w:val="00E45A55"/>
    <w:rsid w:val="00E90B01"/>
    <w:rsid w:val="00EA06EB"/>
    <w:rsid w:val="00EA77BB"/>
    <w:rsid w:val="00EC1597"/>
    <w:rsid w:val="00EC28C0"/>
    <w:rsid w:val="00ED120D"/>
    <w:rsid w:val="00EF3965"/>
    <w:rsid w:val="00EF6D2C"/>
    <w:rsid w:val="00F0017E"/>
    <w:rsid w:val="00F11D9F"/>
    <w:rsid w:val="00F20D66"/>
    <w:rsid w:val="00F272F5"/>
    <w:rsid w:val="00F27C0E"/>
    <w:rsid w:val="00F312B7"/>
    <w:rsid w:val="00F45B3F"/>
    <w:rsid w:val="00F65A77"/>
    <w:rsid w:val="00F67CBD"/>
    <w:rsid w:val="00FA0BB2"/>
    <w:rsid w:val="00FB0975"/>
    <w:rsid w:val="00FB65A1"/>
    <w:rsid w:val="00FB675D"/>
    <w:rsid w:val="00FC3F11"/>
    <w:rsid w:val="00FC42A7"/>
    <w:rsid w:val="00FD073A"/>
    <w:rsid w:val="00FD077C"/>
    <w:rsid w:val="00FD08C0"/>
    <w:rsid w:val="00FD2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276E"/>
  <w15:chartTrackingRefBased/>
  <w15:docId w15:val="{ACE0BD11-99D7-483C-9457-B89116AD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75"/>
    <w:pPr>
      <w:spacing w:before="120" w:after="120" w:line="288" w:lineRule="auto"/>
      <w:jc w:val="left"/>
    </w:pPr>
    <w:rPr>
      <w:rFonts w:ascii="Arial" w:hAnsi="Arial"/>
      <w:sz w:val="24"/>
    </w:rPr>
  </w:style>
  <w:style w:type="paragraph" w:styleId="Heading1">
    <w:name w:val="heading 1"/>
    <w:basedOn w:val="Normal"/>
    <w:next w:val="Normal"/>
    <w:link w:val="Heading1Char"/>
    <w:uiPriority w:val="9"/>
    <w:qFormat/>
    <w:rsid w:val="003E5875"/>
    <w:pPr>
      <w:keepNext/>
      <w:keepLines/>
      <w:spacing w:before="240" w:after="240" w:line="360" w:lineRule="auto"/>
      <w:outlineLvl w:val="0"/>
    </w:pPr>
    <w:rPr>
      <w:rFonts w:eastAsiaTheme="majorEastAsia" w:cstheme="majorBidi"/>
      <w:b/>
      <w:bCs/>
      <w:spacing w:val="4"/>
      <w:sz w:val="28"/>
      <w:szCs w:val="28"/>
    </w:rPr>
  </w:style>
  <w:style w:type="paragraph" w:styleId="Heading2">
    <w:name w:val="heading 2"/>
    <w:basedOn w:val="Normal"/>
    <w:next w:val="Normal"/>
    <w:link w:val="Heading2Char"/>
    <w:uiPriority w:val="9"/>
    <w:unhideWhenUsed/>
    <w:qFormat/>
    <w:rsid w:val="00BD4241"/>
    <w:pPr>
      <w:keepNext/>
      <w:keepLines/>
      <w:spacing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after="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BD21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BD21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BD21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875"/>
    <w:rPr>
      <w:rFonts w:ascii="Arial" w:eastAsiaTheme="majorEastAsia" w:hAnsi="Arial" w:cstheme="majorBidi"/>
      <w:b/>
      <w:bCs/>
      <w:spacing w:val="4"/>
      <w:sz w:val="28"/>
      <w:szCs w:val="28"/>
    </w:rPr>
  </w:style>
  <w:style w:type="paragraph" w:styleId="NoSpacing">
    <w:name w:val="No Spacing"/>
    <w:uiPriority w:val="1"/>
    <w:qFormat/>
    <w:rsid w:val="003E5875"/>
    <w:pPr>
      <w:spacing w:before="120" w:after="120" w:line="288" w:lineRule="auto"/>
      <w:jc w:val="left"/>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Paragraph 1"/>
    <w:basedOn w:val="Normal"/>
    <w:link w:val="ListParagraphChar"/>
    <w:uiPriority w:val="1"/>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BD21E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D21E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D21EA"/>
    <w:rPr>
      <w:rFonts w:eastAsiaTheme="majorEastAsia" w:cstheme="majorBidi"/>
      <w:color w:val="272727" w:themeColor="text1" w:themeTint="D8"/>
      <w:sz w:val="24"/>
    </w:rPr>
  </w:style>
  <w:style w:type="character" w:styleId="Hyperlink">
    <w:name w:val="Hyperlink"/>
    <w:basedOn w:val="DefaultParagraphFont"/>
    <w:uiPriority w:val="99"/>
    <w:unhideWhenUsed/>
    <w:rsid w:val="00BD21EA"/>
    <w:rPr>
      <w:color w:val="0000FF"/>
      <w:u w:val="single"/>
    </w:rPr>
  </w:style>
  <w:style w:type="paragraph" w:styleId="Header">
    <w:name w:val="header"/>
    <w:basedOn w:val="Normal"/>
    <w:link w:val="HeaderChar"/>
    <w:uiPriority w:val="99"/>
    <w:unhideWhenUsed/>
    <w:rsid w:val="00690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CA6"/>
    <w:rPr>
      <w:rFonts w:ascii="Arial" w:hAnsi="Arial"/>
      <w:sz w:val="24"/>
    </w:rPr>
  </w:style>
  <w:style w:type="paragraph" w:styleId="Footer">
    <w:name w:val="footer"/>
    <w:basedOn w:val="Normal"/>
    <w:link w:val="FooterChar"/>
    <w:uiPriority w:val="99"/>
    <w:unhideWhenUsed/>
    <w:rsid w:val="0069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CA6"/>
    <w:rPr>
      <w:rFonts w:ascii="Arial" w:hAnsi="Arial"/>
      <w:sz w:val="24"/>
    </w:rPr>
  </w:style>
  <w:style w:type="character" w:styleId="UnresolvedMention">
    <w:name w:val="Unresolved Mention"/>
    <w:basedOn w:val="DefaultParagraphFont"/>
    <w:uiPriority w:val="99"/>
    <w:semiHidden/>
    <w:unhideWhenUsed/>
    <w:rsid w:val="007C0A37"/>
    <w:rPr>
      <w:color w:val="605E5C"/>
      <w:shd w:val="clear" w:color="auto" w:fill="E1DFDD"/>
    </w:rPr>
  </w:style>
  <w:style w:type="paragraph" w:customStyle="1" w:styleId="Default">
    <w:name w:val="Default"/>
    <w:rsid w:val="00C26783"/>
    <w:pPr>
      <w:autoSpaceDE w:val="0"/>
      <w:autoSpaceDN w:val="0"/>
      <w:adjustRightInd w:val="0"/>
      <w:spacing w:after="0" w:line="240" w:lineRule="auto"/>
      <w:jc w:val="left"/>
    </w:pPr>
    <w:rPr>
      <w:rFonts w:ascii="Verdana" w:hAnsi="Verdana" w:cs="Verdana"/>
      <w:color w:val="000000"/>
      <w:kern w:val="0"/>
      <w:sz w:val="24"/>
      <w:szCs w:val="24"/>
    </w:rPr>
  </w:style>
  <w:style w:type="character" w:customStyle="1" w:styleId="ListParagraphChar">
    <w:name w:val="List Paragraph Char"/>
    <w:aliases w:val="Paragraph 1 Char"/>
    <w:link w:val="ListParagraph"/>
    <w:uiPriority w:val="34"/>
    <w:locked/>
    <w:rsid w:val="00622928"/>
    <w:rPr>
      <w:rFonts w:ascii="Arial" w:hAnsi="Arial"/>
      <w:sz w:val="24"/>
    </w:rPr>
  </w:style>
  <w:style w:type="paragraph" w:customStyle="1" w:styleId="elementtoproof">
    <w:name w:val="elementtoproof"/>
    <w:basedOn w:val="Normal"/>
    <w:rsid w:val="003E5875"/>
    <w:pPr>
      <w:spacing w:after="240"/>
    </w:pPr>
    <w:rPr>
      <w:rFonts w:cs="Arial"/>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hfield.gov.uk/media/mwplnblc/shelaa-sites-in-rurals-2025.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9e2c4df5-8327-4bb0-8a04-64a93a1930f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8401</Characters>
  <Application>Microsoft Office Word</Application>
  <DocSecurity>0</DocSecurity>
  <Lines>150</Lines>
  <Paragraphs>38</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H1Vg Land North of Larch Close, Underwood – Policy Justification Note</dc:title>
  <dc:subject/>
  <dc:creator>Julie.King</dc:creator>
  <cp:keywords/>
  <dc:description/>
  <cp:lastModifiedBy>Sharon.Simcox</cp:lastModifiedBy>
  <cp:revision>2</cp:revision>
  <cp:lastPrinted>2026-01-28T11:22:00Z</cp:lastPrinted>
  <dcterms:created xsi:type="dcterms:W3CDTF">2026-02-24T16:37:00Z</dcterms:created>
  <dcterms:modified xsi:type="dcterms:W3CDTF">2026-02-24T16:37:00Z</dcterms:modified>
</cp:coreProperties>
</file>