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1A903" w14:textId="77777777" w:rsidR="00944081" w:rsidRDefault="00925619" w:rsidP="00F34E98">
      <w:pPr>
        <w:jc w:val="right"/>
      </w:pPr>
      <w:r w:rsidRPr="000A5A0A">
        <w:rPr>
          <w:b/>
          <w:noProof/>
          <w:color w:val="000000"/>
          <w:lang w:eastAsia="en-GB"/>
        </w:rPr>
        <w:drawing>
          <wp:inline distT="0" distB="0" distL="0" distR="0" wp14:anchorId="7B3DE002" wp14:editId="0FC7B121">
            <wp:extent cx="1978025" cy="821055"/>
            <wp:effectExtent l="0" t="0" r="0" b="0"/>
            <wp:docPr id="1" name="Picture 1" descr="Ashfield District Council logo"/>
            <wp:cNvGraphicFramePr/>
            <a:graphic xmlns:a="http://schemas.openxmlformats.org/drawingml/2006/main">
              <a:graphicData uri="http://schemas.openxmlformats.org/drawingml/2006/picture">
                <pic:pic xmlns:pic="http://schemas.openxmlformats.org/drawingml/2006/picture">
                  <pic:nvPicPr>
                    <pic:cNvPr id="1" name="Picture 1" descr="Ashfield District Council logo"/>
                    <pic:cNvPicPr/>
                  </pic:nvPicPr>
                  <pic:blipFill>
                    <a:blip r:embed="rId6">
                      <a:extLst>
                        <a:ext uri="{28A0092B-C50C-407E-A947-70E740481C1C}">
                          <a14:useLocalDpi xmlns:a14="http://schemas.microsoft.com/office/drawing/2010/main" val="0"/>
                        </a:ext>
                      </a:extLst>
                    </a:blip>
                    <a:stretch>
                      <a:fillRect/>
                    </a:stretch>
                  </pic:blipFill>
                  <pic:spPr bwMode="auto">
                    <a:xfrm>
                      <a:off x="0" y="0"/>
                      <a:ext cx="1978025" cy="821055"/>
                    </a:xfrm>
                    <a:prstGeom prst="rect">
                      <a:avLst/>
                    </a:prstGeom>
                    <a:noFill/>
                    <a:ln>
                      <a:noFill/>
                    </a:ln>
                  </pic:spPr>
                </pic:pic>
              </a:graphicData>
            </a:graphic>
          </wp:inline>
        </w:drawing>
      </w:r>
    </w:p>
    <w:tbl>
      <w:tblPr>
        <w:tblW w:w="1034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7087"/>
      </w:tblGrid>
      <w:tr w:rsidR="00062496" w14:paraId="23B8174F" w14:textId="77777777" w:rsidTr="00344ACD">
        <w:trPr>
          <w:trHeight w:val="568"/>
        </w:trPr>
        <w:tc>
          <w:tcPr>
            <w:tcW w:w="3261" w:type="dxa"/>
            <w:tcBorders>
              <w:top w:val="thinThickSmallGap" w:sz="24" w:space="0" w:color="auto"/>
              <w:left w:val="thinThickSmallGap" w:sz="24" w:space="0" w:color="auto"/>
            </w:tcBorders>
            <w:vAlign w:val="bottom"/>
          </w:tcPr>
          <w:p w14:paraId="098DB707" w14:textId="77777777" w:rsidR="00F34E98" w:rsidRPr="000A5A0A" w:rsidRDefault="00925619" w:rsidP="000A5A0A">
            <w:pPr>
              <w:tabs>
                <w:tab w:val="left" w:pos="4253"/>
              </w:tabs>
              <w:rPr>
                <w:b/>
                <w:color w:val="000000"/>
              </w:rPr>
            </w:pPr>
            <w:r w:rsidRPr="000A5A0A">
              <w:rPr>
                <w:b/>
                <w:color w:val="000000"/>
              </w:rPr>
              <w:t>Report To:</w:t>
            </w:r>
          </w:p>
        </w:tc>
        <w:tc>
          <w:tcPr>
            <w:tcW w:w="7087" w:type="dxa"/>
            <w:tcBorders>
              <w:top w:val="thinThickSmallGap" w:sz="24" w:space="0" w:color="auto"/>
              <w:right w:val="thinThickSmallGap" w:sz="24" w:space="0" w:color="auto"/>
            </w:tcBorders>
          </w:tcPr>
          <w:p w14:paraId="1CB34057" w14:textId="77777777" w:rsidR="00F34E98" w:rsidRPr="000A5A0A" w:rsidRDefault="00925619" w:rsidP="000A5A0A">
            <w:pPr>
              <w:tabs>
                <w:tab w:val="left" w:pos="4253"/>
              </w:tabs>
              <w:rPr>
                <w:b/>
                <w:color w:val="000000"/>
              </w:rPr>
            </w:pPr>
            <w:r>
              <w:rPr>
                <w:b/>
                <w:color w:val="000000" w:themeColor="text1"/>
              </w:rPr>
              <w:t>CABINET</w:t>
            </w:r>
          </w:p>
        </w:tc>
      </w:tr>
      <w:tr w:rsidR="00062496" w14:paraId="5D223BFA" w14:textId="77777777" w:rsidTr="00344ACD">
        <w:trPr>
          <w:trHeight w:val="577"/>
        </w:trPr>
        <w:tc>
          <w:tcPr>
            <w:tcW w:w="3261" w:type="dxa"/>
            <w:tcBorders>
              <w:left w:val="thinThickSmallGap" w:sz="24" w:space="0" w:color="auto"/>
            </w:tcBorders>
            <w:vAlign w:val="bottom"/>
          </w:tcPr>
          <w:p w14:paraId="6862F309" w14:textId="77777777" w:rsidR="00F34E98" w:rsidRPr="000A5A0A" w:rsidRDefault="00925619" w:rsidP="000A5A0A">
            <w:pPr>
              <w:tabs>
                <w:tab w:val="left" w:pos="3294"/>
              </w:tabs>
              <w:rPr>
                <w:b/>
                <w:caps/>
                <w:color w:val="000000"/>
              </w:rPr>
            </w:pPr>
            <w:r w:rsidRPr="000A5A0A">
              <w:rPr>
                <w:b/>
                <w:color w:val="000000"/>
              </w:rPr>
              <w:t>Date:</w:t>
            </w:r>
          </w:p>
        </w:tc>
        <w:tc>
          <w:tcPr>
            <w:tcW w:w="7087" w:type="dxa"/>
            <w:tcBorders>
              <w:right w:val="thinThickSmallGap" w:sz="24" w:space="0" w:color="auto"/>
            </w:tcBorders>
            <w:vAlign w:val="center"/>
          </w:tcPr>
          <w:p w14:paraId="37128918" w14:textId="77777777" w:rsidR="00F34E98" w:rsidRPr="000A5A0A" w:rsidRDefault="00925619" w:rsidP="00935158">
            <w:pPr>
              <w:outlineLvl w:val="0"/>
              <w:rPr>
                <w:b/>
                <w:caps/>
                <w:color w:val="000000"/>
              </w:rPr>
            </w:pPr>
            <w:r>
              <w:rPr>
                <w:b/>
                <w:caps/>
                <w:color w:val="000000"/>
              </w:rPr>
              <w:t>8</w:t>
            </w:r>
            <w:r w:rsidRPr="00723CCB">
              <w:rPr>
                <w:b/>
                <w:caps/>
                <w:color w:val="000000"/>
                <w:vertAlign w:val="superscript"/>
              </w:rPr>
              <w:t>th</w:t>
            </w:r>
            <w:r>
              <w:rPr>
                <w:b/>
                <w:caps/>
                <w:color w:val="000000"/>
              </w:rPr>
              <w:t xml:space="preserve"> APril 2024</w:t>
            </w:r>
          </w:p>
        </w:tc>
      </w:tr>
      <w:tr w:rsidR="00062496" w14:paraId="24B3855C" w14:textId="77777777" w:rsidTr="00344ACD">
        <w:trPr>
          <w:trHeight w:val="577"/>
        </w:trPr>
        <w:tc>
          <w:tcPr>
            <w:tcW w:w="3261" w:type="dxa"/>
            <w:tcBorders>
              <w:left w:val="thinThickSmallGap" w:sz="24" w:space="0" w:color="auto"/>
            </w:tcBorders>
            <w:vAlign w:val="bottom"/>
          </w:tcPr>
          <w:p w14:paraId="0563D2FF" w14:textId="77777777" w:rsidR="00F34E98" w:rsidRPr="000A5A0A" w:rsidRDefault="00925619" w:rsidP="000A5A0A">
            <w:pPr>
              <w:tabs>
                <w:tab w:val="left" w:pos="3294"/>
              </w:tabs>
              <w:rPr>
                <w:b/>
                <w:color w:val="000000"/>
              </w:rPr>
            </w:pPr>
            <w:r w:rsidRPr="000A5A0A">
              <w:rPr>
                <w:b/>
                <w:color w:val="000000"/>
              </w:rPr>
              <w:t>Heading:</w:t>
            </w:r>
          </w:p>
        </w:tc>
        <w:tc>
          <w:tcPr>
            <w:tcW w:w="7087" w:type="dxa"/>
            <w:tcBorders>
              <w:right w:val="thinThickSmallGap" w:sz="24" w:space="0" w:color="auto"/>
            </w:tcBorders>
            <w:vAlign w:val="center"/>
          </w:tcPr>
          <w:p w14:paraId="61A226B3" w14:textId="77777777" w:rsidR="00F34E98" w:rsidRPr="000A5A0A" w:rsidRDefault="00925619" w:rsidP="00935158">
            <w:pPr>
              <w:outlineLvl w:val="0"/>
              <w:rPr>
                <w:b/>
                <w:caps/>
                <w:color w:val="000000"/>
              </w:rPr>
            </w:pPr>
            <w:r>
              <w:rPr>
                <w:b/>
                <w:caps/>
                <w:color w:val="000000" w:themeColor="text1"/>
              </w:rPr>
              <w:t xml:space="preserve">PUBlic spaces protection order </w:t>
            </w:r>
            <w:r w:rsidR="00370E84">
              <w:rPr>
                <w:b/>
                <w:caps/>
                <w:color w:val="000000" w:themeColor="text1"/>
              </w:rPr>
              <w:t xml:space="preserve">2024 </w:t>
            </w:r>
            <w:r>
              <w:rPr>
                <w:b/>
                <w:caps/>
                <w:color w:val="000000" w:themeColor="text1"/>
              </w:rPr>
              <w:t xml:space="preserve">(PSPO) </w:t>
            </w:r>
            <w:r w:rsidR="00370E84">
              <w:rPr>
                <w:b/>
                <w:caps/>
                <w:color w:val="000000" w:themeColor="text1"/>
              </w:rPr>
              <w:t>RENEWAL</w:t>
            </w:r>
            <w:r w:rsidR="00D44229">
              <w:rPr>
                <w:b/>
                <w:caps/>
                <w:color w:val="000000" w:themeColor="text1"/>
              </w:rPr>
              <w:t xml:space="preserve"> &amp; VARIATION (CONSULTATION)</w:t>
            </w:r>
          </w:p>
        </w:tc>
      </w:tr>
      <w:tr w:rsidR="00062496" w14:paraId="4061EE53" w14:textId="77777777" w:rsidTr="00344ACD">
        <w:trPr>
          <w:trHeight w:val="541"/>
        </w:trPr>
        <w:tc>
          <w:tcPr>
            <w:tcW w:w="3261" w:type="dxa"/>
            <w:tcBorders>
              <w:left w:val="thinThickSmallGap" w:sz="24" w:space="0" w:color="auto"/>
            </w:tcBorders>
            <w:vAlign w:val="bottom"/>
          </w:tcPr>
          <w:p w14:paraId="160FD638" w14:textId="77777777" w:rsidR="00F34E98" w:rsidRPr="000A5A0A" w:rsidRDefault="00925619" w:rsidP="000A5A0A">
            <w:pPr>
              <w:tabs>
                <w:tab w:val="left" w:pos="3294"/>
              </w:tabs>
              <w:rPr>
                <w:b/>
                <w:caps/>
                <w:color w:val="000000"/>
              </w:rPr>
            </w:pPr>
            <w:r>
              <w:rPr>
                <w:b/>
                <w:color w:val="000000"/>
              </w:rPr>
              <w:t>Executive Lead Member</w:t>
            </w:r>
            <w:r w:rsidRPr="000A5A0A">
              <w:rPr>
                <w:b/>
                <w:color w:val="000000"/>
              </w:rPr>
              <w:t>:</w:t>
            </w:r>
          </w:p>
        </w:tc>
        <w:tc>
          <w:tcPr>
            <w:tcW w:w="7087" w:type="dxa"/>
            <w:tcBorders>
              <w:right w:val="thinThickSmallGap" w:sz="24" w:space="0" w:color="auto"/>
            </w:tcBorders>
          </w:tcPr>
          <w:p w14:paraId="7899D3DE" w14:textId="77777777" w:rsidR="00F34E98" w:rsidRPr="000A5A0A" w:rsidRDefault="00925619" w:rsidP="000A5A0A">
            <w:pPr>
              <w:tabs>
                <w:tab w:val="left" w:pos="4253"/>
              </w:tabs>
              <w:rPr>
                <w:b/>
                <w:caps/>
                <w:color w:val="000000"/>
              </w:rPr>
            </w:pPr>
            <w:r>
              <w:rPr>
                <w:b/>
                <w:caps/>
                <w:color w:val="000000"/>
              </w:rPr>
              <w:t>CLLR John Wilmott – EXECUTIVE LE</w:t>
            </w:r>
            <w:r w:rsidR="00D44229">
              <w:rPr>
                <w:b/>
                <w:caps/>
                <w:color w:val="000000"/>
              </w:rPr>
              <w:t>A</w:t>
            </w:r>
            <w:r>
              <w:rPr>
                <w:b/>
                <w:caps/>
                <w:color w:val="000000"/>
              </w:rPr>
              <w:t xml:space="preserve">D </w:t>
            </w:r>
            <w:r w:rsidR="00AC7FCF">
              <w:rPr>
                <w:b/>
                <w:caps/>
                <w:color w:val="000000"/>
              </w:rPr>
              <w:t xml:space="preserve">member </w:t>
            </w:r>
            <w:r>
              <w:rPr>
                <w:b/>
                <w:caps/>
                <w:color w:val="000000"/>
              </w:rPr>
              <w:t>FOR COMMUNITY SAFETY AND CRIME REDUCTION</w:t>
            </w:r>
          </w:p>
        </w:tc>
      </w:tr>
      <w:tr w:rsidR="00062496" w14:paraId="21DD7D8D" w14:textId="77777777" w:rsidTr="00344ACD">
        <w:trPr>
          <w:trHeight w:val="541"/>
        </w:trPr>
        <w:tc>
          <w:tcPr>
            <w:tcW w:w="3261" w:type="dxa"/>
            <w:tcBorders>
              <w:left w:val="thinThickSmallGap" w:sz="24" w:space="0" w:color="auto"/>
            </w:tcBorders>
            <w:vAlign w:val="bottom"/>
          </w:tcPr>
          <w:p w14:paraId="0800B79A" w14:textId="77777777" w:rsidR="00F34E98" w:rsidRPr="000A5A0A" w:rsidRDefault="00925619" w:rsidP="000A5A0A">
            <w:pPr>
              <w:tabs>
                <w:tab w:val="left" w:pos="3294"/>
              </w:tabs>
              <w:rPr>
                <w:b/>
                <w:caps/>
                <w:color w:val="000000"/>
              </w:rPr>
            </w:pPr>
            <w:r w:rsidRPr="000A5A0A">
              <w:rPr>
                <w:b/>
                <w:color w:val="000000"/>
              </w:rPr>
              <w:t xml:space="preserve">Ward/s: </w:t>
            </w:r>
          </w:p>
        </w:tc>
        <w:tc>
          <w:tcPr>
            <w:tcW w:w="7087" w:type="dxa"/>
            <w:tcBorders>
              <w:right w:val="thinThickSmallGap" w:sz="24" w:space="0" w:color="auto"/>
            </w:tcBorders>
          </w:tcPr>
          <w:p w14:paraId="1E90536F" w14:textId="77777777" w:rsidR="00F34E98" w:rsidRPr="000A5A0A" w:rsidRDefault="00925619" w:rsidP="000A5A0A">
            <w:pPr>
              <w:tabs>
                <w:tab w:val="left" w:pos="4253"/>
              </w:tabs>
              <w:rPr>
                <w:b/>
                <w:caps/>
                <w:color w:val="000000"/>
              </w:rPr>
            </w:pPr>
            <w:r>
              <w:rPr>
                <w:b/>
                <w:caps/>
                <w:color w:val="000000"/>
              </w:rPr>
              <w:t>ALL</w:t>
            </w:r>
          </w:p>
        </w:tc>
      </w:tr>
      <w:tr w:rsidR="00062496" w14:paraId="22F2F5A2" w14:textId="77777777" w:rsidTr="00344ACD">
        <w:trPr>
          <w:trHeight w:val="541"/>
        </w:trPr>
        <w:tc>
          <w:tcPr>
            <w:tcW w:w="3261" w:type="dxa"/>
            <w:tcBorders>
              <w:left w:val="thinThickSmallGap" w:sz="24" w:space="0" w:color="auto"/>
              <w:bottom w:val="single" w:sz="4" w:space="0" w:color="auto"/>
            </w:tcBorders>
            <w:vAlign w:val="bottom"/>
          </w:tcPr>
          <w:p w14:paraId="492654DA" w14:textId="77777777" w:rsidR="00F34E98" w:rsidRPr="000A5A0A" w:rsidRDefault="00925619" w:rsidP="000A5A0A">
            <w:pPr>
              <w:tabs>
                <w:tab w:val="left" w:pos="3294"/>
              </w:tabs>
              <w:rPr>
                <w:b/>
                <w:caps/>
                <w:color w:val="000000"/>
              </w:rPr>
            </w:pPr>
            <w:r w:rsidRPr="000A5A0A">
              <w:rPr>
                <w:b/>
                <w:color w:val="000000"/>
              </w:rPr>
              <w:t>Key Decision:</w:t>
            </w:r>
          </w:p>
        </w:tc>
        <w:tc>
          <w:tcPr>
            <w:tcW w:w="7087" w:type="dxa"/>
            <w:tcBorders>
              <w:bottom w:val="single" w:sz="4" w:space="0" w:color="auto"/>
              <w:right w:val="thinThickSmallGap" w:sz="24" w:space="0" w:color="auto"/>
            </w:tcBorders>
          </w:tcPr>
          <w:p w14:paraId="5E9205BC" w14:textId="77777777" w:rsidR="00F34E98" w:rsidRPr="000A5A0A" w:rsidRDefault="00925619" w:rsidP="000A5A0A">
            <w:pPr>
              <w:tabs>
                <w:tab w:val="left" w:pos="4253"/>
              </w:tabs>
              <w:rPr>
                <w:b/>
                <w:color w:val="000000"/>
              </w:rPr>
            </w:pPr>
            <w:r>
              <w:rPr>
                <w:b/>
                <w:color w:val="000000"/>
              </w:rPr>
              <w:t>YES</w:t>
            </w:r>
          </w:p>
        </w:tc>
      </w:tr>
      <w:tr w:rsidR="00062496" w14:paraId="712B49CF" w14:textId="77777777" w:rsidTr="00344ACD">
        <w:trPr>
          <w:trHeight w:val="541"/>
        </w:trPr>
        <w:tc>
          <w:tcPr>
            <w:tcW w:w="3261" w:type="dxa"/>
            <w:tcBorders>
              <w:left w:val="thinThickSmallGap" w:sz="24" w:space="0" w:color="auto"/>
              <w:bottom w:val="thinThickSmallGap" w:sz="24" w:space="0" w:color="auto"/>
            </w:tcBorders>
            <w:vAlign w:val="bottom"/>
          </w:tcPr>
          <w:p w14:paraId="5DC616C0" w14:textId="77777777" w:rsidR="00F34E98" w:rsidRPr="000A5A0A" w:rsidRDefault="00925619" w:rsidP="000A5A0A">
            <w:pPr>
              <w:tabs>
                <w:tab w:val="left" w:pos="3294"/>
              </w:tabs>
              <w:rPr>
                <w:b/>
                <w:color w:val="000000"/>
              </w:rPr>
            </w:pPr>
            <w:r w:rsidRPr="000A5A0A">
              <w:rPr>
                <w:b/>
                <w:color w:val="000000"/>
              </w:rPr>
              <w:t>Subject to Call-In:</w:t>
            </w:r>
          </w:p>
        </w:tc>
        <w:tc>
          <w:tcPr>
            <w:tcW w:w="7087" w:type="dxa"/>
            <w:tcBorders>
              <w:bottom w:val="thinThickSmallGap" w:sz="24" w:space="0" w:color="auto"/>
              <w:right w:val="thinThickSmallGap" w:sz="24" w:space="0" w:color="auto"/>
            </w:tcBorders>
          </w:tcPr>
          <w:p w14:paraId="1363A7DB" w14:textId="77777777" w:rsidR="00F34E98" w:rsidRPr="000A5A0A" w:rsidRDefault="00925619" w:rsidP="000A5A0A">
            <w:pPr>
              <w:tabs>
                <w:tab w:val="left" w:pos="4253"/>
              </w:tabs>
              <w:rPr>
                <w:b/>
                <w:color w:val="000000"/>
              </w:rPr>
            </w:pPr>
            <w:r>
              <w:rPr>
                <w:b/>
                <w:color w:val="000000"/>
              </w:rPr>
              <w:t>YES</w:t>
            </w:r>
          </w:p>
        </w:tc>
      </w:tr>
    </w:tbl>
    <w:p w14:paraId="4589337A" w14:textId="47C9D0DC" w:rsidR="00BA7B9E" w:rsidRPr="00BA7B9E" w:rsidRDefault="00925619" w:rsidP="00B25A5D">
      <w:pPr>
        <w:pStyle w:val="Heading2"/>
      </w:pPr>
      <w:r w:rsidRPr="00BA7B9E">
        <w:t xml:space="preserve">Purpose of </w:t>
      </w:r>
      <w:r w:rsidR="00DB4CA5">
        <w:t>r</w:t>
      </w:r>
      <w:r w:rsidRPr="00BA7B9E">
        <w:t>eport</w:t>
      </w:r>
    </w:p>
    <w:p w14:paraId="07385FC4" w14:textId="77777777" w:rsidR="007601C6" w:rsidRDefault="00925619" w:rsidP="00B25A5D">
      <w:r w:rsidRPr="0080104D">
        <w:t>The Anti-</w:t>
      </w:r>
      <w:r w:rsidR="00D44229">
        <w:t>S</w:t>
      </w:r>
      <w:r w:rsidRPr="0080104D">
        <w:t>ocial Behaviour, Crime and Policing Act 2014</w:t>
      </w:r>
      <w:r>
        <w:t xml:space="preserve"> </w:t>
      </w:r>
      <w:r w:rsidR="00D44229">
        <w:t xml:space="preserve">(“the Act”) </w:t>
      </w:r>
      <w:r w:rsidRPr="0080104D">
        <w:t>introduce</w:t>
      </w:r>
      <w:r>
        <w:t xml:space="preserve">s powers to local authorities to enact </w:t>
      </w:r>
      <w:r w:rsidRPr="0080104D">
        <w:t>Public Spaces Protection Orders (PSPO</w:t>
      </w:r>
      <w:r>
        <w:t>’s</w:t>
      </w:r>
      <w:r w:rsidRPr="0080104D">
        <w:t xml:space="preserve">) to </w:t>
      </w:r>
      <w:r>
        <w:t xml:space="preserve">enable </w:t>
      </w:r>
      <w:r w:rsidRPr="0080104D">
        <w:t>Council</w:t>
      </w:r>
      <w:r w:rsidR="003E7E64">
        <w:t>’</w:t>
      </w:r>
      <w:r w:rsidRPr="0080104D">
        <w:t>s to regulate activities in particular public spaces that have a detrimental effect on the local community</w:t>
      </w:r>
      <w:r>
        <w:t>.</w:t>
      </w:r>
      <w:r w:rsidR="00D44229">
        <w:t xml:space="preserve">  </w:t>
      </w:r>
    </w:p>
    <w:p w14:paraId="07DADCDA" w14:textId="7CB261CE" w:rsidR="00944081" w:rsidRDefault="00925619">
      <w:r w:rsidRPr="0080104D">
        <w:t xml:space="preserve">PSPO’s are intended to deal with a particular nuisance or problem in a specific locality by imposing conditions on the use of that area </w:t>
      </w:r>
      <w:r w:rsidR="005E2E93">
        <w:t xml:space="preserve">(“the Restricted Area”) </w:t>
      </w:r>
      <w:r w:rsidRPr="0080104D">
        <w:t>which apply to everyone</w:t>
      </w:r>
      <w:r w:rsidR="00714C2D">
        <w:t xml:space="preserve"> (with limited exceptions)</w:t>
      </w:r>
      <w:r w:rsidRPr="0080104D">
        <w:t>. The Order enables Authorised Officers</w:t>
      </w:r>
      <w:r w:rsidR="003E7E64">
        <w:t xml:space="preserve"> from the Council and Police to </w:t>
      </w:r>
      <w:r w:rsidRPr="0080104D">
        <w:t>take specific action within a defined area as set out within requirements of th</w:t>
      </w:r>
      <w:r>
        <w:t xml:space="preserve">e </w:t>
      </w:r>
      <w:r w:rsidR="00D44229">
        <w:t>PSPO</w:t>
      </w:r>
      <w:r w:rsidRPr="0080104D">
        <w:t>.</w:t>
      </w:r>
    </w:p>
    <w:tbl>
      <w:tblPr>
        <w:tblW w:w="10378" w:type="dxa"/>
        <w:tblBorders>
          <w:top w:val="thinThickSmallGap" w:sz="24" w:space="0" w:color="auto"/>
          <w:left w:val="thinThickSmallGap" w:sz="24" w:space="0" w:color="auto"/>
          <w:bottom w:val="thinThickSmallGap" w:sz="24" w:space="0" w:color="auto"/>
          <w:right w:val="thinThickSmallGap" w:sz="24" w:space="0" w:color="auto"/>
        </w:tblBorders>
        <w:tblLayout w:type="fixed"/>
        <w:tblLook w:val="01E0" w:firstRow="1" w:lastRow="1" w:firstColumn="1" w:lastColumn="1" w:noHBand="0" w:noVBand="0"/>
      </w:tblPr>
      <w:tblGrid>
        <w:gridCol w:w="10378"/>
      </w:tblGrid>
      <w:tr w:rsidR="00062496" w14:paraId="4F946617" w14:textId="77777777" w:rsidTr="000A5A0A">
        <w:trPr>
          <w:trHeight w:val="1693"/>
        </w:trPr>
        <w:tc>
          <w:tcPr>
            <w:tcW w:w="10378" w:type="dxa"/>
          </w:tcPr>
          <w:p w14:paraId="1803EF3D" w14:textId="72A74146" w:rsidR="005050AF" w:rsidRPr="00B25A5D" w:rsidRDefault="00925619" w:rsidP="00B25A5D">
            <w:pPr>
              <w:pStyle w:val="Heading2"/>
            </w:pPr>
            <w:r w:rsidRPr="000A5A0A">
              <w:t>Recommendation(s)</w:t>
            </w:r>
          </w:p>
          <w:p w14:paraId="4667DFC7" w14:textId="625F0748" w:rsidR="00C50D59" w:rsidRPr="0080104D" w:rsidRDefault="00925619" w:rsidP="0059689D">
            <w:pPr>
              <w:jc w:val="both"/>
            </w:pPr>
            <w:r w:rsidRPr="0080104D">
              <w:t>The purpose of the report is to</w:t>
            </w:r>
            <w:r>
              <w:t xml:space="preserve"> seek approval from Cabinet to</w:t>
            </w:r>
            <w:r w:rsidRPr="0080104D">
              <w:t xml:space="preserve">: </w:t>
            </w:r>
          </w:p>
          <w:p w14:paraId="1A00C1DE" w14:textId="77777777" w:rsidR="00C50D59" w:rsidRPr="00A811FC" w:rsidRDefault="00925619">
            <w:pPr>
              <w:pStyle w:val="ListParagraph"/>
              <w:numPr>
                <w:ilvl w:val="0"/>
                <w:numId w:val="2"/>
              </w:numPr>
              <w:rPr>
                <w:bCs/>
              </w:rPr>
            </w:pPr>
            <w:r>
              <w:rPr>
                <w:bCs/>
                <w:szCs w:val="24"/>
              </w:rPr>
              <w:t>Undertake the</w:t>
            </w:r>
            <w:r w:rsidRPr="00A851CE">
              <w:rPr>
                <w:bCs/>
                <w:szCs w:val="24"/>
              </w:rPr>
              <w:t xml:space="preserve"> necessary consultation, publicity and notification </w:t>
            </w:r>
            <w:r>
              <w:rPr>
                <w:bCs/>
                <w:szCs w:val="24"/>
              </w:rPr>
              <w:t>for</w:t>
            </w:r>
            <w:r w:rsidRPr="00A851CE">
              <w:rPr>
                <w:bCs/>
                <w:szCs w:val="24"/>
              </w:rPr>
              <w:t xml:space="preserve"> the extension </w:t>
            </w:r>
            <w:r>
              <w:rPr>
                <w:bCs/>
                <w:szCs w:val="24"/>
              </w:rPr>
              <w:t xml:space="preserve">of the </w:t>
            </w:r>
            <w:r w:rsidRPr="00A851CE">
              <w:rPr>
                <w:bCs/>
                <w:szCs w:val="24"/>
              </w:rPr>
              <w:t>existing 20</w:t>
            </w:r>
            <w:r>
              <w:rPr>
                <w:bCs/>
                <w:szCs w:val="24"/>
              </w:rPr>
              <w:t>21</w:t>
            </w:r>
            <w:r w:rsidRPr="00A851CE">
              <w:rPr>
                <w:bCs/>
                <w:szCs w:val="24"/>
              </w:rPr>
              <w:t xml:space="preserve"> Public Spaces Protection Order</w:t>
            </w:r>
            <w:r>
              <w:rPr>
                <w:bCs/>
                <w:szCs w:val="24"/>
              </w:rPr>
              <w:t xml:space="preserve"> for a further period of 3 years, and;</w:t>
            </w:r>
          </w:p>
          <w:p w14:paraId="2A1A1CB2" w14:textId="77777777" w:rsidR="00C50D59" w:rsidRPr="00420650" w:rsidRDefault="00C50D59" w:rsidP="004404BA">
            <w:pPr>
              <w:pStyle w:val="ListParagraph"/>
              <w:rPr>
                <w:bCs/>
              </w:rPr>
            </w:pPr>
          </w:p>
          <w:p w14:paraId="3FAC49B4" w14:textId="03BAB17A" w:rsidR="004404BA" w:rsidRPr="00DB4CA5" w:rsidRDefault="00925619">
            <w:pPr>
              <w:pStyle w:val="ListParagraph"/>
              <w:numPr>
                <w:ilvl w:val="0"/>
                <w:numId w:val="2"/>
              </w:numPr>
              <w:rPr>
                <w:b/>
              </w:rPr>
            </w:pPr>
            <w:r w:rsidRPr="004404BA">
              <w:rPr>
                <w:bCs/>
              </w:rPr>
              <w:t xml:space="preserve">Undertake </w:t>
            </w:r>
            <w:r w:rsidR="00D44229" w:rsidRPr="004404BA">
              <w:rPr>
                <w:bCs/>
              </w:rPr>
              <w:t xml:space="preserve">the necessary </w:t>
            </w:r>
            <w:r w:rsidRPr="004404BA">
              <w:rPr>
                <w:bCs/>
              </w:rPr>
              <w:t xml:space="preserve">consultation, publicity and notification to vary the existing </w:t>
            </w:r>
            <w:r w:rsidR="00D44229" w:rsidRPr="004404BA">
              <w:rPr>
                <w:bCs/>
              </w:rPr>
              <w:t>2021 Public Spaces Protection Order</w:t>
            </w:r>
            <w:r w:rsidR="00BA3632" w:rsidRPr="004404BA">
              <w:rPr>
                <w:bCs/>
              </w:rPr>
              <w:t xml:space="preserve"> </w:t>
            </w:r>
            <w:r w:rsidR="00D44229" w:rsidRPr="004404BA">
              <w:rPr>
                <w:bCs/>
              </w:rPr>
              <w:t>to</w:t>
            </w:r>
            <w:r w:rsidRPr="004404BA">
              <w:rPr>
                <w:bCs/>
              </w:rPr>
              <w:t xml:space="preserve"> </w:t>
            </w:r>
            <w:r w:rsidR="00E1221D" w:rsidRPr="004404BA">
              <w:rPr>
                <w:bCs/>
              </w:rPr>
              <w:t xml:space="preserve">include a </w:t>
            </w:r>
            <w:r w:rsidRPr="004404BA">
              <w:rPr>
                <w:bCs/>
              </w:rPr>
              <w:t xml:space="preserve">new prohibition for addressing street harassment and </w:t>
            </w:r>
            <w:r w:rsidR="0095293F" w:rsidRPr="004404BA">
              <w:rPr>
                <w:bCs/>
              </w:rPr>
              <w:t xml:space="preserve">to vary the prohibition for </w:t>
            </w:r>
            <w:r w:rsidRPr="004404BA">
              <w:rPr>
                <w:bCs/>
              </w:rPr>
              <w:t>vehicle nuisance</w:t>
            </w:r>
            <w:r w:rsidR="0095293F" w:rsidRPr="004404BA">
              <w:rPr>
                <w:bCs/>
              </w:rPr>
              <w:t xml:space="preserve"> (previously called “Car Cruising”) </w:t>
            </w:r>
            <w:r w:rsidR="00696543" w:rsidRPr="004404BA">
              <w:rPr>
                <w:bCs/>
              </w:rPr>
              <w:t>by</w:t>
            </w:r>
            <w:r w:rsidR="0095293F" w:rsidRPr="004404BA">
              <w:rPr>
                <w:bCs/>
              </w:rPr>
              <w:t xml:space="preserve"> increas</w:t>
            </w:r>
            <w:r w:rsidR="00696543" w:rsidRPr="004404BA">
              <w:rPr>
                <w:bCs/>
              </w:rPr>
              <w:t>ing</w:t>
            </w:r>
            <w:r w:rsidR="0095293F" w:rsidRPr="004404BA">
              <w:rPr>
                <w:bCs/>
              </w:rPr>
              <w:t xml:space="preserve"> the Restricted Area</w:t>
            </w:r>
            <w:r w:rsidR="00696543" w:rsidRPr="004404BA">
              <w:rPr>
                <w:bCs/>
              </w:rPr>
              <w:t xml:space="preserve"> to the entire District </w:t>
            </w:r>
            <w:r w:rsidR="00C2088B" w:rsidRPr="004404BA">
              <w:rPr>
                <w:bCs/>
              </w:rPr>
              <w:t>o</w:t>
            </w:r>
            <w:r w:rsidR="00696543" w:rsidRPr="004404BA">
              <w:rPr>
                <w:bCs/>
              </w:rPr>
              <w:t>f Ashfield</w:t>
            </w:r>
            <w:r w:rsidRPr="004404BA">
              <w:rPr>
                <w:bCs/>
              </w:rPr>
              <w:t xml:space="preserve">. </w:t>
            </w:r>
          </w:p>
        </w:tc>
      </w:tr>
    </w:tbl>
    <w:p w14:paraId="0B1D692F" w14:textId="77777777" w:rsidR="00944081" w:rsidRDefault="00944081"/>
    <w:p w14:paraId="27C80244" w14:textId="335B31D3" w:rsidR="00BA7B9E" w:rsidRDefault="00925619" w:rsidP="00B25A5D">
      <w:pPr>
        <w:pStyle w:val="Heading2"/>
      </w:pPr>
      <w:r>
        <w:lastRenderedPageBreak/>
        <w:t xml:space="preserve">Reasons for </w:t>
      </w:r>
      <w:r w:rsidR="00DB4CA5">
        <w:t>r</w:t>
      </w:r>
      <w:r>
        <w:t>ecommendation(s)</w:t>
      </w:r>
    </w:p>
    <w:p w14:paraId="359A9274" w14:textId="77777777" w:rsidR="00976D75" w:rsidRDefault="00925619" w:rsidP="00AC7FCF">
      <w:r>
        <w:t>In accordance with Section 60 Anti-</w:t>
      </w:r>
      <w:r w:rsidR="00BA3632">
        <w:t>s</w:t>
      </w:r>
      <w:r>
        <w:t xml:space="preserve">ocial Behaviour, Crime and Policing Act 2014, a PSPO may not have effect for a period of more than 3 years unless extended. The existing </w:t>
      </w:r>
      <w:r w:rsidR="003A59C8">
        <w:t xml:space="preserve">2021 </w:t>
      </w:r>
      <w:r>
        <w:t>PSPO, relating to a number of dog, alcohol, direction to move on and urinating issues will expire on 30 September 202</w:t>
      </w:r>
      <w:r w:rsidR="003A59C8">
        <w:t>4</w:t>
      </w:r>
      <w:r>
        <w:t>.</w:t>
      </w:r>
    </w:p>
    <w:p w14:paraId="14727BB8" w14:textId="77777777" w:rsidR="0059689D" w:rsidRDefault="00925619" w:rsidP="004404BA">
      <w:r>
        <w:t xml:space="preserve">Unless the PSPO is extended, it will restrict the Council and Police being able to tackle these types of issues throughout the </w:t>
      </w:r>
      <w:proofErr w:type="gramStart"/>
      <w:r>
        <w:t>District</w:t>
      </w:r>
      <w:proofErr w:type="gramEnd"/>
      <w:r>
        <w:t xml:space="preserve">. </w:t>
      </w:r>
    </w:p>
    <w:p w14:paraId="4DFAB7FE" w14:textId="77777777" w:rsidR="0059689D" w:rsidRDefault="00925619" w:rsidP="004404BA">
      <w:r>
        <w:t xml:space="preserve">To enter a public consultation to extend </w:t>
      </w:r>
      <w:r w:rsidR="003A59C8">
        <w:t xml:space="preserve">and vary </w:t>
      </w:r>
      <w:r>
        <w:t xml:space="preserve">the </w:t>
      </w:r>
      <w:r w:rsidR="003A59C8">
        <w:t xml:space="preserve">2021 </w:t>
      </w:r>
      <w:r>
        <w:t xml:space="preserve">PSPO ensures that the Council can objectively determine the suitability </w:t>
      </w:r>
      <w:r w:rsidR="00C2088B">
        <w:t>of</w:t>
      </w:r>
      <w:r>
        <w:t xml:space="preserve"> support</w:t>
      </w:r>
      <w:r w:rsidR="00C2088B">
        <w:t>ing</w:t>
      </w:r>
      <w:r>
        <w:t xml:space="preserve"> the </w:t>
      </w:r>
      <w:r w:rsidR="003A59C8">
        <w:t>extension</w:t>
      </w:r>
      <w:r>
        <w:t xml:space="preserve"> and variation of the </w:t>
      </w:r>
      <w:r w:rsidR="003A59C8">
        <w:t xml:space="preserve">2021 </w:t>
      </w:r>
      <w:r>
        <w:t>PSPO, as detailed within the main body of the report.</w:t>
      </w:r>
    </w:p>
    <w:p w14:paraId="65806F61" w14:textId="77777777" w:rsidR="0059689D" w:rsidRDefault="00925619" w:rsidP="004404BA">
      <w:r w:rsidRPr="001D6BD6">
        <w:t xml:space="preserve">In line with Section 59 of the Act there must be evidence to support the need for a PSPO including </w:t>
      </w:r>
      <w:r>
        <w:t xml:space="preserve">any </w:t>
      </w:r>
      <w:r w:rsidRPr="001D6BD6">
        <w:t>variations</w:t>
      </w:r>
      <w:r>
        <w:t>. As part of th</w:t>
      </w:r>
      <w:r w:rsidR="00C2088B">
        <w:t>e proposed</w:t>
      </w:r>
      <w:r>
        <w:t xml:space="preserve"> </w:t>
      </w:r>
      <w:r w:rsidR="003A59C8">
        <w:t xml:space="preserve">2024 </w:t>
      </w:r>
      <w:r>
        <w:t>PSPO</w:t>
      </w:r>
      <w:r w:rsidR="00976D75">
        <w:t>,</w:t>
      </w:r>
      <w:r>
        <w:t xml:space="preserve"> it is recommended that</w:t>
      </w:r>
      <w:r w:rsidR="006B6791">
        <w:t xml:space="preserve"> </w:t>
      </w:r>
      <w:r w:rsidR="005E2E93" w:rsidRPr="005E2E93">
        <w:t xml:space="preserve">the prohibition for vehicle nuisance (previously called “Car Cruising”) </w:t>
      </w:r>
      <w:r w:rsidR="005E2E93">
        <w:t xml:space="preserve">is varied </w:t>
      </w:r>
      <w:r w:rsidR="005E2E93" w:rsidRPr="005E2E93">
        <w:t xml:space="preserve">by increasing the </w:t>
      </w:r>
      <w:r w:rsidR="00976D75">
        <w:t>‘</w:t>
      </w:r>
      <w:r w:rsidR="005E2E93" w:rsidRPr="005E2E93">
        <w:t>Restricted Area</w:t>
      </w:r>
      <w:r w:rsidR="00976D75">
        <w:t>’</w:t>
      </w:r>
      <w:r w:rsidR="005E2E93" w:rsidRPr="005E2E93">
        <w:t xml:space="preserve"> to the entire District of Ashfield </w:t>
      </w:r>
      <w:r w:rsidR="00696543">
        <w:t xml:space="preserve">in order to </w:t>
      </w:r>
      <w:r w:rsidR="006B6791">
        <w:t xml:space="preserve">tackle vehicle nuisance and </w:t>
      </w:r>
      <w:r w:rsidR="005E2E93">
        <w:t xml:space="preserve">that </w:t>
      </w:r>
      <w:r w:rsidR="00696543">
        <w:t xml:space="preserve">a new prohibition </w:t>
      </w:r>
      <w:r w:rsidR="005E2E93">
        <w:t xml:space="preserve">is introduced </w:t>
      </w:r>
      <w:r w:rsidR="00696543">
        <w:t xml:space="preserve">to </w:t>
      </w:r>
      <w:r w:rsidR="006B6791">
        <w:t>address street harassment including inappropriate behaviour towards women and girls.</w:t>
      </w:r>
    </w:p>
    <w:p w14:paraId="02B348D0" w14:textId="688C7A2E" w:rsidR="0059689D" w:rsidRDefault="00925619" w:rsidP="00B25A5D">
      <w:pPr>
        <w:pStyle w:val="Heading3"/>
      </w:pPr>
      <w:r>
        <w:t xml:space="preserve">Alternative </w:t>
      </w:r>
      <w:r w:rsidR="00DB4CA5">
        <w:t>o</w:t>
      </w:r>
      <w:r>
        <w:t xml:space="preserve">ptions </w:t>
      </w:r>
      <w:r w:rsidR="00DB4CA5">
        <w:t>c</w:t>
      </w:r>
      <w:r>
        <w:t>onsidered</w:t>
      </w:r>
    </w:p>
    <w:p w14:paraId="32795FFC" w14:textId="77777777" w:rsidR="0059689D" w:rsidRDefault="00925619" w:rsidP="004404BA">
      <w:r>
        <w:t xml:space="preserve">That the Council does not approve the necessary consultation and notification to extend and vary the existing </w:t>
      </w:r>
      <w:r w:rsidR="00BA3632">
        <w:t xml:space="preserve">2021 </w:t>
      </w:r>
      <w:r>
        <w:t xml:space="preserve">PSPO before it </w:t>
      </w:r>
      <w:r w:rsidR="003A59C8">
        <w:t xml:space="preserve">expires </w:t>
      </w:r>
      <w:r>
        <w:t>on 30 September 202</w:t>
      </w:r>
      <w:r w:rsidR="00BA3632">
        <w:t>4</w:t>
      </w:r>
      <w:r>
        <w:t>.  This would mean that officers could not continue to take action under these provisions, for instance requesting a person to hand over alcohol, issue a fixed penalty notice or provide evidence for legal action for breaching the PSPO.</w:t>
      </w:r>
    </w:p>
    <w:p w14:paraId="1D974380" w14:textId="77777777" w:rsidR="0059689D" w:rsidRDefault="00925619" w:rsidP="004404BA">
      <w:r>
        <w:t>This would result in an operational gap, and is likely to impact upon the Council’s reputation through public awareness and is likely to lead to:</w:t>
      </w:r>
    </w:p>
    <w:p w14:paraId="1997FBC4" w14:textId="77777777" w:rsidR="0059689D" w:rsidRDefault="00925619">
      <w:pPr>
        <w:pStyle w:val="ListParagraph"/>
        <w:numPr>
          <w:ilvl w:val="0"/>
          <w:numId w:val="4"/>
        </w:numPr>
      </w:pPr>
      <w:r>
        <w:t xml:space="preserve">an increase in dog fouling </w:t>
      </w:r>
      <w:r w:rsidR="009D1ABA">
        <w:t>reports</w:t>
      </w:r>
      <w:r w:rsidR="00AC7FCF">
        <w:t>,</w:t>
      </w:r>
    </w:p>
    <w:p w14:paraId="76A2541C" w14:textId="77777777" w:rsidR="0059689D" w:rsidRDefault="00925619">
      <w:pPr>
        <w:pStyle w:val="ListParagraph"/>
        <w:numPr>
          <w:ilvl w:val="0"/>
          <w:numId w:val="4"/>
        </w:numPr>
      </w:pPr>
      <w:r>
        <w:t xml:space="preserve">dogs being allowed in children’s play areas or in enclosed sports facilities on parks, </w:t>
      </w:r>
    </w:p>
    <w:p w14:paraId="4C81A211" w14:textId="77777777" w:rsidR="0059689D" w:rsidRDefault="00925619">
      <w:pPr>
        <w:pStyle w:val="ListParagraph"/>
        <w:numPr>
          <w:ilvl w:val="0"/>
          <w:numId w:val="4"/>
        </w:numPr>
      </w:pPr>
      <w:r>
        <w:t xml:space="preserve">dogs being walked off leads on highways and in cemeteries, </w:t>
      </w:r>
    </w:p>
    <w:p w14:paraId="24335599" w14:textId="77777777" w:rsidR="0059689D" w:rsidRDefault="00925619">
      <w:pPr>
        <w:pStyle w:val="ListParagraph"/>
        <w:numPr>
          <w:ilvl w:val="0"/>
          <w:numId w:val="4"/>
        </w:numPr>
      </w:pPr>
      <w:r>
        <w:t>no limit to the</w:t>
      </w:r>
      <w:r w:rsidR="009F4D80">
        <w:t xml:space="preserve"> number of dogs being walked at any time by one person, </w:t>
      </w:r>
    </w:p>
    <w:p w14:paraId="606785E1" w14:textId="77777777" w:rsidR="0059689D" w:rsidRDefault="00925619">
      <w:pPr>
        <w:pStyle w:val="ListParagraph"/>
        <w:numPr>
          <w:ilvl w:val="0"/>
          <w:numId w:val="4"/>
        </w:numPr>
      </w:pPr>
      <w:r>
        <w:t>people consuming alcohol and behaving in a manner to cause a nuisance</w:t>
      </w:r>
      <w:r w:rsidRPr="00E06373">
        <w:t xml:space="preserve"> </w:t>
      </w:r>
      <w:r>
        <w:t>in any of the areas currently specified,</w:t>
      </w:r>
    </w:p>
    <w:p w14:paraId="7E87E486" w14:textId="77777777" w:rsidR="0059689D" w:rsidRDefault="00925619">
      <w:pPr>
        <w:pStyle w:val="ListParagraph"/>
        <w:numPr>
          <w:ilvl w:val="0"/>
          <w:numId w:val="4"/>
        </w:numPr>
      </w:pPr>
      <w:r>
        <w:t>no or limited methods to control a dog (i.e. requirement to put a dog on a lead)</w:t>
      </w:r>
      <w:r w:rsidR="00AC7FCF">
        <w:t>,</w:t>
      </w:r>
    </w:p>
    <w:p w14:paraId="3E56D613" w14:textId="77777777" w:rsidR="0059689D" w:rsidRDefault="00925619">
      <w:pPr>
        <w:pStyle w:val="ListParagraph"/>
        <w:numPr>
          <w:ilvl w:val="0"/>
          <w:numId w:val="4"/>
        </w:numPr>
      </w:pPr>
      <w:r>
        <w:t xml:space="preserve">urinating in a public space in any of the areas currently specified,  </w:t>
      </w:r>
    </w:p>
    <w:p w14:paraId="245F783C" w14:textId="77777777" w:rsidR="0059689D" w:rsidRDefault="00925619">
      <w:pPr>
        <w:pStyle w:val="ListParagraph"/>
        <w:numPr>
          <w:ilvl w:val="0"/>
          <w:numId w:val="4"/>
        </w:numPr>
      </w:pPr>
      <w:r>
        <w:t>n</w:t>
      </w:r>
      <w:r w:rsidR="009F4D80">
        <w:t>ot having powers for Community Protection Officers to move a person on when they are behaving in an anti-social manner in specified areas</w:t>
      </w:r>
      <w:r>
        <w:t>,</w:t>
      </w:r>
    </w:p>
    <w:p w14:paraId="7D946DC2" w14:textId="77777777" w:rsidR="00E47F0D" w:rsidRDefault="00925619">
      <w:pPr>
        <w:pStyle w:val="ListParagraph"/>
        <w:numPr>
          <w:ilvl w:val="0"/>
          <w:numId w:val="4"/>
        </w:numPr>
      </w:pPr>
      <w:r>
        <w:t>r</w:t>
      </w:r>
      <w:r w:rsidR="009F4D80">
        <w:t>emoving the ‘public restricted access’ requirements between Bentinck Street and Welbeck Street, Sutton-In-Ashfield</w:t>
      </w:r>
      <w:r>
        <w:t>, and</w:t>
      </w:r>
    </w:p>
    <w:p w14:paraId="4243B51F" w14:textId="77777777" w:rsidR="000C5A9F" w:rsidRDefault="00925619">
      <w:pPr>
        <w:pStyle w:val="ListParagraph"/>
        <w:numPr>
          <w:ilvl w:val="0"/>
          <w:numId w:val="4"/>
        </w:numPr>
      </w:pPr>
      <w:r>
        <w:lastRenderedPageBreak/>
        <w:t>i</w:t>
      </w:r>
      <w:r w:rsidR="009F4D80">
        <w:t>ncreased incidents of vehicle nuisance</w:t>
      </w:r>
    </w:p>
    <w:p w14:paraId="1632CC97" w14:textId="77777777" w:rsidR="009D1ABA" w:rsidRDefault="00925619" w:rsidP="004404BA">
      <w:r>
        <w:t xml:space="preserve">In addition, if the </w:t>
      </w:r>
      <w:r w:rsidR="000C5A9F" w:rsidRPr="000C5A9F">
        <w:t xml:space="preserve">necessary consultation, publicity and notification </w:t>
      </w:r>
      <w:r w:rsidR="000C5A9F">
        <w:t xml:space="preserve">(and </w:t>
      </w:r>
      <w:r w:rsidR="00BA3632">
        <w:t>proposed 2024</w:t>
      </w:r>
      <w:r w:rsidR="000C5A9F">
        <w:t xml:space="preserve"> </w:t>
      </w:r>
      <w:r w:rsidR="000B3BE8">
        <w:t>PSPO</w:t>
      </w:r>
      <w:r w:rsidR="000C5A9F">
        <w:t>)</w:t>
      </w:r>
      <w:r>
        <w:t xml:space="preserve"> </w:t>
      </w:r>
      <w:r w:rsidR="000C5A9F">
        <w:t xml:space="preserve">is </w:t>
      </w:r>
      <w:r>
        <w:t xml:space="preserve">not approved, it </w:t>
      </w:r>
      <w:r w:rsidR="008711C4">
        <w:t xml:space="preserve">will </w:t>
      </w:r>
      <w:r w:rsidR="00723CCB">
        <w:t>limi</w:t>
      </w:r>
      <w:r w:rsidR="008711C4">
        <w:t>t</w:t>
      </w:r>
      <w:r w:rsidR="00723CCB">
        <w:t xml:space="preserve"> the opportunity for </w:t>
      </w:r>
      <w:r w:rsidR="00E47F0D">
        <w:t xml:space="preserve">localised powers </w:t>
      </w:r>
      <w:r w:rsidR="00723CCB">
        <w:t>being delegated to the</w:t>
      </w:r>
      <w:r>
        <w:t xml:space="preserve"> Council and Police to</w:t>
      </w:r>
      <w:r w:rsidR="00E47F0D">
        <w:t xml:space="preserve"> assist in addressing trends and issues in relation to vehicle nuisance</w:t>
      </w:r>
      <w:r w:rsidR="00C92B05">
        <w:t xml:space="preserve"> (</w:t>
      </w:r>
      <w:r w:rsidR="004C0775">
        <w:t>car cruising</w:t>
      </w:r>
      <w:r w:rsidR="00C92B05">
        <w:t>)</w:t>
      </w:r>
      <w:r w:rsidR="004C0775">
        <w:t xml:space="preserve"> </w:t>
      </w:r>
      <w:r w:rsidR="00E47F0D">
        <w:t xml:space="preserve">and street harassment including inappropriate behaviour towards women and girls. This is not advised. </w:t>
      </w:r>
    </w:p>
    <w:p w14:paraId="6F4F72AB" w14:textId="049349A8" w:rsidR="00724D71" w:rsidRPr="00A839F8" w:rsidRDefault="00925619" w:rsidP="00B25A5D">
      <w:pPr>
        <w:pStyle w:val="Heading2"/>
      </w:pPr>
      <w:r w:rsidRPr="00A839F8">
        <w:t xml:space="preserve">Detailed </w:t>
      </w:r>
      <w:r w:rsidR="00DB4CA5">
        <w:t>i</w:t>
      </w:r>
      <w:r w:rsidRPr="00A839F8">
        <w:t>nformation</w:t>
      </w:r>
    </w:p>
    <w:p w14:paraId="4D43D125" w14:textId="77777777" w:rsidR="003457FA" w:rsidRPr="00420650" w:rsidRDefault="00925619" w:rsidP="00B25A5D">
      <w:pPr>
        <w:pStyle w:val="Heading3"/>
      </w:pPr>
      <w:r>
        <w:t xml:space="preserve">(Existing </w:t>
      </w:r>
      <w:r w:rsidR="000B3BE8">
        <w:t>2021 PSPO</w:t>
      </w:r>
      <w:r>
        <w:t>)</w:t>
      </w:r>
    </w:p>
    <w:p w14:paraId="569E0256" w14:textId="77777777" w:rsidR="00724D71" w:rsidRDefault="00925619" w:rsidP="00724D71">
      <w:pPr>
        <w:jc w:val="both"/>
      </w:pPr>
      <w:r>
        <w:t xml:space="preserve">The existing Public Spaces Protection Order </w:t>
      </w:r>
      <w:r w:rsidR="000B3BE8">
        <w:t xml:space="preserve">2021 </w:t>
      </w:r>
      <w:r>
        <w:t xml:space="preserve">came into effect on 1 October </w:t>
      </w:r>
      <w:proofErr w:type="gramStart"/>
      <w:r>
        <w:t>20</w:t>
      </w:r>
      <w:r w:rsidR="00370E84">
        <w:t>21</w:t>
      </w:r>
      <w:r>
        <w:t>,</w:t>
      </w:r>
      <w:proofErr w:type="gramEnd"/>
      <w:r>
        <w:t xml:space="preserve"> </w:t>
      </w:r>
      <w:r w:rsidR="00C92B05">
        <w:t xml:space="preserve">it </w:t>
      </w:r>
      <w:r w:rsidR="00723CCB">
        <w:t xml:space="preserve">provided powers to the </w:t>
      </w:r>
      <w:r>
        <w:t>Council</w:t>
      </w:r>
      <w:r w:rsidR="00723CCB">
        <w:t xml:space="preserve"> and Police</w:t>
      </w:r>
      <w:r>
        <w:t xml:space="preserve"> to take preventive </w:t>
      </w:r>
      <w:r w:rsidR="00723CCB">
        <w:t xml:space="preserve">and </w:t>
      </w:r>
      <w:r>
        <w:t>enforcement action in public places</w:t>
      </w:r>
      <w:r w:rsidR="00723CCB">
        <w:t xml:space="preserve"> across designated areas in Ashfield</w:t>
      </w:r>
      <w:r>
        <w:t xml:space="preserve"> </w:t>
      </w:r>
      <w:r w:rsidR="00723CCB">
        <w:t>in relation to:</w:t>
      </w:r>
      <w:r>
        <w:t xml:space="preserve"> </w:t>
      </w:r>
    </w:p>
    <w:p w14:paraId="6D828C7B" w14:textId="77777777" w:rsidR="00724D71" w:rsidRPr="00B25A5D" w:rsidRDefault="00925619">
      <w:pPr>
        <w:pStyle w:val="ListParagraph"/>
        <w:numPr>
          <w:ilvl w:val="0"/>
          <w:numId w:val="5"/>
        </w:numPr>
        <w:ind w:left="600" w:hanging="600"/>
      </w:pPr>
      <w:r w:rsidRPr="00B25A5D">
        <w:t>Alcohol consumption in a designated area</w:t>
      </w:r>
    </w:p>
    <w:p w14:paraId="44542A71" w14:textId="77777777" w:rsidR="00724D71" w:rsidRPr="00B25A5D" w:rsidRDefault="00925619">
      <w:pPr>
        <w:pStyle w:val="ListParagraph"/>
        <w:numPr>
          <w:ilvl w:val="0"/>
          <w:numId w:val="5"/>
        </w:numPr>
        <w:ind w:left="600" w:hanging="600"/>
      </w:pPr>
      <w:r w:rsidRPr="00B25A5D">
        <w:t>Urinating/defecating within a designated area</w:t>
      </w:r>
    </w:p>
    <w:p w14:paraId="6BED1048" w14:textId="77777777" w:rsidR="00724D71" w:rsidRPr="00B25A5D" w:rsidRDefault="00925619">
      <w:pPr>
        <w:pStyle w:val="ListParagraph"/>
        <w:numPr>
          <w:ilvl w:val="0"/>
          <w:numId w:val="5"/>
        </w:numPr>
        <w:ind w:left="600" w:hanging="600"/>
      </w:pPr>
      <w:r w:rsidRPr="00B25A5D">
        <w:t>Direction to move on in specified areas</w:t>
      </w:r>
    </w:p>
    <w:p w14:paraId="00969531" w14:textId="77777777" w:rsidR="00724D71" w:rsidRPr="00B25A5D" w:rsidRDefault="00925619">
      <w:pPr>
        <w:pStyle w:val="ListParagraph"/>
        <w:numPr>
          <w:ilvl w:val="0"/>
          <w:numId w:val="5"/>
        </w:numPr>
        <w:ind w:left="600" w:hanging="600"/>
      </w:pPr>
      <w:r w:rsidRPr="00B25A5D">
        <w:t xml:space="preserve">Dog fouling </w:t>
      </w:r>
    </w:p>
    <w:p w14:paraId="2BE6362B" w14:textId="77777777" w:rsidR="00724D71" w:rsidRPr="00B25A5D" w:rsidRDefault="00925619">
      <w:pPr>
        <w:pStyle w:val="ListParagraph"/>
        <w:numPr>
          <w:ilvl w:val="0"/>
          <w:numId w:val="5"/>
        </w:numPr>
        <w:ind w:left="600" w:hanging="600"/>
      </w:pPr>
      <w:r w:rsidRPr="00B25A5D">
        <w:t xml:space="preserve">Failing to produce device or other means of removing dog faeces on demand </w:t>
      </w:r>
    </w:p>
    <w:p w14:paraId="39B8E065" w14:textId="77777777" w:rsidR="00724D71" w:rsidRPr="00B25A5D" w:rsidRDefault="00925619">
      <w:pPr>
        <w:pStyle w:val="ListParagraph"/>
        <w:numPr>
          <w:ilvl w:val="0"/>
          <w:numId w:val="5"/>
        </w:numPr>
        <w:ind w:left="600" w:hanging="600"/>
      </w:pPr>
      <w:r w:rsidRPr="00B25A5D">
        <w:t>Dog exclusion in specified areas</w:t>
      </w:r>
    </w:p>
    <w:p w14:paraId="048560B1" w14:textId="77777777" w:rsidR="00724D71" w:rsidRPr="00B25A5D" w:rsidRDefault="00925619">
      <w:pPr>
        <w:pStyle w:val="ListParagraph"/>
        <w:numPr>
          <w:ilvl w:val="0"/>
          <w:numId w:val="5"/>
        </w:numPr>
        <w:ind w:left="600" w:hanging="600"/>
      </w:pPr>
      <w:r w:rsidRPr="00B25A5D">
        <w:t>Dogs on lead in specified areas</w:t>
      </w:r>
    </w:p>
    <w:p w14:paraId="0BDB27F1" w14:textId="77777777" w:rsidR="00724D71" w:rsidRPr="00B25A5D" w:rsidRDefault="00925619">
      <w:pPr>
        <w:pStyle w:val="ListParagraph"/>
        <w:numPr>
          <w:ilvl w:val="0"/>
          <w:numId w:val="5"/>
        </w:numPr>
        <w:ind w:left="600" w:hanging="600"/>
      </w:pPr>
      <w:r w:rsidRPr="00B25A5D">
        <w:t>Dogs on lead by direction</w:t>
      </w:r>
    </w:p>
    <w:p w14:paraId="71980085" w14:textId="77777777" w:rsidR="003457FA" w:rsidRPr="00B25A5D" w:rsidRDefault="00925619">
      <w:pPr>
        <w:pStyle w:val="ListParagraph"/>
        <w:numPr>
          <w:ilvl w:val="0"/>
          <w:numId w:val="5"/>
        </w:numPr>
        <w:ind w:left="600" w:hanging="600"/>
      </w:pPr>
      <w:r w:rsidRPr="00B25A5D">
        <w:t>Dog</w:t>
      </w:r>
      <w:r w:rsidR="00AC7FCF" w:rsidRPr="00B25A5D">
        <w:t xml:space="preserve"> number</w:t>
      </w:r>
      <w:r w:rsidRPr="00B25A5D">
        <w:t>s specified maximum amount</w:t>
      </w:r>
      <w:r w:rsidR="00AC7FCF" w:rsidRPr="00B25A5D">
        <w:t xml:space="preserve"> being handled by one person</w:t>
      </w:r>
    </w:p>
    <w:p w14:paraId="6F58E274" w14:textId="77777777" w:rsidR="000B3BE8" w:rsidRPr="00B25A5D" w:rsidRDefault="00925619">
      <w:pPr>
        <w:pStyle w:val="ListParagraph"/>
        <w:numPr>
          <w:ilvl w:val="0"/>
          <w:numId w:val="5"/>
        </w:numPr>
        <w:ind w:left="600" w:hanging="600"/>
      </w:pPr>
      <w:bookmarkStart w:id="0" w:name="_Hlk159400924"/>
      <w:r w:rsidRPr="00B25A5D">
        <w:t>Restricting Access (land between Bentinck St/Welbeck St)</w:t>
      </w:r>
    </w:p>
    <w:bookmarkEnd w:id="0"/>
    <w:p w14:paraId="3FF46AF6" w14:textId="77777777" w:rsidR="0095293F" w:rsidRDefault="00925619">
      <w:pPr>
        <w:pStyle w:val="ListParagraph"/>
        <w:numPr>
          <w:ilvl w:val="0"/>
          <w:numId w:val="5"/>
        </w:numPr>
        <w:ind w:left="600" w:hanging="600"/>
      </w:pPr>
      <w:r w:rsidRPr="00B25A5D">
        <w:t>Car Cruising</w:t>
      </w:r>
      <w:r w:rsidR="00C92B05" w:rsidRPr="00B25A5D">
        <w:t xml:space="preserve"> (land at Junction 27 of the M1)</w:t>
      </w:r>
    </w:p>
    <w:p w14:paraId="1A720F35" w14:textId="77777777" w:rsidR="00724D71" w:rsidRPr="00467D7A" w:rsidRDefault="00925619" w:rsidP="00B25A5D">
      <w:pPr>
        <w:pStyle w:val="Heading4"/>
      </w:pPr>
      <w:r w:rsidRPr="00467D7A">
        <w:t>Alcohol consumption in a designated area.</w:t>
      </w:r>
    </w:p>
    <w:p w14:paraId="2D7E5D24" w14:textId="77777777" w:rsidR="00724D71" w:rsidRDefault="00925619" w:rsidP="004404BA">
      <w:r>
        <w:t xml:space="preserve">If a person who is drinking alcohol is behaving or likely to behave in a manner to cause nuisance and annoyance, an officer can request the person not to consume and/or surrender their alcohol, the officer can pour it away.  Failing to comply allows an officer to take action by means of issuing a Fixed Penalty Notice or provide evidence for legal action through the Court.  There are 8 designated areas in Ashfield where this applies within the </w:t>
      </w:r>
      <w:r w:rsidR="006E34E0">
        <w:t xml:space="preserve">2021 </w:t>
      </w:r>
      <w:r>
        <w:t xml:space="preserve">PSPO </w:t>
      </w:r>
      <w:r w:rsidR="006E34E0">
        <w:t>(Schedule 1)</w:t>
      </w:r>
      <w:r>
        <w:t>.</w:t>
      </w:r>
    </w:p>
    <w:p w14:paraId="070ACBEA" w14:textId="77777777" w:rsidR="00724D71" w:rsidRPr="00467D7A" w:rsidRDefault="00925619" w:rsidP="00B25A5D">
      <w:pPr>
        <w:pStyle w:val="Heading4"/>
      </w:pPr>
      <w:r w:rsidRPr="00467D7A">
        <w:t xml:space="preserve">Urinating/defecating within a designated area. </w:t>
      </w:r>
    </w:p>
    <w:p w14:paraId="092EA399" w14:textId="77777777" w:rsidR="00724D71" w:rsidRDefault="00925619" w:rsidP="004404BA">
      <w:r>
        <w:t xml:space="preserve">If a person urinates or defecates within the specified area an officer can </w:t>
      </w:r>
      <w:proofErr w:type="gramStart"/>
      <w:r>
        <w:t>take action</w:t>
      </w:r>
      <w:proofErr w:type="gramEnd"/>
      <w:r>
        <w:t xml:space="preserve"> by means of issuing a Fixed Penalty Notice or provide evidence for legal action through the Court.  There are 8 designated areas in Ashfield where this applies within the </w:t>
      </w:r>
      <w:r w:rsidR="006E34E0">
        <w:t xml:space="preserve">2021 </w:t>
      </w:r>
      <w:r>
        <w:t>PSPO</w:t>
      </w:r>
      <w:r w:rsidR="006E34E0">
        <w:t xml:space="preserve"> (Schedule 1)</w:t>
      </w:r>
      <w:r>
        <w:t>.</w:t>
      </w:r>
    </w:p>
    <w:p w14:paraId="0384F5FC" w14:textId="77777777" w:rsidR="006E34E0" w:rsidRPr="00467D7A" w:rsidRDefault="00925619" w:rsidP="00B25A5D">
      <w:pPr>
        <w:pStyle w:val="Heading4"/>
      </w:pPr>
      <w:r w:rsidRPr="00467D7A">
        <w:lastRenderedPageBreak/>
        <w:t xml:space="preserve">Direction to move on </w:t>
      </w:r>
    </w:p>
    <w:p w14:paraId="31D689E7" w14:textId="77777777" w:rsidR="006E34E0" w:rsidRDefault="00925619" w:rsidP="004404BA">
      <w:r>
        <w:t xml:space="preserve">If a person is engaging in behaviour that is anti-social or creating a nuisance or annoyance and fails to move on when asked to do so, an officer can </w:t>
      </w:r>
      <w:proofErr w:type="gramStart"/>
      <w:r>
        <w:t>take action</w:t>
      </w:r>
      <w:proofErr w:type="gramEnd"/>
      <w:r>
        <w:t xml:space="preserve"> by means of issuing a Fixed Penalty Notice or provide evidence for legal action through the Court which may result in prosecution.  There are 8 designated areas in Ashfield where this applies within the 2021 PSPO (</w:t>
      </w:r>
      <w:r w:rsidRPr="00467D7A">
        <w:rPr>
          <w:bCs/>
        </w:rPr>
        <w:t>Schedule 1</w:t>
      </w:r>
      <w:r>
        <w:rPr>
          <w:b/>
        </w:rPr>
        <w:t>)</w:t>
      </w:r>
      <w:r>
        <w:t>.</w:t>
      </w:r>
    </w:p>
    <w:p w14:paraId="42EDAD0B" w14:textId="77777777" w:rsidR="00724D71" w:rsidRPr="00467D7A" w:rsidRDefault="00925619" w:rsidP="00B25A5D">
      <w:pPr>
        <w:pStyle w:val="Heading4"/>
      </w:pPr>
      <w:r w:rsidRPr="00467D7A">
        <w:t>Dog fouling</w:t>
      </w:r>
    </w:p>
    <w:p w14:paraId="30FC8042" w14:textId="77777777" w:rsidR="005E2E93" w:rsidRDefault="00925619" w:rsidP="004404BA">
      <w:r>
        <w:t xml:space="preserve">If a person allows a </w:t>
      </w:r>
      <w:proofErr w:type="gramStart"/>
      <w:r>
        <w:t>dog</w:t>
      </w:r>
      <w:proofErr w:type="gramEnd"/>
      <w:r>
        <w:t xml:space="preserve"> they are responsible for at that time to foul and walks away without picking it up</w:t>
      </w:r>
      <w:r w:rsidR="00D907AB">
        <w:t>,</w:t>
      </w:r>
      <w:r>
        <w:t xml:space="preserve"> an officer can </w:t>
      </w:r>
      <w:proofErr w:type="gramStart"/>
      <w:r>
        <w:t>take action</w:t>
      </w:r>
      <w:proofErr w:type="gramEnd"/>
      <w:r>
        <w:t xml:space="preserve"> by means of issuing a Fixed Penalty Notice or provide evidence for legal action through the Court.  This relates to the entire </w:t>
      </w:r>
      <w:r w:rsidR="00D907AB">
        <w:t>D</w:t>
      </w:r>
      <w:r>
        <w:t xml:space="preserve">istrict with the exception of forestry commission land as highlighted within Schedule 2 </w:t>
      </w:r>
      <w:r w:rsidR="00D93B02">
        <w:t xml:space="preserve">of the 2021 PSPO </w:t>
      </w:r>
      <w:r>
        <w:t>and accompanying map.</w:t>
      </w:r>
    </w:p>
    <w:p w14:paraId="57313594" w14:textId="77777777" w:rsidR="00724D71" w:rsidRPr="00467D7A" w:rsidRDefault="00925619" w:rsidP="00B25A5D">
      <w:pPr>
        <w:pStyle w:val="Heading4"/>
      </w:pPr>
      <w:r w:rsidRPr="00467D7A">
        <w:t xml:space="preserve">Failing to produce </w:t>
      </w:r>
      <w:r w:rsidR="002B6071">
        <w:t xml:space="preserve">suitable </w:t>
      </w:r>
      <w:r w:rsidRPr="00467D7A">
        <w:t>means or removing dog faeces on demand.</w:t>
      </w:r>
    </w:p>
    <w:p w14:paraId="0165B48F" w14:textId="77777777" w:rsidR="00724D71" w:rsidRDefault="00925619" w:rsidP="004404BA">
      <w:r>
        <w:t xml:space="preserve">If a person does not produce a </w:t>
      </w:r>
      <w:r w:rsidRPr="008B5A26">
        <w:t xml:space="preserve">device or other means </w:t>
      </w:r>
      <w:r>
        <w:t>f</w:t>
      </w:r>
      <w:r w:rsidRPr="008B5A26">
        <w:t>or removing dog faeces</w:t>
      </w:r>
      <w:r>
        <w:t xml:space="preserve"> upon request an officer can </w:t>
      </w:r>
      <w:proofErr w:type="gramStart"/>
      <w:r>
        <w:t>take action</w:t>
      </w:r>
      <w:proofErr w:type="gramEnd"/>
      <w:r>
        <w:t xml:space="preserve"> by means of issuing a Fixed Penalty Notice or provide evidence for legal action through the Court. This relates to the entire District </w:t>
      </w:r>
      <w:proofErr w:type="gramStart"/>
      <w:r>
        <w:t>with the exception of</w:t>
      </w:r>
      <w:proofErr w:type="gramEnd"/>
      <w:r>
        <w:t xml:space="preserve"> forestry commission land as highlighted within </w:t>
      </w:r>
      <w:r w:rsidRPr="00FE2148">
        <w:rPr>
          <w:b/>
        </w:rPr>
        <w:t xml:space="preserve">Schedule </w:t>
      </w:r>
      <w:r w:rsidRPr="00420650">
        <w:rPr>
          <w:b/>
        </w:rPr>
        <w:t>2</w:t>
      </w:r>
      <w:r>
        <w:t xml:space="preserve"> </w:t>
      </w:r>
      <w:r w:rsidR="000E789E">
        <w:t xml:space="preserve">of the 2021 PSPO </w:t>
      </w:r>
      <w:r>
        <w:t>and accompanying map.</w:t>
      </w:r>
    </w:p>
    <w:p w14:paraId="017DDFE8" w14:textId="77777777" w:rsidR="00996E64" w:rsidRPr="00467D7A" w:rsidRDefault="00925619" w:rsidP="00B25A5D">
      <w:pPr>
        <w:pStyle w:val="Heading4"/>
      </w:pPr>
      <w:r w:rsidRPr="00467D7A">
        <w:t>Dog exclusion in specified areas</w:t>
      </w:r>
    </w:p>
    <w:p w14:paraId="7F614EFA" w14:textId="77777777" w:rsidR="00996E64" w:rsidRDefault="00925619" w:rsidP="004404BA">
      <w:r>
        <w:t xml:space="preserve">Dogs are excluded from specific locations within Ashfield </w:t>
      </w:r>
      <w:proofErr w:type="gramStart"/>
      <w:r>
        <w:t>including:</w:t>
      </w:r>
      <w:proofErr w:type="gramEnd"/>
      <w:r>
        <w:t xml:space="preserve"> enclosed children’s play areas and enclosed sports facilities on parks i.e. tennis courts, bowling greens. An officer can take action by means of issuing a Fixed Penalty Notice or provide evidence for legal action through the Court if the person responsible for the dog allows it to enter the exclusion areas as highlighted within </w:t>
      </w:r>
      <w:r w:rsidRPr="00467D7A">
        <w:rPr>
          <w:bCs/>
        </w:rPr>
        <w:t>Schedule 3</w:t>
      </w:r>
      <w:r>
        <w:t xml:space="preserve"> of the 2021 Order and accompanying maps.</w:t>
      </w:r>
    </w:p>
    <w:p w14:paraId="0587D6D3" w14:textId="77777777" w:rsidR="00996E64" w:rsidRPr="00467D7A" w:rsidRDefault="00925619" w:rsidP="00B25A5D">
      <w:pPr>
        <w:pStyle w:val="Heading4"/>
      </w:pPr>
      <w:r w:rsidRPr="00467D7A">
        <w:t>Dogs on leads in specified areas.</w:t>
      </w:r>
    </w:p>
    <w:p w14:paraId="5A0DA75F" w14:textId="77777777" w:rsidR="00996E64" w:rsidRDefault="00925619" w:rsidP="004404BA">
      <w:pPr>
        <w:rPr>
          <w:bCs/>
          <w:u w:val="single"/>
        </w:rPr>
      </w:pPr>
      <w:r w:rsidRPr="00D45FE4">
        <w:t xml:space="preserve">If </w:t>
      </w:r>
      <w:r>
        <w:t xml:space="preserve">a person does not comply with placing their dog on a lead on: each and every length of road (including pavements, footways and verges, and the pedestrianised areas and cemeteries and churchyards detailed as per </w:t>
      </w:r>
      <w:r w:rsidRPr="00467D7A">
        <w:rPr>
          <w:bCs/>
        </w:rPr>
        <w:t>Schedule 4 of the 2021 PSPO</w:t>
      </w:r>
      <w:r>
        <w:t xml:space="preserve"> and accompanying maps) an officer can take action by means of issuing a Fixed Penalty Notice or provide evidence for legal action through the Court.  </w:t>
      </w:r>
    </w:p>
    <w:p w14:paraId="5FB91782" w14:textId="77777777" w:rsidR="00724D71" w:rsidRPr="00467D7A" w:rsidRDefault="00925619" w:rsidP="00B25A5D">
      <w:pPr>
        <w:pStyle w:val="Heading4"/>
      </w:pPr>
      <w:r w:rsidRPr="00467D7A">
        <w:t>Dogs on lead by direction.</w:t>
      </w:r>
    </w:p>
    <w:p w14:paraId="3938F3AB" w14:textId="77777777" w:rsidR="00723CCB" w:rsidRDefault="00925619" w:rsidP="004404BA">
      <w:pPr>
        <w:rPr>
          <w:bCs/>
          <w:u w:val="single"/>
        </w:rPr>
      </w:pPr>
      <w:r>
        <w:t xml:space="preserve">If a person does not comply with placing their dog on a lead at the request of an authorised officer, the officer can </w:t>
      </w:r>
      <w:proofErr w:type="gramStart"/>
      <w:r>
        <w:t>take action</w:t>
      </w:r>
      <w:proofErr w:type="gramEnd"/>
      <w:r>
        <w:t xml:space="preserve"> by means of issuing a Fixed Penalty Notice or provide evidence for legal action through the Court.  This relates to the entire District with the exception of forestry commission land as highlighted within </w:t>
      </w:r>
      <w:r w:rsidRPr="00FE2148">
        <w:rPr>
          <w:b/>
        </w:rPr>
        <w:t>Schedule 2</w:t>
      </w:r>
      <w:r>
        <w:t xml:space="preserve"> </w:t>
      </w:r>
      <w:r w:rsidR="00E0542A">
        <w:t xml:space="preserve">of the 2021 PSPO </w:t>
      </w:r>
      <w:r>
        <w:t>and accompanying map.</w:t>
      </w:r>
    </w:p>
    <w:p w14:paraId="7339DACE" w14:textId="77777777" w:rsidR="00724D71" w:rsidRPr="00467D7A" w:rsidRDefault="00925619" w:rsidP="005911E2">
      <w:pPr>
        <w:pStyle w:val="Heading4"/>
      </w:pPr>
      <w:r w:rsidRPr="00467D7A">
        <w:t>Dogs specified maximum amount.</w:t>
      </w:r>
    </w:p>
    <w:p w14:paraId="501AAE1A" w14:textId="77777777" w:rsidR="00724D71" w:rsidRDefault="00925619" w:rsidP="004404BA">
      <w:r>
        <w:t xml:space="preserve">No more than 6 dogs can be taken out at any one time by one </w:t>
      </w:r>
      <w:proofErr w:type="gramStart"/>
      <w:r>
        <w:t>person</w:t>
      </w:r>
      <w:proofErr w:type="gramEnd"/>
      <w:r>
        <w:t xml:space="preserve"> or </w:t>
      </w:r>
      <w:bookmarkStart w:id="1" w:name="_Hlk159401121"/>
      <w:r>
        <w:t xml:space="preserve">an officer can </w:t>
      </w:r>
      <w:proofErr w:type="gramStart"/>
      <w:r>
        <w:t>take action</w:t>
      </w:r>
      <w:proofErr w:type="gramEnd"/>
      <w:r>
        <w:t xml:space="preserve"> by means of issuing a Fixed Penalty Notice or provide evidence for legal action through </w:t>
      </w:r>
      <w:r>
        <w:lastRenderedPageBreak/>
        <w:t xml:space="preserve">the Court. This relates to the entire District with the exception of Forestry Commission land as highlighted within </w:t>
      </w:r>
      <w:r w:rsidRPr="00467D7A">
        <w:rPr>
          <w:bCs/>
        </w:rPr>
        <w:t>Schedule 2</w:t>
      </w:r>
      <w:r>
        <w:t xml:space="preserve"> </w:t>
      </w:r>
      <w:r w:rsidR="00E0542A">
        <w:t xml:space="preserve">of the 2021 PSPO </w:t>
      </w:r>
      <w:r>
        <w:t>and accompanying map</w:t>
      </w:r>
      <w:bookmarkEnd w:id="1"/>
      <w:r>
        <w:t>.</w:t>
      </w:r>
    </w:p>
    <w:p w14:paraId="055C129F" w14:textId="77777777" w:rsidR="00E0542A" w:rsidRPr="007601C6" w:rsidRDefault="00925619" w:rsidP="005911E2">
      <w:pPr>
        <w:pStyle w:val="Heading4"/>
      </w:pPr>
      <w:r w:rsidRPr="007601C6">
        <w:t>Restricting Access (land between Bentinck St/Welbeck St)</w:t>
      </w:r>
    </w:p>
    <w:p w14:paraId="0288855A" w14:textId="77777777" w:rsidR="00E0542A" w:rsidRDefault="00925619" w:rsidP="004404BA">
      <w:r>
        <w:t xml:space="preserve">An area of land between Bentinck Street and Welbeck Street, Sutton-In-Ashfield </w:t>
      </w:r>
      <w:r w:rsidR="0093197F">
        <w:t xml:space="preserve">is restricted thus </w:t>
      </w:r>
      <w:r>
        <w:t xml:space="preserve">preventing access to members of the public due to concentrated reports of crime and anti-social behaviour. This </w:t>
      </w:r>
      <w:r w:rsidR="0093197F">
        <w:t>had been</w:t>
      </w:r>
      <w:r>
        <w:t xml:space="preserve"> adversely impacting on local residents who lived within the vicinity</w:t>
      </w:r>
      <w:r>
        <w:rPr>
          <w:b/>
        </w:rPr>
        <w:t xml:space="preserve">.  </w:t>
      </w:r>
      <w:r w:rsidR="0093197F">
        <w:rPr>
          <w:bCs/>
        </w:rPr>
        <w:t>A</w:t>
      </w:r>
      <w:r w:rsidRPr="00E0542A">
        <w:rPr>
          <w:rFonts w:eastAsia="Calibri"/>
          <w:lang w:val="en"/>
        </w:rPr>
        <w:t xml:space="preserve">n officer can take action by means of issuing a Fixed Penalty Notice or provide evidence for legal action through the Court. This relates to the land highlighted </w:t>
      </w:r>
      <w:r>
        <w:rPr>
          <w:rFonts w:eastAsia="Calibri"/>
          <w:lang w:val="en"/>
        </w:rPr>
        <w:t xml:space="preserve">at </w:t>
      </w:r>
      <w:r w:rsidRPr="00E0542A">
        <w:rPr>
          <w:rFonts w:eastAsia="Calibri"/>
          <w:lang w:val="en"/>
        </w:rPr>
        <w:t xml:space="preserve">Schedule </w:t>
      </w:r>
      <w:r>
        <w:rPr>
          <w:rFonts w:eastAsia="Calibri"/>
          <w:lang w:val="en"/>
        </w:rPr>
        <w:t>5</w:t>
      </w:r>
      <w:r w:rsidRPr="00E0542A">
        <w:rPr>
          <w:rFonts w:eastAsia="Calibri"/>
          <w:lang w:val="en"/>
        </w:rPr>
        <w:t xml:space="preserve"> of the 2021 PSPO and accompanying map</w:t>
      </w:r>
      <w:r w:rsidR="00D907AB">
        <w:rPr>
          <w:rFonts w:eastAsia="Calibri"/>
          <w:lang w:val="en"/>
        </w:rPr>
        <w:t>.</w:t>
      </w:r>
    </w:p>
    <w:p w14:paraId="5632A806" w14:textId="77777777" w:rsidR="00E0542A" w:rsidRPr="007601C6" w:rsidRDefault="00925619" w:rsidP="005911E2">
      <w:pPr>
        <w:pStyle w:val="Heading4"/>
      </w:pPr>
      <w:r w:rsidRPr="007601C6">
        <w:t>Car Cruising (land at Junction 27 of the M1)</w:t>
      </w:r>
    </w:p>
    <w:p w14:paraId="6717C571" w14:textId="77777777" w:rsidR="00724D71" w:rsidRDefault="00925619" w:rsidP="004404BA">
      <w:r>
        <w:t xml:space="preserve">In </w:t>
      </w:r>
      <w:r w:rsidR="00F63962">
        <w:t>addition,</w:t>
      </w:r>
      <w:r>
        <w:t xml:space="preserve"> the </w:t>
      </w:r>
      <w:r w:rsidR="00E0542A">
        <w:t xml:space="preserve">2021 </w:t>
      </w:r>
      <w:r>
        <w:t>PSPO prohibited car cruising events within the designated area</w:t>
      </w:r>
      <w:r w:rsidR="00E0542A">
        <w:t xml:space="preserve"> at</w:t>
      </w:r>
      <w:r>
        <w:t xml:space="preserve"> Junction 27 of the M1 Motorway and A611 </w:t>
      </w:r>
      <w:r w:rsidR="0093197F">
        <w:t xml:space="preserve">(highlighted within </w:t>
      </w:r>
      <w:r w:rsidR="0093197F" w:rsidRPr="00467D7A">
        <w:rPr>
          <w:bCs/>
        </w:rPr>
        <w:t>Schedule 6</w:t>
      </w:r>
      <w:r w:rsidR="0093197F">
        <w:t xml:space="preserve"> of the 2021 PSPO and accompanying map) </w:t>
      </w:r>
      <w:bookmarkStart w:id="2" w:name="_Hlk159406910"/>
      <w:r>
        <w:t xml:space="preserve">where motor vehicles congregate and any of the following activities </w:t>
      </w:r>
      <w:r w:rsidR="008711C4">
        <w:t>occurred</w:t>
      </w:r>
      <w:bookmarkEnd w:id="2"/>
      <w:r>
        <w:t xml:space="preserve">: </w:t>
      </w:r>
    </w:p>
    <w:p w14:paraId="5BBF7AFF" w14:textId="2FF95DC9" w:rsidR="0093197F" w:rsidRDefault="00925619">
      <w:pPr>
        <w:pStyle w:val="ListParagraph"/>
        <w:numPr>
          <w:ilvl w:val="0"/>
          <w:numId w:val="7"/>
        </w:numPr>
      </w:pPr>
      <w:bookmarkStart w:id="3" w:name="_Hlk159406923"/>
      <w:r>
        <w:t>causing danger or risk of injury to road users (including pedestrians) by speeding or racing;</w:t>
      </w:r>
    </w:p>
    <w:p w14:paraId="5BDE6DDD" w14:textId="00844306" w:rsidR="0093197F" w:rsidRDefault="00925619">
      <w:pPr>
        <w:pStyle w:val="ListParagraph"/>
        <w:numPr>
          <w:ilvl w:val="0"/>
          <w:numId w:val="7"/>
        </w:numPr>
      </w:pPr>
      <w:r>
        <w:t>causing damage or risk of damage to property;</w:t>
      </w:r>
    </w:p>
    <w:p w14:paraId="7F29A055" w14:textId="3367E7ED" w:rsidR="0093197F" w:rsidRDefault="00925619">
      <w:pPr>
        <w:pStyle w:val="ListParagraph"/>
        <w:numPr>
          <w:ilvl w:val="0"/>
          <w:numId w:val="7"/>
        </w:numPr>
      </w:pPr>
      <w:r>
        <w:t xml:space="preserve">speeding or racing; </w:t>
      </w:r>
    </w:p>
    <w:p w14:paraId="7AF8D00A" w14:textId="74F72BA1" w:rsidR="0093197F" w:rsidRDefault="00925619">
      <w:pPr>
        <w:pStyle w:val="ListParagraph"/>
        <w:numPr>
          <w:ilvl w:val="0"/>
          <w:numId w:val="7"/>
        </w:numPr>
      </w:pPr>
      <w:r>
        <w:t>performing stunts (including but not limited to performing a doughnuts manoeuvre drifting, skidding, handbrake turns, wheel spinning);</w:t>
      </w:r>
    </w:p>
    <w:p w14:paraId="365216E1" w14:textId="1008BEEB" w:rsidR="0093197F" w:rsidRDefault="00925619">
      <w:pPr>
        <w:pStyle w:val="ListParagraph"/>
        <w:numPr>
          <w:ilvl w:val="0"/>
          <w:numId w:val="7"/>
        </w:numPr>
      </w:pPr>
      <w:r>
        <w:t xml:space="preserve">sounding horns or playing loud music </w:t>
      </w:r>
      <w:proofErr w:type="gramStart"/>
      <w:r>
        <w:t>so as to</w:t>
      </w:r>
      <w:proofErr w:type="gramEnd"/>
      <w:r>
        <w:t xml:space="preserve"> cause a nuisance; </w:t>
      </w:r>
    </w:p>
    <w:p w14:paraId="06448A56" w14:textId="308B18FF" w:rsidR="0093197F" w:rsidRDefault="00925619">
      <w:pPr>
        <w:pStyle w:val="ListParagraph"/>
        <w:numPr>
          <w:ilvl w:val="0"/>
          <w:numId w:val="7"/>
        </w:numPr>
      </w:pPr>
      <w:r>
        <w:t xml:space="preserve">revving of engines </w:t>
      </w:r>
      <w:proofErr w:type="gramStart"/>
      <w:r>
        <w:t>so as to</w:t>
      </w:r>
      <w:proofErr w:type="gramEnd"/>
      <w:r>
        <w:t xml:space="preserve"> cause a nuisance; </w:t>
      </w:r>
    </w:p>
    <w:p w14:paraId="0E7BBB7E" w14:textId="13D73110" w:rsidR="0093197F" w:rsidRDefault="00925619">
      <w:pPr>
        <w:pStyle w:val="ListParagraph"/>
        <w:numPr>
          <w:ilvl w:val="0"/>
          <w:numId w:val="7"/>
        </w:numPr>
      </w:pPr>
      <w:r>
        <w:t xml:space="preserve">using foul or abusive language; </w:t>
      </w:r>
    </w:p>
    <w:p w14:paraId="3BD497BB" w14:textId="45C1E440" w:rsidR="0093197F" w:rsidRDefault="00925619">
      <w:pPr>
        <w:pStyle w:val="ListParagraph"/>
        <w:numPr>
          <w:ilvl w:val="0"/>
          <w:numId w:val="7"/>
        </w:numPr>
      </w:pPr>
      <w:r>
        <w:t xml:space="preserve">using threatening, intimidating or anti-social behaviour; or </w:t>
      </w:r>
    </w:p>
    <w:p w14:paraId="65CDBB4C" w14:textId="6082C193" w:rsidR="00563B19" w:rsidRDefault="00925619">
      <w:pPr>
        <w:pStyle w:val="ListParagraph"/>
        <w:numPr>
          <w:ilvl w:val="0"/>
          <w:numId w:val="7"/>
        </w:numPr>
      </w:pPr>
      <w:r>
        <w:t>causing obstruction on a public highway or publicly accessible place (whether moving or stationary)</w:t>
      </w:r>
      <w:bookmarkEnd w:id="3"/>
    </w:p>
    <w:p w14:paraId="62E74591" w14:textId="7D048BD6" w:rsidR="008818CC" w:rsidRDefault="00925619" w:rsidP="004A026C">
      <w:r>
        <w:t xml:space="preserve">It should be noted that the Council has another PSPO in place </w:t>
      </w:r>
      <w:r w:rsidR="004E483C">
        <w:t>which does not run concurrently with the 2021 PSPO.  T</w:t>
      </w:r>
      <w:r>
        <w:t>he “</w:t>
      </w:r>
      <w:r w:rsidRPr="008818CC">
        <w:t>Public Spaces Protection Order 2023</w:t>
      </w:r>
      <w:r>
        <w:t xml:space="preserve">” (“the 2023 PSPO”)  came into </w:t>
      </w:r>
      <w:r w:rsidRPr="008818CC">
        <w:t>force in Ashfield from 1 March 2023</w:t>
      </w:r>
      <w:r>
        <w:t xml:space="preserve"> and remains in place for a period of three years</w:t>
      </w:r>
      <w:r w:rsidR="004A026C">
        <w:t>, and it r</w:t>
      </w:r>
      <w:r w:rsidRPr="008818CC">
        <w:t>estrict</w:t>
      </w:r>
      <w:r w:rsidR="004A026C">
        <w:t>s</w:t>
      </w:r>
      <w:r w:rsidRPr="008818CC">
        <w:t xml:space="preserve"> public access</w:t>
      </w:r>
      <w:r w:rsidR="004A026C">
        <w:t xml:space="preserve"> in eight “restricted access highways” identified in the </w:t>
      </w:r>
      <w:r w:rsidR="00E46417">
        <w:t>O</w:t>
      </w:r>
      <w:r w:rsidR="004A026C">
        <w:t xml:space="preserve">rder.  The 2023 PSPO </w:t>
      </w:r>
      <w:r w:rsidR="004A026C" w:rsidRPr="004A026C">
        <w:t>will be unaffected by the changes proposed in this report</w:t>
      </w:r>
      <w:r w:rsidR="004A026C">
        <w:t>.</w:t>
      </w:r>
      <w:r w:rsidR="004E483C" w:rsidRPr="004E483C">
        <w:t xml:space="preserve"> </w:t>
      </w:r>
      <w:hyperlink r:id="rId7" w:history="1">
        <w:r w:rsidR="00B25A5D">
          <w:rPr>
            <w:rStyle w:val="Hyperlink"/>
          </w:rPr>
          <w:t>https://www.ashfield.gov.uk/public-spaces-protection-order-2023/</w:t>
        </w:r>
      </w:hyperlink>
    </w:p>
    <w:p w14:paraId="7D9557ED" w14:textId="77777777" w:rsidR="003457FA" w:rsidRDefault="00925619" w:rsidP="005911E2">
      <w:pPr>
        <w:pStyle w:val="Heading3"/>
      </w:pPr>
      <w:r w:rsidRPr="00BA6DF1">
        <w:t xml:space="preserve">Variations </w:t>
      </w:r>
      <w:r w:rsidR="00AF2200" w:rsidRPr="00BA6DF1">
        <w:t>included in</w:t>
      </w:r>
      <w:r w:rsidRPr="00BA6DF1">
        <w:t xml:space="preserve"> the proposed </w:t>
      </w:r>
      <w:r w:rsidR="00B51DBF">
        <w:t>‘</w:t>
      </w:r>
      <w:r w:rsidR="004D4B9B">
        <w:t>Order</w:t>
      </w:r>
      <w:r w:rsidR="00B51DBF">
        <w:t>’</w:t>
      </w:r>
    </w:p>
    <w:p w14:paraId="731A66BC" w14:textId="77777777" w:rsidR="003457FA" w:rsidRDefault="00925619" w:rsidP="00D907AB">
      <w:r w:rsidRPr="003457FA">
        <w:t xml:space="preserve">It is proposed that the prohibition previously contained in </w:t>
      </w:r>
      <w:r w:rsidR="00AF2200">
        <w:t xml:space="preserve">2021 PSPO in relation to </w:t>
      </w:r>
      <w:r w:rsidRPr="003457FA">
        <w:t xml:space="preserve">Junction 27 M1 Car </w:t>
      </w:r>
      <w:r w:rsidR="00DB5DBD" w:rsidRPr="003457FA">
        <w:t>Cruising is</w:t>
      </w:r>
      <w:r w:rsidRPr="003457FA">
        <w:t xml:space="preserve"> </w:t>
      </w:r>
      <w:r w:rsidR="00FE16F0">
        <w:t xml:space="preserve">varied </w:t>
      </w:r>
      <w:r w:rsidR="00C53B0E">
        <w:t xml:space="preserve">by re-naming the prohibition as “Vehicle Nuisance” and </w:t>
      </w:r>
      <w:r w:rsidR="00DB5DBD">
        <w:t xml:space="preserve">extended </w:t>
      </w:r>
      <w:r w:rsidR="0093197F">
        <w:t>to a</w:t>
      </w:r>
      <w:r w:rsidR="00FE16F0">
        <w:t xml:space="preserve"> </w:t>
      </w:r>
      <w:r w:rsidR="0005230C">
        <w:t>D</w:t>
      </w:r>
      <w:r w:rsidR="00FE16F0">
        <w:t>istrict wide vehicle nuisance prohibition</w:t>
      </w:r>
      <w:r w:rsidR="0093197F">
        <w:t xml:space="preserve"> on motor vehicles engaging in any of the following activities</w:t>
      </w:r>
      <w:r w:rsidR="00FE16F0">
        <w:t>:</w:t>
      </w:r>
    </w:p>
    <w:p w14:paraId="0BAAFD6D" w14:textId="24C48AF6" w:rsidR="00AF2200" w:rsidRDefault="00925619">
      <w:pPr>
        <w:pStyle w:val="ListParagraph"/>
        <w:numPr>
          <w:ilvl w:val="1"/>
          <w:numId w:val="8"/>
        </w:numPr>
      </w:pPr>
      <w:r>
        <w:lastRenderedPageBreak/>
        <w:t>causing danger or risk of injury to road users (including pedestrians) by speeding or racing;</w:t>
      </w:r>
    </w:p>
    <w:p w14:paraId="39C8FEE3" w14:textId="7EEBDB31" w:rsidR="00AF2200" w:rsidRDefault="00925619">
      <w:pPr>
        <w:pStyle w:val="ListParagraph"/>
        <w:numPr>
          <w:ilvl w:val="1"/>
          <w:numId w:val="8"/>
        </w:numPr>
      </w:pPr>
      <w:r>
        <w:t>causing damage or risk of damage to property;</w:t>
      </w:r>
    </w:p>
    <w:p w14:paraId="6EE71E75" w14:textId="01F53094" w:rsidR="00AF2200" w:rsidRDefault="00925619">
      <w:pPr>
        <w:pStyle w:val="ListParagraph"/>
        <w:numPr>
          <w:ilvl w:val="1"/>
          <w:numId w:val="8"/>
        </w:numPr>
      </w:pPr>
      <w:r>
        <w:t xml:space="preserve">speeding or racing; </w:t>
      </w:r>
    </w:p>
    <w:p w14:paraId="33886019" w14:textId="4DFF8421" w:rsidR="00AF2200" w:rsidRDefault="00925619">
      <w:pPr>
        <w:pStyle w:val="ListParagraph"/>
        <w:numPr>
          <w:ilvl w:val="1"/>
          <w:numId w:val="8"/>
        </w:numPr>
      </w:pPr>
      <w:r>
        <w:t>performing stunts (including but not limited to performing a doughnuts manoeuvre drifting, skidding, handbrake turns, wheel spinning);</w:t>
      </w:r>
    </w:p>
    <w:p w14:paraId="11DB60A6" w14:textId="7039DFFB" w:rsidR="00AF2200" w:rsidRDefault="00925619">
      <w:pPr>
        <w:pStyle w:val="ListParagraph"/>
        <w:numPr>
          <w:ilvl w:val="1"/>
          <w:numId w:val="8"/>
        </w:numPr>
      </w:pPr>
      <w:r>
        <w:t xml:space="preserve">sounding horns or playing loud music </w:t>
      </w:r>
      <w:proofErr w:type="gramStart"/>
      <w:r>
        <w:t>so as to</w:t>
      </w:r>
      <w:proofErr w:type="gramEnd"/>
      <w:r>
        <w:t xml:space="preserve"> cause a nuisance; </w:t>
      </w:r>
    </w:p>
    <w:p w14:paraId="2817714F" w14:textId="7A3A720D" w:rsidR="00AF2200" w:rsidRDefault="00925619">
      <w:pPr>
        <w:pStyle w:val="ListParagraph"/>
        <w:numPr>
          <w:ilvl w:val="1"/>
          <w:numId w:val="8"/>
        </w:numPr>
      </w:pPr>
      <w:r>
        <w:t xml:space="preserve">revving of engines </w:t>
      </w:r>
      <w:proofErr w:type="gramStart"/>
      <w:r>
        <w:t>so as to</w:t>
      </w:r>
      <w:proofErr w:type="gramEnd"/>
      <w:r>
        <w:t xml:space="preserve"> cause a nuisance; </w:t>
      </w:r>
    </w:p>
    <w:p w14:paraId="2662B599" w14:textId="42AA27E0" w:rsidR="00AF2200" w:rsidRDefault="00925619">
      <w:pPr>
        <w:pStyle w:val="ListParagraph"/>
        <w:numPr>
          <w:ilvl w:val="1"/>
          <w:numId w:val="8"/>
        </w:numPr>
      </w:pPr>
      <w:r>
        <w:t xml:space="preserve">using foul or abusive language; </w:t>
      </w:r>
    </w:p>
    <w:p w14:paraId="33DD7684" w14:textId="554E7895" w:rsidR="00AF2200" w:rsidRDefault="00925619">
      <w:pPr>
        <w:pStyle w:val="ListParagraph"/>
        <w:numPr>
          <w:ilvl w:val="1"/>
          <w:numId w:val="8"/>
        </w:numPr>
      </w:pPr>
      <w:r>
        <w:t xml:space="preserve">using threatening, intimidating or anti-social behaviour; or </w:t>
      </w:r>
    </w:p>
    <w:p w14:paraId="521867D0" w14:textId="0E2A1BBF" w:rsidR="00AF2200" w:rsidRDefault="00925619">
      <w:pPr>
        <w:pStyle w:val="ListParagraph"/>
        <w:numPr>
          <w:ilvl w:val="1"/>
          <w:numId w:val="8"/>
        </w:numPr>
      </w:pPr>
      <w:r>
        <w:t>causing obstruction on a public highway or publicly accessible place (whether moving or stationary)</w:t>
      </w:r>
    </w:p>
    <w:p w14:paraId="58DA653F" w14:textId="77777777" w:rsidR="00FE16F0" w:rsidRDefault="00925619" w:rsidP="00D907AB">
      <w:r>
        <w:t xml:space="preserve">The proposed Restricted Area for the Vehicle Nuisance prohibition is found in </w:t>
      </w:r>
      <w:r w:rsidRPr="00976D75">
        <w:rPr>
          <w:b/>
          <w:bCs/>
        </w:rPr>
        <w:t>Schedule 2</w:t>
      </w:r>
      <w:r>
        <w:t xml:space="preserve"> </w:t>
      </w:r>
      <w:bookmarkStart w:id="4" w:name="_Hlk159407633"/>
      <w:r>
        <w:t xml:space="preserve">of the draft 2024 PSPO and covers the entire District of Ashfield </w:t>
      </w:r>
      <w:proofErr w:type="gramStart"/>
      <w:r>
        <w:t>with the exception of</w:t>
      </w:r>
      <w:proofErr w:type="gramEnd"/>
      <w:r>
        <w:t xml:space="preserve"> Forestry Commission land.</w:t>
      </w:r>
    </w:p>
    <w:bookmarkEnd w:id="4"/>
    <w:p w14:paraId="1F921A5A" w14:textId="77777777" w:rsidR="00976D75" w:rsidRDefault="00925619" w:rsidP="004404BA">
      <w:r>
        <w:t>It is</w:t>
      </w:r>
      <w:r w:rsidR="008B3CC9">
        <w:t xml:space="preserve"> </w:t>
      </w:r>
      <w:r w:rsidR="00AF2200">
        <w:t xml:space="preserve">proposed </w:t>
      </w:r>
      <w:r>
        <w:t xml:space="preserve">that the new </w:t>
      </w:r>
      <w:r w:rsidR="00B51DBF">
        <w:t xml:space="preserve">order </w:t>
      </w:r>
      <w:r>
        <w:t xml:space="preserve">will also include a prohibition on </w:t>
      </w:r>
      <w:r w:rsidR="00CF50D7">
        <w:t>“S</w:t>
      </w:r>
      <w:r>
        <w:t xml:space="preserve">treet </w:t>
      </w:r>
      <w:proofErr w:type="gramStart"/>
      <w:r w:rsidR="00B51DBF">
        <w:t>Harassment“</w:t>
      </w:r>
      <w:r w:rsidR="00BE0BF8">
        <w:t xml:space="preserve"> </w:t>
      </w:r>
      <w:r w:rsidR="00B51DBF">
        <w:t>and</w:t>
      </w:r>
      <w:proofErr w:type="gramEnd"/>
      <w:r>
        <w:t xml:space="preserve"> </w:t>
      </w:r>
      <w:r w:rsidR="008B3CC9">
        <w:t>will</w:t>
      </w:r>
      <w:r>
        <w:t xml:space="preserve"> </w:t>
      </w:r>
      <w:r w:rsidR="00B51DBF">
        <w:t xml:space="preserve">be used to also </w:t>
      </w:r>
      <w:r>
        <w:t>address inappropriate behaviours towards women and girls</w:t>
      </w:r>
      <w:r w:rsidR="00B51DBF">
        <w:t xml:space="preserve"> which is an area of focus at national, regional and local level</w:t>
      </w:r>
      <w:r>
        <w:t xml:space="preserve">. </w:t>
      </w:r>
    </w:p>
    <w:p w14:paraId="669341A4" w14:textId="77777777" w:rsidR="00DB5DBD" w:rsidRDefault="00925619" w:rsidP="004404BA">
      <w:r>
        <w:t>The proposed prohibition</w:t>
      </w:r>
      <w:r w:rsidR="008B3CC9">
        <w:t xml:space="preserve"> </w:t>
      </w:r>
      <w:r w:rsidR="00AF2200">
        <w:t>is that</w:t>
      </w:r>
      <w:r w:rsidR="00BE0BF8" w:rsidRPr="00BE0BF8">
        <w:rPr>
          <w:rFonts w:eastAsia="Calibri"/>
        </w:rPr>
        <w:t xml:space="preserve"> </w:t>
      </w:r>
      <w:r w:rsidR="00BE0BF8">
        <w:rPr>
          <w:rFonts w:eastAsia="Calibri"/>
        </w:rPr>
        <w:t>a person commits an offence</w:t>
      </w:r>
      <w:r w:rsidR="00D907AB">
        <w:rPr>
          <w:rFonts w:eastAsia="Calibri"/>
        </w:rPr>
        <w:t>,</w:t>
      </w:r>
      <w:r w:rsidR="00BE0BF8">
        <w:rPr>
          <w:rFonts w:eastAsia="Calibri"/>
        </w:rPr>
        <w:t xml:space="preserve"> if at any time without reasonable excuse</w:t>
      </w:r>
      <w:r w:rsidR="00D907AB">
        <w:rPr>
          <w:rFonts w:eastAsia="Calibri"/>
        </w:rPr>
        <w:t>,</w:t>
      </w:r>
      <w:r w:rsidR="00BE0BF8">
        <w:rPr>
          <w:rFonts w:eastAsia="Calibri"/>
        </w:rPr>
        <w:t xml:space="preserve"> if a person is v</w:t>
      </w:r>
      <w:r w:rsidR="00BE0BF8" w:rsidRPr="00F708E3">
        <w:rPr>
          <w:rFonts w:eastAsia="Calibri"/>
        </w:rPr>
        <w:t>erbally abusive to an</w:t>
      </w:r>
      <w:r w:rsidR="00BE0BF8">
        <w:rPr>
          <w:rFonts w:eastAsia="Calibri"/>
        </w:rPr>
        <w:t>other</w:t>
      </w:r>
      <w:r w:rsidR="00BE0BF8" w:rsidRPr="00F708E3">
        <w:rPr>
          <w:rFonts w:eastAsia="Calibri"/>
        </w:rPr>
        <w:t xml:space="preserve"> person or behave</w:t>
      </w:r>
      <w:r w:rsidR="00BE0BF8">
        <w:rPr>
          <w:rFonts w:eastAsia="Calibri"/>
        </w:rPr>
        <w:t>s</w:t>
      </w:r>
      <w:r w:rsidR="00BE0BF8" w:rsidRPr="00F708E3">
        <w:rPr>
          <w:rFonts w:eastAsia="Calibri"/>
        </w:rPr>
        <w:t xml:space="preserve"> in a way that causes or is likely to cause harassment</w:t>
      </w:r>
      <w:r w:rsidR="00D907AB">
        <w:rPr>
          <w:rFonts w:eastAsia="Calibri"/>
        </w:rPr>
        <w:t>,</w:t>
      </w:r>
      <w:r w:rsidR="00BE0BF8" w:rsidRPr="00F708E3">
        <w:rPr>
          <w:rFonts w:eastAsia="Calibri"/>
        </w:rPr>
        <w:t xml:space="preserve"> alarm or distress to another person. This will include but </w:t>
      </w:r>
      <w:r w:rsidR="00D907AB">
        <w:rPr>
          <w:rFonts w:eastAsia="Calibri"/>
        </w:rPr>
        <w:t xml:space="preserve">is </w:t>
      </w:r>
      <w:r w:rsidR="00BE0BF8" w:rsidRPr="00F708E3">
        <w:rPr>
          <w:rFonts w:eastAsia="Calibri"/>
        </w:rPr>
        <w:t xml:space="preserve">not be limited to making sexually inappropriate comments or displaying </w:t>
      </w:r>
      <w:r w:rsidR="00BE0BF8">
        <w:rPr>
          <w:rFonts w:eastAsia="Calibri"/>
        </w:rPr>
        <w:t xml:space="preserve">inappropriate </w:t>
      </w:r>
      <w:r w:rsidR="00BE0BF8" w:rsidRPr="00F708E3">
        <w:rPr>
          <w:rFonts w:eastAsia="Calibri"/>
        </w:rPr>
        <w:t>behaviours towards women and girls.</w:t>
      </w:r>
    </w:p>
    <w:p w14:paraId="49BA2BC9" w14:textId="77777777" w:rsidR="00F14B67" w:rsidRDefault="00925619" w:rsidP="004404BA">
      <w:pPr>
        <w:rPr>
          <w:b/>
          <w:u w:val="single"/>
        </w:rPr>
      </w:pPr>
      <w:r>
        <w:t xml:space="preserve">The </w:t>
      </w:r>
      <w:r w:rsidR="00D907AB">
        <w:t>p</w:t>
      </w:r>
      <w:r>
        <w:t xml:space="preserve">roposed </w:t>
      </w:r>
      <w:r w:rsidR="00976D75">
        <w:t>‘</w:t>
      </w:r>
      <w:r>
        <w:t>Restricted Area</w:t>
      </w:r>
      <w:r w:rsidR="00976D75">
        <w:t>’</w:t>
      </w:r>
      <w:r>
        <w:t xml:space="preserve"> for </w:t>
      </w:r>
      <w:r w:rsidR="00755400">
        <w:t xml:space="preserve">the Street Harassment prohibition is found in </w:t>
      </w:r>
      <w:r w:rsidR="00755400" w:rsidRPr="007601C6">
        <w:rPr>
          <w:b/>
          <w:bCs/>
        </w:rPr>
        <w:t>Schedule 2</w:t>
      </w:r>
      <w:r w:rsidR="00755400" w:rsidRPr="00755400">
        <w:t xml:space="preserve"> of the draft 2024 PSPO and covers the entire District of Ashfield </w:t>
      </w:r>
      <w:proofErr w:type="gramStart"/>
      <w:r w:rsidR="00755400" w:rsidRPr="00755400">
        <w:t>with the exception of</w:t>
      </w:r>
      <w:proofErr w:type="gramEnd"/>
      <w:r w:rsidR="00755400" w:rsidRPr="00755400">
        <w:t xml:space="preserve"> Forestry Commission land.</w:t>
      </w:r>
    </w:p>
    <w:p w14:paraId="47562422" w14:textId="77777777" w:rsidR="006457D7" w:rsidRPr="00EB10A7" w:rsidRDefault="00925619" w:rsidP="005911E2">
      <w:pPr>
        <w:pStyle w:val="Heading4"/>
      </w:pPr>
      <w:r w:rsidRPr="00EB10A7">
        <w:t>Evidence</w:t>
      </w:r>
    </w:p>
    <w:p w14:paraId="11E0B5CB" w14:textId="77777777" w:rsidR="006457D7" w:rsidRDefault="00925619" w:rsidP="004404BA">
      <w:pPr>
        <w:pStyle w:val="Default"/>
        <w:rPr>
          <w:rFonts w:ascii="ArialMT" w:hAnsi="ArialMT" w:cs="Arial"/>
        </w:rPr>
      </w:pPr>
      <w:r>
        <w:rPr>
          <w:rFonts w:ascii="ArialMT" w:hAnsi="ArialMT" w:cs="Arial"/>
        </w:rPr>
        <w:t>The Council has</w:t>
      </w:r>
      <w:r w:rsidRPr="007B47C8">
        <w:rPr>
          <w:rFonts w:ascii="ArialMT" w:hAnsi="ArialMT" w:cs="Arial"/>
        </w:rPr>
        <w:t xml:space="preserve"> the power to make a PSPO in accordance with section 59 of the Anti</w:t>
      </w:r>
      <w:r w:rsidR="00755400">
        <w:rPr>
          <w:rFonts w:ascii="ArialMT" w:hAnsi="ArialMT" w:cs="Arial"/>
        </w:rPr>
        <w:t>-s</w:t>
      </w:r>
      <w:r w:rsidRPr="007B47C8">
        <w:rPr>
          <w:rFonts w:ascii="ArialMT" w:hAnsi="ArialMT" w:cs="Arial"/>
        </w:rPr>
        <w:t>ocial Behaviour Crime and Policing Act 2014. The PSPO can be made if the local authority is satisfied on reasonable grou</w:t>
      </w:r>
      <w:r>
        <w:rPr>
          <w:rFonts w:ascii="ArialMT" w:hAnsi="ArialMT" w:cs="Arial"/>
        </w:rPr>
        <w:t>nds that two conditions are met:</w:t>
      </w:r>
    </w:p>
    <w:p w14:paraId="74AAF6EC" w14:textId="77777777" w:rsidR="006457D7" w:rsidRPr="007B47C8" w:rsidRDefault="006457D7" w:rsidP="004404BA">
      <w:pPr>
        <w:pStyle w:val="Default"/>
        <w:rPr>
          <w:rFonts w:ascii="ArialMT" w:hAnsi="ArialMT" w:cs="Arial"/>
        </w:rPr>
      </w:pPr>
    </w:p>
    <w:p w14:paraId="04670394" w14:textId="3AD4054D" w:rsidR="006457D7" w:rsidRPr="005911E2" w:rsidRDefault="00925619">
      <w:pPr>
        <w:pStyle w:val="ListParagraph"/>
        <w:numPr>
          <w:ilvl w:val="0"/>
          <w:numId w:val="10"/>
        </w:numPr>
        <w:ind w:left="600" w:hanging="600"/>
      </w:pPr>
      <w:r w:rsidRPr="007B47C8">
        <w:t>Activities being carried on, or that are likely to be carried on, in a pu</w:t>
      </w:r>
      <w:r>
        <w:t>blic place within the authority’</w:t>
      </w:r>
      <w:r w:rsidRPr="007B47C8">
        <w:t xml:space="preserve">s area have a detrimental effect on the quality of life of those in the locality and; </w:t>
      </w:r>
    </w:p>
    <w:p w14:paraId="7F00F205" w14:textId="77777777" w:rsidR="006457D7" w:rsidRDefault="00925619">
      <w:pPr>
        <w:pStyle w:val="ListParagraph"/>
        <w:numPr>
          <w:ilvl w:val="0"/>
          <w:numId w:val="10"/>
        </w:numPr>
        <w:ind w:left="600" w:hanging="600"/>
      </w:pPr>
      <w:r w:rsidRPr="007B47C8">
        <w:t xml:space="preserve">The effect, or likely effect of such activities are of a persistent or continuing nature, such as to make the activities unreasonable and justifies the restrictions with the </w:t>
      </w:r>
      <w:r w:rsidR="003778C7">
        <w:t>O</w:t>
      </w:r>
      <w:r w:rsidRPr="007B47C8">
        <w:t xml:space="preserve">rder. </w:t>
      </w:r>
    </w:p>
    <w:p w14:paraId="704AE6B3" w14:textId="77777777" w:rsidR="006457D7" w:rsidRDefault="00925619" w:rsidP="004404BA">
      <w:r>
        <w:t>From the initial evidence gathered from Nottinghamshire Police</w:t>
      </w:r>
      <w:r w:rsidR="003F2346">
        <w:t xml:space="preserve"> and Ashfield District </w:t>
      </w:r>
      <w:r w:rsidR="00040B84">
        <w:t xml:space="preserve">Council, </w:t>
      </w:r>
      <w:r w:rsidR="006E41ED">
        <w:t xml:space="preserve">police reported </w:t>
      </w:r>
      <w:r w:rsidR="00040B84">
        <w:t>anti</w:t>
      </w:r>
      <w:r>
        <w:t xml:space="preserve">-social </w:t>
      </w:r>
      <w:r w:rsidR="0030289F">
        <w:t xml:space="preserve">behaviour </w:t>
      </w:r>
      <w:r w:rsidR="00976D75">
        <w:t xml:space="preserve">across the </w:t>
      </w:r>
      <w:proofErr w:type="gramStart"/>
      <w:r w:rsidR="00976D75">
        <w:t>District</w:t>
      </w:r>
      <w:proofErr w:type="gramEnd"/>
      <w:r w:rsidR="00976D75">
        <w:t xml:space="preserve"> </w:t>
      </w:r>
      <w:r>
        <w:t xml:space="preserve">has </w:t>
      </w:r>
      <w:r w:rsidR="001111D9">
        <w:t xml:space="preserve">decreased </w:t>
      </w:r>
      <w:r>
        <w:t xml:space="preserve">over the past two years </w:t>
      </w:r>
      <w:r w:rsidR="0030289F">
        <w:t xml:space="preserve">(January 2021 – December 2023) </w:t>
      </w:r>
      <w:r>
        <w:t xml:space="preserve">by </w:t>
      </w:r>
      <w:r w:rsidR="001111D9">
        <w:t>35</w:t>
      </w:r>
      <w:r w:rsidR="0030289F">
        <w:t>.16</w:t>
      </w:r>
      <w:r w:rsidR="001111D9">
        <w:t>%</w:t>
      </w:r>
      <w:r w:rsidR="00976D75">
        <w:t xml:space="preserve">. </w:t>
      </w:r>
      <w:r w:rsidR="006E41ED">
        <w:t>D</w:t>
      </w:r>
      <w:r w:rsidR="000A2969">
        <w:t>uring the</w:t>
      </w:r>
      <w:r w:rsidR="00FD7288">
        <w:t xml:space="preserve"> </w:t>
      </w:r>
      <w:r w:rsidR="00755400">
        <w:t xml:space="preserve">period </w:t>
      </w:r>
      <w:r w:rsidR="00040B84">
        <w:t xml:space="preserve">the </w:t>
      </w:r>
      <w:r w:rsidR="00FD7288">
        <w:t>PSPO has been active</w:t>
      </w:r>
      <w:r w:rsidR="00040B84">
        <w:t>,</w:t>
      </w:r>
      <w:r w:rsidR="0030289F">
        <w:t xml:space="preserve"> </w:t>
      </w:r>
      <w:r w:rsidR="0030289F">
        <w:lastRenderedPageBreak/>
        <w:t>indicating that the PSPO amongst other positive intervention is having a positive impact in addressing anti-social behaviour and acting as a deterrent for adverse behaviours in public spaces.</w:t>
      </w:r>
    </w:p>
    <w:p w14:paraId="72E081BA" w14:textId="77777777" w:rsidR="003F2346" w:rsidRDefault="00925619" w:rsidP="004404BA">
      <w:r>
        <w:t xml:space="preserve">This has </w:t>
      </w:r>
      <w:r w:rsidR="0030289F">
        <w:t xml:space="preserve">enabled </w:t>
      </w:r>
      <w:r w:rsidR="00976D75">
        <w:t>C</w:t>
      </w:r>
      <w:r w:rsidR="006457D7">
        <w:t xml:space="preserve">ommunity Protection Officers </w:t>
      </w:r>
      <w:r>
        <w:t>to use</w:t>
      </w:r>
      <w:r w:rsidR="006457D7">
        <w:t xml:space="preserve"> powers contained within the existing PSPO </w:t>
      </w:r>
      <w:r w:rsidR="003778C7">
        <w:t>to</w:t>
      </w:r>
      <w:r w:rsidR="006457D7">
        <w:t xml:space="preserve"> confiscate alcohol from adults</w:t>
      </w:r>
      <w:r w:rsidR="000A2969">
        <w:t xml:space="preserve">. During the set period, 39 </w:t>
      </w:r>
      <w:r w:rsidR="006E41ED">
        <w:t>‘</w:t>
      </w:r>
      <w:r w:rsidR="000A2969">
        <w:t>Direction to Move on Notices</w:t>
      </w:r>
      <w:r w:rsidR="006E41ED">
        <w:t>’</w:t>
      </w:r>
      <w:r w:rsidR="000A2969">
        <w:t xml:space="preserve"> have been issued and 98 breaches of PSPO have been recorded including alcohol confiscations and u</w:t>
      </w:r>
      <w:r>
        <w:t>rinating</w:t>
      </w:r>
      <w:r w:rsidR="006E41ED">
        <w:t xml:space="preserve"> in public.</w:t>
      </w:r>
    </w:p>
    <w:p w14:paraId="384704C8" w14:textId="77777777" w:rsidR="006457D7" w:rsidRDefault="00925619" w:rsidP="004404BA">
      <w:r>
        <w:t xml:space="preserve">Unlike the Police, </w:t>
      </w:r>
      <w:r w:rsidR="00976D75">
        <w:t>C</w:t>
      </w:r>
      <w:r>
        <w:t xml:space="preserve">ommunity Protection Officers are unable to disperse groups drinking or causing Anti-Social Behaviour which has a detrimental effect on the quality of life of those in the locality.  The use of the </w:t>
      </w:r>
      <w:r w:rsidR="006E41ED">
        <w:t>‘</w:t>
      </w:r>
      <w:r>
        <w:t xml:space="preserve">Direction to Move </w:t>
      </w:r>
      <w:r w:rsidR="006E41ED">
        <w:t>O</w:t>
      </w:r>
      <w:r>
        <w:t>n</w:t>
      </w:r>
      <w:r w:rsidR="006E41ED">
        <w:t>’</w:t>
      </w:r>
      <w:r>
        <w:t xml:space="preserve"> powers is seen as a crucial tool to help continue to manage anti-social behaviour across the </w:t>
      </w:r>
      <w:r w:rsidR="003778C7">
        <w:t>D</w:t>
      </w:r>
      <w:r>
        <w:t xml:space="preserve">istrict with </w:t>
      </w:r>
      <w:r w:rsidR="003F2346">
        <w:t xml:space="preserve">39 </w:t>
      </w:r>
      <w:r w:rsidR="006E41ED">
        <w:t>notice</w:t>
      </w:r>
      <w:r w:rsidR="003778C7">
        <w:t>s</w:t>
      </w:r>
      <w:r w:rsidR="006E41ED">
        <w:t xml:space="preserve"> </w:t>
      </w:r>
      <w:r>
        <w:t xml:space="preserve">issued by Community Protection Officers </w:t>
      </w:r>
      <w:r w:rsidR="003F2346">
        <w:t>over the set period</w:t>
      </w:r>
      <w:r w:rsidR="006E41ED">
        <w:t>.</w:t>
      </w:r>
    </w:p>
    <w:p w14:paraId="6D6DF4DE" w14:textId="77777777" w:rsidR="006457D7" w:rsidRDefault="00925619" w:rsidP="004404BA">
      <w:r w:rsidRPr="000A18F6">
        <w:t xml:space="preserve">Dog fouling and dog control issues continue to be a public concern and </w:t>
      </w:r>
      <w:r>
        <w:t xml:space="preserve">are </w:t>
      </w:r>
      <w:r w:rsidRPr="000A18F6">
        <w:t xml:space="preserve">reported to the </w:t>
      </w:r>
      <w:r w:rsidR="006E41ED" w:rsidRPr="000A18F6">
        <w:t>Council</w:t>
      </w:r>
      <w:r w:rsidR="006E41ED">
        <w:t xml:space="preserve">. </w:t>
      </w:r>
      <w:r w:rsidRPr="000A18F6">
        <w:t xml:space="preserve">During </w:t>
      </w:r>
      <w:r w:rsidR="008711C4">
        <w:t>the period of October 2021 to</w:t>
      </w:r>
      <w:r w:rsidR="006E41ED">
        <w:t xml:space="preserve"> </w:t>
      </w:r>
      <w:r w:rsidR="00465B54">
        <w:t>31</w:t>
      </w:r>
      <w:r w:rsidR="00465B54" w:rsidRPr="0030289F">
        <w:rPr>
          <w:vertAlign w:val="superscript"/>
        </w:rPr>
        <w:t>st</w:t>
      </w:r>
      <w:r w:rsidR="00465B54">
        <w:t xml:space="preserve"> January 2024</w:t>
      </w:r>
      <w:r w:rsidR="003F2346">
        <w:t>, 554</w:t>
      </w:r>
      <w:r w:rsidRPr="000A18F6">
        <w:t xml:space="preserve"> </w:t>
      </w:r>
      <w:r w:rsidR="003F2346">
        <w:t xml:space="preserve">recorded </w:t>
      </w:r>
      <w:r w:rsidRPr="000A18F6">
        <w:t>reports were received</w:t>
      </w:r>
      <w:r w:rsidR="0030289F">
        <w:t xml:space="preserve"> demonstrating a need for the PSPO to be extended as this allows officers to utilise powers to take enforcement action</w:t>
      </w:r>
      <w:r w:rsidR="003F2346">
        <w:t>.</w:t>
      </w:r>
    </w:p>
    <w:p w14:paraId="7C9E2F99" w14:textId="77777777" w:rsidR="00563B19" w:rsidRDefault="00925619" w:rsidP="004404BA">
      <w:r>
        <w:t xml:space="preserve">Due </w:t>
      </w:r>
      <w:r w:rsidR="006E41ED">
        <w:t xml:space="preserve">to </w:t>
      </w:r>
      <w:r>
        <w:t>reports of car cruising and vehicle related nuisance associated within the vicinity of Junction 27 highways, a PSPO</w:t>
      </w:r>
      <w:r w:rsidR="00040B84">
        <w:t xml:space="preserve"> to tackle car cruising activities</w:t>
      </w:r>
      <w:r>
        <w:t xml:space="preserve"> has enabled Nottinghamshire Police to take positive action to </w:t>
      </w:r>
      <w:r w:rsidR="00EF4E74">
        <w:t>complement</w:t>
      </w:r>
      <w:r>
        <w:t xml:space="preserve"> their existing powers under </w:t>
      </w:r>
      <w:r w:rsidR="006E41ED">
        <w:t xml:space="preserve">the </w:t>
      </w:r>
      <w:r>
        <w:t>Police Reform Act 2002 and Road Traffic Act 1988.  During the period of 2</w:t>
      </w:r>
      <w:r w:rsidR="00537D43">
        <w:t>2</w:t>
      </w:r>
      <w:r w:rsidR="0043244B" w:rsidRPr="00BA6DF1">
        <w:rPr>
          <w:vertAlign w:val="superscript"/>
        </w:rPr>
        <w:t>nd</w:t>
      </w:r>
      <w:r w:rsidR="0043244B">
        <w:t xml:space="preserve"> November 2023</w:t>
      </w:r>
      <w:r w:rsidR="00537D43">
        <w:t xml:space="preserve"> to 26</w:t>
      </w:r>
      <w:r w:rsidR="0043244B" w:rsidRPr="00BA6DF1">
        <w:rPr>
          <w:vertAlign w:val="superscript"/>
        </w:rPr>
        <w:t>th</w:t>
      </w:r>
      <w:r w:rsidR="0043244B">
        <w:t xml:space="preserve"> December 2023, 28 </w:t>
      </w:r>
      <w:r>
        <w:t>warning</w:t>
      </w:r>
      <w:r w:rsidR="0043244B">
        <w:t xml:space="preserve">s </w:t>
      </w:r>
      <w:r w:rsidR="003778C7">
        <w:t>were</w:t>
      </w:r>
      <w:r w:rsidR="006E41ED">
        <w:t xml:space="preserve"> </w:t>
      </w:r>
      <w:r w:rsidR="0043244B">
        <w:t xml:space="preserve">issued </w:t>
      </w:r>
      <w:r w:rsidR="00537D43">
        <w:t xml:space="preserve">for breaching the </w:t>
      </w:r>
      <w:r w:rsidR="003778C7">
        <w:t>O</w:t>
      </w:r>
      <w:r w:rsidR="00537D43">
        <w:t>rder. The area also benefit</w:t>
      </w:r>
      <w:r w:rsidR="00040B84">
        <w:t>ed</w:t>
      </w:r>
      <w:r w:rsidR="00537D43">
        <w:t xml:space="preserve"> from new CCTV and signage. </w:t>
      </w:r>
      <w:r>
        <w:t xml:space="preserve"> </w:t>
      </w:r>
    </w:p>
    <w:p w14:paraId="7DBF172D" w14:textId="77777777" w:rsidR="00D87ACF" w:rsidRDefault="00925619" w:rsidP="004404BA">
      <w:pPr>
        <w:rPr>
          <w:color w:val="000000"/>
        </w:rPr>
      </w:pPr>
      <w:r>
        <w:rPr>
          <w:color w:val="000000"/>
        </w:rPr>
        <w:t>D</w:t>
      </w:r>
      <w:r w:rsidR="00563B19">
        <w:rPr>
          <w:color w:val="000000"/>
        </w:rPr>
        <w:t xml:space="preserve">ata </w:t>
      </w:r>
      <w:r w:rsidR="006E41ED">
        <w:rPr>
          <w:color w:val="000000"/>
        </w:rPr>
        <w:t xml:space="preserve">confirms that </w:t>
      </w:r>
      <w:r w:rsidR="00563B19">
        <w:rPr>
          <w:color w:val="000000"/>
        </w:rPr>
        <w:t xml:space="preserve">vehicle related nuisance </w:t>
      </w:r>
      <w:r w:rsidR="006E41ED">
        <w:rPr>
          <w:color w:val="000000"/>
        </w:rPr>
        <w:t xml:space="preserve">is reported across the whole District </w:t>
      </w:r>
      <w:r>
        <w:rPr>
          <w:color w:val="000000"/>
        </w:rPr>
        <w:t>and not just within the jurisdiction of Junction 27 and its vicinity.</w:t>
      </w:r>
      <w:r w:rsidR="00563B19">
        <w:rPr>
          <w:color w:val="000000"/>
        </w:rPr>
        <w:t xml:space="preserve"> </w:t>
      </w:r>
      <w:r w:rsidR="00402E4A" w:rsidRPr="00402E4A">
        <w:rPr>
          <w:color w:val="000000"/>
        </w:rPr>
        <w:t>From 1st October 2021 to 12th February 2024</w:t>
      </w:r>
      <w:r w:rsidR="00563B19">
        <w:rPr>
          <w:color w:val="000000"/>
        </w:rPr>
        <w:t>, there were a total of 3</w:t>
      </w:r>
      <w:r w:rsidR="003778C7">
        <w:rPr>
          <w:color w:val="000000"/>
        </w:rPr>
        <w:t>,</w:t>
      </w:r>
      <w:r w:rsidR="00563B19">
        <w:rPr>
          <w:color w:val="000000"/>
        </w:rPr>
        <w:t xml:space="preserve">500 road traffic incidents reported, providing an evidential base to include prohibitions to address vehicle nuisance across the </w:t>
      </w:r>
      <w:r w:rsidR="00976D75">
        <w:rPr>
          <w:color w:val="000000"/>
        </w:rPr>
        <w:t>whole Di</w:t>
      </w:r>
      <w:r w:rsidR="00563B19">
        <w:rPr>
          <w:color w:val="000000"/>
        </w:rPr>
        <w:t xml:space="preserve">strict.  A </w:t>
      </w:r>
      <w:r w:rsidR="003778C7">
        <w:rPr>
          <w:color w:val="000000"/>
        </w:rPr>
        <w:t xml:space="preserve">table </w:t>
      </w:r>
      <w:r w:rsidR="00563B19">
        <w:rPr>
          <w:color w:val="000000"/>
        </w:rPr>
        <w:t xml:space="preserve">illustrating reports </w:t>
      </w:r>
      <w:r w:rsidR="00976D75">
        <w:rPr>
          <w:color w:val="000000"/>
        </w:rPr>
        <w:t>of vehicle nuisance over this period is</w:t>
      </w:r>
      <w:r w:rsidR="00563B19">
        <w:rPr>
          <w:color w:val="000000"/>
        </w:rPr>
        <w:t xml:space="preserve"> </w:t>
      </w:r>
      <w:r w:rsidR="006E41ED">
        <w:rPr>
          <w:color w:val="000000"/>
        </w:rPr>
        <w:t>provided below:</w:t>
      </w:r>
    </w:p>
    <w:tbl>
      <w:tblPr>
        <w:tblW w:w="4720" w:type="dxa"/>
        <w:jc w:val="center"/>
        <w:tblLook w:val="0480" w:firstRow="0" w:lastRow="0" w:firstColumn="1" w:lastColumn="0" w:noHBand="0" w:noVBand="1"/>
      </w:tblPr>
      <w:tblGrid>
        <w:gridCol w:w="2680"/>
        <w:gridCol w:w="2040"/>
      </w:tblGrid>
      <w:tr w:rsidR="00062496" w14:paraId="4ADCCA99" w14:textId="77777777" w:rsidTr="005911E2">
        <w:trPr>
          <w:trHeight w:val="300"/>
          <w:jc w:val="center"/>
        </w:trPr>
        <w:tc>
          <w:tcPr>
            <w:tcW w:w="2680" w:type="dxa"/>
            <w:tcBorders>
              <w:top w:val="single" w:sz="4" w:space="0" w:color="auto"/>
              <w:left w:val="single" w:sz="4" w:space="0" w:color="auto"/>
              <w:bottom w:val="single" w:sz="4" w:space="0" w:color="auto"/>
              <w:right w:val="single" w:sz="4" w:space="0" w:color="auto"/>
            </w:tcBorders>
            <w:noWrap/>
            <w:vAlign w:val="bottom"/>
            <w:hideMark/>
          </w:tcPr>
          <w:p w14:paraId="6FBFF8DC" w14:textId="77777777" w:rsidR="00563B19" w:rsidRPr="00976D75" w:rsidRDefault="00925619" w:rsidP="00563B19">
            <w:pPr>
              <w:ind w:firstLineChars="100" w:firstLine="220"/>
              <w:jc w:val="center"/>
              <w:rPr>
                <w:color w:val="000000"/>
                <w:sz w:val="22"/>
                <w:szCs w:val="22"/>
                <w:lang w:eastAsia="en-GB"/>
              </w:rPr>
            </w:pPr>
            <w:r w:rsidRPr="00976D75">
              <w:rPr>
                <w:color w:val="000000"/>
                <w:sz w:val="22"/>
                <w:szCs w:val="22"/>
              </w:rPr>
              <w:t>SUTTON EAST</w:t>
            </w:r>
          </w:p>
        </w:tc>
        <w:tc>
          <w:tcPr>
            <w:tcW w:w="2040" w:type="dxa"/>
            <w:tcBorders>
              <w:top w:val="single" w:sz="4" w:space="0" w:color="auto"/>
              <w:left w:val="nil"/>
              <w:bottom w:val="single" w:sz="4" w:space="0" w:color="auto"/>
              <w:right w:val="single" w:sz="4" w:space="0" w:color="auto"/>
            </w:tcBorders>
            <w:noWrap/>
            <w:vAlign w:val="bottom"/>
            <w:hideMark/>
          </w:tcPr>
          <w:p w14:paraId="32BAFF31" w14:textId="77777777" w:rsidR="00563B19" w:rsidRPr="00976D75" w:rsidRDefault="00925619" w:rsidP="00563B19">
            <w:pPr>
              <w:jc w:val="center"/>
              <w:rPr>
                <w:color w:val="000000"/>
                <w:sz w:val="22"/>
                <w:szCs w:val="22"/>
              </w:rPr>
            </w:pPr>
            <w:r w:rsidRPr="00976D75">
              <w:rPr>
                <w:color w:val="000000"/>
                <w:sz w:val="22"/>
                <w:szCs w:val="22"/>
              </w:rPr>
              <w:t>575</w:t>
            </w:r>
          </w:p>
        </w:tc>
      </w:tr>
      <w:tr w:rsidR="00062496" w14:paraId="0BD787A3" w14:textId="77777777" w:rsidTr="005911E2">
        <w:trPr>
          <w:trHeight w:val="300"/>
          <w:jc w:val="center"/>
        </w:trPr>
        <w:tc>
          <w:tcPr>
            <w:tcW w:w="2680" w:type="dxa"/>
            <w:tcBorders>
              <w:top w:val="nil"/>
              <w:left w:val="single" w:sz="4" w:space="0" w:color="auto"/>
              <w:bottom w:val="single" w:sz="4" w:space="0" w:color="auto"/>
              <w:right w:val="single" w:sz="4" w:space="0" w:color="auto"/>
            </w:tcBorders>
            <w:noWrap/>
            <w:vAlign w:val="bottom"/>
            <w:hideMark/>
          </w:tcPr>
          <w:p w14:paraId="13553A95" w14:textId="77777777" w:rsidR="00563B19" w:rsidRPr="00976D75" w:rsidRDefault="00925619" w:rsidP="00563B19">
            <w:pPr>
              <w:ind w:firstLineChars="100" w:firstLine="220"/>
              <w:jc w:val="center"/>
              <w:rPr>
                <w:color w:val="000000"/>
                <w:sz w:val="22"/>
                <w:szCs w:val="22"/>
              </w:rPr>
            </w:pPr>
            <w:r w:rsidRPr="00976D75">
              <w:rPr>
                <w:color w:val="000000"/>
                <w:sz w:val="22"/>
                <w:szCs w:val="22"/>
              </w:rPr>
              <w:t>SUTTON NORTH</w:t>
            </w:r>
          </w:p>
        </w:tc>
        <w:tc>
          <w:tcPr>
            <w:tcW w:w="2040" w:type="dxa"/>
            <w:tcBorders>
              <w:top w:val="nil"/>
              <w:left w:val="nil"/>
              <w:bottom w:val="single" w:sz="4" w:space="0" w:color="auto"/>
              <w:right w:val="single" w:sz="4" w:space="0" w:color="auto"/>
            </w:tcBorders>
            <w:noWrap/>
            <w:vAlign w:val="bottom"/>
            <w:hideMark/>
          </w:tcPr>
          <w:p w14:paraId="47B5284A" w14:textId="77777777" w:rsidR="00563B19" w:rsidRPr="00976D75" w:rsidRDefault="00925619" w:rsidP="00563B19">
            <w:pPr>
              <w:jc w:val="center"/>
              <w:rPr>
                <w:color w:val="000000"/>
                <w:sz w:val="22"/>
                <w:szCs w:val="22"/>
              </w:rPr>
            </w:pPr>
            <w:r w:rsidRPr="00976D75">
              <w:rPr>
                <w:color w:val="000000"/>
                <w:sz w:val="22"/>
                <w:szCs w:val="22"/>
              </w:rPr>
              <w:t>349</w:t>
            </w:r>
          </w:p>
        </w:tc>
      </w:tr>
      <w:tr w:rsidR="00062496" w14:paraId="24807791" w14:textId="77777777" w:rsidTr="005911E2">
        <w:trPr>
          <w:trHeight w:val="300"/>
          <w:jc w:val="center"/>
        </w:trPr>
        <w:tc>
          <w:tcPr>
            <w:tcW w:w="2680" w:type="dxa"/>
            <w:tcBorders>
              <w:top w:val="nil"/>
              <w:left w:val="single" w:sz="4" w:space="0" w:color="auto"/>
              <w:bottom w:val="single" w:sz="4" w:space="0" w:color="auto"/>
              <w:right w:val="single" w:sz="4" w:space="0" w:color="auto"/>
            </w:tcBorders>
            <w:noWrap/>
            <w:vAlign w:val="bottom"/>
            <w:hideMark/>
          </w:tcPr>
          <w:p w14:paraId="667B2924" w14:textId="77777777" w:rsidR="00563B19" w:rsidRPr="00976D75" w:rsidRDefault="00925619" w:rsidP="00563B19">
            <w:pPr>
              <w:ind w:firstLineChars="100" w:firstLine="220"/>
              <w:jc w:val="center"/>
              <w:rPr>
                <w:color w:val="000000"/>
                <w:sz w:val="22"/>
                <w:szCs w:val="22"/>
              </w:rPr>
            </w:pPr>
            <w:r w:rsidRPr="00976D75">
              <w:rPr>
                <w:color w:val="000000"/>
                <w:sz w:val="22"/>
                <w:szCs w:val="22"/>
              </w:rPr>
              <w:t>SUTTON CENTRAL</w:t>
            </w:r>
          </w:p>
        </w:tc>
        <w:tc>
          <w:tcPr>
            <w:tcW w:w="2040" w:type="dxa"/>
            <w:tcBorders>
              <w:top w:val="nil"/>
              <w:left w:val="nil"/>
              <w:bottom w:val="single" w:sz="4" w:space="0" w:color="auto"/>
              <w:right w:val="single" w:sz="4" w:space="0" w:color="auto"/>
            </w:tcBorders>
            <w:noWrap/>
            <w:vAlign w:val="bottom"/>
            <w:hideMark/>
          </w:tcPr>
          <w:p w14:paraId="1DE63B5F" w14:textId="77777777" w:rsidR="00563B19" w:rsidRPr="00976D75" w:rsidRDefault="00925619" w:rsidP="00563B19">
            <w:pPr>
              <w:jc w:val="center"/>
              <w:rPr>
                <w:color w:val="000000"/>
                <w:sz w:val="22"/>
                <w:szCs w:val="22"/>
              </w:rPr>
            </w:pPr>
            <w:r w:rsidRPr="00976D75">
              <w:rPr>
                <w:color w:val="000000"/>
                <w:sz w:val="22"/>
                <w:szCs w:val="22"/>
              </w:rPr>
              <w:t>313</w:t>
            </w:r>
          </w:p>
        </w:tc>
      </w:tr>
      <w:tr w:rsidR="00062496" w14:paraId="37328120" w14:textId="77777777" w:rsidTr="005911E2">
        <w:trPr>
          <w:trHeight w:val="300"/>
          <w:jc w:val="center"/>
        </w:trPr>
        <w:tc>
          <w:tcPr>
            <w:tcW w:w="2680" w:type="dxa"/>
            <w:tcBorders>
              <w:top w:val="nil"/>
              <w:left w:val="single" w:sz="4" w:space="0" w:color="auto"/>
              <w:bottom w:val="single" w:sz="4" w:space="0" w:color="auto"/>
              <w:right w:val="single" w:sz="4" w:space="0" w:color="auto"/>
            </w:tcBorders>
            <w:noWrap/>
            <w:vAlign w:val="bottom"/>
            <w:hideMark/>
          </w:tcPr>
          <w:p w14:paraId="6F77B729" w14:textId="77777777" w:rsidR="00563B19" w:rsidRPr="00976D75" w:rsidRDefault="00925619" w:rsidP="00563B19">
            <w:pPr>
              <w:ind w:firstLineChars="100" w:firstLine="220"/>
              <w:jc w:val="center"/>
              <w:rPr>
                <w:color w:val="000000"/>
                <w:sz w:val="22"/>
                <w:szCs w:val="22"/>
              </w:rPr>
            </w:pPr>
            <w:r w:rsidRPr="00976D75">
              <w:rPr>
                <w:color w:val="000000"/>
                <w:sz w:val="22"/>
                <w:szCs w:val="22"/>
              </w:rPr>
              <w:t>KIRKBY EAST</w:t>
            </w:r>
          </w:p>
        </w:tc>
        <w:tc>
          <w:tcPr>
            <w:tcW w:w="2040" w:type="dxa"/>
            <w:tcBorders>
              <w:top w:val="nil"/>
              <w:left w:val="nil"/>
              <w:bottom w:val="single" w:sz="4" w:space="0" w:color="auto"/>
              <w:right w:val="single" w:sz="4" w:space="0" w:color="auto"/>
            </w:tcBorders>
            <w:noWrap/>
            <w:vAlign w:val="bottom"/>
            <w:hideMark/>
          </w:tcPr>
          <w:p w14:paraId="5EBA96A8" w14:textId="77777777" w:rsidR="00563B19" w:rsidRPr="00976D75" w:rsidRDefault="00925619" w:rsidP="00563B19">
            <w:pPr>
              <w:jc w:val="center"/>
              <w:rPr>
                <w:color w:val="000000"/>
                <w:sz w:val="22"/>
                <w:szCs w:val="22"/>
              </w:rPr>
            </w:pPr>
            <w:r w:rsidRPr="00976D75">
              <w:rPr>
                <w:color w:val="000000"/>
                <w:sz w:val="22"/>
                <w:szCs w:val="22"/>
              </w:rPr>
              <w:t>310</w:t>
            </w:r>
          </w:p>
        </w:tc>
      </w:tr>
      <w:tr w:rsidR="00062496" w14:paraId="34DD61D1" w14:textId="77777777" w:rsidTr="005911E2">
        <w:trPr>
          <w:trHeight w:val="300"/>
          <w:jc w:val="center"/>
        </w:trPr>
        <w:tc>
          <w:tcPr>
            <w:tcW w:w="2680" w:type="dxa"/>
            <w:tcBorders>
              <w:top w:val="nil"/>
              <w:left w:val="single" w:sz="4" w:space="0" w:color="auto"/>
              <w:bottom w:val="single" w:sz="4" w:space="0" w:color="auto"/>
              <w:right w:val="single" w:sz="4" w:space="0" w:color="auto"/>
            </w:tcBorders>
            <w:noWrap/>
            <w:vAlign w:val="bottom"/>
            <w:hideMark/>
          </w:tcPr>
          <w:p w14:paraId="27907727" w14:textId="77777777" w:rsidR="00563B19" w:rsidRPr="00976D75" w:rsidRDefault="00925619" w:rsidP="00563B19">
            <w:pPr>
              <w:ind w:firstLineChars="100" w:firstLine="220"/>
              <w:jc w:val="center"/>
              <w:rPr>
                <w:color w:val="000000"/>
                <w:sz w:val="22"/>
                <w:szCs w:val="22"/>
              </w:rPr>
            </w:pPr>
            <w:r w:rsidRPr="00976D75">
              <w:rPr>
                <w:color w:val="000000"/>
                <w:sz w:val="22"/>
                <w:szCs w:val="22"/>
              </w:rPr>
              <w:t>SUTTON WEST</w:t>
            </w:r>
          </w:p>
        </w:tc>
        <w:tc>
          <w:tcPr>
            <w:tcW w:w="2040" w:type="dxa"/>
            <w:tcBorders>
              <w:top w:val="nil"/>
              <w:left w:val="nil"/>
              <w:bottom w:val="single" w:sz="4" w:space="0" w:color="auto"/>
              <w:right w:val="single" w:sz="4" w:space="0" w:color="auto"/>
            </w:tcBorders>
            <w:noWrap/>
            <w:vAlign w:val="bottom"/>
            <w:hideMark/>
          </w:tcPr>
          <w:p w14:paraId="6C37D46E" w14:textId="77777777" w:rsidR="00563B19" w:rsidRPr="00976D75" w:rsidRDefault="00925619" w:rsidP="00563B19">
            <w:pPr>
              <w:jc w:val="center"/>
              <w:rPr>
                <w:color w:val="000000"/>
                <w:sz w:val="22"/>
                <w:szCs w:val="22"/>
              </w:rPr>
            </w:pPr>
            <w:r w:rsidRPr="00976D75">
              <w:rPr>
                <w:color w:val="000000"/>
                <w:sz w:val="22"/>
                <w:szCs w:val="22"/>
              </w:rPr>
              <w:t>293</w:t>
            </w:r>
          </w:p>
        </w:tc>
      </w:tr>
      <w:tr w:rsidR="00062496" w14:paraId="2A117E15" w14:textId="77777777" w:rsidTr="005911E2">
        <w:trPr>
          <w:trHeight w:val="300"/>
          <w:jc w:val="center"/>
        </w:trPr>
        <w:tc>
          <w:tcPr>
            <w:tcW w:w="2680" w:type="dxa"/>
            <w:tcBorders>
              <w:top w:val="nil"/>
              <w:left w:val="single" w:sz="4" w:space="0" w:color="auto"/>
              <w:bottom w:val="single" w:sz="4" w:space="0" w:color="auto"/>
              <w:right w:val="single" w:sz="4" w:space="0" w:color="auto"/>
            </w:tcBorders>
            <w:noWrap/>
            <w:vAlign w:val="bottom"/>
            <w:hideMark/>
          </w:tcPr>
          <w:p w14:paraId="2BFE7175" w14:textId="77777777" w:rsidR="00563B19" w:rsidRPr="00976D75" w:rsidRDefault="00925619" w:rsidP="00563B19">
            <w:pPr>
              <w:ind w:firstLineChars="100" w:firstLine="220"/>
              <w:jc w:val="center"/>
              <w:rPr>
                <w:color w:val="000000"/>
                <w:sz w:val="22"/>
                <w:szCs w:val="22"/>
              </w:rPr>
            </w:pPr>
            <w:r w:rsidRPr="00976D75">
              <w:rPr>
                <w:color w:val="000000"/>
                <w:sz w:val="22"/>
                <w:szCs w:val="22"/>
              </w:rPr>
              <w:t>HUCKNALL WEST</w:t>
            </w:r>
          </w:p>
        </w:tc>
        <w:tc>
          <w:tcPr>
            <w:tcW w:w="2040" w:type="dxa"/>
            <w:tcBorders>
              <w:top w:val="nil"/>
              <w:left w:val="nil"/>
              <w:bottom w:val="single" w:sz="4" w:space="0" w:color="auto"/>
              <w:right w:val="single" w:sz="4" w:space="0" w:color="auto"/>
            </w:tcBorders>
            <w:noWrap/>
            <w:vAlign w:val="bottom"/>
            <w:hideMark/>
          </w:tcPr>
          <w:p w14:paraId="5B5369DF" w14:textId="77777777" w:rsidR="00563B19" w:rsidRPr="00976D75" w:rsidRDefault="00925619" w:rsidP="00563B19">
            <w:pPr>
              <w:jc w:val="center"/>
              <w:rPr>
                <w:color w:val="000000"/>
                <w:sz w:val="22"/>
                <w:szCs w:val="22"/>
              </w:rPr>
            </w:pPr>
            <w:r w:rsidRPr="00976D75">
              <w:rPr>
                <w:color w:val="000000"/>
                <w:sz w:val="22"/>
                <w:szCs w:val="22"/>
              </w:rPr>
              <w:t>277</w:t>
            </w:r>
          </w:p>
        </w:tc>
      </w:tr>
      <w:tr w:rsidR="00062496" w14:paraId="346133AE" w14:textId="77777777" w:rsidTr="005911E2">
        <w:trPr>
          <w:trHeight w:val="300"/>
          <w:jc w:val="center"/>
        </w:trPr>
        <w:tc>
          <w:tcPr>
            <w:tcW w:w="2680" w:type="dxa"/>
            <w:tcBorders>
              <w:top w:val="nil"/>
              <w:left w:val="single" w:sz="4" w:space="0" w:color="auto"/>
              <w:bottom w:val="single" w:sz="4" w:space="0" w:color="auto"/>
              <w:right w:val="single" w:sz="4" w:space="0" w:color="auto"/>
            </w:tcBorders>
            <w:noWrap/>
            <w:vAlign w:val="bottom"/>
            <w:hideMark/>
          </w:tcPr>
          <w:p w14:paraId="7C1EBEF2" w14:textId="77777777" w:rsidR="00563B19" w:rsidRPr="00976D75" w:rsidRDefault="00925619" w:rsidP="00563B19">
            <w:pPr>
              <w:ind w:firstLineChars="100" w:firstLine="220"/>
              <w:jc w:val="center"/>
              <w:rPr>
                <w:color w:val="000000"/>
                <w:sz w:val="22"/>
                <w:szCs w:val="22"/>
              </w:rPr>
            </w:pPr>
            <w:r w:rsidRPr="00976D75">
              <w:rPr>
                <w:color w:val="000000"/>
                <w:sz w:val="22"/>
                <w:szCs w:val="22"/>
              </w:rPr>
              <w:t>UNDERWOOD</w:t>
            </w:r>
          </w:p>
        </w:tc>
        <w:tc>
          <w:tcPr>
            <w:tcW w:w="2040" w:type="dxa"/>
            <w:tcBorders>
              <w:top w:val="nil"/>
              <w:left w:val="nil"/>
              <w:bottom w:val="single" w:sz="4" w:space="0" w:color="auto"/>
              <w:right w:val="single" w:sz="4" w:space="0" w:color="auto"/>
            </w:tcBorders>
            <w:noWrap/>
            <w:vAlign w:val="bottom"/>
            <w:hideMark/>
          </w:tcPr>
          <w:p w14:paraId="42904984" w14:textId="77777777" w:rsidR="00563B19" w:rsidRPr="00976D75" w:rsidRDefault="00925619" w:rsidP="00563B19">
            <w:pPr>
              <w:jc w:val="center"/>
              <w:rPr>
                <w:color w:val="000000"/>
                <w:sz w:val="22"/>
                <w:szCs w:val="22"/>
              </w:rPr>
            </w:pPr>
            <w:r w:rsidRPr="00976D75">
              <w:rPr>
                <w:color w:val="000000"/>
                <w:sz w:val="22"/>
                <w:szCs w:val="22"/>
              </w:rPr>
              <w:t>207</w:t>
            </w:r>
          </w:p>
        </w:tc>
      </w:tr>
      <w:tr w:rsidR="00062496" w14:paraId="76F87870" w14:textId="77777777" w:rsidTr="005911E2">
        <w:trPr>
          <w:trHeight w:val="300"/>
          <w:jc w:val="center"/>
        </w:trPr>
        <w:tc>
          <w:tcPr>
            <w:tcW w:w="2680" w:type="dxa"/>
            <w:tcBorders>
              <w:top w:val="nil"/>
              <w:left w:val="single" w:sz="4" w:space="0" w:color="auto"/>
              <w:bottom w:val="single" w:sz="4" w:space="0" w:color="auto"/>
              <w:right w:val="single" w:sz="4" w:space="0" w:color="auto"/>
            </w:tcBorders>
            <w:noWrap/>
            <w:vAlign w:val="bottom"/>
            <w:hideMark/>
          </w:tcPr>
          <w:p w14:paraId="1008752D" w14:textId="77777777" w:rsidR="00563B19" w:rsidRPr="00976D75" w:rsidRDefault="00925619" w:rsidP="00563B19">
            <w:pPr>
              <w:ind w:firstLineChars="100" w:firstLine="220"/>
              <w:jc w:val="center"/>
              <w:rPr>
                <w:color w:val="000000"/>
                <w:sz w:val="22"/>
                <w:szCs w:val="22"/>
              </w:rPr>
            </w:pPr>
            <w:r w:rsidRPr="00976D75">
              <w:rPr>
                <w:color w:val="000000"/>
                <w:sz w:val="22"/>
                <w:szCs w:val="22"/>
              </w:rPr>
              <w:t>ANNESLEY WOODHOUSE</w:t>
            </w:r>
          </w:p>
        </w:tc>
        <w:tc>
          <w:tcPr>
            <w:tcW w:w="2040" w:type="dxa"/>
            <w:tcBorders>
              <w:top w:val="nil"/>
              <w:left w:val="nil"/>
              <w:bottom w:val="single" w:sz="4" w:space="0" w:color="auto"/>
              <w:right w:val="single" w:sz="4" w:space="0" w:color="auto"/>
            </w:tcBorders>
            <w:noWrap/>
            <w:vAlign w:val="bottom"/>
            <w:hideMark/>
          </w:tcPr>
          <w:p w14:paraId="2F840675" w14:textId="77777777" w:rsidR="00563B19" w:rsidRPr="00976D75" w:rsidRDefault="00925619" w:rsidP="00563B19">
            <w:pPr>
              <w:jc w:val="center"/>
              <w:rPr>
                <w:color w:val="000000"/>
                <w:sz w:val="22"/>
                <w:szCs w:val="22"/>
              </w:rPr>
            </w:pPr>
            <w:r w:rsidRPr="00976D75">
              <w:rPr>
                <w:color w:val="000000"/>
                <w:sz w:val="22"/>
                <w:szCs w:val="22"/>
              </w:rPr>
              <w:t>203</w:t>
            </w:r>
          </w:p>
        </w:tc>
      </w:tr>
      <w:tr w:rsidR="00062496" w14:paraId="563FBC82" w14:textId="77777777" w:rsidTr="005911E2">
        <w:trPr>
          <w:trHeight w:val="300"/>
          <w:jc w:val="center"/>
        </w:trPr>
        <w:tc>
          <w:tcPr>
            <w:tcW w:w="2680" w:type="dxa"/>
            <w:tcBorders>
              <w:top w:val="nil"/>
              <w:left w:val="single" w:sz="4" w:space="0" w:color="auto"/>
              <w:bottom w:val="single" w:sz="4" w:space="0" w:color="auto"/>
              <w:right w:val="single" w:sz="4" w:space="0" w:color="auto"/>
            </w:tcBorders>
            <w:noWrap/>
            <w:vAlign w:val="bottom"/>
            <w:hideMark/>
          </w:tcPr>
          <w:p w14:paraId="35315AE6" w14:textId="77777777" w:rsidR="00563B19" w:rsidRPr="00976D75" w:rsidRDefault="00925619" w:rsidP="00563B19">
            <w:pPr>
              <w:ind w:firstLineChars="100" w:firstLine="220"/>
              <w:jc w:val="center"/>
              <w:rPr>
                <w:color w:val="000000"/>
                <w:sz w:val="22"/>
                <w:szCs w:val="22"/>
              </w:rPr>
            </w:pPr>
            <w:r w:rsidRPr="00976D75">
              <w:rPr>
                <w:color w:val="000000"/>
                <w:sz w:val="22"/>
                <w:szCs w:val="22"/>
              </w:rPr>
              <w:lastRenderedPageBreak/>
              <w:t>HUCKNALL EAST</w:t>
            </w:r>
          </w:p>
        </w:tc>
        <w:tc>
          <w:tcPr>
            <w:tcW w:w="2040" w:type="dxa"/>
            <w:tcBorders>
              <w:top w:val="nil"/>
              <w:left w:val="nil"/>
              <w:bottom w:val="single" w:sz="4" w:space="0" w:color="auto"/>
              <w:right w:val="single" w:sz="4" w:space="0" w:color="auto"/>
            </w:tcBorders>
            <w:noWrap/>
            <w:vAlign w:val="bottom"/>
            <w:hideMark/>
          </w:tcPr>
          <w:p w14:paraId="4178E6EC" w14:textId="77777777" w:rsidR="00563B19" w:rsidRPr="00976D75" w:rsidRDefault="00925619" w:rsidP="00563B19">
            <w:pPr>
              <w:jc w:val="center"/>
              <w:rPr>
                <w:color w:val="000000"/>
                <w:sz w:val="22"/>
                <w:szCs w:val="22"/>
              </w:rPr>
            </w:pPr>
            <w:r w:rsidRPr="00976D75">
              <w:rPr>
                <w:color w:val="000000"/>
                <w:sz w:val="22"/>
                <w:szCs w:val="22"/>
              </w:rPr>
              <w:t>194</w:t>
            </w:r>
          </w:p>
        </w:tc>
      </w:tr>
      <w:tr w:rsidR="00062496" w14:paraId="04DE06F1" w14:textId="77777777" w:rsidTr="005911E2">
        <w:trPr>
          <w:trHeight w:val="300"/>
          <w:jc w:val="center"/>
        </w:trPr>
        <w:tc>
          <w:tcPr>
            <w:tcW w:w="2680" w:type="dxa"/>
            <w:tcBorders>
              <w:top w:val="nil"/>
              <w:left w:val="single" w:sz="4" w:space="0" w:color="auto"/>
              <w:bottom w:val="single" w:sz="4" w:space="0" w:color="auto"/>
              <w:right w:val="single" w:sz="4" w:space="0" w:color="auto"/>
            </w:tcBorders>
            <w:noWrap/>
            <w:vAlign w:val="bottom"/>
            <w:hideMark/>
          </w:tcPr>
          <w:p w14:paraId="662F99B8" w14:textId="77777777" w:rsidR="00563B19" w:rsidRPr="00976D75" w:rsidRDefault="00925619" w:rsidP="00563B19">
            <w:pPr>
              <w:ind w:firstLineChars="100" w:firstLine="220"/>
              <w:jc w:val="center"/>
              <w:rPr>
                <w:color w:val="000000"/>
                <w:sz w:val="22"/>
                <w:szCs w:val="22"/>
              </w:rPr>
            </w:pPr>
            <w:r w:rsidRPr="00976D75">
              <w:rPr>
                <w:color w:val="000000"/>
                <w:sz w:val="22"/>
                <w:szCs w:val="22"/>
              </w:rPr>
              <w:t>HUCKNALL NORTH</w:t>
            </w:r>
          </w:p>
        </w:tc>
        <w:tc>
          <w:tcPr>
            <w:tcW w:w="2040" w:type="dxa"/>
            <w:tcBorders>
              <w:top w:val="nil"/>
              <w:left w:val="nil"/>
              <w:bottom w:val="single" w:sz="4" w:space="0" w:color="auto"/>
              <w:right w:val="single" w:sz="4" w:space="0" w:color="auto"/>
            </w:tcBorders>
            <w:noWrap/>
            <w:vAlign w:val="bottom"/>
            <w:hideMark/>
          </w:tcPr>
          <w:p w14:paraId="4B292785" w14:textId="77777777" w:rsidR="00563B19" w:rsidRPr="00976D75" w:rsidRDefault="00925619" w:rsidP="00563B19">
            <w:pPr>
              <w:jc w:val="center"/>
              <w:rPr>
                <w:color w:val="000000"/>
                <w:sz w:val="22"/>
                <w:szCs w:val="22"/>
              </w:rPr>
            </w:pPr>
            <w:r w:rsidRPr="00976D75">
              <w:rPr>
                <w:color w:val="000000"/>
                <w:sz w:val="22"/>
                <w:szCs w:val="22"/>
              </w:rPr>
              <w:t>168</w:t>
            </w:r>
          </w:p>
        </w:tc>
      </w:tr>
      <w:tr w:rsidR="00062496" w14:paraId="0524F0EA" w14:textId="77777777" w:rsidTr="005911E2">
        <w:trPr>
          <w:trHeight w:val="300"/>
          <w:jc w:val="center"/>
        </w:trPr>
        <w:tc>
          <w:tcPr>
            <w:tcW w:w="2680" w:type="dxa"/>
            <w:tcBorders>
              <w:top w:val="nil"/>
              <w:left w:val="single" w:sz="4" w:space="0" w:color="auto"/>
              <w:bottom w:val="single" w:sz="4" w:space="0" w:color="auto"/>
              <w:right w:val="single" w:sz="4" w:space="0" w:color="auto"/>
            </w:tcBorders>
            <w:noWrap/>
            <w:vAlign w:val="bottom"/>
            <w:hideMark/>
          </w:tcPr>
          <w:p w14:paraId="54BCF50F" w14:textId="77777777" w:rsidR="00563B19" w:rsidRPr="00976D75" w:rsidRDefault="00925619" w:rsidP="00563B19">
            <w:pPr>
              <w:ind w:firstLineChars="100" w:firstLine="220"/>
              <w:jc w:val="center"/>
              <w:rPr>
                <w:color w:val="000000"/>
                <w:sz w:val="22"/>
                <w:szCs w:val="22"/>
              </w:rPr>
            </w:pPr>
            <w:r w:rsidRPr="00976D75">
              <w:rPr>
                <w:color w:val="000000"/>
                <w:sz w:val="22"/>
                <w:szCs w:val="22"/>
              </w:rPr>
              <w:t>HUCKNALL CENTRAL</w:t>
            </w:r>
          </w:p>
        </w:tc>
        <w:tc>
          <w:tcPr>
            <w:tcW w:w="2040" w:type="dxa"/>
            <w:tcBorders>
              <w:top w:val="nil"/>
              <w:left w:val="nil"/>
              <w:bottom w:val="single" w:sz="4" w:space="0" w:color="auto"/>
              <w:right w:val="single" w:sz="4" w:space="0" w:color="auto"/>
            </w:tcBorders>
            <w:noWrap/>
            <w:vAlign w:val="bottom"/>
            <w:hideMark/>
          </w:tcPr>
          <w:p w14:paraId="7012326A" w14:textId="77777777" w:rsidR="00563B19" w:rsidRPr="00976D75" w:rsidRDefault="00925619" w:rsidP="00563B19">
            <w:pPr>
              <w:jc w:val="center"/>
              <w:rPr>
                <w:color w:val="000000"/>
                <w:sz w:val="22"/>
                <w:szCs w:val="22"/>
              </w:rPr>
            </w:pPr>
            <w:r w:rsidRPr="00976D75">
              <w:rPr>
                <w:color w:val="000000"/>
                <w:sz w:val="22"/>
                <w:szCs w:val="22"/>
              </w:rPr>
              <w:t>164</w:t>
            </w:r>
          </w:p>
        </w:tc>
      </w:tr>
      <w:tr w:rsidR="00062496" w14:paraId="1C3E7015" w14:textId="77777777" w:rsidTr="005911E2">
        <w:trPr>
          <w:trHeight w:val="300"/>
          <w:jc w:val="center"/>
        </w:trPr>
        <w:tc>
          <w:tcPr>
            <w:tcW w:w="2680" w:type="dxa"/>
            <w:tcBorders>
              <w:top w:val="nil"/>
              <w:left w:val="single" w:sz="4" w:space="0" w:color="auto"/>
              <w:bottom w:val="single" w:sz="4" w:space="0" w:color="auto"/>
              <w:right w:val="single" w:sz="4" w:space="0" w:color="auto"/>
            </w:tcBorders>
            <w:noWrap/>
            <w:vAlign w:val="bottom"/>
            <w:hideMark/>
          </w:tcPr>
          <w:p w14:paraId="753B03C4" w14:textId="77777777" w:rsidR="00563B19" w:rsidRPr="00976D75" w:rsidRDefault="00925619" w:rsidP="00563B19">
            <w:pPr>
              <w:ind w:firstLineChars="100" w:firstLine="220"/>
              <w:jc w:val="center"/>
              <w:rPr>
                <w:color w:val="000000"/>
                <w:sz w:val="22"/>
                <w:szCs w:val="22"/>
              </w:rPr>
            </w:pPr>
            <w:r w:rsidRPr="00976D75">
              <w:rPr>
                <w:color w:val="000000"/>
                <w:sz w:val="22"/>
                <w:szCs w:val="22"/>
              </w:rPr>
              <w:t>KIRKBY CENTRAL</w:t>
            </w:r>
          </w:p>
        </w:tc>
        <w:tc>
          <w:tcPr>
            <w:tcW w:w="2040" w:type="dxa"/>
            <w:tcBorders>
              <w:top w:val="nil"/>
              <w:left w:val="nil"/>
              <w:bottom w:val="single" w:sz="4" w:space="0" w:color="auto"/>
              <w:right w:val="single" w:sz="4" w:space="0" w:color="auto"/>
            </w:tcBorders>
            <w:noWrap/>
            <w:vAlign w:val="bottom"/>
            <w:hideMark/>
          </w:tcPr>
          <w:p w14:paraId="740C7055" w14:textId="77777777" w:rsidR="00563B19" w:rsidRPr="00976D75" w:rsidRDefault="00925619" w:rsidP="00563B19">
            <w:pPr>
              <w:jc w:val="center"/>
              <w:rPr>
                <w:color w:val="000000"/>
                <w:sz w:val="22"/>
                <w:szCs w:val="22"/>
              </w:rPr>
            </w:pPr>
            <w:r w:rsidRPr="00976D75">
              <w:rPr>
                <w:color w:val="000000"/>
                <w:sz w:val="22"/>
                <w:szCs w:val="22"/>
              </w:rPr>
              <w:t>163</w:t>
            </w:r>
          </w:p>
        </w:tc>
      </w:tr>
      <w:tr w:rsidR="00062496" w14:paraId="7F1FB702" w14:textId="77777777" w:rsidTr="005911E2">
        <w:trPr>
          <w:trHeight w:val="300"/>
          <w:jc w:val="center"/>
        </w:trPr>
        <w:tc>
          <w:tcPr>
            <w:tcW w:w="2680" w:type="dxa"/>
            <w:tcBorders>
              <w:top w:val="nil"/>
              <w:left w:val="single" w:sz="4" w:space="0" w:color="auto"/>
              <w:bottom w:val="single" w:sz="4" w:space="0" w:color="auto"/>
              <w:right w:val="single" w:sz="4" w:space="0" w:color="auto"/>
            </w:tcBorders>
            <w:noWrap/>
            <w:vAlign w:val="bottom"/>
            <w:hideMark/>
          </w:tcPr>
          <w:p w14:paraId="225E8B34" w14:textId="77777777" w:rsidR="00563B19" w:rsidRPr="00976D75" w:rsidRDefault="00925619" w:rsidP="00563B19">
            <w:pPr>
              <w:ind w:firstLineChars="100" w:firstLine="220"/>
              <w:jc w:val="center"/>
              <w:rPr>
                <w:color w:val="000000"/>
                <w:sz w:val="22"/>
                <w:szCs w:val="22"/>
              </w:rPr>
            </w:pPr>
            <w:r w:rsidRPr="00976D75">
              <w:rPr>
                <w:color w:val="000000"/>
                <w:sz w:val="22"/>
                <w:szCs w:val="22"/>
              </w:rPr>
              <w:t>KIRKBY WEST</w:t>
            </w:r>
          </w:p>
        </w:tc>
        <w:tc>
          <w:tcPr>
            <w:tcW w:w="2040" w:type="dxa"/>
            <w:tcBorders>
              <w:top w:val="nil"/>
              <w:left w:val="nil"/>
              <w:bottom w:val="single" w:sz="4" w:space="0" w:color="auto"/>
              <w:right w:val="single" w:sz="4" w:space="0" w:color="auto"/>
            </w:tcBorders>
            <w:noWrap/>
            <w:vAlign w:val="bottom"/>
            <w:hideMark/>
          </w:tcPr>
          <w:p w14:paraId="200F1EDD" w14:textId="77777777" w:rsidR="00563B19" w:rsidRPr="00976D75" w:rsidRDefault="00925619" w:rsidP="00563B19">
            <w:pPr>
              <w:jc w:val="center"/>
              <w:rPr>
                <w:color w:val="000000"/>
                <w:sz w:val="22"/>
                <w:szCs w:val="22"/>
              </w:rPr>
            </w:pPr>
            <w:r w:rsidRPr="00976D75">
              <w:rPr>
                <w:color w:val="000000"/>
                <w:sz w:val="22"/>
                <w:szCs w:val="22"/>
              </w:rPr>
              <w:t>119</w:t>
            </w:r>
          </w:p>
        </w:tc>
      </w:tr>
      <w:tr w:rsidR="00062496" w14:paraId="121A0876" w14:textId="77777777" w:rsidTr="005911E2">
        <w:trPr>
          <w:trHeight w:val="300"/>
          <w:jc w:val="center"/>
        </w:trPr>
        <w:tc>
          <w:tcPr>
            <w:tcW w:w="2680" w:type="dxa"/>
            <w:tcBorders>
              <w:top w:val="nil"/>
              <w:left w:val="single" w:sz="4" w:space="0" w:color="auto"/>
              <w:bottom w:val="single" w:sz="4" w:space="0" w:color="auto"/>
              <w:right w:val="single" w:sz="4" w:space="0" w:color="auto"/>
            </w:tcBorders>
            <w:noWrap/>
            <w:vAlign w:val="bottom"/>
            <w:hideMark/>
          </w:tcPr>
          <w:p w14:paraId="7EBCC6CD" w14:textId="77777777" w:rsidR="00563B19" w:rsidRPr="00976D75" w:rsidRDefault="00925619" w:rsidP="00563B19">
            <w:pPr>
              <w:ind w:firstLineChars="100" w:firstLine="220"/>
              <w:jc w:val="center"/>
              <w:rPr>
                <w:color w:val="000000"/>
                <w:sz w:val="22"/>
                <w:szCs w:val="22"/>
              </w:rPr>
            </w:pPr>
            <w:r w:rsidRPr="00976D75">
              <w:rPr>
                <w:color w:val="000000"/>
                <w:sz w:val="22"/>
                <w:szCs w:val="22"/>
              </w:rPr>
              <w:t>SELSTON</w:t>
            </w:r>
          </w:p>
        </w:tc>
        <w:tc>
          <w:tcPr>
            <w:tcW w:w="2040" w:type="dxa"/>
            <w:tcBorders>
              <w:top w:val="nil"/>
              <w:left w:val="nil"/>
              <w:bottom w:val="single" w:sz="4" w:space="0" w:color="auto"/>
              <w:right w:val="single" w:sz="4" w:space="0" w:color="auto"/>
            </w:tcBorders>
            <w:noWrap/>
            <w:vAlign w:val="bottom"/>
            <w:hideMark/>
          </w:tcPr>
          <w:p w14:paraId="2B23A913" w14:textId="77777777" w:rsidR="00563B19" w:rsidRPr="00976D75" w:rsidRDefault="00925619">
            <w:pPr>
              <w:jc w:val="center"/>
              <w:rPr>
                <w:color w:val="000000"/>
                <w:sz w:val="22"/>
                <w:szCs w:val="22"/>
              </w:rPr>
            </w:pPr>
            <w:r w:rsidRPr="00976D75">
              <w:rPr>
                <w:color w:val="000000"/>
                <w:sz w:val="22"/>
                <w:szCs w:val="22"/>
              </w:rPr>
              <w:t>114</w:t>
            </w:r>
          </w:p>
        </w:tc>
      </w:tr>
      <w:tr w:rsidR="00062496" w14:paraId="6C0638F2" w14:textId="77777777" w:rsidTr="005911E2">
        <w:trPr>
          <w:trHeight w:val="300"/>
          <w:jc w:val="center"/>
        </w:trPr>
        <w:tc>
          <w:tcPr>
            <w:tcW w:w="2680" w:type="dxa"/>
            <w:tcBorders>
              <w:top w:val="single" w:sz="4" w:space="0" w:color="auto"/>
              <w:left w:val="single" w:sz="4" w:space="0" w:color="auto"/>
              <w:bottom w:val="single" w:sz="4" w:space="0" w:color="auto"/>
              <w:right w:val="single" w:sz="4" w:space="0" w:color="auto"/>
            </w:tcBorders>
            <w:noWrap/>
            <w:vAlign w:val="bottom"/>
            <w:hideMark/>
          </w:tcPr>
          <w:p w14:paraId="0BC34015" w14:textId="77777777" w:rsidR="00563B19" w:rsidRPr="00976D75" w:rsidRDefault="00925619" w:rsidP="00563B19">
            <w:pPr>
              <w:ind w:firstLineChars="100" w:firstLine="220"/>
              <w:jc w:val="center"/>
              <w:rPr>
                <w:color w:val="000000"/>
                <w:sz w:val="22"/>
                <w:szCs w:val="22"/>
              </w:rPr>
            </w:pPr>
            <w:r w:rsidRPr="00976D75">
              <w:rPr>
                <w:color w:val="000000"/>
                <w:sz w:val="22"/>
                <w:szCs w:val="22"/>
              </w:rPr>
              <w:t>JACKSDALE</w:t>
            </w:r>
          </w:p>
        </w:tc>
        <w:tc>
          <w:tcPr>
            <w:tcW w:w="2040" w:type="dxa"/>
            <w:tcBorders>
              <w:top w:val="single" w:sz="4" w:space="0" w:color="auto"/>
              <w:left w:val="nil"/>
              <w:bottom w:val="single" w:sz="4" w:space="0" w:color="auto"/>
              <w:right w:val="single" w:sz="4" w:space="0" w:color="auto"/>
            </w:tcBorders>
            <w:noWrap/>
            <w:vAlign w:val="bottom"/>
            <w:hideMark/>
          </w:tcPr>
          <w:p w14:paraId="5C7E155B" w14:textId="77777777" w:rsidR="00563B19" w:rsidRPr="00976D75" w:rsidRDefault="00925619">
            <w:pPr>
              <w:jc w:val="center"/>
              <w:rPr>
                <w:color w:val="000000"/>
                <w:sz w:val="22"/>
                <w:szCs w:val="22"/>
              </w:rPr>
            </w:pPr>
            <w:r w:rsidRPr="00976D75">
              <w:rPr>
                <w:color w:val="000000"/>
                <w:sz w:val="22"/>
                <w:szCs w:val="22"/>
              </w:rPr>
              <w:t>51</w:t>
            </w:r>
          </w:p>
        </w:tc>
      </w:tr>
    </w:tbl>
    <w:p w14:paraId="789A2710" w14:textId="77777777" w:rsidR="003F2346" w:rsidRPr="00D87ACF" w:rsidRDefault="003F2346" w:rsidP="006457D7">
      <w:pPr>
        <w:jc w:val="both"/>
      </w:pPr>
    </w:p>
    <w:p w14:paraId="4CD97A29" w14:textId="77777777" w:rsidR="00976D75" w:rsidRDefault="00925619" w:rsidP="004404BA">
      <w:r w:rsidRPr="00D87ACF">
        <w:t xml:space="preserve">Addressing </w:t>
      </w:r>
      <w:r w:rsidR="007601C6">
        <w:t xml:space="preserve">street harassment and making public spaces safer </w:t>
      </w:r>
      <w:r w:rsidR="001741EC">
        <w:t xml:space="preserve">are of prominence </w:t>
      </w:r>
      <w:r>
        <w:t>when addressing</w:t>
      </w:r>
      <w:r w:rsidR="007601C6">
        <w:t xml:space="preserve"> </w:t>
      </w:r>
      <w:r w:rsidRPr="00D87ACF">
        <w:t>Violence against Women and Girls and Serious Violence</w:t>
      </w:r>
      <w:r>
        <w:t xml:space="preserve"> which are new priorities for the Ashfield Community Safety Partnership</w:t>
      </w:r>
      <w:r w:rsidR="007601C6">
        <w:t>.</w:t>
      </w:r>
    </w:p>
    <w:p w14:paraId="30D4F41B" w14:textId="77777777" w:rsidR="00230C54" w:rsidRPr="00D87ACF" w:rsidRDefault="00925619" w:rsidP="004404BA">
      <w:r>
        <w:t xml:space="preserve">An informal consultation conducted between </w:t>
      </w:r>
      <w:r w:rsidR="00BA6DF1" w:rsidRPr="00D87ACF">
        <w:t>Monday 12</w:t>
      </w:r>
      <w:r w:rsidR="00BA6DF1" w:rsidRPr="00D87ACF">
        <w:rPr>
          <w:vertAlign w:val="superscript"/>
        </w:rPr>
        <w:t>th</w:t>
      </w:r>
      <w:r w:rsidR="00BA6DF1" w:rsidRPr="00D87ACF">
        <w:t xml:space="preserve"> February 2024 and Friday 16</w:t>
      </w:r>
      <w:r w:rsidR="00BA6DF1" w:rsidRPr="00D87ACF">
        <w:rPr>
          <w:vertAlign w:val="superscript"/>
        </w:rPr>
        <w:t>th</w:t>
      </w:r>
      <w:r w:rsidR="00BA6DF1" w:rsidRPr="00D87ACF">
        <w:t xml:space="preserve"> February 2024</w:t>
      </w:r>
      <w:r w:rsidR="004A548F">
        <w:t xml:space="preserve"> was undertaken which surveys 141 women and girls to understand their </w:t>
      </w:r>
      <w:r w:rsidR="007601C6">
        <w:t xml:space="preserve">experiences </w:t>
      </w:r>
      <w:r>
        <w:t>of when they are in public places. Of</w:t>
      </w:r>
      <w:r w:rsidR="00BA6DF1" w:rsidRPr="00D87ACF">
        <w:t xml:space="preserve"> 141 surveys </w:t>
      </w:r>
      <w:r w:rsidRPr="00D87ACF">
        <w:t>completed;</w:t>
      </w:r>
      <w:r w:rsidR="00BA6DF1" w:rsidRPr="00D87ACF">
        <w:t xml:space="preserve"> </w:t>
      </w:r>
      <w:r>
        <w:t xml:space="preserve">the following </w:t>
      </w:r>
      <w:r w:rsidR="00BA6DF1" w:rsidRPr="00D87ACF">
        <w:t>participants confirmed</w:t>
      </w:r>
      <w:r w:rsidR="004A548F">
        <w:t xml:space="preserve"> they</w:t>
      </w:r>
      <w:r w:rsidR="004404BA">
        <w:t>:</w:t>
      </w:r>
    </w:p>
    <w:tbl>
      <w:tblPr>
        <w:tblStyle w:val="TableGrid"/>
        <w:tblW w:w="0" w:type="auto"/>
        <w:tblInd w:w="-5" w:type="dxa"/>
        <w:tblLook w:val="04A0" w:firstRow="1" w:lastRow="0" w:firstColumn="1" w:lastColumn="0" w:noHBand="0" w:noVBand="1"/>
      </w:tblPr>
      <w:tblGrid>
        <w:gridCol w:w="8139"/>
        <w:gridCol w:w="1030"/>
        <w:gridCol w:w="1030"/>
      </w:tblGrid>
      <w:tr w:rsidR="00062496" w14:paraId="4B0FE973" w14:textId="77777777" w:rsidTr="00DB4CA5">
        <w:trPr>
          <w:trHeight w:val="794"/>
        </w:trPr>
        <w:tc>
          <w:tcPr>
            <w:tcW w:w="8139" w:type="dxa"/>
            <w:shd w:val="clear" w:color="auto" w:fill="D0CECE" w:themeFill="background2" w:themeFillShade="E6"/>
          </w:tcPr>
          <w:p w14:paraId="296A1DFC" w14:textId="77777777" w:rsidR="00230C54" w:rsidRPr="00D87ACF" w:rsidRDefault="00230C54" w:rsidP="0091057C">
            <w:pPr>
              <w:rPr>
                <w:color w:val="000000" w:themeColor="text1"/>
                <w:u w:val="single"/>
              </w:rPr>
            </w:pPr>
          </w:p>
        </w:tc>
        <w:tc>
          <w:tcPr>
            <w:tcW w:w="1030" w:type="dxa"/>
            <w:shd w:val="clear" w:color="auto" w:fill="D0CECE" w:themeFill="background2" w:themeFillShade="E6"/>
          </w:tcPr>
          <w:p w14:paraId="670D0856" w14:textId="77777777" w:rsidR="00230C54" w:rsidRPr="00D87ACF" w:rsidRDefault="00925619" w:rsidP="0091057C">
            <w:pPr>
              <w:jc w:val="center"/>
              <w:rPr>
                <w:b/>
                <w:bCs/>
                <w:color w:val="000000" w:themeColor="text1"/>
                <w:u w:val="single"/>
              </w:rPr>
            </w:pPr>
            <w:r w:rsidRPr="00D87ACF">
              <w:rPr>
                <w:b/>
                <w:bCs/>
                <w:color w:val="000000" w:themeColor="text1"/>
                <w:u w:val="single"/>
              </w:rPr>
              <w:t>Yes</w:t>
            </w:r>
          </w:p>
        </w:tc>
        <w:tc>
          <w:tcPr>
            <w:tcW w:w="1030" w:type="dxa"/>
            <w:shd w:val="clear" w:color="auto" w:fill="D0CECE" w:themeFill="background2" w:themeFillShade="E6"/>
          </w:tcPr>
          <w:p w14:paraId="7A05C97E" w14:textId="77777777" w:rsidR="00230C54" w:rsidRPr="00D87ACF" w:rsidRDefault="00925619" w:rsidP="0091057C">
            <w:pPr>
              <w:jc w:val="center"/>
              <w:rPr>
                <w:b/>
                <w:bCs/>
                <w:color w:val="000000" w:themeColor="text1"/>
                <w:u w:val="single"/>
              </w:rPr>
            </w:pPr>
            <w:r w:rsidRPr="00D87ACF">
              <w:rPr>
                <w:b/>
                <w:bCs/>
                <w:color w:val="000000" w:themeColor="text1"/>
                <w:u w:val="single"/>
              </w:rPr>
              <w:t>No</w:t>
            </w:r>
          </w:p>
        </w:tc>
      </w:tr>
      <w:tr w:rsidR="00062496" w14:paraId="7E186283" w14:textId="77777777" w:rsidTr="00DB4CA5">
        <w:trPr>
          <w:trHeight w:val="1020"/>
        </w:trPr>
        <w:tc>
          <w:tcPr>
            <w:tcW w:w="8139" w:type="dxa"/>
          </w:tcPr>
          <w:p w14:paraId="70711F8D" w14:textId="6F3F3855" w:rsidR="00230C54" w:rsidRPr="00D87ACF" w:rsidRDefault="00925619" w:rsidP="0091057C">
            <w:pPr>
              <w:spacing w:after="160" w:line="252" w:lineRule="auto"/>
              <w:rPr>
                <w:color w:val="000000" w:themeColor="text1"/>
              </w:rPr>
            </w:pPr>
            <w:r w:rsidRPr="00D87ACF">
              <w:rPr>
                <w:color w:val="000000" w:themeColor="text1"/>
              </w:rPr>
              <w:t>Experienced Catcalling (a rude, derogatory or unwelcome comment including sexual comments, whistling and/or rude gestures)</w:t>
            </w:r>
            <w:r w:rsidR="004A548F">
              <w:rPr>
                <w:color w:val="000000" w:themeColor="text1"/>
              </w:rPr>
              <w:t xml:space="preserve"> in public spaces.</w:t>
            </w:r>
          </w:p>
        </w:tc>
        <w:tc>
          <w:tcPr>
            <w:tcW w:w="1030" w:type="dxa"/>
          </w:tcPr>
          <w:p w14:paraId="55D1E23B" w14:textId="59CF9827" w:rsidR="00230C54" w:rsidRPr="005911E2" w:rsidRDefault="00925619" w:rsidP="0091057C">
            <w:pPr>
              <w:rPr>
                <w:b/>
                <w:bCs/>
                <w:color w:val="000000" w:themeColor="text1"/>
              </w:rPr>
            </w:pPr>
            <w:r w:rsidRPr="00D87ACF">
              <w:rPr>
                <w:b/>
                <w:bCs/>
                <w:color w:val="000000" w:themeColor="text1"/>
              </w:rPr>
              <w:t>61</w:t>
            </w:r>
          </w:p>
          <w:p w14:paraId="6FE0E5A5" w14:textId="77777777" w:rsidR="00230C54" w:rsidRPr="00D87ACF" w:rsidRDefault="00925619" w:rsidP="0091057C">
            <w:pPr>
              <w:rPr>
                <w:b/>
                <w:bCs/>
                <w:color w:val="000000" w:themeColor="text1"/>
              </w:rPr>
            </w:pPr>
            <w:r w:rsidRPr="00D87ACF">
              <w:rPr>
                <w:b/>
                <w:bCs/>
                <w:color w:val="000000" w:themeColor="text1"/>
                <w:shd w:val="clear" w:color="auto" w:fill="FFFFFF"/>
              </w:rPr>
              <w:t>43.26%</w:t>
            </w:r>
          </w:p>
        </w:tc>
        <w:tc>
          <w:tcPr>
            <w:tcW w:w="1030" w:type="dxa"/>
          </w:tcPr>
          <w:p w14:paraId="4B726E7F" w14:textId="0C0CFEFE" w:rsidR="00BA6DF1" w:rsidRPr="005911E2" w:rsidRDefault="00925619" w:rsidP="0091057C">
            <w:pPr>
              <w:spacing w:after="160" w:line="252" w:lineRule="auto"/>
              <w:rPr>
                <w:b/>
                <w:bCs/>
                <w:color w:val="000000" w:themeColor="text1"/>
              </w:rPr>
            </w:pPr>
            <w:r w:rsidRPr="00D87ACF">
              <w:rPr>
                <w:b/>
                <w:bCs/>
                <w:color w:val="000000" w:themeColor="text1"/>
              </w:rPr>
              <w:t>80</w:t>
            </w:r>
          </w:p>
          <w:p w14:paraId="0005EB16" w14:textId="77777777" w:rsidR="00230C54" w:rsidRPr="00D87ACF" w:rsidRDefault="00925619" w:rsidP="0091057C">
            <w:pPr>
              <w:spacing w:after="160" w:line="252" w:lineRule="auto"/>
              <w:rPr>
                <w:b/>
                <w:bCs/>
                <w:color w:val="000000" w:themeColor="text1"/>
              </w:rPr>
            </w:pPr>
            <w:r w:rsidRPr="00D87ACF">
              <w:rPr>
                <w:b/>
                <w:bCs/>
                <w:color w:val="000000" w:themeColor="text1"/>
                <w:shd w:val="clear" w:color="auto" w:fill="EEEEEE"/>
              </w:rPr>
              <w:t>56.74%</w:t>
            </w:r>
          </w:p>
        </w:tc>
      </w:tr>
      <w:tr w:rsidR="00062496" w14:paraId="3B7783B5" w14:textId="77777777" w:rsidTr="00DB4CA5">
        <w:tc>
          <w:tcPr>
            <w:tcW w:w="8139" w:type="dxa"/>
          </w:tcPr>
          <w:p w14:paraId="6B17B51F" w14:textId="67611827" w:rsidR="00230C54" w:rsidRPr="00D87ACF" w:rsidRDefault="00925619" w:rsidP="0091057C">
            <w:pPr>
              <w:spacing w:after="160" w:line="252" w:lineRule="auto"/>
              <w:rPr>
                <w:color w:val="000000" w:themeColor="text1"/>
              </w:rPr>
            </w:pPr>
            <w:r w:rsidRPr="00D87ACF">
              <w:rPr>
                <w:color w:val="000000" w:themeColor="text1"/>
              </w:rPr>
              <w:t>Experienced being followed</w:t>
            </w:r>
            <w:r w:rsidR="004A548F">
              <w:rPr>
                <w:color w:val="000000" w:themeColor="text1"/>
              </w:rPr>
              <w:t xml:space="preserve"> in public spaces.</w:t>
            </w:r>
          </w:p>
        </w:tc>
        <w:tc>
          <w:tcPr>
            <w:tcW w:w="1030" w:type="dxa"/>
          </w:tcPr>
          <w:p w14:paraId="30521442" w14:textId="51B64DB2" w:rsidR="00230C54" w:rsidRPr="005911E2" w:rsidRDefault="00925619" w:rsidP="0091057C">
            <w:pPr>
              <w:rPr>
                <w:b/>
                <w:bCs/>
                <w:color w:val="000000" w:themeColor="text1"/>
              </w:rPr>
            </w:pPr>
            <w:r w:rsidRPr="00D87ACF">
              <w:rPr>
                <w:b/>
                <w:bCs/>
                <w:color w:val="000000" w:themeColor="text1"/>
              </w:rPr>
              <w:t>41</w:t>
            </w:r>
          </w:p>
          <w:p w14:paraId="57DFECC2" w14:textId="77777777" w:rsidR="00230C54" w:rsidRPr="00D87ACF" w:rsidRDefault="00925619" w:rsidP="0091057C">
            <w:pPr>
              <w:rPr>
                <w:color w:val="000000" w:themeColor="text1"/>
              </w:rPr>
            </w:pPr>
            <w:r w:rsidRPr="00D87ACF">
              <w:rPr>
                <w:b/>
                <w:bCs/>
                <w:color w:val="000000" w:themeColor="text1"/>
                <w:shd w:val="clear" w:color="auto" w:fill="FFFFFF"/>
              </w:rPr>
              <w:t>29.08%</w:t>
            </w:r>
          </w:p>
        </w:tc>
        <w:tc>
          <w:tcPr>
            <w:tcW w:w="1030" w:type="dxa"/>
          </w:tcPr>
          <w:p w14:paraId="448AC4F0" w14:textId="77777777" w:rsidR="00230C54" w:rsidRPr="00D87ACF" w:rsidRDefault="00925619" w:rsidP="0091057C">
            <w:pPr>
              <w:spacing w:after="160" w:line="252" w:lineRule="auto"/>
              <w:rPr>
                <w:b/>
                <w:bCs/>
                <w:color w:val="000000" w:themeColor="text1"/>
              </w:rPr>
            </w:pPr>
            <w:r w:rsidRPr="00D87ACF">
              <w:rPr>
                <w:b/>
                <w:bCs/>
                <w:color w:val="000000" w:themeColor="text1"/>
              </w:rPr>
              <w:t>100</w:t>
            </w:r>
          </w:p>
          <w:p w14:paraId="1AB20BB3" w14:textId="77777777" w:rsidR="00230C54" w:rsidRPr="00D87ACF" w:rsidRDefault="00925619" w:rsidP="0091057C">
            <w:pPr>
              <w:spacing w:after="160" w:line="252" w:lineRule="auto"/>
              <w:rPr>
                <w:b/>
                <w:bCs/>
                <w:color w:val="000000" w:themeColor="text1"/>
              </w:rPr>
            </w:pPr>
            <w:r w:rsidRPr="00D87ACF">
              <w:rPr>
                <w:b/>
                <w:bCs/>
                <w:color w:val="000000" w:themeColor="text1"/>
                <w:shd w:val="clear" w:color="auto" w:fill="EEEEEE"/>
              </w:rPr>
              <w:t>70.92%</w:t>
            </w:r>
          </w:p>
        </w:tc>
      </w:tr>
      <w:tr w:rsidR="00062496" w14:paraId="35644A50" w14:textId="77777777" w:rsidTr="00DB4CA5">
        <w:tc>
          <w:tcPr>
            <w:tcW w:w="8139" w:type="dxa"/>
          </w:tcPr>
          <w:p w14:paraId="0DE1AEC9" w14:textId="12E87300" w:rsidR="00230C54" w:rsidRPr="00D87ACF" w:rsidRDefault="00925619" w:rsidP="0091057C">
            <w:pPr>
              <w:spacing w:after="160" w:line="252" w:lineRule="auto"/>
              <w:rPr>
                <w:color w:val="000000" w:themeColor="text1"/>
              </w:rPr>
            </w:pPr>
            <w:r w:rsidRPr="00D87ACF">
              <w:rPr>
                <w:color w:val="000000" w:themeColor="text1"/>
              </w:rPr>
              <w:t>Experienced verbal abuse</w:t>
            </w:r>
            <w:r w:rsidR="004A548F">
              <w:rPr>
                <w:color w:val="000000" w:themeColor="text1"/>
              </w:rPr>
              <w:t xml:space="preserve"> in public spaces.</w:t>
            </w:r>
          </w:p>
        </w:tc>
        <w:tc>
          <w:tcPr>
            <w:tcW w:w="1030" w:type="dxa"/>
          </w:tcPr>
          <w:p w14:paraId="2D2DE308" w14:textId="29B0214D" w:rsidR="00230C54" w:rsidRPr="005911E2" w:rsidRDefault="00925619" w:rsidP="0091057C">
            <w:pPr>
              <w:rPr>
                <w:b/>
                <w:bCs/>
                <w:color w:val="000000" w:themeColor="text1"/>
              </w:rPr>
            </w:pPr>
            <w:r w:rsidRPr="00D87ACF">
              <w:rPr>
                <w:b/>
                <w:bCs/>
                <w:color w:val="000000" w:themeColor="text1"/>
              </w:rPr>
              <w:t>56</w:t>
            </w:r>
          </w:p>
          <w:p w14:paraId="546B6D91" w14:textId="77777777" w:rsidR="00230C54" w:rsidRPr="00D87ACF" w:rsidRDefault="00925619" w:rsidP="0091057C">
            <w:pPr>
              <w:rPr>
                <w:color w:val="000000" w:themeColor="text1"/>
              </w:rPr>
            </w:pPr>
            <w:r w:rsidRPr="00D87ACF">
              <w:rPr>
                <w:b/>
                <w:bCs/>
                <w:color w:val="000000" w:themeColor="text1"/>
                <w:shd w:val="clear" w:color="auto" w:fill="FFFFFF"/>
              </w:rPr>
              <w:t>39.72%</w:t>
            </w:r>
          </w:p>
        </w:tc>
        <w:tc>
          <w:tcPr>
            <w:tcW w:w="1030" w:type="dxa"/>
          </w:tcPr>
          <w:p w14:paraId="38572E57" w14:textId="77777777" w:rsidR="00230C54" w:rsidRPr="00D87ACF" w:rsidRDefault="00925619" w:rsidP="0091057C">
            <w:pPr>
              <w:spacing w:after="160" w:line="252" w:lineRule="auto"/>
              <w:rPr>
                <w:b/>
                <w:bCs/>
                <w:color w:val="000000" w:themeColor="text1"/>
              </w:rPr>
            </w:pPr>
            <w:r w:rsidRPr="00D87ACF">
              <w:rPr>
                <w:b/>
                <w:bCs/>
                <w:color w:val="000000" w:themeColor="text1"/>
              </w:rPr>
              <w:t>85</w:t>
            </w:r>
          </w:p>
          <w:p w14:paraId="03999135" w14:textId="77777777" w:rsidR="00230C54" w:rsidRPr="00D87ACF" w:rsidRDefault="00925619" w:rsidP="0091057C">
            <w:pPr>
              <w:spacing w:after="160" w:line="252" w:lineRule="auto"/>
              <w:rPr>
                <w:b/>
                <w:bCs/>
                <w:color w:val="000000" w:themeColor="text1"/>
              </w:rPr>
            </w:pPr>
            <w:r w:rsidRPr="00D87ACF">
              <w:rPr>
                <w:b/>
                <w:bCs/>
                <w:color w:val="000000" w:themeColor="text1"/>
                <w:shd w:val="clear" w:color="auto" w:fill="EEEEEE"/>
              </w:rPr>
              <w:t>60.28%</w:t>
            </w:r>
          </w:p>
        </w:tc>
      </w:tr>
      <w:tr w:rsidR="00062496" w14:paraId="4A33D4C9" w14:textId="77777777" w:rsidTr="00DB4CA5">
        <w:tc>
          <w:tcPr>
            <w:tcW w:w="8139" w:type="dxa"/>
          </w:tcPr>
          <w:p w14:paraId="4E39D486" w14:textId="7A9090E0" w:rsidR="00230C54" w:rsidRPr="00D87ACF" w:rsidRDefault="00925619" w:rsidP="0091057C">
            <w:pPr>
              <w:spacing w:after="160" w:line="252" w:lineRule="auto"/>
              <w:rPr>
                <w:color w:val="000000" w:themeColor="text1"/>
              </w:rPr>
            </w:pPr>
            <w:r w:rsidRPr="00D87ACF">
              <w:rPr>
                <w:color w:val="000000" w:themeColor="text1"/>
              </w:rPr>
              <w:t>Experienced invasion of personal space</w:t>
            </w:r>
            <w:r w:rsidR="004A548F">
              <w:rPr>
                <w:color w:val="000000" w:themeColor="text1"/>
              </w:rPr>
              <w:t xml:space="preserve"> in public spaces.</w:t>
            </w:r>
          </w:p>
        </w:tc>
        <w:tc>
          <w:tcPr>
            <w:tcW w:w="1030" w:type="dxa"/>
          </w:tcPr>
          <w:p w14:paraId="20C9FBD6" w14:textId="64FA3E91" w:rsidR="00230C54" w:rsidRPr="00D87ACF" w:rsidRDefault="00925619" w:rsidP="0091057C">
            <w:pPr>
              <w:rPr>
                <w:b/>
                <w:bCs/>
                <w:color w:val="000000" w:themeColor="text1"/>
              </w:rPr>
            </w:pPr>
            <w:r w:rsidRPr="00D87ACF">
              <w:rPr>
                <w:b/>
                <w:bCs/>
                <w:color w:val="000000" w:themeColor="text1"/>
              </w:rPr>
              <w:t>57</w:t>
            </w:r>
          </w:p>
          <w:p w14:paraId="7FCF1362" w14:textId="77777777" w:rsidR="00230C54" w:rsidRPr="00D87ACF" w:rsidRDefault="00925619" w:rsidP="0091057C">
            <w:pPr>
              <w:rPr>
                <w:b/>
                <w:bCs/>
                <w:color w:val="000000" w:themeColor="text1"/>
              </w:rPr>
            </w:pPr>
            <w:r w:rsidRPr="00D87ACF">
              <w:rPr>
                <w:b/>
                <w:bCs/>
                <w:color w:val="000000" w:themeColor="text1"/>
                <w:shd w:val="clear" w:color="auto" w:fill="FFFFFF"/>
              </w:rPr>
              <w:t>40.43%</w:t>
            </w:r>
          </w:p>
        </w:tc>
        <w:tc>
          <w:tcPr>
            <w:tcW w:w="1030" w:type="dxa"/>
          </w:tcPr>
          <w:p w14:paraId="4627A437" w14:textId="77777777" w:rsidR="00230C54" w:rsidRPr="00D87ACF" w:rsidRDefault="00925619" w:rsidP="0091057C">
            <w:pPr>
              <w:spacing w:after="160" w:line="252" w:lineRule="auto"/>
              <w:rPr>
                <w:b/>
                <w:bCs/>
                <w:color w:val="000000" w:themeColor="text1"/>
              </w:rPr>
            </w:pPr>
            <w:r w:rsidRPr="00D87ACF">
              <w:rPr>
                <w:b/>
                <w:bCs/>
                <w:color w:val="000000" w:themeColor="text1"/>
              </w:rPr>
              <w:t>84</w:t>
            </w:r>
          </w:p>
          <w:p w14:paraId="79D3B781" w14:textId="77777777" w:rsidR="00230C54" w:rsidRPr="00D87ACF" w:rsidRDefault="00925619" w:rsidP="0091057C">
            <w:pPr>
              <w:spacing w:after="160" w:line="252" w:lineRule="auto"/>
              <w:rPr>
                <w:b/>
                <w:bCs/>
                <w:color w:val="000000" w:themeColor="text1"/>
              </w:rPr>
            </w:pPr>
            <w:r w:rsidRPr="00D87ACF">
              <w:rPr>
                <w:b/>
                <w:bCs/>
                <w:color w:val="000000" w:themeColor="text1"/>
                <w:shd w:val="clear" w:color="auto" w:fill="EEEEEE"/>
              </w:rPr>
              <w:t>59.57%</w:t>
            </w:r>
          </w:p>
        </w:tc>
      </w:tr>
    </w:tbl>
    <w:p w14:paraId="3A15247D" w14:textId="77777777" w:rsidR="00BA6DF1" w:rsidRDefault="00925619" w:rsidP="004404BA">
      <w:r>
        <w:t>Additional questions were asked confirming if they would like Nottinghamshire Police and Ashfield District Council</w:t>
      </w:r>
      <w:r w:rsidR="007601C6">
        <w:t xml:space="preserve"> to</w:t>
      </w:r>
      <w:r>
        <w:t xml:space="preserve"> have additional powers to tackle these behaviours under </w:t>
      </w:r>
      <w:r w:rsidR="005156ED">
        <w:t>a new</w:t>
      </w:r>
      <w:r>
        <w:t xml:space="preserve"> Public Spaces Protection Order of which 138 responded </w:t>
      </w:r>
      <w:r w:rsidR="003778C7">
        <w:t>‘</w:t>
      </w:r>
      <w:r w:rsidR="007601C6">
        <w:t>Y</w:t>
      </w:r>
      <w:r>
        <w:t>es</w:t>
      </w:r>
      <w:r w:rsidR="003778C7">
        <w:t>’</w:t>
      </w:r>
      <w:r>
        <w:t xml:space="preserve"> and 3 participants responded </w:t>
      </w:r>
      <w:r w:rsidR="003778C7">
        <w:t>‘</w:t>
      </w:r>
      <w:r>
        <w:t>No</w:t>
      </w:r>
      <w:r w:rsidR="003778C7">
        <w:t>’</w:t>
      </w:r>
      <w:r>
        <w:t>. 112 women and girls of 141 also confirmed they take precautions to protect their safety when alone in public spaces</w:t>
      </w:r>
      <w:r w:rsidR="005156ED">
        <w:t>.</w:t>
      </w:r>
    </w:p>
    <w:p w14:paraId="371A3696" w14:textId="77777777" w:rsidR="00FD7288" w:rsidRDefault="00925619" w:rsidP="004404BA">
      <w:pPr>
        <w:rPr>
          <w:bCs/>
        </w:rPr>
      </w:pPr>
      <w:r>
        <w:rPr>
          <w:bCs/>
        </w:rPr>
        <w:lastRenderedPageBreak/>
        <w:t>As part of the consultation process</w:t>
      </w:r>
      <w:r w:rsidR="005156ED">
        <w:rPr>
          <w:bCs/>
        </w:rPr>
        <w:t xml:space="preserve"> and</w:t>
      </w:r>
      <w:r w:rsidR="00755400">
        <w:rPr>
          <w:bCs/>
        </w:rPr>
        <w:t xml:space="preserve"> if approved by Cabinet</w:t>
      </w:r>
      <w:r>
        <w:rPr>
          <w:bCs/>
        </w:rPr>
        <w:t xml:space="preserve">, further analysis will be conducted to determine </w:t>
      </w:r>
      <w:r w:rsidR="00755400">
        <w:rPr>
          <w:bCs/>
        </w:rPr>
        <w:t xml:space="preserve">the </w:t>
      </w:r>
      <w:r>
        <w:rPr>
          <w:bCs/>
        </w:rPr>
        <w:t xml:space="preserve">viability of </w:t>
      </w:r>
      <w:r w:rsidR="003F2346">
        <w:rPr>
          <w:bCs/>
        </w:rPr>
        <w:t>extending and</w:t>
      </w:r>
      <w:r>
        <w:rPr>
          <w:bCs/>
        </w:rPr>
        <w:t xml:space="preserve"> varying the </w:t>
      </w:r>
      <w:r w:rsidR="003778C7">
        <w:rPr>
          <w:bCs/>
        </w:rPr>
        <w:t>O</w:t>
      </w:r>
      <w:r>
        <w:rPr>
          <w:bCs/>
        </w:rPr>
        <w:t>rder.</w:t>
      </w:r>
    </w:p>
    <w:p w14:paraId="1DEA8C44" w14:textId="77777777" w:rsidR="005156ED" w:rsidRDefault="00925619" w:rsidP="004404BA">
      <w:r>
        <w:t>In addition, and in accordance with section 64 of the Act in relation to the proposed prohibition of continuing to restrict the public right of way over the highway between Bentinck Street and Welbeck Street, the Council will consider the likely effect of renewing the Order on the occupiers of adjoining or adjacent premises and on other persons in the locality. As part of an informal consultation prior to this report, 23 of the 25 residents surveyed on Bentinck and Welbeck Street responded in support of continuing to restrict public access via gates in this area.</w:t>
      </w:r>
    </w:p>
    <w:p w14:paraId="18D64526" w14:textId="052C33CE" w:rsidR="00F1119E" w:rsidRPr="00420650" w:rsidRDefault="00925619" w:rsidP="005911E2">
      <w:pPr>
        <w:pStyle w:val="Heading3"/>
      </w:pPr>
      <w:r w:rsidRPr="00420650">
        <w:t xml:space="preserve">Public </w:t>
      </w:r>
      <w:r w:rsidR="00DB4CA5">
        <w:t>c</w:t>
      </w:r>
      <w:r w:rsidRPr="00420650">
        <w:t xml:space="preserve">onsultation, </w:t>
      </w:r>
      <w:r w:rsidR="00DB4CA5">
        <w:t>p</w:t>
      </w:r>
      <w:r w:rsidRPr="00420650">
        <w:t xml:space="preserve">ublicity and </w:t>
      </w:r>
      <w:r w:rsidR="00DB4CA5">
        <w:t>n</w:t>
      </w:r>
      <w:r w:rsidRPr="00420650">
        <w:t>otification</w:t>
      </w:r>
    </w:p>
    <w:p w14:paraId="5B7DD0F6" w14:textId="77777777" w:rsidR="00F1119E" w:rsidRDefault="00925619" w:rsidP="004A548F">
      <w:r>
        <w:t>In accordance with statutory guidelines and detailed in Section 72</w:t>
      </w:r>
      <w:r w:rsidRPr="00957E1E">
        <w:t xml:space="preserve"> </w:t>
      </w:r>
      <w:r>
        <w:t>Anti-</w:t>
      </w:r>
      <w:r w:rsidR="008B3CC9">
        <w:t>s</w:t>
      </w:r>
      <w:r>
        <w:t>ocial Behaviour, Crime and Policing Act 2014 the Council must undertake public consultation.  This will include: the Chief Constable of Nottinghamshire Police, appropriate community representatives, owners or occupiers of the land, the Parish Council and the County Council.  It is therefore intended that:</w:t>
      </w:r>
    </w:p>
    <w:p w14:paraId="45EB8AD2" w14:textId="77777777" w:rsidR="00F1119E" w:rsidRDefault="00925619">
      <w:pPr>
        <w:pStyle w:val="ListParagraph"/>
        <w:numPr>
          <w:ilvl w:val="0"/>
          <w:numId w:val="3"/>
        </w:numPr>
      </w:pPr>
      <w:r>
        <w:t>Formal Public Notices will be placed in the Chad/Dispatch</w:t>
      </w:r>
    </w:p>
    <w:p w14:paraId="783983DC" w14:textId="77777777" w:rsidR="00F1119E" w:rsidRDefault="00925619">
      <w:pPr>
        <w:pStyle w:val="ListParagraph"/>
        <w:numPr>
          <w:ilvl w:val="0"/>
          <w:numId w:val="3"/>
        </w:numPr>
      </w:pPr>
      <w:r>
        <w:t>Letters will be sent to Partners/statutory consultees</w:t>
      </w:r>
    </w:p>
    <w:p w14:paraId="51848C80" w14:textId="77777777" w:rsidR="00F1119E" w:rsidRDefault="00925619">
      <w:pPr>
        <w:pStyle w:val="ListParagraph"/>
        <w:numPr>
          <w:ilvl w:val="0"/>
          <w:numId w:val="3"/>
        </w:numPr>
      </w:pPr>
      <w:r>
        <w:t>Letters to be sent to interested parties identified i.e. dog walker clubs/groups</w:t>
      </w:r>
    </w:p>
    <w:p w14:paraId="650EF4D2" w14:textId="77777777" w:rsidR="00F1119E" w:rsidRDefault="00925619">
      <w:pPr>
        <w:pStyle w:val="ListParagraph"/>
        <w:numPr>
          <w:ilvl w:val="0"/>
          <w:numId w:val="3"/>
        </w:numPr>
      </w:pPr>
      <w:r>
        <w:t>Letters to be sent to all elected Members at District and County level for Ashfield.</w:t>
      </w:r>
    </w:p>
    <w:p w14:paraId="09D312D4" w14:textId="77777777" w:rsidR="00F1119E" w:rsidRDefault="00925619">
      <w:pPr>
        <w:pStyle w:val="ListParagraph"/>
        <w:numPr>
          <w:ilvl w:val="0"/>
          <w:numId w:val="3"/>
        </w:numPr>
      </w:pPr>
      <w:r>
        <w:t>Copies will be placed on the Council’s internet site</w:t>
      </w:r>
    </w:p>
    <w:p w14:paraId="01861022" w14:textId="77777777" w:rsidR="00F1119E" w:rsidRDefault="00925619">
      <w:pPr>
        <w:pStyle w:val="ListParagraph"/>
        <w:numPr>
          <w:ilvl w:val="0"/>
          <w:numId w:val="3"/>
        </w:numPr>
      </w:pPr>
      <w:r>
        <w:t>Awareness raised through the Council’s social media</w:t>
      </w:r>
    </w:p>
    <w:p w14:paraId="0F2595E9" w14:textId="77777777" w:rsidR="00F1119E" w:rsidRDefault="00925619">
      <w:pPr>
        <w:pStyle w:val="ListParagraph"/>
        <w:numPr>
          <w:ilvl w:val="0"/>
          <w:numId w:val="3"/>
        </w:numPr>
      </w:pPr>
      <w:r>
        <w:t>Copies of the Orders will be made available in reception</w:t>
      </w:r>
    </w:p>
    <w:p w14:paraId="2FF4CFE8" w14:textId="77777777" w:rsidR="00F1119E" w:rsidRDefault="00925619">
      <w:pPr>
        <w:pStyle w:val="ListParagraph"/>
        <w:numPr>
          <w:ilvl w:val="0"/>
          <w:numId w:val="3"/>
        </w:numPr>
      </w:pPr>
      <w:r>
        <w:t>Awareness raised through screens in reception</w:t>
      </w:r>
    </w:p>
    <w:p w14:paraId="5DD8C877" w14:textId="77777777" w:rsidR="00F1119E" w:rsidRDefault="00925619">
      <w:pPr>
        <w:pStyle w:val="ListParagraph"/>
        <w:numPr>
          <w:ilvl w:val="0"/>
          <w:numId w:val="3"/>
        </w:numPr>
      </w:pPr>
      <w:r>
        <w:t>Surveys are undertaken in town centres and localities across Ashfield</w:t>
      </w:r>
    </w:p>
    <w:p w14:paraId="2269C9B9" w14:textId="77777777" w:rsidR="00F1119E" w:rsidRDefault="00925619" w:rsidP="004A548F">
      <w:pPr>
        <w:rPr>
          <w:color w:val="000000" w:themeColor="text1"/>
        </w:rPr>
      </w:pPr>
      <w:r>
        <w:t xml:space="preserve">The Council will notify potentially affected persons of the proposed </w:t>
      </w:r>
      <w:r w:rsidR="008B3CC9">
        <w:t xml:space="preserve">2024 </w:t>
      </w:r>
      <w:r>
        <w:t xml:space="preserve">Order, inform them of how they can see a copy of the proposed Order, notify them of the consultation period within which they can make representations and consider any representations they make.  </w:t>
      </w:r>
      <w:r w:rsidR="00943288">
        <w:t>The Council will consult with Nottinghamshire County Council on this matter.</w:t>
      </w:r>
    </w:p>
    <w:p w14:paraId="12402AFC" w14:textId="77777777" w:rsidR="00B3008B" w:rsidRDefault="00925619" w:rsidP="004A548F">
      <w:r>
        <w:t xml:space="preserve">It must be clearly highlighted that the consultation is not seeking views on whether to incorporate any additional </w:t>
      </w:r>
      <w:r w:rsidR="005156ED">
        <w:t xml:space="preserve">Anti-Social Behaviour </w:t>
      </w:r>
      <w:r>
        <w:t>or nuisance issues in</w:t>
      </w:r>
      <w:r w:rsidR="005156ED">
        <w:t xml:space="preserve"> the</w:t>
      </w:r>
      <w:r w:rsidR="004163B6">
        <w:t xml:space="preserve"> proposed</w:t>
      </w:r>
      <w:r w:rsidR="005156ED">
        <w:t xml:space="preserve"> order </w:t>
      </w:r>
      <w:r w:rsidR="004163B6">
        <w:t>other than those detailed in this report</w:t>
      </w:r>
      <w:r>
        <w:t xml:space="preserve">. The consultation is seeking to </w:t>
      </w:r>
      <w:r w:rsidR="002E79A8">
        <w:t xml:space="preserve">determine if </w:t>
      </w:r>
      <w:r>
        <w:t xml:space="preserve">there are </w:t>
      </w:r>
      <w:r w:rsidR="002E79A8">
        <w:t>any</w:t>
      </w:r>
      <w:r>
        <w:t xml:space="preserve"> material objections or representations with the proposal</w:t>
      </w:r>
      <w:r w:rsidR="005156ED">
        <w:t xml:space="preserve"> of the new </w:t>
      </w:r>
      <w:r w:rsidR="003778C7">
        <w:t>O</w:t>
      </w:r>
      <w:r w:rsidR="005156ED">
        <w:t xml:space="preserve">rder. </w:t>
      </w:r>
      <w:r w:rsidR="004163B6">
        <w:t xml:space="preserve">The consultation responses will be brought back to Cabinet for consideration and Cabinet will be asked to make a recommendation that </w:t>
      </w:r>
      <w:r>
        <w:t xml:space="preserve">a final decision on the enactment of the </w:t>
      </w:r>
      <w:r w:rsidR="004163B6">
        <w:t xml:space="preserve">proposed </w:t>
      </w:r>
      <w:r w:rsidR="002E79A8">
        <w:t>O</w:t>
      </w:r>
      <w:r w:rsidR="005156ED">
        <w:t>rder and</w:t>
      </w:r>
      <w:r>
        <w:t xml:space="preserve"> </w:t>
      </w:r>
      <w:r w:rsidR="004163B6">
        <w:t xml:space="preserve">is made </w:t>
      </w:r>
      <w:r>
        <w:t>by Full Council</w:t>
      </w:r>
      <w:r w:rsidR="004163B6">
        <w:t xml:space="preserve"> before the expiry of the current 2021 PSPO</w:t>
      </w:r>
      <w:r w:rsidR="005156ED">
        <w:t>.</w:t>
      </w:r>
    </w:p>
    <w:p w14:paraId="42BDC802" w14:textId="77777777" w:rsidR="00B3008B" w:rsidRDefault="00B3008B" w:rsidP="00B3008B"/>
    <w:p w14:paraId="63747436" w14:textId="77777777" w:rsidR="00B25A5D" w:rsidRDefault="00B25A5D" w:rsidP="00F1119E">
      <w:pPr>
        <w:rPr>
          <w:color w:val="000000" w:themeColor="text1"/>
        </w:rPr>
        <w:sectPr w:rsidR="00B25A5D" w:rsidSect="00DB4CA5">
          <w:pgSz w:w="11906" w:h="16838" w:code="9"/>
          <w:pgMar w:top="1134" w:right="851" w:bottom="1134" w:left="851" w:header="454" w:footer="454" w:gutter="0"/>
          <w:cols w:space="708"/>
          <w:docGrid w:linePitch="360"/>
        </w:sectPr>
      </w:pPr>
    </w:p>
    <w:p w14:paraId="1EE0FAB8" w14:textId="7D809E92" w:rsidR="00F1119E" w:rsidRPr="00BF1FE8" w:rsidRDefault="00925619" w:rsidP="005911E2">
      <w:pPr>
        <w:pStyle w:val="Heading2"/>
      </w:pPr>
      <w:r>
        <w:lastRenderedPageBreak/>
        <w:t xml:space="preserve">Proposed </w:t>
      </w:r>
      <w:r w:rsidR="00DB4CA5">
        <w:t>t</w:t>
      </w:r>
      <w:r w:rsidRPr="00BF1FE8">
        <w:t xml:space="preserve">imeline </w:t>
      </w:r>
    </w:p>
    <w:p w14:paraId="54120865" w14:textId="77777777" w:rsidR="00FD1AE7" w:rsidRPr="007601C6" w:rsidRDefault="00925619">
      <w:pPr>
        <w:pStyle w:val="ListParagraph"/>
        <w:numPr>
          <w:ilvl w:val="0"/>
          <w:numId w:val="3"/>
        </w:numPr>
        <w:rPr>
          <w:color w:val="000000" w:themeColor="text1"/>
        </w:rPr>
      </w:pPr>
      <w:r w:rsidRPr="007601C6">
        <w:rPr>
          <w:b/>
          <w:bCs/>
          <w:color w:val="000000" w:themeColor="text1"/>
        </w:rPr>
        <w:t>8</w:t>
      </w:r>
      <w:r w:rsidRPr="007601C6">
        <w:rPr>
          <w:b/>
          <w:bCs/>
          <w:color w:val="000000" w:themeColor="text1"/>
          <w:vertAlign w:val="superscript"/>
        </w:rPr>
        <w:t>th</w:t>
      </w:r>
      <w:r w:rsidRPr="007601C6">
        <w:rPr>
          <w:b/>
          <w:bCs/>
          <w:color w:val="000000" w:themeColor="text1"/>
        </w:rPr>
        <w:t xml:space="preserve"> April 2024</w:t>
      </w:r>
      <w:r w:rsidRPr="007601C6">
        <w:rPr>
          <w:color w:val="000000" w:themeColor="text1"/>
        </w:rPr>
        <w:t xml:space="preserve">                                Cabinet Decision to Approve the PSPO 202</w:t>
      </w:r>
      <w:r w:rsidR="005156ED">
        <w:rPr>
          <w:color w:val="000000" w:themeColor="text1"/>
        </w:rPr>
        <w:t>4</w:t>
      </w:r>
      <w:r w:rsidRPr="007601C6">
        <w:rPr>
          <w:color w:val="000000" w:themeColor="text1"/>
        </w:rPr>
        <w:t xml:space="preserve"> Consultation. </w:t>
      </w:r>
    </w:p>
    <w:p w14:paraId="52D8ECD9" w14:textId="77777777" w:rsidR="00F1119E" w:rsidRPr="007601C6" w:rsidRDefault="00925619">
      <w:pPr>
        <w:pStyle w:val="ListParagraph"/>
        <w:numPr>
          <w:ilvl w:val="0"/>
          <w:numId w:val="3"/>
        </w:numPr>
      </w:pPr>
      <w:r w:rsidRPr="007601C6">
        <w:rPr>
          <w:b/>
          <w:bCs/>
        </w:rPr>
        <w:t>15 April 2024</w:t>
      </w:r>
      <w:r w:rsidR="00FD1AE7" w:rsidRPr="007601C6">
        <w:t xml:space="preserve">           </w:t>
      </w:r>
      <w:r w:rsidR="007601C6" w:rsidRPr="007601C6">
        <w:t xml:space="preserve">                     </w:t>
      </w:r>
      <w:r w:rsidRPr="007601C6">
        <w:t xml:space="preserve">The period of consultation will be 42 days (6 weeks). </w:t>
      </w:r>
    </w:p>
    <w:p w14:paraId="670318B9" w14:textId="77777777" w:rsidR="004163B6" w:rsidRPr="007601C6" w:rsidRDefault="00925619">
      <w:pPr>
        <w:pStyle w:val="ListParagraph"/>
        <w:numPr>
          <w:ilvl w:val="0"/>
          <w:numId w:val="3"/>
        </w:numPr>
      </w:pPr>
      <w:r>
        <w:rPr>
          <w:b/>
          <w:bCs/>
        </w:rPr>
        <w:t xml:space="preserve">TBC </w:t>
      </w:r>
      <w:r w:rsidR="00B0559F" w:rsidRPr="007601C6">
        <w:rPr>
          <w:b/>
          <w:bCs/>
        </w:rPr>
        <w:t>September 2024</w:t>
      </w:r>
      <w:r w:rsidR="00B0559F" w:rsidRPr="007601C6">
        <w:rPr>
          <w:b/>
          <w:bCs/>
        </w:rPr>
        <w:tab/>
      </w:r>
      <w:r w:rsidR="00B0559F" w:rsidRPr="007601C6">
        <w:tab/>
        <w:t>Consultation responses to be brought back to</w:t>
      </w:r>
      <w:r>
        <w:t>.</w:t>
      </w:r>
    </w:p>
    <w:p w14:paraId="7CD84D84" w14:textId="77777777" w:rsidR="00F1119E" w:rsidRDefault="00925619">
      <w:pPr>
        <w:pStyle w:val="ListParagraph"/>
        <w:numPr>
          <w:ilvl w:val="0"/>
          <w:numId w:val="3"/>
        </w:numPr>
      </w:pPr>
      <w:bookmarkStart w:id="5" w:name="_Hlk159408668"/>
      <w:r w:rsidRPr="004A548F">
        <w:rPr>
          <w:b/>
          <w:bCs/>
        </w:rPr>
        <w:t xml:space="preserve">TBC </w:t>
      </w:r>
      <w:r w:rsidR="00B0559F" w:rsidRPr="007601C6">
        <w:rPr>
          <w:b/>
          <w:bCs/>
        </w:rPr>
        <w:t>September 2024</w:t>
      </w:r>
      <w:bookmarkEnd w:id="5"/>
      <w:r w:rsidR="00B0559F" w:rsidRPr="007601C6">
        <w:rPr>
          <w:b/>
          <w:bCs/>
        </w:rPr>
        <w:tab/>
      </w:r>
      <w:r w:rsidR="00B0559F" w:rsidRPr="007601C6">
        <w:tab/>
      </w:r>
      <w:r w:rsidR="005156ED">
        <w:t>D</w:t>
      </w:r>
      <w:r w:rsidR="00B0559F" w:rsidRPr="007601C6">
        <w:t xml:space="preserve">ecision for enacting the </w:t>
      </w:r>
      <w:r w:rsidR="002E79A8">
        <w:t>O</w:t>
      </w:r>
      <w:r w:rsidR="007601C6" w:rsidRPr="007601C6">
        <w:t xml:space="preserve">rder at Full </w:t>
      </w:r>
      <w:r w:rsidR="00B0559F" w:rsidRPr="007601C6">
        <w:t>Council.</w:t>
      </w:r>
    </w:p>
    <w:p w14:paraId="1122B8C4" w14:textId="77777777" w:rsidR="004A548F" w:rsidRPr="004A548F" w:rsidRDefault="00925619">
      <w:pPr>
        <w:pStyle w:val="ListParagraph"/>
        <w:numPr>
          <w:ilvl w:val="0"/>
          <w:numId w:val="3"/>
        </w:numPr>
      </w:pPr>
      <w:r>
        <w:rPr>
          <w:b/>
          <w:bCs/>
        </w:rPr>
        <w:t>1</w:t>
      </w:r>
      <w:r w:rsidRPr="004A548F">
        <w:rPr>
          <w:b/>
          <w:bCs/>
          <w:vertAlign w:val="superscript"/>
        </w:rPr>
        <w:t>st</w:t>
      </w:r>
      <w:r>
        <w:rPr>
          <w:b/>
          <w:bCs/>
        </w:rPr>
        <w:t xml:space="preserve"> October 2024                          </w:t>
      </w:r>
      <w:r w:rsidRPr="004A548F">
        <w:t>Order becomes live</w:t>
      </w:r>
      <w:r>
        <w:t xml:space="preserve"> and enforceable.</w:t>
      </w:r>
    </w:p>
    <w:p w14:paraId="639D94B6" w14:textId="77777777" w:rsidR="00F1119E" w:rsidRDefault="00925619" w:rsidP="00F1119E">
      <w:r>
        <w:t xml:space="preserve">The Council will publish the text of the proposed extended and varied </w:t>
      </w:r>
      <w:r w:rsidR="002E79A8">
        <w:t>O</w:t>
      </w:r>
      <w:r>
        <w:t xml:space="preserve">rder and will notify authorities including Parish Councils and the County Council as appropriate. </w:t>
      </w:r>
    </w:p>
    <w:p w14:paraId="28E02532" w14:textId="77777777" w:rsidR="00BA7B9E" w:rsidRPr="00BA7B9E" w:rsidRDefault="00925619" w:rsidP="00B25A5D">
      <w:pPr>
        <w:pStyle w:val="Heading2"/>
      </w:pPr>
      <w:r w:rsidRPr="00BA7B9E">
        <w:t>Implications</w:t>
      </w:r>
    </w:p>
    <w:p w14:paraId="1FDB5612" w14:textId="42A58997" w:rsidR="00944081" w:rsidRPr="00BA7B9E" w:rsidRDefault="00925619" w:rsidP="005911E2">
      <w:pPr>
        <w:pStyle w:val="Heading3"/>
      </w:pPr>
      <w:r w:rsidRPr="00BA7B9E">
        <w:t xml:space="preserve">Corporate </w:t>
      </w:r>
      <w:r w:rsidR="00DB4CA5">
        <w:t>p</w:t>
      </w:r>
      <w:r w:rsidRPr="00BA7B9E">
        <w:t>lan:</w:t>
      </w:r>
    </w:p>
    <w:p w14:paraId="5691C733" w14:textId="77777777" w:rsidR="00833287" w:rsidRDefault="00925619" w:rsidP="004A548F">
      <w:r>
        <w:t xml:space="preserve">The </w:t>
      </w:r>
      <w:r w:rsidR="007601C6">
        <w:t xml:space="preserve">proposed </w:t>
      </w:r>
      <w:r w:rsidR="002E79A8">
        <w:t>O</w:t>
      </w:r>
      <w:r w:rsidR="007601C6">
        <w:t xml:space="preserve">rder </w:t>
      </w:r>
      <w:r>
        <w:t xml:space="preserve">will help support place enhancement and directly contribute to the delivery of the Safer &amp; Stronger priority, Cleaner &amp; Greener and Homes &amp; Housing priorities within the Council’s Corporate Plan in tandem to the renewed Community Safety Strategic Partnership </w:t>
      </w:r>
      <w:r w:rsidR="005156ED">
        <w:t xml:space="preserve">plan of </w:t>
      </w:r>
      <w:r>
        <w:t>2024-2027.</w:t>
      </w:r>
    </w:p>
    <w:p w14:paraId="0E4A8532" w14:textId="77777777" w:rsidR="00833287" w:rsidRDefault="00925619" w:rsidP="004A548F">
      <w:r>
        <w:t>Tools and powers provided as part of the PSPO provisions will assist in enabling an effective response to tackling anti-social behaviour</w:t>
      </w:r>
      <w:r w:rsidR="0029269C">
        <w:t xml:space="preserve">, environmental-crime and assist the Community Safety Partnership address serious violence and violence against women and girls </w:t>
      </w:r>
      <w:r>
        <w:t xml:space="preserve">across the </w:t>
      </w:r>
      <w:proofErr w:type="gramStart"/>
      <w:r w:rsidR="005156ED">
        <w:t>D</w:t>
      </w:r>
      <w:r>
        <w:t>istrict</w:t>
      </w:r>
      <w:proofErr w:type="gramEnd"/>
      <w:r>
        <w:t>.</w:t>
      </w:r>
    </w:p>
    <w:p w14:paraId="66721666" w14:textId="77777777" w:rsidR="00BA7B9E" w:rsidRPr="00BA7B9E" w:rsidRDefault="00925619" w:rsidP="005911E2">
      <w:pPr>
        <w:pStyle w:val="Heading3"/>
      </w:pPr>
      <w:r w:rsidRPr="00BA7B9E">
        <w:t>Legal:</w:t>
      </w:r>
    </w:p>
    <w:p w14:paraId="3683D482" w14:textId="77777777" w:rsidR="00F07454" w:rsidRDefault="00925619" w:rsidP="004A548F">
      <w:r>
        <w:t xml:space="preserve">Section 59 of the Anti-Social Behaviour, Crime and Policing Act 2014 (“the Act”) provides the Authority with the power to make a PSPO if satisfied on reasonable grounds that two conditions are met.  Section 60 of the Act provides that a PSPO shall not have effect for longer than 3 years unless extended under this section. Section 61 provides a power to vary a PSPO by increasing or reducing the restricted area; or by altering or removing a prohibition or requirement included in the order, or adding a new one.  </w:t>
      </w:r>
    </w:p>
    <w:p w14:paraId="0FD08E95" w14:textId="77777777" w:rsidR="00F07454" w:rsidRDefault="00925619" w:rsidP="004A548F">
      <w:r>
        <w:t>Section 72 details the requirements for convention rights, consultation, publicity, and notification.  The Authority must have taken into account articles 10 and 11 of the Convention, carried out the necessary consultation and publicity and notification before making, extending or varying or discharging a PSPO. [RLD 29/02/2024]</w:t>
      </w:r>
    </w:p>
    <w:p w14:paraId="020C7780" w14:textId="77777777" w:rsidR="00747CD8" w:rsidRPr="00747CD8" w:rsidRDefault="00925619" w:rsidP="005911E2">
      <w:pPr>
        <w:pStyle w:val="Heading3"/>
      </w:pPr>
      <w:r w:rsidRPr="00747CD8">
        <w:t xml:space="preserve">Finance: </w:t>
      </w:r>
    </w:p>
    <w:p w14:paraId="25CC5CB6" w14:textId="77777777" w:rsidR="00B25A5D" w:rsidRDefault="00925619" w:rsidP="00747CD8">
      <w:pPr>
        <w:sectPr w:rsidR="00B25A5D" w:rsidSect="00DB4CA5">
          <w:pgSz w:w="11906" w:h="16838" w:code="9"/>
          <w:pgMar w:top="1134" w:right="851" w:bottom="1134" w:left="851" w:header="454" w:footer="454" w:gutter="0"/>
          <w:cols w:space="708"/>
          <w:docGrid w:linePitch="360"/>
        </w:sectPr>
      </w:pPr>
      <w:r>
        <w:t>Costs of the PSPO renewal, will be met from the £1,500 annual maintenance and signage cost budget included in the annual budget which includes signage requirements. [PH 28/02/2024].</w:t>
      </w:r>
    </w:p>
    <w:tbl>
      <w:tblPr>
        <w:tblStyle w:val="TableGrid"/>
        <w:tblW w:w="0" w:type="auto"/>
        <w:tblLook w:val="0420" w:firstRow="1" w:lastRow="0" w:firstColumn="0" w:lastColumn="0" w:noHBand="0" w:noVBand="1"/>
      </w:tblPr>
      <w:tblGrid>
        <w:gridCol w:w="5096"/>
        <w:gridCol w:w="5098"/>
      </w:tblGrid>
      <w:tr w:rsidR="00B25A5D" w14:paraId="776663EF" w14:textId="77777777" w:rsidTr="00DB4CA5">
        <w:tc>
          <w:tcPr>
            <w:tcW w:w="5096" w:type="dxa"/>
          </w:tcPr>
          <w:p w14:paraId="4D274DE2" w14:textId="3DDD4608" w:rsidR="00B25A5D" w:rsidRDefault="00B25A5D">
            <w:pPr>
              <w:rPr>
                <w:b/>
              </w:rPr>
            </w:pPr>
            <w:r w:rsidRPr="000A5A0A">
              <w:rPr>
                <w:b/>
              </w:rPr>
              <w:lastRenderedPageBreak/>
              <w:t>Budget Area</w:t>
            </w:r>
          </w:p>
        </w:tc>
        <w:tc>
          <w:tcPr>
            <w:tcW w:w="5098" w:type="dxa"/>
          </w:tcPr>
          <w:p w14:paraId="77E3C0BF" w14:textId="6EB52EAC" w:rsidR="00B25A5D" w:rsidRDefault="00B25A5D">
            <w:pPr>
              <w:rPr>
                <w:b/>
              </w:rPr>
            </w:pPr>
            <w:r w:rsidRPr="000A5A0A">
              <w:rPr>
                <w:b/>
              </w:rPr>
              <w:t>Implication</w:t>
            </w:r>
          </w:p>
        </w:tc>
      </w:tr>
      <w:tr w:rsidR="00B25A5D" w14:paraId="30E38713" w14:textId="77777777" w:rsidTr="00DB4CA5">
        <w:tc>
          <w:tcPr>
            <w:tcW w:w="5096" w:type="dxa"/>
          </w:tcPr>
          <w:p w14:paraId="2E14AE1A" w14:textId="711319CB" w:rsidR="00B25A5D" w:rsidRDefault="00B25A5D">
            <w:pPr>
              <w:rPr>
                <w:b/>
              </w:rPr>
            </w:pPr>
            <w:r>
              <w:t>General Fund – Revenue Budget</w:t>
            </w:r>
          </w:p>
        </w:tc>
        <w:tc>
          <w:tcPr>
            <w:tcW w:w="5098" w:type="dxa"/>
          </w:tcPr>
          <w:p w14:paraId="6A67F309" w14:textId="06506840" w:rsidR="00B25A5D" w:rsidRDefault="00B25A5D">
            <w:pPr>
              <w:rPr>
                <w:b/>
              </w:rPr>
            </w:pPr>
            <w:r>
              <w:t>See above</w:t>
            </w:r>
          </w:p>
        </w:tc>
      </w:tr>
      <w:tr w:rsidR="00B25A5D" w14:paraId="31AAB13A" w14:textId="77777777" w:rsidTr="00DB4CA5">
        <w:tc>
          <w:tcPr>
            <w:tcW w:w="5096" w:type="dxa"/>
          </w:tcPr>
          <w:p w14:paraId="23C19F79" w14:textId="69FC4E7C" w:rsidR="00B25A5D" w:rsidRDefault="00B25A5D">
            <w:pPr>
              <w:rPr>
                <w:b/>
              </w:rPr>
            </w:pPr>
            <w:r>
              <w:t>General Fund – Capital Programme</w:t>
            </w:r>
          </w:p>
        </w:tc>
        <w:tc>
          <w:tcPr>
            <w:tcW w:w="5098" w:type="dxa"/>
          </w:tcPr>
          <w:p w14:paraId="560FA7F1" w14:textId="08E64FBE" w:rsidR="00B25A5D" w:rsidRDefault="00B25A5D">
            <w:pPr>
              <w:rPr>
                <w:b/>
              </w:rPr>
            </w:pPr>
            <w:r>
              <w:t>N/A</w:t>
            </w:r>
          </w:p>
        </w:tc>
      </w:tr>
      <w:tr w:rsidR="00B25A5D" w14:paraId="32D28FC7" w14:textId="77777777" w:rsidTr="00DB4CA5">
        <w:tc>
          <w:tcPr>
            <w:tcW w:w="5096" w:type="dxa"/>
          </w:tcPr>
          <w:p w14:paraId="7C5DCE64" w14:textId="071E7023" w:rsidR="00B25A5D" w:rsidRDefault="00B25A5D">
            <w:pPr>
              <w:rPr>
                <w:b/>
              </w:rPr>
            </w:pPr>
            <w:r>
              <w:t>Housing Revenue Account – Revenue Budget</w:t>
            </w:r>
          </w:p>
        </w:tc>
        <w:tc>
          <w:tcPr>
            <w:tcW w:w="5098" w:type="dxa"/>
          </w:tcPr>
          <w:p w14:paraId="35C3C7BE" w14:textId="068DE81F" w:rsidR="00B25A5D" w:rsidRDefault="00B25A5D">
            <w:pPr>
              <w:rPr>
                <w:b/>
              </w:rPr>
            </w:pPr>
            <w:r>
              <w:t>N/A</w:t>
            </w:r>
          </w:p>
        </w:tc>
      </w:tr>
      <w:tr w:rsidR="00B25A5D" w14:paraId="0DC5ECE6" w14:textId="77777777" w:rsidTr="00DB4CA5">
        <w:tc>
          <w:tcPr>
            <w:tcW w:w="5096" w:type="dxa"/>
          </w:tcPr>
          <w:p w14:paraId="7F56A06A" w14:textId="1B9E86D5" w:rsidR="00B25A5D" w:rsidRDefault="00B25A5D">
            <w:pPr>
              <w:rPr>
                <w:b/>
              </w:rPr>
            </w:pPr>
            <w:r>
              <w:t>Housing Revenue Account – Capital Programme</w:t>
            </w:r>
          </w:p>
        </w:tc>
        <w:tc>
          <w:tcPr>
            <w:tcW w:w="5098" w:type="dxa"/>
          </w:tcPr>
          <w:p w14:paraId="395505A2" w14:textId="7D1DED3F" w:rsidR="00B25A5D" w:rsidRDefault="00B25A5D">
            <w:r>
              <w:t>N/A</w:t>
            </w:r>
          </w:p>
        </w:tc>
      </w:tr>
    </w:tbl>
    <w:p w14:paraId="61655540" w14:textId="5998417D" w:rsidR="00B25A5D" w:rsidRPr="005911E2" w:rsidRDefault="00925619" w:rsidP="005911E2">
      <w:pPr>
        <w:pStyle w:val="Heading3"/>
      </w:pPr>
      <w:r w:rsidRPr="00B25A5D">
        <w:t>Risk:</w:t>
      </w:r>
    </w:p>
    <w:tbl>
      <w:tblPr>
        <w:tblStyle w:val="TableGrid"/>
        <w:tblW w:w="0" w:type="auto"/>
        <w:tblLook w:val="0420" w:firstRow="1" w:lastRow="0" w:firstColumn="0" w:lastColumn="0" w:noHBand="0" w:noVBand="1"/>
      </w:tblPr>
      <w:tblGrid>
        <w:gridCol w:w="5097"/>
        <w:gridCol w:w="5097"/>
      </w:tblGrid>
      <w:tr w:rsidR="00B25A5D" w14:paraId="3889572A" w14:textId="77777777" w:rsidTr="005911E2">
        <w:tc>
          <w:tcPr>
            <w:tcW w:w="5304" w:type="dxa"/>
          </w:tcPr>
          <w:p w14:paraId="15BA6032" w14:textId="0AAD9C26" w:rsidR="00B25A5D" w:rsidRDefault="00B25A5D">
            <w:pPr>
              <w:rPr>
                <w:b/>
              </w:rPr>
            </w:pPr>
            <w:r w:rsidRPr="000A5A0A">
              <w:rPr>
                <w:b/>
                <w:color w:val="000000"/>
              </w:rPr>
              <w:t>Risk</w:t>
            </w:r>
          </w:p>
        </w:tc>
        <w:tc>
          <w:tcPr>
            <w:tcW w:w="5305" w:type="dxa"/>
          </w:tcPr>
          <w:p w14:paraId="2A090ECB" w14:textId="5B7FD0F0" w:rsidR="00B25A5D" w:rsidRDefault="00B25A5D">
            <w:pPr>
              <w:rPr>
                <w:b/>
              </w:rPr>
            </w:pPr>
            <w:r w:rsidRPr="000A5A0A">
              <w:rPr>
                <w:b/>
                <w:color w:val="000000"/>
              </w:rPr>
              <w:t>Mitigation</w:t>
            </w:r>
          </w:p>
        </w:tc>
      </w:tr>
      <w:tr w:rsidR="00B25A5D" w14:paraId="0274B992" w14:textId="77777777" w:rsidTr="005911E2">
        <w:tc>
          <w:tcPr>
            <w:tcW w:w="5304" w:type="dxa"/>
          </w:tcPr>
          <w:p w14:paraId="07E1C2CC" w14:textId="6FB54BC7" w:rsidR="00B25A5D" w:rsidRDefault="00B25A5D">
            <w:pPr>
              <w:rPr>
                <w:b/>
              </w:rPr>
            </w:pPr>
            <w:r>
              <w:t>Risk of not obtaining requirements within the PSPO</w:t>
            </w:r>
          </w:p>
        </w:tc>
        <w:tc>
          <w:tcPr>
            <w:tcW w:w="5305" w:type="dxa"/>
          </w:tcPr>
          <w:p w14:paraId="7AFACC18" w14:textId="3D4C419C" w:rsidR="00B25A5D" w:rsidRDefault="00B25A5D">
            <w:pPr>
              <w:rPr>
                <w:b/>
              </w:rPr>
            </w:pPr>
            <w:r>
              <w:t>To explore options of obtaining additional dissolved powers as part of the Community Safety Accreditation Scheme (CSAS) and in line with Police Reform Act 2002.</w:t>
            </w:r>
          </w:p>
        </w:tc>
      </w:tr>
    </w:tbl>
    <w:p w14:paraId="280D5245" w14:textId="61EFD2EB" w:rsidR="00BA7B9E" w:rsidRDefault="00925619" w:rsidP="005911E2">
      <w:pPr>
        <w:pStyle w:val="Heading3"/>
      </w:pPr>
      <w:r w:rsidRPr="00BA7B9E">
        <w:t xml:space="preserve">Human </w:t>
      </w:r>
      <w:r w:rsidR="00DB4CA5">
        <w:t>r</w:t>
      </w:r>
      <w:r w:rsidRPr="00BA7B9E">
        <w:t>esources</w:t>
      </w:r>
      <w:r>
        <w:t>:</w:t>
      </w:r>
    </w:p>
    <w:p w14:paraId="575A035E" w14:textId="77777777" w:rsidR="00C91D60" w:rsidRPr="00B85A12" w:rsidRDefault="00925619">
      <w:pPr>
        <w:rPr>
          <w:bCs/>
        </w:rPr>
      </w:pPr>
      <w:r>
        <w:rPr>
          <w:bCs/>
        </w:rPr>
        <w:t xml:space="preserve">There are no </w:t>
      </w:r>
      <w:r w:rsidRPr="003F15D7">
        <w:rPr>
          <w:bCs/>
        </w:rPr>
        <w:t>direct implications</w:t>
      </w:r>
      <w:r>
        <w:rPr>
          <w:bCs/>
        </w:rPr>
        <w:t xml:space="preserve"> to human resources. Powers relating to vehicle nuisance will be utilised by Nottinghamshire Police.</w:t>
      </w:r>
    </w:p>
    <w:p w14:paraId="33402436" w14:textId="234BE2A5" w:rsidR="00C91D60" w:rsidRPr="00BA7B9E" w:rsidRDefault="00925619" w:rsidP="005911E2">
      <w:pPr>
        <w:pStyle w:val="Heading3"/>
      </w:pPr>
      <w:r>
        <w:t>Environmental</w:t>
      </w:r>
      <w:r w:rsidR="00DB4CA5">
        <w:t xml:space="preserve"> </w:t>
      </w:r>
      <w:r>
        <w:t>/</w:t>
      </w:r>
      <w:r w:rsidR="00DB4CA5">
        <w:t xml:space="preserve"> s</w:t>
      </w:r>
      <w:r>
        <w:t>ustainability</w:t>
      </w:r>
      <w:r w:rsidR="006105F0">
        <w:t>:</w:t>
      </w:r>
    </w:p>
    <w:p w14:paraId="7F4B23E0" w14:textId="77777777" w:rsidR="00C91D60" w:rsidRPr="009A15F5" w:rsidRDefault="00925619" w:rsidP="009F4D80">
      <w:pPr>
        <w:rPr>
          <w:bCs/>
        </w:rPr>
      </w:pPr>
      <w:r>
        <w:rPr>
          <w:bCs/>
        </w:rPr>
        <w:t xml:space="preserve">The actions proposed will provide place enhancement and contribute to having a positive </w:t>
      </w:r>
      <w:r w:rsidR="00BD5949">
        <w:rPr>
          <w:bCs/>
        </w:rPr>
        <w:t>long-term</w:t>
      </w:r>
      <w:r>
        <w:rPr>
          <w:bCs/>
        </w:rPr>
        <w:t xml:space="preserve"> impact on the local community.</w:t>
      </w:r>
    </w:p>
    <w:p w14:paraId="00AC35A0" w14:textId="77777777" w:rsidR="00BA7B9E" w:rsidRDefault="00925619" w:rsidP="005911E2">
      <w:pPr>
        <w:pStyle w:val="Heading3"/>
      </w:pPr>
      <w:r w:rsidRPr="00BA7B9E">
        <w:t>Equalities</w:t>
      </w:r>
      <w:r>
        <w:t>:</w:t>
      </w:r>
    </w:p>
    <w:p w14:paraId="1D89E67C" w14:textId="77777777" w:rsidR="00E3512E" w:rsidRDefault="00925619" w:rsidP="004A548F">
      <w:r>
        <w:t xml:space="preserve">This plan supports duties under the Public Sector Equality Duty, Section 149 of the Equality Act 2010 requires authorities to have due regard to eliminate unlawful discrimination, harassment, victimisation and other conduct prohibited by the Act, advance equality of opportunity between people from different groups, and foster good relations between people from different groups. </w:t>
      </w:r>
    </w:p>
    <w:p w14:paraId="360AAFCA" w14:textId="77777777" w:rsidR="00E3512E" w:rsidRDefault="00925619" w:rsidP="004A548F">
      <w:pPr>
        <w:autoSpaceDE w:val="0"/>
        <w:autoSpaceDN w:val="0"/>
        <w:adjustRightInd w:val="0"/>
        <w:rPr>
          <w:lang w:eastAsia="en-GB"/>
        </w:rPr>
      </w:pPr>
      <w:r>
        <w:rPr>
          <w:lang w:eastAsia="en-GB"/>
        </w:rPr>
        <w:t>Consideration has also been given to Articles 10 and 11 of the European Convention on Human Rights which provide for the rights of freedom of expression and assembly. An Equalities Impact Assessment Form has been produced as part of this report.</w:t>
      </w:r>
      <w:r w:rsidR="00747CD8">
        <w:rPr>
          <w:lang w:eastAsia="en-GB"/>
        </w:rPr>
        <w:t xml:space="preserve"> The report has taken into consideration the impacts this will have to the local community and recognition of benefit for </w:t>
      </w:r>
      <w:r w:rsidR="00747CD8" w:rsidRPr="00747CD8">
        <w:rPr>
          <w:lang w:eastAsia="en-GB"/>
        </w:rPr>
        <w:t>social regeneration</w:t>
      </w:r>
      <w:r w:rsidR="00747CD8">
        <w:rPr>
          <w:lang w:eastAsia="en-GB"/>
        </w:rPr>
        <w:t xml:space="preserve">. </w:t>
      </w:r>
    </w:p>
    <w:p w14:paraId="4268EC75" w14:textId="426395E3" w:rsidR="00BA7B9E" w:rsidRDefault="00925619" w:rsidP="005911E2">
      <w:pPr>
        <w:pStyle w:val="Heading3"/>
      </w:pPr>
      <w:r w:rsidRPr="00BA7B9E">
        <w:t xml:space="preserve">Other </w:t>
      </w:r>
      <w:r w:rsidR="00DB4CA5">
        <w:t>i</w:t>
      </w:r>
      <w:r w:rsidRPr="00BA7B9E">
        <w:t>mplications:</w:t>
      </w:r>
    </w:p>
    <w:p w14:paraId="1E9933E4" w14:textId="77777777" w:rsidR="00840915" w:rsidRDefault="00925619" w:rsidP="00840915">
      <w:pPr>
        <w:autoSpaceDE w:val="0"/>
        <w:autoSpaceDN w:val="0"/>
        <w:adjustRightInd w:val="0"/>
        <w:jc w:val="both"/>
        <w:rPr>
          <w:lang w:eastAsia="en-GB"/>
        </w:rPr>
      </w:pPr>
      <w:r>
        <w:rPr>
          <w:lang w:eastAsia="en-GB"/>
        </w:rPr>
        <w:t>The PSPO is seeking to address issues which impact on quality of life and public safety.</w:t>
      </w:r>
    </w:p>
    <w:p w14:paraId="7668872B" w14:textId="77777777" w:rsidR="00840915" w:rsidRDefault="00925619" w:rsidP="00840915">
      <w:pPr>
        <w:jc w:val="both"/>
        <w:rPr>
          <w:lang w:eastAsia="en-GB"/>
        </w:rPr>
      </w:pPr>
      <w:r>
        <w:rPr>
          <w:lang w:eastAsia="en-GB"/>
        </w:rPr>
        <w:lastRenderedPageBreak/>
        <w:t>These issues can affect both the physical and mental well-being of residents and therefore these proposals would have a significant impact on community well-being.</w:t>
      </w:r>
    </w:p>
    <w:p w14:paraId="301BA3D9" w14:textId="77777777" w:rsidR="00840915" w:rsidRDefault="00925619" w:rsidP="004A548F">
      <w:r>
        <w:rPr>
          <w:lang w:eastAsia="en-GB"/>
        </w:rPr>
        <w:t>Communications:  a press statement will be published, and social media will be regularly updated on progress.</w:t>
      </w:r>
    </w:p>
    <w:p w14:paraId="7D9A7BF1" w14:textId="77777777" w:rsidR="00BA7B9E" w:rsidRDefault="00925619" w:rsidP="005911E2">
      <w:pPr>
        <w:pStyle w:val="Heading3"/>
      </w:pPr>
      <w:r w:rsidRPr="00BA7B9E">
        <w:t xml:space="preserve">Reason(s) for Urgency </w:t>
      </w:r>
    </w:p>
    <w:p w14:paraId="2A91C855" w14:textId="77777777" w:rsidR="00CF111F" w:rsidRPr="00CF111F" w:rsidRDefault="00925619">
      <w:pPr>
        <w:rPr>
          <w:i/>
        </w:rPr>
      </w:pPr>
      <w:r>
        <w:rPr>
          <w:i/>
        </w:rPr>
        <w:t>Not applicable</w:t>
      </w:r>
    </w:p>
    <w:p w14:paraId="1F798769" w14:textId="77777777" w:rsidR="00BA7B9E" w:rsidRDefault="00925619" w:rsidP="005911E2">
      <w:pPr>
        <w:pStyle w:val="Heading3"/>
      </w:pPr>
      <w:r>
        <w:t>Reason(s) for Exemption</w:t>
      </w:r>
    </w:p>
    <w:p w14:paraId="144C7C7F" w14:textId="77777777" w:rsidR="00CF111F" w:rsidRPr="00CF111F" w:rsidRDefault="00925619">
      <w:pPr>
        <w:rPr>
          <w:i/>
        </w:rPr>
      </w:pPr>
      <w:r>
        <w:rPr>
          <w:i/>
        </w:rPr>
        <w:t xml:space="preserve">Not </w:t>
      </w:r>
      <w:r w:rsidRPr="00CF111F">
        <w:rPr>
          <w:i/>
        </w:rPr>
        <w:t>applicabl</w:t>
      </w:r>
      <w:r>
        <w:rPr>
          <w:i/>
        </w:rPr>
        <w:t>e</w:t>
      </w:r>
    </w:p>
    <w:p w14:paraId="52F8ADC6" w14:textId="77777777" w:rsidR="00BA7B9E" w:rsidRPr="00BA7B9E" w:rsidRDefault="00925619" w:rsidP="005911E2">
      <w:pPr>
        <w:pStyle w:val="Heading3"/>
      </w:pPr>
      <w:r w:rsidRPr="00BA7B9E">
        <w:t>Background Papers</w:t>
      </w:r>
    </w:p>
    <w:p w14:paraId="292F6BBC" w14:textId="77777777" w:rsidR="00BA7B9E" w:rsidRDefault="00925619">
      <w:pPr>
        <w:rPr>
          <w:i/>
        </w:rPr>
      </w:pPr>
      <w:r>
        <w:rPr>
          <w:i/>
        </w:rPr>
        <w:t xml:space="preserve">Draft Public Spaces Protection </w:t>
      </w:r>
      <w:r w:rsidR="008B3CC9">
        <w:rPr>
          <w:i/>
        </w:rPr>
        <w:t xml:space="preserve">Order </w:t>
      </w:r>
      <w:r>
        <w:rPr>
          <w:i/>
        </w:rPr>
        <w:t>2024</w:t>
      </w:r>
    </w:p>
    <w:p w14:paraId="1B44C6DE" w14:textId="77777777" w:rsidR="00A839F8" w:rsidRDefault="00925619">
      <w:r>
        <w:rPr>
          <w:i/>
        </w:rPr>
        <w:t>Equality Impact Assessment</w:t>
      </w:r>
    </w:p>
    <w:p w14:paraId="39153087" w14:textId="77777777" w:rsidR="00A839F8" w:rsidRPr="00A839F8" w:rsidRDefault="00925619" w:rsidP="005911E2">
      <w:pPr>
        <w:pStyle w:val="Heading3"/>
      </w:pPr>
      <w:r w:rsidRPr="00A839F8">
        <w:t>Report Author and Contact Officer</w:t>
      </w:r>
    </w:p>
    <w:p w14:paraId="23D09433" w14:textId="77777777" w:rsidR="00A839F8" w:rsidRPr="001B418D" w:rsidRDefault="00925619" w:rsidP="00A839F8">
      <w:pPr>
        <w:jc w:val="both"/>
        <w:rPr>
          <w:bCs/>
        </w:rPr>
      </w:pPr>
      <w:r w:rsidRPr="001B418D">
        <w:rPr>
          <w:bCs/>
        </w:rPr>
        <w:t>Antonio Taylor</w:t>
      </w:r>
    </w:p>
    <w:p w14:paraId="7F564B3B" w14:textId="0A338B52" w:rsidR="00A839F8" w:rsidRPr="005911E2" w:rsidRDefault="00925619" w:rsidP="00A839F8">
      <w:pPr>
        <w:jc w:val="both"/>
        <w:rPr>
          <w:bCs/>
        </w:rPr>
      </w:pPr>
      <w:r w:rsidRPr="001B418D">
        <w:rPr>
          <w:bCs/>
        </w:rPr>
        <w:t>Community Safety Manager</w:t>
      </w:r>
    </w:p>
    <w:p w14:paraId="2C911152" w14:textId="77777777" w:rsidR="00A839F8" w:rsidRPr="00A839F8" w:rsidRDefault="00925619" w:rsidP="005911E2">
      <w:pPr>
        <w:pStyle w:val="Heading3"/>
      </w:pPr>
      <w:r w:rsidRPr="00A839F8">
        <w:t>Sponsoring Executive Director</w:t>
      </w:r>
    </w:p>
    <w:p w14:paraId="7200A3C8" w14:textId="77777777" w:rsidR="00A839F8" w:rsidRPr="005948BB" w:rsidRDefault="00925619" w:rsidP="00A839F8">
      <w:pPr>
        <w:jc w:val="both"/>
        <w:rPr>
          <w:color w:val="000000" w:themeColor="text1"/>
        </w:rPr>
      </w:pPr>
      <w:r w:rsidRPr="005948BB">
        <w:rPr>
          <w:color w:val="000000" w:themeColor="text1"/>
        </w:rPr>
        <w:t>John Bennett</w:t>
      </w:r>
    </w:p>
    <w:p w14:paraId="1D982CB7" w14:textId="77777777" w:rsidR="00A839F8" w:rsidRPr="00D0191D" w:rsidRDefault="00925619" w:rsidP="00A839F8">
      <w:pPr>
        <w:jc w:val="both"/>
        <w:rPr>
          <w:color w:val="000000" w:themeColor="text1"/>
        </w:rPr>
      </w:pPr>
      <w:r>
        <w:rPr>
          <w:color w:val="000000" w:themeColor="text1"/>
        </w:rPr>
        <w:t>Executive</w:t>
      </w:r>
      <w:r w:rsidRPr="005948BB">
        <w:rPr>
          <w:color w:val="000000" w:themeColor="text1"/>
        </w:rPr>
        <w:t xml:space="preserve"> Director -</w:t>
      </w:r>
      <w:r>
        <w:rPr>
          <w:color w:val="000000" w:themeColor="text1"/>
        </w:rPr>
        <w:t xml:space="preserve"> Place</w:t>
      </w:r>
    </w:p>
    <w:p w14:paraId="71F82219" w14:textId="7EB94D03" w:rsidR="00A839F8" w:rsidRPr="0006525A" w:rsidRDefault="00B25A5D" w:rsidP="00A839F8">
      <w:pPr>
        <w:jc w:val="both"/>
        <w:rPr>
          <w:bCs/>
          <w:u w:val="single"/>
        </w:rPr>
      </w:pPr>
      <w:hyperlink r:id="rId8" w:history="1">
        <w:r w:rsidR="00B0559F" w:rsidRPr="00B25A5D">
          <w:rPr>
            <w:rStyle w:val="Hyperlink"/>
            <w:bCs/>
          </w:rPr>
          <w:t>John.Benett@ashfield.gov.uk</w:t>
        </w:r>
      </w:hyperlink>
      <w:r w:rsidR="00B0559F" w:rsidRPr="0006525A">
        <w:rPr>
          <w:bCs/>
          <w:u w:val="single"/>
        </w:rPr>
        <w:t xml:space="preserve"> </w:t>
      </w:r>
    </w:p>
    <w:p w14:paraId="759F4C45" w14:textId="77777777" w:rsidR="00935158" w:rsidRPr="00935158" w:rsidRDefault="00935158">
      <w:pPr>
        <w:rPr>
          <w:sz w:val="28"/>
          <w:szCs w:val="28"/>
          <w:u w:val="single"/>
        </w:rPr>
      </w:pPr>
    </w:p>
    <w:sectPr w:rsidR="00935158" w:rsidRPr="00935158" w:rsidSect="00DB4CA5">
      <w:pgSz w:w="11906" w:h="16838" w:code="9"/>
      <w:pgMar w:top="1134" w:right="851" w:bottom="1134" w:left="851" w:header="454"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AC00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A76B29"/>
    <w:multiLevelType w:val="hybridMultilevel"/>
    <w:tmpl w:val="BCD48D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BA17414"/>
    <w:multiLevelType w:val="multilevel"/>
    <w:tmpl w:val="42146724"/>
    <w:lvl w:ilvl="0">
      <w:start w:val="1"/>
      <w:numFmt w:val="decimal"/>
      <w:pStyle w:val="Heading1"/>
      <w:lvlText w:val="%1"/>
      <w:lvlJc w:val="left"/>
      <w:pPr>
        <w:ind w:left="432" w:hanging="432"/>
      </w:pPr>
    </w:lvl>
    <w:lvl w:ilvl="1">
      <w:start w:val="1"/>
      <w:numFmt w:val="decimal"/>
      <w:lvlText w:val="%1.%2"/>
      <w:lvlJc w:val="left"/>
      <w:pPr>
        <w:ind w:left="816" w:hanging="576"/>
      </w:pPr>
      <w:rPr>
        <w:rFonts w:ascii="Arial" w:hAnsi="Arial" w:cs="Arial" w:hint="default"/>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D9913BC"/>
    <w:multiLevelType w:val="hybridMultilevel"/>
    <w:tmpl w:val="AD6E026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1497D5E"/>
    <w:multiLevelType w:val="hybridMultilevel"/>
    <w:tmpl w:val="A468AA18"/>
    <w:lvl w:ilvl="0" w:tplc="5DC8443A">
      <w:start w:val="1"/>
      <w:numFmt w:val="decimal"/>
      <w:lvlText w:val="%1."/>
      <w:lvlJc w:val="left"/>
      <w:pPr>
        <w:ind w:left="720" w:hanging="360"/>
      </w:pPr>
      <w:rPr>
        <w:rFonts w:hint="default"/>
        <w:b/>
        <w:bCs w:val="0"/>
        <w:color w:val="auto"/>
      </w:rPr>
    </w:lvl>
    <w:lvl w:ilvl="1" w:tplc="BDB68876" w:tentative="1">
      <w:start w:val="1"/>
      <w:numFmt w:val="lowerLetter"/>
      <w:lvlText w:val="%2."/>
      <w:lvlJc w:val="left"/>
      <w:pPr>
        <w:ind w:left="1440" w:hanging="360"/>
      </w:pPr>
    </w:lvl>
    <w:lvl w:ilvl="2" w:tplc="907A1D1C" w:tentative="1">
      <w:start w:val="1"/>
      <w:numFmt w:val="lowerRoman"/>
      <w:lvlText w:val="%3."/>
      <w:lvlJc w:val="right"/>
      <w:pPr>
        <w:ind w:left="2160" w:hanging="180"/>
      </w:pPr>
    </w:lvl>
    <w:lvl w:ilvl="3" w:tplc="0F5CA914" w:tentative="1">
      <w:start w:val="1"/>
      <w:numFmt w:val="decimal"/>
      <w:lvlText w:val="%4."/>
      <w:lvlJc w:val="left"/>
      <w:pPr>
        <w:ind w:left="2880" w:hanging="360"/>
      </w:pPr>
    </w:lvl>
    <w:lvl w:ilvl="4" w:tplc="F69EC104" w:tentative="1">
      <w:start w:val="1"/>
      <w:numFmt w:val="lowerLetter"/>
      <w:lvlText w:val="%5."/>
      <w:lvlJc w:val="left"/>
      <w:pPr>
        <w:ind w:left="3600" w:hanging="360"/>
      </w:pPr>
    </w:lvl>
    <w:lvl w:ilvl="5" w:tplc="64BCED2C" w:tentative="1">
      <w:start w:val="1"/>
      <w:numFmt w:val="lowerRoman"/>
      <w:lvlText w:val="%6."/>
      <w:lvlJc w:val="right"/>
      <w:pPr>
        <w:ind w:left="4320" w:hanging="180"/>
      </w:pPr>
    </w:lvl>
    <w:lvl w:ilvl="6" w:tplc="521442B6" w:tentative="1">
      <w:start w:val="1"/>
      <w:numFmt w:val="decimal"/>
      <w:lvlText w:val="%7."/>
      <w:lvlJc w:val="left"/>
      <w:pPr>
        <w:ind w:left="5040" w:hanging="360"/>
      </w:pPr>
    </w:lvl>
    <w:lvl w:ilvl="7" w:tplc="907A29E8" w:tentative="1">
      <w:start w:val="1"/>
      <w:numFmt w:val="lowerLetter"/>
      <w:lvlText w:val="%8."/>
      <w:lvlJc w:val="left"/>
      <w:pPr>
        <w:ind w:left="5760" w:hanging="360"/>
      </w:pPr>
    </w:lvl>
    <w:lvl w:ilvl="8" w:tplc="FAF65F3C" w:tentative="1">
      <w:start w:val="1"/>
      <w:numFmt w:val="lowerRoman"/>
      <w:lvlText w:val="%9."/>
      <w:lvlJc w:val="right"/>
      <w:pPr>
        <w:ind w:left="6480" w:hanging="180"/>
      </w:pPr>
    </w:lvl>
  </w:abstractNum>
  <w:abstractNum w:abstractNumId="5" w15:restartNumberingAfterBreak="0">
    <w:nsid w:val="3A85320D"/>
    <w:multiLevelType w:val="hybridMultilevel"/>
    <w:tmpl w:val="C71ABAAA"/>
    <w:lvl w:ilvl="0" w:tplc="FFFFFFFF">
      <w:start w:val="1"/>
      <w:numFmt w:val="lowerLetter"/>
      <w:lvlText w:val="(%1)"/>
      <w:lvlJc w:val="left"/>
      <w:pPr>
        <w:ind w:left="720" w:hanging="360"/>
      </w:pPr>
      <w:rPr>
        <w:rFonts w:hint="default"/>
      </w:rPr>
    </w:lvl>
    <w:lvl w:ilvl="1" w:tplc="1D84B028">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BF6FB3"/>
    <w:multiLevelType w:val="hybridMultilevel"/>
    <w:tmpl w:val="4290DC56"/>
    <w:lvl w:ilvl="0" w:tplc="1F94ECC2">
      <w:start w:val="1"/>
      <w:numFmt w:val="decimal"/>
      <w:pStyle w:val="Heading4"/>
      <w:lvlText w:val="%1."/>
      <w:lvlJc w:val="left"/>
      <w:pPr>
        <w:ind w:left="720" w:hanging="360"/>
      </w:pPr>
    </w:lvl>
    <w:lvl w:ilvl="1" w:tplc="5FD87D8C">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421ECE"/>
    <w:multiLevelType w:val="hybridMultilevel"/>
    <w:tmpl w:val="5D0E51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127454"/>
    <w:multiLevelType w:val="hybridMultilevel"/>
    <w:tmpl w:val="35464448"/>
    <w:lvl w:ilvl="0" w:tplc="1D84B0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DB2044"/>
    <w:multiLevelType w:val="hybridMultilevel"/>
    <w:tmpl w:val="49281208"/>
    <w:lvl w:ilvl="0" w:tplc="6290A8CC">
      <w:start w:val="1"/>
      <w:numFmt w:val="bullet"/>
      <w:lvlText w:val=""/>
      <w:lvlJc w:val="left"/>
      <w:pPr>
        <w:ind w:left="720" w:hanging="360"/>
      </w:pPr>
      <w:rPr>
        <w:rFonts w:ascii="Symbol" w:hAnsi="Symbol" w:hint="default"/>
      </w:rPr>
    </w:lvl>
    <w:lvl w:ilvl="1" w:tplc="0C9658BE" w:tentative="1">
      <w:start w:val="1"/>
      <w:numFmt w:val="bullet"/>
      <w:lvlText w:val="o"/>
      <w:lvlJc w:val="left"/>
      <w:pPr>
        <w:ind w:left="1440" w:hanging="360"/>
      </w:pPr>
      <w:rPr>
        <w:rFonts w:ascii="Courier New" w:hAnsi="Courier New" w:cs="Courier New" w:hint="default"/>
      </w:rPr>
    </w:lvl>
    <w:lvl w:ilvl="2" w:tplc="ECC62F62" w:tentative="1">
      <w:start w:val="1"/>
      <w:numFmt w:val="bullet"/>
      <w:lvlText w:val=""/>
      <w:lvlJc w:val="left"/>
      <w:pPr>
        <w:ind w:left="2160" w:hanging="360"/>
      </w:pPr>
      <w:rPr>
        <w:rFonts w:ascii="Wingdings" w:hAnsi="Wingdings" w:hint="default"/>
      </w:rPr>
    </w:lvl>
    <w:lvl w:ilvl="3" w:tplc="13285528" w:tentative="1">
      <w:start w:val="1"/>
      <w:numFmt w:val="bullet"/>
      <w:lvlText w:val=""/>
      <w:lvlJc w:val="left"/>
      <w:pPr>
        <w:ind w:left="2880" w:hanging="360"/>
      </w:pPr>
      <w:rPr>
        <w:rFonts w:ascii="Symbol" w:hAnsi="Symbol" w:hint="default"/>
      </w:rPr>
    </w:lvl>
    <w:lvl w:ilvl="4" w:tplc="69EAAC6C" w:tentative="1">
      <w:start w:val="1"/>
      <w:numFmt w:val="bullet"/>
      <w:lvlText w:val="o"/>
      <w:lvlJc w:val="left"/>
      <w:pPr>
        <w:ind w:left="3600" w:hanging="360"/>
      </w:pPr>
      <w:rPr>
        <w:rFonts w:ascii="Courier New" w:hAnsi="Courier New" w:cs="Courier New" w:hint="default"/>
      </w:rPr>
    </w:lvl>
    <w:lvl w:ilvl="5" w:tplc="24BCC91C" w:tentative="1">
      <w:start w:val="1"/>
      <w:numFmt w:val="bullet"/>
      <w:lvlText w:val=""/>
      <w:lvlJc w:val="left"/>
      <w:pPr>
        <w:ind w:left="4320" w:hanging="360"/>
      </w:pPr>
      <w:rPr>
        <w:rFonts w:ascii="Wingdings" w:hAnsi="Wingdings" w:hint="default"/>
      </w:rPr>
    </w:lvl>
    <w:lvl w:ilvl="6" w:tplc="C0EE2650" w:tentative="1">
      <w:start w:val="1"/>
      <w:numFmt w:val="bullet"/>
      <w:lvlText w:val=""/>
      <w:lvlJc w:val="left"/>
      <w:pPr>
        <w:ind w:left="5040" w:hanging="360"/>
      </w:pPr>
      <w:rPr>
        <w:rFonts w:ascii="Symbol" w:hAnsi="Symbol" w:hint="default"/>
      </w:rPr>
    </w:lvl>
    <w:lvl w:ilvl="7" w:tplc="45EA9D42" w:tentative="1">
      <w:start w:val="1"/>
      <w:numFmt w:val="bullet"/>
      <w:lvlText w:val="o"/>
      <w:lvlJc w:val="left"/>
      <w:pPr>
        <w:ind w:left="5760" w:hanging="360"/>
      </w:pPr>
      <w:rPr>
        <w:rFonts w:ascii="Courier New" w:hAnsi="Courier New" w:cs="Courier New" w:hint="default"/>
      </w:rPr>
    </w:lvl>
    <w:lvl w:ilvl="8" w:tplc="86B0A10E" w:tentative="1">
      <w:start w:val="1"/>
      <w:numFmt w:val="bullet"/>
      <w:lvlText w:val=""/>
      <w:lvlJc w:val="left"/>
      <w:pPr>
        <w:ind w:left="6480" w:hanging="360"/>
      </w:pPr>
      <w:rPr>
        <w:rFonts w:ascii="Wingdings" w:hAnsi="Wingdings" w:hint="default"/>
      </w:rPr>
    </w:lvl>
  </w:abstractNum>
  <w:num w:numId="1" w16cid:durableId="1967469646">
    <w:abstractNumId w:val="2"/>
  </w:num>
  <w:num w:numId="2" w16cid:durableId="1427576964">
    <w:abstractNumId w:val="4"/>
  </w:num>
  <w:num w:numId="3" w16cid:durableId="1020081740">
    <w:abstractNumId w:val="9"/>
  </w:num>
  <w:num w:numId="4" w16cid:durableId="163132206">
    <w:abstractNumId w:val="7"/>
  </w:num>
  <w:num w:numId="5" w16cid:durableId="2042826982">
    <w:abstractNumId w:val="1"/>
  </w:num>
  <w:num w:numId="6" w16cid:durableId="846135794">
    <w:abstractNumId w:val="6"/>
  </w:num>
  <w:num w:numId="7" w16cid:durableId="1549876974">
    <w:abstractNumId w:val="8"/>
  </w:num>
  <w:num w:numId="8" w16cid:durableId="1276330887">
    <w:abstractNumId w:val="5"/>
  </w:num>
  <w:num w:numId="9" w16cid:durableId="1899785667">
    <w:abstractNumId w:val="0"/>
  </w:num>
  <w:num w:numId="10" w16cid:durableId="97834260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C5"/>
    <w:rsid w:val="00000B81"/>
    <w:rsid w:val="000051CD"/>
    <w:rsid w:val="00007A2D"/>
    <w:rsid w:val="00016D97"/>
    <w:rsid w:val="000171F1"/>
    <w:rsid w:val="0002332C"/>
    <w:rsid w:val="00025074"/>
    <w:rsid w:val="00031FBB"/>
    <w:rsid w:val="0003394D"/>
    <w:rsid w:val="00040B84"/>
    <w:rsid w:val="00044077"/>
    <w:rsid w:val="0005230C"/>
    <w:rsid w:val="00052F3E"/>
    <w:rsid w:val="00060178"/>
    <w:rsid w:val="00060BD2"/>
    <w:rsid w:val="00062496"/>
    <w:rsid w:val="0006525A"/>
    <w:rsid w:val="0009137F"/>
    <w:rsid w:val="0009419D"/>
    <w:rsid w:val="000A18F6"/>
    <w:rsid w:val="000A2969"/>
    <w:rsid w:val="000A5A0A"/>
    <w:rsid w:val="000B3BE8"/>
    <w:rsid w:val="000C23E4"/>
    <w:rsid w:val="000C5A9F"/>
    <w:rsid w:val="000C7E38"/>
    <w:rsid w:val="000D1004"/>
    <w:rsid w:val="000D4C8F"/>
    <w:rsid w:val="000E0F3B"/>
    <w:rsid w:val="000E3D71"/>
    <w:rsid w:val="000E789E"/>
    <w:rsid w:val="000F1C08"/>
    <w:rsid w:val="000F3060"/>
    <w:rsid w:val="00100B36"/>
    <w:rsid w:val="0010370B"/>
    <w:rsid w:val="0010382D"/>
    <w:rsid w:val="001111D9"/>
    <w:rsid w:val="00132DB3"/>
    <w:rsid w:val="00146633"/>
    <w:rsid w:val="00150158"/>
    <w:rsid w:val="00151962"/>
    <w:rsid w:val="001741EC"/>
    <w:rsid w:val="001807C4"/>
    <w:rsid w:val="0019042B"/>
    <w:rsid w:val="00191B37"/>
    <w:rsid w:val="0019376E"/>
    <w:rsid w:val="001A03E0"/>
    <w:rsid w:val="001A06DF"/>
    <w:rsid w:val="001A5B65"/>
    <w:rsid w:val="001B418D"/>
    <w:rsid w:val="001B5A5B"/>
    <w:rsid w:val="001C3A41"/>
    <w:rsid w:val="001D4EF4"/>
    <w:rsid w:val="001D6BD6"/>
    <w:rsid w:val="001E0FDA"/>
    <w:rsid w:val="001F4A75"/>
    <w:rsid w:val="00200F06"/>
    <w:rsid w:val="002061A7"/>
    <w:rsid w:val="002079CB"/>
    <w:rsid w:val="002129ED"/>
    <w:rsid w:val="0022319B"/>
    <w:rsid w:val="00230C54"/>
    <w:rsid w:val="00231DF3"/>
    <w:rsid w:val="00233BA5"/>
    <w:rsid w:val="0024157A"/>
    <w:rsid w:val="00242AA5"/>
    <w:rsid w:val="00244BEE"/>
    <w:rsid w:val="0029269C"/>
    <w:rsid w:val="00293E6B"/>
    <w:rsid w:val="002A1C70"/>
    <w:rsid w:val="002A5017"/>
    <w:rsid w:val="002A5207"/>
    <w:rsid w:val="002A5CAE"/>
    <w:rsid w:val="002A5D04"/>
    <w:rsid w:val="002B0F9B"/>
    <w:rsid w:val="002B14F9"/>
    <w:rsid w:val="002B6071"/>
    <w:rsid w:val="002E5951"/>
    <w:rsid w:val="002E79A8"/>
    <w:rsid w:val="002F770D"/>
    <w:rsid w:val="0030289F"/>
    <w:rsid w:val="00304DC7"/>
    <w:rsid w:val="003063E6"/>
    <w:rsid w:val="003265B7"/>
    <w:rsid w:val="00331428"/>
    <w:rsid w:val="003318F4"/>
    <w:rsid w:val="00331F0A"/>
    <w:rsid w:val="00344ACD"/>
    <w:rsid w:val="003457FA"/>
    <w:rsid w:val="003508E8"/>
    <w:rsid w:val="003539AA"/>
    <w:rsid w:val="00355115"/>
    <w:rsid w:val="00363EFF"/>
    <w:rsid w:val="00370E84"/>
    <w:rsid w:val="00371CAA"/>
    <w:rsid w:val="00372D4C"/>
    <w:rsid w:val="003778C7"/>
    <w:rsid w:val="0038418D"/>
    <w:rsid w:val="00393AC6"/>
    <w:rsid w:val="00395E34"/>
    <w:rsid w:val="003A21DE"/>
    <w:rsid w:val="003A59C8"/>
    <w:rsid w:val="003B2EEF"/>
    <w:rsid w:val="003C0FC4"/>
    <w:rsid w:val="003C35F5"/>
    <w:rsid w:val="003D03EE"/>
    <w:rsid w:val="003D3699"/>
    <w:rsid w:val="003E0DAC"/>
    <w:rsid w:val="003E2A0B"/>
    <w:rsid w:val="003E7E64"/>
    <w:rsid w:val="003F15D7"/>
    <w:rsid w:val="003F2346"/>
    <w:rsid w:val="003F5B2B"/>
    <w:rsid w:val="00402E4A"/>
    <w:rsid w:val="00405335"/>
    <w:rsid w:val="00407A6B"/>
    <w:rsid w:val="004163B6"/>
    <w:rsid w:val="00420650"/>
    <w:rsid w:val="00424949"/>
    <w:rsid w:val="00431B03"/>
    <w:rsid w:val="0043244B"/>
    <w:rsid w:val="00434B81"/>
    <w:rsid w:val="004404BA"/>
    <w:rsid w:val="004404F3"/>
    <w:rsid w:val="00442B6D"/>
    <w:rsid w:val="00446DC9"/>
    <w:rsid w:val="00453F5F"/>
    <w:rsid w:val="00456FE3"/>
    <w:rsid w:val="00465B54"/>
    <w:rsid w:val="00467D7A"/>
    <w:rsid w:val="00471E5C"/>
    <w:rsid w:val="004908D8"/>
    <w:rsid w:val="004A026C"/>
    <w:rsid w:val="004A0822"/>
    <w:rsid w:val="004A31A1"/>
    <w:rsid w:val="004A548F"/>
    <w:rsid w:val="004B6000"/>
    <w:rsid w:val="004C0775"/>
    <w:rsid w:val="004D0739"/>
    <w:rsid w:val="004D1E7C"/>
    <w:rsid w:val="004D4B9B"/>
    <w:rsid w:val="004D7D3C"/>
    <w:rsid w:val="004E483C"/>
    <w:rsid w:val="004E489F"/>
    <w:rsid w:val="005050AF"/>
    <w:rsid w:val="005156ED"/>
    <w:rsid w:val="005227CA"/>
    <w:rsid w:val="00532907"/>
    <w:rsid w:val="00537D43"/>
    <w:rsid w:val="0054490A"/>
    <w:rsid w:val="00561787"/>
    <w:rsid w:val="00563B19"/>
    <w:rsid w:val="005875AC"/>
    <w:rsid w:val="005911E2"/>
    <w:rsid w:val="00591F5B"/>
    <w:rsid w:val="005948BB"/>
    <w:rsid w:val="005956D0"/>
    <w:rsid w:val="0059689D"/>
    <w:rsid w:val="00597791"/>
    <w:rsid w:val="00597D32"/>
    <w:rsid w:val="005B04A2"/>
    <w:rsid w:val="005C41F3"/>
    <w:rsid w:val="005D48DE"/>
    <w:rsid w:val="005D5985"/>
    <w:rsid w:val="005E2E93"/>
    <w:rsid w:val="005F0A45"/>
    <w:rsid w:val="005F2BA2"/>
    <w:rsid w:val="005F4723"/>
    <w:rsid w:val="005F62C4"/>
    <w:rsid w:val="00601F2E"/>
    <w:rsid w:val="006105F0"/>
    <w:rsid w:val="00622B4C"/>
    <w:rsid w:val="00626CE0"/>
    <w:rsid w:val="00631FA1"/>
    <w:rsid w:val="00636683"/>
    <w:rsid w:val="006457D7"/>
    <w:rsid w:val="00672554"/>
    <w:rsid w:val="00684AC7"/>
    <w:rsid w:val="00685ECA"/>
    <w:rsid w:val="00693397"/>
    <w:rsid w:val="00696543"/>
    <w:rsid w:val="006A02D4"/>
    <w:rsid w:val="006A0C8F"/>
    <w:rsid w:val="006A6D47"/>
    <w:rsid w:val="006B2B3D"/>
    <w:rsid w:val="006B6791"/>
    <w:rsid w:val="006D6192"/>
    <w:rsid w:val="006E11E5"/>
    <w:rsid w:val="006E34E0"/>
    <w:rsid w:val="006E41ED"/>
    <w:rsid w:val="006F50D4"/>
    <w:rsid w:val="006F77B3"/>
    <w:rsid w:val="00707D2D"/>
    <w:rsid w:val="007113DD"/>
    <w:rsid w:val="00714C2D"/>
    <w:rsid w:val="00723CCB"/>
    <w:rsid w:val="00724D71"/>
    <w:rsid w:val="00734877"/>
    <w:rsid w:val="0073787D"/>
    <w:rsid w:val="0074363A"/>
    <w:rsid w:val="00747CD8"/>
    <w:rsid w:val="00755400"/>
    <w:rsid w:val="007601C6"/>
    <w:rsid w:val="00777DDB"/>
    <w:rsid w:val="00780380"/>
    <w:rsid w:val="00780C23"/>
    <w:rsid w:val="0079073E"/>
    <w:rsid w:val="00791603"/>
    <w:rsid w:val="007949A0"/>
    <w:rsid w:val="00794D09"/>
    <w:rsid w:val="007A50D8"/>
    <w:rsid w:val="007A6DD7"/>
    <w:rsid w:val="007A78F5"/>
    <w:rsid w:val="007B47C8"/>
    <w:rsid w:val="007C3131"/>
    <w:rsid w:val="007D62DE"/>
    <w:rsid w:val="007E6C57"/>
    <w:rsid w:val="007F2C93"/>
    <w:rsid w:val="0080104D"/>
    <w:rsid w:val="008048A9"/>
    <w:rsid w:val="00812E11"/>
    <w:rsid w:val="008156C0"/>
    <w:rsid w:val="00833287"/>
    <w:rsid w:val="00836D89"/>
    <w:rsid w:val="00837394"/>
    <w:rsid w:val="00840915"/>
    <w:rsid w:val="00843C1D"/>
    <w:rsid w:val="00864FF7"/>
    <w:rsid w:val="00866E3F"/>
    <w:rsid w:val="008711C4"/>
    <w:rsid w:val="008818CC"/>
    <w:rsid w:val="00882597"/>
    <w:rsid w:val="00884726"/>
    <w:rsid w:val="00887133"/>
    <w:rsid w:val="00891A89"/>
    <w:rsid w:val="00893CAA"/>
    <w:rsid w:val="00893F10"/>
    <w:rsid w:val="00895FD7"/>
    <w:rsid w:val="008A2A9C"/>
    <w:rsid w:val="008B0EA6"/>
    <w:rsid w:val="008B3CC9"/>
    <w:rsid w:val="008B5A26"/>
    <w:rsid w:val="008C29AA"/>
    <w:rsid w:val="008C2C3B"/>
    <w:rsid w:val="008C2CB7"/>
    <w:rsid w:val="008C6A0C"/>
    <w:rsid w:val="008F3E22"/>
    <w:rsid w:val="00907F24"/>
    <w:rsid w:val="009103AE"/>
    <w:rsid w:val="0091057C"/>
    <w:rsid w:val="00920271"/>
    <w:rsid w:val="00925619"/>
    <w:rsid w:val="0093197F"/>
    <w:rsid w:val="00933467"/>
    <w:rsid w:val="00935158"/>
    <w:rsid w:val="009379D5"/>
    <w:rsid w:val="009421C8"/>
    <w:rsid w:val="00942AB8"/>
    <w:rsid w:val="00943288"/>
    <w:rsid w:val="009438FB"/>
    <w:rsid w:val="00944081"/>
    <w:rsid w:val="009513CF"/>
    <w:rsid w:val="0095293F"/>
    <w:rsid w:val="00957E1E"/>
    <w:rsid w:val="00961482"/>
    <w:rsid w:val="00973D5D"/>
    <w:rsid w:val="00976D75"/>
    <w:rsid w:val="0098004B"/>
    <w:rsid w:val="0098517C"/>
    <w:rsid w:val="00990DF4"/>
    <w:rsid w:val="00996E64"/>
    <w:rsid w:val="009A15F5"/>
    <w:rsid w:val="009C4EA7"/>
    <w:rsid w:val="009D1ABA"/>
    <w:rsid w:val="009D56C9"/>
    <w:rsid w:val="009D573C"/>
    <w:rsid w:val="009F3F18"/>
    <w:rsid w:val="009F4D80"/>
    <w:rsid w:val="00A22B3B"/>
    <w:rsid w:val="00A33354"/>
    <w:rsid w:val="00A37DC8"/>
    <w:rsid w:val="00A52240"/>
    <w:rsid w:val="00A64A45"/>
    <w:rsid w:val="00A65B8A"/>
    <w:rsid w:val="00A65D71"/>
    <w:rsid w:val="00A81157"/>
    <w:rsid w:val="00A811FC"/>
    <w:rsid w:val="00A839F8"/>
    <w:rsid w:val="00A851CE"/>
    <w:rsid w:val="00A87996"/>
    <w:rsid w:val="00AA44C1"/>
    <w:rsid w:val="00AA75E8"/>
    <w:rsid w:val="00AB5BF4"/>
    <w:rsid w:val="00AC7FCF"/>
    <w:rsid w:val="00AE6D7E"/>
    <w:rsid w:val="00AF2200"/>
    <w:rsid w:val="00B015B9"/>
    <w:rsid w:val="00B04152"/>
    <w:rsid w:val="00B0559F"/>
    <w:rsid w:val="00B06E9E"/>
    <w:rsid w:val="00B1039F"/>
    <w:rsid w:val="00B12684"/>
    <w:rsid w:val="00B238F9"/>
    <w:rsid w:val="00B25A5D"/>
    <w:rsid w:val="00B3008B"/>
    <w:rsid w:val="00B51DBF"/>
    <w:rsid w:val="00B6378A"/>
    <w:rsid w:val="00B73CE8"/>
    <w:rsid w:val="00B77C2D"/>
    <w:rsid w:val="00B809A1"/>
    <w:rsid w:val="00B85A12"/>
    <w:rsid w:val="00B861B3"/>
    <w:rsid w:val="00B8644F"/>
    <w:rsid w:val="00B95E07"/>
    <w:rsid w:val="00BA3632"/>
    <w:rsid w:val="00BA6DF1"/>
    <w:rsid w:val="00BA7B9E"/>
    <w:rsid w:val="00BB65D2"/>
    <w:rsid w:val="00BC1706"/>
    <w:rsid w:val="00BC5977"/>
    <w:rsid w:val="00BD07E5"/>
    <w:rsid w:val="00BD1567"/>
    <w:rsid w:val="00BD5949"/>
    <w:rsid w:val="00BE0BF8"/>
    <w:rsid w:val="00BE1957"/>
    <w:rsid w:val="00BE1BCE"/>
    <w:rsid w:val="00BF027D"/>
    <w:rsid w:val="00BF1FE8"/>
    <w:rsid w:val="00BF5069"/>
    <w:rsid w:val="00C2088B"/>
    <w:rsid w:val="00C21851"/>
    <w:rsid w:val="00C2543A"/>
    <w:rsid w:val="00C50D59"/>
    <w:rsid w:val="00C53B0E"/>
    <w:rsid w:val="00C615A0"/>
    <w:rsid w:val="00C620BC"/>
    <w:rsid w:val="00C63E6B"/>
    <w:rsid w:val="00C73959"/>
    <w:rsid w:val="00C7518F"/>
    <w:rsid w:val="00C84F48"/>
    <w:rsid w:val="00C91D60"/>
    <w:rsid w:val="00C92B05"/>
    <w:rsid w:val="00C93689"/>
    <w:rsid w:val="00C96297"/>
    <w:rsid w:val="00CA6430"/>
    <w:rsid w:val="00CA659C"/>
    <w:rsid w:val="00CB1E3B"/>
    <w:rsid w:val="00CD24C5"/>
    <w:rsid w:val="00CF111F"/>
    <w:rsid w:val="00CF50D7"/>
    <w:rsid w:val="00D0191D"/>
    <w:rsid w:val="00D07F48"/>
    <w:rsid w:val="00D107D1"/>
    <w:rsid w:val="00D147BF"/>
    <w:rsid w:val="00D20DB2"/>
    <w:rsid w:val="00D21B8D"/>
    <w:rsid w:val="00D44229"/>
    <w:rsid w:val="00D44F84"/>
    <w:rsid w:val="00D453D0"/>
    <w:rsid w:val="00D45FE4"/>
    <w:rsid w:val="00D51554"/>
    <w:rsid w:val="00D87ACF"/>
    <w:rsid w:val="00D907AB"/>
    <w:rsid w:val="00D9083D"/>
    <w:rsid w:val="00D93B02"/>
    <w:rsid w:val="00D94924"/>
    <w:rsid w:val="00DA1CC5"/>
    <w:rsid w:val="00DA2B83"/>
    <w:rsid w:val="00DB085B"/>
    <w:rsid w:val="00DB4CA5"/>
    <w:rsid w:val="00DB5DBD"/>
    <w:rsid w:val="00DC1090"/>
    <w:rsid w:val="00DD08FA"/>
    <w:rsid w:val="00DD671D"/>
    <w:rsid w:val="00DD7A85"/>
    <w:rsid w:val="00DE613B"/>
    <w:rsid w:val="00DE7C82"/>
    <w:rsid w:val="00DF23A6"/>
    <w:rsid w:val="00DF23FB"/>
    <w:rsid w:val="00E0542A"/>
    <w:rsid w:val="00E06373"/>
    <w:rsid w:val="00E1221D"/>
    <w:rsid w:val="00E3512E"/>
    <w:rsid w:val="00E365AB"/>
    <w:rsid w:val="00E36FA0"/>
    <w:rsid w:val="00E46417"/>
    <w:rsid w:val="00E47F0D"/>
    <w:rsid w:val="00E51A56"/>
    <w:rsid w:val="00E52CCB"/>
    <w:rsid w:val="00E56BDF"/>
    <w:rsid w:val="00E706C8"/>
    <w:rsid w:val="00E9310B"/>
    <w:rsid w:val="00EB10A7"/>
    <w:rsid w:val="00ED381D"/>
    <w:rsid w:val="00ED39B2"/>
    <w:rsid w:val="00EF4E74"/>
    <w:rsid w:val="00EF5206"/>
    <w:rsid w:val="00F0205F"/>
    <w:rsid w:val="00F07454"/>
    <w:rsid w:val="00F0746D"/>
    <w:rsid w:val="00F1119E"/>
    <w:rsid w:val="00F134E4"/>
    <w:rsid w:val="00F14B67"/>
    <w:rsid w:val="00F20CFA"/>
    <w:rsid w:val="00F31B2E"/>
    <w:rsid w:val="00F34E98"/>
    <w:rsid w:val="00F552DB"/>
    <w:rsid w:val="00F56606"/>
    <w:rsid w:val="00F63962"/>
    <w:rsid w:val="00F708E3"/>
    <w:rsid w:val="00F75172"/>
    <w:rsid w:val="00F8726B"/>
    <w:rsid w:val="00F923EF"/>
    <w:rsid w:val="00FA7791"/>
    <w:rsid w:val="00FB0C3F"/>
    <w:rsid w:val="00FD1AE7"/>
    <w:rsid w:val="00FD4AF8"/>
    <w:rsid w:val="00FD7288"/>
    <w:rsid w:val="00FE16F0"/>
    <w:rsid w:val="00FE2148"/>
    <w:rsid w:val="00FE4E79"/>
    <w:rsid w:val="00FE6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90332"/>
  <w15:docId w15:val="{A235739B-A9A0-0B4E-A6D3-4979F3C3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A5D"/>
    <w:pPr>
      <w:spacing w:before="120" w:after="120" w:line="288" w:lineRule="auto"/>
    </w:pPr>
    <w:rPr>
      <w:rFonts w:ascii="Arial" w:hAnsi="Arial" w:cs="Arial"/>
      <w:sz w:val="24"/>
      <w:szCs w:val="24"/>
      <w:lang w:eastAsia="en-US"/>
    </w:rPr>
  </w:style>
  <w:style w:type="paragraph" w:styleId="Heading1">
    <w:name w:val="heading 1"/>
    <w:basedOn w:val="Normal"/>
    <w:next w:val="Normal"/>
    <w:link w:val="Heading1Char"/>
    <w:qFormat/>
    <w:rsid w:val="001C3A41"/>
    <w:pPr>
      <w:keepNext/>
      <w:numPr>
        <w:numId w:val="1"/>
      </w:numPr>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autoRedefine/>
    <w:uiPriority w:val="9"/>
    <w:unhideWhenUsed/>
    <w:qFormat/>
    <w:rsid w:val="00B25A5D"/>
    <w:pPr>
      <w:keepNext/>
      <w:spacing w:before="240" w:after="60"/>
      <w:outlineLvl w:val="1"/>
    </w:pPr>
    <w:rPr>
      <w:rFonts w:cs="Times New Roman"/>
      <w:b/>
      <w:bCs/>
      <w:iCs/>
      <w:color w:val="000000"/>
      <w:sz w:val="32"/>
      <w:szCs w:val="28"/>
    </w:rPr>
  </w:style>
  <w:style w:type="paragraph" w:styleId="Heading3">
    <w:name w:val="heading 3"/>
    <w:basedOn w:val="Normal"/>
    <w:next w:val="Normal"/>
    <w:link w:val="Heading3Char"/>
    <w:uiPriority w:val="9"/>
    <w:unhideWhenUsed/>
    <w:qFormat/>
    <w:rsid w:val="00B25A5D"/>
    <w:pPr>
      <w:keepNext/>
      <w:spacing w:line="360" w:lineRule="auto"/>
      <w:outlineLvl w:val="2"/>
    </w:pPr>
    <w:rPr>
      <w:rFonts w:cs="Times New Roman"/>
      <w:b/>
      <w:bCs/>
      <w:sz w:val="28"/>
      <w:szCs w:val="26"/>
    </w:rPr>
  </w:style>
  <w:style w:type="paragraph" w:styleId="Heading4">
    <w:name w:val="heading 4"/>
    <w:basedOn w:val="Normal"/>
    <w:next w:val="Normal"/>
    <w:link w:val="Heading4Char"/>
    <w:uiPriority w:val="9"/>
    <w:unhideWhenUsed/>
    <w:qFormat/>
    <w:rsid w:val="00B25A5D"/>
    <w:pPr>
      <w:keepNext/>
      <w:numPr>
        <w:numId w:val="6"/>
      </w:numPr>
      <w:ind w:left="357" w:hanging="357"/>
      <w:outlineLvl w:val="3"/>
    </w:pPr>
    <w:rPr>
      <w:rFonts w:cs="Times New Roman"/>
      <w:b/>
      <w:bCs/>
      <w:szCs w:val="28"/>
    </w:rPr>
  </w:style>
  <w:style w:type="paragraph" w:styleId="Heading5">
    <w:name w:val="heading 5"/>
    <w:basedOn w:val="Normal"/>
    <w:next w:val="Normal"/>
    <w:link w:val="Heading5Char"/>
    <w:uiPriority w:val="9"/>
    <w:semiHidden/>
    <w:unhideWhenUsed/>
    <w:qFormat/>
    <w:rsid w:val="001C3A41"/>
    <w:pPr>
      <w:numPr>
        <w:ilvl w:val="4"/>
        <w:numId w:val="1"/>
      </w:num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uiPriority w:val="9"/>
    <w:semiHidden/>
    <w:unhideWhenUsed/>
    <w:qFormat/>
    <w:rsid w:val="001C3A41"/>
    <w:pPr>
      <w:numPr>
        <w:ilvl w:val="5"/>
        <w:numId w:val="1"/>
      </w:numPr>
      <w:spacing w:before="240" w:after="60"/>
      <w:outlineLvl w:val="5"/>
    </w:pPr>
    <w:rPr>
      <w:rFonts w:ascii="Calibri" w:hAnsi="Calibri" w:cs="Times New Roman"/>
      <w:b/>
      <w:bCs/>
      <w:sz w:val="22"/>
      <w:szCs w:val="22"/>
    </w:rPr>
  </w:style>
  <w:style w:type="paragraph" w:styleId="Heading7">
    <w:name w:val="heading 7"/>
    <w:basedOn w:val="Normal"/>
    <w:next w:val="Normal"/>
    <w:link w:val="Heading7Char"/>
    <w:uiPriority w:val="9"/>
    <w:semiHidden/>
    <w:unhideWhenUsed/>
    <w:qFormat/>
    <w:rsid w:val="001C3A41"/>
    <w:pPr>
      <w:numPr>
        <w:ilvl w:val="6"/>
        <w:numId w:val="1"/>
      </w:numPr>
      <w:spacing w:before="240" w:after="60"/>
      <w:outlineLvl w:val="6"/>
    </w:pPr>
    <w:rPr>
      <w:rFonts w:ascii="Calibri" w:hAnsi="Calibri" w:cs="Times New Roman"/>
    </w:rPr>
  </w:style>
  <w:style w:type="paragraph" w:styleId="Heading8">
    <w:name w:val="heading 8"/>
    <w:basedOn w:val="Normal"/>
    <w:next w:val="Normal"/>
    <w:link w:val="Heading8Char"/>
    <w:uiPriority w:val="9"/>
    <w:semiHidden/>
    <w:unhideWhenUsed/>
    <w:qFormat/>
    <w:rsid w:val="001C3A41"/>
    <w:pPr>
      <w:numPr>
        <w:ilvl w:val="7"/>
        <w:numId w:val="1"/>
      </w:numPr>
      <w:spacing w:before="240" w:after="60"/>
      <w:outlineLvl w:val="7"/>
    </w:pPr>
    <w:rPr>
      <w:rFonts w:ascii="Calibri" w:hAnsi="Calibri" w:cs="Times New Roman"/>
      <w:i/>
      <w:iCs/>
    </w:rPr>
  </w:style>
  <w:style w:type="paragraph" w:styleId="Heading9">
    <w:name w:val="heading 9"/>
    <w:basedOn w:val="Normal"/>
    <w:next w:val="Normal"/>
    <w:link w:val="Heading9Char"/>
    <w:uiPriority w:val="9"/>
    <w:semiHidden/>
    <w:unhideWhenUsed/>
    <w:qFormat/>
    <w:rsid w:val="001C3A41"/>
    <w:pPr>
      <w:numPr>
        <w:ilvl w:val="8"/>
        <w:numId w:val="1"/>
      </w:num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1554"/>
    <w:rPr>
      <w:color w:val="0000FF"/>
      <w:u w:val="single"/>
    </w:rPr>
  </w:style>
  <w:style w:type="table" w:styleId="TableGrid">
    <w:name w:val="Table Grid"/>
    <w:basedOn w:val="TableNormal"/>
    <w:uiPriority w:val="39"/>
    <w:rsid w:val="00D5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1E2"/>
    <w:pPr>
      <w:overflowPunct w:val="0"/>
      <w:autoSpaceDE w:val="0"/>
      <w:autoSpaceDN w:val="0"/>
      <w:adjustRightInd w:val="0"/>
      <w:ind w:left="720"/>
      <w:textAlignment w:val="baseline"/>
    </w:pPr>
    <w:rPr>
      <w:rFonts w:cs="Times New Roman"/>
      <w:szCs w:val="20"/>
    </w:rPr>
  </w:style>
  <w:style w:type="character" w:styleId="LineNumber">
    <w:name w:val="line number"/>
    <w:basedOn w:val="DefaultParagraphFont"/>
    <w:rsid w:val="00060BD2"/>
  </w:style>
  <w:style w:type="character" w:customStyle="1" w:styleId="Heading1Char">
    <w:name w:val="Heading 1 Char"/>
    <w:link w:val="Heading1"/>
    <w:rsid w:val="001C3A41"/>
    <w:rPr>
      <w:rFonts w:ascii="Cambria" w:hAnsi="Cambria"/>
      <w:b/>
      <w:bCs/>
      <w:kern w:val="32"/>
      <w:sz w:val="32"/>
      <w:szCs w:val="32"/>
      <w:lang w:eastAsia="en-US"/>
    </w:rPr>
  </w:style>
  <w:style w:type="character" w:customStyle="1" w:styleId="Heading2Char">
    <w:name w:val="Heading 2 Char"/>
    <w:link w:val="Heading2"/>
    <w:uiPriority w:val="9"/>
    <w:rsid w:val="00B25A5D"/>
    <w:rPr>
      <w:rFonts w:ascii="Arial" w:hAnsi="Arial"/>
      <w:b/>
      <w:bCs/>
      <w:iCs/>
      <w:color w:val="000000"/>
      <w:sz w:val="32"/>
      <w:szCs w:val="28"/>
      <w:lang w:eastAsia="en-US"/>
    </w:rPr>
  </w:style>
  <w:style w:type="character" w:customStyle="1" w:styleId="Heading3Char">
    <w:name w:val="Heading 3 Char"/>
    <w:link w:val="Heading3"/>
    <w:uiPriority w:val="9"/>
    <w:rsid w:val="00B25A5D"/>
    <w:rPr>
      <w:rFonts w:ascii="Arial" w:hAnsi="Arial"/>
      <w:b/>
      <w:bCs/>
      <w:sz w:val="28"/>
      <w:szCs w:val="26"/>
      <w:lang w:eastAsia="en-US"/>
    </w:rPr>
  </w:style>
  <w:style w:type="character" w:customStyle="1" w:styleId="Heading4Char">
    <w:name w:val="Heading 4 Char"/>
    <w:link w:val="Heading4"/>
    <w:uiPriority w:val="9"/>
    <w:rsid w:val="00B25A5D"/>
    <w:rPr>
      <w:rFonts w:ascii="Arial" w:hAnsi="Arial"/>
      <w:b/>
      <w:bCs/>
      <w:sz w:val="24"/>
      <w:szCs w:val="28"/>
      <w:lang w:eastAsia="en-US"/>
    </w:rPr>
  </w:style>
  <w:style w:type="character" w:customStyle="1" w:styleId="Heading5Char">
    <w:name w:val="Heading 5 Char"/>
    <w:link w:val="Heading5"/>
    <w:uiPriority w:val="9"/>
    <w:semiHidden/>
    <w:rsid w:val="001C3A41"/>
    <w:rPr>
      <w:rFonts w:ascii="Calibri" w:hAnsi="Calibri"/>
      <w:b/>
      <w:bCs/>
      <w:i/>
      <w:iCs/>
      <w:sz w:val="26"/>
      <w:szCs w:val="26"/>
      <w:lang w:eastAsia="en-US"/>
    </w:rPr>
  </w:style>
  <w:style w:type="character" w:customStyle="1" w:styleId="Heading6Char">
    <w:name w:val="Heading 6 Char"/>
    <w:link w:val="Heading6"/>
    <w:uiPriority w:val="9"/>
    <w:semiHidden/>
    <w:rsid w:val="001C3A41"/>
    <w:rPr>
      <w:rFonts w:ascii="Calibri" w:hAnsi="Calibri"/>
      <w:b/>
      <w:bCs/>
      <w:sz w:val="22"/>
      <w:szCs w:val="22"/>
      <w:lang w:eastAsia="en-US"/>
    </w:rPr>
  </w:style>
  <w:style w:type="character" w:customStyle="1" w:styleId="Heading7Char">
    <w:name w:val="Heading 7 Char"/>
    <w:link w:val="Heading7"/>
    <w:uiPriority w:val="9"/>
    <w:semiHidden/>
    <w:rsid w:val="001C3A41"/>
    <w:rPr>
      <w:rFonts w:ascii="Calibri" w:hAnsi="Calibri"/>
      <w:sz w:val="24"/>
      <w:szCs w:val="24"/>
      <w:lang w:eastAsia="en-US"/>
    </w:rPr>
  </w:style>
  <w:style w:type="character" w:customStyle="1" w:styleId="Heading8Char">
    <w:name w:val="Heading 8 Char"/>
    <w:link w:val="Heading8"/>
    <w:uiPriority w:val="9"/>
    <w:semiHidden/>
    <w:rsid w:val="001C3A41"/>
    <w:rPr>
      <w:rFonts w:ascii="Calibri" w:hAnsi="Calibri"/>
      <w:i/>
      <w:iCs/>
      <w:sz w:val="24"/>
      <w:szCs w:val="24"/>
      <w:lang w:eastAsia="en-US"/>
    </w:rPr>
  </w:style>
  <w:style w:type="character" w:customStyle="1" w:styleId="Heading9Char">
    <w:name w:val="Heading 9 Char"/>
    <w:link w:val="Heading9"/>
    <w:uiPriority w:val="9"/>
    <w:semiHidden/>
    <w:rsid w:val="001C3A41"/>
    <w:rPr>
      <w:rFonts w:ascii="Cambria" w:hAnsi="Cambria"/>
      <w:sz w:val="22"/>
      <w:szCs w:val="22"/>
      <w:lang w:eastAsia="en-US"/>
    </w:rPr>
  </w:style>
  <w:style w:type="character" w:styleId="CommentReference">
    <w:name w:val="annotation reference"/>
    <w:uiPriority w:val="99"/>
    <w:unhideWhenUsed/>
    <w:rsid w:val="004B6000"/>
    <w:rPr>
      <w:sz w:val="16"/>
      <w:szCs w:val="16"/>
    </w:rPr>
  </w:style>
  <w:style w:type="paragraph" w:styleId="CommentText">
    <w:name w:val="annotation text"/>
    <w:basedOn w:val="Normal"/>
    <w:link w:val="CommentTextChar"/>
    <w:uiPriority w:val="99"/>
    <w:unhideWhenUsed/>
    <w:rsid w:val="004B6000"/>
    <w:rPr>
      <w:sz w:val="20"/>
      <w:szCs w:val="20"/>
    </w:rPr>
  </w:style>
  <w:style w:type="character" w:customStyle="1" w:styleId="CommentTextChar">
    <w:name w:val="Comment Text Char"/>
    <w:link w:val="CommentText"/>
    <w:uiPriority w:val="99"/>
    <w:rsid w:val="004B6000"/>
    <w:rPr>
      <w:rFonts w:ascii="Arial" w:hAnsi="Arial" w:cs="Arial"/>
      <w:lang w:eastAsia="en-US"/>
    </w:rPr>
  </w:style>
  <w:style w:type="paragraph" w:styleId="BalloonText">
    <w:name w:val="Balloon Text"/>
    <w:basedOn w:val="Normal"/>
    <w:link w:val="BalloonTextChar"/>
    <w:rsid w:val="004B6000"/>
    <w:rPr>
      <w:rFonts w:ascii="Tahoma" w:hAnsi="Tahoma" w:cs="Tahoma"/>
      <w:sz w:val="16"/>
      <w:szCs w:val="16"/>
    </w:rPr>
  </w:style>
  <w:style w:type="character" w:customStyle="1" w:styleId="BalloonTextChar">
    <w:name w:val="Balloon Text Char"/>
    <w:link w:val="BalloonText"/>
    <w:rsid w:val="004B6000"/>
    <w:rPr>
      <w:rFonts w:ascii="Tahoma" w:hAnsi="Tahoma" w:cs="Tahoma"/>
      <w:sz w:val="16"/>
      <w:szCs w:val="16"/>
      <w:lang w:eastAsia="en-US"/>
    </w:rPr>
  </w:style>
  <w:style w:type="paragraph" w:styleId="Header">
    <w:name w:val="header"/>
    <w:basedOn w:val="Normal"/>
    <w:link w:val="HeaderChar"/>
    <w:rsid w:val="00E36FA0"/>
    <w:pPr>
      <w:tabs>
        <w:tab w:val="center" w:pos="4513"/>
        <w:tab w:val="right" w:pos="9026"/>
      </w:tabs>
    </w:pPr>
  </w:style>
  <w:style w:type="character" w:customStyle="1" w:styleId="HeaderChar">
    <w:name w:val="Header Char"/>
    <w:link w:val="Header"/>
    <w:rsid w:val="00E36FA0"/>
    <w:rPr>
      <w:rFonts w:ascii="Arial" w:hAnsi="Arial" w:cs="Arial"/>
      <w:sz w:val="24"/>
      <w:szCs w:val="24"/>
      <w:lang w:eastAsia="en-US"/>
    </w:rPr>
  </w:style>
  <w:style w:type="paragraph" w:styleId="Footer">
    <w:name w:val="footer"/>
    <w:basedOn w:val="Normal"/>
    <w:link w:val="FooterChar"/>
    <w:rsid w:val="00E36FA0"/>
    <w:pPr>
      <w:tabs>
        <w:tab w:val="center" w:pos="4513"/>
        <w:tab w:val="right" w:pos="9026"/>
      </w:tabs>
    </w:pPr>
  </w:style>
  <w:style w:type="character" w:customStyle="1" w:styleId="FooterChar">
    <w:name w:val="Footer Char"/>
    <w:link w:val="Footer"/>
    <w:rsid w:val="00E36FA0"/>
    <w:rPr>
      <w:rFonts w:ascii="Arial" w:hAnsi="Arial" w:cs="Arial"/>
      <w:sz w:val="24"/>
      <w:szCs w:val="24"/>
      <w:lang w:eastAsia="en-US"/>
    </w:rPr>
  </w:style>
  <w:style w:type="character" w:styleId="Strong">
    <w:name w:val="Strong"/>
    <w:uiPriority w:val="22"/>
    <w:qFormat/>
    <w:rsid w:val="005D48DE"/>
    <w:rPr>
      <w:b/>
      <w:bCs/>
    </w:rPr>
  </w:style>
  <w:style w:type="paragraph" w:styleId="FootnoteText">
    <w:name w:val="footnote text"/>
    <w:basedOn w:val="Normal"/>
    <w:link w:val="FootnoteTextChar"/>
    <w:uiPriority w:val="99"/>
    <w:unhideWhenUsed/>
    <w:rsid w:val="007D62DE"/>
    <w:rPr>
      <w:sz w:val="20"/>
      <w:szCs w:val="20"/>
    </w:rPr>
  </w:style>
  <w:style w:type="character" w:customStyle="1" w:styleId="FootnoteTextChar">
    <w:name w:val="Footnote Text Char"/>
    <w:link w:val="FootnoteText"/>
    <w:uiPriority w:val="99"/>
    <w:rsid w:val="007D62DE"/>
    <w:rPr>
      <w:rFonts w:ascii="Arial" w:hAnsi="Arial" w:cs="Arial"/>
      <w:lang w:eastAsia="en-US"/>
    </w:rPr>
  </w:style>
  <w:style w:type="character" w:styleId="FootnoteReference">
    <w:name w:val="footnote reference"/>
    <w:uiPriority w:val="99"/>
    <w:unhideWhenUsed/>
    <w:rsid w:val="007D62DE"/>
    <w:rPr>
      <w:vertAlign w:val="superscript"/>
    </w:rPr>
  </w:style>
  <w:style w:type="paragraph" w:styleId="CommentSubject">
    <w:name w:val="annotation subject"/>
    <w:basedOn w:val="CommentText"/>
    <w:next w:val="CommentText"/>
    <w:link w:val="CommentSubjectChar"/>
    <w:rsid w:val="00672554"/>
    <w:rPr>
      <w:b/>
      <w:bCs/>
    </w:rPr>
  </w:style>
  <w:style w:type="character" w:customStyle="1" w:styleId="CommentSubjectChar">
    <w:name w:val="Comment Subject Char"/>
    <w:link w:val="CommentSubject"/>
    <w:rsid w:val="00672554"/>
    <w:rPr>
      <w:rFonts w:ascii="Arial" w:hAnsi="Arial" w:cs="Arial"/>
      <w:b/>
      <w:bCs/>
      <w:lang w:eastAsia="en-US"/>
    </w:rPr>
  </w:style>
  <w:style w:type="paragraph" w:styleId="NormalWeb">
    <w:name w:val="Normal (Web)"/>
    <w:basedOn w:val="Normal"/>
    <w:uiPriority w:val="99"/>
    <w:unhideWhenUsed/>
    <w:rsid w:val="00734877"/>
    <w:pPr>
      <w:spacing w:after="135"/>
    </w:pPr>
    <w:rPr>
      <w:lang w:eastAsia="en-GB"/>
    </w:rPr>
  </w:style>
  <w:style w:type="paragraph" w:styleId="Subtitle">
    <w:name w:val="Subtitle"/>
    <w:basedOn w:val="Normal"/>
    <w:link w:val="SubtitleChar"/>
    <w:qFormat/>
    <w:rsid w:val="00B8644F"/>
    <w:pPr>
      <w:jc w:val="center"/>
    </w:pPr>
    <w:rPr>
      <w:rFonts w:cs="Times New Roman"/>
      <w:b/>
      <w:sz w:val="22"/>
      <w:szCs w:val="20"/>
      <w:u w:val="single"/>
      <w:lang w:val="x-none" w:eastAsia="x-none"/>
    </w:rPr>
  </w:style>
  <w:style w:type="character" w:customStyle="1" w:styleId="SubtitleChar">
    <w:name w:val="Subtitle Char"/>
    <w:link w:val="Subtitle"/>
    <w:rsid w:val="00B8644F"/>
    <w:rPr>
      <w:rFonts w:ascii="Arial" w:hAnsi="Arial"/>
      <w:b/>
      <w:sz w:val="22"/>
      <w:u w:val="single"/>
      <w:lang w:val="x-none" w:eastAsia="x-none"/>
    </w:rPr>
  </w:style>
  <w:style w:type="paragraph" w:customStyle="1" w:styleId="Default">
    <w:name w:val="Default"/>
    <w:rsid w:val="000171F1"/>
    <w:pPr>
      <w:autoSpaceDE w:val="0"/>
      <w:autoSpaceDN w:val="0"/>
      <w:adjustRightInd w:val="0"/>
    </w:pPr>
    <w:rPr>
      <w:rFonts w:ascii="Calibri" w:hAnsi="Calibri" w:cs="Calibri"/>
      <w:color w:val="000000"/>
      <w:sz w:val="24"/>
      <w:szCs w:val="24"/>
    </w:rPr>
  </w:style>
  <w:style w:type="paragraph" w:customStyle="1" w:styleId="Heading2NU">
    <w:name w:val="Heading 2 NU"/>
    <w:basedOn w:val="Heading2"/>
    <w:link w:val="Heading2NUChar"/>
    <w:qFormat/>
    <w:rsid w:val="00AE6D7E"/>
  </w:style>
  <w:style w:type="character" w:customStyle="1" w:styleId="Heading2NUChar">
    <w:name w:val="Heading 2 NU Char"/>
    <w:basedOn w:val="Heading2Char"/>
    <w:link w:val="Heading2NU"/>
    <w:rsid w:val="00AE6D7E"/>
    <w:rPr>
      <w:rFonts w:ascii="Arial" w:hAnsi="Arial"/>
      <w:b/>
      <w:bCs/>
      <w:iCs/>
      <w:color w:val="000000"/>
      <w:sz w:val="28"/>
      <w:szCs w:val="28"/>
      <w:u w:val="single"/>
      <w:lang w:eastAsia="en-US"/>
    </w:rPr>
  </w:style>
  <w:style w:type="character" w:styleId="UnresolvedMention">
    <w:name w:val="Unresolved Mention"/>
    <w:basedOn w:val="DefaultParagraphFont"/>
    <w:uiPriority w:val="99"/>
    <w:semiHidden/>
    <w:unhideWhenUsed/>
    <w:rsid w:val="00935158"/>
    <w:rPr>
      <w:color w:val="605E5C"/>
      <w:shd w:val="clear" w:color="auto" w:fill="E1DFDD"/>
    </w:rPr>
  </w:style>
  <w:style w:type="paragraph" w:styleId="Revision">
    <w:name w:val="Revision"/>
    <w:hidden/>
    <w:uiPriority w:val="99"/>
    <w:semiHidden/>
    <w:rsid w:val="00D44229"/>
    <w:rPr>
      <w:rFonts w:ascii="Arial" w:hAnsi="Arial" w:cs="Arial"/>
      <w:sz w:val="24"/>
      <w:szCs w:val="24"/>
      <w:lang w:eastAsia="en-US"/>
    </w:rPr>
  </w:style>
  <w:style w:type="paragraph" w:styleId="ListBullet">
    <w:name w:val="List Bullet"/>
    <w:basedOn w:val="Normal"/>
    <w:unhideWhenUsed/>
    <w:rsid w:val="005911E2"/>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Benett@ashfield.gov.uk" TargetMode="External"/><Relationship Id="rId3" Type="http://schemas.openxmlformats.org/officeDocument/2006/relationships/styles" Target="styles.xml"/><Relationship Id="rId7" Type="http://schemas.openxmlformats.org/officeDocument/2006/relationships/hyperlink" Target="https://www.ashfield.gov.uk/public-spaces-protection-order-20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53070-1A09-4105-B7DD-0DE5EBF8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3915</Words>
  <Characters>21102</Characters>
  <Application>Microsoft Office Word</Application>
  <DocSecurity>0</DocSecurity>
  <Lines>3014</Lines>
  <Paragraphs>1316</Paragraphs>
  <ScaleCrop>false</ScaleCrop>
  <HeadingPairs>
    <vt:vector size="2" baseType="variant">
      <vt:variant>
        <vt:lpstr>Title</vt:lpstr>
      </vt:variant>
      <vt:variant>
        <vt:i4>1</vt:i4>
      </vt:variant>
    </vt:vector>
  </HeadingPairs>
  <TitlesOfParts>
    <vt:vector size="1" baseType="lpstr">
      <vt:lpstr>Public Spaces Protection Order 2024 Cabinet Report - 08/04/2024</vt:lpstr>
    </vt:vector>
  </TitlesOfParts>
  <Company>ADC</Company>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Spaces Protection Order 2024 Cabinet Report - 08/04/2024</dc:title>
  <dc:creator>Antonio.Taylor</dc:creator>
  <cp:lastModifiedBy>Sharon.Simcox</cp:lastModifiedBy>
  <cp:revision>2</cp:revision>
  <cp:lastPrinted>2024-02-21T12:03:00Z</cp:lastPrinted>
  <dcterms:created xsi:type="dcterms:W3CDTF">2026-05-21T13:46:00Z</dcterms:created>
  <dcterms:modified xsi:type="dcterms:W3CDTF">2026-05-21T13:46:00Z</dcterms:modified>
</cp:coreProperties>
</file>