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ayout w:type="fixed"/>
        <w:tblLook w:val="01E0" w:firstRow="1" w:lastRow="1" w:firstColumn="1" w:lastColumn="1" w:noHBand="0" w:noVBand="0"/>
      </w:tblPr>
      <w:tblGrid>
        <w:gridCol w:w="2977"/>
        <w:gridCol w:w="3152"/>
        <w:gridCol w:w="1080"/>
        <w:gridCol w:w="3139"/>
      </w:tblGrid>
      <w:tr w:rsidR="001132A2" w:rsidTr="00BA7B9E">
        <w:trPr>
          <w:trHeight w:val="568"/>
        </w:trPr>
        <w:tc>
          <w:tcPr>
            <w:tcW w:w="2977" w:type="dxa"/>
            <w:tcBorders>
              <w:bottom w:val="thinThickSmallGap" w:sz="24" w:space="0" w:color="auto"/>
            </w:tcBorders>
            <w:vAlign w:val="center"/>
          </w:tcPr>
          <w:p w:rsidR="001807C4" w:rsidRPr="004908D8" w:rsidRDefault="00E73491" w:rsidP="00DD671D">
            <w:pPr>
              <w:tabs>
                <w:tab w:val="left" w:pos="4253"/>
              </w:tabs>
              <w:spacing w:before="120"/>
              <w:rPr>
                <w:b/>
                <w:color w:val="000000" w:themeColor="text1"/>
              </w:rPr>
            </w:pPr>
            <w:bookmarkStart w:id="0" w:name="_GoBack"/>
            <w:bookmarkEnd w:id="0"/>
          </w:p>
        </w:tc>
        <w:tc>
          <w:tcPr>
            <w:tcW w:w="3152" w:type="dxa"/>
            <w:tcBorders>
              <w:bottom w:val="thinThickSmallGap" w:sz="24" w:space="0" w:color="auto"/>
            </w:tcBorders>
            <w:vAlign w:val="center"/>
          </w:tcPr>
          <w:p w:rsidR="001807C4" w:rsidRDefault="00E73491" w:rsidP="00812E11">
            <w:pPr>
              <w:tabs>
                <w:tab w:val="left" w:pos="4253"/>
              </w:tabs>
              <w:spacing w:before="120"/>
              <w:rPr>
                <w:b/>
                <w:color w:val="000000" w:themeColor="text1"/>
              </w:rPr>
            </w:pPr>
          </w:p>
        </w:tc>
        <w:tc>
          <w:tcPr>
            <w:tcW w:w="1080" w:type="dxa"/>
            <w:tcBorders>
              <w:bottom w:val="thinThickSmallGap" w:sz="24" w:space="0" w:color="auto"/>
            </w:tcBorders>
            <w:vAlign w:val="center"/>
          </w:tcPr>
          <w:p w:rsidR="001807C4" w:rsidRPr="004908D8" w:rsidRDefault="00E73491" w:rsidP="00DD671D">
            <w:pPr>
              <w:tabs>
                <w:tab w:val="left" w:pos="4253"/>
              </w:tabs>
              <w:spacing w:before="120"/>
              <w:rPr>
                <w:b/>
                <w:color w:val="000000" w:themeColor="text1"/>
              </w:rPr>
            </w:pPr>
          </w:p>
        </w:tc>
        <w:tc>
          <w:tcPr>
            <w:tcW w:w="3139" w:type="dxa"/>
            <w:tcBorders>
              <w:left w:val="nil"/>
              <w:bottom w:val="thinThickSmallGap" w:sz="24" w:space="0" w:color="auto"/>
            </w:tcBorders>
            <w:vAlign w:val="center"/>
          </w:tcPr>
          <w:p w:rsidR="001807C4" w:rsidRDefault="00884E6A" w:rsidP="00DD671D">
            <w:pPr>
              <w:tabs>
                <w:tab w:val="left" w:pos="4253"/>
              </w:tabs>
              <w:spacing w:before="120"/>
              <w:rPr>
                <w:b/>
                <w:color w:val="000000" w:themeColor="text1"/>
              </w:rPr>
            </w:pPr>
            <w:r w:rsidRPr="001807C4">
              <w:rPr>
                <w:b/>
                <w:noProof/>
                <w:color w:val="000000" w:themeColor="text1"/>
                <w:lang w:eastAsia="en-GB"/>
              </w:rPr>
              <w:drawing>
                <wp:inline distT="0" distB="0" distL="0" distR="0">
                  <wp:extent cx="1943450" cy="1036049"/>
                  <wp:effectExtent l="0" t="0" r="0" b="0"/>
                  <wp:docPr id="1" name="Picture 1" descr="C:\Users\ad34001\AppData\Local\Microsoft\Windows\Temporary Internet Files\Content.Outlook\WFTJ196G\ANT-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34001\AppData\Local\Microsoft\Windows\Temporary Internet Files\Content.Outlook\WFTJ196G\ANT-DC.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77452" cy="1054175"/>
                          </a:xfrm>
                          <a:prstGeom prst="rect">
                            <a:avLst/>
                          </a:prstGeom>
                          <a:noFill/>
                          <a:ln>
                            <a:noFill/>
                          </a:ln>
                        </pic:spPr>
                      </pic:pic>
                    </a:graphicData>
                  </a:graphic>
                </wp:inline>
              </w:drawing>
            </w:r>
          </w:p>
        </w:tc>
      </w:tr>
      <w:tr w:rsidR="001132A2" w:rsidTr="00BA7B9E">
        <w:trPr>
          <w:trHeight w:val="568"/>
        </w:trPr>
        <w:tc>
          <w:tcPr>
            <w:tcW w:w="2977" w:type="dxa"/>
            <w:tcBorders>
              <w:top w:val="thinThickSmallGap" w:sz="24" w:space="0" w:color="auto"/>
              <w:left w:val="thinThickSmallGap" w:sz="24" w:space="0" w:color="auto"/>
              <w:bottom w:val="single" w:sz="4" w:space="0" w:color="auto"/>
              <w:right w:val="single" w:sz="4" w:space="0" w:color="auto"/>
            </w:tcBorders>
            <w:vAlign w:val="center"/>
          </w:tcPr>
          <w:p w:rsidR="00D51554" w:rsidRPr="004908D8" w:rsidRDefault="00884E6A" w:rsidP="00DD671D">
            <w:pPr>
              <w:tabs>
                <w:tab w:val="left" w:pos="4253"/>
              </w:tabs>
              <w:spacing w:before="120"/>
              <w:rPr>
                <w:b/>
                <w:color w:val="000000" w:themeColor="text1"/>
              </w:rPr>
            </w:pPr>
            <w:r w:rsidRPr="004908D8">
              <w:rPr>
                <w:b/>
                <w:color w:val="000000" w:themeColor="text1"/>
              </w:rPr>
              <w:t>Report To:</w:t>
            </w:r>
          </w:p>
        </w:tc>
        <w:tc>
          <w:tcPr>
            <w:tcW w:w="3152" w:type="dxa"/>
            <w:tcBorders>
              <w:top w:val="thinThickSmallGap" w:sz="24" w:space="0" w:color="auto"/>
              <w:left w:val="single" w:sz="4" w:space="0" w:color="auto"/>
              <w:bottom w:val="single" w:sz="4" w:space="0" w:color="auto"/>
              <w:right w:val="single" w:sz="4" w:space="0" w:color="auto"/>
            </w:tcBorders>
            <w:vAlign w:val="center"/>
          </w:tcPr>
          <w:p w:rsidR="00D51554" w:rsidRPr="005050AF" w:rsidRDefault="00884E6A" w:rsidP="00812E11">
            <w:pPr>
              <w:tabs>
                <w:tab w:val="left" w:pos="4253"/>
              </w:tabs>
              <w:spacing w:before="120"/>
              <w:rPr>
                <w:b/>
                <w:color w:val="000000" w:themeColor="text1"/>
              </w:rPr>
            </w:pPr>
            <w:r>
              <w:rPr>
                <w:b/>
                <w:color w:val="000000" w:themeColor="text1"/>
              </w:rPr>
              <w:t>CABINET</w:t>
            </w:r>
          </w:p>
        </w:tc>
        <w:tc>
          <w:tcPr>
            <w:tcW w:w="1080" w:type="dxa"/>
            <w:tcBorders>
              <w:top w:val="thinThickSmallGap" w:sz="24" w:space="0" w:color="auto"/>
              <w:left w:val="single" w:sz="4" w:space="0" w:color="auto"/>
              <w:bottom w:val="single" w:sz="4" w:space="0" w:color="auto"/>
              <w:right w:val="single" w:sz="4" w:space="0" w:color="auto"/>
            </w:tcBorders>
            <w:vAlign w:val="center"/>
          </w:tcPr>
          <w:p w:rsidR="00D51554" w:rsidRPr="004908D8" w:rsidRDefault="00884E6A" w:rsidP="005956D0">
            <w:pPr>
              <w:tabs>
                <w:tab w:val="left" w:pos="4253"/>
              </w:tabs>
              <w:spacing w:before="120"/>
              <w:rPr>
                <w:b/>
                <w:color w:val="000000" w:themeColor="text1"/>
              </w:rPr>
            </w:pPr>
            <w:r>
              <w:rPr>
                <w:b/>
                <w:color w:val="000000" w:themeColor="text1"/>
              </w:rPr>
              <w:t>Date</w:t>
            </w:r>
            <w:r w:rsidRPr="004908D8">
              <w:rPr>
                <w:b/>
                <w:color w:val="000000" w:themeColor="text1"/>
              </w:rPr>
              <w:t>:</w:t>
            </w:r>
          </w:p>
        </w:tc>
        <w:tc>
          <w:tcPr>
            <w:tcW w:w="3139" w:type="dxa"/>
            <w:tcBorders>
              <w:top w:val="thinThickSmallGap" w:sz="24" w:space="0" w:color="auto"/>
              <w:left w:val="single" w:sz="4" w:space="0" w:color="auto"/>
              <w:bottom w:val="single" w:sz="4" w:space="0" w:color="auto"/>
              <w:right w:val="thickThinSmallGap" w:sz="24" w:space="0" w:color="auto"/>
            </w:tcBorders>
            <w:vAlign w:val="center"/>
          </w:tcPr>
          <w:p w:rsidR="00D51554" w:rsidRPr="000E0F3B" w:rsidRDefault="00884E6A" w:rsidP="00016D97">
            <w:pPr>
              <w:tabs>
                <w:tab w:val="left" w:pos="4253"/>
              </w:tabs>
              <w:spacing w:before="120"/>
              <w:rPr>
                <w:b/>
                <w:color w:val="000000" w:themeColor="text1"/>
              </w:rPr>
            </w:pPr>
            <w:r w:rsidRPr="00C25462">
              <w:rPr>
                <w:b/>
                <w:color w:val="000000" w:themeColor="text1"/>
              </w:rPr>
              <w:t>18</w:t>
            </w:r>
            <w:r>
              <w:rPr>
                <w:b/>
                <w:color w:val="000000" w:themeColor="text1"/>
              </w:rPr>
              <w:t xml:space="preserve"> </w:t>
            </w:r>
            <w:r w:rsidRPr="00C25462">
              <w:rPr>
                <w:b/>
                <w:color w:val="000000" w:themeColor="text1"/>
              </w:rPr>
              <w:t>FEBRUARY 2019</w:t>
            </w:r>
          </w:p>
        </w:tc>
      </w:tr>
      <w:tr w:rsidR="001132A2" w:rsidTr="00BA7B9E">
        <w:trPr>
          <w:trHeight w:val="577"/>
        </w:trPr>
        <w:tc>
          <w:tcPr>
            <w:tcW w:w="2977" w:type="dxa"/>
            <w:tcBorders>
              <w:top w:val="single" w:sz="4" w:space="0" w:color="auto"/>
              <w:left w:val="thinThickSmallGap" w:sz="24" w:space="0" w:color="auto"/>
              <w:bottom w:val="single" w:sz="4" w:space="0" w:color="auto"/>
              <w:right w:val="single" w:sz="4" w:space="0" w:color="auto"/>
            </w:tcBorders>
            <w:vAlign w:val="center"/>
          </w:tcPr>
          <w:p w:rsidR="00D51554" w:rsidRPr="004908D8" w:rsidRDefault="00884E6A" w:rsidP="00DD671D">
            <w:pPr>
              <w:tabs>
                <w:tab w:val="left" w:pos="3294"/>
              </w:tabs>
              <w:rPr>
                <w:b/>
                <w:caps/>
                <w:color w:val="000000" w:themeColor="text1"/>
              </w:rPr>
            </w:pPr>
            <w:r w:rsidRPr="004908D8">
              <w:rPr>
                <w:b/>
                <w:color w:val="000000" w:themeColor="text1"/>
              </w:rPr>
              <w:t>Heading:</w:t>
            </w:r>
          </w:p>
        </w:tc>
        <w:tc>
          <w:tcPr>
            <w:tcW w:w="7371" w:type="dxa"/>
            <w:gridSpan w:val="3"/>
            <w:tcBorders>
              <w:top w:val="single" w:sz="4" w:space="0" w:color="auto"/>
              <w:left w:val="single" w:sz="4" w:space="0" w:color="auto"/>
              <w:bottom w:val="single" w:sz="4" w:space="0" w:color="auto"/>
              <w:right w:val="thickThinSmallGap" w:sz="24" w:space="0" w:color="auto"/>
            </w:tcBorders>
            <w:vAlign w:val="center"/>
          </w:tcPr>
          <w:p w:rsidR="00D51554" w:rsidRPr="005050AF" w:rsidRDefault="00884E6A" w:rsidP="009513CF">
            <w:pPr>
              <w:outlineLvl w:val="0"/>
              <w:rPr>
                <w:b/>
                <w:caps/>
                <w:color w:val="000000" w:themeColor="text1"/>
              </w:rPr>
            </w:pPr>
            <w:r>
              <w:rPr>
                <w:b/>
                <w:caps/>
                <w:color w:val="000000" w:themeColor="text1"/>
              </w:rPr>
              <w:t>CAPITAL STRATEGY</w:t>
            </w:r>
          </w:p>
        </w:tc>
      </w:tr>
      <w:tr w:rsidR="001132A2" w:rsidTr="00BA7B9E">
        <w:trPr>
          <w:trHeight w:val="541"/>
        </w:trPr>
        <w:tc>
          <w:tcPr>
            <w:tcW w:w="2977" w:type="dxa"/>
            <w:tcBorders>
              <w:top w:val="single" w:sz="4" w:space="0" w:color="auto"/>
              <w:left w:val="thinThickSmallGap" w:sz="24" w:space="0" w:color="auto"/>
              <w:bottom w:val="single" w:sz="4" w:space="0" w:color="auto"/>
              <w:right w:val="single" w:sz="4" w:space="0" w:color="auto"/>
            </w:tcBorders>
            <w:vAlign w:val="center"/>
          </w:tcPr>
          <w:p w:rsidR="00D51554" w:rsidRPr="004908D8" w:rsidRDefault="00884E6A" w:rsidP="00DD671D">
            <w:pPr>
              <w:tabs>
                <w:tab w:val="left" w:pos="3294"/>
              </w:tabs>
              <w:rPr>
                <w:b/>
                <w:caps/>
                <w:color w:val="000000" w:themeColor="text1"/>
              </w:rPr>
            </w:pPr>
            <w:r w:rsidRPr="004908D8">
              <w:rPr>
                <w:b/>
                <w:color w:val="000000" w:themeColor="text1"/>
              </w:rPr>
              <w:t>Portfolio Holder:</w:t>
            </w:r>
          </w:p>
        </w:tc>
        <w:tc>
          <w:tcPr>
            <w:tcW w:w="7371" w:type="dxa"/>
            <w:gridSpan w:val="3"/>
            <w:tcBorders>
              <w:top w:val="single" w:sz="4" w:space="0" w:color="auto"/>
              <w:left w:val="single" w:sz="4" w:space="0" w:color="auto"/>
              <w:bottom w:val="single" w:sz="4" w:space="0" w:color="auto"/>
              <w:right w:val="thickThinSmallGap" w:sz="24" w:space="0" w:color="auto"/>
            </w:tcBorders>
            <w:vAlign w:val="center"/>
          </w:tcPr>
          <w:p w:rsidR="00D51554" w:rsidRPr="005050AF" w:rsidRDefault="00884E6A" w:rsidP="00E9483B">
            <w:pPr>
              <w:tabs>
                <w:tab w:val="left" w:pos="4253"/>
              </w:tabs>
              <w:spacing w:before="120"/>
              <w:rPr>
                <w:b/>
                <w:caps/>
                <w:color w:val="000000" w:themeColor="text1"/>
              </w:rPr>
            </w:pPr>
            <w:r w:rsidRPr="00331768">
              <w:rPr>
                <w:b/>
              </w:rPr>
              <w:t>CABINET MEMBER (INWARD)</w:t>
            </w:r>
            <w:r>
              <w:rPr>
                <w:b/>
              </w:rPr>
              <w:t xml:space="preserve">, </w:t>
            </w:r>
            <w:r w:rsidRPr="00331768">
              <w:rPr>
                <w:b/>
              </w:rPr>
              <w:t>COUNCILLOR ROBERT SEARS-PICCAVEY</w:t>
            </w:r>
          </w:p>
        </w:tc>
      </w:tr>
      <w:tr w:rsidR="001132A2" w:rsidTr="00BA7B9E">
        <w:trPr>
          <w:trHeight w:val="541"/>
        </w:trPr>
        <w:tc>
          <w:tcPr>
            <w:tcW w:w="2977" w:type="dxa"/>
            <w:tcBorders>
              <w:top w:val="single" w:sz="4" w:space="0" w:color="auto"/>
              <w:left w:val="thinThickSmallGap" w:sz="24" w:space="0" w:color="auto"/>
              <w:bottom w:val="single" w:sz="4" w:space="0" w:color="auto"/>
              <w:right w:val="single" w:sz="4" w:space="0" w:color="auto"/>
            </w:tcBorders>
            <w:vAlign w:val="center"/>
          </w:tcPr>
          <w:p w:rsidR="001807C4" w:rsidRPr="004908D8" w:rsidRDefault="00884E6A" w:rsidP="00016D97">
            <w:pPr>
              <w:tabs>
                <w:tab w:val="left" w:pos="3294"/>
              </w:tabs>
              <w:rPr>
                <w:b/>
                <w:caps/>
                <w:color w:val="000000" w:themeColor="text1"/>
              </w:rPr>
            </w:pPr>
            <w:r>
              <w:rPr>
                <w:b/>
                <w:color w:val="000000" w:themeColor="text1"/>
              </w:rPr>
              <w:t xml:space="preserve">Ward/s: </w:t>
            </w:r>
          </w:p>
        </w:tc>
        <w:tc>
          <w:tcPr>
            <w:tcW w:w="7371" w:type="dxa"/>
            <w:gridSpan w:val="3"/>
            <w:tcBorders>
              <w:top w:val="single" w:sz="4" w:space="0" w:color="auto"/>
              <w:left w:val="single" w:sz="4" w:space="0" w:color="auto"/>
              <w:bottom w:val="single" w:sz="4" w:space="0" w:color="auto"/>
              <w:right w:val="thickThinSmallGap" w:sz="24" w:space="0" w:color="auto"/>
            </w:tcBorders>
            <w:vAlign w:val="center"/>
          </w:tcPr>
          <w:p w:rsidR="001807C4" w:rsidRPr="005050AF" w:rsidRDefault="00884E6A" w:rsidP="00672554">
            <w:pPr>
              <w:tabs>
                <w:tab w:val="left" w:pos="4253"/>
              </w:tabs>
              <w:spacing w:before="120"/>
              <w:rPr>
                <w:b/>
                <w:caps/>
                <w:color w:val="000000" w:themeColor="text1"/>
              </w:rPr>
            </w:pPr>
            <w:r>
              <w:rPr>
                <w:b/>
                <w:caps/>
                <w:color w:val="000000" w:themeColor="text1"/>
              </w:rPr>
              <w:t>All</w:t>
            </w:r>
          </w:p>
        </w:tc>
      </w:tr>
      <w:tr w:rsidR="001132A2" w:rsidTr="00BA7B9E">
        <w:trPr>
          <w:trHeight w:val="541"/>
        </w:trPr>
        <w:tc>
          <w:tcPr>
            <w:tcW w:w="2977" w:type="dxa"/>
            <w:tcBorders>
              <w:top w:val="single" w:sz="4" w:space="0" w:color="auto"/>
              <w:left w:val="thinThickSmallGap" w:sz="24" w:space="0" w:color="auto"/>
              <w:bottom w:val="single" w:sz="4" w:space="0" w:color="auto"/>
              <w:right w:val="single" w:sz="4" w:space="0" w:color="auto"/>
            </w:tcBorders>
            <w:vAlign w:val="center"/>
          </w:tcPr>
          <w:p w:rsidR="009513CF" w:rsidRDefault="00884E6A" w:rsidP="00016D97">
            <w:pPr>
              <w:tabs>
                <w:tab w:val="left" w:pos="3294"/>
              </w:tabs>
              <w:rPr>
                <w:b/>
                <w:caps/>
                <w:color w:val="000000" w:themeColor="text1"/>
              </w:rPr>
            </w:pPr>
            <w:r w:rsidRPr="004908D8">
              <w:rPr>
                <w:b/>
                <w:color w:val="000000" w:themeColor="text1"/>
              </w:rPr>
              <w:t>Key Decision:</w:t>
            </w:r>
          </w:p>
        </w:tc>
        <w:tc>
          <w:tcPr>
            <w:tcW w:w="7371" w:type="dxa"/>
            <w:gridSpan w:val="3"/>
            <w:tcBorders>
              <w:top w:val="single" w:sz="4" w:space="0" w:color="auto"/>
              <w:left w:val="single" w:sz="4" w:space="0" w:color="auto"/>
              <w:bottom w:val="single" w:sz="4" w:space="0" w:color="auto"/>
              <w:right w:val="thickThinSmallGap" w:sz="24" w:space="0" w:color="auto"/>
            </w:tcBorders>
            <w:vAlign w:val="center"/>
          </w:tcPr>
          <w:p w:rsidR="009513CF" w:rsidRPr="00BC5977" w:rsidRDefault="00884E6A" w:rsidP="00C25462">
            <w:pPr>
              <w:tabs>
                <w:tab w:val="left" w:pos="4253"/>
              </w:tabs>
              <w:spacing w:before="120"/>
              <w:rPr>
                <w:b/>
                <w:color w:val="000000" w:themeColor="text1"/>
              </w:rPr>
            </w:pPr>
            <w:r>
              <w:rPr>
                <w:b/>
              </w:rPr>
              <w:t>YES</w:t>
            </w:r>
          </w:p>
        </w:tc>
      </w:tr>
      <w:tr w:rsidR="001132A2" w:rsidTr="00BA7B9E">
        <w:trPr>
          <w:trHeight w:val="541"/>
        </w:trPr>
        <w:tc>
          <w:tcPr>
            <w:tcW w:w="2977" w:type="dxa"/>
            <w:tcBorders>
              <w:top w:val="single" w:sz="4" w:space="0" w:color="auto"/>
              <w:left w:val="thinThickSmallGap" w:sz="24" w:space="0" w:color="auto"/>
              <w:bottom w:val="thickThinSmallGap" w:sz="24" w:space="0" w:color="auto"/>
              <w:right w:val="single" w:sz="4" w:space="0" w:color="auto"/>
            </w:tcBorders>
            <w:vAlign w:val="center"/>
          </w:tcPr>
          <w:p w:rsidR="009513CF" w:rsidRPr="004908D8" w:rsidRDefault="00884E6A" w:rsidP="00933467">
            <w:pPr>
              <w:tabs>
                <w:tab w:val="left" w:pos="3294"/>
              </w:tabs>
              <w:rPr>
                <w:b/>
                <w:color w:val="000000" w:themeColor="text1"/>
              </w:rPr>
            </w:pPr>
            <w:r w:rsidRPr="004908D8">
              <w:rPr>
                <w:b/>
                <w:color w:val="000000" w:themeColor="text1"/>
              </w:rPr>
              <w:t xml:space="preserve">Subject </w:t>
            </w:r>
            <w:r>
              <w:rPr>
                <w:b/>
                <w:color w:val="000000" w:themeColor="text1"/>
              </w:rPr>
              <w:t>t</w:t>
            </w:r>
            <w:r w:rsidRPr="004908D8">
              <w:rPr>
                <w:b/>
                <w:color w:val="000000" w:themeColor="text1"/>
              </w:rPr>
              <w:t>o Call-In:</w:t>
            </w:r>
          </w:p>
        </w:tc>
        <w:tc>
          <w:tcPr>
            <w:tcW w:w="7371" w:type="dxa"/>
            <w:gridSpan w:val="3"/>
            <w:tcBorders>
              <w:top w:val="single" w:sz="4" w:space="0" w:color="auto"/>
              <w:left w:val="single" w:sz="4" w:space="0" w:color="auto"/>
              <w:bottom w:val="thickThinSmallGap" w:sz="24" w:space="0" w:color="auto"/>
              <w:right w:val="thickThinSmallGap" w:sz="24" w:space="0" w:color="auto"/>
            </w:tcBorders>
            <w:vAlign w:val="center"/>
          </w:tcPr>
          <w:p w:rsidR="009513CF" w:rsidRPr="00BC5977" w:rsidRDefault="00884E6A" w:rsidP="00672554">
            <w:pPr>
              <w:tabs>
                <w:tab w:val="left" w:pos="4253"/>
              </w:tabs>
              <w:spacing w:before="120"/>
              <w:rPr>
                <w:b/>
                <w:color w:val="000000" w:themeColor="text1"/>
              </w:rPr>
            </w:pPr>
            <w:r>
              <w:rPr>
                <w:b/>
                <w:color w:val="000000" w:themeColor="text1"/>
              </w:rPr>
              <w:t>YES</w:t>
            </w:r>
          </w:p>
        </w:tc>
      </w:tr>
    </w:tbl>
    <w:p w:rsidR="00944081" w:rsidRDefault="00E73491"/>
    <w:p w:rsidR="00BA7B9E" w:rsidRPr="00BA7B9E" w:rsidRDefault="00884E6A">
      <w:pPr>
        <w:rPr>
          <w:b/>
          <w:u w:val="single"/>
        </w:rPr>
      </w:pPr>
      <w:r w:rsidRPr="00BA7B9E">
        <w:rPr>
          <w:b/>
          <w:u w:val="single"/>
        </w:rPr>
        <w:t>Purpose of Report</w:t>
      </w:r>
    </w:p>
    <w:p w:rsidR="00BA7B9E" w:rsidRDefault="00E73491"/>
    <w:p w:rsidR="00C25462" w:rsidRDefault="00884E6A" w:rsidP="008B0DEC">
      <w:pPr>
        <w:autoSpaceDE w:val="0"/>
        <w:autoSpaceDN w:val="0"/>
        <w:adjustRightInd w:val="0"/>
        <w:ind w:left="720"/>
        <w:rPr>
          <w:lang w:eastAsia="en-GB"/>
        </w:rPr>
      </w:pPr>
      <w:r>
        <w:rPr>
          <w:lang w:eastAsia="en-GB"/>
        </w:rPr>
        <w:t>1. The Chartered Institute of Public Finance and Accountancy (CIPFA) updated the Prudential Code for Capital Finance in Local Authorities in December 2017. The framework established by the Prudential Code supports local strategic planning, local asset management planning and proper option appraisal.</w:t>
      </w:r>
    </w:p>
    <w:p w:rsidR="00C25462" w:rsidRDefault="00E73491" w:rsidP="00C25462">
      <w:pPr>
        <w:autoSpaceDE w:val="0"/>
        <w:autoSpaceDN w:val="0"/>
        <w:adjustRightInd w:val="0"/>
        <w:rPr>
          <w:lang w:eastAsia="en-GB"/>
        </w:rPr>
      </w:pPr>
    </w:p>
    <w:p w:rsidR="00C25462" w:rsidRDefault="00884E6A" w:rsidP="008B0DEC">
      <w:pPr>
        <w:autoSpaceDE w:val="0"/>
        <w:autoSpaceDN w:val="0"/>
        <w:adjustRightInd w:val="0"/>
        <w:ind w:left="720"/>
        <w:rPr>
          <w:lang w:eastAsia="en-GB"/>
        </w:rPr>
      </w:pPr>
      <w:r>
        <w:rPr>
          <w:lang w:eastAsia="en-GB"/>
        </w:rPr>
        <w:t>2. The objectives of the Prudential Code are to ensure that the capital expenditure plans of local authorities are affordable, prudent and sustainable and that treasury management decisions are taken in accordance with good professional practice and in full understanding of the risks involved.</w:t>
      </w:r>
    </w:p>
    <w:p w:rsidR="00C25462" w:rsidRDefault="00E73491" w:rsidP="00C25462">
      <w:pPr>
        <w:autoSpaceDE w:val="0"/>
        <w:autoSpaceDN w:val="0"/>
        <w:adjustRightInd w:val="0"/>
        <w:rPr>
          <w:lang w:eastAsia="en-GB"/>
        </w:rPr>
      </w:pPr>
    </w:p>
    <w:p w:rsidR="00C25462" w:rsidRDefault="00884E6A" w:rsidP="008B0DEC">
      <w:pPr>
        <w:autoSpaceDE w:val="0"/>
        <w:autoSpaceDN w:val="0"/>
        <w:adjustRightInd w:val="0"/>
        <w:ind w:left="720"/>
        <w:rPr>
          <w:lang w:eastAsia="en-GB"/>
        </w:rPr>
      </w:pPr>
      <w:r>
        <w:rPr>
          <w:lang w:eastAsia="en-GB"/>
        </w:rPr>
        <w:t>3. The Prudential Code requires authorities to look at capital expenditure and investment plans in the light of overall organisational strategy and resources and ensure that decisions are made with sufficient regard to the long term financing implications and potential risks to the authority.</w:t>
      </w:r>
    </w:p>
    <w:p w:rsidR="00C25462" w:rsidRDefault="00E73491" w:rsidP="00C25462">
      <w:pPr>
        <w:autoSpaceDE w:val="0"/>
        <w:autoSpaceDN w:val="0"/>
        <w:adjustRightInd w:val="0"/>
        <w:rPr>
          <w:lang w:eastAsia="en-GB"/>
        </w:rPr>
      </w:pPr>
    </w:p>
    <w:p w:rsidR="00B512CD" w:rsidRDefault="00884E6A" w:rsidP="008B0DEC">
      <w:pPr>
        <w:autoSpaceDE w:val="0"/>
        <w:autoSpaceDN w:val="0"/>
        <w:adjustRightInd w:val="0"/>
        <w:ind w:left="720"/>
        <w:rPr>
          <w:lang w:eastAsia="en-GB"/>
        </w:rPr>
      </w:pPr>
      <w:r>
        <w:rPr>
          <w:lang w:eastAsia="en-GB"/>
        </w:rPr>
        <w:t xml:space="preserve">4. The Prudential Code sets out that in order to demonstrate that the authority takes capital expenditure and investment decisions in line with service objectives and properly takes account of stewardship, value for money, prudence, sustainability and affordability, authorities should have in place a Capital Strategy. </w:t>
      </w:r>
    </w:p>
    <w:p w:rsidR="00B512CD" w:rsidRDefault="00E73491" w:rsidP="00C25462">
      <w:pPr>
        <w:autoSpaceDE w:val="0"/>
        <w:autoSpaceDN w:val="0"/>
        <w:adjustRightInd w:val="0"/>
        <w:rPr>
          <w:lang w:eastAsia="en-GB"/>
        </w:rPr>
      </w:pPr>
    </w:p>
    <w:p w:rsidR="00C25462" w:rsidRDefault="00884E6A" w:rsidP="008B0DEC">
      <w:pPr>
        <w:autoSpaceDE w:val="0"/>
        <w:autoSpaceDN w:val="0"/>
        <w:adjustRightInd w:val="0"/>
        <w:ind w:left="720"/>
        <w:rPr>
          <w:lang w:eastAsia="en-GB"/>
        </w:rPr>
      </w:pPr>
      <w:r>
        <w:rPr>
          <w:lang w:eastAsia="en-GB"/>
        </w:rPr>
        <w:t>5. The Capital Strategy should set out the long term context in which capital expenditure and investment decisions are made and gives due consideration to both risk and reward and impact on the achievement of priority outcomes.</w:t>
      </w:r>
    </w:p>
    <w:p w:rsidR="00BA7B9E" w:rsidRDefault="00E73491"/>
    <w:p w:rsidR="00944081" w:rsidRDefault="00E73491"/>
    <w:p w:rsidR="007D59B3" w:rsidRDefault="00E73491"/>
    <w:p w:rsidR="007D59B3" w:rsidRDefault="00E73491"/>
    <w:p w:rsidR="0044476B" w:rsidRDefault="00E73491"/>
    <w:p w:rsidR="0044476B" w:rsidRDefault="00E73491"/>
    <w:p w:rsidR="0044476B" w:rsidRDefault="00E73491"/>
    <w:p w:rsidR="0044476B" w:rsidRDefault="00E73491"/>
    <w:p w:rsidR="0044476B" w:rsidRDefault="00E73491"/>
    <w:p w:rsidR="0044476B" w:rsidRDefault="00E73491"/>
    <w:p w:rsidR="0044476B" w:rsidRDefault="00E73491"/>
    <w:tbl>
      <w:tblPr>
        <w:tblW w:w="10378" w:type="dxa"/>
        <w:tblInd w:w="-45" w:type="dxa"/>
        <w:tblLayout w:type="fixed"/>
        <w:tblLook w:val="01E0" w:firstRow="1" w:lastRow="1" w:firstColumn="1" w:lastColumn="1" w:noHBand="0" w:noVBand="0"/>
      </w:tblPr>
      <w:tblGrid>
        <w:gridCol w:w="10378"/>
      </w:tblGrid>
      <w:tr w:rsidR="001132A2" w:rsidTr="00BA7B9E">
        <w:trPr>
          <w:trHeight w:val="1693"/>
        </w:trPr>
        <w:tc>
          <w:tcPr>
            <w:tcW w:w="10378" w:type="dxa"/>
            <w:tcBorders>
              <w:top w:val="thinThickSmallGap" w:sz="24" w:space="0" w:color="auto"/>
              <w:left w:val="thinThickSmallGap" w:sz="24" w:space="0" w:color="auto"/>
              <w:bottom w:val="thickThinSmallGap" w:sz="24" w:space="0" w:color="auto"/>
              <w:right w:val="thickThinSmallGap" w:sz="24" w:space="0" w:color="auto"/>
            </w:tcBorders>
          </w:tcPr>
          <w:p w:rsidR="005050AF" w:rsidRDefault="00884E6A" w:rsidP="005050AF">
            <w:pPr>
              <w:pStyle w:val="Heading1"/>
              <w:numPr>
                <w:ilvl w:val="0"/>
                <w:numId w:val="0"/>
              </w:numPr>
              <w:rPr>
                <w:rFonts w:ascii="Arial" w:hAnsi="Arial"/>
                <w:color w:val="000000" w:themeColor="text1"/>
                <w:sz w:val="24"/>
                <w:szCs w:val="24"/>
                <w:u w:val="single"/>
              </w:rPr>
            </w:pPr>
            <w:r w:rsidRPr="00CD24C5">
              <w:rPr>
                <w:rFonts w:ascii="Arial" w:hAnsi="Arial"/>
                <w:color w:val="000000" w:themeColor="text1"/>
                <w:sz w:val="24"/>
                <w:szCs w:val="24"/>
                <w:u w:val="single"/>
              </w:rPr>
              <w:t>Recommendation(s)</w:t>
            </w:r>
          </w:p>
          <w:p w:rsidR="005050AF" w:rsidRDefault="00E73491" w:rsidP="005050AF">
            <w:pPr>
              <w:rPr>
                <w:b/>
              </w:rPr>
            </w:pPr>
          </w:p>
          <w:p w:rsidR="0038311F" w:rsidRDefault="00884E6A" w:rsidP="005050AF">
            <w:pPr>
              <w:rPr>
                <w:b/>
              </w:rPr>
            </w:pPr>
            <w:r>
              <w:rPr>
                <w:b/>
              </w:rPr>
              <w:t>Cabinet recommends to Council:</w:t>
            </w:r>
          </w:p>
          <w:p w:rsidR="0038311F" w:rsidRPr="000D1004" w:rsidRDefault="00E73491" w:rsidP="005050AF">
            <w:pPr>
              <w:rPr>
                <w:b/>
              </w:rPr>
            </w:pPr>
          </w:p>
          <w:p w:rsidR="005050AF" w:rsidRDefault="00884E6A" w:rsidP="00B512CD">
            <w:pPr>
              <w:pStyle w:val="ListParagraph"/>
              <w:numPr>
                <w:ilvl w:val="0"/>
                <w:numId w:val="37"/>
              </w:numPr>
              <w:rPr>
                <w:b/>
              </w:rPr>
            </w:pPr>
            <w:r>
              <w:rPr>
                <w:b/>
              </w:rPr>
              <w:t>Approval of this proposed Capital Strategy;</w:t>
            </w:r>
          </w:p>
          <w:p w:rsidR="00B512CD" w:rsidRDefault="00884E6A" w:rsidP="0038311F">
            <w:pPr>
              <w:pStyle w:val="ListParagraph"/>
              <w:numPr>
                <w:ilvl w:val="0"/>
                <w:numId w:val="37"/>
              </w:numPr>
              <w:rPr>
                <w:b/>
              </w:rPr>
            </w:pPr>
            <w:r>
              <w:rPr>
                <w:b/>
              </w:rPr>
              <w:t>Approval of the proposed non treasury Investment Strategy contained within Appendix 1 to this report, and the annex which documents the process and responsibilities in respect of Commercial Property Investment; and</w:t>
            </w:r>
          </w:p>
          <w:p w:rsidR="0038311F" w:rsidRPr="00B512CD" w:rsidRDefault="00884E6A" w:rsidP="0044476B">
            <w:pPr>
              <w:pStyle w:val="ListParagraph"/>
              <w:numPr>
                <w:ilvl w:val="0"/>
                <w:numId w:val="37"/>
              </w:numPr>
              <w:rPr>
                <w:b/>
              </w:rPr>
            </w:pPr>
            <w:r>
              <w:rPr>
                <w:b/>
              </w:rPr>
              <w:t>That it notes that subject to the receipt and evaluation of expected CIPFA guidance in respect of Commercial Investment Property acquisitions it may be necessary to submit a revised Capital Strategy for Council approval (see Capital Strategy paragraph 6.2).</w:t>
            </w:r>
          </w:p>
        </w:tc>
      </w:tr>
    </w:tbl>
    <w:p w:rsidR="00944081" w:rsidRDefault="00E73491"/>
    <w:p w:rsidR="00BA7B9E" w:rsidRDefault="00E73491"/>
    <w:p w:rsidR="00BA7B9E" w:rsidRDefault="00884E6A">
      <w:pPr>
        <w:rPr>
          <w:b/>
          <w:u w:val="single"/>
        </w:rPr>
      </w:pPr>
      <w:r>
        <w:rPr>
          <w:b/>
          <w:u w:val="single"/>
        </w:rPr>
        <w:t>Reasons for Recommendation(s)</w:t>
      </w:r>
    </w:p>
    <w:p w:rsidR="00BA7B9E" w:rsidRDefault="00E73491"/>
    <w:p w:rsidR="007D59B3" w:rsidRPr="00B73CE8" w:rsidRDefault="00884E6A">
      <w:r>
        <w:t xml:space="preserve">The Capital Strategy provides an overarching framework on how capital investment decisions should be undertaken by the Authority. It is a statutory requirement to produce a Capital Strategy from 2019/20. </w:t>
      </w:r>
    </w:p>
    <w:p w:rsidR="00BA7B9E" w:rsidRPr="008C6A0C" w:rsidRDefault="00E73491"/>
    <w:p w:rsidR="00BA7B9E" w:rsidRDefault="00E73491">
      <w:pPr>
        <w:rPr>
          <w:b/>
          <w:u w:val="single"/>
        </w:rPr>
      </w:pPr>
    </w:p>
    <w:p w:rsidR="00CF111F" w:rsidRDefault="00884E6A">
      <w:pPr>
        <w:rPr>
          <w:b/>
          <w:u w:val="single"/>
        </w:rPr>
      </w:pPr>
      <w:r>
        <w:rPr>
          <w:b/>
          <w:u w:val="single"/>
        </w:rPr>
        <w:t>Alternative Options Considered</w:t>
      </w:r>
    </w:p>
    <w:p w:rsidR="007D59B3" w:rsidRDefault="00E73491">
      <w:pPr>
        <w:rPr>
          <w:i/>
        </w:rPr>
      </w:pPr>
    </w:p>
    <w:p w:rsidR="007D59B3" w:rsidRPr="007D59B3" w:rsidRDefault="00884E6A">
      <w:r>
        <w:t>To not have a Capital Strategy is not an option as this is a requirement of the CIPFA Prudential Code which all Local Authorities need to observe.</w:t>
      </w:r>
    </w:p>
    <w:p w:rsidR="00BA7B9E" w:rsidRDefault="00E73491"/>
    <w:p w:rsidR="00BA7B9E" w:rsidRPr="00BA7B9E" w:rsidRDefault="00884E6A">
      <w:pPr>
        <w:rPr>
          <w:b/>
          <w:u w:val="single"/>
        </w:rPr>
      </w:pPr>
      <w:r w:rsidRPr="00BA7B9E">
        <w:rPr>
          <w:b/>
          <w:u w:val="single"/>
        </w:rPr>
        <w:t>Detailed Information</w:t>
      </w:r>
    </w:p>
    <w:p w:rsidR="00BA7B9E" w:rsidRDefault="00E73491"/>
    <w:p w:rsidR="00507EBC" w:rsidRDefault="00884E6A" w:rsidP="00507EBC">
      <w:r>
        <w:t xml:space="preserve">The proposed Capital Strategy is contained in Appendix 1 and the </w:t>
      </w:r>
      <w:r w:rsidRPr="00507EBC">
        <w:t>Investment Property Acquisition Process</w:t>
      </w:r>
      <w:r>
        <w:t xml:space="preserve"> </w:t>
      </w:r>
      <w:r w:rsidRPr="00507EBC">
        <w:t>2019-2023</w:t>
      </w:r>
      <w:r>
        <w:t xml:space="preserve"> is included as Annex 1 to Appendix 1.</w:t>
      </w:r>
    </w:p>
    <w:p w:rsidR="00E35B3A" w:rsidRDefault="00E73491" w:rsidP="00507EBC"/>
    <w:p w:rsidR="00E35B3A" w:rsidRDefault="00884E6A" w:rsidP="00507EBC">
      <w:r>
        <w:t>It should be noted that currently Local Authorities are awaiting further Guidance from CIPFA in respect of the acquisition of Commercial Investment Properties. Subject to the receipt and evaluation of this guidance it may be necessary to subsequently revise this proposed Strategy and resubmit for Council approval.</w:t>
      </w:r>
    </w:p>
    <w:p w:rsidR="00E35B3A" w:rsidRDefault="00E73491" w:rsidP="00507EBC"/>
    <w:p w:rsidR="00E35B3A" w:rsidRDefault="00884E6A" w:rsidP="00507EBC">
      <w:r>
        <w:t xml:space="preserve">A key concern around Local Authorities acquiring Commercial Investment Properties is ‘proportionality’ – the degree of reliance on rental income to support the provision of local service delivery. Taking into account the net income from these types of investment (after allowing for Minimum Revenue Provision (MRP) and Interest costs), it is considered that the Council’s current and proposed investment into Commercial Properties is ‘proportionate’. The guidance, once received may provide further clarification around this.   </w:t>
      </w:r>
    </w:p>
    <w:p w:rsidR="00E35B3A" w:rsidRDefault="00E73491" w:rsidP="00507EBC"/>
    <w:p w:rsidR="00E35B3A" w:rsidRDefault="00884E6A" w:rsidP="00507EBC">
      <w:r>
        <w:t>There is always a degree of risk associated with investments, however the Council is risk aware and has robust procedures in place to manage these risks (See Appendix 1 and Annex 1).</w:t>
      </w:r>
    </w:p>
    <w:p w:rsidR="00E35B3A" w:rsidRDefault="00E73491" w:rsidP="00507EBC"/>
    <w:p w:rsidR="0044476B" w:rsidRDefault="00884E6A" w:rsidP="00507EBC">
      <w:r>
        <w:t xml:space="preserve"> </w:t>
      </w:r>
    </w:p>
    <w:p w:rsidR="0044476B" w:rsidRPr="00507EBC" w:rsidRDefault="00E73491" w:rsidP="00507EBC"/>
    <w:p w:rsidR="009865BC" w:rsidRDefault="009865BC">
      <w:pPr>
        <w:rPr>
          <w:b/>
          <w:u w:val="single"/>
        </w:rPr>
      </w:pPr>
    </w:p>
    <w:p w:rsidR="00BA7B9E" w:rsidRPr="00BA7B9E" w:rsidRDefault="00884E6A">
      <w:pPr>
        <w:rPr>
          <w:b/>
          <w:u w:val="single"/>
        </w:rPr>
      </w:pPr>
      <w:r w:rsidRPr="00BA7B9E">
        <w:rPr>
          <w:b/>
          <w:u w:val="single"/>
        </w:rPr>
        <w:t>Implications</w:t>
      </w:r>
    </w:p>
    <w:p w:rsidR="00BA7B9E" w:rsidRDefault="00E73491"/>
    <w:p w:rsidR="00944081" w:rsidRDefault="00884E6A">
      <w:pPr>
        <w:rPr>
          <w:b/>
        </w:rPr>
      </w:pPr>
      <w:r w:rsidRPr="00BA7B9E">
        <w:rPr>
          <w:b/>
        </w:rPr>
        <w:t>Corporate Plan:</w:t>
      </w:r>
      <w:r>
        <w:rPr>
          <w:b/>
        </w:rPr>
        <w:t xml:space="preserve"> </w:t>
      </w:r>
    </w:p>
    <w:p w:rsidR="00E42C39" w:rsidRPr="00E42C39" w:rsidRDefault="00884E6A">
      <w:r>
        <w:t>This Capital Strategy will allow delivery of the priorities in the Capital Plan.</w:t>
      </w:r>
    </w:p>
    <w:p w:rsidR="00BA7B9E" w:rsidRDefault="00E73491"/>
    <w:p w:rsidR="00150158" w:rsidRDefault="00E73491"/>
    <w:p w:rsidR="00BA7B9E" w:rsidRPr="00BA7B9E" w:rsidRDefault="00884E6A">
      <w:pPr>
        <w:rPr>
          <w:b/>
        </w:rPr>
      </w:pPr>
      <w:r w:rsidRPr="00BA7B9E">
        <w:rPr>
          <w:b/>
        </w:rPr>
        <w:t>Legal:</w:t>
      </w:r>
    </w:p>
    <w:p w:rsidR="00BA7B9E" w:rsidRDefault="00884E6A" w:rsidP="00E42C39">
      <w:r>
        <w:t xml:space="preserve">It is a statutory requirement to produce a Capital Strategy from 2019/20. Relevant statutory powers and requirements are described in the Appendix to this report. </w:t>
      </w:r>
    </w:p>
    <w:p w:rsidR="00CF111F" w:rsidRDefault="00E73491"/>
    <w:p w:rsidR="00011DA5" w:rsidRDefault="00E73491"/>
    <w:p w:rsidR="00BA7B9E" w:rsidRDefault="00884E6A">
      <w:r w:rsidRPr="00BA7B9E">
        <w:rPr>
          <w:b/>
        </w:rPr>
        <w:t>Finance:</w:t>
      </w:r>
    </w:p>
    <w:tbl>
      <w:tblPr>
        <w:tblStyle w:val="TableGrid"/>
        <w:tblpPr w:leftFromText="180" w:rightFromText="180" w:vertAnchor="text" w:horzAnchor="margin" w:tblpY="29"/>
        <w:tblOverlap w:val="never"/>
        <w:tblW w:w="9908" w:type="dxa"/>
        <w:tblLayout w:type="fixed"/>
        <w:tblLook w:val="04A0" w:firstRow="1" w:lastRow="0" w:firstColumn="1" w:lastColumn="0" w:noHBand="0" w:noVBand="1"/>
      </w:tblPr>
      <w:tblGrid>
        <w:gridCol w:w="3813"/>
        <w:gridCol w:w="6095"/>
      </w:tblGrid>
      <w:tr w:rsidR="001132A2" w:rsidTr="00B85D97">
        <w:trPr>
          <w:trHeight w:val="301"/>
        </w:trPr>
        <w:tc>
          <w:tcPr>
            <w:tcW w:w="3813" w:type="dxa"/>
            <w:shd w:val="clear" w:color="auto" w:fill="FFFFFF" w:themeFill="background1"/>
          </w:tcPr>
          <w:p w:rsidR="00BA7B9E" w:rsidRPr="00FB0C3F" w:rsidRDefault="00884E6A" w:rsidP="00B85D97">
            <w:pPr>
              <w:jc w:val="center"/>
              <w:rPr>
                <w:b/>
              </w:rPr>
            </w:pPr>
            <w:r>
              <w:rPr>
                <w:b/>
              </w:rPr>
              <w:t>Budget A</w:t>
            </w:r>
            <w:r w:rsidRPr="00FB0C3F">
              <w:rPr>
                <w:b/>
              </w:rPr>
              <w:t>rea</w:t>
            </w:r>
          </w:p>
        </w:tc>
        <w:tc>
          <w:tcPr>
            <w:tcW w:w="6095" w:type="dxa"/>
            <w:shd w:val="clear" w:color="auto" w:fill="FFFFFF" w:themeFill="background1"/>
          </w:tcPr>
          <w:p w:rsidR="00BA7B9E" w:rsidRDefault="00884E6A" w:rsidP="00B85D97">
            <w:pPr>
              <w:jc w:val="center"/>
              <w:rPr>
                <w:b/>
              </w:rPr>
            </w:pPr>
            <w:r w:rsidRPr="00FB0C3F">
              <w:rPr>
                <w:b/>
              </w:rPr>
              <w:t>Implication</w:t>
            </w:r>
          </w:p>
          <w:p w:rsidR="00BA7B9E" w:rsidRPr="00FB0C3F" w:rsidRDefault="00E73491" w:rsidP="00B85D97">
            <w:pPr>
              <w:jc w:val="center"/>
              <w:rPr>
                <w:b/>
              </w:rPr>
            </w:pPr>
          </w:p>
        </w:tc>
      </w:tr>
      <w:tr w:rsidR="001132A2" w:rsidTr="008C6A0C">
        <w:trPr>
          <w:trHeight w:val="301"/>
        </w:trPr>
        <w:tc>
          <w:tcPr>
            <w:tcW w:w="3813" w:type="dxa"/>
            <w:vAlign w:val="bottom"/>
          </w:tcPr>
          <w:p w:rsidR="00011DA5" w:rsidRDefault="00884E6A" w:rsidP="008C6A0C">
            <w:r>
              <w:t>General Fund – Revenue Budget</w:t>
            </w:r>
          </w:p>
          <w:p w:rsidR="00011DA5" w:rsidRPr="00FB0C3F" w:rsidRDefault="00E73491" w:rsidP="008C6A0C"/>
        </w:tc>
        <w:tc>
          <w:tcPr>
            <w:tcW w:w="6095" w:type="dxa"/>
            <w:vMerge w:val="restart"/>
          </w:tcPr>
          <w:p w:rsidR="00011DA5" w:rsidRDefault="00E73491" w:rsidP="00011DA5">
            <w:pPr>
              <w:jc w:val="center"/>
            </w:pPr>
          </w:p>
          <w:p w:rsidR="00011DA5" w:rsidRDefault="00E73491" w:rsidP="00011DA5">
            <w:pPr>
              <w:jc w:val="center"/>
            </w:pPr>
          </w:p>
          <w:p w:rsidR="00011DA5" w:rsidRDefault="00E73491" w:rsidP="00011DA5">
            <w:pPr>
              <w:jc w:val="center"/>
            </w:pPr>
          </w:p>
          <w:p w:rsidR="00011DA5" w:rsidRPr="00FB0C3F" w:rsidRDefault="00884E6A" w:rsidP="00B76557">
            <w:r>
              <w:t>No direct Financial Implications as result of adopting this Capital Strategy.</w:t>
            </w:r>
          </w:p>
        </w:tc>
      </w:tr>
      <w:tr w:rsidR="001132A2" w:rsidTr="008C6A0C">
        <w:trPr>
          <w:trHeight w:val="313"/>
        </w:trPr>
        <w:tc>
          <w:tcPr>
            <w:tcW w:w="3813" w:type="dxa"/>
            <w:vAlign w:val="bottom"/>
          </w:tcPr>
          <w:p w:rsidR="00011DA5" w:rsidRPr="00FB0C3F" w:rsidRDefault="00884E6A" w:rsidP="008C6A0C">
            <w:r>
              <w:t>General Fund – Capital Programme</w:t>
            </w:r>
          </w:p>
        </w:tc>
        <w:tc>
          <w:tcPr>
            <w:tcW w:w="6095" w:type="dxa"/>
            <w:vMerge/>
          </w:tcPr>
          <w:p w:rsidR="00011DA5" w:rsidRPr="00FB0C3F" w:rsidRDefault="00E73491" w:rsidP="00837D30"/>
        </w:tc>
      </w:tr>
      <w:tr w:rsidR="001132A2" w:rsidTr="008C6A0C">
        <w:trPr>
          <w:trHeight w:val="602"/>
        </w:trPr>
        <w:tc>
          <w:tcPr>
            <w:tcW w:w="3813" w:type="dxa"/>
            <w:tcBorders>
              <w:bottom w:val="single" w:sz="4" w:space="0" w:color="auto"/>
            </w:tcBorders>
            <w:vAlign w:val="bottom"/>
          </w:tcPr>
          <w:p w:rsidR="00011DA5" w:rsidRPr="00FB0C3F" w:rsidRDefault="00884E6A" w:rsidP="008C6A0C">
            <w:r>
              <w:t>Housing Revenue Account – Revenue Budget</w:t>
            </w:r>
          </w:p>
        </w:tc>
        <w:tc>
          <w:tcPr>
            <w:tcW w:w="6095" w:type="dxa"/>
            <w:vMerge/>
          </w:tcPr>
          <w:p w:rsidR="00011DA5" w:rsidRPr="00FB0C3F" w:rsidRDefault="00E73491" w:rsidP="00E65EC0"/>
        </w:tc>
      </w:tr>
      <w:tr w:rsidR="001132A2" w:rsidTr="008C6A0C">
        <w:trPr>
          <w:trHeight w:val="616"/>
        </w:trPr>
        <w:tc>
          <w:tcPr>
            <w:tcW w:w="3813" w:type="dxa"/>
            <w:vAlign w:val="bottom"/>
          </w:tcPr>
          <w:p w:rsidR="00011DA5" w:rsidRPr="00FB0C3F" w:rsidRDefault="00884E6A" w:rsidP="008C6A0C">
            <w:r>
              <w:t>Housing Revenue Account – Capital Programme</w:t>
            </w:r>
          </w:p>
        </w:tc>
        <w:tc>
          <w:tcPr>
            <w:tcW w:w="6095" w:type="dxa"/>
            <w:vMerge/>
          </w:tcPr>
          <w:p w:rsidR="00011DA5" w:rsidRPr="00FB0C3F" w:rsidRDefault="00E73491" w:rsidP="00837D30"/>
        </w:tc>
      </w:tr>
    </w:tbl>
    <w:p w:rsidR="00944081" w:rsidRDefault="00E73491"/>
    <w:p w:rsidR="00944081" w:rsidRDefault="00E73491"/>
    <w:p w:rsidR="00944081" w:rsidRDefault="00E73491"/>
    <w:p w:rsidR="00944081" w:rsidRDefault="00E73491"/>
    <w:p w:rsidR="00BA7B9E" w:rsidRDefault="00E73491">
      <w:pPr>
        <w:rPr>
          <w:b/>
        </w:rPr>
      </w:pPr>
    </w:p>
    <w:p w:rsidR="00BA7B9E" w:rsidRDefault="00E73491">
      <w:pPr>
        <w:rPr>
          <w:b/>
        </w:rPr>
      </w:pPr>
    </w:p>
    <w:p w:rsidR="00BA7B9E" w:rsidRDefault="00E73491">
      <w:pPr>
        <w:rPr>
          <w:b/>
        </w:rPr>
      </w:pPr>
    </w:p>
    <w:p w:rsidR="00BA7B9E" w:rsidRDefault="00E73491">
      <w:pPr>
        <w:rPr>
          <w:b/>
        </w:rPr>
      </w:pPr>
    </w:p>
    <w:p w:rsidR="007D59B3" w:rsidRDefault="00E73491">
      <w:pPr>
        <w:rPr>
          <w:b/>
        </w:rPr>
      </w:pPr>
    </w:p>
    <w:p w:rsidR="0044476B" w:rsidRDefault="00E73491">
      <w:pPr>
        <w:rPr>
          <w:b/>
        </w:rPr>
      </w:pPr>
    </w:p>
    <w:p w:rsidR="0044476B" w:rsidRDefault="00E73491">
      <w:pPr>
        <w:rPr>
          <w:b/>
        </w:rPr>
      </w:pPr>
    </w:p>
    <w:p w:rsidR="0044476B" w:rsidRDefault="00E73491">
      <w:pPr>
        <w:rPr>
          <w:b/>
        </w:rPr>
      </w:pPr>
    </w:p>
    <w:p w:rsidR="0044476B" w:rsidRDefault="00E73491">
      <w:pPr>
        <w:rPr>
          <w:b/>
        </w:rPr>
      </w:pPr>
    </w:p>
    <w:p w:rsidR="00BA7B9E" w:rsidRDefault="00884E6A">
      <w:r>
        <w:rPr>
          <w:b/>
        </w:rPr>
        <w:t>Risk:</w:t>
      </w:r>
    </w:p>
    <w:tbl>
      <w:tblPr>
        <w:tblStyle w:val="TableGrid"/>
        <w:tblpPr w:leftFromText="180" w:rightFromText="180" w:vertAnchor="text" w:horzAnchor="margin" w:tblpY="29"/>
        <w:tblOverlap w:val="never"/>
        <w:tblW w:w="9908" w:type="dxa"/>
        <w:tblLayout w:type="fixed"/>
        <w:tblLook w:val="04A0" w:firstRow="1" w:lastRow="0" w:firstColumn="1" w:lastColumn="0" w:noHBand="0" w:noVBand="1"/>
      </w:tblPr>
      <w:tblGrid>
        <w:gridCol w:w="3813"/>
        <w:gridCol w:w="6095"/>
      </w:tblGrid>
      <w:tr w:rsidR="001132A2" w:rsidTr="00B85D97">
        <w:trPr>
          <w:trHeight w:val="301"/>
        </w:trPr>
        <w:tc>
          <w:tcPr>
            <w:tcW w:w="3813" w:type="dxa"/>
            <w:shd w:val="clear" w:color="auto" w:fill="FFFFFF" w:themeFill="background1"/>
          </w:tcPr>
          <w:p w:rsidR="00BA7B9E" w:rsidRPr="00A64A45" w:rsidRDefault="00884E6A" w:rsidP="00B85D97">
            <w:pPr>
              <w:tabs>
                <w:tab w:val="left" w:pos="4253"/>
              </w:tabs>
              <w:jc w:val="center"/>
              <w:rPr>
                <w:b/>
                <w:color w:val="000000" w:themeColor="text1"/>
              </w:rPr>
            </w:pPr>
            <w:r w:rsidRPr="00A64A45">
              <w:rPr>
                <w:b/>
                <w:color w:val="000000" w:themeColor="text1"/>
              </w:rPr>
              <w:t>Risk</w:t>
            </w:r>
          </w:p>
          <w:p w:rsidR="00BA7B9E" w:rsidRPr="00FB0C3F" w:rsidRDefault="00E73491" w:rsidP="00B85D97">
            <w:pPr>
              <w:jc w:val="center"/>
              <w:rPr>
                <w:b/>
              </w:rPr>
            </w:pPr>
          </w:p>
        </w:tc>
        <w:tc>
          <w:tcPr>
            <w:tcW w:w="6095" w:type="dxa"/>
            <w:shd w:val="clear" w:color="auto" w:fill="FFFFFF" w:themeFill="background1"/>
          </w:tcPr>
          <w:p w:rsidR="00BA7B9E" w:rsidRPr="00FB0C3F" w:rsidRDefault="00884E6A" w:rsidP="00B85D97">
            <w:pPr>
              <w:jc w:val="center"/>
              <w:rPr>
                <w:b/>
              </w:rPr>
            </w:pPr>
            <w:r w:rsidRPr="00A64A45">
              <w:rPr>
                <w:b/>
                <w:color w:val="000000" w:themeColor="text1"/>
              </w:rPr>
              <w:t>Mitigation</w:t>
            </w:r>
            <w:r w:rsidRPr="00FB0C3F">
              <w:rPr>
                <w:b/>
              </w:rPr>
              <w:t xml:space="preserve"> </w:t>
            </w:r>
          </w:p>
        </w:tc>
      </w:tr>
      <w:tr w:rsidR="001132A2" w:rsidTr="00B85D97">
        <w:trPr>
          <w:trHeight w:val="301"/>
        </w:trPr>
        <w:tc>
          <w:tcPr>
            <w:tcW w:w="3813" w:type="dxa"/>
          </w:tcPr>
          <w:p w:rsidR="00BA7B9E" w:rsidRPr="00FB0C3F" w:rsidRDefault="00884E6A" w:rsidP="00B85D97">
            <w:r>
              <w:t>The detailed Capital Strategy is not fit for purpose.</w:t>
            </w:r>
            <w:r>
              <w:br/>
            </w:r>
          </w:p>
        </w:tc>
        <w:tc>
          <w:tcPr>
            <w:tcW w:w="6095" w:type="dxa"/>
          </w:tcPr>
          <w:p w:rsidR="00BA7B9E" w:rsidRPr="00FB0C3F" w:rsidRDefault="00884E6A" w:rsidP="00B85D97">
            <w:r>
              <w:t>May need refinement over time to reflect potential changes in direction not currently captured by the existing proposed Capital Strategy.</w:t>
            </w:r>
          </w:p>
        </w:tc>
      </w:tr>
    </w:tbl>
    <w:p w:rsidR="00BA7B9E" w:rsidRDefault="00E73491"/>
    <w:p w:rsidR="00BA7B9E" w:rsidRDefault="00E73491"/>
    <w:p w:rsidR="00BA7B9E" w:rsidRDefault="00E73491"/>
    <w:p w:rsidR="00BA7B9E" w:rsidRDefault="00E73491"/>
    <w:p w:rsidR="00944081" w:rsidRDefault="00E73491"/>
    <w:p w:rsidR="00BA7B9E" w:rsidRDefault="00E73491">
      <w:pPr>
        <w:rPr>
          <w:b/>
        </w:rPr>
      </w:pPr>
    </w:p>
    <w:p w:rsidR="0044476B" w:rsidRDefault="00E73491">
      <w:pPr>
        <w:rPr>
          <w:b/>
        </w:rPr>
      </w:pPr>
    </w:p>
    <w:p w:rsidR="00BA7B9E" w:rsidRPr="00BA7B9E" w:rsidRDefault="00884E6A">
      <w:pPr>
        <w:rPr>
          <w:b/>
        </w:rPr>
      </w:pPr>
      <w:r w:rsidRPr="00BA7B9E">
        <w:rPr>
          <w:b/>
        </w:rPr>
        <w:t>Human Resources</w:t>
      </w:r>
      <w:r>
        <w:rPr>
          <w:b/>
        </w:rPr>
        <w:t>:</w:t>
      </w:r>
    </w:p>
    <w:p w:rsidR="00BA7B9E" w:rsidRDefault="00884E6A">
      <w:r>
        <w:t>Not Applicable</w:t>
      </w:r>
    </w:p>
    <w:p w:rsidR="00BA7B9E" w:rsidRDefault="00E73491">
      <w:pPr>
        <w:rPr>
          <w:b/>
        </w:rPr>
      </w:pPr>
    </w:p>
    <w:p w:rsidR="00BA7B9E" w:rsidRDefault="00884E6A">
      <w:pPr>
        <w:rPr>
          <w:b/>
        </w:rPr>
      </w:pPr>
      <w:r w:rsidRPr="00BA7B9E">
        <w:rPr>
          <w:b/>
        </w:rPr>
        <w:t>Equalities</w:t>
      </w:r>
      <w:r>
        <w:rPr>
          <w:b/>
        </w:rPr>
        <w:t>:</w:t>
      </w:r>
    </w:p>
    <w:p w:rsidR="00BA7B9E" w:rsidRPr="00E42C39" w:rsidRDefault="00884E6A">
      <w:r w:rsidRPr="00E42C39">
        <w:t>Not Applicable</w:t>
      </w:r>
    </w:p>
    <w:p w:rsidR="00BA7B9E" w:rsidRDefault="00E73491"/>
    <w:p w:rsidR="00BA7B9E" w:rsidRDefault="00E73491">
      <w:pPr>
        <w:rPr>
          <w:b/>
        </w:rPr>
      </w:pPr>
    </w:p>
    <w:p w:rsidR="00BA7B9E" w:rsidRDefault="00884E6A">
      <w:pPr>
        <w:rPr>
          <w:b/>
        </w:rPr>
      </w:pPr>
      <w:r w:rsidRPr="00BA7B9E">
        <w:rPr>
          <w:b/>
        </w:rPr>
        <w:t>Other Implications:</w:t>
      </w:r>
    </w:p>
    <w:p w:rsidR="00244BEE" w:rsidRPr="00E42C39" w:rsidRDefault="00884E6A">
      <w:r w:rsidRPr="00E42C39">
        <w:t>Not Applicable</w:t>
      </w:r>
    </w:p>
    <w:p w:rsidR="00BA7B9E" w:rsidRDefault="00E73491"/>
    <w:p w:rsidR="00BA7B9E" w:rsidRDefault="00E73491"/>
    <w:p w:rsidR="00BA7B9E" w:rsidRDefault="00884E6A">
      <w:pPr>
        <w:rPr>
          <w:b/>
          <w:u w:val="single"/>
        </w:rPr>
      </w:pPr>
      <w:r w:rsidRPr="00BA7B9E">
        <w:rPr>
          <w:b/>
          <w:u w:val="single"/>
        </w:rPr>
        <w:t xml:space="preserve">Reason(s) for Urgency </w:t>
      </w:r>
    </w:p>
    <w:p w:rsidR="00CF111F" w:rsidRPr="00E42C39" w:rsidRDefault="00884E6A">
      <w:r w:rsidRPr="00E42C39">
        <w:t>Not Applicable</w:t>
      </w:r>
    </w:p>
    <w:p w:rsidR="00BA7B9E" w:rsidRPr="008C6A0C" w:rsidRDefault="00E73491"/>
    <w:p w:rsidR="00BA7B9E" w:rsidRDefault="00E73491">
      <w:pPr>
        <w:rPr>
          <w:b/>
          <w:u w:val="single"/>
        </w:rPr>
      </w:pPr>
    </w:p>
    <w:p w:rsidR="00BA7B9E" w:rsidRDefault="00884E6A">
      <w:pPr>
        <w:rPr>
          <w:b/>
          <w:u w:val="single"/>
        </w:rPr>
      </w:pPr>
      <w:r>
        <w:rPr>
          <w:b/>
          <w:u w:val="single"/>
        </w:rPr>
        <w:t>Reason(s) for Exemption</w:t>
      </w:r>
    </w:p>
    <w:p w:rsidR="00CF111F" w:rsidRPr="00E42C39" w:rsidRDefault="00884E6A">
      <w:r w:rsidRPr="00E42C39">
        <w:t>Not Appl</w:t>
      </w:r>
      <w:r>
        <w:t>i</w:t>
      </w:r>
      <w:r w:rsidRPr="00E42C39">
        <w:t>cable</w:t>
      </w:r>
    </w:p>
    <w:p w:rsidR="00BA7B9E" w:rsidRPr="00BA7B9E" w:rsidRDefault="00E73491">
      <w:pPr>
        <w:rPr>
          <w:b/>
          <w:u w:val="single"/>
        </w:rPr>
      </w:pPr>
    </w:p>
    <w:p w:rsidR="0044476B" w:rsidRDefault="00E73491">
      <w:pPr>
        <w:rPr>
          <w:b/>
          <w:u w:val="single"/>
        </w:rPr>
      </w:pPr>
    </w:p>
    <w:p w:rsidR="0044476B" w:rsidRDefault="00E73491">
      <w:pPr>
        <w:rPr>
          <w:b/>
          <w:u w:val="single"/>
        </w:rPr>
      </w:pPr>
    </w:p>
    <w:p w:rsidR="0044476B" w:rsidRDefault="00E73491">
      <w:pPr>
        <w:rPr>
          <w:b/>
          <w:u w:val="single"/>
        </w:rPr>
      </w:pPr>
    </w:p>
    <w:p w:rsidR="00BA7B9E" w:rsidRPr="00BA7B9E" w:rsidRDefault="00884E6A">
      <w:pPr>
        <w:rPr>
          <w:b/>
          <w:u w:val="single"/>
        </w:rPr>
      </w:pPr>
      <w:r w:rsidRPr="00BA7B9E">
        <w:rPr>
          <w:b/>
          <w:u w:val="single"/>
        </w:rPr>
        <w:t>Background Papers</w:t>
      </w:r>
    </w:p>
    <w:p w:rsidR="00944081" w:rsidRDefault="00E73491">
      <w:pPr>
        <w:rPr>
          <w:i/>
        </w:rPr>
      </w:pPr>
    </w:p>
    <w:p w:rsidR="00E42C39" w:rsidRDefault="00884E6A" w:rsidP="00E42C39">
      <w:pPr>
        <w:pStyle w:val="ListParagraph"/>
        <w:numPr>
          <w:ilvl w:val="0"/>
          <w:numId w:val="38"/>
        </w:numPr>
      </w:pPr>
      <w:r>
        <w:t>CIPFA Prudential Code 2017 Edition</w:t>
      </w:r>
    </w:p>
    <w:p w:rsidR="00E42C39" w:rsidRDefault="00884E6A" w:rsidP="00E42C39">
      <w:pPr>
        <w:pStyle w:val="ListParagraph"/>
        <w:numPr>
          <w:ilvl w:val="0"/>
          <w:numId w:val="38"/>
        </w:numPr>
      </w:pPr>
      <w:r>
        <w:t>CIPFA Treasury Management Code 2017 Edition</w:t>
      </w:r>
    </w:p>
    <w:p w:rsidR="00E42C39" w:rsidRPr="00E42C39" w:rsidRDefault="00884E6A" w:rsidP="00E42C39">
      <w:pPr>
        <w:pStyle w:val="ListParagraph"/>
        <w:numPr>
          <w:ilvl w:val="0"/>
          <w:numId w:val="38"/>
        </w:numPr>
      </w:pPr>
      <w:r>
        <w:t>Statutory Guidance on Local Government Investments (3</w:t>
      </w:r>
      <w:r w:rsidRPr="00E42C39">
        <w:rPr>
          <w:vertAlign w:val="superscript"/>
        </w:rPr>
        <w:t>rd</w:t>
      </w:r>
      <w:r>
        <w:t xml:space="preserve"> Edition) Issued under Section 15(1)(a) of the Local Government Act 2003.</w:t>
      </w:r>
    </w:p>
    <w:p w:rsidR="00BA7B9E" w:rsidRDefault="00E73491"/>
    <w:p w:rsidR="00944081" w:rsidRDefault="00E73491"/>
    <w:p w:rsidR="00BA7B9E" w:rsidRPr="00E65EC0" w:rsidRDefault="00884E6A" w:rsidP="00BA7B9E">
      <w:pPr>
        <w:rPr>
          <w:b/>
          <w:u w:val="single"/>
        </w:rPr>
      </w:pPr>
      <w:r w:rsidRPr="00BA7B9E">
        <w:rPr>
          <w:b/>
          <w:u w:val="single"/>
        </w:rPr>
        <w:t>Report Author and Contact Officer</w:t>
      </w:r>
    </w:p>
    <w:p w:rsidR="00BA7B9E" w:rsidRPr="00E65EC0" w:rsidRDefault="00884E6A" w:rsidP="00BA7B9E">
      <w:r w:rsidRPr="00E65EC0">
        <w:t>Pete Hudson</w:t>
      </w:r>
      <w:r w:rsidRPr="00E65EC0">
        <w:br/>
        <w:t>C</w:t>
      </w:r>
      <w:r>
        <w:t xml:space="preserve">orporate Finance Manager </w:t>
      </w:r>
      <w:r w:rsidRPr="00E65EC0">
        <w:t>(and S151 Officer)</w:t>
      </w:r>
    </w:p>
    <w:p w:rsidR="00BA7B9E" w:rsidRPr="00E65EC0" w:rsidRDefault="00E73491" w:rsidP="00BA7B9E">
      <w:hyperlink r:id="rId7" w:history="1">
        <w:r w:rsidR="00884E6A" w:rsidRPr="00E65EC0">
          <w:rPr>
            <w:rStyle w:val="Hyperlink"/>
          </w:rPr>
          <w:t>p.hudson@ashfield.gov.uk</w:t>
        </w:r>
      </w:hyperlink>
    </w:p>
    <w:p w:rsidR="0019042B" w:rsidRDefault="00884E6A">
      <w:r>
        <w:rPr>
          <w:b/>
        </w:rPr>
        <w:t>01623 457362</w:t>
      </w:r>
    </w:p>
    <w:sectPr w:rsidR="0019042B" w:rsidSect="00150158">
      <w:pgSz w:w="11906" w:h="16838" w:code="9"/>
      <w:pgMar w:top="720" w:right="567" w:bottom="1418" w:left="720"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56C"/>
    <w:multiLevelType w:val="hybridMultilevel"/>
    <w:tmpl w:val="B81A5CCC"/>
    <w:lvl w:ilvl="0" w:tplc="6646044A">
      <w:start w:val="1"/>
      <w:numFmt w:val="bullet"/>
      <w:lvlText w:val=""/>
      <w:lvlJc w:val="left"/>
      <w:pPr>
        <w:ind w:left="720" w:hanging="360"/>
      </w:pPr>
      <w:rPr>
        <w:rFonts w:ascii="Symbol" w:hAnsi="Symbol" w:hint="default"/>
      </w:rPr>
    </w:lvl>
    <w:lvl w:ilvl="1" w:tplc="FDE4C5A4" w:tentative="1">
      <w:start w:val="1"/>
      <w:numFmt w:val="bullet"/>
      <w:lvlText w:val="o"/>
      <w:lvlJc w:val="left"/>
      <w:pPr>
        <w:ind w:left="1440" w:hanging="360"/>
      </w:pPr>
      <w:rPr>
        <w:rFonts w:ascii="Courier New" w:hAnsi="Courier New" w:cs="Courier New" w:hint="default"/>
      </w:rPr>
    </w:lvl>
    <w:lvl w:ilvl="2" w:tplc="D51074E0" w:tentative="1">
      <w:start w:val="1"/>
      <w:numFmt w:val="bullet"/>
      <w:lvlText w:val=""/>
      <w:lvlJc w:val="left"/>
      <w:pPr>
        <w:ind w:left="2160" w:hanging="360"/>
      </w:pPr>
      <w:rPr>
        <w:rFonts w:ascii="Wingdings" w:hAnsi="Wingdings" w:hint="default"/>
      </w:rPr>
    </w:lvl>
    <w:lvl w:ilvl="3" w:tplc="475AA526" w:tentative="1">
      <w:start w:val="1"/>
      <w:numFmt w:val="bullet"/>
      <w:lvlText w:val=""/>
      <w:lvlJc w:val="left"/>
      <w:pPr>
        <w:ind w:left="2880" w:hanging="360"/>
      </w:pPr>
      <w:rPr>
        <w:rFonts w:ascii="Symbol" w:hAnsi="Symbol" w:hint="default"/>
      </w:rPr>
    </w:lvl>
    <w:lvl w:ilvl="4" w:tplc="142E9D68" w:tentative="1">
      <w:start w:val="1"/>
      <w:numFmt w:val="bullet"/>
      <w:lvlText w:val="o"/>
      <w:lvlJc w:val="left"/>
      <w:pPr>
        <w:ind w:left="3600" w:hanging="360"/>
      </w:pPr>
      <w:rPr>
        <w:rFonts w:ascii="Courier New" w:hAnsi="Courier New" w:cs="Courier New" w:hint="default"/>
      </w:rPr>
    </w:lvl>
    <w:lvl w:ilvl="5" w:tplc="4DF62686" w:tentative="1">
      <w:start w:val="1"/>
      <w:numFmt w:val="bullet"/>
      <w:lvlText w:val=""/>
      <w:lvlJc w:val="left"/>
      <w:pPr>
        <w:ind w:left="4320" w:hanging="360"/>
      </w:pPr>
      <w:rPr>
        <w:rFonts w:ascii="Wingdings" w:hAnsi="Wingdings" w:hint="default"/>
      </w:rPr>
    </w:lvl>
    <w:lvl w:ilvl="6" w:tplc="56405136" w:tentative="1">
      <w:start w:val="1"/>
      <w:numFmt w:val="bullet"/>
      <w:lvlText w:val=""/>
      <w:lvlJc w:val="left"/>
      <w:pPr>
        <w:ind w:left="5040" w:hanging="360"/>
      </w:pPr>
      <w:rPr>
        <w:rFonts w:ascii="Symbol" w:hAnsi="Symbol" w:hint="default"/>
      </w:rPr>
    </w:lvl>
    <w:lvl w:ilvl="7" w:tplc="008A22EA" w:tentative="1">
      <w:start w:val="1"/>
      <w:numFmt w:val="bullet"/>
      <w:lvlText w:val="o"/>
      <w:lvlJc w:val="left"/>
      <w:pPr>
        <w:ind w:left="5760" w:hanging="360"/>
      </w:pPr>
      <w:rPr>
        <w:rFonts w:ascii="Courier New" w:hAnsi="Courier New" w:cs="Courier New" w:hint="default"/>
      </w:rPr>
    </w:lvl>
    <w:lvl w:ilvl="8" w:tplc="D95059B8" w:tentative="1">
      <w:start w:val="1"/>
      <w:numFmt w:val="bullet"/>
      <w:lvlText w:val=""/>
      <w:lvlJc w:val="left"/>
      <w:pPr>
        <w:ind w:left="6480" w:hanging="360"/>
      </w:pPr>
      <w:rPr>
        <w:rFonts w:ascii="Wingdings" w:hAnsi="Wingdings" w:hint="default"/>
      </w:rPr>
    </w:lvl>
  </w:abstractNum>
  <w:abstractNum w:abstractNumId="1" w15:restartNumberingAfterBreak="0">
    <w:nsid w:val="241B6471"/>
    <w:multiLevelType w:val="hybridMultilevel"/>
    <w:tmpl w:val="FF0C1462"/>
    <w:lvl w:ilvl="0" w:tplc="3FA85D0A">
      <w:start w:val="1"/>
      <w:numFmt w:val="lowerLetter"/>
      <w:lvlText w:val="(%1)"/>
      <w:lvlJc w:val="left"/>
      <w:pPr>
        <w:tabs>
          <w:tab w:val="num" w:pos="540"/>
        </w:tabs>
        <w:ind w:left="540" w:hanging="360"/>
      </w:pPr>
      <w:rPr>
        <w:rFonts w:hint="default"/>
      </w:rPr>
    </w:lvl>
    <w:lvl w:ilvl="1" w:tplc="C1BA74D6" w:tentative="1">
      <w:start w:val="1"/>
      <w:numFmt w:val="lowerLetter"/>
      <w:lvlText w:val="%2."/>
      <w:lvlJc w:val="left"/>
      <w:pPr>
        <w:tabs>
          <w:tab w:val="num" w:pos="1260"/>
        </w:tabs>
        <w:ind w:left="1260" w:hanging="360"/>
      </w:pPr>
    </w:lvl>
    <w:lvl w:ilvl="2" w:tplc="C9042FA8" w:tentative="1">
      <w:start w:val="1"/>
      <w:numFmt w:val="lowerRoman"/>
      <w:lvlText w:val="%3."/>
      <w:lvlJc w:val="right"/>
      <w:pPr>
        <w:tabs>
          <w:tab w:val="num" w:pos="1980"/>
        </w:tabs>
        <w:ind w:left="1980" w:hanging="180"/>
      </w:pPr>
    </w:lvl>
    <w:lvl w:ilvl="3" w:tplc="A3A47DEE" w:tentative="1">
      <w:start w:val="1"/>
      <w:numFmt w:val="decimal"/>
      <w:lvlText w:val="%4."/>
      <w:lvlJc w:val="left"/>
      <w:pPr>
        <w:tabs>
          <w:tab w:val="num" w:pos="2700"/>
        </w:tabs>
        <w:ind w:left="2700" w:hanging="360"/>
      </w:pPr>
    </w:lvl>
    <w:lvl w:ilvl="4" w:tplc="8C806CB8" w:tentative="1">
      <w:start w:val="1"/>
      <w:numFmt w:val="lowerLetter"/>
      <w:lvlText w:val="%5."/>
      <w:lvlJc w:val="left"/>
      <w:pPr>
        <w:tabs>
          <w:tab w:val="num" w:pos="3420"/>
        </w:tabs>
        <w:ind w:left="3420" w:hanging="360"/>
      </w:pPr>
    </w:lvl>
    <w:lvl w:ilvl="5" w:tplc="54EC3DAC" w:tentative="1">
      <w:start w:val="1"/>
      <w:numFmt w:val="lowerRoman"/>
      <w:lvlText w:val="%6."/>
      <w:lvlJc w:val="right"/>
      <w:pPr>
        <w:tabs>
          <w:tab w:val="num" w:pos="4140"/>
        </w:tabs>
        <w:ind w:left="4140" w:hanging="180"/>
      </w:pPr>
    </w:lvl>
    <w:lvl w:ilvl="6" w:tplc="389620C4" w:tentative="1">
      <w:start w:val="1"/>
      <w:numFmt w:val="decimal"/>
      <w:lvlText w:val="%7."/>
      <w:lvlJc w:val="left"/>
      <w:pPr>
        <w:tabs>
          <w:tab w:val="num" w:pos="4860"/>
        </w:tabs>
        <w:ind w:left="4860" w:hanging="360"/>
      </w:pPr>
    </w:lvl>
    <w:lvl w:ilvl="7" w:tplc="6AE2E6FC" w:tentative="1">
      <w:start w:val="1"/>
      <w:numFmt w:val="lowerLetter"/>
      <w:lvlText w:val="%8."/>
      <w:lvlJc w:val="left"/>
      <w:pPr>
        <w:tabs>
          <w:tab w:val="num" w:pos="5580"/>
        </w:tabs>
        <w:ind w:left="5580" w:hanging="360"/>
      </w:pPr>
    </w:lvl>
    <w:lvl w:ilvl="8" w:tplc="CE3418E6" w:tentative="1">
      <w:start w:val="1"/>
      <w:numFmt w:val="lowerRoman"/>
      <w:lvlText w:val="%9."/>
      <w:lvlJc w:val="right"/>
      <w:pPr>
        <w:tabs>
          <w:tab w:val="num" w:pos="6300"/>
        </w:tabs>
        <w:ind w:left="6300" w:hanging="180"/>
      </w:pPr>
    </w:lvl>
  </w:abstractNum>
  <w:abstractNum w:abstractNumId="2" w15:restartNumberingAfterBreak="0">
    <w:nsid w:val="27F1001C"/>
    <w:multiLevelType w:val="hybridMultilevel"/>
    <w:tmpl w:val="FF7284BE"/>
    <w:lvl w:ilvl="0" w:tplc="96860AAE">
      <w:start w:val="1"/>
      <w:numFmt w:val="decimal"/>
      <w:lvlText w:val="%1)"/>
      <w:lvlJc w:val="left"/>
      <w:pPr>
        <w:ind w:left="720" w:hanging="360"/>
      </w:pPr>
      <w:rPr>
        <w:rFonts w:hint="default"/>
      </w:rPr>
    </w:lvl>
    <w:lvl w:ilvl="1" w:tplc="F7225C08" w:tentative="1">
      <w:start w:val="1"/>
      <w:numFmt w:val="lowerLetter"/>
      <w:lvlText w:val="%2."/>
      <w:lvlJc w:val="left"/>
      <w:pPr>
        <w:ind w:left="1440" w:hanging="360"/>
      </w:pPr>
    </w:lvl>
    <w:lvl w:ilvl="2" w:tplc="F77851C2" w:tentative="1">
      <w:start w:val="1"/>
      <w:numFmt w:val="lowerRoman"/>
      <w:lvlText w:val="%3."/>
      <w:lvlJc w:val="right"/>
      <w:pPr>
        <w:ind w:left="2160" w:hanging="180"/>
      </w:pPr>
    </w:lvl>
    <w:lvl w:ilvl="3" w:tplc="ED1E2EE4" w:tentative="1">
      <w:start w:val="1"/>
      <w:numFmt w:val="decimal"/>
      <w:lvlText w:val="%4."/>
      <w:lvlJc w:val="left"/>
      <w:pPr>
        <w:ind w:left="2880" w:hanging="360"/>
      </w:pPr>
    </w:lvl>
    <w:lvl w:ilvl="4" w:tplc="56CC2D2A" w:tentative="1">
      <w:start w:val="1"/>
      <w:numFmt w:val="lowerLetter"/>
      <w:lvlText w:val="%5."/>
      <w:lvlJc w:val="left"/>
      <w:pPr>
        <w:ind w:left="3600" w:hanging="360"/>
      </w:pPr>
    </w:lvl>
    <w:lvl w:ilvl="5" w:tplc="11F89A8E" w:tentative="1">
      <w:start w:val="1"/>
      <w:numFmt w:val="lowerRoman"/>
      <w:lvlText w:val="%6."/>
      <w:lvlJc w:val="right"/>
      <w:pPr>
        <w:ind w:left="4320" w:hanging="180"/>
      </w:pPr>
    </w:lvl>
    <w:lvl w:ilvl="6" w:tplc="DD349C3E" w:tentative="1">
      <w:start w:val="1"/>
      <w:numFmt w:val="decimal"/>
      <w:lvlText w:val="%7."/>
      <w:lvlJc w:val="left"/>
      <w:pPr>
        <w:ind w:left="5040" w:hanging="360"/>
      </w:pPr>
    </w:lvl>
    <w:lvl w:ilvl="7" w:tplc="8D4C354A" w:tentative="1">
      <w:start w:val="1"/>
      <w:numFmt w:val="lowerLetter"/>
      <w:lvlText w:val="%8."/>
      <w:lvlJc w:val="left"/>
      <w:pPr>
        <w:ind w:left="5760" w:hanging="360"/>
      </w:pPr>
    </w:lvl>
    <w:lvl w:ilvl="8" w:tplc="D5441678" w:tentative="1">
      <w:start w:val="1"/>
      <w:numFmt w:val="lowerRoman"/>
      <w:lvlText w:val="%9."/>
      <w:lvlJc w:val="right"/>
      <w:pPr>
        <w:ind w:left="6480" w:hanging="180"/>
      </w:pPr>
    </w:lvl>
  </w:abstractNum>
  <w:abstractNum w:abstractNumId="3" w15:restartNumberingAfterBreak="0">
    <w:nsid w:val="2B1201E9"/>
    <w:multiLevelType w:val="multilevel"/>
    <w:tmpl w:val="0860A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17414"/>
    <w:multiLevelType w:val="multilevel"/>
    <w:tmpl w:val="E34C9FB4"/>
    <w:lvl w:ilvl="0">
      <w:start w:val="1"/>
      <w:numFmt w:val="decimal"/>
      <w:pStyle w:val="Heading1"/>
      <w:lvlText w:val="%1"/>
      <w:lvlJc w:val="left"/>
      <w:pPr>
        <w:ind w:left="432" w:hanging="432"/>
      </w:pPr>
    </w:lvl>
    <w:lvl w:ilvl="1">
      <w:start w:val="1"/>
      <w:numFmt w:val="decimal"/>
      <w:pStyle w:val="Heading2"/>
      <w:lvlText w:val="%1.%2"/>
      <w:lvlJc w:val="left"/>
      <w:pPr>
        <w:ind w:left="816" w:hanging="576"/>
      </w:pPr>
      <w:rPr>
        <w:rFonts w:ascii="Arial" w:hAnsi="Arial" w:cs="Arial"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7ED4E7B"/>
    <w:multiLevelType w:val="multilevel"/>
    <w:tmpl w:val="08090025"/>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 w15:restartNumberingAfterBreak="0">
    <w:nsid w:val="444B22AF"/>
    <w:multiLevelType w:val="hybridMultilevel"/>
    <w:tmpl w:val="29540018"/>
    <w:lvl w:ilvl="0" w:tplc="6538B58C">
      <w:start w:val="1"/>
      <w:numFmt w:val="bullet"/>
      <w:lvlText w:val=""/>
      <w:lvlJc w:val="left"/>
      <w:pPr>
        <w:ind w:left="720" w:hanging="360"/>
      </w:pPr>
      <w:rPr>
        <w:rFonts w:ascii="Symbol" w:hAnsi="Symbol" w:hint="default"/>
      </w:rPr>
    </w:lvl>
    <w:lvl w:ilvl="1" w:tplc="2AA08CC0">
      <w:start w:val="1"/>
      <w:numFmt w:val="bullet"/>
      <w:lvlText w:val="o"/>
      <w:lvlJc w:val="left"/>
      <w:pPr>
        <w:ind w:left="1440" w:hanging="360"/>
      </w:pPr>
      <w:rPr>
        <w:rFonts w:ascii="Courier New" w:hAnsi="Courier New" w:cs="Courier New" w:hint="default"/>
      </w:rPr>
    </w:lvl>
    <w:lvl w:ilvl="2" w:tplc="112C0066">
      <w:start w:val="1"/>
      <w:numFmt w:val="bullet"/>
      <w:lvlText w:val=""/>
      <w:lvlJc w:val="left"/>
      <w:pPr>
        <w:ind w:left="2160" w:hanging="360"/>
      </w:pPr>
      <w:rPr>
        <w:rFonts w:ascii="Wingdings" w:hAnsi="Wingdings" w:hint="default"/>
      </w:rPr>
    </w:lvl>
    <w:lvl w:ilvl="3" w:tplc="CB26182E">
      <w:start w:val="1"/>
      <w:numFmt w:val="bullet"/>
      <w:lvlText w:val=""/>
      <w:lvlJc w:val="left"/>
      <w:pPr>
        <w:ind w:left="2880" w:hanging="360"/>
      </w:pPr>
      <w:rPr>
        <w:rFonts w:ascii="Symbol" w:hAnsi="Symbol" w:hint="default"/>
      </w:rPr>
    </w:lvl>
    <w:lvl w:ilvl="4" w:tplc="E0DE32B8">
      <w:start w:val="1"/>
      <w:numFmt w:val="bullet"/>
      <w:lvlText w:val="o"/>
      <w:lvlJc w:val="left"/>
      <w:pPr>
        <w:ind w:left="3600" w:hanging="360"/>
      </w:pPr>
      <w:rPr>
        <w:rFonts w:ascii="Courier New" w:hAnsi="Courier New" w:cs="Courier New" w:hint="default"/>
      </w:rPr>
    </w:lvl>
    <w:lvl w:ilvl="5" w:tplc="4E7E9BA2">
      <w:start w:val="1"/>
      <w:numFmt w:val="bullet"/>
      <w:lvlText w:val=""/>
      <w:lvlJc w:val="left"/>
      <w:pPr>
        <w:ind w:left="4320" w:hanging="360"/>
      </w:pPr>
      <w:rPr>
        <w:rFonts w:ascii="Wingdings" w:hAnsi="Wingdings" w:hint="default"/>
      </w:rPr>
    </w:lvl>
    <w:lvl w:ilvl="6" w:tplc="FB8A741A">
      <w:start w:val="1"/>
      <w:numFmt w:val="bullet"/>
      <w:lvlText w:val=""/>
      <w:lvlJc w:val="left"/>
      <w:pPr>
        <w:ind w:left="5040" w:hanging="360"/>
      </w:pPr>
      <w:rPr>
        <w:rFonts w:ascii="Symbol" w:hAnsi="Symbol" w:hint="default"/>
      </w:rPr>
    </w:lvl>
    <w:lvl w:ilvl="7" w:tplc="AAA88230">
      <w:start w:val="1"/>
      <w:numFmt w:val="bullet"/>
      <w:lvlText w:val="o"/>
      <w:lvlJc w:val="left"/>
      <w:pPr>
        <w:ind w:left="5760" w:hanging="360"/>
      </w:pPr>
      <w:rPr>
        <w:rFonts w:ascii="Courier New" w:hAnsi="Courier New" w:cs="Courier New" w:hint="default"/>
      </w:rPr>
    </w:lvl>
    <w:lvl w:ilvl="8" w:tplc="D16238D6">
      <w:start w:val="1"/>
      <w:numFmt w:val="bullet"/>
      <w:lvlText w:val=""/>
      <w:lvlJc w:val="left"/>
      <w:pPr>
        <w:ind w:left="6480" w:hanging="360"/>
      </w:pPr>
      <w:rPr>
        <w:rFonts w:ascii="Wingdings" w:hAnsi="Wingdings" w:hint="default"/>
      </w:rPr>
    </w:lvl>
  </w:abstractNum>
  <w:abstractNum w:abstractNumId="7" w15:restartNumberingAfterBreak="0">
    <w:nsid w:val="53C853F7"/>
    <w:multiLevelType w:val="hybridMultilevel"/>
    <w:tmpl w:val="D03E8628"/>
    <w:lvl w:ilvl="0" w:tplc="6BD406BC">
      <w:start w:val="1"/>
      <w:numFmt w:val="bullet"/>
      <w:lvlText w:val=""/>
      <w:lvlJc w:val="left"/>
      <w:pPr>
        <w:ind w:left="720" w:hanging="360"/>
      </w:pPr>
      <w:rPr>
        <w:rFonts w:ascii="Symbol" w:hAnsi="Symbol" w:hint="default"/>
      </w:rPr>
    </w:lvl>
    <w:lvl w:ilvl="1" w:tplc="9CAC231E" w:tentative="1">
      <w:start w:val="1"/>
      <w:numFmt w:val="bullet"/>
      <w:lvlText w:val="o"/>
      <w:lvlJc w:val="left"/>
      <w:pPr>
        <w:ind w:left="1440" w:hanging="360"/>
      </w:pPr>
      <w:rPr>
        <w:rFonts w:ascii="Courier New" w:hAnsi="Courier New" w:cs="Courier New" w:hint="default"/>
      </w:rPr>
    </w:lvl>
    <w:lvl w:ilvl="2" w:tplc="A124841A" w:tentative="1">
      <w:start w:val="1"/>
      <w:numFmt w:val="bullet"/>
      <w:lvlText w:val=""/>
      <w:lvlJc w:val="left"/>
      <w:pPr>
        <w:ind w:left="2160" w:hanging="360"/>
      </w:pPr>
      <w:rPr>
        <w:rFonts w:ascii="Wingdings" w:hAnsi="Wingdings" w:hint="default"/>
      </w:rPr>
    </w:lvl>
    <w:lvl w:ilvl="3" w:tplc="63287EB0" w:tentative="1">
      <w:start w:val="1"/>
      <w:numFmt w:val="bullet"/>
      <w:lvlText w:val=""/>
      <w:lvlJc w:val="left"/>
      <w:pPr>
        <w:ind w:left="2880" w:hanging="360"/>
      </w:pPr>
      <w:rPr>
        <w:rFonts w:ascii="Symbol" w:hAnsi="Symbol" w:hint="default"/>
      </w:rPr>
    </w:lvl>
    <w:lvl w:ilvl="4" w:tplc="AA1A1AF6" w:tentative="1">
      <w:start w:val="1"/>
      <w:numFmt w:val="bullet"/>
      <w:lvlText w:val="o"/>
      <w:lvlJc w:val="left"/>
      <w:pPr>
        <w:ind w:left="3600" w:hanging="360"/>
      </w:pPr>
      <w:rPr>
        <w:rFonts w:ascii="Courier New" w:hAnsi="Courier New" w:cs="Courier New" w:hint="default"/>
      </w:rPr>
    </w:lvl>
    <w:lvl w:ilvl="5" w:tplc="BC046EE8" w:tentative="1">
      <w:start w:val="1"/>
      <w:numFmt w:val="bullet"/>
      <w:lvlText w:val=""/>
      <w:lvlJc w:val="left"/>
      <w:pPr>
        <w:ind w:left="4320" w:hanging="360"/>
      </w:pPr>
      <w:rPr>
        <w:rFonts w:ascii="Wingdings" w:hAnsi="Wingdings" w:hint="default"/>
      </w:rPr>
    </w:lvl>
    <w:lvl w:ilvl="6" w:tplc="4D7A9428" w:tentative="1">
      <w:start w:val="1"/>
      <w:numFmt w:val="bullet"/>
      <w:lvlText w:val=""/>
      <w:lvlJc w:val="left"/>
      <w:pPr>
        <w:ind w:left="5040" w:hanging="360"/>
      </w:pPr>
      <w:rPr>
        <w:rFonts w:ascii="Symbol" w:hAnsi="Symbol" w:hint="default"/>
      </w:rPr>
    </w:lvl>
    <w:lvl w:ilvl="7" w:tplc="4F6A014C" w:tentative="1">
      <w:start w:val="1"/>
      <w:numFmt w:val="bullet"/>
      <w:lvlText w:val="o"/>
      <w:lvlJc w:val="left"/>
      <w:pPr>
        <w:ind w:left="5760" w:hanging="360"/>
      </w:pPr>
      <w:rPr>
        <w:rFonts w:ascii="Courier New" w:hAnsi="Courier New" w:cs="Courier New" w:hint="default"/>
      </w:rPr>
    </w:lvl>
    <w:lvl w:ilvl="8" w:tplc="3D9ABE18" w:tentative="1">
      <w:start w:val="1"/>
      <w:numFmt w:val="bullet"/>
      <w:lvlText w:val=""/>
      <w:lvlJc w:val="left"/>
      <w:pPr>
        <w:ind w:left="6480" w:hanging="360"/>
      </w:pPr>
      <w:rPr>
        <w:rFonts w:ascii="Wingdings" w:hAnsi="Wingdings" w:hint="default"/>
      </w:rPr>
    </w:lvl>
  </w:abstractNum>
  <w:abstractNum w:abstractNumId="8" w15:restartNumberingAfterBreak="0">
    <w:nsid w:val="5C586E21"/>
    <w:multiLevelType w:val="hybridMultilevel"/>
    <w:tmpl w:val="4F3C33A0"/>
    <w:lvl w:ilvl="0" w:tplc="B5F066B2">
      <w:start w:val="1"/>
      <w:numFmt w:val="bullet"/>
      <w:lvlText w:val=""/>
      <w:lvlJc w:val="left"/>
      <w:pPr>
        <w:ind w:left="720" w:hanging="360"/>
      </w:pPr>
      <w:rPr>
        <w:rFonts w:ascii="Symbol" w:hAnsi="Symbol" w:hint="default"/>
      </w:rPr>
    </w:lvl>
    <w:lvl w:ilvl="1" w:tplc="3F40E4B4" w:tentative="1">
      <w:start w:val="1"/>
      <w:numFmt w:val="bullet"/>
      <w:lvlText w:val="o"/>
      <w:lvlJc w:val="left"/>
      <w:pPr>
        <w:ind w:left="1440" w:hanging="360"/>
      </w:pPr>
      <w:rPr>
        <w:rFonts w:ascii="Courier New" w:hAnsi="Courier New" w:cs="Courier New" w:hint="default"/>
      </w:rPr>
    </w:lvl>
    <w:lvl w:ilvl="2" w:tplc="56D2105A" w:tentative="1">
      <w:start w:val="1"/>
      <w:numFmt w:val="bullet"/>
      <w:lvlText w:val=""/>
      <w:lvlJc w:val="left"/>
      <w:pPr>
        <w:ind w:left="2160" w:hanging="360"/>
      </w:pPr>
      <w:rPr>
        <w:rFonts w:ascii="Wingdings" w:hAnsi="Wingdings" w:hint="default"/>
      </w:rPr>
    </w:lvl>
    <w:lvl w:ilvl="3" w:tplc="898E8BE6" w:tentative="1">
      <w:start w:val="1"/>
      <w:numFmt w:val="bullet"/>
      <w:lvlText w:val=""/>
      <w:lvlJc w:val="left"/>
      <w:pPr>
        <w:ind w:left="2880" w:hanging="360"/>
      </w:pPr>
      <w:rPr>
        <w:rFonts w:ascii="Symbol" w:hAnsi="Symbol" w:hint="default"/>
      </w:rPr>
    </w:lvl>
    <w:lvl w:ilvl="4" w:tplc="6E3EB6B4" w:tentative="1">
      <w:start w:val="1"/>
      <w:numFmt w:val="bullet"/>
      <w:lvlText w:val="o"/>
      <w:lvlJc w:val="left"/>
      <w:pPr>
        <w:ind w:left="3600" w:hanging="360"/>
      </w:pPr>
      <w:rPr>
        <w:rFonts w:ascii="Courier New" w:hAnsi="Courier New" w:cs="Courier New" w:hint="default"/>
      </w:rPr>
    </w:lvl>
    <w:lvl w:ilvl="5" w:tplc="9F3E8974" w:tentative="1">
      <w:start w:val="1"/>
      <w:numFmt w:val="bullet"/>
      <w:lvlText w:val=""/>
      <w:lvlJc w:val="left"/>
      <w:pPr>
        <w:ind w:left="4320" w:hanging="360"/>
      </w:pPr>
      <w:rPr>
        <w:rFonts w:ascii="Wingdings" w:hAnsi="Wingdings" w:hint="default"/>
      </w:rPr>
    </w:lvl>
    <w:lvl w:ilvl="6" w:tplc="8B6C3ADC" w:tentative="1">
      <w:start w:val="1"/>
      <w:numFmt w:val="bullet"/>
      <w:lvlText w:val=""/>
      <w:lvlJc w:val="left"/>
      <w:pPr>
        <w:ind w:left="5040" w:hanging="360"/>
      </w:pPr>
      <w:rPr>
        <w:rFonts w:ascii="Symbol" w:hAnsi="Symbol" w:hint="default"/>
      </w:rPr>
    </w:lvl>
    <w:lvl w:ilvl="7" w:tplc="61404160" w:tentative="1">
      <w:start w:val="1"/>
      <w:numFmt w:val="bullet"/>
      <w:lvlText w:val="o"/>
      <w:lvlJc w:val="left"/>
      <w:pPr>
        <w:ind w:left="5760" w:hanging="360"/>
      </w:pPr>
      <w:rPr>
        <w:rFonts w:ascii="Courier New" w:hAnsi="Courier New" w:cs="Courier New" w:hint="default"/>
      </w:rPr>
    </w:lvl>
    <w:lvl w:ilvl="8" w:tplc="63644898" w:tentative="1">
      <w:start w:val="1"/>
      <w:numFmt w:val="bullet"/>
      <w:lvlText w:val=""/>
      <w:lvlJc w:val="left"/>
      <w:pPr>
        <w:ind w:left="6480" w:hanging="360"/>
      </w:pPr>
      <w:rPr>
        <w:rFonts w:ascii="Wingdings" w:hAnsi="Wingdings" w:hint="default"/>
      </w:rPr>
    </w:lvl>
  </w:abstractNum>
  <w:abstractNum w:abstractNumId="9" w15:restartNumberingAfterBreak="0">
    <w:nsid w:val="63306390"/>
    <w:multiLevelType w:val="hybridMultilevel"/>
    <w:tmpl w:val="319EF294"/>
    <w:lvl w:ilvl="0" w:tplc="D100A262">
      <w:start w:val="1"/>
      <w:numFmt w:val="decimal"/>
      <w:lvlText w:val="(%1)"/>
      <w:lvlJc w:val="left"/>
      <w:pPr>
        <w:ind w:left="928" w:hanging="360"/>
      </w:pPr>
      <w:rPr>
        <w:rFonts w:hint="default"/>
      </w:rPr>
    </w:lvl>
    <w:lvl w:ilvl="1" w:tplc="08E8F96C" w:tentative="1">
      <w:start w:val="1"/>
      <w:numFmt w:val="lowerLetter"/>
      <w:lvlText w:val="%2."/>
      <w:lvlJc w:val="left"/>
      <w:pPr>
        <w:ind w:left="1648" w:hanging="360"/>
      </w:pPr>
    </w:lvl>
    <w:lvl w:ilvl="2" w:tplc="453A57EA" w:tentative="1">
      <w:start w:val="1"/>
      <w:numFmt w:val="lowerRoman"/>
      <w:lvlText w:val="%3."/>
      <w:lvlJc w:val="right"/>
      <w:pPr>
        <w:ind w:left="2368" w:hanging="180"/>
      </w:pPr>
    </w:lvl>
    <w:lvl w:ilvl="3" w:tplc="301CEE2C" w:tentative="1">
      <w:start w:val="1"/>
      <w:numFmt w:val="decimal"/>
      <w:lvlText w:val="%4."/>
      <w:lvlJc w:val="left"/>
      <w:pPr>
        <w:ind w:left="3088" w:hanging="360"/>
      </w:pPr>
    </w:lvl>
    <w:lvl w:ilvl="4" w:tplc="D67284AE" w:tentative="1">
      <w:start w:val="1"/>
      <w:numFmt w:val="lowerLetter"/>
      <w:lvlText w:val="%5."/>
      <w:lvlJc w:val="left"/>
      <w:pPr>
        <w:ind w:left="3808" w:hanging="360"/>
      </w:pPr>
    </w:lvl>
    <w:lvl w:ilvl="5" w:tplc="83F6E0C0" w:tentative="1">
      <w:start w:val="1"/>
      <w:numFmt w:val="lowerRoman"/>
      <w:lvlText w:val="%6."/>
      <w:lvlJc w:val="right"/>
      <w:pPr>
        <w:ind w:left="4528" w:hanging="180"/>
      </w:pPr>
    </w:lvl>
    <w:lvl w:ilvl="6" w:tplc="DF7E92A0" w:tentative="1">
      <w:start w:val="1"/>
      <w:numFmt w:val="decimal"/>
      <w:lvlText w:val="%7."/>
      <w:lvlJc w:val="left"/>
      <w:pPr>
        <w:ind w:left="5248" w:hanging="360"/>
      </w:pPr>
    </w:lvl>
    <w:lvl w:ilvl="7" w:tplc="924E5620" w:tentative="1">
      <w:start w:val="1"/>
      <w:numFmt w:val="lowerLetter"/>
      <w:lvlText w:val="%8."/>
      <w:lvlJc w:val="left"/>
      <w:pPr>
        <w:ind w:left="5968" w:hanging="360"/>
      </w:pPr>
    </w:lvl>
    <w:lvl w:ilvl="8" w:tplc="75BE672E" w:tentative="1">
      <w:start w:val="1"/>
      <w:numFmt w:val="lowerRoman"/>
      <w:lvlText w:val="%9."/>
      <w:lvlJc w:val="right"/>
      <w:pPr>
        <w:ind w:left="6688" w:hanging="180"/>
      </w:pPr>
    </w:lvl>
  </w:abstractNum>
  <w:abstractNum w:abstractNumId="10" w15:restartNumberingAfterBreak="0">
    <w:nsid w:val="6F9A48A3"/>
    <w:multiLevelType w:val="hybridMultilevel"/>
    <w:tmpl w:val="9B184F68"/>
    <w:lvl w:ilvl="0" w:tplc="DFC41E38">
      <w:start w:val="1"/>
      <w:numFmt w:val="bullet"/>
      <w:lvlText w:val=""/>
      <w:lvlJc w:val="left"/>
      <w:pPr>
        <w:ind w:left="720" w:hanging="360"/>
      </w:pPr>
      <w:rPr>
        <w:rFonts w:ascii="Symbol" w:hAnsi="Symbol" w:hint="default"/>
      </w:rPr>
    </w:lvl>
    <w:lvl w:ilvl="1" w:tplc="B3FA1726" w:tentative="1">
      <w:start w:val="1"/>
      <w:numFmt w:val="bullet"/>
      <w:lvlText w:val="o"/>
      <w:lvlJc w:val="left"/>
      <w:pPr>
        <w:ind w:left="1440" w:hanging="360"/>
      </w:pPr>
      <w:rPr>
        <w:rFonts w:ascii="Courier New" w:hAnsi="Courier New" w:cs="Courier New" w:hint="default"/>
      </w:rPr>
    </w:lvl>
    <w:lvl w:ilvl="2" w:tplc="79CC1466" w:tentative="1">
      <w:start w:val="1"/>
      <w:numFmt w:val="bullet"/>
      <w:lvlText w:val=""/>
      <w:lvlJc w:val="left"/>
      <w:pPr>
        <w:ind w:left="2160" w:hanging="360"/>
      </w:pPr>
      <w:rPr>
        <w:rFonts w:ascii="Wingdings" w:hAnsi="Wingdings" w:hint="default"/>
      </w:rPr>
    </w:lvl>
    <w:lvl w:ilvl="3" w:tplc="EDFCA5AE" w:tentative="1">
      <w:start w:val="1"/>
      <w:numFmt w:val="bullet"/>
      <w:lvlText w:val=""/>
      <w:lvlJc w:val="left"/>
      <w:pPr>
        <w:ind w:left="2880" w:hanging="360"/>
      </w:pPr>
      <w:rPr>
        <w:rFonts w:ascii="Symbol" w:hAnsi="Symbol" w:hint="default"/>
      </w:rPr>
    </w:lvl>
    <w:lvl w:ilvl="4" w:tplc="7F461FD0" w:tentative="1">
      <w:start w:val="1"/>
      <w:numFmt w:val="bullet"/>
      <w:lvlText w:val="o"/>
      <w:lvlJc w:val="left"/>
      <w:pPr>
        <w:ind w:left="3600" w:hanging="360"/>
      </w:pPr>
      <w:rPr>
        <w:rFonts w:ascii="Courier New" w:hAnsi="Courier New" w:cs="Courier New" w:hint="default"/>
      </w:rPr>
    </w:lvl>
    <w:lvl w:ilvl="5" w:tplc="D2F81288" w:tentative="1">
      <w:start w:val="1"/>
      <w:numFmt w:val="bullet"/>
      <w:lvlText w:val=""/>
      <w:lvlJc w:val="left"/>
      <w:pPr>
        <w:ind w:left="4320" w:hanging="360"/>
      </w:pPr>
      <w:rPr>
        <w:rFonts w:ascii="Wingdings" w:hAnsi="Wingdings" w:hint="default"/>
      </w:rPr>
    </w:lvl>
    <w:lvl w:ilvl="6" w:tplc="71680102" w:tentative="1">
      <w:start w:val="1"/>
      <w:numFmt w:val="bullet"/>
      <w:lvlText w:val=""/>
      <w:lvlJc w:val="left"/>
      <w:pPr>
        <w:ind w:left="5040" w:hanging="360"/>
      </w:pPr>
      <w:rPr>
        <w:rFonts w:ascii="Symbol" w:hAnsi="Symbol" w:hint="default"/>
      </w:rPr>
    </w:lvl>
    <w:lvl w:ilvl="7" w:tplc="02D27AB4" w:tentative="1">
      <w:start w:val="1"/>
      <w:numFmt w:val="bullet"/>
      <w:lvlText w:val="o"/>
      <w:lvlJc w:val="left"/>
      <w:pPr>
        <w:ind w:left="5760" w:hanging="360"/>
      </w:pPr>
      <w:rPr>
        <w:rFonts w:ascii="Courier New" w:hAnsi="Courier New" w:cs="Courier New" w:hint="default"/>
      </w:rPr>
    </w:lvl>
    <w:lvl w:ilvl="8" w:tplc="B88ECD70" w:tentative="1">
      <w:start w:val="1"/>
      <w:numFmt w:val="bullet"/>
      <w:lvlText w:val=""/>
      <w:lvlJc w:val="left"/>
      <w:pPr>
        <w:ind w:left="6480" w:hanging="360"/>
      </w:pPr>
      <w:rPr>
        <w:rFonts w:ascii="Wingdings" w:hAnsi="Wingdings" w:hint="default"/>
      </w:rPr>
    </w:lvl>
  </w:abstractNum>
  <w:abstractNum w:abstractNumId="11" w15:restartNumberingAfterBreak="0">
    <w:nsid w:val="72AA2AC2"/>
    <w:multiLevelType w:val="hybridMultilevel"/>
    <w:tmpl w:val="018007CA"/>
    <w:lvl w:ilvl="0" w:tplc="F6EEAAEC">
      <w:start w:val="1"/>
      <w:numFmt w:val="bullet"/>
      <w:lvlText w:val=""/>
      <w:lvlJc w:val="left"/>
      <w:pPr>
        <w:ind w:left="720" w:hanging="360"/>
      </w:pPr>
      <w:rPr>
        <w:rFonts w:ascii="Symbol" w:hAnsi="Symbol" w:hint="default"/>
      </w:rPr>
    </w:lvl>
    <w:lvl w:ilvl="1" w:tplc="CFA6CB3E" w:tentative="1">
      <w:start w:val="1"/>
      <w:numFmt w:val="bullet"/>
      <w:lvlText w:val="o"/>
      <w:lvlJc w:val="left"/>
      <w:pPr>
        <w:ind w:left="1440" w:hanging="360"/>
      </w:pPr>
      <w:rPr>
        <w:rFonts w:ascii="Courier New" w:hAnsi="Courier New" w:cs="Courier New" w:hint="default"/>
      </w:rPr>
    </w:lvl>
    <w:lvl w:ilvl="2" w:tplc="B0A2B06C" w:tentative="1">
      <w:start w:val="1"/>
      <w:numFmt w:val="bullet"/>
      <w:lvlText w:val=""/>
      <w:lvlJc w:val="left"/>
      <w:pPr>
        <w:ind w:left="2160" w:hanging="360"/>
      </w:pPr>
      <w:rPr>
        <w:rFonts w:ascii="Wingdings" w:hAnsi="Wingdings" w:hint="default"/>
      </w:rPr>
    </w:lvl>
    <w:lvl w:ilvl="3" w:tplc="9474C586" w:tentative="1">
      <w:start w:val="1"/>
      <w:numFmt w:val="bullet"/>
      <w:lvlText w:val=""/>
      <w:lvlJc w:val="left"/>
      <w:pPr>
        <w:ind w:left="2880" w:hanging="360"/>
      </w:pPr>
      <w:rPr>
        <w:rFonts w:ascii="Symbol" w:hAnsi="Symbol" w:hint="default"/>
      </w:rPr>
    </w:lvl>
    <w:lvl w:ilvl="4" w:tplc="22FEF686" w:tentative="1">
      <w:start w:val="1"/>
      <w:numFmt w:val="bullet"/>
      <w:lvlText w:val="o"/>
      <w:lvlJc w:val="left"/>
      <w:pPr>
        <w:ind w:left="3600" w:hanging="360"/>
      </w:pPr>
      <w:rPr>
        <w:rFonts w:ascii="Courier New" w:hAnsi="Courier New" w:cs="Courier New" w:hint="default"/>
      </w:rPr>
    </w:lvl>
    <w:lvl w:ilvl="5" w:tplc="F3C4629A" w:tentative="1">
      <w:start w:val="1"/>
      <w:numFmt w:val="bullet"/>
      <w:lvlText w:val=""/>
      <w:lvlJc w:val="left"/>
      <w:pPr>
        <w:ind w:left="4320" w:hanging="360"/>
      </w:pPr>
      <w:rPr>
        <w:rFonts w:ascii="Wingdings" w:hAnsi="Wingdings" w:hint="default"/>
      </w:rPr>
    </w:lvl>
    <w:lvl w:ilvl="6" w:tplc="2FEAAA6C" w:tentative="1">
      <w:start w:val="1"/>
      <w:numFmt w:val="bullet"/>
      <w:lvlText w:val=""/>
      <w:lvlJc w:val="left"/>
      <w:pPr>
        <w:ind w:left="5040" w:hanging="360"/>
      </w:pPr>
      <w:rPr>
        <w:rFonts w:ascii="Symbol" w:hAnsi="Symbol" w:hint="default"/>
      </w:rPr>
    </w:lvl>
    <w:lvl w:ilvl="7" w:tplc="80C0EE80" w:tentative="1">
      <w:start w:val="1"/>
      <w:numFmt w:val="bullet"/>
      <w:lvlText w:val="o"/>
      <w:lvlJc w:val="left"/>
      <w:pPr>
        <w:ind w:left="5760" w:hanging="360"/>
      </w:pPr>
      <w:rPr>
        <w:rFonts w:ascii="Courier New" w:hAnsi="Courier New" w:cs="Courier New" w:hint="default"/>
      </w:rPr>
    </w:lvl>
    <w:lvl w:ilvl="8" w:tplc="3BD4829E" w:tentative="1">
      <w:start w:val="1"/>
      <w:numFmt w:val="bullet"/>
      <w:lvlText w:val=""/>
      <w:lvlJc w:val="left"/>
      <w:pPr>
        <w:ind w:left="6480" w:hanging="360"/>
      </w:pPr>
      <w:rPr>
        <w:rFonts w:ascii="Wingdings" w:hAnsi="Wingdings" w:hint="default"/>
      </w:rPr>
    </w:lvl>
  </w:abstractNum>
  <w:abstractNum w:abstractNumId="12" w15:restartNumberingAfterBreak="0">
    <w:nsid w:val="744544A1"/>
    <w:multiLevelType w:val="hybridMultilevel"/>
    <w:tmpl w:val="3DF093E2"/>
    <w:lvl w:ilvl="0" w:tplc="C504A614">
      <w:start w:val="1"/>
      <w:numFmt w:val="bullet"/>
      <w:lvlText w:val=""/>
      <w:lvlJc w:val="left"/>
      <w:pPr>
        <w:ind w:left="720" w:hanging="360"/>
      </w:pPr>
      <w:rPr>
        <w:rFonts w:ascii="Symbol" w:hAnsi="Symbol" w:hint="default"/>
      </w:rPr>
    </w:lvl>
    <w:lvl w:ilvl="1" w:tplc="F920DCDE" w:tentative="1">
      <w:start w:val="1"/>
      <w:numFmt w:val="bullet"/>
      <w:lvlText w:val="o"/>
      <w:lvlJc w:val="left"/>
      <w:pPr>
        <w:ind w:left="1440" w:hanging="360"/>
      </w:pPr>
      <w:rPr>
        <w:rFonts w:ascii="Courier New" w:hAnsi="Courier New" w:cs="Courier New" w:hint="default"/>
      </w:rPr>
    </w:lvl>
    <w:lvl w:ilvl="2" w:tplc="B470ABE0" w:tentative="1">
      <w:start w:val="1"/>
      <w:numFmt w:val="bullet"/>
      <w:lvlText w:val=""/>
      <w:lvlJc w:val="left"/>
      <w:pPr>
        <w:ind w:left="2160" w:hanging="360"/>
      </w:pPr>
      <w:rPr>
        <w:rFonts w:ascii="Wingdings" w:hAnsi="Wingdings" w:hint="default"/>
      </w:rPr>
    </w:lvl>
    <w:lvl w:ilvl="3" w:tplc="2D2C7A6C" w:tentative="1">
      <w:start w:val="1"/>
      <w:numFmt w:val="bullet"/>
      <w:lvlText w:val=""/>
      <w:lvlJc w:val="left"/>
      <w:pPr>
        <w:ind w:left="2880" w:hanging="360"/>
      </w:pPr>
      <w:rPr>
        <w:rFonts w:ascii="Symbol" w:hAnsi="Symbol" w:hint="default"/>
      </w:rPr>
    </w:lvl>
    <w:lvl w:ilvl="4" w:tplc="E3F23762" w:tentative="1">
      <w:start w:val="1"/>
      <w:numFmt w:val="bullet"/>
      <w:lvlText w:val="o"/>
      <w:lvlJc w:val="left"/>
      <w:pPr>
        <w:ind w:left="3600" w:hanging="360"/>
      </w:pPr>
      <w:rPr>
        <w:rFonts w:ascii="Courier New" w:hAnsi="Courier New" w:cs="Courier New" w:hint="default"/>
      </w:rPr>
    </w:lvl>
    <w:lvl w:ilvl="5" w:tplc="18108040" w:tentative="1">
      <w:start w:val="1"/>
      <w:numFmt w:val="bullet"/>
      <w:lvlText w:val=""/>
      <w:lvlJc w:val="left"/>
      <w:pPr>
        <w:ind w:left="4320" w:hanging="360"/>
      </w:pPr>
      <w:rPr>
        <w:rFonts w:ascii="Wingdings" w:hAnsi="Wingdings" w:hint="default"/>
      </w:rPr>
    </w:lvl>
    <w:lvl w:ilvl="6" w:tplc="9732F33C" w:tentative="1">
      <w:start w:val="1"/>
      <w:numFmt w:val="bullet"/>
      <w:lvlText w:val=""/>
      <w:lvlJc w:val="left"/>
      <w:pPr>
        <w:ind w:left="5040" w:hanging="360"/>
      </w:pPr>
      <w:rPr>
        <w:rFonts w:ascii="Symbol" w:hAnsi="Symbol" w:hint="default"/>
      </w:rPr>
    </w:lvl>
    <w:lvl w:ilvl="7" w:tplc="01A0D00A" w:tentative="1">
      <w:start w:val="1"/>
      <w:numFmt w:val="bullet"/>
      <w:lvlText w:val="o"/>
      <w:lvlJc w:val="left"/>
      <w:pPr>
        <w:ind w:left="5760" w:hanging="360"/>
      </w:pPr>
      <w:rPr>
        <w:rFonts w:ascii="Courier New" w:hAnsi="Courier New" w:cs="Courier New" w:hint="default"/>
      </w:rPr>
    </w:lvl>
    <w:lvl w:ilvl="8" w:tplc="BE3ECEBC" w:tentative="1">
      <w:start w:val="1"/>
      <w:numFmt w:val="bullet"/>
      <w:lvlText w:val=""/>
      <w:lvlJc w:val="left"/>
      <w:pPr>
        <w:ind w:left="6480" w:hanging="360"/>
      </w:pPr>
      <w:rPr>
        <w:rFonts w:ascii="Wingdings" w:hAnsi="Wingdings" w:hint="default"/>
      </w:rPr>
    </w:lvl>
  </w:abstractNum>
  <w:abstractNum w:abstractNumId="13" w15:restartNumberingAfterBreak="0">
    <w:nsid w:val="74EA0017"/>
    <w:multiLevelType w:val="hybridMultilevel"/>
    <w:tmpl w:val="364A26F8"/>
    <w:lvl w:ilvl="0" w:tplc="92B21C20">
      <w:start w:val="1"/>
      <w:numFmt w:val="bullet"/>
      <w:lvlText w:val=""/>
      <w:lvlJc w:val="left"/>
      <w:pPr>
        <w:ind w:left="720" w:hanging="360"/>
      </w:pPr>
      <w:rPr>
        <w:rFonts w:ascii="Symbol" w:hAnsi="Symbol" w:hint="default"/>
      </w:rPr>
    </w:lvl>
    <w:lvl w:ilvl="1" w:tplc="6E22956A" w:tentative="1">
      <w:start w:val="1"/>
      <w:numFmt w:val="bullet"/>
      <w:lvlText w:val="o"/>
      <w:lvlJc w:val="left"/>
      <w:pPr>
        <w:ind w:left="1440" w:hanging="360"/>
      </w:pPr>
      <w:rPr>
        <w:rFonts w:ascii="Courier New" w:hAnsi="Courier New" w:cs="Courier New" w:hint="default"/>
      </w:rPr>
    </w:lvl>
    <w:lvl w:ilvl="2" w:tplc="6E40EEA0" w:tentative="1">
      <w:start w:val="1"/>
      <w:numFmt w:val="bullet"/>
      <w:lvlText w:val=""/>
      <w:lvlJc w:val="left"/>
      <w:pPr>
        <w:ind w:left="2160" w:hanging="360"/>
      </w:pPr>
      <w:rPr>
        <w:rFonts w:ascii="Wingdings" w:hAnsi="Wingdings" w:hint="default"/>
      </w:rPr>
    </w:lvl>
    <w:lvl w:ilvl="3" w:tplc="237E1286" w:tentative="1">
      <w:start w:val="1"/>
      <w:numFmt w:val="bullet"/>
      <w:lvlText w:val=""/>
      <w:lvlJc w:val="left"/>
      <w:pPr>
        <w:ind w:left="2880" w:hanging="360"/>
      </w:pPr>
      <w:rPr>
        <w:rFonts w:ascii="Symbol" w:hAnsi="Symbol" w:hint="default"/>
      </w:rPr>
    </w:lvl>
    <w:lvl w:ilvl="4" w:tplc="2026B018" w:tentative="1">
      <w:start w:val="1"/>
      <w:numFmt w:val="bullet"/>
      <w:lvlText w:val="o"/>
      <w:lvlJc w:val="left"/>
      <w:pPr>
        <w:ind w:left="3600" w:hanging="360"/>
      </w:pPr>
      <w:rPr>
        <w:rFonts w:ascii="Courier New" w:hAnsi="Courier New" w:cs="Courier New" w:hint="default"/>
      </w:rPr>
    </w:lvl>
    <w:lvl w:ilvl="5" w:tplc="3DEE5504" w:tentative="1">
      <w:start w:val="1"/>
      <w:numFmt w:val="bullet"/>
      <w:lvlText w:val=""/>
      <w:lvlJc w:val="left"/>
      <w:pPr>
        <w:ind w:left="4320" w:hanging="360"/>
      </w:pPr>
      <w:rPr>
        <w:rFonts w:ascii="Wingdings" w:hAnsi="Wingdings" w:hint="default"/>
      </w:rPr>
    </w:lvl>
    <w:lvl w:ilvl="6" w:tplc="CB26E840" w:tentative="1">
      <w:start w:val="1"/>
      <w:numFmt w:val="bullet"/>
      <w:lvlText w:val=""/>
      <w:lvlJc w:val="left"/>
      <w:pPr>
        <w:ind w:left="5040" w:hanging="360"/>
      </w:pPr>
      <w:rPr>
        <w:rFonts w:ascii="Symbol" w:hAnsi="Symbol" w:hint="default"/>
      </w:rPr>
    </w:lvl>
    <w:lvl w:ilvl="7" w:tplc="608426B6" w:tentative="1">
      <w:start w:val="1"/>
      <w:numFmt w:val="bullet"/>
      <w:lvlText w:val="o"/>
      <w:lvlJc w:val="left"/>
      <w:pPr>
        <w:ind w:left="5760" w:hanging="360"/>
      </w:pPr>
      <w:rPr>
        <w:rFonts w:ascii="Courier New" w:hAnsi="Courier New" w:cs="Courier New" w:hint="default"/>
      </w:rPr>
    </w:lvl>
    <w:lvl w:ilvl="8" w:tplc="9AF4088A" w:tentative="1">
      <w:start w:val="1"/>
      <w:numFmt w:val="bullet"/>
      <w:lvlText w:val=""/>
      <w:lvlJc w:val="left"/>
      <w:pPr>
        <w:ind w:left="6480" w:hanging="360"/>
      </w:pPr>
      <w:rPr>
        <w:rFonts w:ascii="Wingdings" w:hAnsi="Wingdings" w:hint="default"/>
      </w:rPr>
    </w:lvl>
  </w:abstractNum>
  <w:abstractNum w:abstractNumId="14" w15:restartNumberingAfterBreak="0">
    <w:nsid w:val="7B413C9A"/>
    <w:multiLevelType w:val="hybridMultilevel"/>
    <w:tmpl w:val="31EC79E0"/>
    <w:lvl w:ilvl="0" w:tplc="7C46F6FC">
      <w:start w:val="1"/>
      <w:numFmt w:val="bullet"/>
      <w:lvlText w:val=""/>
      <w:lvlJc w:val="left"/>
      <w:pPr>
        <w:ind w:left="720" w:hanging="360"/>
      </w:pPr>
      <w:rPr>
        <w:rFonts w:ascii="Symbol" w:hAnsi="Symbol" w:hint="default"/>
      </w:rPr>
    </w:lvl>
    <w:lvl w:ilvl="1" w:tplc="C9427A8C" w:tentative="1">
      <w:start w:val="1"/>
      <w:numFmt w:val="bullet"/>
      <w:lvlText w:val="o"/>
      <w:lvlJc w:val="left"/>
      <w:pPr>
        <w:ind w:left="1440" w:hanging="360"/>
      </w:pPr>
      <w:rPr>
        <w:rFonts w:ascii="Courier New" w:hAnsi="Courier New" w:cs="Courier New" w:hint="default"/>
      </w:rPr>
    </w:lvl>
    <w:lvl w:ilvl="2" w:tplc="D0280B74" w:tentative="1">
      <w:start w:val="1"/>
      <w:numFmt w:val="bullet"/>
      <w:lvlText w:val=""/>
      <w:lvlJc w:val="left"/>
      <w:pPr>
        <w:ind w:left="2160" w:hanging="360"/>
      </w:pPr>
      <w:rPr>
        <w:rFonts w:ascii="Wingdings" w:hAnsi="Wingdings" w:hint="default"/>
      </w:rPr>
    </w:lvl>
    <w:lvl w:ilvl="3" w:tplc="9DC2A390" w:tentative="1">
      <w:start w:val="1"/>
      <w:numFmt w:val="bullet"/>
      <w:lvlText w:val=""/>
      <w:lvlJc w:val="left"/>
      <w:pPr>
        <w:ind w:left="2880" w:hanging="360"/>
      </w:pPr>
      <w:rPr>
        <w:rFonts w:ascii="Symbol" w:hAnsi="Symbol" w:hint="default"/>
      </w:rPr>
    </w:lvl>
    <w:lvl w:ilvl="4" w:tplc="345033C8" w:tentative="1">
      <w:start w:val="1"/>
      <w:numFmt w:val="bullet"/>
      <w:lvlText w:val="o"/>
      <w:lvlJc w:val="left"/>
      <w:pPr>
        <w:ind w:left="3600" w:hanging="360"/>
      </w:pPr>
      <w:rPr>
        <w:rFonts w:ascii="Courier New" w:hAnsi="Courier New" w:cs="Courier New" w:hint="default"/>
      </w:rPr>
    </w:lvl>
    <w:lvl w:ilvl="5" w:tplc="C7C09E16" w:tentative="1">
      <w:start w:val="1"/>
      <w:numFmt w:val="bullet"/>
      <w:lvlText w:val=""/>
      <w:lvlJc w:val="left"/>
      <w:pPr>
        <w:ind w:left="4320" w:hanging="360"/>
      </w:pPr>
      <w:rPr>
        <w:rFonts w:ascii="Wingdings" w:hAnsi="Wingdings" w:hint="default"/>
      </w:rPr>
    </w:lvl>
    <w:lvl w:ilvl="6" w:tplc="5FA2233E" w:tentative="1">
      <w:start w:val="1"/>
      <w:numFmt w:val="bullet"/>
      <w:lvlText w:val=""/>
      <w:lvlJc w:val="left"/>
      <w:pPr>
        <w:ind w:left="5040" w:hanging="360"/>
      </w:pPr>
      <w:rPr>
        <w:rFonts w:ascii="Symbol" w:hAnsi="Symbol" w:hint="default"/>
      </w:rPr>
    </w:lvl>
    <w:lvl w:ilvl="7" w:tplc="838AE196" w:tentative="1">
      <w:start w:val="1"/>
      <w:numFmt w:val="bullet"/>
      <w:lvlText w:val="o"/>
      <w:lvlJc w:val="left"/>
      <w:pPr>
        <w:ind w:left="5760" w:hanging="360"/>
      </w:pPr>
      <w:rPr>
        <w:rFonts w:ascii="Courier New" w:hAnsi="Courier New" w:cs="Courier New" w:hint="default"/>
      </w:rPr>
    </w:lvl>
    <w:lvl w:ilvl="8" w:tplc="C8CCAD50"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9"/>
  </w:num>
  <w:num w:numId="23">
    <w:abstractNumId w:val="4"/>
    <w:lvlOverride w:ilvl="0">
      <w:startOverride w:val="5"/>
    </w:lvlOverride>
    <w:lvlOverride w:ilvl="1">
      <w:startOverride w:val="1"/>
    </w:lvlOverride>
  </w:num>
  <w:num w:numId="24">
    <w:abstractNumId w:val="4"/>
    <w:lvlOverride w:ilvl="0">
      <w:startOverride w:val="5"/>
    </w:lvlOverride>
    <w:lvlOverride w:ilvl="1">
      <w:startOverride w:val="1"/>
    </w:lvlOverride>
  </w:num>
  <w:num w:numId="25">
    <w:abstractNumId w:val="4"/>
    <w:lvlOverride w:ilvl="0">
      <w:startOverride w:val="5"/>
    </w:lvlOverride>
    <w:lvlOverride w:ilvl="1">
      <w:startOverride w:val="1"/>
    </w:lvlOverride>
  </w:num>
  <w:num w:numId="26">
    <w:abstractNumId w:val="4"/>
    <w:lvlOverride w:ilvl="0">
      <w:startOverride w:val="5"/>
    </w:lvlOverride>
    <w:lvlOverride w:ilvl="1">
      <w:startOverride w:val="2"/>
    </w:lvlOverride>
  </w:num>
  <w:num w:numId="27">
    <w:abstractNumId w:val="3"/>
  </w:num>
  <w:num w:numId="28">
    <w:abstractNumId w:val="12"/>
  </w:num>
  <w:num w:numId="29">
    <w:abstractNumId w:val="13"/>
  </w:num>
  <w:num w:numId="30">
    <w:abstractNumId w:val="7"/>
  </w:num>
  <w:num w:numId="31">
    <w:abstractNumId w:val="6"/>
  </w:num>
  <w:num w:numId="32">
    <w:abstractNumId w:val="6"/>
  </w:num>
  <w:num w:numId="33">
    <w:abstractNumId w:val="8"/>
  </w:num>
  <w:num w:numId="34">
    <w:abstractNumId w:val="11"/>
  </w:num>
  <w:num w:numId="35">
    <w:abstractNumId w:val="10"/>
  </w:num>
  <w:num w:numId="36">
    <w:abstractNumId w:val="0"/>
  </w:num>
  <w:num w:numId="37">
    <w:abstractNumId w:val="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A2"/>
    <w:rsid w:val="001132A2"/>
    <w:rsid w:val="00884E6A"/>
    <w:rsid w:val="008B0DEC"/>
    <w:rsid w:val="009865BC"/>
    <w:rsid w:val="00E73491"/>
    <w:rsid w:val="00E9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4AC672-29CD-4334-A79F-75A28D0F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554"/>
    <w:rPr>
      <w:rFonts w:ascii="Arial" w:hAnsi="Arial" w:cs="Arial"/>
      <w:sz w:val="24"/>
      <w:szCs w:val="24"/>
      <w:lang w:eastAsia="en-US"/>
    </w:rPr>
  </w:style>
  <w:style w:type="paragraph" w:styleId="Heading1">
    <w:name w:val="heading 1"/>
    <w:basedOn w:val="Normal"/>
    <w:next w:val="Normal"/>
    <w:link w:val="Heading1Char"/>
    <w:qFormat/>
    <w:rsid w:val="001C3A41"/>
    <w:pPr>
      <w:keepNext/>
      <w:numPr>
        <w:numId w:val="3"/>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1C3A41"/>
    <w:pPr>
      <w:keepNext/>
      <w:numPr>
        <w:ilvl w:val="1"/>
        <w:numId w:val="3"/>
      </w:numPr>
      <w:spacing w:before="240" w:after="60"/>
      <w:ind w:left="576"/>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1C3A41"/>
    <w:pPr>
      <w:keepNext/>
      <w:numPr>
        <w:ilvl w:val="2"/>
        <w:numId w:val="3"/>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C3A41"/>
    <w:pPr>
      <w:keepNext/>
      <w:numPr>
        <w:ilvl w:val="3"/>
        <w:numId w:val="3"/>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1C3A41"/>
    <w:pPr>
      <w:numPr>
        <w:ilvl w:val="4"/>
        <w:numId w:val="3"/>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1C3A41"/>
    <w:pPr>
      <w:numPr>
        <w:ilvl w:val="5"/>
        <w:numId w:val="3"/>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semiHidden/>
    <w:unhideWhenUsed/>
    <w:qFormat/>
    <w:rsid w:val="001C3A41"/>
    <w:pPr>
      <w:numPr>
        <w:ilvl w:val="6"/>
        <w:numId w:val="3"/>
      </w:num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1C3A41"/>
    <w:pPr>
      <w:numPr>
        <w:ilvl w:val="7"/>
        <w:numId w:val="3"/>
      </w:num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1C3A41"/>
    <w:pPr>
      <w:numPr>
        <w:ilvl w:val="8"/>
        <w:numId w:val="3"/>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1554"/>
    <w:rPr>
      <w:color w:val="0000FF"/>
      <w:u w:val="single"/>
    </w:rPr>
  </w:style>
  <w:style w:type="table" w:styleId="TableGrid">
    <w:name w:val="Table Grid"/>
    <w:basedOn w:val="TableNormal"/>
    <w:uiPriority w:val="59"/>
    <w:rsid w:val="00D5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554"/>
    <w:pPr>
      <w:overflowPunct w:val="0"/>
      <w:autoSpaceDE w:val="0"/>
      <w:autoSpaceDN w:val="0"/>
      <w:adjustRightInd w:val="0"/>
      <w:ind w:left="720"/>
      <w:contextualSpacing/>
      <w:textAlignment w:val="baseline"/>
    </w:pPr>
    <w:rPr>
      <w:rFonts w:cs="Times New Roman"/>
      <w:szCs w:val="20"/>
    </w:rPr>
  </w:style>
  <w:style w:type="character" w:styleId="LineNumber">
    <w:name w:val="line number"/>
    <w:basedOn w:val="DefaultParagraphFont"/>
    <w:rsid w:val="00060BD2"/>
  </w:style>
  <w:style w:type="character" w:customStyle="1" w:styleId="Heading1Char">
    <w:name w:val="Heading 1 Char"/>
    <w:basedOn w:val="DefaultParagraphFont"/>
    <w:link w:val="Heading1"/>
    <w:rsid w:val="001C3A41"/>
    <w:rPr>
      <w:rFonts w:ascii="Cambria" w:hAnsi="Cambria"/>
      <w:b/>
      <w:bCs/>
      <w:kern w:val="32"/>
      <w:sz w:val="32"/>
      <w:szCs w:val="32"/>
      <w:lang w:eastAsia="en-US"/>
    </w:rPr>
  </w:style>
  <w:style w:type="character" w:customStyle="1" w:styleId="Heading2Char">
    <w:name w:val="Heading 2 Char"/>
    <w:basedOn w:val="DefaultParagraphFont"/>
    <w:link w:val="Heading2"/>
    <w:uiPriority w:val="9"/>
    <w:rsid w:val="001C3A41"/>
    <w:rPr>
      <w:rFonts w:ascii="Cambria" w:hAnsi="Cambria"/>
      <w:b/>
      <w:bCs/>
      <w:i/>
      <w:iCs/>
      <w:sz w:val="28"/>
      <w:szCs w:val="28"/>
      <w:lang w:eastAsia="en-US"/>
    </w:rPr>
  </w:style>
  <w:style w:type="character" w:customStyle="1" w:styleId="Heading3Char">
    <w:name w:val="Heading 3 Char"/>
    <w:basedOn w:val="DefaultParagraphFont"/>
    <w:link w:val="Heading3"/>
    <w:uiPriority w:val="9"/>
    <w:rsid w:val="001C3A41"/>
    <w:rPr>
      <w:rFonts w:ascii="Cambria" w:hAnsi="Cambria"/>
      <w:b/>
      <w:bCs/>
      <w:sz w:val="26"/>
      <w:szCs w:val="26"/>
      <w:lang w:eastAsia="en-US"/>
    </w:rPr>
  </w:style>
  <w:style w:type="character" w:customStyle="1" w:styleId="Heading4Char">
    <w:name w:val="Heading 4 Char"/>
    <w:basedOn w:val="DefaultParagraphFont"/>
    <w:link w:val="Heading4"/>
    <w:uiPriority w:val="9"/>
    <w:semiHidden/>
    <w:rsid w:val="001C3A41"/>
    <w:rPr>
      <w:rFonts w:ascii="Calibri" w:hAnsi="Calibri"/>
      <w:b/>
      <w:bCs/>
      <w:sz w:val="28"/>
      <w:szCs w:val="28"/>
      <w:lang w:eastAsia="en-US"/>
    </w:rPr>
  </w:style>
  <w:style w:type="character" w:customStyle="1" w:styleId="Heading5Char">
    <w:name w:val="Heading 5 Char"/>
    <w:basedOn w:val="DefaultParagraphFont"/>
    <w:link w:val="Heading5"/>
    <w:uiPriority w:val="9"/>
    <w:semiHidden/>
    <w:rsid w:val="001C3A41"/>
    <w:rPr>
      <w:rFonts w:ascii="Calibri" w:hAnsi="Calibri"/>
      <w:b/>
      <w:bCs/>
      <w:i/>
      <w:iCs/>
      <w:sz w:val="26"/>
      <w:szCs w:val="26"/>
      <w:lang w:eastAsia="en-US"/>
    </w:rPr>
  </w:style>
  <w:style w:type="character" w:customStyle="1" w:styleId="Heading6Char">
    <w:name w:val="Heading 6 Char"/>
    <w:basedOn w:val="DefaultParagraphFont"/>
    <w:link w:val="Heading6"/>
    <w:uiPriority w:val="9"/>
    <w:semiHidden/>
    <w:rsid w:val="001C3A41"/>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1C3A41"/>
    <w:rPr>
      <w:rFonts w:ascii="Calibri" w:hAnsi="Calibri"/>
      <w:sz w:val="24"/>
      <w:szCs w:val="24"/>
      <w:lang w:eastAsia="en-US"/>
    </w:rPr>
  </w:style>
  <w:style w:type="character" w:customStyle="1" w:styleId="Heading8Char">
    <w:name w:val="Heading 8 Char"/>
    <w:basedOn w:val="DefaultParagraphFont"/>
    <w:link w:val="Heading8"/>
    <w:uiPriority w:val="9"/>
    <w:semiHidden/>
    <w:rsid w:val="001C3A41"/>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1C3A41"/>
    <w:rPr>
      <w:rFonts w:ascii="Cambria" w:hAnsi="Cambria"/>
      <w:sz w:val="22"/>
      <w:szCs w:val="22"/>
      <w:lang w:eastAsia="en-US"/>
    </w:rPr>
  </w:style>
  <w:style w:type="character" w:styleId="CommentReference">
    <w:name w:val="annotation reference"/>
    <w:basedOn w:val="DefaultParagraphFont"/>
    <w:uiPriority w:val="99"/>
    <w:unhideWhenUsed/>
    <w:rsid w:val="004B6000"/>
    <w:rPr>
      <w:sz w:val="16"/>
      <w:szCs w:val="16"/>
    </w:rPr>
  </w:style>
  <w:style w:type="paragraph" w:styleId="CommentText">
    <w:name w:val="annotation text"/>
    <w:basedOn w:val="Normal"/>
    <w:link w:val="CommentTextChar"/>
    <w:uiPriority w:val="99"/>
    <w:unhideWhenUsed/>
    <w:rsid w:val="004B6000"/>
    <w:rPr>
      <w:sz w:val="20"/>
      <w:szCs w:val="20"/>
    </w:rPr>
  </w:style>
  <w:style w:type="character" w:customStyle="1" w:styleId="CommentTextChar">
    <w:name w:val="Comment Text Char"/>
    <w:basedOn w:val="DefaultParagraphFont"/>
    <w:link w:val="CommentText"/>
    <w:uiPriority w:val="99"/>
    <w:rsid w:val="004B6000"/>
    <w:rPr>
      <w:rFonts w:ascii="Arial" w:hAnsi="Arial" w:cs="Arial"/>
      <w:lang w:eastAsia="en-US"/>
    </w:rPr>
  </w:style>
  <w:style w:type="paragraph" w:styleId="BalloonText">
    <w:name w:val="Balloon Text"/>
    <w:basedOn w:val="Normal"/>
    <w:link w:val="BalloonTextChar"/>
    <w:rsid w:val="004B6000"/>
    <w:rPr>
      <w:rFonts w:ascii="Tahoma" w:hAnsi="Tahoma" w:cs="Tahoma"/>
      <w:sz w:val="16"/>
      <w:szCs w:val="16"/>
    </w:rPr>
  </w:style>
  <w:style w:type="character" w:customStyle="1" w:styleId="BalloonTextChar">
    <w:name w:val="Balloon Text Char"/>
    <w:basedOn w:val="DefaultParagraphFont"/>
    <w:link w:val="BalloonText"/>
    <w:rsid w:val="004B6000"/>
    <w:rPr>
      <w:rFonts w:ascii="Tahoma" w:hAnsi="Tahoma" w:cs="Tahoma"/>
      <w:sz w:val="16"/>
      <w:szCs w:val="16"/>
      <w:lang w:eastAsia="en-US"/>
    </w:rPr>
  </w:style>
  <w:style w:type="paragraph" w:styleId="Header">
    <w:name w:val="header"/>
    <w:basedOn w:val="Normal"/>
    <w:link w:val="HeaderChar"/>
    <w:rsid w:val="00E36FA0"/>
    <w:pPr>
      <w:tabs>
        <w:tab w:val="center" w:pos="4513"/>
        <w:tab w:val="right" w:pos="9026"/>
      </w:tabs>
    </w:pPr>
  </w:style>
  <w:style w:type="character" w:customStyle="1" w:styleId="HeaderChar">
    <w:name w:val="Header Char"/>
    <w:basedOn w:val="DefaultParagraphFont"/>
    <w:link w:val="Header"/>
    <w:rsid w:val="00E36FA0"/>
    <w:rPr>
      <w:rFonts w:ascii="Arial" w:hAnsi="Arial" w:cs="Arial"/>
      <w:sz w:val="24"/>
      <w:szCs w:val="24"/>
      <w:lang w:eastAsia="en-US"/>
    </w:rPr>
  </w:style>
  <w:style w:type="paragraph" w:styleId="Footer">
    <w:name w:val="footer"/>
    <w:basedOn w:val="Normal"/>
    <w:link w:val="FooterChar"/>
    <w:rsid w:val="00E36FA0"/>
    <w:pPr>
      <w:tabs>
        <w:tab w:val="center" w:pos="4513"/>
        <w:tab w:val="right" w:pos="9026"/>
      </w:tabs>
    </w:pPr>
  </w:style>
  <w:style w:type="character" w:customStyle="1" w:styleId="FooterChar">
    <w:name w:val="Footer Char"/>
    <w:basedOn w:val="DefaultParagraphFont"/>
    <w:link w:val="Footer"/>
    <w:rsid w:val="00E36FA0"/>
    <w:rPr>
      <w:rFonts w:ascii="Arial" w:hAnsi="Arial" w:cs="Arial"/>
      <w:sz w:val="24"/>
      <w:szCs w:val="24"/>
      <w:lang w:eastAsia="en-US"/>
    </w:rPr>
  </w:style>
  <w:style w:type="character" w:styleId="Strong">
    <w:name w:val="Strong"/>
    <w:basedOn w:val="DefaultParagraphFont"/>
    <w:uiPriority w:val="22"/>
    <w:qFormat/>
    <w:rsid w:val="005D48DE"/>
    <w:rPr>
      <w:b/>
      <w:bCs/>
    </w:rPr>
  </w:style>
  <w:style w:type="paragraph" w:styleId="FootnoteText">
    <w:name w:val="footnote text"/>
    <w:basedOn w:val="Normal"/>
    <w:link w:val="FootnoteTextChar"/>
    <w:uiPriority w:val="99"/>
    <w:unhideWhenUsed/>
    <w:rsid w:val="007D62DE"/>
    <w:rPr>
      <w:sz w:val="20"/>
      <w:szCs w:val="20"/>
    </w:rPr>
  </w:style>
  <w:style w:type="character" w:customStyle="1" w:styleId="FootnoteTextChar">
    <w:name w:val="Footnote Text Char"/>
    <w:basedOn w:val="DefaultParagraphFont"/>
    <w:link w:val="FootnoteText"/>
    <w:uiPriority w:val="99"/>
    <w:rsid w:val="007D62DE"/>
    <w:rPr>
      <w:rFonts w:ascii="Arial" w:hAnsi="Arial" w:cs="Arial"/>
      <w:lang w:eastAsia="en-US"/>
    </w:rPr>
  </w:style>
  <w:style w:type="character" w:styleId="FootnoteReference">
    <w:name w:val="footnote reference"/>
    <w:basedOn w:val="DefaultParagraphFont"/>
    <w:uiPriority w:val="99"/>
    <w:unhideWhenUsed/>
    <w:rsid w:val="007D62DE"/>
    <w:rPr>
      <w:vertAlign w:val="superscript"/>
    </w:rPr>
  </w:style>
  <w:style w:type="paragraph" w:styleId="CommentSubject">
    <w:name w:val="annotation subject"/>
    <w:basedOn w:val="CommentText"/>
    <w:next w:val="CommentText"/>
    <w:link w:val="CommentSubjectChar"/>
    <w:rsid w:val="00672554"/>
    <w:rPr>
      <w:b/>
      <w:bCs/>
    </w:rPr>
  </w:style>
  <w:style w:type="character" w:customStyle="1" w:styleId="CommentSubjectChar">
    <w:name w:val="Comment Subject Char"/>
    <w:basedOn w:val="CommentTextChar"/>
    <w:link w:val="CommentSubject"/>
    <w:rsid w:val="00672554"/>
    <w:rPr>
      <w:rFonts w:ascii="Arial" w:hAnsi="Arial" w:cs="Arial"/>
      <w:b/>
      <w:bCs/>
      <w:lang w:eastAsia="en-US"/>
    </w:rPr>
  </w:style>
  <w:style w:type="paragraph" w:styleId="NormalWeb">
    <w:name w:val="Normal (Web)"/>
    <w:basedOn w:val="Normal"/>
    <w:uiPriority w:val="99"/>
    <w:unhideWhenUsed/>
    <w:rsid w:val="00734877"/>
    <w:pPr>
      <w:spacing w:after="135"/>
    </w:pPr>
    <w:rPr>
      <w:lang w:eastAsia="en-GB"/>
    </w:rPr>
  </w:style>
  <w:style w:type="paragraph" w:styleId="Subtitle">
    <w:name w:val="Subtitle"/>
    <w:basedOn w:val="Normal"/>
    <w:link w:val="SubtitleChar"/>
    <w:qFormat/>
    <w:rsid w:val="00B8644F"/>
    <w:pPr>
      <w:jc w:val="center"/>
    </w:pPr>
    <w:rPr>
      <w:rFonts w:cs="Times New Roman"/>
      <w:b/>
      <w:sz w:val="22"/>
      <w:szCs w:val="20"/>
      <w:u w:val="single"/>
    </w:rPr>
  </w:style>
  <w:style w:type="character" w:customStyle="1" w:styleId="SubtitleChar">
    <w:name w:val="Subtitle Char"/>
    <w:basedOn w:val="DefaultParagraphFont"/>
    <w:link w:val="Subtitle"/>
    <w:rsid w:val="00B8644F"/>
    <w:rPr>
      <w:rFonts w:ascii="Arial" w:hAnsi="Arial"/>
      <w:b/>
      <w:sz w:val="22"/>
      <w:u w:val="single"/>
    </w:rPr>
  </w:style>
  <w:style w:type="paragraph" w:customStyle="1" w:styleId="Default">
    <w:name w:val="Default"/>
    <w:rsid w:val="000171F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udson@ashfiel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652FF-D725-46BE-8DB1-69AEBF40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4528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AGENDA ITEM:</vt:lpstr>
    </vt:vector>
  </TitlesOfParts>
  <Company>ADC</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ad41002</dc:creator>
  <cp:lastModifiedBy>L.Cain</cp:lastModifiedBy>
  <cp:revision>2</cp:revision>
  <cp:lastPrinted>2019-01-30T14:15:00Z</cp:lastPrinted>
  <dcterms:created xsi:type="dcterms:W3CDTF">2019-12-02T14:07:00Z</dcterms:created>
  <dcterms:modified xsi:type="dcterms:W3CDTF">2019-12-02T14:07:00Z</dcterms:modified>
</cp:coreProperties>
</file>