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9BDFE" w14:textId="77777777" w:rsidR="00140F60" w:rsidRDefault="00140F60" w:rsidP="00A2408B">
      <w:pPr>
        <w:pStyle w:val="Heading1"/>
      </w:pPr>
    </w:p>
    <w:p w14:paraId="10D5A4DE" w14:textId="26EE680F" w:rsidR="00140F60" w:rsidRDefault="00140F60" w:rsidP="00A2408B">
      <w:pPr>
        <w:pStyle w:val="Heading1"/>
      </w:pPr>
      <w:r>
        <w:rPr>
          <w:noProof/>
        </w:rPr>
        <w:drawing>
          <wp:inline distT="0" distB="0" distL="0" distR="0" wp14:anchorId="231AD048" wp14:editId="17E39CA7">
            <wp:extent cx="2143125" cy="885664"/>
            <wp:effectExtent l="0" t="0" r="0" b="0"/>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6013" cy="899255"/>
                    </a:xfrm>
                    <a:prstGeom prst="rect">
                      <a:avLst/>
                    </a:prstGeom>
                    <a:noFill/>
                  </pic:spPr>
                </pic:pic>
              </a:graphicData>
            </a:graphic>
          </wp:inline>
        </w:drawing>
      </w:r>
    </w:p>
    <w:p w14:paraId="1D382459" w14:textId="77777777" w:rsidR="00140F60" w:rsidRDefault="00140F60" w:rsidP="00A2408B">
      <w:pPr>
        <w:pStyle w:val="Heading1"/>
      </w:pPr>
    </w:p>
    <w:p w14:paraId="4400D2B1" w14:textId="6F229843"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52344437" w:rsidR="008655AA" w:rsidRPr="00A2408B" w:rsidRDefault="008655AA" w:rsidP="00A2408B">
      <w:pPr>
        <w:pStyle w:val="Heading1"/>
      </w:pPr>
      <w:r w:rsidRPr="00A2408B">
        <w:t xml:space="preserve">Matter </w:t>
      </w:r>
      <w:r w:rsidR="00ED32C8">
        <w:t>1</w:t>
      </w:r>
      <w:r w:rsidR="00841D5E">
        <w:t>2</w:t>
      </w:r>
      <w:r w:rsidR="00ED32C8">
        <w:t>:</w:t>
      </w:r>
    </w:p>
    <w:p w14:paraId="1D349B7B" w14:textId="5D6C2D4E" w:rsidR="008655AA" w:rsidRDefault="00841D5E" w:rsidP="00F44426">
      <w:pPr>
        <w:pStyle w:val="Heading1"/>
      </w:pPr>
      <w:r>
        <w:t>Viability</w:t>
      </w:r>
    </w:p>
    <w:p w14:paraId="586098D9" w14:textId="77777777" w:rsidR="008655AA" w:rsidRDefault="008655AA" w:rsidP="008655AA"/>
    <w:p w14:paraId="56FD841B" w14:textId="77777777" w:rsidR="0060384A" w:rsidRDefault="0060384A" w:rsidP="008655AA"/>
    <w:p w14:paraId="682BCB6E" w14:textId="77777777" w:rsidR="0060384A" w:rsidRDefault="0060384A" w:rsidP="008655AA"/>
    <w:p w14:paraId="5D47E85A" w14:textId="77777777" w:rsidR="0060384A" w:rsidRDefault="0060384A" w:rsidP="008655AA"/>
    <w:p w14:paraId="47A6E5C7" w14:textId="77777777" w:rsidR="0060384A" w:rsidRDefault="0060384A" w:rsidP="008655AA"/>
    <w:p w14:paraId="24A80258" w14:textId="77777777" w:rsidR="0060384A" w:rsidRDefault="0060384A" w:rsidP="008655AA"/>
    <w:p w14:paraId="09465C6A" w14:textId="77777777" w:rsidR="0060384A" w:rsidRDefault="0060384A" w:rsidP="008655AA"/>
    <w:p w14:paraId="13A2F247" w14:textId="77777777" w:rsidR="0060384A" w:rsidRDefault="0060384A" w:rsidP="008655AA"/>
    <w:p w14:paraId="31B6677A" w14:textId="77777777" w:rsidR="0060384A" w:rsidRDefault="0060384A" w:rsidP="008655AA"/>
    <w:p w14:paraId="1ED5B966" w14:textId="77777777" w:rsidR="0060384A" w:rsidRDefault="0060384A" w:rsidP="008655AA"/>
    <w:p w14:paraId="22F735FE" w14:textId="77777777" w:rsidR="0060384A" w:rsidRDefault="0060384A" w:rsidP="008655AA"/>
    <w:p w14:paraId="3D30D867" w14:textId="34C77269" w:rsidR="0060384A" w:rsidRDefault="0060384A" w:rsidP="0060384A">
      <w:pPr>
        <w:pStyle w:val="Heading1"/>
        <w:sectPr w:rsidR="0060384A"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t>December 2024</w:t>
      </w:r>
    </w:p>
    <w:p w14:paraId="647246DD" w14:textId="77777777" w:rsidR="002653A7" w:rsidRPr="00B3397C" w:rsidRDefault="002653A7" w:rsidP="002653A7">
      <w:pPr>
        <w:spacing w:after="120"/>
        <w:rPr>
          <w:b/>
          <w:bCs/>
          <w:sz w:val="28"/>
          <w:szCs w:val="28"/>
        </w:rPr>
      </w:pPr>
      <w:r w:rsidRPr="00B3397C">
        <w:rPr>
          <w:b/>
          <w:bCs/>
          <w:sz w:val="28"/>
          <w:szCs w:val="28"/>
        </w:rPr>
        <w:lastRenderedPageBreak/>
        <w:t xml:space="preserve">Ashfield District Council’s response to Inspectors’ Document INS03 </w:t>
      </w:r>
    </w:p>
    <w:p w14:paraId="0F1567C7" w14:textId="77777777" w:rsidR="002653A7" w:rsidRDefault="002653A7" w:rsidP="002653A7">
      <w:pPr>
        <w:spacing w:after="120"/>
      </w:pPr>
    </w:p>
    <w:p w14:paraId="433AE874" w14:textId="77777777" w:rsidR="002653A7" w:rsidRDefault="002653A7" w:rsidP="002653A7">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45F47598" w14:textId="77777777" w:rsidR="002653A7" w:rsidRDefault="002653A7" w:rsidP="002653A7">
      <w:pPr>
        <w:spacing w:after="120"/>
        <w:jc w:val="left"/>
      </w:pPr>
    </w:p>
    <w:p w14:paraId="4E501EAF" w14:textId="77777777" w:rsidR="002653A7" w:rsidRDefault="002653A7" w:rsidP="002653A7">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9" w:history="1">
        <w:r w:rsidRPr="00AF25C4">
          <w:rPr>
            <w:rStyle w:val="Hyperlink"/>
          </w:rPr>
          <w:t>https://www.ashfield.gov.uk/local-plan-examination/examination-library/</w:t>
        </w:r>
      </w:hyperlink>
    </w:p>
    <w:p w14:paraId="72B610F0" w14:textId="77777777" w:rsidR="002653A7" w:rsidRDefault="002653A7" w:rsidP="002653A7"/>
    <w:p w14:paraId="4DB4C092" w14:textId="77777777" w:rsidR="002653A7" w:rsidRDefault="002653A7" w:rsidP="002653A7">
      <w:r>
        <w:t xml:space="preserve">The Inspectors’ questions are shown below in </w:t>
      </w:r>
      <w:r w:rsidRPr="00222B10">
        <w:rPr>
          <w:b/>
          <w:bCs/>
          <w:i/>
          <w:iCs/>
        </w:rPr>
        <w:t>bold italics</w:t>
      </w:r>
      <w:r>
        <w:t xml:space="preserve">. </w:t>
      </w:r>
    </w:p>
    <w:p w14:paraId="2A4C84C5" w14:textId="77777777" w:rsidR="002653A7" w:rsidRDefault="002653A7" w:rsidP="002653A7">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2653A7" w14:paraId="3DC43419" w14:textId="77777777" w:rsidTr="0065202C">
        <w:trPr>
          <w:trHeight w:val="475"/>
        </w:trPr>
        <w:tc>
          <w:tcPr>
            <w:tcW w:w="9742" w:type="dxa"/>
            <w:shd w:val="clear" w:color="auto" w:fill="D9D9D9" w:themeFill="background1" w:themeFillShade="D9"/>
          </w:tcPr>
          <w:p w14:paraId="548E4A57" w14:textId="77777777" w:rsidR="002653A7" w:rsidRPr="007F0DDA" w:rsidRDefault="002653A7" w:rsidP="0065202C">
            <w:pPr>
              <w:spacing w:after="160"/>
              <w:jc w:val="center"/>
              <w:rPr>
                <w:sz w:val="16"/>
                <w:szCs w:val="16"/>
              </w:rPr>
            </w:pPr>
          </w:p>
          <w:p w14:paraId="71C6BE19" w14:textId="77777777" w:rsidR="002653A7" w:rsidRDefault="002653A7" w:rsidP="0065202C">
            <w:pPr>
              <w:spacing w:after="160"/>
              <w:jc w:val="center"/>
            </w:pPr>
            <w:r w:rsidRPr="0059588C">
              <w:t>Proposed Modifications</w:t>
            </w:r>
            <w:r>
              <w:t xml:space="preserve"> arising from the Inspectors’ MIQs are set out in grey tint boxes.</w:t>
            </w:r>
          </w:p>
          <w:p w14:paraId="7077C4C2" w14:textId="77777777" w:rsidR="002653A7" w:rsidRPr="007F0DDA" w:rsidRDefault="002653A7" w:rsidP="0065202C">
            <w:pPr>
              <w:spacing w:after="160"/>
              <w:jc w:val="center"/>
              <w:rPr>
                <w:sz w:val="16"/>
                <w:szCs w:val="16"/>
              </w:rPr>
            </w:pPr>
          </w:p>
        </w:tc>
      </w:tr>
    </w:tbl>
    <w:p w14:paraId="0CF87026" w14:textId="77777777" w:rsidR="00222DA2" w:rsidRDefault="00222DA2">
      <w:pPr>
        <w:rPr>
          <w:rFonts w:eastAsiaTheme="majorEastAsia" w:cstheme="majorBidi"/>
          <w:b/>
          <w:bCs/>
          <w:sz w:val="28"/>
          <w:szCs w:val="28"/>
        </w:rPr>
      </w:pPr>
      <w:r>
        <w:br w:type="page"/>
      </w:r>
    </w:p>
    <w:p w14:paraId="00F303D3" w14:textId="052C3BA2" w:rsidR="00841D5E" w:rsidRDefault="00841D5E" w:rsidP="00841D5E">
      <w:pPr>
        <w:pStyle w:val="Heading2"/>
      </w:pPr>
      <w:r>
        <w:lastRenderedPageBreak/>
        <w:t>Issue: Whether the cumulative effect of the Local Plan’s policies would result in the overall strategy being viable</w:t>
      </w:r>
    </w:p>
    <w:p w14:paraId="2EADDF81" w14:textId="77777777" w:rsidR="00222DA2" w:rsidRDefault="00841D5E" w:rsidP="00222DA2">
      <w:pPr>
        <w:pStyle w:val="Heading2"/>
      </w:pPr>
      <w:r>
        <w:t>Relevant Policies – Site allocation policies, H3</w:t>
      </w:r>
    </w:p>
    <w:p w14:paraId="225D91DB" w14:textId="77777777" w:rsidR="00222DA2" w:rsidRDefault="00222DA2" w:rsidP="00222DA2">
      <w:pPr>
        <w:pStyle w:val="Heading2"/>
      </w:pPr>
    </w:p>
    <w:p w14:paraId="58DC060D" w14:textId="77777777" w:rsidR="00841D5E" w:rsidRDefault="00841D5E" w:rsidP="00841D5E">
      <w:pPr>
        <w:pStyle w:val="Heading3"/>
      </w:pPr>
      <w:r>
        <w:t>Viability</w:t>
      </w:r>
    </w:p>
    <w:p w14:paraId="46CE75AC" w14:textId="77777777" w:rsidR="00841D5E" w:rsidRDefault="00841D5E" w:rsidP="00841D5E"/>
    <w:p w14:paraId="1BAC967E" w14:textId="4CE926BB" w:rsidR="000B5A43" w:rsidRDefault="00841D5E" w:rsidP="009F4026">
      <w:pPr>
        <w:jc w:val="left"/>
        <w:rPr>
          <w:b/>
          <w:bCs/>
          <w:i/>
          <w:iCs/>
        </w:rPr>
      </w:pPr>
      <w:r w:rsidRPr="00222DA2">
        <w:rPr>
          <w:b/>
          <w:bCs/>
          <w:i/>
          <w:iCs/>
        </w:rPr>
        <w:t>12.1 How has the presence of contamination and ground stability issues on the proposed</w:t>
      </w:r>
      <w:r w:rsidR="00222DA2">
        <w:rPr>
          <w:b/>
          <w:bCs/>
          <w:i/>
          <w:iCs/>
        </w:rPr>
        <w:t xml:space="preserve"> </w:t>
      </w:r>
      <w:r w:rsidRPr="00222DA2">
        <w:rPr>
          <w:b/>
          <w:bCs/>
          <w:i/>
          <w:iCs/>
        </w:rPr>
        <w:t>site allocations been considered? How might this affect the viability and deliverability of</w:t>
      </w:r>
      <w:r w:rsidR="00222DA2">
        <w:rPr>
          <w:b/>
          <w:bCs/>
          <w:i/>
          <w:iCs/>
        </w:rPr>
        <w:t xml:space="preserve"> </w:t>
      </w:r>
      <w:r w:rsidRPr="00222DA2">
        <w:rPr>
          <w:b/>
          <w:bCs/>
          <w:i/>
          <w:iCs/>
        </w:rPr>
        <w:t>the site allocations?</w:t>
      </w:r>
    </w:p>
    <w:p w14:paraId="66884A21" w14:textId="3D336DFA" w:rsidR="009F4026" w:rsidRPr="006F3B1C" w:rsidRDefault="006F3B1C" w:rsidP="006F3B1C">
      <w:pPr>
        <w:rPr>
          <w:b/>
          <w:bCs/>
          <w:i/>
          <w:iCs/>
          <w:u w:val="single"/>
        </w:rPr>
      </w:pPr>
      <w:bookmarkStart w:id="0" w:name="_Hlk184206323"/>
      <w:r w:rsidRPr="001E387E">
        <w:rPr>
          <w:rFonts w:ascii="Helvetica" w:hAnsi="Helvetica" w:cs="Helvetica"/>
          <w:szCs w:val="24"/>
          <w:u w:val="single"/>
          <w14:ligatures w14:val="standardContextual"/>
        </w:rPr>
        <w:t>Council’s response</w:t>
      </w:r>
      <w:bookmarkEnd w:id="0"/>
    </w:p>
    <w:p w14:paraId="095B0121" w14:textId="60168AC2" w:rsidR="006048B1" w:rsidRPr="009F4026" w:rsidRDefault="009F4026" w:rsidP="009F4026">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12.1.1</w:t>
      </w:r>
      <w:r>
        <w:rPr>
          <w:rFonts w:eastAsia="Aptos" w:cs="Arial"/>
          <w:kern w:val="2"/>
          <w:szCs w:val="24"/>
          <w14:ligatures w14:val="standardContextual"/>
        </w:rPr>
        <w:tab/>
      </w:r>
      <w:r w:rsidR="006048B1" w:rsidRPr="009F4026">
        <w:rPr>
          <w:rFonts w:eastAsia="Aptos" w:cs="Arial"/>
          <w:kern w:val="2"/>
          <w:szCs w:val="24"/>
          <w14:ligatures w14:val="standardContextual"/>
        </w:rPr>
        <w:t xml:space="preserve">Contamination and ground stability issues were picked up as part of the desktop exercise which identified site constraints as part of the SHELAA.  </w:t>
      </w:r>
      <w:r w:rsidR="008B5325">
        <w:rPr>
          <w:rFonts w:eastAsia="Aptos" w:cs="Arial"/>
          <w:kern w:val="2"/>
          <w:szCs w:val="24"/>
          <w14:ligatures w14:val="standardContextual"/>
        </w:rPr>
        <w:t>The Council</w:t>
      </w:r>
      <w:r w:rsidR="006048B1" w:rsidRPr="009F4026">
        <w:rPr>
          <w:rFonts w:eastAsia="Aptos" w:cs="Arial"/>
          <w:kern w:val="2"/>
          <w:szCs w:val="24"/>
          <w14:ligatures w14:val="standardContextual"/>
        </w:rPr>
        <w:t xml:space="preserve"> used GIS data supplied by </w:t>
      </w:r>
      <w:r w:rsidR="008B5325">
        <w:rPr>
          <w:rFonts w:eastAsia="Aptos" w:cs="Arial"/>
          <w:kern w:val="2"/>
          <w:szCs w:val="24"/>
          <w14:ligatures w14:val="standardContextual"/>
        </w:rPr>
        <w:t>T</w:t>
      </w:r>
      <w:r w:rsidR="006048B1" w:rsidRPr="009F4026">
        <w:rPr>
          <w:rFonts w:eastAsia="Aptos" w:cs="Arial"/>
          <w:kern w:val="2"/>
          <w:szCs w:val="24"/>
          <w14:ligatures w14:val="standardContextual"/>
        </w:rPr>
        <w:t xml:space="preserve">he </w:t>
      </w:r>
      <w:r w:rsidR="008B5325">
        <w:rPr>
          <w:rFonts w:eastAsia="Aptos" w:cs="Arial"/>
          <w:kern w:val="2"/>
          <w:szCs w:val="24"/>
          <w14:ligatures w14:val="standardContextual"/>
        </w:rPr>
        <w:t>C</w:t>
      </w:r>
      <w:r w:rsidR="006048B1" w:rsidRPr="009F4026">
        <w:rPr>
          <w:rFonts w:eastAsia="Aptos" w:cs="Arial"/>
          <w:kern w:val="2"/>
          <w:szCs w:val="24"/>
          <w14:ligatures w14:val="standardContextual"/>
        </w:rPr>
        <w:t xml:space="preserve">oal </w:t>
      </w:r>
      <w:r w:rsidR="008B5325">
        <w:rPr>
          <w:rFonts w:eastAsia="Aptos" w:cs="Arial"/>
          <w:kern w:val="2"/>
          <w:szCs w:val="24"/>
          <w14:ligatures w14:val="standardContextual"/>
        </w:rPr>
        <w:t>A</w:t>
      </w:r>
      <w:r w:rsidR="006048B1" w:rsidRPr="009F4026">
        <w:rPr>
          <w:rFonts w:eastAsia="Aptos" w:cs="Arial"/>
          <w:kern w:val="2"/>
          <w:szCs w:val="24"/>
          <w14:ligatures w14:val="standardContextual"/>
        </w:rPr>
        <w:t xml:space="preserve">uthority.  </w:t>
      </w:r>
      <w:r w:rsidR="008B5325">
        <w:rPr>
          <w:rFonts w:eastAsia="Aptos" w:cs="Arial"/>
          <w:kern w:val="2"/>
          <w:szCs w:val="24"/>
          <w14:ligatures w14:val="standardContextual"/>
        </w:rPr>
        <w:t>Officers</w:t>
      </w:r>
      <w:r w:rsidR="006048B1" w:rsidRPr="009F4026">
        <w:rPr>
          <w:rFonts w:eastAsia="Aptos" w:cs="Arial"/>
          <w:kern w:val="2"/>
          <w:szCs w:val="24"/>
          <w14:ligatures w14:val="standardContextual"/>
        </w:rPr>
        <w:t xml:space="preserve"> also consulted with the Council’s </w:t>
      </w:r>
      <w:r w:rsidR="008B5325">
        <w:rPr>
          <w:rFonts w:eastAsia="Aptos" w:cs="Arial"/>
          <w:kern w:val="2"/>
          <w:szCs w:val="24"/>
          <w14:ligatures w14:val="standardContextual"/>
        </w:rPr>
        <w:t xml:space="preserve">internal </w:t>
      </w:r>
      <w:r w:rsidR="006048B1" w:rsidRPr="009F4026">
        <w:rPr>
          <w:rFonts w:eastAsia="Aptos" w:cs="Arial"/>
          <w:kern w:val="2"/>
          <w:szCs w:val="24"/>
          <w14:ligatures w14:val="standardContextual"/>
        </w:rPr>
        <w:t>Environmental Health team in regard to these issues and recorded the responses on the SHELAA reports</w:t>
      </w:r>
      <w:r w:rsidR="008B5325">
        <w:rPr>
          <w:rFonts w:eastAsia="Aptos" w:cs="Arial"/>
          <w:kern w:val="2"/>
          <w:szCs w:val="24"/>
          <w14:ligatures w14:val="standardContextual"/>
        </w:rPr>
        <w:t>.</w:t>
      </w:r>
    </w:p>
    <w:p w14:paraId="10A29A79" w14:textId="21B8E2FF" w:rsidR="002D176E" w:rsidRPr="009F4026" w:rsidRDefault="009F4026" w:rsidP="009F4026">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12.1.2</w:t>
      </w:r>
      <w:r>
        <w:rPr>
          <w:rFonts w:eastAsia="Aptos" w:cs="Arial"/>
          <w:kern w:val="2"/>
          <w:szCs w:val="24"/>
          <w14:ligatures w14:val="standardContextual"/>
        </w:rPr>
        <w:tab/>
      </w:r>
      <w:r w:rsidR="002D176E" w:rsidRPr="009F4026">
        <w:rPr>
          <w:rFonts w:eastAsia="Aptos" w:cs="Arial"/>
          <w:kern w:val="2"/>
          <w:szCs w:val="24"/>
          <w14:ligatures w14:val="standardContextual"/>
        </w:rPr>
        <w:t>The viability assessment has been undertaken on the basis of residential typologies rather than assessments of individual sites.  Where contamination and ground stability issues exist, they will be specific to the individual sites and therefore general allowances are not factored into typology tests.</w:t>
      </w:r>
    </w:p>
    <w:p w14:paraId="490CD42C" w14:textId="4F950792" w:rsidR="002D176E" w:rsidRPr="009F4026" w:rsidRDefault="006F3B1C" w:rsidP="002D176E">
      <w:pPr>
        <w:spacing w:line="256" w:lineRule="auto"/>
        <w:jc w:val="left"/>
        <w:rPr>
          <w:rFonts w:eastAsia="Aptos" w:cs="Arial"/>
          <w:kern w:val="2"/>
          <w:szCs w:val="24"/>
          <w14:ligatures w14:val="standardContextual"/>
        </w:rPr>
      </w:pPr>
      <w:r>
        <w:rPr>
          <w:rFonts w:eastAsia="Aptos" w:cs="Arial"/>
          <w:kern w:val="2"/>
          <w:szCs w:val="24"/>
          <w14:ligatures w14:val="standardContextual"/>
        </w:rPr>
        <w:t>12.1.3</w:t>
      </w:r>
      <w:r>
        <w:rPr>
          <w:rFonts w:eastAsia="Aptos" w:cs="Arial"/>
          <w:kern w:val="2"/>
          <w:szCs w:val="24"/>
          <w14:ligatures w14:val="standardContextual"/>
        </w:rPr>
        <w:tab/>
      </w:r>
      <w:r w:rsidR="002D176E" w:rsidRPr="009F4026">
        <w:rPr>
          <w:rFonts w:eastAsia="Aptos" w:cs="Arial"/>
          <w:kern w:val="2"/>
          <w:szCs w:val="24"/>
          <w14:ligatures w14:val="standardContextual"/>
        </w:rPr>
        <w:t>Para 3 of Planning Practice Guidance on Viability (Updated February 2024) states:</w:t>
      </w:r>
    </w:p>
    <w:p w14:paraId="0C346904" w14:textId="77777777" w:rsidR="002D176E" w:rsidRPr="009F4026" w:rsidRDefault="002D176E" w:rsidP="006F3B1C">
      <w:pPr>
        <w:spacing w:line="256" w:lineRule="auto"/>
        <w:ind w:firstLine="720"/>
        <w:jc w:val="left"/>
        <w:rPr>
          <w:rFonts w:eastAsia="Aptos" w:cs="Arial"/>
          <w:b/>
          <w:bCs/>
          <w:i/>
          <w:iCs/>
          <w:kern w:val="2"/>
          <w:szCs w:val="24"/>
          <w14:ligatures w14:val="standardContextual"/>
        </w:rPr>
      </w:pPr>
      <w:r w:rsidRPr="009F4026">
        <w:rPr>
          <w:rFonts w:eastAsia="Aptos" w:cs="Arial"/>
          <w:i/>
          <w:iCs/>
          <w:kern w:val="2"/>
          <w:szCs w:val="24"/>
          <w14:ligatures w14:val="standardContextual"/>
        </w:rPr>
        <w:t>“</w:t>
      </w:r>
      <w:r w:rsidRPr="009F4026">
        <w:rPr>
          <w:rFonts w:eastAsia="Aptos" w:cs="Arial"/>
          <w:b/>
          <w:bCs/>
          <w:i/>
          <w:iCs/>
          <w:kern w:val="2"/>
          <w:szCs w:val="24"/>
          <w14:ligatures w14:val="standardContextual"/>
        </w:rPr>
        <w:t>Should every site be assessed for viability in plan making?</w:t>
      </w:r>
    </w:p>
    <w:p w14:paraId="59970842" w14:textId="5FA538C1" w:rsidR="00725013" w:rsidRPr="009F4026" w:rsidRDefault="002D176E" w:rsidP="006F3B1C">
      <w:pPr>
        <w:spacing w:line="256" w:lineRule="auto"/>
        <w:ind w:left="720"/>
        <w:jc w:val="left"/>
        <w:rPr>
          <w:rFonts w:eastAsia="Aptos" w:cs="Arial"/>
          <w:kern w:val="2"/>
          <w:szCs w:val="24"/>
          <w14:ligatures w14:val="standardContextual"/>
        </w:rPr>
      </w:pPr>
      <w:r w:rsidRPr="009F4026">
        <w:rPr>
          <w:rFonts w:eastAsia="Aptos" w:cs="Arial"/>
          <w:i/>
          <w:iCs/>
          <w:kern w:val="2"/>
          <w:szCs w:val="24"/>
          <w14:ligatures w14:val="standardContextual"/>
        </w:rPr>
        <w:t>Assessing the viability of plans does not require individual testing of every site or assurance that individual sites are viable. Plan makers can use site typologies to determine viability at the plan making stage. Assessment of samples of sites may be helpful to support evidence. In some circumstances more detailed assessment may be necessary for particular areas or key sites on which the delivery of the plan relies.”</w:t>
      </w:r>
      <w:r w:rsidR="00413733" w:rsidRPr="009F4026">
        <w:rPr>
          <w:rFonts w:eastAsia="Aptos" w:cs="Arial"/>
          <w:kern w:val="2"/>
          <w:szCs w:val="24"/>
          <w14:ligatures w14:val="standardContextual"/>
        </w:rPr>
        <w:t xml:space="preserve">  </w:t>
      </w:r>
      <w:r w:rsidR="00725013" w:rsidRPr="009F4026">
        <w:rPr>
          <w:rFonts w:eastAsia="Aptos" w:cs="Arial"/>
          <w:kern w:val="2"/>
          <w:szCs w:val="24"/>
          <w14:ligatures w14:val="standardContextual"/>
        </w:rPr>
        <w:t>(PPG Paragraph: 003 Reference ID: 10-003-20180724)</w:t>
      </w:r>
    </w:p>
    <w:p w14:paraId="04661B3E" w14:textId="036F9898" w:rsidR="002D176E" w:rsidRPr="009F4026" w:rsidRDefault="009F1595" w:rsidP="006F3B1C">
      <w:pPr>
        <w:spacing w:line="256" w:lineRule="auto"/>
        <w:ind w:left="720"/>
        <w:jc w:val="left"/>
        <w:rPr>
          <w:rFonts w:eastAsia="Aptos" w:cs="Arial"/>
          <w:kern w:val="2"/>
          <w:szCs w:val="24"/>
          <w14:ligatures w14:val="standardContextual"/>
        </w:rPr>
      </w:pPr>
      <w:r w:rsidRPr="009F4026">
        <w:rPr>
          <w:rFonts w:eastAsia="Aptos" w:cs="Arial"/>
          <w:kern w:val="2"/>
          <w:szCs w:val="24"/>
          <w14:ligatures w14:val="standardContextual"/>
        </w:rPr>
        <w:t>T</w:t>
      </w:r>
      <w:r w:rsidR="002D176E" w:rsidRPr="009F4026">
        <w:rPr>
          <w:rFonts w:eastAsia="Aptos" w:cs="Arial"/>
          <w:kern w:val="2"/>
          <w:szCs w:val="24"/>
          <w14:ligatures w14:val="standardContextual"/>
        </w:rPr>
        <w:t xml:space="preserve">he starting point for viability assessment is that the land is in a developable </w:t>
      </w:r>
      <w:r w:rsidR="008B5325" w:rsidRPr="009F4026">
        <w:rPr>
          <w:rFonts w:eastAsia="Aptos" w:cs="Arial"/>
          <w:kern w:val="2"/>
          <w:szCs w:val="24"/>
          <w14:ligatures w14:val="standardContextual"/>
        </w:rPr>
        <w:t>state,</w:t>
      </w:r>
      <w:r w:rsidR="002D176E" w:rsidRPr="009F4026">
        <w:rPr>
          <w:rFonts w:eastAsia="Aptos" w:cs="Arial"/>
          <w:kern w:val="2"/>
          <w:szCs w:val="24"/>
          <w14:ligatures w14:val="standardContextual"/>
        </w:rPr>
        <w:t xml:space="preserve"> and this is reflected by the benchmark land value allowance.</w:t>
      </w:r>
    </w:p>
    <w:p w14:paraId="5C2FCE0C" w14:textId="5765BB04" w:rsidR="002D176E" w:rsidRPr="009F4026" w:rsidRDefault="006F3B1C" w:rsidP="006F3B1C">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12.1.4</w:t>
      </w:r>
      <w:r>
        <w:rPr>
          <w:rFonts w:eastAsia="Aptos" w:cs="Arial"/>
          <w:kern w:val="2"/>
          <w:szCs w:val="24"/>
          <w14:ligatures w14:val="standardContextual"/>
        </w:rPr>
        <w:tab/>
      </w:r>
      <w:r w:rsidR="002D176E" w:rsidRPr="009F4026">
        <w:rPr>
          <w:rFonts w:eastAsia="Aptos" w:cs="Arial"/>
          <w:kern w:val="2"/>
          <w:szCs w:val="24"/>
          <w14:ligatures w14:val="standardContextual"/>
        </w:rPr>
        <w:t>Para 14 of Planning Practice Guidance on Viability refers to allowances for abnormal costs, stating that</w:t>
      </w:r>
      <w:r w:rsidR="00980EBE" w:rsidRPr="009F4026">
        <w:rPr>
          <w:rFonts w:eastAsia="Aptos" w:cs="Arial"/>
          <w:kern w:val="2"/>
          <w:szCs w:val="24"/>
          <w14:ligatures w14:val="standardContextual"/>
        </w:rPr>
        <w:t>:</w:t>
      </w:r>
      <w:r w:rsidR="002D176E" w:rsidRPr="009F4026">
        <w:rPr>
          <w:rFonts w:eastAsia="Aptos" w:cs="Arial"/>
          <w:kern w:val="2"/>
          <w:szCs w:val="24"/>
          <w14:ligatures w14:val="standardContextual"/>
        </w:rPr>
        <w:t xml:space="preserve"> </w:t>
      </w:r>
    </w:p>
    <w:p w14:paraId="6A32A270" w14:textId="391C6BC4" w:rsidR="002A7077" w:rsidRPr="009F4026" w:rsidRDefault="002D176E" w:rsidP="002A7077">
      <w:pPr>
        <w:numPr>
          <w:ilvl w:val="0"/>
          <w:numId w:val="1"/>
        </w:numPr>
        <w:spacing w:line="256" w:lineRule="auto"/>
        <w:jc w:val="left"/>
        <w:rPr>
          <w:rFonts w:eastAsia="Aptos" w:cs="Arial"/>
          <w:i/>
          <w:iCs/>
          <w:kern w:val="2"/>
          <w:szCs w:val="24"/>
          <w14:ligatures w14:val="standardContextual"/>
        </w:rPr>
      </w:pPr>
      <w:r w:rsidRPr="009F4026">
        <w:rPr>
          <w:rFonts w:eastAsia="Aptos" w:cs="Arial"/>
          <w:i/>
          <w:iCs/>
          <w:kern w:val="2"/>
          <w:szCs w:val="24"/>
          <w14:ligatures w14:val="standardContextual"/>
        </w:rPr>
        <w:t>“abnormal costs, including those associated with treatment for contaminated sites or listed buildings, or costs associated with brownfield, phased or complex sites. These costs should be taken into account when defining benchmark land value”</w:t>
      </w:r>
      <w:r w:rsidR="00980EBE" w:rsidRPr="009F4026">
        <w:rPr>
          <w:rFonts w:eastAsia="Aptos" w:cs="Arial"/>
          <w:i/>
          <w:iCs/>
          <w:kern w:val="2"/>
          <w:szCs w:val="24"/>
          <w14:ligatures w14:val="standardContextual"/>
        </w:rPr>
        <w:t>.</w:t>
      </w:r>
      <w:r w:rsidR="00413733" w:rsidRPr="009F4026">
        <w:rPr>
          <w:rFonts w:eastAsia="Aptos" w:cs="Arial"/>
          <w:kern w:val="2"/>
          <w:szCs w:val="24"/>
          <w14:ligatures w14:val="standardContextual"/>
        </w:rPr>
        <w:t xml:space="preserve">  </w:t>
      </w:r>
      <w:r w:rsidR="002A7077" w:rsidRPr="009F4026">
        <w:rPr>
          <w:rFonts w:eastAsia="Aptos" w:cs="Arial"/>
          <w:kern w:val="2"/>
          <w:szCs w:val="24"/>
          <w14:ligatures w14:val="standardContextual"/>
        </w:rPr>
        <w:t>(PPG Paragraph: 014 Reference ID: 10-012-20240214)</w:t>
      </w:r>
    </w:p>
    <w:p w14:paraId="7C8F4C57" w14:textId="3A39F675" w:rsidR="002D176E" w:rsidRPr="009F4026" w:rsidRDefault="00B648AF" w:rsidP="006F3B1C">
      <w:pPr>
        <w:spacing w:line="256" w:lineRule="auto"/>
        <w:ind w:firstLine="720"/>
        <w:jc w:val="left"/>
        <w:rPr>
          <w:rFonts w:eastAsia="Aptos" w:cs="Arial"/>
          <w:kern w:val="2"/>
          <w:szCs w:val="24"/>
          <w14:ligatures w14:val="standardContextual"/>
        </w:rPr>
      </w:pPr>
      <w:r w:rsidRPr="009F4026">
        <w:rPr>
          <w:rFonts w:eastAsia="Aptos" w:cs="Arial"/>
          <w:kern w:val="2"/>
          <w:szCs w:val="24"/>
          <w14:ligatures w14:val="standardContextual"/>
        </w:rPr>
        <w:t xml:space="preserve">The PPG also </w:t>
      </w:r>
      <w:r w:rsidR="002D176E" w:rsidRPr="009F4026">
        <w:rPr>
          <w:rFonts w:eastAsia="Aptos" w:cs="Arial"/>
          <w:kern w:val="2"/>
          <w:szCs w:val="24"/>
          <w14:ligatures w14:val="standardContextual"/>
        </w:rPr>
        <w:t>state</w:t>
      </w:r>
      <w:r w:rsidRPr="009F4026">
        <w:rPr>
          <w:rFonts w:eastAsia="Aptos" w:cs="Arial"/>
          <w:kern w:val="2"/>
          <w:szCs w:val="24"/>
          <w14:ligatures w14:val="standardContextual"/>
        </w:rPr>
        <w:t>s</w:t>
      </w:r>
      <w:r w:rsidR="002D176E" w:rsidRPr="009F4026">
        <w:rPr>
          <w:rFonts w:eastAsia="Aptos" w:cs="Arial"/>
          <w:kern w:val="2"/>
          <w:szCs w:val="24"/>
          <w14:ligatures w14:val="standardContextual"/>
        </w:rPr>
        <w:t>:</w:t>
      </w:r>
    </w:p>
    <w:p w14:paraId="20709F71" w14:textId="6E592CCE" w:rsidR="002D176E" w:rsidRPr="009F4026" w:rsidRDefault="002D176E" w:rsidP="006F3B1C">
      <w:pPr>
        <w:spacing w:line="256" w:lineRule="auto"/>
        <w:ind w:firstLine="720"/>
        <w:jc w:val="left"/>
        <w:rPr>
          <w:rFonts w:eastAsia="Aptos" w:cs="Arial"/>
          <w:i/>
          <w:iCs/>
          <w:kern w:val="2"/>
          <w:szCs w:val="24"/>
          <w14:ligatures w14:val="standardContextual"/>
        </w:rPr>
      </w:pPr>
      <w:r w:rsidRPr="009F4026">
        <w:rPr>
          <w:rFonts w:eastAsia="Aptos" w:cs="Arial"/>
          <w:i/>
          <w:iCs/>
          <w:kern w:val="2"/>
          <w:szCs w:val="24"/>
          <w14:ligatures w14:val="standardContextual"/>
        </w:rPr>
        <w:t>“</w:t>
      </w:r>
      <w:r w:rsidRPr="009F4026">
        <w:rPr>
          <w:rFonts w:eastAsia="Aptos" w:cs="Arial"/>
          <w:b/>
          <w:bCs/>
          <w:i/>
          <w:iCs/>
          <w:kern w:val="2"/>
          <w:szCs w:val="24"/>
          <w14:ligatures w14:val="standardContextual"/>
        </w:rPr>
        <w:t>What factors should be considered to establish benchmark land value?</w:t>
      </w:r>
      <w:r w:rsidR="00980EBE" w:rsidRPr="009F4026">
        <w:rPr>
          <w:rFonts w:eastAsia="Aptos" w:cs="Arial"/>
          <w:i/>
          <w:iCs/>
          <w:kern w:val="2"/>
          <w:szCs w:val="24"/>
          <w14:ligatures w14:val="standardContextual"/>
        </w:rPr>
        <w:t>’’</w:t>
      </w:r>
    </w:p>
    <w:p w14:paraId="1BA17304" w14:textId="5B3E48ED" w:rsidR="002D176E" w:rsidRPr="009F4026" w:rsidRDefault="00980EBE" w:rsidP="006F3B1C">
      <w:pPr>
        <w:spacing w:line="256" w:lineRule="auto"/>
        <w:ind w:firstLine="720"/>
        <w:jc w:val="left"/>
        <w:rPr>
          <w:rFonts w:eastAsia="Aptos" w:cs="Arial"/>
          <w:i/>
          <w:iCs/>
          <w:kern w:val="2"/>
          <w:szCs w:val="24"/>
          <w14:ligatures w14:val="standardContextual"/>
        </w:rPr>
      </w:pPr>
      <w:r w:rsidRPr="009F4026">
        <w:rPr>
          <w:rFonts w:eastAsia="Aptos" w:cs="Arial"/>
          <w:i/>
          <w:iCs/>
          <w:kern w:val="2"/>
          <w:szCs w:val="24"/>
          <w14:ligatures w14:val="standardContextual"/>
        </w:rPr>
        <w:t>‘’</w:t>
      </w:r>
      <w:r w:rsidR="002D176E" w:rsidRPr="009F4026">
        <w:rPr>
          <w:rFonts w:eastAsia="Aptos" w:cs="Arial"/>
          <w:i/>
          <w:iCs/>
          <w:kern w:val="2"/>
          <w:szCs w:val="24"/>
          <w14:ligatures w14:val="standardContextual"/>
        </w:rPr>
        <w:t>Benchmark land value should:</w:t>
      </w:r>
    </w:p>
    <w:p w14:paraId="230FB670" w14:textId="77777777" w:rsidR="006F3B1C" w:rsidRDefault="002D176E" w:rsidP="006F3B1C">
      <w:pPr>
        <w:numPr>
          <w:ilvl w:val="0"/>
          <w:numId w:val="2"/>
        </w:numPr>
        <w:spacing w:line="256" w:lineRule="auto"/>
        <w:jc w:val="left"/>
        <w:rPr>
          <w:rFonts w:eastAsia="Aptos" w:cs="Arial"/>
          <w:kern w:val="2"/>
          <w:szCs w:val="24"/>
          <w14:ligatures w14:val="standardContextual"/>
        </w:rPr>
      </w:pPr>
      <w:r w:rsidRPr="009F4026">
        <w:rPr>
          <w:rFonts w:eastAsia="Aptos" w:cs="Arial"/>
          <w:i/>
          <w:iCs/>
          <w:kern w:val="2"/>
          <w:szCs w:val="24"/>
          <w14:ligatures w14:val="standardContextual"/>
        </w:rPr>
        <w:lastRenderedPageBreak/>
        <w:t>reflect the implications of abnormal costs; site-specific infrastructure costs; and professional site fees”</w:t>
      </w:r>
      <w:r w:rsidR="00980EBE" w:rsidRPr="009F4026">
        <w:rPr>
          <w:rFonts w:eastAsia="Aptos" w:cs="Arial"/>
          <w:i/>
          <w:iCs/>
          <w:kern w:val="2"/>
          <w:szCs w:val="24"/>
          <w14:ligatures w14:val="standardContextual"/>
        </w:rPr>
        <w:t>.</w:t>
      </w:r>
      <w:r w:rsidR="00413733" w:rsidRPr="009F4026">
        <w:rPr>
          <w:rFonts w:eastAsia="Aptos" w:cs="Arial"/>
          <w:i/>
          <w:iCs/>
          <w:kern w:val="2"/>
          <w:szCs w:val="24"/>
          <w14:ligatures w14:val="standardContextual"/>
        </w:rPr>
        <w:t xml:space="preserve">  </w:t>
      </w:r>
      <w:r w:rsidR="00980EBE" w:rsidRPr="009F4026">
        <w:rPr>
          <w:rFonts w:eastAsia="Aptos" w:cs="Arial"/>
          <w:kern w:val="2"/>
          <w:szCs w:val="24"/>
          <w14:ligatures w14:val="standardContextual"/>
        </w:rPr>
        <w:t>(PPG Paragraph: 014 Reference ID: 10-014-20190509)</w:t>
      </w:r>
    </w:p>
    <w:p w14:paraId="4B9313BC" w14:textId="6B3DA1E9" w:rsidR="002D176E" w:rsidRPr="00DD47B6" w:rsidRDefault="002D176E" w:rsidP="00DD47B6">
      <w:pPr>
        <w:pStyle w:val="ListParagraph"/>
        <w:numPr>
          <w:ilvl w:val="2"/>
          <w:numId w:val="6"/>
        </w:numPr>
        <w:spacing w:line="256" w:lineRule="auto"/>
        <w:jc w:val="left"/>
        <w:rPr>
          <w:rFonts w:eastAsia="Aptos" w:cs="Arial"/>
          <w:kern w:val="2"/>
          <w:szCs w:val="24"/>
          <w14:ligatures w14:val="standardContextual"/>
        </w:rPr>
      </w:pPr>
      <w:r w:rsidRPr="00DD47B6">
        <w:rPr>
          <w:rFonts w:eastAsia="Aptos" w:cs="Arial"/>
          <w:kern w:val="2"/>
          <w:szCs w:val="24"/>
          <w14:ligatures w14:val="standardContextual"/>
        </w:rPr>
        <w:t>As such, it is considered that where significant abnormal costs will be incurred (such as rectifying contamination or site stability issues) in bringing the land into a developable state</w:t>
      </w:r>
      <w:r w:rsidR="008B5325">
        <w:rPr>
          <w:rFonts w:eastAsia="Aptos" w:cs="Arial"/>
          <w:kern w:val="2"/>
          <w:szCs w:val="24"/>
          <w14:ligatures w14:val="standardContextual"/>
        </w:rPr>
        <w:t>)</w:t>
      </w:r>
      <w:r w:rsidRPr="00DD47B6">
        <w:rPr>
          <w:rFonts w:eastAsia="Aptos" w:cs="Arial"/>
          <w:kern w:val="2"/>
          <w:szCs w:val="24"/>
          <w14:ligatures w14:val="standardContextual"/>
        </w:rPr>
        <w:t>, these costs will be reflected in a reduction in land value and site purchase price, with overall viability unaffected.</w:t>
      </w:r>
    </w:p>
    <w:p w14:paraId="032ADCA9" w14:textId="77777777" w:rsidR="002D176E" w:rsidRPr="009F4026" w:rsidRDefault="002D176E" w:rsidP="00222DA2">
      <w:pPr>
        <w:jc w:val="left"/>
        <w:rPr>
          <w:rFonts w:cs="Arial"/>
          <w:szCs w:val="24"/>
        </w:rPr>
      </w:pPr>
    </w:p>
    <w:p w14:paraId="0EF8F026" w14:textId="43E32CD9" w:rsidR="00841D5E" w:rsidRPr="009F4026" w:rsidRDefault="00841D5E" w:rsidP="00222DA2">
      <w:pPr>
        <w:jc w:val="left"/>
        <w:rPr>
          <w:rFonts w:cs="Arial"/>
          <w:b/>
          <w:bCs/>
          <w:i/>
          <w:iCs/>
          <w:szCs w:val="24"/>
        </w:rPr>
      </w:pPr>
      <w:r w:rsidRPr="009F4026">
        <w:rPr>
          <w:rFonts w:cs="Arial"/>
          <w:b/>
          <w:bCs/>
          <w:i/>
          <w:iCs/>
          <w:szCs w:val="24"/>
        </w:rPr>
        <w:t>12.2 Has the viability assessment made any assumptions regarding site remediation? If so,</w:t>
      </w:r>
      <w:r w:rsidR="00222DA2" w:rsidRPr="009F4026">
        <w:rPr>
          <w:rFonts w:cs="Arial"/>
          <w:b/>
          <w:bCs/>
          <w:i/>
          <w:iCs/>
          <w:szCs w:val="24"/>
        </w:rPr>
        <w:t xml:space="preserve"> </w:t>
      </w:r>
      <w:r w:rsidRPr="009F4026">
        <w:rPr>
          <w:rFonts w:cs="Arial"/>
          <w:b/>
          <w:bCs/>
          <w:i/>
          <w:iCs/>
          <w:szCs w:val="24"/>
        </w:rPr>
        <w:t>what are they?</w:t>
      </w:r>
    </w:p>
    <w:p w14:paraId="49BB4B53" w14:textId="77777777" w:rsidR="00DD47B6" w:rsidRPr="001E387E" w:rsidRDefault="00DD47B6" w:rsidP="00DD47B6">
      <w:pPr>
        <w:rPr>
          <w:b/>
          <w:bCs/>
          <w:i/>
          <w:iCs/>
          <w:u w:val="single"/>
        </w:rPr>
      </w:pPr>
      <w:r w:rsidRPr="001E387E">
        <w:rPr>
          <w:rFonts w:ascii="Helvetica" w:hAnsi="Helvetica" w:cs="Helvetica"/>
          <w:szCs w:val="24"/>
          <w:u w:val="single"/>
          <w14:ligatures w14:val="standardContextual"/>
        </w:rPr>
        <w:t>Council’s response</w:t>
      </w:r>
    </w:p>
    <w:p w14:paraId="1561B948" w14:textId="5D39B844" w:rsidR="00413733" w:rsidRPr="009F4026" w:rsidRDefault="00DD47B6" w:rsidP="00DD47B6">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12.2.1</w:t>
      </w:r>
      <w:r>
        <w:rPr>
          <w:rFonts w:eastAsia="Aptos" w:cs="Arial"/>
          <w:kern w:val="2"/>
          <w:szCs w:val="24"/>
          <w14:ligatures w14:val="standardContextual"/>
        </w:rPr>
        <w:tab/>
      </w:r>
      <w:r w:rsidR="00F132F5" w:rsidRPr="009F4026">
        <w:rPr>
          <w:rFonts w:eastAsia="Aptos" w:cs="Arial"/>
          <w:kern w:val="2"/>
          <w:szCs w:val="24"/>
          <w14:ligatures w14:val="standardContextual"/>
        </w:rPr>
        <w:t>As set out in 12.1 above, t</w:t>
      </w:r>
      <w:r w:rsidR="00413733" w:rsidRPr="009F4026">
        <w:rPr>
          <w:rFonts w:eastAsia="Aptos" w:cs="Arial"/>
          <w:kern w:val="2"/>
          <w:szCs w:val="24"/>
          <w14:ligatures w14:val="standardContextual"/>
        </w:rPr>
        <w:t>he viability assessment has been undertaken on the basis of residential typologies rather than assessments of individual sites.  Where site remediation issues exist, they will be specific to the individual sites and therefore general allowances are not factored into typology tests.</w:t>
      </w:r>
    </w:p>
    <w:p w14:paraId="68AB7D0A" w14:textId="77777777" w:rsidR="00413733" w:rsidRPr="009F4026" w:rsidRDefault="00413733" w:rsidP="00222DA2">
      <w:pPr>
        <w:jc w:val="left"/>
        <w:rPr>
          <w:rFonts w:cs="Arial"/>
          <w:b/>
          <w:bCs/>
          <w:szCs w:val="24"/>
        </w:rPr>
      </w:pPr>
    </w:p>
    <w:p w14:paraId="49B8B6AD" w14:textId="006CF7F6" w:rsidR="00841D5E" w:rsidRPr="009F4026" w:rsidRDefault="00841D5E" w:rsidP="00222DA2">
      <w:pPr>
        <w:jc w:val="left"/>
        <w:rPr>
          <w:rFonts w:cs="Arial"/>
          <w:b/>
          <w:bCs/>
          <w:i/>
          <w:iCs/>
          <w:szCs w:val="24"/>
        </w:rPr>
      </w:pPr>
      <w:r w:rsidRPr="009F4026">
        <w:rPr>
          <w:rFonts w:cs="Arial"/>
          <w:b/>
          <w:bCs/>
          <w:i/>
          <w:iCs/>
          <w:szCs w:val="24"/>
        </w:rPr>
        <w:t>12.3 Is the submitted Plan’s Spatial Strategy viable and deliverable having regard to the</w:t>
      </w:r>
      <w:r w:rsidR="00222DA2" w:rsidRPr="009F4026">
        <w:rPr>
          <w:rFonts w:cs="Arial"/>
          <w:b/>
          <w:bCs/>
          <w:i/>
          <w:iCs/>
          <w:szCs w:val="24"/>
        </w:rPr>
        <w:t xml:space="preserve"> </w:t>
      </w:r>
      <w:r w:rsidRPr="009F4026">
        <w:rPr>
          <w:rFonts w:cs="Arial"/>
          <w:b/>
          <w:bCs/>
          <w:i/>
          <w:iCs/>
          <w:szCs w:val="24"/>
        </w:rPr>
        <w:t>extent of previously developed sites or sites requiring remediation identified?</w:t>
      </w:r>
    </w:p>
    <w:p w14:paraId="2C48D55B" w14:textId="77777777" w:rsidR="0072401D" w:rsidRPr="001E387E" w:rsidRDefault="0072401D" w:rsidP="0072401D">
      <w:pPr>
        <w:rPr>
          <w:b/>
          <w:bCs/>
          <w:i/>
          <w:iCs/>
          <w:u w:val="single"/>
        </w:rPr>
      </w:pPr>
      <w:r w:rsidRPr="001E387E">
        <w:rPr>
          <w:rFonts w:ascii="Helvetica" w:hAnsi="Helvetica" w:cs="Helvetica"/>
          <w:szCs w:val="24"/>
          <w:u w:val="single"/>
          <w14:ligatures w14:val="standardContextual"/>
        </w:rPr>
        <w:t>Council’s response</w:t>
      </w:r>
    </w:p>
    <w:p w14:paraId="35241F32" w14:textId="3769FBA2" w:rsidR="00B91800" w:rsidRPr="009F4026" w:rsidRDefault="0072401D" w:rsidP="0072401D">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12.3.1</w:t>
      </w:r>
      <w:r>
        <w:rPr>
          <w:rFonts w:eastAsia="Aptos" w:cs="Arial"/>
          <w:kern w:val="2"/>
          <w:szCs w:val="24"/>
          <w14:ligatures w14:val="standardContextual"/>
        </w:rPr>
        <w:tab/>
      </w:r>
      <w:r w:rsidR="00AF7AF4" w:rsidRPr="009F4026">
        <w:rPr>
          <w:rFonts w:eastAsia="Aptos" w:cs="Arial"/>
          <w:kern w:val="2"/>
          <w:szCs w:val="24"/>
          <w14:ligatures w14:val="standardContextual"/>
        </w:rPr>
        <w:t xml:space="preserve">Yes. </w:t>
      </w:r>
      <w:r w:rsidR="009B404D" w:rsidRPr="009F4026">
        <w:rPr>
          <w:rFonts w:eastAsia="Aptos" w:cs="Arial"/>
          <w:kern w:val="2"/>
          <w:szCs w:val="24"/>
          <w14:ligatures w14:val="standardContextual"/>
        </w:rPr>
        <w:t xml:space="preserve"> </w:t>
      </w:r>
      <w:r w:rsidR="00B91800" w:rsidRPr="009F4026">
        <w:rPr>
          <w:rFonts w:eastAsia="Aptos" w:cs="Arial"/>
          <w:kern w:val="2"/>
          <w:szCs w:val="24"/>
          <w14:ligatures w14:val="standardContextual"/>
        </w:rPr>
        <w:t xml:space="preserve">As set out in the responses to </w:t>
      </w:r>
      <w:r w:rsidR="0040756A" w:rsidRPr="009F4026">
        <w:rPr>
          <w:rFonts w:eastAsia="Aptos" w:cs="Arial"/>
          <w:kern w:val="2"/>
          <w:szCs w:val="24"/>
          <w14:ligatures w14:val="standardContextual"/>
        </w:rPr>
        <w:t xml:space="preserve">Questions </w:t>
      </w:r>
      <w:r w:rsidR="00B91800" w:rsidRPr="009F4026">
        <w:rPr>
          <w:rFonts w:eastAsia="Aptos" w:cs="Arial"/>
          <w:kern w:val="2"/>
          <w:szCs w:val="24"/>
          <w14:ligatures w14:val="standardContextual"/>
        </w:rPr>
        <w:t xml:space="preserve">12.1 and 12.2 above, it is considered that where sites have significant abnormal costs, the land value and purchase price will be reduced to reflect these costs and that the overall viability of development will remain robust, taking account of the policy impacts of the Plan. </w:t>
      </w:r>
    </w:p>
    <w:p w14:paraId="45CD899F" w14:textId="32FEBC64" w:rsidR="00B91800" w:rsidRPr="009F4026" w:rsidRDefault="0072401D" w:rsidP="0072401D">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12.3.2</w:t>
      </w:r>
      <w:r>
        <w:rPr>
          <w:rFonts w:eastAsia="Aptos" w:cs="Arial"/>
          <w:kern w:val="2"/>
          <w:szCs w:val="24"/>
          <w14:ligatures w14:val="standardContextual"/>
        </w:rPr>
        <w:tab/>
      </w:r>
      <w:r w:rsidR="00B91800" w:rsidRPr="009F4026">
        <w:rPr>
          <w:rFonts w:eastAsia="Aptos" w:cs="Arial"/>
          <w:kern w:val="2"/>
          <w:szCs w:val="24"/>
          <w14:ligatures w14:val="standardContextual"/>
        </w:rPr>
        <w:t>Where the costs of developing these type</w:t>
      </w:r>
      <w:r w:rsidR="0033429A" w:rsidRPr="009F4026">
        <w:rPr>
          <w:rFonts w:eastAsia="Aptos" w:cs="Arial"/>
          <w:kern w:val="2"/>
          <w:szCs w:val="24"/>
          <w14:ligatures w14:val="standardContextual"/>
        </w:rPr>
        <w:t>s</w:t>
      </w:r>
      <w:r w:rsidR="00B91800" w:rsidRPr="009F4026">
        <w:rPr>
          <w:rFonts w:eastAsia="Aptos" w:cs="Arial"/>
          <w:kern w:val="2"/>
          <w:szCs w:val="24"/>
          <w14:ligatures w14:val="standardContextual"/>
        </w:rPr>
        <w:t xml:space="preserve"> of sites is such that the costs cannot be reflected in a minimum site value required to release the land</w:t>
      </w:r>
      <w:r w:rsidR="00AF7AF4" w:rsidRPr="009F4026">
        <w:rPr>
          <w:rFonts w:eastAsia="Aptos" w:cs="Arial"/>
          <w:kern w:val="2"/>
          <w:szCs w:val="24"/>
          <w14:ligatures w14:val="standardContextual"/>
        </w:rPr>
        <w:t>,</w:t>
      </w:r>
      <w:r w:rsidR="00B91800" w:rsidRPr="009F4026">
        <w:rPr>
          <w:rFonts w:eastAsia="Aptos" w:cs="Arial"/>
          <w:kern w:val="2"/>
          <w:szCs w:val="24"/>
          <w14:ligatures w14:val="standardContextual"/>
        </w:rPr>
        <w:t xml:space="preserve"> then there is an opportunity to consider site specific viability issues and potential S106 contribution reductions under the terms of Policy H3 and the supporting text of Policy SD5 at application stage (discussed further at MIQ 12.5)</w:t>
      </w:r>
    </w:p>
    <w:p w14:paraId="3DD70F88" w14:textId="3DC2AE73" w:rsidR="007440E2" w:rsidRPr="009F4026" w:rsidRDefault="0072401D" w:rsidP="0072401D">
      <w:pPr>
        <w:spacing w:after="0" w:line="240" w:lineRule="auto"/>
        <w:ind w:left="720" w:hanging="720"/>
        <w:jc w:val="left"/>
        <w:rPr>
          <w:rFonts w:eastAsia="Aptos" w:cs="Arial"/>
          <w:szCs w:val="24"/>
          <w14:ligatures w14:val="standardContextual"/>
        </w:rPr>
      </w:pPr>
      <w:bookmarkStart w:id="1" w:name="_Hlk184798154"/>
      <w:r>
        <w:rPr>
          <w:rFonts w:eastAsia="Aptos" w:cs="Arial"/>
          <w:szCs w:val="24"/>
          <w14:ligatures w14:val="standardContextual"/>
        </w:rPr>
        <w:t>12.3.3</w:t>
      </w:r>
      <w:r>
        <w:rPr>
          <w:rFonts w:eastAsia="Aptos" w:cs="Arial"/>
          <w:szCs w:val="24"/>
          <w14:ligatures w14:val="standardContextual"/>
        </w:rPr>
        <w:tab/>
      </w:r>
      <w:r w:rsidR="007440E2" w:rsidRPr="009F4026">
        <w:rPr>
          <w:rFonts w:eastAsia="Aptos" w:cs="Arial"/>
          <w:szCs w:val="24"/>
          <w14:ligatures w14:val="standardContextual"/>
        </w:rPr>
        <w:t xml:space="preserve">The proportion of </w:t>
      </w:r>
      <w:r w:rsidR="003906D6" w:rsidRPr="009F4026">
        <w:rPr>
          <w:rFonts w:eastAsia="Aptos" w:cs="Arial"/>
          <w:szCs w:val="24"/>
          <w14:ligatures w14:val="standardContextual"/>
        </w:rPr>
        <w:t xml:space="preserve">proposed housing allocations which are </w:t>
      </w:r>
      <w:r w:rsidR="007440E2" w:rsidRPr="009F4026">
        <w:rPr>
          <w:rFonts w:eastAsia="Aptos" w:cs="Arial"/>
          <w:szCs w:val="24"/>
          <w14:ligatures w14:val="standardContextual"/>
        </w:rPr>
        <w:t>brownfield site</w:t>
      </w:r>
      <w:r w:rsidR="00E2374A" w:rsidRPr="009F4026">
        <w:rPr>
          <w:rFonts w:eastAsia="Aptos" w:cs="Arial"/>
          <w:szCs w:val="24"/>
          <w14:ligatures w14:val="standardContextual"/>
        </w:rPr>
        <w:t>s</w:t>
      </w:r>
      <w:r w:rsidR="007440E2" w:rsidRPr="009F4026">
        <w:rPr>
          <w:rFonts w:eastAsia="Aptos" w:cs="Arial"/>
          <w:szCs w:val="24"/>
          <w14:ligatures w14:val="standardContextual"/>
        </w:rPr>
        <w:t xml:space="preserve"> without planning permission is </w:t>
      </w:r>
      <w:r w:rsidR="003906D6" w:rsidRPr="009F4026">
        <w:rPr>
          <w:rFonts w:eastAsia="Aptos" w:cs="Arial"/>
          <w:szCs w:val="24"/>
          <w14:ligatures w14:val="standardContextual"/>
        </w:rPr>
        <w:t xml:space="preserve">3%, as </w:t>
      </w:r>
      <w:r w:rsidR="007440E2" w:rsidRPr="009F4026">
        <w:rPr>
          <w:rFonts w:eastAsia="Aptos" w:cs="Arial"/>
          <w:szCs w:val="24"/>
          <w14:ligatures w14:val="standardContextual"/>
        </w:rPr>
        <w:t xml:space="preserve">set out in Table </w:t>
      </w:r>
      <w:r w:rsidR="00C85162" w:rsidRPr="009F4026">
        <w:rPr>
          <w:rFonts w:eastAsia="Aptos" w:cs="Arial"/>
          <w:szCs w:val="24"/>
          <w14:ligatures w14:val="standardContextual"/>
        </w:rPr>
        <w:t>20</w:t>
      </w:r>
      <w:r w:rsidR="007440E2" w:rsidRPr="009F4026">
        <w:rPr>
          <w:rFonts w:eastAsia="Aptos" w:cs="Arial"/>
          <w:szCs w:val="24"/>
          <w14:ligatures w14:val="standardContextual"/>
        </w:rPr>
        <w:t xml:space="preserve"> of Background Paper 1 </w:t>
      </w:r>
      <w:r w:rsidR="00E2374A" w:rsidRPr="009F4026">
        <w:rPr>
          <w:rFonts w:eastAsia="Aptos" w:cs="Arial"/>
          <w:szCs w:val="24"/>
          <w14:ligatures w14:val="standardContextual"/>
        </w:rPr>
        <w:t>(BP.01)</w:t>
      </w:r>
      <w:r w:rsidR="007440E2" w:rsidRPr="009F4026">
        <w:rPr>
          <w:rFonts w:eastAsia="Aptos" w:cs="Arial"/>
          <w:szCs w:val="24"/>
          <w14:ligatures w14:val="standardContextual"/>
        </w:rPr>
        <w:t>:</w:t>
      </w:r>
    </w:p>
    <w:p w14:paraId="44216A23" w14:textId="77777777" w:rsidR="00925224" w:rsidRDefault="00925224">
      <w:pPr>
        <w:rPr>
          <w:rFonts w:eastAsia="Times New Roman" w:cs="Arial"/>
          <w:b/>
          <w:bCs/>
          <w:i/>
          <w:iCs/>
          <w:szCs w:val="24"/>
        </w:rPr>
      </w:pPr>
      <w:bookmarkStart w:id="2" w:name="_Toc150415718"/>
      <w:bookmarkEnd w:id="1"/>
      <w:r>
        <w:rPr>
          <w:rFonts w:eastAsia="Times New Roman" w:cs="Arial"/>
          <w:b/>
          <w:bCs/>
          <w:i/>
          <w:iCs/>
          <w:szCs w:val="24"/>
        </w:rPr>
        <w:br w:type="page"/>
      </w:r>
    </w:p>
    <w:p w14:paraId="6A31948C" w14:textId="11FD7941" w:rsidR="007440E2" w:rsidRPr="009F4026" w:rsidRDefault="0092136E" w:rsidP="007440E2">
      <w:pPr>
        <w:keepNext/>
        <w:spacing w:before="40" w:after="0"/>
        <w:jc w:val="left"/>
        <w:outlineLvl w:val="2"/>
        <w:rPr>
          <w:rFonts w:eastAsia="Times New Roman" w:cs="Arial"/>
          <w:b/>
          <w:bCs/>
          <w:i/>
          <w:iCs/>
          <w:szCs w:val="24"/>
        </w:rPr>
      </w:pPr>
      <w:r w:rsidRPr="009F4026">
        <w:rPr>
          <w:rFonts w:eastAsia="Times New Roman" w:cs="Arial"/>
          <w:b/>
          <w:bCs/>
          <w:i/>
          <w:iCs/>
          <w:szCs w:val="24"/>
        </w:rPr>
        <w:lastRenderedPageBreak/>
        <w:t xml:space="preserve">(BP.01) </w:t>
      </w:r>
      <w:r w:rsidR="007440E2" w:rsidRPr="009F4026">
        <w:rPr>
          <w:rFonts w:eastAsia="Times New Roman" w:cs="Arial"/>
          <w:b/>
          <w:bCs/>
          <w:i/>
          <w:iCs/>
          <w:szCs w:val="24"/>
        </w:rPr>
        <w:t>Table 20: Summary of housing allocations from all site selection stages</w:t>
      </w:r>
      <w:bookmarkEnd w:id="2"/>
    </w:p>
    <w:p w14:paraId="0B1CB207" w14:textId="77777777" w:rsidR="007440E2" w:rsidRPr="009F4026" w:rsidRDefault="007440E2" w:rsidP="007440E2">
      <w:pPr>
        <w:spacing w:after="0" w:line="240" w:lineRule="auto"/>
        <w:jc w:val="left"/>
        <w:rPr>
          <w:rFonts w:eastAsia="Aptos" w:cs="Arial"/>
          <w:szCs w:val="24"/>
          <w14:ligatures w14:val="standardContextual"/>
        </w:rPr>
      </w:pPr>
    </w:p>
    <w:tbl>
      <w:tblPr>
        <w:tblW w:w="8879" w:type="dxa"/>
        <w:tblInd w:w="137" w:type="dxa"/>
        <w:tblCellMar>
          <w:left w:w="0" w:type="dxa"/>
          <w:right w:w="0" w:type="dxa"/>
        </w:tblCellMar>
        <w:tblLook w:val="04A0" w:firstRow="1" w:lastRow="0" w:firstColumn="1" w:lastColumn="0" w:noHBand="0" w:noVBand="1"/>
      </w:tblPr>
      <w:tblGrid>
        <w:gridCol w:w="6095"/>
        <w:gridCol w:w="1580"/>
        <w:gridCol w:w="1204"/>
      </w:tblGrid>
      <w:tr w:rsidR="007440E2" w:rsidRPr="009F4026" w14:paraId="2C59588E" w14:textId="77777777" w:rsidTr="007440E2">
        <w:trPr>
          <w:trHeight w:val="991"/>
        </w:trPr>
        <w:tc>
          <w:tcPr>
            <w:tcW w:w="6095"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66E670FC" w14:textId="77777777" w:rsidR="007440E2" w:rsidRPr="009F4026" w:rsidRDefault="007440E2" w:rsidP="007440E2">
            <w:pPr>
              <w:spacing w:after="0" w:line="240" w:lineRule="auto"/>
              <w:jc w:val="left"/>
              <w:rPr>
                <w:rFonts w:eastAsia="Aptos" w:cs="Arial"/>
                <w:b/>
                <w:bCs/>
                <w:color w:val="000000"/>
                <w:szCs w:val="24"/>
                <w:lang w:eastAsia="en-GB"/>
                <w14:ligatures w14:val="standardContextual"/>
              </w:rPr>
            </w:pPr>
            <w:r w:rsidRPr="009F4026">
              <w:rPr>
                <w:rFonts w:eastAsia="Aptos" w:cs="Arial"/>
                <w:b/>
                <w:bCs/>
                <w:color w:val="000000"/>
                <w:szCs w:val="24"/>
                <w:lang w:eastAsia="en-GB"/>
                <w14:ligatures w14:val="standardContextual"/>
              </w:rPr>
              <w:t>Site Selection Stage</w:t>
            </w:r>
          </w:p>
        </w:tc>
        <w:tc>
          <w:tcPr>
            <w:tcW w:w="1580"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1896776" w14:textId="77777777" w:rsidR="007440E2" w:rsidRPr="009F4026" w:rsidRDefault="007440E2" w:rsidP="007440E2">
            <w:pPr>
              <w:spacing w:after="0" w:line="240" w:lineRule="auto"/>
              <w:jc w:val="center"/>
              <w:rPr>
                <w:rFonts w:eastAsia="Aptos" w:cs="Arial"/>
                <w:b/>
                <w:bCs/>
                <w:color w:val="000000"/>
                <w:szCs w:val="24"/>
                <w:lang w:eastAsia="en-GB"/>
                <w14:ligatures w14:val="standardContextual"/>
              </w:rPr>
            </w:pPr>
            <w:r w:rsidRPr="009F4026">
              <w:rPr>
                <w:rFonts w:eastAsia="Aptos" w:cs="Arial"/>
                <w:b/>
                <w:bCs/>
                <w:color w:val="000000"/>
                <w:szCs w:val="24"/>
                <w:lang w:eastAsia="en-GB"/>
                <w14:ligatures w14:val="standardContextual"/>
              </w:rPr>
              <w:t>Estimated Yield (Dwellings)</w:t>
            </w:r>
          </w:p>
        </w:tc>
        <w:tc>
          <w:tcPr>
            <w:tcW w:w="1204" w:type="dxa"/>
            <w:tcBorders>
              <w:top w:val="single" w:sz="8" w:space="0" w:color="auto"/>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7F52F3A1" w14:textId="77777777" w:rsidR="007440E2" w:rsidRPr="009F4026" w:rsidRDefault="007440E2" w:rsidP="007440E2">
            <w:pPr>
              <w:spacing w:after="0" w:line="240" w:lineRule="auto"/>
              <w:jc w:val="center"/>
              <w:rPr>
                <w:rFonts w:eastAsia="Aptos" w:cs="Arial"/>
                <w:b/>
                <w:bCs/>
                <w:color w:val="000000"/>
                <w:szCs w:val="24"/>
                <w:lang w:eastAsia="en-GB"/>
                <w14:ligatures w14:val="standardContextual"/>
              </w:rPr>
            </w:pPr>
            <w:r w:rsidRPr="009F4026">
              <w:rPr>
                <w:rFonts w:eastAsia="Aptos" w:cs="Arial"/>
                <w:b/>
                <w:bCs/>
                <w:color w:val="000000"/>
                <w:szCs w:val="24"/>
                <w:lang w:eastAsia="en-GB"/>
                <w14:ligatures w14:val="standardContextual"/>
              </w:rPr>
              <w:t>% Supply</w:t>
            </w:r>
          </w:p>
        </w:tc>
      </w:tr>
      <w:tr w:rsidR="007440E2" w:rsidRPr="009F4026" w14:paraId="7D0C8CF0" w14:textId="77777777" w:rsidTr="007440E2">
        <w:trPr>
          <w:trHeight w:val="397"/>
        </w:trPr>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71D2B" w14:textId="77777777" w:rsidR="007440E2" w:rsidRPr="009F4026" w:rsidRDefault="007440E2" w:rsidP="007440E2">
            <w:pPr>
              <w:spacing w:after="0" w:line="240" w:lineRule="auto"/>
              <w:jc w:val="lef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Stage 1 - Sites with planning Permission</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hideMark/>
          </w:tcPr>
          <w:p w14:paraId="7816F5CD"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1950</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23E0AAFE"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34%</w:t>
            </w:r>
          </w:p>
        </w:tc>
      </w:tr>
      <w:tr w:rsidR="007440E2" w:rsidRPr="009F4026" w14:paraId="323B57A7" w14:textId="77777777" w:rsidTr="007440E2">
        <w:trPr>
          <w:trHeight w:val="397"/>
        </w:trPr>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7DC01" w14:textId="77777777" w:rsidR="007440E2" w:rsidRPr="009F4026" w:rsidRDefault="007440E2" w:rsidP="007440E2">
            <w:pPr>
              <w:spacing w:after="0" w:line="240" w:lineRule="auto"/>
              <w:jc w:val="lef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Stage 2 - Sites subject to s106</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hideMark/>
          </w:tcPr>
          <w:p w14:paraId="28100647"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315</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09CDAB90"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6%</w:t>
            </w:r>
          </w:p>
        </w:tc>
      </w:tr>
      <w:tr w:rsidR="007440E2" w:rsidRPr="009F4026" w14:paraId="7C848F12" w14:textId="77777777" w:rsidTr="007440E2">
        <w:trPr>
          <w:trHeight w:val="397"/>
        </w:trPr>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E7F2E" w14:textId="77777777" w:rsidR="007440E2" w:rsidRPr="009F4026" w:rsidRDefault="007440E2" w:rsidP="007440E2">
            <w:pPr>
              <w:spacing w:after="0" w:line="240" w:lineRule="auto"/>
              <w:jc w:val="lef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Stage 3 - Brownfield sites without planning permission</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hideMark/>
          </w:tcPr>
          <w:p w14:paraId="4081D590"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189</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4FEAC496"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3%</w:t>
            </w:r>
          </w:p>
        </w:tc>
      </w:tr>
      <w:tr w:rsidR="007440E2" w:rsidRPr="009F4026" w14:paraId="1D0D864E" w14:textId="77777777" w:rsidTr="007440E2">
        <w:trPr>
          <w:trHeight w:val="397"/>
        </w:trPr>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1AAEA" w14:textId="77777777" w:rsidR="007440E2" w:rsidRPr="009F4026" w:rsidRDefault="007440E2" w:rsidP="007440E2">
            <w:pPr>
              <w:spacing w:after="0" w:line="240" w:lineRule="auto"/>
              <w:jc w:val="lef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Stage 4 - Greenfield sites without planning permission</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hideMark/>
          </w:tcPr>
          <w:p w14:paraId="17B692C6"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2016</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52297F82"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35%</w:t>
            </w:r>
          </w:p>
        </w:tc>
      </w:tr>
      <w:tr w:rsidR="007440E2" w:rsidRPr="009F4026" w14:paraId="51A203AF" w14:textId="77777777" w:rsidTr="007440E2">
        <w:trPr>
          <w:trHeight w:val="397"/>
        </w:trPr>
        <w:tc>
          <w:tcPr>
            <w:tcW w:w="60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E61D47" w14:textId="77777777" w:rsidR="007440E2" w:rsidRPr="009F4026" w:rsidRDefault="007440E2" w:rsidP="007440E2">
            <w:pPr>
              <w:spacing w:after="0" w:line="240" w:lineRule="auto"/>
              <w:jc w:val="lef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Stage 5 - Greenbelt sites (brownfield and Greenfield)</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hideMark/>
          </w:tcPr>
          <w:p w14:paraId="58FDF672"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1246</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21E46276" w14:textId="77777777" w:rsidR="007440E2" w:rsidRPr="009F4026" w:rsidRDefault="007440E2" w:rsidP="007440E2">
            <w:pPr>
              <w:spacing w:after="0" w:line="240" w:lineRule="auto"/>
              <w:jc w:val="right"/>
              <w:rPr>
                <w:rFonts w:eastAsia="Aptos" w:cs="Arial"/>
                <w:color w:val="000000"/>
                <w:szCs w:val="24"/>
                <w:lang w:eastAsia="en-GB"/>
                <w14:ligatures w14:val="standardContextual"/>
              </w:rPr>
            </w:pPr>
            <w:r w:rsidRPr="009F4026">
              <w:rPr>
                <w:rFonts w:eastAsia="Aptos" w:cs="Arial"/>
                <w:color w:val="000000"/>
                <w:szCs w:val="24"/>
                <w:lang w:eastAsia="en-GB"/>
                <w14:ligatures w14:val="standardContextual"/>
              </w:rPr>
              <w:t>22%</w:t>
            </w:r>
          </w:p>
        </w:tc>
      </w:tr>
      <w:tr w:rsidR="007440E2" w:rsidRPr="009F4026" w14:paraId="72AD2CB3" w14:textId="77777777" w:rsidTr="007440E2">
        <w:trPr>
          <w:trHeight w:val="463"/>
        </w:trPr>
        <w:tc>
          <w:tcPr>
            <w:tcW w:w="6095"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7440F7" w14:textId="77777777" w:rsidR="007440E2" w:rsidRPr="009F4026" w:rsidRDefault="007440E2" w:rsidP="007440E2">
            <w:pPr>
              <w:spacing w:after="0" w:line="240" w:lineRule="auto"/>
              <w:jc w:val="left"/>
              <w:rPr>
                <w:rFonts w:eastAsia="Aptos" w:cs="Arial"/>
                <w:b/>
                <w:bCs/>
                <w:color w:val="000000"/>
                <w:szCs w:val="24"/>
                <w:lang w:eastAsia="en-GB"/>
                <w14:ligatures w14:val="standardContextual"/>
              </w:rPr>
            </w:pPr>
            <w:r w:rsidRPr="009F4026">
              <w:rPr>
                <w:rFonts w:eastAsia="Aptos" w:cs="Arial"/>
                <w:b/>
                <w:bCs/>
                <w:color w:val="000000"/>
                <w:szCs w:val="24"/>
                <w:lang w:eastAsia="en-GB"/>
                <w14:ligatures w14:val="standardContextual"/>
              </w:rPr>
              <w:t>Total dwellings from allocations</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hideMark/>
          </w:tcPr>
          <w:p w14:paraId="39ED2F41" w14:textId="77777777" w:rsidR="007440E2" w:rsidRPr="009F4026" w:rsidRDefault="007440E2" w:rsidP="007440E2">
            <w:pPr>
              <w:spacing w:after="0" w:line="240" w:lineRule="auto"/>
              <w:jc w:val="right"/>
              <w:rPr>
                <w:rFonts w:eastAsia="Aptos" w:cs="Arial"/>
                <w:b/>
                <w:bCs/>
                <w:color w:val="000000"/>
                <w:szCs w:val="24"/>
                <w:lang w:eastAsia="en-GB"/>
                <w14:ligatures w14:val="standardContextual"/>
              </w:rPr>
            </w:pPr>
            <w:r w:rsidRPr="009F4026">
              <w:rPr>
                <w:rFonts w:eastAsia="Aptos" w:cs="Arial"/>
                <w:b/>
                <w:bCs/>
                <w:color w:val="000000"/>
                <w:szCs w:val="24"/>
                <w:lang w:eastAsia="en-GB"/>
                <w14:ligatures w14:val="standardContextual"/>
              </w:rPr>
              <w:t>5716</w:t>
            </w:r>
          </w:p>
        </w:tc>
        <w:tc>
          <w:tcPr>
            <w:tcW w:w="1204" w:type="dxa"/>
            <w:tcBorders>
              <w:top w:val="nil"/>
              <w:left w:val="nil"/>
              <w:bottom w:val="single" w:sz="8" w:space="0" w:color="auto"/>
              <w:right w:val="single" w:sz="8" w:space="0" w:color="auto"/>
            </w:tcBorders>
            <w:noWrap/>
            <w:tcMar>
              <w:top w:w="0" w:type="dxa"/>
              <w:left w:w="108" w:type="dxa"/>
              <w:bottom w:w="0" w:type="dxa"/>
              <w:right w:w="108" w:type="dxa"/>
            </w:tcMar>
            <w:hideMark/>
          </w:tcPr>
          <w:p w14:paraId="5B3A9D30" w14:textId="77777777" w:rsidR="007440E2" w:rsidRPr="009F4026" w:rsidRDefault="007440E2" w:rsidP="007440E2">
            <w:pPr>
              <w:spacing w:after="0" w:line="240" w:lineRule="auto"/>
              <w:jc w:val="right"/>
              <w:rPr>
                <w:rFonts w:eastAsia="Aptos" w:cs="Arial"/>
                <w:b/>
                <w:bCs/>
                <w:color w:val="000000"/>
                <w:szCs w:val="24"/>
                <w:lang w:eastAsia="en-GB"/>
                <w14:ligatures w14:val="standardContextual"/>
              </w:rPr>
            </w:pPr>
            <w:r w:rsidRPr="009F4026">
              <w:rPr>
                <w:rFonts w:eastAsia="Aptos" w:cs="Arial"/>
                <w:b/>
                <w:bCs/>
                <w:color w:val="000000"/>
                <w:szCs w:val="24"/>
                <w:lang w:eastAsia="en-GB"/>
                <w14:ligatures w14:val="standardContextual"/>
              </w:rPr>
              <w:t>100%</w:t>
            </w:r>
          </w:p>
        </w:tc>
      </w:tr>
    </w:tbl>
    <w:p w14:paraId="1875502F" w14:textId="77777777" w:rsidR="007440E2" w:rsidRPr="009F4026" w:rsidRDefault="007440E2" w:rsidP="00222DA2">
      <w:pPr>
        <w:jc w:val="left"/>
        <w:rPr>
          <w:rFonts w:cs="Arial"/>
          <w:szCs w:val="24"/>
        </w:rPr>
      </w:pPr>
    </w:p>
    <w:p w14:paraId="305417F4" w14:textId="55E07780" w:rsidR="007440E2" w:rsidRPr="009F4026" w:rsidRDefault="007440E2" w:rsidP="00222DA2">
      <w:pPr>
        <w:jc w:val="left"/>
        <w:rPr>
          <w:rFonts w:cs="Arial"/>
          <w:szCs w:val="24"/>
        </w:rPr>
      </w:pPr>
    </w:p>
    <w:p w14:paraId="45C0B1B1" w14:textId="69B960A8" w:rsidR="00841D5E" w:rsidRPr="009F4026" w:rsidRDefault="00841D5E" w:rsidP="00222DA2">
      <w:pPr>
        <w:jc w:val="left"/>
        <w:rPr>
          <w:rFonts w:cs="Arial"/>
          <w:b/>
          <w:bCs/>
          <w:i/>
          <w:iCs/>
          <w:szCs w:val="24"/>
        </w:rPr>
      </w:pPr>
      <w:r w:rsidRPr="009F4026">
        <w:rPr>
          <w:rFonts w:cs="Arial"/>
          <w:b/>
          <w:bCs/>
          <w:i/>
          <w:iCs/>
          <w:szCs w:val="24"/>
        </w:rPr>
        <w:t>12.4 Does Policy H3 recognise the potential impacts of abnormal costs such as ground</w:t>
      </w:r>
      <w:r w:rsidR="00222DA2" w:rsidRPr="009F4026">
        <w:rPr>
          <w:rFonts w:cs="Arial"/>
          <w:b/>
          <w:bCs/>
          <w:i/>
          <w:iCs/>
          <w:szCs w:val="24"/>
        </w:rPr>
        <w:t xml:space="preserve"> </w:t>
      </w:r>
      <w:r w:rsidRPr="009F4026">
        <w:rPr>
          <w:rFonts w:cs="Arial"/>
          <w:b/>
          <w:bCs/>
          <w:i/>
          <w:iCs/>
          <w:szCs w:val="24"/>
        </w:rPr>
        <w:t>conditions on greenfield sites in relation to viability?</w:t>
      </w:r>
    </w:p>
    <w:p w14:paraId="70AB40F9" w14:textId="77777777" w:rsidR="0072401D" w:rsidRPr="001E387E" w:rsidRDefault="0072401D" w:rsidP="0072401D">
      <w:pPr>
        <w:rPr>
          <w:b/>
          <w:bCs/>
          <w:i/>
          <w:iCs/>
          <w:u w:val="single"/>
        </w:rPr>
      </w:pPr>
      <w:r w:rsidRPr="001E387E">
        <w:rPr>
          <w:rFonts w:ascii="Helvetica" w:hAnsi="Helvetica" w:cs="Helvetica"/>
          <w:szCs w:val="24"/>
          <w:u w:val="single"/>
          <w14:ligatures w14:val="standardContextual"/>
        </w:rPr>
        <w:t>Council’s response</w:t>
      </w:r>
    </w:p>
    <w:p w14:paraId="1BB7BE01" w14:textId="1505117B" w:rsidR="00B73244" w:rsidRPr="009F4026" w:rsidRDefault="0072401D" w:rsidP="0072401D">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12.4.1</w:t>
      </w:r>
      <w:r>
        <w:rPr>
          <w:rFonts w:eastAsia="Aptos" w:cs="Arial"/>
          <w:kern w:val="2"/>
          <w:szCs w:val="24"/>
          <w14:ligatures w14:val="standardContextual"/>
        </w:rPr>
        <w:tab/>
      </w:r>
      <w:r w:rsidR="00B73244" w:rsidRPr="009F4026">
        <w:rPr>
          <w:rFonts w:eastAsia="Aptos" w:cs="Arial"/>
          <w:kern w:val="2"/>
          <w:szCs w:val="24"/>
          <w14:ligatures w14:val="standardContextual"/>
        </w:rPr>
        <w:t>As set out in 12.1, 12.2 and 12.3 above, it is expected that abnormal costs will be reflected in a reduction in land value and site purchase price, with overall viability unaffected.</w:t>
      </w:r>
    </w:p>
    <w:p w14:paraId="05800BC2" w14:textId="77777777" w:rsidR="0072401D" w:rsidRDefault="0072401D" w:rsidP="0072401D">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12.4.2</w:t>
      </w:r>
      <w:r>
        <w:rPr>
          <w:rFonts w:eastAsia="Aptos" w:cs="Arial"/>
          <w:kern w:val="2"/>
          <w:szCs w:val="24"/>
          <w14:ligatures w14:val="standardContextual"/>
        </w:rPr>
        <w:tab/>
      </w:r>
      <w:r w:rsidR="00BE7015" w:rsidRPr="009F4026">
        <w:rPr>
          <w:rFonts w:eastAsia="Aptos" w:cs="Arial"/>
          <w:kern w:val="2"/>
          <w:szCs w:val="24"/>
          <w14:ligatures w14:val="standardContextual"/>
        </w:rPr>
        <w:t>Whilst the text of Policy H3 does not refer to consideration of abnormal costs specifically, para 4 of Policy H3 states:</w:t>
      </w:r>
    </w:p>
    <w:p w14:paraId="51964FCC" w14:textId="47F00B5E" w:rsidR="00BE7015" w:rsidRPr="009F4026" w:rsidRDefault="0072401D" w:rsidP="0072401D">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ab/>
        <w:t xml:space="preserve">‘4. </w:t>
      </w:r>
      <w:r w:rsidR="00BE7015" w:rsidRPr="009F4026">
        <w:rPr>
          <w:rFonts w:eastAsia="Aptos" w:cs="Arial"/>
          <w:kern w:val="2"/>
          <w:szCs w:val="24"/>
          <w14:ligatures w14:val="standardContextual"/>
        </w:rPr>
        <w:t xml:space="preserve">Proposals that do not meet the policy requirements must provide a clear justification supported by an independent viability assessment that a different level or mix of affordable housing is required to make the development viable.  It must be satisfactorily demonstrated to the Council that any alternatives approach will contribute towards creating mixed and balance communities.’ </w:t>
      </w:r>
    </w:p>
    <w:p w14:paraId="4E86D494" w14:textId="69921752" w:rsidR="00BE7015" w:rsidRPr="009F4026" w:rsidRDefault="0072401D" w:rsidP="0072401D">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12.4.3</w:t>
      </w:r>
      <w:r>
        <w:rPr>
          <w:rFonts w:eastAsia="Aptos" w:cs="Arial"/>
          <w:kern w:val="2"/>
          <w:szCs w:val="24"/>
          <w14:ligatures w14:val="standardContextual"/>
        </w:rPr>
        <w:tab/>
      </w:r>
      <w:r w:rsidR="00BE7015" w:rsidRPr="009F4026">
        <w:rPr>
          <w:rFonts w:eastAsia="Aptos" w:cs="Arial"/>
          <w:kern w:val="2"/>
          <w:szCs w:val="24"/>
          <w14:ligatures w14:val="standardContextual"/>
        </w:rPr>
        <w:t>As such, where significant abnormal ground conditions exist that cannot be reflected in a minimum site value required to release the land then there is an opportunity to consider site specific viability issues and potential Affordable Housing reduction under the terms of Policy H3 at application stage (discussed further at MIQ 12.5).</w:t>
      </w:r>
    </w:p>
    <w:p w14:paraId="212CF44B" w14:textId="77777777" w:rsidR="00BE7015" w:rsidRPr="009F4026" w:rsidRDefault="00BE7015" w:rsidP="00222DA2">
      <w:pPr>
        <w:jc w:val="left"/>
        <w:rPr>
          <w:rFonts w:cs="Arial"/>
          <w:szCs w:val="24"/>
        </w:rPr>
      </w:pPr>
    </w:p>
    <w:p w14:paraId="69277243" w14:textId="1CCA399D" w:rsidR="00841D5E" w:rsidRPr="009F4026" w:rsidRDefault="00841D5E" w:rsidP="00222DA2">
      <w:pPr>
        <w:jc w:val="left"/>
        <w:rPr>
          <w:rFonts w:cs="Arial"/>
          <w:b/>
          <w:bCs/>
          <w:i/>
          <w:iCs/>
          <w:szCs w:val="24"/>
        </w:rPr>
      </w:pPr>
      <w:r w:rsidRPr="009F4026">
        <w:rPr>
          <w:rFonts w:cs="Arial"/>
          <w:b/>
          <w:bCs/>
          <w:i/>
          <w:iCs/>
          <w:szCs w:val="24"/>
        </w:rPr>
        <w:t>12.5 Does Policy H3 provide sufficient flexibility where viability may be challenging? Is the</w:t>
      </w:r>
      <w:r w:rsidR="00222DA2" w:rsidRPr="009F4026">
        <w:rPr>
          <w:rFonts w:cs="Arial"/>
          <w:b/>
          <w:bCs/>
          <w:i/>
          <w:iCs/>
          <w:szCs w:val="24"/>
        </w:rPr>
        <w:t xml:space="preserve"> </w:t>
      </w:r>
      <w:r w:rsidRPr="009F4026">
        <w:rPr>
          <w:rFonts w:cs="Arial"/>
          <w:b/>
          <w:bCs/>
          <w:i/>
          <w:iCs/>
          <w:szCs w:val="24"/>
        </w:rPr>
        <w:t>wording of the policy sufficiently clear in this regard?</w:t>
      </w:r>
    </w:p>
    <w:p w14:paraId="68C1F767" w14:textId="77777777" w:rsidR="00D60498" w:rsidRPr="001E387E" w:rsidRDefault="00D60498" w:rsidP="00D60498">
      <w:pPr>
        <w:rPr>
          <w:b/>
          <w:bCs/>
          <w:i/>
          <w:iCs/>
          <w:u w:val="single"/>
        </w:rPr>
      </w:pPr>
      <w:r w:rsidRPr="001E387E">
        <w:rPr>
          <w:rFonts w:ascii="Helvetica" w:hAnsi="Helvetica" w:cs="Helvetica"/>
          <w:szCs w:val="24"/>
          <w:u w:val="single"/>
          <w14:ligatures w14:val="standardContextual"/>
        </w:rPr>
        <w:t>Council’s response</w:t>
      </w:r>
    </w:p>
    <w:p w14:paraId="7F622A85" w14:textId="107BAF9D" w:rsidR="00705455" w:rsidRPr="009F4026" w:rsidRDefault="00D60498" w:rsidP="00D60498">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12.5.1</w:t>
      </w:r>
      <w:r>
        <w:rPr>
          <w:rFonts w:eastAsia="Aptos" w:cs="Arial"/>
          <w:kern w:val="2"/>
          <w:szCs w:val="24"/>
          <w14:ligatures w14:val="standardContextual"/>
        </w:rPr>
        <w:tab/>
      </w:r>
      <w:r w:rsidR="00705455" w:rsidRPr="009F4026">
        <w:rPr>
          <w:rFonts w:eastAsia="Aptos" w:cs="Arial"/>
          <w:kern w:val="2"/>
          <w:szCs w:val="24"/>
          <w14:ligatures w14:val="standardContextual"/>
        </w:rPr>
        <w:t>Yes, Policy</w:t>
      </w:r>
      <w:r w:rsidR="00740085" w:rsidRPr="009F4026">
        <w:rPr>
          <w:rFonts w:eastAsia="Aptos" w:cs="Arial"/>
          <w:kern w:val="2"/>
          <w:szCs w:val="24"/>
          <w14:ligatures w14:val="standardContextual"/>
        </w:rPr>
        <w:t xml:space="preserve"> H3</w:t>
      </w:r>
      <w:r w:rsidR="00705455" w:rsidRPr="009F4026">
        <w:rPr>
          <w:rFonts w:eastAsia="Aptos" w:cs="Arial"/>
          <w:kern w:val="2"/>
          <w:szCs w:val="24"/>
          <w14:ligatures w14:val="standardContextual"/>
        </w:rPr>
        <w:t xml:space="preserve"> makes it clear that the Council are open to considering viability assessments at </w:t>
      </w:r>
      <w:r w:rsidR="00091A42" w:rsidRPr="009F4026">
        <w:rPr>
          <w:rFonts w:eastAsia="Aptos" w:cs="Arial"/>
          <w:kern w:val="2"/>
          <w:szCs w:val="24"/>
          <w14:ligatures w14:val="standardContextual"/>
        </w:rPr>
        <w:t xml:space="preserve">planning </w:t>
      </w:r>
      <w:r w:rsidR="00705455" w:rsidRPr="009F4026">
        <w:rPr>
          <w:rFonts w:eastAsia="Aptos" w:cs="Arial"/>
          <w:kern w:val="2"/>
          <w:szCs w:val="24"/>
          <w14:ligatures w14:val="standardContextual"/>
        </w:rPr>
        <w:t>application stage where it can be demonstrated that viability issues exist.</w:t>
      </w:r>
    </w:p>
    <w:p w14:paraId="7406207B" w14:textId="5A7ED539" w:rsidR="00705455" w:rsidRPr="009F4026" w:rsidRDefault="00D60498" w:rsidP="00D60498">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lastRenderedPageBreak/>
        <w:t>12.5.2</w:t>
      </w:r>
      <w:r>
        <w:rPr>
          <w:rFonts w:eastAsia="Aptos" w:cs="Arial"/>
          <w:kern w:val="2"/>
          <w:szCs w:val="24"/>
          <w14:ligatures w14:val="standardContextual"/>
        </w:rPr>
        <w:tab/>
      </w:r>
      <w:r w:rsidR="00705455" w:rsidRPr="009F4026">
        <w:rPr>
          <w:rFonts w:eastAsia="Aptos" w:cs="Arial"/>
          <w:kern w:val="2"/>
          <w:szCs w:val="24"/>
          <w14:ligatures w14:val="standardContextual"/>
        </w:rPr>
        <w:t>Policy SD6</w:t>
      </w:r>
      <w:r w:rsidR="00091A42" w:rsidRPr="009F4026">
        <w:rPr>
          <w:rFonts w:eastAsia="Aptos" w:cs="Arial"/>
          <w:kern w:val="2"/>
          <w:szCs w:val="24"/>
          <w14:ligatures w14:val="standardContextual"/>
        </w:rPr>
        <w:t xml:space="preserve">: </w:t>
      </w:r>
      <w:r w:rsidR="00705455" w:rsidRPr="009F4026">
        <w:rPr>
          <w:rFonts w:eastAsia="Aptos" w:cs="Arial"/>
          <w:kern w:val="2"/>
          <w:szCs w:val="24"/>
          <w14:ligatures w14:val="standardContextual"/>
        </w:rPr>
        <w:t xml:space="preserve">Assessing Development Viability and Development Demand sets out clear guidance on the approach that will be adopted to viability assessment at application stage, </w:t>
      </w:r>
      <w:r w:rsidR="00F0493B" w:rsidRPr="009F4026">
        <w:rPr>
          <w:rFonts w:eastAsia="Aptos" w:cs="Arial"/>
          <w:kern w:val="2"/>
          <w:szCs w:val="24"/>
          <w14:ligatures w14:val="standardContextual"/>
        </w:rPr>
        <w:t xml:space="preserve">in Policy SD6 and the accompanying text.  </w:t>
      </w:r>
    </w:p>
    <w:p w14:paraId="66ED7951" w14:textId="77777777" w:rsidR="0021519B" w:rsidRPr="009F4026" w:rsidRDefault="0021519B" w:rsidP="00222DA2">
      <w:pPr>
        <w:jc w:val="left"/>
        <w:rPr>
          <w:rFonts w:cs="Arial"/>
          <w:b/>
          <w:bCs/>
          <w:i/>
          <w:iCs/>
          <w:szCs w:val="24"/>
        </w:rPr>
      </w:pPr>
    </w:p>
    <w:p w14:paraId="18392B89" w14:textId="4A6750B8" w:rsidR="00841D5E" w:rsidRPr="009F4026" w:rsidRDefault="00841D5E" w:rsidP="00222DA2">
      <w:pPr>
        <w:jc w:val="left"/>
        <w:rPr>
          <w:rFonts w:cs="Arial"/>
          <w:b/>
          <w:bCs/>
          <w:i/>
          <w:iCs/>
          <w:szCs w:val="24"/>
        </w:rPr>
      </w:pPr>
      <w:r w:rsidRPr="009F4026">
        <w:rPr>
          <w:rFonts w:cs="Arial"/>
          <w:b/>
          <w:bCs/>
          <w:i/>
          <w:iCs/>
          <w:szCs w:val="24"/>
        </w:rPr>
        <w:t>12.6 Are the requirements for contributions towards any key supporting infrastructure</w:t>
      </w:r>
      <w:r w:rsidR="00222DA2" w:rsidRPr="009F4026">
        <w:rPr>
          <w:rFonts w:cs="Arial"/>
          <w:b/>
          <w:bCs/>
          <w:i/>
          <w:iCs/>
          <w:szCs w:val="24"/>
        </w:rPr>
        <w:t xml:space="preserve"> </w:t>
      </w:r>
      <w:r w:rsidRPr="009F4026">
        <w:rPr>
          <w:rFonts w:cs="Arial"/>
          <w:b/>
          <w:bCs/>
          <w:i/>
          <w:iCs/>
          <w:szCs w:val="24"/>
        </w:rPr>
        <w:t>clearly set out in the Plan?</w:t>
      </w:r>
    </w:p>
    <w:p w14:paraId="4EC6CE76" w14:textId="77777777" w:rsidR="00D60498" w:rsidRPr="001E387E" w:rsidRDefault="00D60498" w:rsidP="00D60498">
      <w:pPr>
        <w:rPr>
          <w:b/>
          <w:bCs/>
          <w:i/>
          <w:iCs/>
          <w:u w:val="single"/>
        </w:rPr>
      </w:pPr>
      <w:r w:rsidRPr="001E387E">
        <w:rPr>
          <w:rFonts w:ascii="Helvetica" w:hAnsi="Helvetica" w:cs="Helvetica"/>
          <w:szCs w:val="24"/>
          <w:u w:val="single"/>
          <w14:ligatures w14:val="standardContextual"/>
        </w:rPr>
        <w:t>Council’s response</w:t>
      </w:r>
    </w:p>
    <w:p w14:paraId="1CEE5E9B" w14:textId="44C3466A" w:rsidR="00841D5E" w:rsidRPr="009F4026" w:rsidRDefault="00D60498" w:rsidP="00D60498">
      <w:pPr>
        <w:ind w:left="720" w:hanging="720"/>
        <w:jc w:val="left"/>
        <w:rPr>
          <w:rFonts w:cs="Arial"/>
          <w:szCs w:val="24"/>
        </w:rPr>
      </w:pPr>
      <w:r>
        <w:rPr>
          <w:rFonts w:cs="Arial"/>
          <w:szCs w:val="24"/>
        </w:rPr>
        <w:t>12.6.1</w:t>
      </w:r>
      <w:r>
        <w:rPr>
          <w:rFonts w:cs="Arial"/>
          <w:szCs w:val="24"/>
        </w:rPr>
        <w:tab/>
      </w:r>
      <w:r w:rsidR="0052113D" w:rsidRPr="009F4026">
        <w:rPr>
          <w:rFonts w:cs="Arial"/>
          <w:szCs w:val="24"/>
        </w:rPr>
        <w:t xml:space="preserve">Yes, </w:t>
      </w:r>
      <w:r w:rsidR="004C114A" w:rsidRPr="009F4026">
        <w:rPr>
          <w:rFonts w:cs="Arial"/>
          <w:szCs w:val="24"/>
        </w:rPr>
        <w:t>Policy H3 sets out the Affordable Housing contributions and tenure mix expected from new residential development.  Policy SD5 sets out the categories of infrastructure that are expected to be supported by new development and Policy SD6 explains how contributions will be considered at application stage in the event that viability issues arise.</w:t>
      </w:r>
    </w:p>
    <w:p w14:paraId="58F75DB8" w14:textId="77777777" w:rsidR="004C114A" w:rsidRPr="009F4026" w:rsidRDefault="004C114A" w:rsidP="00222DA2">
      <w:pPr>
        <w:jc w:val="left"/>
        <w:rPr>
          <w:rFonts w:cs="Arial"/>
          <w:szCs w:val="24"/>
        </w:rPr>
      </w:pPr>
    </w:p>
    <w:p w14:paraId="2E547152" w14:textId="715DD849" w:rsidR="009F616A" w:rsidRDefault="00841D5E" w:rsidP="00222DA2">
      <w:pPr>
        <w:jc w:val="left"/>
        <w:rPr>
          <w:rFonts w:cs="Arial"/>
          <w:b/>
          <w:bCs/>
          <w:i/>
          <w:iCs/>
          <w:szCs w:val="24"/>
        </w:rPr>
      </w:pPr>
      <w:r w:rsidRPr="009F4026">
        <w:rPr>
          <w:rFonts w:cs="Arial"/>
          <w:b/>
          <w:bCs/>
          <w:i/>
          <w:iCs/>
          <w:szCs w:val="24"/>
        </w:rPr>
        <w:t>12.7 Overall, do the submitted policies clearly set out the contributions expected from</w:t>
      </w:r>
      <w:r w:rsidR="00222DA2" w:rsidRPr="009F4026">
        <w:rPr>
          <w:rFonts w:cs="Arial"/>
          <w:b/>
          <w:bCs/>
          <w:i/>
          <w:iCs/>
          <w:szCs w:val="24"/>
        </w:rPr>
        <w:t xml:space="preserve"> </w:t>
      </w:r>
      <w:r w:rsidRPr="009F4026">
        <w:rPr>
          <w:rFonts w:cs="Arial"/>
          <w:b/>
          <w:bCs/>
          <w:i/>
          <w:iCs/>
          <w:szCs w:val="24"/>
        </w:rPr>
        <w:t>development along with other infrastructure, and would these cumulatively not</w:t>
      </w:r>
      <w:r w:rsidR="00222DA2" w:rsidRPr="009F4026">
        <w:rPr>
          <w:rFonts w:cs="Arial"/>
          <w:b/>
          <w:bCs/>
          <w:i/>
          <w:iCs/>
          <w:szCs w:val="24"/>
        </w:rPr>
        <w:t xml:space="preserve"> </w:t>
      </w:r>
      <w:r w:rsidRPr="009F4026">
        <w:rPr>
          <w:rFonts w:cs="Arial"/>
          <w:b/>
          <w:bCs/>
          <w:i/>
          <w:iCs/>
          <w:szCs w:val="24"/>
        </w:rPr>
        <w:t>undermine the deliverability of the Plan?</w:t>
      </w:r>
    </w:p>
    <w:p w14:paraId="343A22C9" w14:textId="61856460" w:rsidR="00F60427" w:rsidRPr="00F60427" w:rsidRDefault="00F60427" w:rsidP="00F60427">
      <w:pPr>
        <w:rPr>
          <w:b/>
          <w:bCs/>
          <w:i/>
          <w:iCs/>
          <w:u w:val="single"/>
        </w:rPr>
      </w:pPr>
      <w:r w:rsidRPr="001E387E">
        <w:rPr>
          <w:rFonts w:ascii="Helvetica" w:hAnsi="Helvetica" w:cs="Helvetica"/>
          <w:szCs w:val="24"/>
          <w:u w:val="single"/>
          <w14:ligatures w14:val="standardContextual"/>
        </w:rPr>
        <w:t>Council’s response</w:t>
      </w:r>
    </w:p>
    <w:p w14:paraId="6E50EAA8" w14:textId="6FA93124" w:rsidR="00322AA1" w:rsidRPr="009F4026" w:rsidRDefault="00D60498" w:rsidP="00D60498">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12.7.1</w:t>
      </w:r>
      <w:r w:rsidR="008B5325">
        <w:rPr>
          <w:rFonts w:eastAsia="Aptos" w:cs="Arial"/>
          <w:kern w:val="2"/>
          <w:szCs w:val="24"/>
          <w14:ligatures w14:val="standardContextual"/>
        </w:rPr>
        <w:t xml:space="preserve"> As</w:t>
      </w:r>
      <w:r w:rsidR="0017778D" w:rsidRPr="009F4026">
        <w:rPr>
          <w:rFonts w:eastAsia="Aptos" w:cs="Arial"/>
          <w:kern w:val="2"/>
          <w:szCs w:val="24"/>
          <w14:ligatures w14:val="standardContextual"/>
        </w:rPr>
        <w:t xml:space="preserve"> set out for Question 12.6 above,</w:t>
      </w:r>
      <w:r w:rsidR="00322AA1" w:rsidRPr="009F4026">
        <w:rPr>
          <w:rFonts w:eastAsia="Aptos" w:cs="Arial"/>
          <w:kern w:val="2"/>
          <w:szCs w:val="24"/>
          <w14:ligatures w14:val="standardContextual"/>
        </w:rPr>
        <w:t xml:space="preserve"> Policy H3 sets out the Affordable Housing contributions and tenure mix expected from new residential development. </w:t>
      </w:r>
      <w:r w:rsidR="00383A6F" w:rsidRPr="009F4026">
        <w:rPr>
          <w:rFonts w:eastAsia="Aptos" w:cs="Arial"/>
          <w:kern w:val="2"/>
          <w:szCs w:val="24"/>
          <w14:ligatures w14:val="standardContextual"/>
        </w:rPr>
        <w:t xml:space="preserve"> </w:t>
      </w:r>
      <w:r w:rsidR="00322AA1" w:rsidRPr="009F4026">
        <w:rPr>
          <w:rFonts w:eastAsia="Aptos" w:cs="Arial"/>
          <w:kern w:val="2"/>
          <w:szCs w:val="24"/>
          <w14:ligatures w14:val="standardContextual"/>
        </w:rPr>
        <w:t>Policy SD5 sets out the categories of infrastructure that are expected to be supported by new development and Policy SD6 explains how contributions will be considered at application stage in the event that viability issues arise.</w:t>
      </w:r>
    </w:p>
    <w:p w14:paraId="314712C3" w14:textId="64D2E320" w:rsidR="00322AA1" w:rsidRPr="009F4026" w:rsidRDefault="00D60498" w:rsidP="00D60498">
      <w:pPr>
        <w:spacing w:line="256" w:lineRule="auto"/>
        <w:ind w:left="720" w:hanging="720"/>
        <w:jc w:val="left"/>
        <w:rPr>
          <w:rFonts w:eastAsia="Aptos" w:cs="Arial"/>
          <w:kern w:val="2"/>
          <w:szCs w:val="24"/>
          <w14:ligatures w14:val="standardContextual"/>
        </w:rPr>
      </w:pPr>
      <w:r>
        <w:rPr>
          <w:rFonts w:eastAsia="Aptos" w:cs="Arial"/>
          <w:kern w:val="2"/>
          <w:szCs w:val="24"/>
          <w14:ligatures w14:val="standardContextual"/>
        </w:rPr>
        <w:t>12.7.2</w:t>
      </w:r>
      <w:r>
        <w:rPr>
          <w:rFonts w:eastAsia="Aptos" w:cs="Arial"/>
          <w:kern w:val="2"/>
          <w:szCs w:val="24"/>
          <w14:ligatures w14:val="standardContextual"/>
        </w:rPr>
        <w:tab/>
      </w:r>
      <w:r w:rsidR="00322AA1" w:rsidRPr="009F4026">
        <w:rPr>
          <w:rFonts w:eastAsia="Aptos" w:cs="Arial"/>
          <w:kern w:val="2"/>
          <w:szCs w:val="24"/>
          <w14:ligatures w14:val="standardContextual"/>
        </w:rPr>
        <w:t>The impact of these policies has been tested by the Plan Wide Viability Assessment undertaken to support the Plan. These impacts include:</w:t>
      </w:r>
    </w:p>
    <w:p w14:paraId="0EA793B1" w14:textId="456182AA" w:rsidR="00322AA1" w:rsidRPr="009F4026" w:rsidRDefault="00322AA1" w:rsidP="00D60498">
      <w:pPr>
        <w:numPr>
          <w:ilvl w:val="0"/>
          <w:numId w:val="3"/>
        </w:numPr>
        <w:spacing w:after="0" w:line="256" w:lineRule="auto"/>
        <w:contextualSpacing/>
        <w:jc w:val="left"/>
        <w:rPr>
          <w:rFonts w:eastAsia="Aptos" w:cs="Arial"/>
          <w:kern w:val="2"/>
          <w:szCs w:val="24"/>
          <w14:ligatures w14:val="standardContextual"/>
        </w:rPr>
      </w:pPr>
      <w:r w:rsidRPr="009F4026">
        <w:rPr>
          <w:rFonts w:eastAsia="Aptos" w:cs="Arial"/>
          <w:kern w:val="2"/>
          <w:szCs w:val="24"/>
          <w14:ligatures w14:val="standardContextual"/>
        </w:rPr>
        <w:t>Affordable Housing (10-25%)</w:t>
      </w:r>
    </w:p>
    <w:p w14:paraId="4DD9A067" w14:textId="3B37164D" w:rsidR="00322AA1" w:rsidRPr="009F4026" w:rsidRDefault="00322AA1" w:rsidP="00D60498">
      <w:pPr>
        <w:numPr>
          <w:ilvl w:val="0"/>
          <w:numId w:val="3"/>
        </w:numPr>
        <w:spacing w:after="0" w:line="256" w:lineRule="auto"/>
        <w:contextualSpacing/>
        <w:jc w:val="left"/>
        <w:rPr>
          <w:rFonts w:eastAsia="Aptos" w:cs="Arial"/>
          <w:kern w:val="2"/>
          <w:szCs w:val="24"/>
          <w14:ligatures w14:val="standardContextual"/>
        </w:rPr>
      </w:pPr>
      <w:r w:rsidRPr="009F4026">
        <w:rPr>
          <w:rFonts w:eastAsia="Aptos" w:cs="Arial"/>
          <w:kern w:val="2"/>
          <w:szCs w:val="24"/>
          <w14:ligatures w14:val="standardContextual"/>
        </w:rPr>
        <w:t>Infrastructure Contributions and BNG (£8,</w:t>
      </w:r>
      <w:r w:rsidR="00225D7A" w:rsidRPr="009F4026">
        <w:rPr>
          <w:rFonts w:eastAsia="Aptos" w:cs="Arial"/>
          <w:kern w:val="2"/>
          <w:szCs w:val="24"/>
          <w14:ligatures w14:val="standardContextual"/>
        </w:rPr>
        <w:t>0</w:t>
      </w:r>
      <w:r w:rsidRPr="009F4026">
        <w:rPr>
          <w:rFonts w:eastAsia="Aptos" w:cs="Arial"/>
          <w:kern w:val="2"/>
          <w:szCs w:val="24"/>
          <w14:ligatures w14:val="standardContextual"/>
        </w:rPr>
        <w:t>00 per dwelling allowance)</w:t>
      </w:r>
    </w:p>
    <w:p w14:paraId="30EB649D" w14:textId="76D430D0" w:rsidR="00322AA1" w:rsidRPr="009F4026" w:rsidRDefault="00322AA1" w:rsidP="00D60498">
      <w:pPr>
        <w:numPr>
          <w:ilvl w:val="0"/>
          <w:numId w:val="3"/>
        </w:numPr>
        <w:spacing w:after="0" w:line="256" w:lineRule="auto"/>
        <w:contextualSpacing/>
        <w:jc w:val="left"/>
        <w:rPr>
          <w:rFonts w:eastAsia="Aptos" w:cs="Arial"/>
          <w:kern w:val="2"/>
          <w:szCs w:val="24"/>
          <w14:ligatures w14:val="standardContextual"/>
        </w:rPr>
      </w:pPr>
      <w:r w:rsidRPr="009F4026">
        <w:rPr>
          <w:rFonts w:eastAsia="Aptos" w:cs="Arial"/>
          <w:kern w:val="2"/>
          <w:szCs w:val="24"/>
          <w14:ligatures w14:val="standardContextual"/>
        </w:rPr>
        <w:t>Accessible and Adaptable Dwellings (10% Cat 2)</w:t>
      </w:r>
    </w:p>
    <w:p w14:paraId="517FA2AA" w14:textId="48DE8B33" w:rsidR="00322AA1" w:rsidRPr="009F4026" w:rsidRDefault="00322AA1" w:rsidP="00D60498">
      <w:pPr>
        <w:numPr>
          <w:ilvl w:val="0"/>
          <w:numId w:val="3"/>
        </w:numPr>
        <w:spacing w:after="0" w:line="256" w:lineRule="auto"/>
        <w:contextualSpacing/>
        <w:jc w:val="left"/>
        <w:rPr>
          <w:rFonts w:eastAsia="Aptos" w:cs="Arial"/>
          <w:kern w:val="2"/>
          <w:szCs w:val="24"/>
          <w14:ligatures w14:val="standardContextual"/>
        </w:rPr>
      </w:pPr>
      <w:r w:rsidRPr="009F4026">
        <w:rPr>
          <w:rFonts w:eastAsia="Aptos" w:cs="Arial"/>
          <w:kern w:val="2"/>
          <w:szCs w:val="24"/>
          <w14:ligatures w14:val="standardContextual"/>
        </w:rPr>
        <w:t>Sustainable Construction (Part L Carbon Reduction Building Regulations allowance)</w:t>
      </w:r>
    </w:p>
    <w:p w14:paraId="2890467A" w14:textId="32462F70" w:rsidR="00322AA1" w:rsidRPr="009F4026" w:rsidRDefault="00322AA1" w:rsidP="00D60498">
      <w:pPr>
        <w:numPr>
          <w:ilvl w:val="0"/>
          <w:numId w:val="3"/>
        </w:numPr>
        <w:spacing w:after="0" w:line="256" w:lineRule="auto"/>
        <w:contextualSpacing/>
        <w:jc w:val="left"/>
        <w:rPr>
          <w:rFonts w:eastAsia="Aptos" w:cs="Arial"/>
          <w:kern w:val="2"/>
          <w:szCs w:val="24"/>
          <w14:ligatures w14:val="standardContextual"/>
        </w:rPr>
      </w:pPr>
      <w:r w:rsidRPr="009F4026">
        <w:rPr>
          <w:rFonts w:eastAsia="Aptos" w:cs="Arial"/>
          <w:kern w:val="2"/>
          <w:szCs w:val="24"/>
          <w14:ligatures w14:val="standardContextual"/>
        </w:rPr>
        <w:t>Water Conservation (110 l</w:t>
      </w:r>
      <w:r w:rsidR="009F1595" w:rsidRPr="009F4026">
        <w:rPr>
          <w:rFonts w:eastAsia="Aptos" w:cs="Arial"/>
          <w:kern w:val="2"/>
          <w:szCs w:val="24"/>
          <w14:ligatures w14:val="standardContextual"/>
        </w:rPr>
        <w:t xml:space="preserve">itres </w:t>
      </w:r>
      <w:r w:rsidRPr="009F4026">
        <w:rPr>
          <w:rFonts w:eastAsia="Aptos" w:cs="Arial"/>
          <w:kern w:val="2"/>
          <w:szCs w:val="24"/>
          <w14:ligatures w14:val="standardContextual"/>
        </w:rPr>
        <w:t>p</w:t>
      </w:r>
      <w:r w:rsidR="009F1595" w:rsidRPr="009F4026">
        <w:rPr>
          <w:rFonts w:eastAsia="Aptos" w:cs="Arial"/>
          <w:kern w:val="2"/>
          <w:szCs w:val="24"/>
          <w14:ligatures w14:val="standardContextual"/>
        </w:rPr>
        <w:t xml:space="preserve">er </w:t>
      </w:r>
      <w:r w:rsidRPr="009F4026">
        <w:rPr>
          <w:rFonts w:eastAsia="Aptos" w:cs="Arial"/>
          <w:kern w:val="2"/>
          <w:szCs w:val="24"/>
          <w14:ligatures w14:val="standardContextual"/>
        </w:rPr>
        <w:t>d</w:t>
      </w:r>
      <w:r w:rsidR="009F1595" w:rsidRPr="009F4026">
        <w:rPr>
          <w:rFonts w:eastAsia="Aptos" w:cs="Arial"/>
          <w:kern w:val="2"/>
          <w:szCs w:val="24"/>
          <w14:ligatures w14:val="standardContextual"/>
        </w:rPr>
        <w:t>welling</w:t>
      </w:r>
      <w:r w:rsidRPr="009F4026">
        <w:rPr>
          <w:rFonts w:eastAsia="Aptos" w:cs="Arial"/>
          <w:kern w:val="2"/>
          <w:szCs w:val="24"/>
          <w14:ligatures w14:val="standardContextual"/>
        </w:rPr>
        <w:t>)</w:t>
      </w:r>
    </w:p>
    <w:p w14:paraId="41EC6D51" w14:textId="77777777" w:rsidR="00322AA1" w:rsidRPr="009F4026" w:rsidRDefault="00322AA1" w:rsidP="00322AA1">
      <w:pPr>
        <w:spacing w:after="0" w:line="256" w:lineRule="auto"/>
        <w:ind w:left="720"/>
        <w:contextualSpacing/>
        <w:jc w:val="left"/>
        <w:rPr>
          <w:rFonts w:eastAsia="Aptos" w:cs="Arial"/>
          <w:kern w:val="2"/>
          <w:szCs w:val="24"/>
          <w14:ligatures w14:val="standardContextual"/>
        </w:rPr>
      </w:pPr>
    </w:p>
    <w:p w14:paraId="262AA2B4" w14:textId="0BA58C55" w:rsidR="00322AA1" w:rsidRPr="009F4026" w:rsidRDefault="00D60498" w:rsidP="00D60498">
      <w:pPr>
        <w:spacing w:after="0" w:line="256" w:lineRule="auto"/>
        <w:ind w:left="720" w:hanging="720"/>
        <w:contextualSpacing/>
        <w:jc w:val="left"/>
        <w:rPr>
          <w:rFonts w:eastAsia="Aptos" w:cs="Arial"/>
          <w:kern w:val="2"/>
          <w:szCs w:val="24"/>
          <w14:ligatures w14:val="standardContextual"/>
        </w:rPr>
      </w:pPr>
      <w:r>
        <w:rPr>
          <w:rFonts w:eastAsia="Aptos" w:cs="Arial"/>
          <w:kern w:val="2"/>
          <w:szCs w:val="24"/>
          <w14:ligatures w14:val="standardContextual"/>
        </w:rPr>
        <w:t>12.7.3</w:t>
      </w:r>
      <w:r>
        <w:rPr>
          <w:rFonts w:eastAsia="Aptos" w:cs="Arial"/>
          <w:kern w:val="2"/>
          <w:szCs w:val="24"/>
          <w14:ligatures w14:val="standardContextual"/>
        </w:rPr>
        <w:tab/>
      </w:r>
      <w:r w:rsidR="00322AA1" w:rsidRPr="009F4026">
        <w:rPr>
          <w:rFonts w:eastAsia="Aptos" w:cs="Arial"/>
          <w:kern w:val="2"/>
          <w:szCs w:val="24"/>
          <w14:ligatures w14:val="standardContextual"/>
        </w:rPr>
        <w:t>The assessment results demonstrate that all forms of residential development and key forms of employment development tested are viable and deliverable taking account of the cumulative impacts of the policies proposed by the Plan.</w:t>
      </w:r>
      <w:r w:rsidR="00383A6F" w:rsidRPr="009F4026">
        <w:rPr>
          <w:rFonts w:eastAsia="Aptos" w:cs="Arial"/>
          <w:kern w:val="2"/>
          <w:szCs w:val="24"/>
          <w14:ligatures w14:val="standardContextual"/>
        </w:rPr>
        <w:t xml:space="preserve">  </w:t>
      </w:r>
    </w:p>
    <w:p w14:paraId="3680273F" w14:textId="77777777" w:rsidR="00383A6F" w:rsidRPr="009F4026" w:rsidRDefault="00383A6F" w:rsidP="00322AA1">
      <w:pPr>
        <w:spacing w:after="0" w:line="256" w:lineRule="auto"/>
        <w:contextualSpacing/>
        <w:jc w:val="left"/>
        <w:rPr>
          <w:rFonts w:eastAsia="Aptos" w:cs="Arial"/>
          <w:kern w:val="2"/>
          <w:szCs w:val="24"/>
          <w14:ligatures w14:val="standardContextual"/>
        </w:rPr>
      </w:pPr>
    </w:p>
    <w:p w14:paraId="53210F2D" w14:textId="77777777" w:rsidR="00322AA1" w:rsidRPr="009F4026" w:rsidRDefault="00322AA1" w:rsidP="00222DA2">
      <w:pPr>
        <w:jc w:val="left"/>
        <w:rPr>
          <w:rFonts w:cs="Arial"/>
          <w:szCs w:val="24"/>
        </w:rPr>
      </w:pPr>
    </w:p>
    <w:sectPr w:rsidR="00322AA1" w:rsidRPr="009F4026" w:rsidSect="0091780D">
      <w:footerReference w:type="default" r:id="rId10"/>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60F2C" w14:textId="77777777" w:rsidR="007A1282" w:rsidRDefault="007A1282" w:rsidP="0091780D">
      <w:pPr>
        <w:spacing w:after="0" w:line="240" w:lineRule="auto"/>
      </w:pPr>
      <w:r>
        <w:separator/>
      </w:r>
    </w:p>
  </w:endnote>
  <w:endnote w:type="continuationSeparator" w:id="0">
    <w:p w14:paraId="650AFDBE" w14:textId="77777777" w:rsidR="007A1282" w:rsidRDefault="007A1282" w:rsidP="0091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5681512"/>
      <w:docPartObj>
        <w:docPartGallery w:val="Page Numbers (Bottom of Page)"/>
        <w:docPartUnique/>
      </w:docPartObj>
    </w:sdtPr>
    <w:sdtEndPr>
      <w:rPr>
        <w:color w:val="747474" w:themeColor="background2" w:themeShade="80"/>
        <w:spacing w:val="60"/>
      </w:rPr>
    </w:sdtEndPr>
    <w:sdtContent>
      <w:p w14:paraId="54AC08EF" w14:textId="77777777" w:rsidR="0091780D" w:rsidRDefault="009178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925224">
          <w:rPr>
            <w:color w:val="747474" w:themeColor="background2" w:themeShade="80"/>
            <w:spacing w:val="60"/>
          </w:rPr>
          <w:t>Page</w:t>
        </w:r>
      </w:p>
    </w:sdtContent>
  </w:sdt>
  <w:p w14:paraId="66DF96B5" w14:textId="77777777" w:rsidR="0091780D" w:rsidRDefault="00917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3F296" w14:textId="77777777" w:rsidR="007A1282" w:rsidRDefault="007A1282" w:rsidP="0091780D">
      <w:pPr>
        <w:spacing w:after="0" w:line="240" w:lineRule="auto"/>
      </w:pPr>
      <w:r>
        <w:separator/>
      </w:r>
    </w:p>
  </w:footnote>
  <w:footnote w:type="continuationSeparator" w:id="0">
    <w:p w14:paraId="4D09F371" w14:textId="77777777" w:rsidR="007A1282" w:rsidRDefault="007A1282" w:rsidP="00917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112"/>
    <w:multiLevelType w:val="multilevel"/>
    <w:tmpl w:val="8FE0E9D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FC758C"/>
    <w:multiLevelType w:val="multilevel"/>
    <w:tmpl w:val="7EA6393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21AA23F8"/>
    <w:multiLevelType w:val="hybridMultilevel"/>
    <w:tmpl w:val="16367E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56E6086E"/>
    <w:multiLevelType w:val="multilevel"/>
    <w:tmpl w:val="45368044"/>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5E6575"/>
    <w:multiLevelType w:val="multilevel"/>
    <w:tmpl w:val="0304F3BE"/>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4C6751"/>
    <w:multiLevelType w:val="multilevel"/>
    <w:tmpl w:val="A5A8B63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16cid:durableId="21395089">
    <w:abstractNumId w:val="5"/>
  </w:num>
  <w:num w:numId="2" w16cid:durableId="973678015">
    <w:abstractNumId w:val="1"/>
  </w:num>
  <w:num w:numId="3" w16cid:durableId="1165437934">
    <w:abstractNumId w:val="2"/>
  </w:num>
  <w:num w:numId="4" w16cid:durableId="1083258754">
    <w:abstractNumId w:val="4"/>
  </w:num>
  <w:num w:numId="5" w16cid:durableId="650183999">
    <w:abstractNumId w:val="3"/>
  </w:num>
  <w:num w:numId="6" w16cid:durableId="462120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77B61"/>
    <w:rsid w:val="00091A42"/>
    <w:rsid w:val="000B5A43"/>
    <w:rsid w:val="00114C92"/>
    <w:rsid w:val="00140F60"/>
    <w:rsid w:val="0016145C"/>
    <w:rsid w:val="00174445"/>
    <w:rsid w:val="0017778D"/>
    <w:rsid w:val="00181908"/>
    <w:rsid w:val="001A0894"/>
    <w:rsid w:val="001A4CE8"/>
    <w:rsid w:val="001E2AE3"/>
    <w:rsid w:val="0021519B"/>
    <w:rsid w:val="00216465"/>
    <w:rsid w:val="00220199"/>
    <w:rsid w:val="00222DA2"/>
    <w:rsid w:val="00225D7A"/>
    <w:rsid w:val="00242D66"/>
    <w:rsid w:val="002540F9"/>
    <w:rsid w:val="002653A7"/>
    <w:rsid w:val="002A7077"/>
    <w:rsid w:val="002D176E"/>
    <w:rsid w:val="002E6F34"/>
    <w:rsid w:val="003209F5"/>
    <w:rsid w:val="00322AA1"/>
    <w:rsid w:val="00325C34"/>
    <w:rsid w:val="0033429A"/>
    <w:rsid w:val="003635B3"/>
    <w:rsid w:val="00375DF4"/>
    <w:rsid w:val="00383A6F"/>
    <w:rsid w:val="003906D6"/>
    <w:rsid w:val="003A1825"/>
    <w:rsid w:val="0040756A"/>
    <w:rsid w:val="00413733"/>
    <w:rsid w:val="004725CC"/>
    <w:rsid w:val="004C114A"/>
    <w:rsid w:val="00502071"/>
    <w:rsid w:val="00512776"/>
    <w:rsid w:val="0052113D"/>
    <w:rsid w:val="00550C68"/>
    <w:rsid w:val="005B2FA0"/>
    <w:rsid w:val="005B6E17"/>
    <w:rsid w:val="005C39AE"/>
    <w:rsid w:val="005D2DBE"/>
    <w:rsid w:val="0060384A"/>
    <w:rsid w:val="006048B1"/>
    <w:rsid w:val="00620A8E"/>
    <w:rsid w:val="0064175E"/>
    <w:rsid w:val="00653187"/>
    <w:rsid w:val="006815B3"/>
    <w:rsid w:val="006B4903"/>
    <w:rsid w:val="006C6747"/>
    <w:rsid w:val="006C6FAF"/>
    <w:rsid w:val="006D166E"/>
    <w:rsid w:val="006F3B1C"/>
    <w:rsid w:val="00705455"/>
    <w:rsid w:val="0072401D"/>
    <w:rsid w:val="00725013"/>
    <w:rsid w:val="00733ABD"/>
    <w:rsid w:val="00740085"/>
    <w:rsid w:val="007440E2"/>
    <w:rsid w:val="00757E75"/>
    <w:rsid w:val="007863C9"/>
    <w:rsid w:val="007A1282"/>
    <w:rsid w:val="00841D5E"/>
    <w:rsid w:val="0085327D"/>
    <w:rsid w:val="00861734"/>
    <w:rsid w:val="008655AA"/>
    <w:rsid w:val="008741E7"/>
    <w:rsid w:val="00883D68"/>
    <w:rsid w:val="008919F4"/>
    <w:rsid w:val="00896EAD"/>
    <w:rsid w:val="008B5325"/>
    <w:rsid w:val="008D15FC"/>
    <w:rsid w:val="008F40C9"/>
    <w:rsid w:val="00917078"/>
    <w:rsid w:val="0091780D"/>
    <w:rsid w:val="0092136E"/>
    <w:rsid w:val="00925224"/>
    <w:rsid w:val="00980EBE"/>
    <w:rsid w:val="009B404D"/>
    <w:rsid w:val="009F1595"/>
    <w:rsid w:val="009F4026"/>
    <w:rsid w:val="009F616A"/>
    <w:rsid w:val="009F6578"/>
    <w:rsid w:val="00A2408B"/>
    <w:rsid w:val="00A24818"/>
    <w:rsid w:val="00A31F27"/>
    <w:rsid w:val="00A6070E"/>
    <w:rsid w:val="00A63F06"/>
    <w:rsid w:val="00A6437C"/>
    <w:rsid w:val="00AD5114"/>
    <w:rsid w:val="00AF7AF4"/>
    <w:rsid w:val="00B27084"/>
    <w:rsid w:val="00B370E7"/>
    <w:rsid w:val="00B648AF"/>
    <w:rsid w:val="00B73244"/>
    <w:rsid w:val="00B759E6"/>
    <w:rsid w:val="00B91800"/>
    <w:rsid w:val="00BD4241"/>
    <w:rsid w:val="00BE6B15"/>
    <w:rsid w:val="00BE7015"/>
    <w:rsid w:val="00C07D60"/>
    <w:rsid w:val="00C60813"/>
    <w:rsid w:val="00C85162"/>
    <w:rsid w:val="00CE569C"/>
    <w:rsid w:val="00D54C0F"/>
    <w:rsid w:val="00D60498"/>
    <w:rsid w:val="00D95934"/>
    <w:rsid w:val="00DC1690"/>
    <w:rsid w:val="00DD47B6"/>
    <w:rsid w:val="00DF7C32"/>
    <w:rsid w:val="00E21A8F"/>
    <w:rsid w:val="00E2374A"/>
    <w:rsid w:val="00E61595"/>
    <w:rsid w:val="00ED32C8"/>
    <w:rsid w:val="00F048A5"/>
    <w:rsid w:val="00F0493B"/>
    <w:rsid w:val="00F132F5"/>
    <w:rsid w:val="00F13540"/>
    <w:rsid w:val="00F36129"/>
    <w:rsid w:val="00F37A45"/>
    <w:rsid w:val="00F44426"/>
    <w:rsid w:val="00F60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222DA2"/>
    <w:rPr>
      <w:color w:val="467886" w:themeColor="hyperlink"/>
      <w:u w:val="single"/>
    </w:rPr>
  </w:style>
  <w:style w:type="table" w:styleId="TableGrid">
    <w:name w:val="Table Grid"/>
    <w:basedOn w:val="TableNormal"/>
    <w:uiPriority w:val="39"/>
    <w:rsid w:val="00222D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3D68"/>
    <w:pPr>
      <w:spacing w:after="0" w:line="240" w:lineRule="auto"/>
      <w:jc w:val="left"/>
    </w:pPr>
    <w:rPr>
      <w:rFonts w:ascii="Arial" w:hAnsi="Arial"/>
      <w:kern w:val="0"/>
      <w:sz w:val="24"/>
      <w14:ligatures w14:val="none"/>
    </w:rPr>
  </w:style>
  <w:style w:type="character" w:styleId="CommentReference">
    <w:name w:val="annotation reference"/>
    <w:basedOn w:val="DefaultParagraphFont"/>
    <w:uiPriority w:val="99"/>
    <w:semiHidden/>
    <w:unhideWhenUsed/>
    <w:rsid w:val="00AF7AF4"/>
    <w:rPr>
      <w:sz w:val="16"/>
      <w:szCs w:val="16"/>
    </w:rPr>
  </w:style>
  <w:style w:type="paragraph" w:styleId="CommentText">
    <w:name w:val="annotation text"/>
    <w:basedOn w:val="Normal"/>
    <w:link w:val="CommentTextChar"/>
    <w:uiPriority w:val="99"/>
    <w:unhideWhenUsed/>
    <w:rsid w:val="00AF7AF4"/>
    <w:pPr>
      <w:spacing w:line="240" w:lineRule="auto"/>
    </w:pPr>
    <w:rPr>
      <w:sz w:val="20"/>
      <w:szCs w:val="20"/>
    </w:rPr>
  </w:style>
  <w:style w:type="character" w:customStyle="1" w:styleId="CommentTextChar">
    <w:name w:val="Comment Text Char"/>
    <w:basedOn w:val="DefaultParagraphFont"/>
    <w:link w:val="CommentText"/>
    <w:uiPriority w:val="99"/>
    <w:rsid w:val="00AF7AF4"/>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F7AF4"/>
    <w:rPr>
      <w:b/>
      <w:bCs/>
    </w:rPr>
  </w:style>
  <w:style w:type="character" w:customStyle="1" w:styleId="CommentSubjectChar">
    <w:name w:val="Comment Subject Char"/>
    <w:basedOn w:val="CommentTextChar"/>
    <w:link w:val="CommentSubject"/>
    <w:uiPriority w:val="99"/>
    <w:semiHidden/>
    <w:rsid w:val="00AF7AF4"/>
    <w:rPr>
      <w:rFonts w:ascii="Arial" w:hAnsi="Arial"/>
      <w:b/>
      <w:bCs/>
      <w:kern w:val="0"/>
      <w:sz w:val="20"/>
      <w:szCs w:val="20"/>
      <w14:ligatures w14:val="none"/>
    </w:rPr>
  </w:style>
  <w:style w:type="paragraph" w:styleId="Header">
    <w:name w:val="header"/>
    <w:basedOn w:val="Normal"/>
    <w:link w:val="HeaderChar"/>
    <w:uiPriority w:val="99"/>
    <w:unhideWhenUsed/>
    <w:rsid w:val="009178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780D"/>
    <w:rPr>
      <w:rFonts w:ascii="Arial" w:hAnsi="Arial"/>
      <w:kern w:val="0"/>
      <w:sz w:val="24"/>
      <w14:ligatures w14:val="none"/>
    </w:rPr>
  </w:style>
  <w:style w:type="paragraph" w:styleId="Footer">
    <w:name w:val="footer"/>
    <w:basedOn w:val="Normal"/>
    <w:link w:val="FooterChar"/>
    <w:uiPriority w:val="99"/>
    <w:unhideWhenUsed/>
    <w:rsid w:val="009178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80D"/>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64844">
      <w:bodyDiv w:val="1"/>
      <w:marLeft w:val="0"/>
      <w:marRight w:val="0"/>
      <w:marTop w:val="0"/>
      <w:marBottom w:val="0"/>
      <w:divBdr>
        <w:top w:val="none" w:sz="0" w:space="0" w:color="auto"/>
        <w:left w:val="none" w:sz="0" w:space="0" w:color="auto"/>
        <w:bottom w:val="none" w:sz="0" w:space="0" w:color="auto"/>
        <w:right w:val="none" w:sz="0" w:space="0" w:color="auto"/>
      </w:divBdr>
    </w:div>
    <w:div w:id="549848023">
      <w:bodyDiv w:val="1"/>
      <w:marLeft w:val="0"/>
      <w:marRight w:val="0"/>
      <w:marTop w:val="0"/>
      <w:marBottom w:val="0"/>
      <w:divBdr>
        <w:top w:val="none" w:sz="0" w:space="0" w:color="auto"/>
        <w:left w:val="none" w:sz="0" w:space="0" w:color="auto"/>
        <w:bottom w:val="none" w:sz="0" w:space="0" w:color="auto"/>
        <w:right w:val="none" w:sz="0" w:space="0" w:color="auto"/>
      </w:divBdr>
    </w:div>
    <w:div w:id="679157977">
      <w:bodyDiv w:val="1"/>
      <w:marLeft w:val="0"/>
      <w:marRight w:val="0"/>
      <w:marTop w:val="0"/>
      <w:marBottom w:val="0"/>
      <w:divBdr>
        <w:top w:val="none" w:sz="0" w:space="0" w:color="auto"/>
        <w:left w:val="none" w:sz="0" w:space="0" w:color="auto"/>
        <w:bottom w:val="none" w:sz="0" w:space="0" w:color="auto"/>
        <w:right w:val="none" w:sz="0" w:space="0" w:color="auto"/>
      </w:divBdr>
    </w:div>
    <w:div w:id="766078023">
      <w:bodyDiv w:val="1"/>
      <w:marLeft w:val="0"/>
      <w:marRight w:val="0"/>
      <w:marTop w:val="0"/>
      <w:marBottom w:val="0"/>
      <w:divBdr>
        <w:top w:val="none" w:sz="0" w:space="0" w:color="auto"/>
        <w:left w:val="none" w:sz="0" w:space="0" w:color="auto"/>
        <w:bottom w:val="none" w:sz="0" w:space="0" w:color="auto"/>
        <w:right w:val="none" w:sz="0" w:space="0" w:color="auto"/>
      </w:divBdr>
    </w:div>
    <w:div w:id="904074186">
      <w:bodyDiv w:val="1"/>
      <w:marLeft w:val="0"/>
      <w:marRight w:val="0"/>
      <w:marTop w:val="0"/>
      <w:marBottom w:val="0"/>
      <w:divBdr>
        <w:top w:val="none" w:sz="0" w:space="0" w:color="auto"/>
        <w:left w:val="none" w:sz="0" w:space="0" w:color="auto"/>
        <w:bottom w:val="none" w:sz="0" w:space="0" w:color="auto"/>
        <w:right w:val="none" w:sz="0" w:space="0" w:color="auto"/>
      </w:divBdr>
    </w:div>
    <w:div w:id="1253927541">
      <w:bodyDiv w:val="1"/>
      <w:marLeft w:val="0"/>
      <w:marRight w:val="0"/>
      <w:marTop w:val="0"/>
      <w:marBottom w:val="0"/>
      <w:divBdr>
        <w:top w:val="none" w:sz="0" w:space="0" w:color="auto"/>
        <w:left w:val="none" w:sz="0" w:space="0" w:color="auto"/>
        <w:bottom w:val="none" w:sz="0" w:space="0" w:color="auto"/>
        <w:right w:val="none" w:sz="0" w:space="0" w:color="auto"/>
      </w:divBdr>
    </w:div>
    <w:div w:id="1496336926">
      <w:bodyDiv w:val="1"/>
      <w:marLeft w:val="0"/>
      <w:marRight w:val="0"/>
      <w:marTop w:val="0"/>
      <w:marBottom w:val="0"/>
      <w:divBdr>
        <w:top w:val="none" w:sz="0" w:space="0" w:color="auto"/>
        <w:left w:val="none" w:sz="0" w:space="0" w:color="auto"/>
        <w:bottom w:val="none" w:sz="0" w:space="0" w:color="auto"/>
        <w:right w:val="none" w:sz="0" w:space="0" w:color="auto"/>
      </w:divBdr>
    </w:div>
    <w:div w:id="1594850857">
      <w:bodyDiv w:val="1"/>
      <w:marLeft w:val="0"/>
      <w:marRight w:val="0"/>
      <w:marTop w:val="0"/>
      <w:marBottom w:val="0"/>
      <w:divBdr>
        <w:top w:val="none" w:sz="0" w:space="0" w:color="auto"/>
        <w:left w:val="none" w:sz="0" w:space="0" w:color="auto"/>
        <w:bottom w:val="none" w:sz="0" w:space="0" w:color="auto"/>
        <w:right w:val="none" w:sz="0" w:space="0" w:color="auto"/>
      </w:divBdr>
    </w:div>
    <w:div w:id="1862544275">
      <w:bodyDiv w:val="1"/>
      <w:marLeft w:val="0"/>
      <w:marRight w:val="0"/>
      <w:marTop w:val="0"/>
      <w:marBottom w:val="0"/>
      <w:divBdr>
        <w:top w:val="none" w:sz="0" w:space="0" w:color="auto"/>
        <w:left w:val="none" w:sz="0" w:space="0" w:color="auto"/>
        <w:bottom w:val="none" w:sz="0" w:space="0" w:color="auto"/>
        <w:right w:val="none" w:sz="0" w:space="0" w:color="auto"/>
      </w:divBdr>
    </w:div>
    <w:div w:id="19880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hfield.gov.uk/local-plan-examination/examination-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FD65F-2EEF-42ED-BE97-D469B591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Lisa.Furness</dc:creator>
  <cp:keywords/>
  <dc:description/>
  <cp:lastModifiedBy>Joel.Andrews</cp:lastModifiedBy>
  <cp:revision>5</cp:revision>
  <dcterms:created xsi:type="dcterms:W3CDTF">2024-12-12T12:51:00Z</dcterms:created>
  <dcterms:modified xsi:type="dcterms:W3CDTF">2024-12-13T15:24:00Z</dcterms:modified>
</cp:coreProperties>
</file>