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ED20" w14:textId="749CB7D7" w:rsidR="00733ABD" w:rsidRDefault="007A7C3A" w:rsidP="007A7C3A">
      <w:pPr>
        <w:jc w:val="left"/>
        <w:rPr>
          <w:rStyle w:val="Heading1Char"/>
        </w:rPr>
      </w:pPr>
      <w:r w:rsidRPr="007A7C3A">
        <w:rPr>
          <w:rStyle w:val="Heading1Char"/>
        </w:rPr>
        <w:t xml:space="preserve">Graph </w:t>
      </w:r>
      <w:r w:rsidR="00432577">
        <w:rPr>
          <w:rStyle w:val="Heading1Char"/>
        </w:rPr>
        <w:t>2</w:t>
      </w:r>
      <w:r w:rsidRPr="007A7C3A">
        <w:rPr>
          <w:rStyle w:val="Heading1Char"/>
        </w:rPr>
        <w:t xml:space="preserve"> </w:t>
      </w:r>
      <w:r w:rsidR="00432577">
        <w:rPr>
          <w:rStyle w:val="Heading1Char"/>
        </w:rPr>
        <w:t>–</w:t>
      </w:r>
      <w:r w:rsidRPr="007A7C3A">
        <w:rPr>
          <w:rStyle w:val="Heading1Char"/>
        </w:rPr>
        <w:t xml:space="preserve"> </w:t>
      </w:r>
      <w:r w:rsidR="00432577">
        <w:rPr>
          <w:rStyle w:val="Heading1Char"/>
        </w:rPr>
        <w:t>Stage 2 c</w:t>
      </w:r>
      <w:r w:rsidRPr="007A7C3A">
        <w:rPr>
          <w:rStyle w:val="Heading1Char"/>
        </w:rPr>
        <w:t>omplaints</w:t>
      </w:r>
    </w:p>
    <w:p w14:paraId="0AB58D8D" w14:textId="1DF6EEE3" w:rsidR="00432577" w:rsidRDefault="00432577" w:rsidP="007A7C3A">
      <w:pPr>
        <w:jc w:val="left"/>
      </w:pPr>
      <w:r w:rsidRPr="00A87A99">
        <w:rPr>
          <w:rFonts w:eastAsia="Times New Roman" w:cs="Arial"/>
          <w:b/>
          <w:bCs/>
          <w:noProof/>
          <w:sz w:val="23"/>
          <w:szCs w:val="23"/>
        </w:rPr>
        <w:drawing>
          <wp:inline distT="0" distB="0" distL="0" distR="0" wp14:anchorId="25373596" wp14:editId="5391D00F">
            <wp:extent cx="10146682" cy="4896000"/>
            <wp:effectExtent l="0" t="0" r="6985" b="0"/>
            <wp:docPr id="65537853" name="Picture 4" descr="A bar chart with columns for the stage two complaint volumes and the numbers responded to within complaint handling timescales for 2024-2025, by month.&#10;&#10;Overlaid is a line graph with the average time to respond to stage two complaints throughout 2024-2025. Complaints were responded outside of timescales in April (2), December (1).&#10;&#10;The average time to respond line has reduces towards the middle of the year, then increases towards the end of the financial year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37853" name="Picture 4" descr="A bar chart with columns for the stage two complaint volumes and the numbers responded to within complaint handling timescales for 2024-2025, by month.&#10;&#10;Overlaid is a line graph with the average time to respond to stage two complaints throughout 2024-2025. Complaints were responded outside of timescales in April (2), December (1).&#10;&#10;The average time to respond line has reduces towards the middle of the year, then increases towards the end of the financial year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3" t="9266" b="3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6682" cy="48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1462E0" w14:textId="4DB534EE" w:rsidR="007A7C3A" w:rsidRPr="00A95B59" w:rsidRDefault="007A7C3A" w:rsidP="007A7C3A">
      <w:pPr>
        <w:rPr>
          <w:rFonts w:eastAsia="Times New Roman" w:cs="Arial"/>
          <w:szCs w:val="24"/>
        </w:rPr>
      </w:pPr>
      <w:r w:rsidRPr="00A95B59">
        <w:rPr>
          <w:rFonts w:eastAsia="Times New Roman" w:cs="Arial"/>
          <w:szCs w:val="24"/>
        </w:rPr>
        <w:t>Shown is a b</w:t>
      </w:r>
      <w:r>
        <w:rPr>
          <w:rFonts w:eastAsia="Times New Roman" w:cs="Arial"/>
          <w:szCs w:val="24"/>
        </w:rPr>
        <w:t>ar chart</w:t>
      </w:r>
      <w:r w:rsidRPr="00A95B59">
        <w:rPr>
          <w:rFonts w:eastAsia="Times New Roman" w:cs="Arial"/>
          <w:szCs w:val="24"/>
        </w:rPr>
        <w:t xml:space="preserve"> of the stage one complaints received during</w:t>
      </w:r>
      <w:r>
        <w:rPr>
          <w:rFonts w:eastAsia="Times New Roman" w:cs="Arial"/>
          <w:szCs w:val="24"/>
        </w:rPr>
        <w:t xml:space="preserve"> </w:t>
      </w:r>
      <w:r w:rsidRPr="00A95B59">
        <w:rPr>
          <w:rFonts w:eastAsia="Times New Roman" w:cs="Arial"/>
          <w:szCs w:val="24"/>
        </w:rPr>
        <w:t>2024</w:t>
      </w:r>
      <w:r>
        <w:rPr>
          <w:rFonts w:eastAsia="Times New Roman" w:cs="Arial"/>
          <w:szCs w:val="24"/>
        </w:rPr>
        <w:t xml:space="preserve"> to 20</w:t>
      </w:r>
      <w:r w:rsidRPr="00A95B59">
        <w:rPr>
          <w:rFonts w:eastAsia="Times New Roman" w:cs="Arial"/>
          <w:szCs w:val="24"/>
        </w:rPr>
        <w:t>25</w:t>
      </w:r>
      <w:r>
        <w:rPr>
          <w:rFonts w:eastAsia="Times New Roman" w:cs="Arial"/>
          <w:szCs w:val="24"/>
        </w:rPr>
        <w:t xml:space="preserve"> by month (blue bar),</w:t>
      </w:r>
      <w:r w:rsidRPr="00A95B59"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</w:rPr>
        <w:t xml:space="preserve">number responded (orange bar) to in time </w:t>
      </w:r>
      <w:r w:rsidRPr="00A95B59">
        <w:rPr>
          <w:rFonts w:eastAsia="Times New Roman" w:cs="Arial"/>
          <w:szCs w:val="24"/>
        </w:rPr>
        <w:t>and the average time taken to respond</w:t>
      </w:r>
      <w:r>
        <w:rPr>
          <w:rFonts w:eastAsia="Times New Roman" w:cs="Arial"/>
          <w:szCs w:val="24"/>
        </w:rPr>
        <w:t xml:space="preserve"> shown with an orange dotted line</w:t>
      </w:r>
      <w:r w:rsidRPr="00A95B59">
        <w:rPr>
          <w:rFonts w:eastAsia="Times New Roman" w:cs="Arial"/>
          <w:szCs w:val="24"/>
        </w:rPr>
        <w:t>.</w:t>
      </w:r>
    </w:p>
    <w:p w14:paraId="7F9EFB1C" w14:textId="77777777" w:rsidR="007A7C3A" w:rsidRDefault="007A7C3A"/>
    <w:sectPr w:rsidR="007A7C3A" w:rsidSect="007A7C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3A"/>
    <w:rsid w:val="00432577"/>
    <w:rsid w:val="004667B3"/>
    <w:rsid w:val="004E2CD9"/>
    <w:rsid w:val="00733ABD"/>
    <w:rsid w:val="007A7C3A"/>
    <w:rsid w:val="00BD4241"/>
    <w:rsid w:val="00F5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13A78"/>
  <w15:chartTrackingRefBased/>
  <w15:docId w15:val="{DE03D667-E9E6-445E-B038-D2759E6D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4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C3A"/>
    <w:pPr>
      <w:keepNext/>
      <w:keepLines/>
      <w:spacing w:before="240" w:after="240" w:line="360" w:lineRule="auto"/>
      <w:outlineLvl w:val="0"/>
    </w:pPr>
    <w:rPr>
      <w:rFonts w:eastAsiaTheme="majorEastAsia" w:cstheme="majorBidi"/>
      <w:b/>
      <w:bC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241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241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7A7C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7A7C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7A7C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C3A"/>
    <w:rPr>
      <w:rFonts w:ascii="Arial" w:eastAsiaTheme="majorEastAsia" w:hAnsi="Arial" w:cstheme="majorBidi"/>
      <w:b/>
      <w:bCs/>
      <w:spacing w:val="4"/>
      <w:sz w:val="28"/>
      <w:szCs w:val="28"/>
    </w:rPr>
  </w:style>
  <w:style w:type="paragraph" w:styleId="NoSpacing">
    <w:name w:val="No Spacing"/>
    <w:uiPriority w:val="1"/>
    <w:qFormat/>
    <w:rsid w:val="00BD4241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424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241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41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7A7C3A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C3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C3A"/>
    <w:rPr>
      <w:rFonts w:eastAsiaTheme="majorEastAsia" w:cstheme="majorBidi"/>
      <w:color w:val="272727" w:themeColor="text1" w:themeTint="D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app.powerbi.com/MobileRedirect.html?action=OpenReport&amp;groupObjectId=28e7a3c9-3d56-475c-800b-4054985cf83d&amp;reportObjectId=4b8e38c5-84e4-43e7-9693-d22660411971&amp;ctid=c6606c0c-7b13-42f1-b29f-6a42c066ed19&amp;reportPage=ReportSection&amp;pbi_source=copyvisualim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 2 – Stage 2 complaints</dc:title>
  <dc:subject/>
  <dc:creator>Sharon.Simcox</dc:creator>
  <cp:keywords/>
  <dc:description/>
  <cp:lastModifiedBy>Sharon.Simcox</cp:lastModifiedBy>
  <cp:revision>2</cp:revision>
  <dcterms:created xsi:type="dcterms:W3CDTF">2025-09-18T08:35:00Z</dcterms:created>
  <dcterms:modified xsi:type="dcterms:W3CDTF">2025-09-18T08:35:00Z</dcterms:modified>
</cp:coreProperties>
</file>