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CE356" w14:textId="445A561B" w:rsidR="00E33F9E" w:rsidRDefault="0081098B" w:rsidP="00E33F9E">
      <w:pPr>
        <w:spacing w:after="0"/>
        <w:ind w:right="66"/>
        <w:jc w:val="center"/>
        <w:rPr>
          <w:b/>
        </w:rPr>
      </w:pPr>
      <w:r>
        <w:rPr>
          <w:noProof/>
        </w:rPr>
        <w:drawing>
          <wp:inline distT="0" distB="0" distL="0" distR="0" wp14:anchorId="4B3B0B08" wp14:editId="64CD0148">
            <wp:extent cx="5731510" cy="2367915"/>
            <wp:effectExtent l="0" t="0" r="2540" b="0"/>
            <wp:docPr id="2" name="Picture 2" descr="Ashfield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shfield District Council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367915"/>
                    </a:xfrm>
                    <a:prstGeom prst="rect">
                      <a:avLst/>
                    </a:prstGeom>
                    <a:noFill/>
                    <a:ln>
                      <a:noFill/>
                    </a:ln>
                  </pic:spPr>
                </pic:pic>
              </a:graphicData>
            </a:graphic>
          </wp:inline>
        </w:drawing>
      </w:r>
    </w:p>
    <w:p w14:paraId="5F8D97F7" w14:textId="77777777" w:rsidR="00E33F9E" w:rsidRPr="00E33F9E" w:rsidRDefault="00E33F9E" w:rsidP="00E33F9E">
      <w:pPr>
        <w:pStyle w:val="NoSpacing"/>
        <w:jc w:val="center"/>
        <w:rPr>
          <w:rFonts w:ascii="Arial" w:hAnsi="Arial" w:cs="Arial"/>
          <w:b/>
          <w:sz w:val="48"/>
          <w:szCs w:val="48"/>
        </w:rPr>
      </w:pPr>
    </w:p>
    <w:p w14:paraId="560BB8DE" w14:textId="77777777" w:rsidR="00E33F9E" w:rsidRPr="00E33F9E" w:rsidRDefault="00E33F9E" w:rsidP="00634C6A">
      <w:pPr>
        <w:pStyle w:val="Frontcoverheading1"/>
      </w:pPr>
      <w:r>
        <w:t>LOCAL CODE OF CORPORATE GOVERNANCE</w:t>
      </w:r>
    </w:p>
    <w:p w14:paraId="5453E912" w14:textId="77777777" w:rsidR="00E33F9E" w:rsidRPr="00E33F9E" w:rsidRDefault="00E33F9E" w:rsidP="002B396D"/>
    <w:p w14:paraId="3CEC195F" w14:textId="77777777" w:rsidR="00E33F9E" w:rsidRPr="00E33F9E" w:rsidRDefault="00E33F9E" w:rsidP="002B396D">
      <w:pPr>
        <w:pStyle w:val="Frontcoverheading2"/>
        <w:rPr>
          <w:b/>
        </w:rPr>
      </w:pPr>
      <w:r w:rsidRPr="00E33F9E">
        <w:rPr>
          <w:b/>
        </w:rPr>
        <w:t xml:space="preserve">Director of Legal and Governance </w:t>
      </w:r>
    </w:p>
    <w:p w14:paraId="489617CB" w14:textId="77777777" w:rsidR="00E33F9E" w:rsidRPr="00E33F9E" w:rsidRDefault="00E33F9E" w:rsidP="002B396D">
      <w:pPr>
        <w:pStyle w:val="Frontcoverheading2"/>
        <w:rPr>
          <w:b/>
        </w:rPr>
      </w:pPr>
      <w:r w:rsidRPr="00E33F9E">
        <w:rPr>
          <w:b/>
        </w:rPr>
        <w:t>(Monitoring Officer)</w:t>
      </w:r>
    </w:p>
    <w:p w14:paraId="411BAF1F" w14:textId="77777777" w:rsidR="00E33F9E" w:rsidRPr="00E33F9E" w:rsidRDefault="00E33F9E" w:rsidP="002B396D"/>
    <w:p w14:paraId="5E1A1313" w14:textId="77777777" w:rsidR="00E33F9E" w:rsidRPr="00E33F9E" w:rsidRDefault="00E33F9E" w:rsidP="002B396D">
      <w:pPr>
        <w:pStyle w:val="Frontcoverheading2"/>
        <w:rPr>
          <w:b/>
        </w:rPr>
      </w:pPr>
      <w:r w:rsidRPr="00E33F9E">
        <w:rPr>
          <w:b/>
        </w:rPr>
        <w:t>APPROVED:</w:t>
      </w:r>
    </w:p>
    <w:p w14:paraId="295A9F70" w14:textId="4F1E9C0F" w:rsidR="00E33F9E" w:rsidRPr="00E33F9E" w:rsidRDefault="00E33F9E" w:rsidP="002B396D">
      <w:pPr>
        <w:pStyle w:val="Frontcoverheading2"/>
        <w:rPr>
          <w:b/>
        </w:rPr>
      </w:pPr>
      <w:r w:rsidRPr="00F302B5">
        <w:rPr>
          <w:b/>
        </w:rPr>
        <w:t xml:space="preserve">Audit Committee </w:t>
      </w:r>
      <w:r w:rsidR="008D1312" w:rsidRPr="00F302B5">
        <w:rPr>
          <w:b/>
        </w:rPr>
        <w:t>–</w:t>
      </w:r>
      <w:r w:rsidRPr="00F302B5">
        <w:rPr>
          <w:b/>
        </w:rPr>
        <w:t xml:space="preserve"> </w:t>
      </w:r>
      <w:r w:rsidR="0081098B" w:rsidRPr="009C2828">
        <w:rPr>
          <w:b/>
        </w:rPr>
        <w:t>28 March 2022</w:t>
      </w:r>
    </w:p>
    <w:p w14:paraId="14A355DF" w14:textId="77777777" w:rsidR="00E33F9E" w:rsidRPr="00E33F9E" w:rsidRDefault="00E33F9E" w:rsidP="002B396D"/>
    <w:p w14:paraId="35A734DC" w14:textId="77777777" w:rsidR="00E33F9E" w:rsidRPr="00E33F9E" w:rsidRDefault="00E33F9E" w:rsidP="002B396D">
      <w:pPr>
        <w:pStyle w:val="Frontcoverheading2"/>
        <w:rPr>
          <w:b/>
        </w:rPr>
      </w:pPr>
      <w:r w:rsidRPr="00E33F9E">
        <w:rPr>
          <w:b/>
        </w:rPr>
        <w:t>REVIEW:</w:t>
      </w:r>
    </w:p>
    <w:p w14:paraId="6AA3AECA" w14:textId="7BE1D915" w:rsidR="00E33F9E" w:rsidRPr="00E33F9E" w:rsidRDefault="0081098B" w:rsidP="002B396D">
      <w:pPr>
        <w:pStyle w:val="Frontcoverheading2"/>
        <w:rPr>
          <w:b/>
        </w:rPr>
      </w:pPr>
      <w:r w:rsidRPr="009C2828">
        <w:rPr>
          <w:b/>
        </w:rPr>
        <w:t>March</w:t>
      </w:r>
      <w:r w:rsidR="008D1312" w:rsidRPr="009C2828">
        <w:rPr>
          <w:b/>
        </w:rPr>
        <w:t xml:space="preserve"> 2</w:t>
      </w:r>
      <w:r w:rsidR="001E3FE7" w:rsidRPr="009C2828">
        <w:rPr>
          <w:b/>
        </w:rPr>
        <w:t>02</w:t>
      </w:r>
      <w:r w:rsidRPr="009C2828">
        <w:rPr>
          <w:b/>
        </w:rPr>
        <w:t>3</w:t>
      </w:r>
    </w:p>
    <w:p w14:paraId="4977C226" w14:textId="77777777" w:rsidR="00E33F9E" w:rsidRPr="00E33F9E" w:rsidRDefault="00E33F9E" w:rsidP="00E33F9E">
      <w:pPr>
        <w:pStyle w:val="NoSpacing"/>
        <w:rPr>
          <w:rFonts w:ascii="Arial" w:eastAsia="Times New Roman" w:hAnsi="Arial" w:cs="Arial"/>
          <w:b/>
          <w:sz w:val="18"/>
          <w:szCs w:val="18"/>
          <w:u w:val="single"/>
        </w:rPr>
      </w:pPr>
      <w:r w:rsidRPr="00E33F9E">
        <w:rPr>
          <w:rFonts w:ascii="Arial" w:hAnsi="Arial" w:cs="Arial"/>
          <w:b/>
          <w:sz w:val="18"/>
          <w:szCs w:val="18"/>
          <w:u w:val="single"/>
        </w:rPr>
        <w:t>Version Control</w:t>
      </w:r>
    </w:p>
    <w:p w14:paraId="125FFD8E" w14:textId="77777777" w:rsidR="00E33F9E" w:rsidRPr="00E33F9E" w:rsidRDefault="00E33F9E" w:rsidP="00E33F9E">
      <w:pPr>
        <w:pStyle w:val="NoSpacing"/>
        <w:rPr>
          <w:rFonts w:ascii="Arial" w:eastAsia="Arial" w:hAnsi="Arial" w:cs="Arial"/>
          <w:b/>
          <w:color w:val="000000"/>
          <w:sz w:val="18"/>
          <w:szCs w:val="18"/>
          <w:u w:val="single"/>
        </w:rPr>
      </w:pPr>
    </w:p>
    <w:tbl>
      <w:tblPr>
        <w:tblStyle w:val="TableGrid4"/>
        <w:tblW w:w="0" w:type="auto"/>
        <w:tblLook w:val="0020" w:firstRow="1" w:lastRow="0" w:firstColumn="0" w:lastColumn="0" w:noHBand="0" w:noVBand="0"/>
      </w:tblPr>
      <w:tblGrid>
        <w:gridCol w:w="2943"/>
        <w:gridCol w:w="1843"/>
      </w:tblGrid>
      <w:tr w:rsidR="00E33F9E" w:rsidRPr="00E33F9E" w14:paraId="354369ED" w14:textId="77777777" w:rsidTr="00903202">
        <w:tc>
          <w:tcPr>
            <w:tcW w:w="2943" w:type="dxa"/>
            <w:hideMark/>
          </w:tcPr>
          <w:p w14:paraId="078EEA96" w14:textId="77777777" w:rsidR="00E33F9E" w:rsidRPr="00E33F9E" w:rsidRDefault="00E33F9E" w:rsidP="00E33F9E">
            <w:pPr>
              <w:pStyle w:val="NoSpacing"/>
              <w:rPr>
                <w:rFonts w:ascii="Arial" w:hAnsi="Arial" w:cs="Arial"/>
                <w:b/>
                <w:sz w:val="18"/>
                <w:szCs w:val="18"/>
              </w:rPr>
            </w:pPr>
            <w:r w:rsidRPr="00E33F9E">
              <w:rPr>
                <w:rFonts w:ascii="Arial" w:hAnsi="Arial" w:cs="Arial"/>
                <w:b/>
                <w:sz w:val="18"/>
                <w:szCs w:val="18"/>
              </w:rPr>
              <w:t>Version Number</w:t>
            </w:r>
          </w:p>
        </w:tc>
        <w:tc>
          <w:tcPr>
            <w:tcW w:w="1843" w:type="dxa"/>
            <w:hideMark/>
          </w:tcPr>
          <w:p w14:paraId="10CA203C" w14:textId="77777777" w:rsidR="00E33F9E" w:rsidRPr="00E33F9E" w:rsidRDefault="00E33F9E" w:rsidP="00E33F9E">
            <w:pPr>
              <w:pStyle w:val="NoSpacing"/>
              <w:rPr>
                <w:rFonts w:ascii="Arial" w:hAnsi="Arial" w:cs="Arial"/>
                <w:b/>
                <w:sz w:val="18"/>
                <w:szCs w:val="18"/>
              </w:rPr>
            </w:pPr>
            <w:r w:rsidRPr="00E33F9E">
              <w:rPr>
                <w:rFonts w:ascii="Arial" w:hAnsi="Arial" w:cs="Arial"/>
                <w:b/>
                <w:sz w:val="18"/>
                <w:szCs w:val="18"/>
              </w:rPr>
              <w:t>Date Issued</w:t>
            </w:r>
          </w:p>
        </w:tc>
      </w:tr>
      <w:tr w:rsidR="00E33F9E" w:rsidRPr="00E33F9E" w14:paraId="79C194D3" w14:textId="77777777" w:rsidTr="00903202">
        <w:tc>
          <w:tcPr>
            <w:tcW w:w="2943" w:type="dxa"/>
            <w:hideMark/>
          </w:tcPr>
          <w:p w14:paraId="7643718D" w14:textId="77777777" w:rsidR="00E33F9E" w:rsidRPr="00E33F9E" w:rsidRDefault="00E33F9E" w:rsidP="00E33F9E">
            <w:pPr>
              <w:pStyle w:val="NoSpacing"/>
              <w:rPr>
                <w:rFonts w:ascii="Arial" w:hAnsi="Arial" w:cs="Arial"/>
                <w:sz w:val="18"/>
                <w:szCs w:val="18"/>
              </w:rPr>
            </w:pPr>
            <w:r w:rsidRPr="00E33F9E">
              <w:rPr>
                <w:rFonts w:ascii="Arial" w:hAnsi="Arial" w:cs="Arial"/>
                <w:sz w:val="18"/>
                <w:szCs w:val="18"/>
              </w:rPr>
              <w:t xml:space="preserve">Original </w:t>
            </w:r>
          </w:p>
        </w:tc>
        <w:tc>
          <w:tcPr>
            <w:tcW w:w="1843" w:type="dxa"/>
            <w:hideMark/>
          </w:tcPr>
          <w:p w14:paraId="146820DE" w14:textId="77777777" w:rsidR="00E33F9E" w:rsidRPr="00E33F9E" w:rsidRDefault="00E33F9E" w:rsidP="00E33F9E">
            <w:pPr>
              <w:pStyle w:val="NoSpacing"/>
              <w:rPr>
                <w:rFonts w:ascii="Arial" w:hAnsi="Arial" w:cs="Arial"/>
                <w:sz w:val="18"/>
                <w:szCs w:val="18"/>
              </w:rPr>
            </w:pPr>
            <w:r>
              <w:rPr>
                <w:rFonts w:ascii="Arial" w:hAnsi="Arial" w:cs="Arial"/>
                <w:sz w:val="18"/>
                <w:szCs w:val="18"/>
              </w:rPr>
              <w:t>November 2017</w:t>
            </w:r>
          </w:p>
        </w:tc>
      </w:tr>
      <w:tr w:rsidR="00E33F9E" w:rsidRPr="00E33F9E" w14:paraId="47162B0B" w14:textId="77777777" w:rsidTr="00903202">
        <w:tc>
          <w:tcPr>
            <w:tcW w:w="2943" w:type="dxa"/>
          </w:tcPr>
          <w:p w14:paraId="12775AFE" w14:textId="77777777" w:rsidR="00E33F9E" w:rsidRPr="00F302B5" w:rsidRDefault="008D1312" w:rsidP="00E33F9E">
            <w:pPr>
              <w:pStyle w:val="NoSpacing"/>
              <w:rPr>
                <w:rFonts w:ascii="Arial" w:hAnsi="Arial" w:cs="Arial"/>
                <w:sz w:val="18"/>
                <w:szCs w:val="18"/>
              </w:rPr>
            </w:pPr>
            <w:r w:rsidRPr="00F302B5">
              <w:rPr>
                <w:rFonts w:ascii="Arial" w:hAnsi="Arial" w:cs="Arial"/>
                <w:sz w:val="18"/>
                <w:szCs w:val="18"/>
              </w:rPr>
              <w:t>V2</w:t>
            </w:r>
          </w:p>
        </w:tc>
        <w:tc>
          <w:tcPr>
            <w:tcW w:w="1843" w:type="dxa"/>
          </w:tcPr>
          <w:p w14:paraId="07EA6AF7" w14:textId="77777777" w:rsidR="00E33F9E" w:rsidRPr="00F302B5" w:rsidRDefault="008D1312" w:rsidP="00E33F9E">
            <w:pPr>
              <w:pStyle w:val="NoSpacing"/>
              <w:rPr>
                <w:rFonts w:ascii="Arial" w:hAnsi="Arial" w:cs="Arial"/>
                <w:sz w:val="18"/>
                <w:szCs w:val="18"/>
              </w:rPr>
            </w:pPr>
            <w:r w:rsidRPr="00F302B5">
              <w:rPr>
                <w:rFonts w:ascii="Arial" w:hAnsi="Arial" w:cs="Arial"/>
                <w:sz w:val="18"/>
                <w:szCs w:val="18"/>
              </w:rPr>
              <w:t>December 2018</w:t>
            </w:r>
          </w:p>
        </w:tc>
      </w:tr>
      <w:tr w:rsidR="00E33F9E" w:rsidRPr="00E33F9E" w14:paraId="49A58B50" w14:textId="77777777" w:rsidTr="00903202">
        <w:tc>
          <w:tcPr>
            <w:tcW w:w="2943" w:type="dxa"/>
          </w:tcPr>
          <w:p w14:paraId="387E305E" w14:textId="77777777" w:rsidR="00E33F9E" w:rsidRPr="00E33F9E" w:rsidRDefault="001E3FE7" w:rsidP="00E33F9E">
            <w:pPr>
              <w:pStyle w:val="NoSpacing"/>
              <w:rPr>
                <w:rFonts w:ascii="Arial" w:hAnsi="Arial" w:cs="Arial"/>
                <w:sz w:val="18"/>
                <w:szCs w:val="18"/>
              </w:rPr>
            </w:pPr>
            <w:r>
              <w:rPr>
                <w:rFonts w:ascii="Arial" w:hAnsi="Arial" w:cs="Arial"/>
                <w:sz w:val="18"/>
                <w:szCs w:val="18"/>
              </w:rPr>
              <w:t xml:space="preserve">Revised v3 </w:t>
            </w:r>
          </w:p>
        </w:tc>
        <w:tc>
          <w:tcPr>
            <w:tcW w:w="1843" w:type="dxa"/>
          </w:tcPr>
          <w:p w14:paraId="5C126B26" w14:textId="77777777" w:rsidR="00E33F9E" w:rsidRPr="00E33F9E" w:rsidRDefault="001E3FE7" w:rsidP="00E33F9E">
            <w:pPr>
              <w:pStyle w:val="NoSpacing"/>
              <w:rPr>
                <w:rFonts w:ascii="Arial" w:hAnsi="Arial" w:cs="Arial"/>
                <w:sz w:val="18"/>
                <w:szCs w:val="18"/>
              </w:rPr>
            </w:pPr>
            <w:r>
              <w:rPr>
                <w:rFonts w:ascii="Arial" w:hAnsi="Arial" w:cs="Arial"/>
                <w:sz w:val="18"/>
                <w:szCs w:val="18"/>
              </w:rPr>
              <w:t>February 2020</w:t>
            </w:r>
          </w:p>
        </w:tc>
      </w:tr>
      <w:tr w:rsidR="00E33F9E" w:rsidRPr="00E33F9E" w14:paraId="41B0D14E" w14:textId="77777777" w:rsidTr="00903202">
        <w:tc>
          <w:tcPr>
            <w:tcW w:w="2943" w:type="dxa"/>
          </w:tcPr>
          <w:p w14:paraId="6EDE553A" w14:textId="1C78F41F" w:rsidR="00E33F9E" w:rsidRPr="009C2828" w:rsidRDefault="0081098B" w:rsidP="00E33F9E">
            <w:pPr>
              <w:pStyle w:val="NoSpacing"/>
              <w:rPr>
                <w:rFonts w:ascii="Arial" w:hAnsi="Arial" w:cs="Arial"/>
                <w:sz w:val="18"/>
                <w:szCs w:val="18"/>
              </w:rPr>
            </w:pPr>
            <w:r w:rsidRPr="009C2828">
              <w:rPr>
                <w:rFonts w:ascii="Arial" w:hAnsi="Arial" w:cs="Arial"/>
                <w:sz w:val="18"/>
                <w:szCs w:val="18"/>
              </w:rPr>
              <w:t>Reviewed (no changes)</w:t>
            </w:r>
          </w:p>
        </w:tc>
        <w:tc>
          <w:tcPr>
            <w:tcW w:w="1843" w:type="dxa"/>
          </w:tcPr>
          <w:p w14:paraId="627871C1" w14:textId="44C06B6C" w:rsidR="00E33F9E" w:rsidRPr="009C2828" w:rsidRDefault="0081098B" w:rsidP="00E33F9E">
            <w:pPr>
              <w:pStyle w:val="NoSpacing"/>
              <w:rPr>
                <w:rFonts w:ascii="Arial" w:hAnsi="Arial" w:cs="Arial"/>
                <w:sz w:val="18"/>
                <w:szCs w:val="18"/>
              </w:rPr>
            </w:pPr>
            <w:r w:rsidRPr="009C2828">
              <w:rPr>
                <w:rFonts w:ascii="Arial" w:hAnsi="Arial" w:cs="Arial"/>
                <w:sz w:val="18"/>
                <w:szCs w:val="18"/>
              </w:rPr>
              <w:t>March 2021</w:t>
            </w:r>
          </w:p>
        </w:tc>
      </w:tr>
      <w:tr w:rsidR="0081098B" w:rsidRPr="00E33F9E" w14:paraId="2D069B14" w14:textId="77777777" w:rsidTr="00903202">
        <w:trPr>
          <w:trHeight w:val="58"/>
        </w:trPr>
        <w:tc>
          <w:tcPr>
            <w:tcW w:w="2943" w:type="dxa"/>
          </w:tcPr>
          <w:p w14:paraId="59247BB8" w14:textId="27E335B9" w:rsidR="0081098B" w:rsidRPr="009C2828" w:rsidRDefault="0081098B" w:rsidP="00E33F9E">
            <w:pPr>
              <w:pStyle w:val="NoSpacing"/>
              <w:rPr>
                <w:rFonts w:ascii="Arial" w:hAnsi="Arial" w:cs="Arial"/>
                <w:sz w:val="18"/>
                <w:szCs w:val="18"/>
              </w:rPr>
            </w:pPr>
            <w:r w:rsidRPr="009C2828">
              <w:rPr>
                <w:rFonts w:ascii="Arial" w:hAnsi="Arial" w:cs="Arial"/>
                <w:sz w:val="18"/>
                <w:szCs w:val="18"/>
              </w:rPr>
              <w:t>Revised v4</w:t>
            </w:r>
          </w:p>
        </w:tc>
        <w:tc>
          <w:tcPr>
            <w:tcW w:w="1843" w:type="dxa"/>
          </w:tcPr>
          <w:p w14:paraId="67AB2DBD" w14:textId="56A94BC2" w:rsidR="0081098B" w:rsidRPr="009C2828" w:rsidRDefault="0081098B" w:rsidP="00E33F9E">
            <w:pPr>
              <w:pStyle w:val="NoSpacing"/>
              <w:rPr>
                <w:rFonts w:ascii="Arial" w:hAnsi="Arial" w:cs="Arial"/>
                <w:sz w:val="18"/>
                <w:szCs w:val="18"/>
              </w:rPr>
            </w:pPr>
            <w:r w:rsidRPr="009C2828">
              <w:rPr>
                <w:rFonts w:ascii="Arial" w:hAnsi="Arial" w:cs="Arial"/>
                <w:sz w:val="18"/>
                <w:szCs w:val="18"/>
              </w:rPr>
              <w:t>March 2022</w:t>
            </w:r>
          </w:p>
        </w:tc>
      </w:tr>
    </w:tbl>
    <w:p w14:paraId="375A6F29" w14:textId="77777777" w:rsidR="00B01105" w:rsidRDefault="00B01105" w:rsidP="00E33F9E">
      <w:pPr>
        <w:spacing w:line="259" w:lineRule="auto"/>
        <w:rPr>
          <w:rFonts w:cs="Arial"/>
          <w:b/>
          <w:sz w:val="44"/>
          <w:szCs w:val="44"/>
        </w:rPr>
      </w:pPr>
      <w:r>
        <w:rPr>
          <w:rFonts w:cs="Arial"/>
          <w:b/>
          <w:sz w:val="44"/>
          <w:szCs w:val="44"/>
        </w:rPr>
        <w:br w:type="page"/>
      </w:r>
    </w:p>
    <w:p w14:paraId="236738DC" w14:textId="77777777" w:rsidR="00B01105" w:rsidRDefault="00B01105" w:rsidP="00760C76">
      <w:pPr>
        <w:pStyle w:val="Heading2"/>
        <w:rPr>
          <w:b w:val="0"/>
        </w:rPr>
      </w:pPr>
      <w:r w:rsidRPr="00E33F9E">
        <w:lastRenderedPageBreak/>
        <w:t>Introduction</w:t>
      </w:r>
    </w:p>
    <w:p w14:paraId="49FD15E8" w14:textId="77777777" w:rsidR="00E33F9E" w:rsidRPr="00E33F9E" w:rsidRDefault="00E33F9E" w:rsidP="00E33F9E">
      <w:pPr>
        <w:pStyle w:val="NoSpacing"/>
        <w:rPr>
          <w:rFonts w:ascii="Arial" w:hAnsi="Arial" w:cs="Arial"/>
          <w:b/>
          <w:sz w:val="24"/>
          <w:szCs w:val="24"/>
        </w:rPr>
      </w:pPr>
    </w:p>
    <w:p w14:paraId="0D3E31C9" w14:textId="77777777" w:rsidR="00B01105" w:rsidRDefault="00D5325B" w:rsidP="00E33F9E">
      <w:pPr>
        <w:pStyle w:val="NoSpacing"/>
        <w:rPr>
          <w:rFonts w:ascii="Arial" w:hAnsi="Arial" w:cs="Arial"/>
          <w:sz w:val="24"/>
          <w:szCs w:val="24"/>
        </w:rPr>
      </w:pPr>
      <w:r w:rsidRPr="00E33F9E">
        <w:rPr>
          <w:rFonts w:ascii="Arial" w:hAnsi="Arial" w:cs="Arial"/>
          <w:sz w:val="24"/>
          <w:szCs w:val="24"/>
        </w:rPr>
        <w:t>Governance</w:t>
      </w:r>
      <w:r w:rsidR="00DF4986" w:rsidRPr="00E33F9E">
        <w:rPr>
          <w:rFonts w:ascii="Arial" w:hAnsi="Arial" w:cs="Arial"/>
          <w:sz w:val="24"/>
          <w:szCs w:val="24"/>
        </w:rPr>
        <w:t xml:space="preserve"> ensures organisations </w:t>
      </w:r>
      <w:r w:rsidRPr="00E33F9E">
        <w:rPr>
          <w:rFonts w:ascii="Arial" w:hAnsi="Arial" w:cs="Arial"/>
          <w:sz w:val="24"/>
          <w:szCs w:val="24"/>
        </w:rPr>
        <w:t xml:space="preserve">are doing the right things in the correct manner in an open, honest, </w:t>
      </w:r>
      <w:proofErr w:type="gramStart"/>
      <w:r w:rsidRPr="00E33F9E">
        <w:rPr>
          <w:rFonts w:ascii="Arial" w:hAnsi="Arial" w:cs="Arial"/>
          <w:sz w:val="24"/>
          <w:szCs w:val="24"/>
        </w:rPr>
        <w:t>i</w:t>
      </w:r>
      <w:r w:rsidR="00F36901" w:rsidRPr="00E33F9E">
        <w:rPr>
          <w:rFonts w:ascii="Arial" w:hAnsi="Arial" w:cs="Arial"/>
          <w:sz w:val="24"/>
          <w:szCs w:val="24"/>
        </w:rPr>
        <w:t>nclusive</w:t>
      </w:r>
      <w:proofErr w:type="gramEnd"/>
      <w:r w:rsidR="00F36901" w:rsidRPr="00E33F9E">
        <w:rPr>
          <w:rFonts w:ascii="Arial" w:hAnsi="Arial" w:cs="Arial"/>
          <w:sz w:val="24"/>
          <w:szCs w:val="24"/>
        </w:rPr>
        <w:t xml:space="preserve"> and accountable way. </w:t>
      </w:r>
      <w:r w:rsidRPr="00E33F9E">
        <w:rPr>
          <w:rFonts w:ascii="Arial" w:hAnsi="Arial" w:cs="Arial"/>
          <w:sz w:val="24"/>
          <w:szCs w:val="24"/>
        </w:rPr>
        <w:t xml:space="preserve">Good governance leads to good management, </w:t>
      </w:r>
      <w:proofErr w:type="gramStart"/>
      <w:r w:rsidRPr="00E33F9E">
        <w:rPr>
          <w:rFonts w:ascii="Arial" w:hAnsi="Arial" w:cs="Arial"/>
          <w:sz w:val="24"/>
          <w:szCs w:val="24"/>
        </w:rPr>
        <w:t>performance</w:t>
      </w:r>
      <w:proofErr w:type="gramEnd"/>
      <w:r w:rsidRPr="00E33F9E">
        <w:rPr>
          <w:rFonts w:ascii="Arial" w:hAnsi="Arial" w:cs="Arial"/>
          <w:sz w:val="24"/>
          <w:szCs w:val="24"/>
        </w:rPr>
        <w:t xml:space="preserve"> and outcomes. It ensures th</w:t>
      </w:r>
      <w:r w:rsidR="00DF4986" w:rsidRPr="00E33F9E">
        <w:rPr>
          <w:rFonts w:ascii="Arial" w:hAnsi="Arial" w:cs="Arial"/>
          <w:sz w:val="24"/>
          <w:szCs w:val="24"/>
        </w:rPr>
        <w:t>e Counc</w:t>
      </w:r>
      <w:r w:rsidR="005168CD" w:rsidRPr="00E33F9E">
        <w:rPr>
          <w:rFonts w:ascii="Arial" w:hAnsi="Arial" w:cs="Arial"/>
          <w:sz w:val="24"/>
          <w:szCs w:val="24"/>
        </w:rPr>
        <w:t>il delivers the visions and priorities</w:t>
      </w:r>
      <w:r w:rsidR="00DF4986" w:rsidRPr="00E33F9E">
        <w:rPr>
          <w:rFonts w:ascii="Arial" w:hAnsi="Arial" w:cs="Arial"/>
          <w:sz w:val="24"/>
          <w:szCs w:val="24"/>
        </w:rPr>
        <w:t xml:space="preserve"> set out in its Corporate Plan.</w:t>
      </w:r>
    </w:p>
    <w:p w14:paraId="2608B0F5" w14:textId="77777777" w:rsidR="00E33F9E" w:rsidRPr="00E33F9E" w:rsidRDefault="00E33F9E" w:rsidP="00E33F9E">
      <w:pPr>
        <w:pStyle w:val="NoSpacing"/>
        <w:rPr>
          <w:rFonts w:ascii="Arial" w:hAnsi="Arial" w:cs="Arial"/>
          <w:sz w:val="24"/>
          <w:szCs w:val="24"/>
        </w:rPr>
      </w:pPr>
    </w:p>
    <w:p w14:paraId="36795EAD" w14:textId="77777777" w:rsidR="00F36901" w:rsidRDefault="00F36901" w:rsidP="00E33F9E">
      <w:pPr>
        <w:pStyle w:val="NoSpacing"/>
        <w:rPr>
          <w:rFonts w:ascii="Arial" w:hAnsi="Arial" w:cs="Arial"/>
          <w:sz w:val="24"/>
          <w:szCs w:val="24"/>
        </w:rPr>
      </w:pPr>
      <w:r w:rsidRPr="00E33F9E">
        <w:rPr>
          <w:rFonts w:ascii="Arial" w:hAnsi="Arial" w:cs="Arial"/>
          <w:sz w:val="24"/>
          <w:szCs w:val="24"/>
        </w:rPr>
        <w:t>Corporate governance is part of the overall control framework and contributes to the Council’s robust governance arrangements.</w:t>
      </w:r>
    </w:p>
    <w:p w14:paraId="6931EB1C" w14:textId="77777777" w:rsidR="00E33F9E" w:rsidRPr="00E33F9E" w:rsidRDefault="00E33F9E" w:rsidP="00E33F9E">
      <w:pPr>
        <w:pStyle w:val="NoSpacing"/>
        <w:rPr>
          <w:rFonts w:ascii="Arial" w:hAnsi="Arial" w:cs="Arial"/>
          <w:sz w:val="24"/>
          <w:szCs w:val="24"/>
        </w:rPr>
      </w:pPr>
    </w:p>
    <w:p w14:paraId="3B159053" w14:textId="77777777" w:rsidR="00D5325B" w:rsidRDefault="00D5325B" w:rsidP="00E33F9E">
      <w:pPr>
        <w:pStyle w:val="NoSpacing"/>
        <w:rPr>
          <w:rFonts w:ascii="Arial" w:hAnsi="Arial" w:cs="Arial"/>
          <w:sz w:val="24"/>
          <w:szCs w:val="24"/>
        </w:rPr>
      </w:pPr>
      <w:r w:rsidRPr="00E33F9E">
        <w:rPr>
          <w:rFonts w:ascii="Arial" w:hAnsi="Arial" w:cs="Arial"/>
          <w:sz w:val="24"/>
          <w:szCs w:val="24"/>
        </w:rPr>
        <w:t xml:space="preserve">Ashfield District Council </w:t>
      </w:r>
      <w:r w:rsidR="00F36901" w:rsidRPr="00E33F9E">
        <w:rPr>
          <w:rFonts w:ascii="Arial" w:hAnsi="Arial" w:cs="Arial"/>
          <w:sz w:val="24"/>
          <w:szCs w:val="24"/>
        </w:rPr>
        <w:t xml:space="preserve">is committed to good corporate governance. The Council </w:t>
      </w:r>
      <w:r w:rsidRPr="00E33F9E">
        <w:rPr>
          <w:rFonts w:ascii="Arial" w:hAnsi="Arial" w:cs="Arial"/>
          <w:sz w:val="24"/>
          <w:szCs w:val="24"/>
        </w:rPr>
        <w:t>has a framework of policies and procedures in place which collectively make up its governance arrangements. This Local Code of Corporate Governance sets out the Council’s arrangements and is based on the guidance “</w:t>
      </w:r>
      <w:r w:rsidRPr="00F64782">
        <w:rPr>
          <w:rFonts w:ascii="Arial" w:hAnsi="Arial" w:cs="Arial"/>
          <w:i/>
          <w:sz w:val="24"/>
          <w:szCs w:val="24"/>
        </w:rPr>
        <w:t>Delivering Good Governance in Local Government</w:t>
      </w:r>
      <w:r w:rsidRPr="00E33F9E">
        <w:rPr>
          <w:rFonts w:ascii="Arial" w:hAnsi="Arial" w:cs="Arial"/>
          <w:sz w:val="24"/>
          <w:szCs w:val="24"/>
        </w:rPr>
        <w:t xml:space="preserve">” published by CIPFA (the Chartered Institute of Public Finance and Accountancy) </w:t>
      </w:r>
      <w:r w:rsidR="00DF4986" w:rsidRPr="00E33F9E">
        <w:rPr>
          <w:rFonts w:ascii="Arial" w:hAnsi="Arial" w:cs="Arial"/>
          <w:sz w:val="24"/>
          <w:szCs w:val="24"/>
        </w:rPr>
        <w:t xml:space="preserve">and SOLACE (the Society of Local Authority Chief Executives) in 2016. </w:t>
      </w:r>
    </w:p>
    <w:p w14:paraId="454EA35B" w14:textId="77777777" w:rsidR="00E33F9E" w:rsidRPr="00E33F9E" w:rsidRDefault="00E33F9E" w:rsidP="00E33F9E">
      <w:pPr>
        <w:pStyle w:val="NoSpacing"/>
        <w:rPr>
          <w:rFonts w:ascii="Arial" w:hAnsi="Arial" w:cs="Arial"/>
          <w:sz w:val="24"/>
          <w:szCs w:val="24"/>
        </w:rPr>
      </w:pPr>
    </w:p>
    <w:p w14:paraId="74DDC6C7" w14:textId="77777777" w:rsidR="00DF4986" w:rsidRDefault="00DF4986" w:rsidP="00E33F9E">
      <w:pPr>
        <w:pStyle w:val="NoSpacing"/>
        <w:rPr>
          <w:rFonts w:ascii="Arial" w:hAnsi="Arial" w:cs="Arial"/>
          <w:sz w:val="24"/>
          <w:szCs w:val="24"/>
        </w:rPr>
      </w:pPr>
      <w:r w:rsidRPr="00E33F9E">
        <w:rPr>
          <w:rFonts w:ascii="Arial" w:hAnsi="Arial" w:cs="Arial"/>
          <w:sz w:val="24"/>
          <w:szCs w:val="24"/>
        </w:rPr>
        <w:t>The Guidance assumes that each Council will develop its own approach to governance, ensuring its resources are directed to its individual priorities and in accordance with it</w:t>
      </w:r>
      <w:r w:rsidR="00D509FC" w:rsidRPr="00E33F9E">
        <w:rPr>
          <w:rFonts w:ascii="Arial" w:hAnsi="Arial" w:cs="Arial"/>
          <w:sz w:val="24"/>
          <w:szCs w:val="24"/>
        </w:rPr>
        <w:t>s own policies.</w:t>
      </w:r>
    </w:p>
    <w:p w14:paraId="7B1FAFA2" w14:textId="77777777" w:rsidR="00E33F9E" w:rsidRPr="00E33F9E" w:rsidRDefault="00E33F9E" w:rsidP="00E33F9E">
      <w:pPr>
        <w:pStyle w:val="NoSpacing"/>
        <w:rPr>
          <w:rFonts w:ascii="Arial" w:hAnsi="Arial" w:cs="Arial"/>
          <w:sz w:val="24"/>
          <w:szCs w:val="24"/>
        </w:rPr>
      </w:pPr>
    </w:p>
    <w:p w14:paraId="09A1D70F" w14:textId="77777777" w:rsidR="006A1029" w:rsidRPr="00E33F9E" w:rsidRDefault="00D509FC" w:rsidP="00E33F9E">
      <w:pPr>
        <w:pStyle w:val="NoSpacing"/>
        <w:rPr>
          <w:rFonts w:ascii="Arial" w:hAnsi="Arial" w:cs="Arial"/>
          <w:sz w:val="24"/>
          <w:szCs w:val="24"/>
        </w:rPr>
      </w:pPr>
      <w:r w:rsidRPr="00E33F9E">
        <w:rPr>
          <w:rFonts w:ascii="Arial" w:hAnsi="Arial" w:cs="Arial"/>
          <w:sz w:val="24"/>
          <w:szCs w:val="24"/>
        </w:rPr>
        <w:t xml:space="preserve">The fundamental principles of corporate governance are openness, inclusivity, </w:t>
      </w:r>
      <w:proofErr w:type="gramStart"/>
      <w:r w:rsidRPr="00E33F9E">
        <w:rPr>
          <w:rFonts w:ascii="Arial" w:hAnsi="Arial" w:cs="Arial"/>
          <w:sz w:val="24"/>
          <w:szCs w:val="24"/>
        </w:rPr>
        <w:t>integrity</w:t>
      </w:r>
      <w:proofErr w:type="gramEnd"/>
      <w:r w:rsidRPr="00E33F9E">
        <w:rPr>
          <w:rFonts w:ascii="Arial" w:hAnsi="Arial" w:cs="Arial"/>
          <w:sz w:val="24"/>
          <w:szCs w:val="24"/>
        </w:rPr>
        <w:t xml:space="preserve"> and accountability. The CIPFA/SOLACE guidance identifies seven core principles and various sub principles; t</w:t>
      </w:r>
      <w:r w:rsidR="006A1029" w:rsidRPr="00E33F9E">
        <w:rPr>
          <w:rFonts w:ascii="Arial" w:hAnsi="Arial" w:cs="Arial"/>
          <w:sz w:val="24"/>
          <w:szCs w:val="24"/>
        </w:rPr>
        <w:t xml:space="preserve">he </w:t>
      </w:r>
      <w:r w:rsidRPr="00E33F9E">
        <w:rPr>
          <w:rFonts w:ascii="Arial" w:hAnsi="Arial" w:cs="Arial"/>
          <w:sz w:val="24"/>
          <w:szCs w:val="24"/>
        </w:rPr>
        <w:t xml:space="preserve">Council’s </w:t>
      </w:r>
      <w:r w:rsidR="006A1029" w:rsidRPr="00E33F9E">
        <w:rPr>
          <w:rFonts w:ascii="Arial" w:hAnsi="Arial" w:cs="Arial"/>
          <w:sz w:val="24"/>
          <w:szCs w:val="24"/>
        </w:rPr>
        <w:t>Local Code of Corpora</w:t>
      </w:r>
      <w:r w:rsidR="005168CD" w:rsidRPr="00E33F9E">
        <w:rPr>
          <w:rFonts w:ascii="Arial" w:hAnsi="Arial" w:cs="Arial"/>
          <w:sz w:val="24"/>
          <w:szCs w:val="24"/>
        </w:rPr>
        <w:t xml:space="preserve">te Governance is based on </w:t>
      </w:r>
      <w:r w:rsidRPr="00E33F9E">
        <w:rPr>
          <w:rFonts w:ascii="Arial" w:hAnsi="Arial" w:cs="Arial"/>
          <w:sz w:val="24"/>
          <w:szCs w:val="24"/>
        </w:rPr>
        <w:t>these seven core principles.</w:t>
      </w:r>
    </w:p>
    <w:p w14:paraId="20C42202" w14:textId="77777777" w:rsidR="00CD255C" w:rsidRDefault="00CD255C" w:rsidP="00E33F9E">
      <w:pPr>
        <w:pStyle w:val="NoSpacing"/>
        <w:rPr>
          <w:rFonts w:ascii="Arial" w:hAnsi="Arial" w:cs="Arial"/>
          <w:sz w:val="24"/>
          <w:szCs w:val="24"/>
        </w:rPr>
      </w:pPr>
    </w:p>
    <w:p w14:paraId="1F596C1D" w14:textId="77777777" w:rsidR="006A1029" w:rsidRDefault="00D509FC" w:rsidP="00E33F9E">
      <w:pPr>
        <w:pStyle w:val="NoSpacing"/>
        <w:rPr>
          <w:rFonts w:ascii="Arial" w:hAnsi="Arial" w:cs="Arial"/>
          <w:sz w:val="24"/>
          <w:szCs w:val="24"/>
        </w:rPr>
      </w:pPr>
      <w:r w:rsidRPr="00E33F9E">
        <w:rPr>
          <w:rFonts w:ascii="Arial" w:hAnsi="Arial" w:cs="Arial"/>
          <w:sz w:val="24"/>
          <w:szCs w:val="24"/>
        </w:rPr>
        <w:t>The seven principles are:</w:t>
      </w:r>
    </w:p>
    <w:p w14:paraId="44954FA7" w14:textId="77777777" w:rsidR="00E33F9E" w:rsidRPr="00E33F9E" w:rsidRDefault="00E33F9E" w:rsidP="00E33F9E">
      <w:pPr>
        <w:pStyle w:val="NoSpacing"/>
        <w:rPr>
          <w:rFonts w:ascii="Arial" w:hAnsi="Arial" w:cs="Arial"/>
          <w:sz w:val="24"/>
          <w:szCs w:val="24"/>
        </w:rPr>
      </w:pPr>
    </w:p>
    <w:p w14:paraId="2F1D9F92" w14:textId="77777777" w:rsidR="006A1029" w:rsidRPr="00E33F9E" w:rsidRDefault="006A1029" w:rsidP="00FF38AF">
      <w:pPr>
        <w:pStyle w:val="Bulletpointlist"/>
        <w:rPr>
          <w:i/>
        </w:rPr>
      </w:pPr>
      <w:r w:rsidRPr="00E33F9E">
        <w:t xml:space="preserve">Behaving with integrity, demonstrating strong commitment to ethical </w:t>
      </w:r>
      <w:proofErr w:type="gramStart"/>
      <w:r w:rsidRPr="00E33F9E">
        <w:t>values</w:t>
      </w:r>
      <w:proofErr w:type="gramEnd"/>
      <w:r w:rsidRPr="00E33F9E">
        <w:t xml:space="preserve"> and respecting the rule of law</w:t>
      </w:r>
    </w:p>
    <w:p w14:paraId="1C3AF058" w14:textId="77777777" w:rsidR="006A1029" w:rsidRPr="00E33F9E" w:rsidRDefault="006A1029" w:rsidP="00FF38AF">
      <w:pPr>
        <w:pStyle w:val="Bulletpointlist"/>
        <w:rPr>
          <w:i/>
        </w:rPr>
      </w:pPr>
      <w:r w:rsidRPr="00E33F9E">
        <w:t>Ensuring openness and comprehensive stakeholder engagement</w:t>
      </w:r>
    </w:p>
    <w:p w14:paraId="0A3A7C3E" w14:textId="77777777" w:rsidR="006A1029" w:rsidRPr="00E33F9E" w:rsidRDefault="006A1029" w:rsidP="00FF38AF">
      <w:pPr>
        <w:pStyle w:val="Bulletpointlist"/>
        <w:rPr>
          <w:i/>
        </w:rPr>
      </w:pPr>
      <w:r w:rsidRPr="00E33F9E">
        <w:t xml:space="preserve">Defining outcomes in terms of sustainable economic, </w:t>
      </w:r>
      <w:proofErr w:type="gramStart"/>
      <w:r w:rsidRPr="00E33F9E">
        <w:t>social</w:t>
      </w:r>
      <w:proofErr w:type="gramEnd"/>
      <w:r w:rsidRPr="00E33F9E">
        <w:t xml:space="preserve"> and environmental benefits</w:t>
      </w:r>
    </w:p>
    <w:p w14:paraId="7026E8CE" w14:textId="77777777" w:rsidR="006A1029" w:rsidRPr="00E33F9E" w:rsidRDefault="006A1029" w:rsidP="00FF38AF">
      <w:pPr>
        <w:pStyle w:val="Bulletpointlist"/>
        <w:rPr>
          <w:i/>
        </w:rPr>
      </w:pPr>
      <w:r w:rsidRPr="00E33F9E">
        <w:t>Determining the interventions necessary to optimise the achievement of the intended outcomes</w:t>
      </w:r>
    </w:p>
    <w:p w14:paraId="5CB8CA3F" w14:textId="77777777" w:rsidR="00D509FC" w:rsidRPr="00E33F9E" w:rsidRDefault="006A1029" w:rsidP="00FF38AF">
      <w:pPr>
        <w:pStyle w:val="Bulletpointlist"/>
        <w:rPr>
          <w:i/>
        </w:rPr>
      </w:pPr>
      <w:r w:rsidRPr="00E33F9E">
        <w:t>Developing the Council’s capacity, including the capability of its leadership and the individuals within it</w:t>
      </w:r>
    </w:p>
    <w:p w14:paraId="31E64833" w14:textId="77777777" w:rsidR="00D509FC" w:rsidRPr="00E33F9E" w:rsidRDefault="006A1029" w:rsidP="00FF38AF">
      <w:pPr>
        <w:pStyle w:val="Bulletpointlist"/>
        <w:rPr>
          <w:i/>
        </w:rPr>
      </w:pPr>
      <w:r w:rsidRPr="00E33F9E">
        <w:t>Managing risks and performance through robust internal control and strong public financial management</w:t>
      </w:r>
    </w:p>
    <w:p w14:paraId="640F2324" w14:textId="77777777" w:rsidR="00D509FC" w:rsidRPr="00E33F9E" w:rsidRDefault="00D509FC" w:rsidP="00FF38AF">
      <w:pPr>
        <w:pStyle w:val="Bulletpointlist"/>
        <w:rPr>
          <w:i/>
        </w:rPr>
      </w:pPr>
      <w:r w:rsidRPr="00E33F9E">
        <w:t>Implementing good practices in transparency, reporting and audit to deliver effective accountability</w:t>
      </w:r>
    </w:p>
    <w:p w14:paraId="5A014C6F" w14:textId="77777777" w:rsidR="00D509FC" w:rsidRDefault="00D509FC" w:rsidP="00E33F9E">
      <w:pPr>
        <w:pStyle w:val="NoSpacing"/>
        <w:rPr>
          <w:rFonts w:ascii="Arial" w:hAnsi="Arial" w:cs="Arial"/>
          <w:sz w:val="24"/>
          <w:szCs w:val="24"/>
        </w:rPr>
      </w:pPr>
      <w:r w:rsidRPr="00E33F9E">
        <w:rPr>
          <w:rFonts w:ascii="Arial" w:hAnsi="Arial" w:cs="Arial"/>
          <w:sz w:val="24"/>
          <w:szCs w:val="24"/>
        </w:rPr>
        <w:lastRenderedPageBreak/>
        <w:t xml:space="preserve">The Code sets out the documents, systems, </w:t>
      </w:r>
      <w:proofErr w:type="gramStart"/>
      <w:r w:rsidRPr="00E33F9E">
        <w:rPr>
          <w:rFonts w:ascii="Arial" w:hAnsi="Arial" w:cs="Arial"/>
          <w:sz w:val="24"/>
          <w:szCs w:val="24"/>
        </w:rPr>
        <w:t>processes</w:t>
      </w:r>
      <w:proofErr w:type="gramEnd"/>
      <w:r w:rsidRPr="00E33F9E">
        <w:rPr>
          <w:rFonts w:ascii="Arial" w:hAnsi="Arial" w:cs="Arial"/>
          <w:sz w:val="24"/>
          <w:szCs w:val="24"/>
        </w:rPr>
        <w:t xml:space="preserve"> and actions the Council undertakes to fulfil its commitment to and compliance with this Code. The Code supports the Council’s review of the effectiveness of its system of internal control and informs the Annual Governance Statement which accompanies the Annual Statement of Accounts. </w:t>
      </w:r>
    </w:p>
    <w:p w14:paraId="7EDE16AA" w14:textId="77777777" w:rsidR="00E33F9E" w:rsidRPr="00E33F9E" w:rsidRDefault="00E33F9E" w:rsidP="00E33F9E">
      <w:pPr>
        <w:pStyle w:val="NoSpacing"/>
        <w:rPr>
          <w:rFonts w:ascii="Arial" w:hAnsi="Arial" w:cs="Arial"/>
          <w:sz w:val="24"/>
          <w:szCs w:val="24"/>
        </w:rPr>
      </w:pPr>
    </w:p>
    <w:p w14:paraId="29186528" w14:textId="77777777" w:rsidR="00B01105" w:rsidRDefault="008D1312" w:rsidP="00E33F9E">
      <w:pPr>
        <w:pStyle w:val="NoSpacing"/>
        <w:rPr>
          <w:rFonts w:ascii="Arial" w:hAnsi="Arial" w:cs="Arial"/>
          <w:sz w:val="24"/>
          <w:szCs w:val="24"/>
        </w:rPr>
      </w:pPr>
      <w:r>
        <w:rPr>
          <w:rFonts w:ascii="Arial" w:hAnsi="Arial" w:cs="Arial"/>
          <w:sz w:val="24"/>
          <w:szCs w:val="24"/>
        </w:rPr>
        <w:t>T</w:t>
      </w:r>
      <w:r w:rsidR="00D509FC" w:rsidRPr="00E33F9E">
        <w:rPr>
          <w:rFonts w:ascii="Arial" w:hAnsi="Arial" w:cs="Arial"/>
          <w:sz w:val="24"/>
          <w:szCs w:val="24"/>
        </w:rPr>
        <w:t>he Audit Committee is responsible for approving the Code. The Chief Executive and the Monitoring Officer are responsible for ensuring the Code is kept up to date and reviewed annually.</w:t>
      </w:r>
    </w:p>
    <w:p w14:paraId="27ED6A80" w14:textId="77777777" w:rsidR="00E13D51" w:rsidRDefault="00E13D51" w:rsidP="00E33F9E">
      <w:pPr>
        <w:pStyle w:val="NoSpacing"/>
        <w:rPr>
          <w:rFonts w:ascii="Arial" w:hAnsi="Arial" w:cs="Arial"/>
          <w:sz w:val="24"/>
          <w:szCs w:val="24"/>
        </w:rPr>
      </w:pPr>
    </w:p>
    <w:p w14:paraId="5E8CBE09" w14:textId="77777777" w:rsidR="00403EC6" w:rsidRDefault="00403EC6" w:rsidP="00E33F9E">
      <w:pPr>
        <w:pStyle w:val="NoSpacing"/>
        <w:rPr>
          <w:rFonts w:ascii="Arial" w:hAnsi="Arial" w:cs="Arial"/>
          <w:sz w:val="24"/>
          <w:szCs w:val="24"/>
        </w:rPr>
        <w:sectPr w:rsidR="00403EC6">
          <w:pgSz w:w="11906" w:h="16838"/>
          <w:pgMar w:top="1440" w:right="1440" w:bottom="1440" w:left="1440" w:header="708" w:footer="708" w:gutter="0"/>
          <w:cols w:space="708"/>
          <w:docGrid w:linePitch="360"/>
        </w:sectPr>
      </w:pPr>
    </w:p>
    <w:p w14:paraId="65888828" w14:textId="77777777" w:rsidR="00E13D51" w:rsidRPr="00E13D51" w:rsidRDefault="00E13D51" w:rsidP="00403EC6">
      <w:pPr>
        <w:pStyle w:val="Heading1"/>
      </w:pPr>
      <w:r w:rsidRPr="00E13D51">
        <w:lastRenderedPageBreak/>
        <w:t xml:space="preserve">The </w:t>
      </w:r>
      <w:proofErr w:type="gramStart"/>
      <w:r w:rsidRPr="00E13D51">
        <w:t>Principles</w:t>
      </w:r>
      <w:proofErr w:type="gramEnd"/>
    </w:p>
    <w:p w14:paraId="41DC514E" w14:textId="77777777" w:rsidR="00E13D51" w:rsidRPr="00E13D51" w:rsidRDefault="00E13D51" w:rsidP="00AF68C7">
      <w:pPr>
        <w:pStyle w:val="Heading2"/>
        <w:rPr>
          <w:rFonts w:eastAsiaTheme="minorEastAsia"/>
          <w:sz w:val="48"/>
          <w:szCs w:val="48"/>
          <w:lang w:eastAsia="en-GB"/>
        </w:rPr>
      </w:pPr>
      <w:r w:rsidRPr="00E13D51">
        <w:rPr>
          <w:rFonts w:eastAsiaTheme="minorEastAsia"/>
          <w:lang w:eastAsia="en-GB"/>
        </w:rPr>
        <w:t>The Council aims to achieve good standards of governance by:</w:t>
      </w:r>
    </w:p>
    <w:p w14:paraId="3C27F0F5" w14:textId="77777777" w:rsidR="00E13D51" w:rsidRPr="00E13D51" w:rsidRDefault="00E13D51" w:rsidP="00E516BC">
      <w:pPr>
        <w:pStyle w:val="Letteredlist"/>
      </w:pPr>
      <w:r w:rsidRPr="00E13D51">
        <w:t>Behaving with integrity, demonstrating strong commitment to ethical values, and respecting the rule of law</w:t>
      </w:r>
    </w:p>
    <w:p w14:paraId="6353B5C0" w14:textId="77777777" w:rsidR="00E13D51" w:rsidRPr="00E13D51" w:rsidRDefault="00E13D51" w:rsidP="00E516BC">
      <w:pPr>
        <w:pStyle w:val="Letteredlist"/>
      </w:pPr>
      <w:r w:rsidRPr="00E13D51">
        <w:t>Ensuring openness and comprehensive stakeholder engagement</w:t>
      </w:r>
    </w:p>
    <w:p w14:paraId="1D708349" w14:textId="77777777" w:rsidR="00E13D51" w:rsidRPr="00E13D51" w:rsidRDefault="00E13D51" w:rsidP="00E516BC">
      <w:pPr>
        <w:pStyle w:val="Letteredlist"/>
      </w:pPr>
      <w:r w:rsidRPr="00E13D51">
        <w:t>Defining outcomes in terms of sustainable economic, social, and environmental benefits</w:t>
      </w:r>
    </w:p>
    <w:p w14:paraId="006936A7" w14:textId="77777777" w:rsidR="00E13D51" w:rsidRPr="00E13D51" w:rsidRDefault="00E13D51" w:rsidP="00E516BC">
      <w:pPr>
        <w:pStyle w:val="Letteredlist"/>
      </w:pPr>
      <w:r w:rsidRPr="00E13D51">
        <w:t>Determining the interventions necessary to optimise the achievement of the intended outcomes</w:t>
      </w:r>
    </w:p>
    <w:p w14:paraId="5F6261CF" w14:textId="77777777" w:rsidR="00E13D51" w:rsidRPr="00E13D51" w:rsidRDefault="00E13D51" w:rsidP="00E516BC">
      <w:pPr>
        <w:pStyle w:val="Letteredlist"/>
      </w:pPr>
      <w:r w:rsidRPr="00E13D51">
        <w:t>Developing the entity’s capacity, including the capability of its leadership and the individuals within it</w:t>
      </w:r>
    </w:p>
    <w:p w14:paraId="5C4F246E" w14:textId="77777777" w:rsidR="00E13D51" w:rsidRPr="00E13D51" w:rsidRDefault="00E13D51" w:rsidP="00E516BC">
      <w:pPr>
        <w:pStyle w:val="Letteredlist"/>
      </w:pPr>
      <w:r w:rsidRPr="00E13D51">
        <w:t>Managing risks and performance through robust control and strong public financial management</w:t>
      </w:r>
    </w:p>
    <w:p w14:paraId="63357D34" w14:textId="77777777" w:rsidR="00E13D51" w:rsidRPr="00E13D51" w:rsidRDefault="00E13D51" w:rsidP="00E516BC">
      <w:pPr>
        <w:pStyle w:val="Letteredlist"/>
      </w:pPr>
      <w:r w:rsidRPr="00E13D51">
        <w:t>Implementing good practices in transparency, reporting, and audit to deliver effective accountability</w:t>
      </w:r>
    </w:p>
    <w:p w14:paraId="16112DA7" w14:textId="77777777" w:rsidR="00E13D51" w:rsidRDefault="00E13D51" w:rsidP="00526E21">
      <w:pPr>
        <w:pStyle w:val="Heading1"/>
      </w:pPr>
      <w:r w:rsidRPr="00E13D51">
        <w:br w:type="page"/>
      </w:r>
      <w:r w:rsidRPr="00CD255C">
        <w:lastRenderedPageBreak/>
        <w:t>Putting principles into effect</w:t>
      </w:r>
    </w:p>
    <w:p w14:paraId="335F2A10" w14:textId="77777777" w:rsidR="00526E21" w:rsidRDefault="00526E21" w:rsidP="00526E21">
      <w:pPr>
        <w:rPr>
          <w:lang w:eastAsia="en-GB"/>
        </w:rPr>
      </w:pPr>
    </w:p>
    <w:p w14:paraId="21A6CB20" w14:textId="1B48C7E1" w:rsidR="00526E21" w:rsidRDefault="00526E21" w:rsidP="00526E21">
      <w:pPr>
        <w:pStyle w:val="Heading2"/>
        <w:rPr>
          <w:lang w:eastAsia="en-GB"/>
        </w:rPr>
      </w:pPr>
      <w:r>
        <w:rPr>
          <w:lang w:eastAsia="en-GB"/>
        </w:rPr>
        <w:t>Principle A</w:t>
      </w:r>
    </w:p>
    <w:p w14:paraId="0252C615" w14:textId="21AB2F51" w:rsidR="00526E21" w:rsidRDefault="00526E21" w:rsidP="00526E21">
      <w:pPr>
        <w:rPr>
          <w:rFonts w:cs="Arial"/>
          <w:szCs w:val="24"/>
        </w:rPr>
      </w:pPr>
      <w:r w:rsidRPr="00904211">
        <w:rPr>
          <w:rFonts w:cs="Arial"/>
          <w:szCs w:val="24"/>
        </w:rPr>
        <w:t>Behaving with integrity, demonstrating strong commitment to ethical values, and respecting the rule of law</w:t>
      </w:r>
    </w:p>
    <w:p w14:paraId="4FBEB9C9" w14:textId="62EA2551" w:rsidR="00526E21" w:rsidRDefault="00526E21" w:rsidP="00526E21">
      <w:pPr>
        <w:rPr>
          <w:rFonts w:cs="Arial"/>
          <w:szCs w:val="24"/>
        </w:rPr>
      </w:pPr>
      <w:r w:rsidRPr="00D36923">
        <w:rPr>
          <w:rFonts w:cs="Arial"/>
          <w:szCs w:val="24"/>
        </w:rPr>
        <w:t>This will be achieved by</w:t>
      </w:r>
    </w:p>
    <w:p w14:paraId="6E41A30B" w14:textId="77777777" w:rsidR="00526E21" w:rsidRDefault="00526E21" w:rsidP="00526E21">
      <w:pPr>
        <w:pStyle w:val="Bulletpointliststyle2"/>
      </w:pPr>
      <w:r w:rsidRPr="00994EF6">
        <w:t>Corporate Plan</w:t>
      </w:r>
    </w:p>
    <w:p w14:paraId="6718D627" w14:textId="77777777" w:rsidR="00526E21" w:rsidRPr="009C2828" w:rsidRDefault="00526E21" w:rsidP="00526E21">
      <w:pPr>
        <w:pStyle w:val="Bulletpointliststyle2"/>
      </w:pPr>
      <w:r w:rsidRPr="009C2828">
        <w:t>Strategic Direction</w:t>
      </w:r>
    </w:p>
    <w:p w14:paraId="3EDC8B6E" w14:textId="77777777" w:rsidR="00526E21" w:rsidRPr="00994EF6" w:rsidRDefault="00526E21" w:rsidP="00526E21">
      <w:pPr>
        <w:pStyle w:val="Bulletpointliststyle2"/>
      </w:pPr>
      <w:r>
        <w:t>The Constitution</w:t>
      </w:r>
    </w:p>
    <w:p w14:paraId="2DDDDF11" w14:textId="77777777" w:rsidR="00526E21" w:rsidRPr="00994EF6" w:rsidRDefault="00526E21" w:rsidP="00526E21">
      <w:pPr>
        <w:pStyle w:val="Bulletpointliststyle2"/>
      </w:pPr>
      <w:r w:rsidRPr="00994EF6">
        <w:t>Member’s Code of Conduct</w:t>
      </w:r>
    </w:p>
    <w:p w14:paraId="33C35C6E" w14:textId="77777777" w:rsidR="00526E21" w:rsidRPr="00994EF6" w:rsidRDefault="00526E21" w:rsidP="00526E21">
      <w:pPr>
        <w:pStyle w:val="Bulletpointliststyle2"/>
      </w:pPr>
      <w:r w:rsidRPr="00994EF6">
        <w:t>Employees’ Code of Conduct</w:t>
      </w:r>
    </w:p>
    <w:p w14:paraId="68BDA5D9" w14:textId="77777777" w:rsidR="00526E21" w:rsidRPr="00994EF6" w:rsidRDefault="00526E21" w:rsidP="00526E21">
      <w:pPr>
        <w:pStyle w:val="Bulletpointliststyle2"/>
      </w:pPr>
      <w:r w:rsidRPr="00994EF6">
        <w:t>Anti-Fraud and Corruption Policy &amp; Strategy</w:t>
      </w:r>
    </w:p>
    <w:p w14:paraId="4E907762" w14:textId="77777777" w:rsidR="00526E21" w:rsidRPr="00994EF6" w:rsidRDefault="00526E21" w:rsidP="00526E21">
      <w:pPr>
        <w:pStyle w:val="Bulletpointliststyle2"/>
      </w:pPr>
      <w:r>
        <w:t>Equalities policies</w:t>
      </w:r>
    </w:p>
    <w:p w14:paraId="1740C69E" w14:textId="77777777" w:rsidR="00526E21" w:rsidRDefault="00526E21" w:rsidP="00526E21">
      <w:pPr>
        <w:pStyle w:val="Bulletpointliststyle2"/>
      </w:pPr>
      <w:r w:rsidRPr="00994EF6">
        <w:t>Whistleblowing Policy</w:t>
      </w:r>
    </w:p>
    <w:p w14:paraId="2B1050F9" w14:textId="77777777" w:rsidR="00526E21" w:rsidRDefault="00526E21" w:rsidP="00526E21">
      <w:pPr>
        <w:pStyle w:val="Bulletpointliststyle2"/>
      </w:pPr>
      <w:r>
        <w:t>Anti-Bribery Policy Statement and Procedures</w:t>
      </w:r>
    </w:p>
    <w:p w14:paraId="2BFF356D" w14:textId="77777777" w:rsidR="00526E21" w:rsidRDefault="00526E21" w:rsidP="00526E21">
      <w:pPr>
        <w:pStyle w:val="Bulletpointliststyle2"/>
      </w:pPr>
      <w:r>
        <w:t>Anti-Money Laundering Policy Statement and Procedures</w:t>
      </w:r>
    </w:p>
    <w:p w14:paraId="78B16FAF" w14:textId="77777777" w:rsidR="00526E21" w:rsidRDefault="00526E21" w:rsidP="00526E21">
      <w:pPr>
        <w:pStyle w:val="Bulletpointliststyle2"/>
      </w:pPr>
      <w:r>
        <w:t>Member/Officer Protocol</w:t>
      </w:r>
    </w:p>
    <w:p w14:paraId="4A168BA7" w14:textId="77777777" w:rsidR="00526E21" w:rsidRPr="00F302B5" w:rsidRDefault="00526E21" w:rsidP="00526E21">
      <w:pPr>
        <w:pStyle w:val="Bulletpointliststyle2"/>
      </w:pPr>
      <w:r w:rsidRPr="00F302B5">
        <w:t>Registers of Interests – Members and officers</w:t>
      </w:r>
    </w:p>
    <w:p w14:paraId="5DF861E7" w14:textId="77777777" w:rsidR="00526E21" w:rsidRPr="00F302B5" w:rsidRDefault="00526E21" w:rsidP="00526E21">
      <w:pPr>
        <w:pStyle w:val="Bulletpointliststyle2"/>
      </w:pPr>
      <w:r w:rsidRPr="00F302B5">
        <w:t>Registers of Gifts and Hospita</w:t>
      </w:r>
      <w:r w:rsidRPr="009C2828">
        <w:t>lity – Members and Officers</w:t>
      </w:r>
    </w:p>
    <w:p w14:paraId="1CD0CBC3" w14:textId="77777777" w:rsidR="00526E21" w:rsidRPr="00F302B5" w:rsidRDefault="00526E21" w:rsidP="00526E21">
      <w:pPr>
        <w:pStyle w:val="Bulletpointliststyle2"/>
      </w:pPr>
      <w:r w:rsidRPr="00F302B5">
        <w:t>Officer and Member development strategies</w:t>
      </w:r>
    </w:p>
    <w:p w14:paraId="1125C073" w14:textId="77777777" w:rsidR="00526E21" w:rsidRPr="00F302B5" w:rsidRDefault="00526E21" w:rsidP="00526E21">
      <w:pPr>
        <w:pStyle w:val="Bulletpointliststyle2"/>
      </w:pPr>
      <w:r w:rsidRPr="00F302B5">
        <w:t>Corporate Complaints procedures</w:t>
      </w:r>
    </w:p>
    <w:p w14:paraId="7054AFA0" w14:textId="77777777" w:rsidR="00526E21" w:rsidRPr="00F302B5" w:rsidRDefault="00526E21" w:rsidP="00526E21">
      <w:pPr>
        <w:pStyle w:val="Bulletpointliststyle2"/>
      </w:pPr>
      <w:r w:rsidRPr="00F302B5">
        <w:t>Modern Slavery and Human Trafficking Transparency Statement</w:t>
      </w:r>
    </w:p>
    <w:p w14:paraId="7BE281A3" w14:textId="77777777" w:rsidR="00526E21" w:rsidRPr="00F302B5" w:rsidRDefault="00526E21" w:rsidP="00526E21">
      <w:pPr>
        <w:pStyle w:val="Bulletpointliststyle2"/>
      </w:pPr>
      <w:r w:rsidRPr="00F302B5">
        <w:t>Modern Slavery and Human Trafficking Policy Statement</w:t>
      </w:r>
    </w:p>
    <w:p w14:paraId="3B943570" w14:textId="77777777" w:rsidR="00526E21" w:rsidRPr="00F302B5" w:rsidRDefault="00526E21" w:rsidP="00526E21">
      <w:pPr>
        <w:pStyle w:val="Bulletpointliststyle2"/>
      </w:pPr>
      <w:r w:rsidRPr="00F302B5">
        <w:t>Member Complaints Process</w:t>
      </w:r>
    </w:p>
    <w:p w14:paraId="3FD2E0D4" w14:textId="77777777" w:rsidR="00526E21" w:rsidRPr="00F302B5" w:rsidRDefault="00526E21" w:rsidP="00526E21">
      <w:pPr>
        <w:pStyle w:val="Bulletpointliststyle2"/>
      </w:pPr>
      <w:r w:rsidRPr="00F302B5">
        <w:t>Annual Governance Statement</w:t>
      </w:r>
    </w:p>
    <w:p w14:paraId="18080860" w14:textId="77777777" w:rsidR="00526E21" w:rsidRPr="00F302B5" w:rsidRDefault="00526E21" w:rsidP="00526E21">
      <w:pPr>
        <w:pStyle w:val="Bulletpointliststyle2"/>
      </w:pPr>
      <w:r w:rsidRPr="00F302B5">
        <w:t>Financial Regulations</w:t>
      </w:r>
    </w:p>
    <w:p w14:paraId="0735F8CF" w14:textId="77777777" w:rsidR="00526E21" w:rsidRPr="00F302B5" w:rsidRDefault="00526E21" w:rsidP="00526E21">
      <w:pPr>
        <w:pStyle w:val="Bulletpointliststyle2"/>
      </w:pPr>
      <w:r w:rsidRPr="00F302B5">
        <w:t>Contract Procedure Rules</w:t>
      </w:r>
    </w:p>
    <w:p w14:paraId="3C96DDF0" w14:textId="77777777" w:rsidR="00526E21" w:rsidRPr="00F302B5" w:rsidRDefault="00526E21" w:rsidP="00526E21">
      <w:pPr>
        <w:pStyle w:val="Bulletpointliststyle2"/>
      </w:pPr>
      <w:r w:rsidRPr="00F302B5">
        <w:t>Social Media Policy – Members and officers</w:t>
      </w:r>
    </w:p>
    <w:p w14:paraId="02CD17A2" w14:textId="77777777" w:rsidR="00526E21" w:rsidRDefault="00526E21" w:rsidP="00526E21">
      <w:pPr>
        <w:pStyle w:val="Bulletpointliststyle2"/>
      </w:pPr>
      <w:r>
        <w:t xml:space="preserve">Standards and Personnel Appeals Committee </w:t>
      </w:r>
    </w:p>
    <w:p w14:paraId="1110545B" w14:textId="77777777" w:rsidR="00526E21" w:rsidRDefault="00526E21" w:rsidP="00526E21">
      <w:pPr>
        <w:pStyle w:val="Bulletpointliststyle2"/>
      </w:pPr>
      <w:r>
        <w:t>Overview and Scrutiny function</w:t>
      </w:r>
    </w:p>
    <w:p w14:paraId="3A80EADF" w14:textId="77777777" w:rsidR="00526E21" w:rsidRDefault="00526E21" w:rsidP="00526E21">
      <w:pPr>
        <w:pStyle w:val="Bulletpointliststyle2"/>
      </w:pPr>
      <w:r>
        <w:t>Audit Committee</w:t>
      </w:r>
    </w:p>
    <w:p w14:paraId="7EBF463F" w14:textId="77777777" w:rsidR="00526E21" w:rsidRDefault="00526E21" w:rsidP="00526E21">
      <w:pPr>
        <w:pStyle w:val="Bulletpointliststyle2"/>
      </w:pPr>
      <w:r>
        <w:t>Licensing Committee</w:t>
      </w:r>
    </w:p>
    <w:p w14:paraId="0AF6EBE8" w14:textId="77777777" w:rsidR="00526E21" w:rsidRDefault="00526E21" w:rsidP="00526E21">
      <w:pPr>
        <w:pStyle w:val="Bulletpointliststyle2"/>
      </w:pPr>
      <w:r>
        <w:t>Planning Committee</w:t>
      </w:r>
    </w:p>
    <w:p w14:paraId="3DC4D110" w14:textId="77777777" w:rsidR="00526E21" w:rsidRDefault="00526E21" w:rsidP="00526E21">
      <w:pPr>
        <w:pStyle w:val="Bulletpointliststyle2"/>
      </w:pPr>
      <w:r w:rsidRPr="00F302B5">
        <w:lastRenderedPageBreak/>
        <w:t xml:space="preserve">Report template for decision-making which incorporates financial, legal, HR, </w:t>
      </w:r>
      <w:proofErr w:type="gramStart"/>
      <w:r w:rsidRPr="00F302B5">
        <w:t>equalities</w:t>
      </w:r>
      <w:proofErr w:type="gramEnd"/>
      <w:r w:rsidRPr="00F302B5">
        <w:t xml:space="preserve"> and risk appraisal.</w:t>
      </w:r>
    </w:p>
    <w:p w14:paraId="42952BFA" w14:textId="77777777" w:rsidR="00526E21" w:rsidRPr="009C2828" w:rsidRDefault="00526E21" w:rsidP="00526E21">
      <w:pPr>
        <w:pStyle w:val="Bulletpointliststyle2"/>
      </w:pPr>
      <w:r w:rsidRPr="009C2828">
        <w:t>Social Media Policies</w:t>
      </w:r>
    </w:p>
    <w:p w14:paraId="6FC4F580" w14:textId="77777777" w:rsidR="00526E21" w:rsidRPr="009C2828" w:rsidRDefault="00526E21" w:rsidP="00526E21">
      <w:pPr>
        <w:pStyle w:val="Bulletpointliststyle2"/>
      </w:pPr>
      <w:r w:rsidRPr="009C2828">
        <w:t>Equalities Policies</w:t>
      </w:r>
    </w:p>
    <w:p w14:paraId="720B2DFA" w14:textId="77777777" w:rsidR="00526E21" w:rsidRPr="009C2828" w:rsidRDefault="00526E21" w:rsidP="00526E21">
      <w:pPr>
        <w:pStyle w:val="Bulletpointliststyle2"/>
      </w:pPr>
      <w:r w:rsidRPr="009C2828">
        <w:t>Ashfield 24/7 – resident portal</w:t>
      </w:r>
    </w:p>
    <w:p w14:paraId="49416EBA" w14:textId="146C8EA0" w:rsidR="00526E21" w:rsidRDefault="00526E21" w:rsidP="00526E21">
      <w:pPr>
        <w:rPr>
          <w:rFonts w:cs="Arial"/>
          <w:szCs w:val="24"/>
        </w:rPr>
      </w:pPr>
      <w:r>
        <w:rPr>
          <w:rFonts w:cs="Arial"/>
          <w:szCs w:val="24"/>
        </w:rPr>
        <w:t xml:space="preserve">Each of the statutory officers </w:t>
      </w:r>
      <w:proofErr w:type="gramStart"/>
      <w:r>
        <w:rPr>
          <w:rFonts w:cs="Arial"/>
          <w:szCs w:val="24"/>
        </w:rPr>
        <w:t>is able to</w:t>
      </w:r>
      <w:proofErr w:type="gramEnd"/>
      <w:r>
        <w:rPr>
          <w:rFonts w:cs="Arial"/>
          <w:szCs w:val="24"/>
        </w:rPr>
        <w:t xml:space="preserve"> operate with the appropriate independence; the organisational culture respects and supports their integrity and provides the staffing arrangements to support their work.</w:t>
      </w:r>
    </w:p>
    <w:p w14:paraId="12A24F90" w14:textId="77777777" w:rsidR="00E45E04" w:rsidRDefault="00E45E04" w:rsidP="00526E21">
      <w:pPr>
        <w:rPr>
          <w:rFonts w:cs="Arial"/>
          <w:szCs w:val="24"/>
        </w:rPr>
        <w:sectPr w:rsidR="00E45E04">
          <w:pgSz w:w="11906" w:h="16838"/>
          <w:pgMar w:top="1440" w:right="1440" w:bottom="1440" w:left="1440" w:header="708" w:footer="708" w:gutter="0"/>
          <w:cols w:space="708"/>
          <w:docGrid w:linePitch="360"/>
        </w:sectPr>
      </w:pPr>
    </w:p>
    <w:p w14:paraId="0CA2F52D" w14:textId="0B26E43D" w:rsidR="00526E21" w:rsidRDefault="00526E21" w:rsidP="00526E21">
      <w:pPr>
        <w:pStyle w:val="Heading2"/>
      </w:pPr>
      <w:r>
        <w:lastRenderedPageBreak/>
        <w:t>Principle B</w:t>
      </w:r>
    </w:p>
    <w:p w14:paraId="43B1AFC3" w14:textId="3AA1ECDE" w:rsidR="00526E21" w:rsidRDefault="00526E21" w:rsidP="00526E21">
      <w:pPr>
        <w:rPr>
          <w:rFonts w:cs="Arial"/>
          <w:szCs w:val="24"/>
        </w:rPr>
      </w:pPr>
      <w:r w:rsidRPr="00904211">
        <w:rPr>
          <w:rFonts w:cs="Arial"/>
          <w:szCs w:val="24"/>
        </w:rPr>
        <w:t>Ensuring openness and comprehensive stakeholder engagement</w:t>
      </w:r>
    </w:p>
    <w:p w14:paraId="6E7B32C5" w14:textId="47FC6163" w:rsidR="00950C2C" w:rsidRDefault="00950C2C" w:rsidP="00526E21">
      <w:pPr>
        <w:rPr>
          <w:rFonts w:cs="Arial"/>
          <w:szCs w:val="24"/>
        </w:rPr>
      </w:pPr>
      <w:r w:rsidRPr="00D36923">
        <w:rPr>
          <w:rFonts w:cs="Arial"/>
          <w:szCs w:val="24"/>
        </w:rPr>
        <w:t>This will be achieved by</w:t>
      </w:r>
      <w:r>
        <w:rPr>
          <w:rFonts w:cs="Arial"/>
          <w:szCs w:val="24"/>
        </w:rPr>
        <w:t>:</w:t>
      </w:r>
    </w:p>
    <w:p w14:paraId="297FA1D0" w14:textId="77777777" w:rsidR="00526E21" w:rsidRDefault="00526E21" w:rsidP="00526E21">
      <w:pPr>
        <w:pStyle w:val="Bulletpointliststyle2"/>
      </w:pPr>
      <w:r w:rsidRPr="00603508">
        <w:t>The Con</w:t>
      </w:r>
      <w:r>
        <w:t>stitution</w:t>
      </w:r>
    </w:p>
    <w:p w14:paraId="206F6E9F" w14:textId="77777777" w:rsidR="00526E21" w:rsidRDefault="00526E21" w:rsidP="00526E21">
      <w:pPr>
        <w:pStyle w:val="Bulletpointliststyle2"/>
      </w:pPr>
      <w:r>
        <w:t>Corporate Plan</w:t>
      </w:r>
    </w:p>
    <w:p w14:paraId="6DF39D3B" w14:textId="77777777" w:rsidR="00526E21" w:rsidRDefault="00526E21" w:rsidP="00526E21">
      <w:pPr>
        <w:pStyle w:val="Bulletpointliststyle2"/>
      </w:pPr>
      <w:r>
        <w:t>Community Engagement and Consultation Strategy</w:t>
      </w:r>
    </w:p>
    <w:p w14:paraId="35E3C79C" w14:textId="77777777" w:rsidR="00526E21" w:rsidRDefault="00526E21" w:rsidP="00526E21">
      <w:pPr>
        <w:pStyle w:val="Bulletpointliststyle2"/>
      </w:pPr>
      <w:r>
        <w:t>Forward Plan</w:t>
      </w:r>
    </w:p>
    <w:p w14:paraId="7E6D8A27" w14:textId="77777777" w:rsidR="00526E21" w:rsidRPr="00F302B5" w:rsidRDefault="00526E21" w:rsidP="00526E21">
      <w:pPr>
        <w:pStyle w:val="Bulletpointliststyle2"/>
      </w:pPr>
      <w:r>
        <w:t xml:space="preserve">Council Website – includes meeting agendas and minutes of current and archived meetings </w:t>
      </w:r>
      <w:r w:rsidRPr="00F302B5">
        <w:t>and decisions</w:t>
      </w:r>
    </w:p>
    <w:p w14:paraId="4B59FC3E" w14:textId="77777777" w:rsidR="00526E21" w:rsidRPr="00F302B5" w:rsidRDefault="00526E21" w:rsidP="00526E21">
      <w:pPr>
        <w:pStyle w:val="Bulletpointliststyle2"/>
      </w:pPr>
      <w:r w:rsidRPr="00F302B5">
        <w:t>Public Questions at Council</w:t>
      </w:r>
    </w:p>
    <w:p w14:paraId="562EBCF3" w14:textId="77777777" w:rsidR="00526E21" w:rsidRPr="00F302B5" w:rsidRDefault="00526E21" w:rsidP="00526E21">
      <w:pPr>
        <w:pStyle w:val="Bulletpointliststyle2"/>
      </w:pPr>
      <w:r w:rsidRPr="00F302B5">
        <w:t>Public speaking at Planning Committee</w:t>
      </w:r>
    </w:p>
    <w:p w14:paraId="5A139BBB" w14:textId="77777777" w:rsidR="00526E21" w:rsidRPr="00F302B5" w:rsidRDefault="00526E21" w:rsidP="00526E21">
      <w:pPr>
        <w:pStyle w:val="Bulletpointliststyle2"/>
      </w:pPr>
      <w:r w:rsidRPr="00F302B5">
        <w:t>Petition Scheme</w:t>
      </w:r>
    </w:p>
    <w:p w14:paraId="3D4A2C86" w14:textId="77777777" w:rsidR="00526E21" w:rsidRPr="00F302B5" w:rsidRDefault="00526E21" w:rsidP="00526E21">
      <w:pPr>
        <w:pStyle w:val="Bulletpointliststyle2"/>
      </w:pPr>
      <w:r w:rsidRPr="00F302B5">
        <w:t>Publications Scheme</w:t>
      </w:r>
    </w:p>
    <w:p w14:paraId="619AF77B" w14:textId="77777777" w:rsidR="00526E21" w:rsidRPr="00F302B5" w:rsidRDefault="00526E21" w:rsidP="00526E21">
      <w:pPr>
        <w:pStyle w:val="Bulletpointliststyle2"/>
      </w:pPr>
      <w:r w:rsidRPr="00F302B5">
        <w:t>Overview and Scrutiny functions</w:t>
      </w:r>
    </w:p>
    <w:p w14:paraId="11150B9E" w14:textId="77777777" w:rsidR="00526E21" w:rsidRDefault="00526E21" w:rsidP="00526E21">
      <w:pPr>
        <w:pStyle w:val="Bulletpointliststyle2"/>
      </w:pPr>
      <w:r w:rsidRPr="00F302B5">
        <w:t xml:space="preserve">Council </w:t>
      </w:r>
      <w:proofErr w:type="gramStart"/>
      <w:r w:rsidRPr="00F302B5">
        <w:t>Social Media</w:t>
      </w:r>
      <w:proofErr w:type="gramEnd"/>
      <w:r w:rsidRPr="00F302B5">
        <w:t xml:space="preserve"> </w:t>
      </w:r>
    </w:p>
    <w:p w14:paraId="6F6B6F62" w14:textId="77777777" w:rsidR="00526E21" w:rsidRPr="009C2828" w:rsidRDefault="00526E21" w:rsidP="00526E21">
      <w:pPr>
        <w:pStyle w:val="Bulletpointliststyle2"/>
      </w:pPr>
      <w:r w:rsidRPr="009C2828">
        <w:t>Social Media Policies</w:t>
      </w:r>
    </w:p>
    <w:p w14:paraId="079CEB48" w14:textId="77777777" w:rsidR="00526E21" w:rsidRPr="00F302B5" w:rsidRDefault="00526E21" w:rsidP="00526E21">
      <w:pPr>
        <w:pStyle w:val="Bulletpointliststyle2"/>
      </w:pPr>
      <w:r w:rsidRPr="00F302B5">
        <w:t>Citizens’ Panel</w:t>
      </w:r>
    </w:p>
    <w:p w14:paraId="29FAD331" w14:textId="77777777" w:rsidR="00526E21" w:rsidRPr="00F302B5" w:rsidRDefault="00526E21" w:rsidP="00526E21">
      <w:pPr>
        <w:pStyle w:val="Bulletpointliststyle2"/>
      </w:pPr>
      <w:r w:rsidRPr="00F302B5">
        <w:t>Ashfield Community Partnership</w:t>
      </w:r>
    </w:p>
    <w:p w14:paraId="1684D4D2" w14:textId="77777777" w:rsidR="00526E21" w:rsidRPr="00F302B5" w:rsidRDefault="00526E21" w:rsidP="00526E21">
      <w:pPr>
        <w:pStyle w:val="Bulletpointliststyle2"/>
      </w:pPr>
      <w:r w:rsidRPr="00F302B5">
        <w:t>Co-location with DWP and Police</w:t>
      </w:r>
    </w:p>
    <w:p w14:paraId="00E543DA" w14:textId="77777777" w:rsidR="00526E21" w:rsidRPr="00F302B5" w:rsidRDefault="00526E21" w:rsidP="00526E21">
      <w:pPr>
        <w:pStyle w:val="Bulletpointliststyle2"/>
      </w:pPr>
      <w:r w:rsidRPr="00F302B5">
        <w:t xml:space="preserve">Partnership Protocols </w:t>
      </w:r>
    </w:p>
    <w:p w14:paraId="7668A136" w14:textId="77777777" w:rsidR="00526E21" w:rsidRPr="00F302B5" w:rsidRDefault="00526E21" w:rsidP="00526E21">
      <w:pPr>
        <w:pStyle w:val="Bulletpointliststyle2"/>
      </w:pPr>
      <w:r w:rsidRPr="00F302B5">
        <w:t xml:space="preserve">Formal shared service arrangements </w:t>
      </w:r>
    </w:p>
    <w:p w14:paraId="26FD9C77" w14:textId="77777777" w:rsidR="00526E21" w:rsidRDefault="00526E21" w:rsidP="00526E21">
      <w:pPr>
        <w:pStyle w:val="Bulletpointliststyle2"/>
      </w:pPr>
      <w:r w:rsidRPr="00F302B5">
        <w:t>External audit assessment of Value for Money</w:t>
      </w:r>
    </w:p>
    <w:p w14:paraId="6797FC45" w14:textId="77777777" w:rsidR="00526E21" w:rsidRPr="00F302B5" w:rsidRDefault="00526E21" w:rsidP="00526E21">
      <w:pPr>
        <w:pStyle w:val="Bulletpointliststyle2"/>
      </w:pPr>
      <w:r w:rsidRPr="00F302B5">
        <w:t>Satisfaction Surveys</w:t>
      </w:r>
    </w:p>
    <w:p w14:paraId="4CB5D87B" w14:textId="77777777" w:rsidR="00526E21" w:rsidRPr="00F302B5" w:rsidRDefault="00526E21" w:rsidP="00526E21">
      <w:pPr>
        <w:pStyle w:val="Bulletpointliststyle2"/>
      </w:pPr>
      <w:r w:rsidRPr="00F302B5">
        <w:t>Budget consultation/engagement</w:t>
      </w:r>
    </w:p>
    <w:p w14:paraId="773EB25C" w14:textId="77777777" w:rsidR="00526E21" w:rsidRDefault="00526E21" w:rsidP="00526E21">
      <w:pPr>
        <w:pStyle w:val="Bulletpointliststyle2"/>
      </w:pPr>
      <w:r w:rsidRPr="00F302B5">
        <w:t>The Council’s booklet “</w:t>
      </w:r>
      <w:r w:rsidRPr="00F302B5">
        <w:rPr>
          <w:i/>
        </w:rPr>
        <w:t>Ashfield Matters</w:t>
      </w:r>
      <w:r w:rsidRPr="00F302B5">
        <w:t>”</w:t>
      </w:r>
    </w:p>
    <w:p w14:paraId="3B4D5ECB" w14:textId="77777777" w:rsidR="00526E21" w:rsidRPr="009C2828" w:rsidRDefault="00526E21" w:rsidP="00526E21">
      <w:pPr>
        <w:pStyle w:val="Bulletpointliststyle2"/>
      </w:pPr>
      <w:r w:rsidRPr="009C2828">
        <w:t>Ashfield 24/7 – resident portal</w:t>
      </w:r>
    </w:p>
    <w:p w14:paraId="4FB4D68F" w14:textId="223A76D4" w:rsidR="00526E21" w:rsidRDefault="00526E21" w:rsidP="00526E21">
      <w:pPr>
        <w:pStyle w:val="Bulletpointliststyle2"/>
      </w:pPr>
      <w:r w:rsidRPr="009C2828">
        <w:t>People Strategy</w:t>
      </w:r>
    </w:p>
    <w:p w14:paraId="25528C21" w14:textId="77777777" w:rsidR="00E45E04" w:rsidRDefault="00E45E04" w:rsidP="00E45E04">
      <w:pPr>
        <w:sectPr w:rsidR="00E45E04">
          <w:pgSz w:w="11906" w:h="16838"/>
          <w:pgMar w:top="1440" w:right="1440" w:bottom="1440" w:left="1440" w:header="708" w:footer="708" w:gutter="0"/>
          <w:cols w:space="708"/>
          <w:docGrid w:linePitch="360"/>
        </w:sectPr>
      </w:pPr>
    </w:p>
    <w:p w14:paraId="6DE1D426" w14:textId="2B4DEDEB" w:rsidR="00526E21" w:rsidRDefault="00526E21" w:rsidP="00950C2C">
      <w:pPr>
        <w:pStyle w:val="Heading2"/>
      </w:pPr>
      <w:r>
        <w:lastRenderedPageBreak/>
        <w:t>Principle C</w:t>
      </w:r>
    </w:p>
    <w:p w14:paraId="76760B1A" w14:textId="4661CFE7" w:rsidR="00526E21" w:rsidRDefault="00526E21" w:rsidP="00950C2C">
      <w:r w:rsidRPr="00904211">
        <w:t>Defining outcomes in terms of sustainable economic, social, and environmental benefits</w:t>
      </w:r>
    </w:p>
    <w:p w14:paraId="49387E27" w14:textId="6C039221" w:rsidR="00950C2C" w:rsidRDefault="00950C2C" w:rsidP="00950C2C">
      <w:pPr>
        <w:rPr>
          <w:rFonts w:cs="Arial"/>
          <w:szCs w:val="24"/>
        </w:rPr>
      </w:pPr>
      <w:r w:rsidRPr="00D36923">
        <w:rPr>
          <w:rFonts w:cs="Arial"/>
          <w:szCs w:val="24"/>
        </w:rPr>
        <w:t>This will be achieved by</w:t>
      </w:r>
      <w:r>
        <w:rPr>
          <w:rFonts w:cs="Arial"/>
          <w:szCs w:val="24"/>
        </w:rPr>
        <w:t>:</w:t>
      </w:r>
    </w:p>
    <w:p w14:paraId="749673CB" w14:textId="77777777" w:rsidR="00950C2C" w:rsidRDefault="00950C2C" w:rsidP="00950C2C">
      <w:pPr>
        <w:pStyle w:val="Bulletpointliststyle2"/>
      </w:pPr>
      <w:r>
        <w:t>Corporate Plan</w:t>
      </w:r>
    </w:p>
    <w:p w14:paraId="4AE516DA" w14:textId="77777777" w:rsidR="00950C2C" w:rsidRPr="009C2828" w:rsidRDefault="00950C2C" w:rsidP="00950C2C">
      <w:pPr>
        <w:pStyle w:val="Bulletpointliststyle2"/>
      </w:pPr>
      <w:r w:rsidRPr="009C2828">
        <w:t>Strategic Direction</w:t>
      </w:r>
    </w:p>
    <w:p w14:paraId="51AA7672" w14:textId="77777777" w:rsidR="00950C2C" w:rsidRDefault="00950C2C" w:rsidP="00950C2C">
      <w:pPr>
        <w:pStyle w:val="Bulletpointliststyle2"/>
      </w:pPr>
      <w:r>
        <w:t>Forward Plan</w:t>
      </w:r>
    </w:p>
    <w:p w14:paraId="138ED7AC" w14:textId="77777777" w:rsidR="00950C2C" w:rsidRDefault="00950C2C" w:rsidP="00950C2C">
      <w:pPr>
        <w:pStyle w:val="Bulletpointliststyle2"/>
      </w:pPr>
      <w:r>
        <w:t xml:space="preserve">Corporate report templates including legal, financial, Human Resource, </w:t>
      </w:r>
      <w:proofErr w:type="gramStart"/>
      <w:r>
        <w:t>equalities</w:t>
      </w:r>
      <w:proofErr w:type="gramEnd"/>
      <w:r>
        <w:t xml:space="preserve"> and risk appraisal</w:t>
      </w:r>
    </w:p>
    <w:p w14:paraId="69F4964E" w14:textId="77777777" w:rsidR="00950C2C" w:rsidRDefault="00950C2C" w:rsidP="00950C2C">
      <w:pPr>
        <w:pStyle w:val="Bulletpointliststyle2"/>
      </w:pPr>
      <w:r>
        <w:t>Corporate Risk Management framework</w:t>
      </w:r>
    </w:p>
    <w:p w14:paraId="673730B6" w14:textId="77777777" w:rsidR="00950C2C" w:rsidRDefault="00950C2C" w:rsidP="00950C2C">
      <w:pPr>
        <w:pStyle w:val="Bulletpointliststyle2"/>
      </w:pPr>
      <w:r>
        <w:t>Audit Committee review of risks</w:t>
      </w:r>
    </w:p>
    <w:p w14:paraId="4B54920E" w14:textId="77777777" w:rsidR="00950C2C" w:rsidRDefault="00950C2C" w:rsidP="00950C2C">
      <w:pPr>
        <w:pStyle w:val="Bulletpointliststyle2"/>
      </w:pPr>
      <w:r>
        <w:t>MTFS</w:t>
      </w:r>
    </w:p>
    <w:p w14:paraId="0673F80F" w14:textId="77777777" w:rsidR="00950C2C" w:rsidRPr="00F302B5" w:rsidRDefault="00950C2C" w:rsidP="00950C2C">
      <w:pPr>
        <w:pStyle w:val="Bulletpointliststyle2"/>
      </w:pPr>
      <w:r w:rsidRPr="00F302B5">
        <w:t>Capital Programme including Capital Gateway assessment process</w:t>
      </w:r>
    </w:p>
    <w:p w14:paraId="2A000A2D" w14:textId="77777777" w:rsidR="00950C2C" w:rsidRPr="00F302B5" w:rsidRDefault="00950C2C" w:rsidP="00950C2C">
      <w:pPr>
        <w:pStyle w:val="Bulletpointliststyle2"/>
      </w:pPr>
      <w:r w:rsidRPr="00F302B5">
        <w:t>Project Management Framework</w:t>
      </w:r>
    </w:p>
    <w:p w14:paraId="5E933910" w14:textId="77777777" w:rsidR="00950C2C" w:rsidRPr="00F302B5" w:rsidRDefault="00950C2C" w:rsidP="00950C2C">
      <w:pPr>
        <w:pStyle w:val="Bulletpointliststyle2"/>
      </w:pPr>
      <w:r w:rsidRPr="00F302B5">
        <w:t>Business Case development</w:t>
      </w:r>
    </w:p>
    <w:p w14:paraId="5100F70C" w14:textId="77777777" w:rsidR="00950C2C" w:rsidRPr="00F302B5" w:rsidRDefault="00950C2C" w:rsidP="00950C2C">
      <w:pPr>
        <w:pStyle w:val="Bulletpointliststyle2"/>
      </w:pPr>
      <w:r w:rsidRPr="00F302B5">
        <w:t>Weighted Benefit Model</w:t>
      </w:r>
    </w:p>
    <w:p w14:paraId="2D127834" w14:textId="77777777" w:rsidR="00950C2C" w:rsidRPr="00F302B5" w:rsidRDefault="00950C2C" w:rsidP="00950C2C">
      <w:pPr>
        <w:pStyle w:val="Bulletpointliststyle2"/>
      </w:pPr>
      <w:r w:rsidRPr="00F302B5">
        <w:t>Service Plans</w:t>
      </w:r>
    </w:p>
    <w:p w14:paraId="389A2B7F" w14:textId="77777777" w:rsidR="00950C2C" w:rsidRDefault="00950C2C" w:rsidP="00950C2C">
      <w:pPr>
        <w:pStyle w:val="Bulletpointliststyle2"/>
      </w:pPr>
      <w:r>
        <w:t>Performance management processes</w:t>
      </w:r>
    </w:p>
    <w:p w14:paraId="0D83815B" w14:textId="77777777" w:rsidR="00950C2C" w:rsidRDefault="00950C2C" w:rsidP="00950C2C">
      <w:pPr>
        <w:pStyle w:val="Bulletpointliststyle2"/>
      </w:pPr>
      <w:r>
        <w:t>Contract Procedure Rules</w:t>
      </w:r>
    </w:p>
    <w:p w14:paraId="090627D9" w14:textId="77777777" w:rsidR="00950C2C" w:rsidRDefault="00950C2C" w:rsidP="00950C2C">
      <w:pPr>
        <w:pStyle w:val="Bulletpointliststyle2"/>
      </w:pPr>
      <w:r>
        <w:t>Procurement Strategy</w:t>
      </w:r>
    </w:p>
    <w:p w14:paraId="4B464AC5" w14:textId="77777777" w:rsidR="00034610" w:rsidRDefault="00950C2C" w:rsidP="00950C2C">
      <w:pPr>
        <w:pStyle w:val="Bulletpointliststyle2"/>
      </w:pPr>
      <w:r>
        <w:t xml:space="preserve">Social Value Policy </w:t>
      </w:r>
    </w:p>
    <w:p w14:paraId="76E97A7A" w14:textId="626802F5" w:rsidR="00950C2C" w:rsidRPr="00F302B5" w:rsidRDefault="00950C2C" w:rsidP="00950C2C">
      <w:pPr>
        <w:pStyle w:val="Bulletpointliststyle2"/>
      </w:pPr>
      <w:r>
        <w:t>Ashfield Health and Wellbeing Partnership</w:t>
      </w:r>
    </w:p>
    <w:p w14:paraId="68BB8BFE" w14:textId="77777777" w:rsidR="00E45E04" w:rsidRDefault="00E45E04" w:rsidP="00526E21">
      <w:pPr>
        <w:rPr>
          <w:lang w:eastAsia="en-GB"/>
        </w:rPr>
        <w:sectPr w:rsidR="00E45E04">
          <w:pgSz w:w="11906" w:h="16838"/>
          <w:pgMar w:top="1440" w:right="1440" w:bottom="1440" w:left="1440" w:header="708" w:footer="708" w:gutter="0"/>
          <w:cols w:space="708"/>
          <w:docGrid w:linePitch="360"/>
        </w:sectPr>
      </w:pPr>
    </w:p>
    <w:p w14:paraId="76285E93" w14:textId="22962346" w:rsidR="00034610" w:rsidRDefault="00034610" w:rsidP="00E45E04">
      <w:pPr>
        <w:pStyle w:val="Heading2"/>
        <w:rPr>
          <w:lang w:eastAsia="en-GB"/>
        </w:rPr>
      </w:pPr>
      <w:r>
        <w:rPr>
          <w:lang w:eastAsia="en-GB"/>
        </w:rPr>
        <w:lastRenderedPageBreak/>
        <w:t>Principle D</w:t>
      </w:r>
    </w:p>
    <w:p w14:paraId="04CCEEE8" w14:textId="216B7BC9" w:rsidR="00034610" w:rsidRDefault="00034610" w:rsidP="00526E21">
      <w:pPr>
        <w:rPr>
          <w:rFonts w:cs="Arial"/>
          <w:szCs w:val="24"/>
        </w:rPr>
      </w:pPr>
      <w:r w:rsidRPr="00904211">
        <w:rPr>
          <w:rFonts w:cs="Arial"/>
          <w:szCs w:val="24"/>
        </w:rPr>
        <w:t>Determining the interventions necessary to optimise the achievement of the intended outcomes</w:t>
      </w:r>
    </w:p>
    <w:p w14:paraId="30FB7796" w14:textId="344D5CB9" w:rsidR="00034610" w:rsidRDefault="00034610" w:rsidP="00526E21">
      <w:pPr>
        <w:rPr>
          <w:rFonts w:cs="Arial"/>
          <w:szCs w:val="24"/>
        </w:rPr>
      </w:pPr>
      <w:r w:rsidRPr="00D36923">
        <w:rPr>
          <w:rFonts w:cs="Arial"/>
          <w:szCs w:val="24"/>
        </w:rPr>
        <w:t>This will be achieved by</w:t>
      </w:r>
      <w:r>
        <w:rPr>
          <w:rFonts w:cs="Arial"/>
          <w:szCs w:val="24"/>
        </w:rPr>
        <w:t xml:space="preserve">: </w:t>
      </w:r>
    </w:p>
    <w:p w14:paraId="4F503599" w14:textId="77777777" w:rsidR="00034610" w:rsidRPr="008E7763" w:rsidRDefault="00034610" w:rsidP="00034610">
      <w:pPr>
        <w:pStyle w:val="Bulletpointliststyle2"/>
      </w:pPr>
      <w:r>
        <w:t xml:space="preserve">The </w:t>
      </w:r>
      <w:r w:rsidRPr="008E7763">
        <w:t>achieve</w:t>
      </w:r>
      <w:r>
        <w:t>ment of</w:t>
      </w:r>
      <w:r w:rsidRPr="008E7763">
        <w:t xml:space="preserve"> its Corporate Plan objectives </w:t>
      </w:r>
      <w:proofErr w:type="gramStart"/>
      <w:r w:rsidRPr="008E7763">
        <w:t>are</w:t>
      </w:r>
      <w:proofErr w:type="gramEnd"/>
      <w:r w:rsidRPr="008E7763">
        <w:t xml:space="preserve"> planned through a number of Programme Boards, which encompass:</w:t>
      </w:r>
    </w:p>
    <w:p w14:paraId="5324FF6E" w14:textId="77777777" w:rsidR="00034610" w:rsidRPr="00AF4443" w:rsidRDefault="00034610" w:rsidP="00034610">
      <w:pPr>
        <w:pStyle w:val="Bulletpointliststyle2"/>
        <w:numPr>
          <w:ilvl w:val="1"/>
          <w:numId w:val="2"/>
        </w:numPr>
      </w:pPr>
      <w:r w:rsidRPr="00AF4443">
        <w:t>Regeneration</w:t>
      </w:r>
    </w:p>
    <w:p w14:paraId="4D67F86D" w14:textId="77777777" w:rsidR="00034610" w:rsidRPr="00AF4443" w:rsidRDefault="00034610" w:rsidP="00034610">
      <w:pPr>
        <w:pStyle w:val="Bulletpointliststyle2"/>
        <w:numPr>
          <w:ilvl w:val="1"/>
          <w:numId w:val="2"/>
        </w:numPr>
      </w:pPr>
      <w:r>
        <w:t xml:space="preserve">Commercial </w:t>
      </w:r>
      <w:r w:rsidRPr="00F302B5">
        <w:t>Investment Working Group</w:t>
      </w:r>
    </w:p>
    <w:p w14:paraId="28B242CB" w14:textId="77777777" w:rsidR="00034610" w:rsidRPr="00F302B5" w:rsidRDefault="00034610" w:rsidP="00034610">
      <w:pPr>
        <w:pStyle w:val="Bulletpointliststyle2"/>
        <w:numPr>
          <w:ilvl w:val="1"/>
          <w:numId w:val="2"/>
        </w:numPr>
      </w:pPr>
      <w:r w:rsidRPr="00F302B5">
        <w:t>Digital and Service Transformation Board</w:t>
      </w:r>
    </w:p>
    <w:p w14:paraId="59B92D60" w14:textId="77777777" w:rsidR="00034610" w:rsidRPr="00F302B5" w:rsidRDefault="00034610" w:rsidP="00034610">
      <w:pPr>
        <w:pStyle w:val="Bulletpointliststyle2"/>
        <w:numPr>
          <w:ilvl w:val="1"/>
          <w:numId w:val="2"/>
        </w:numPr>
      </w:pPr>
      <w:r w:rsidRPr="00F302B5">
        <w:t>Health and Well Being</w:t>
      </w:r>
    </w:p>
    <w:p w14:paraId="15B8FA09" w14:textId="77777777" w:rsidR="00034610" w:rsidRDefault="00034610" w:rsidP="00034610">
      <w:pPr>
        <w:pStyle w:val="Bulletpointliststyle2"/>
        <w:numPr>
          <w:ilvl w:val="1"/>
          <w:numId w:val="2"/>
        </w:numPr>
      </w:pPr>
      <w:r>
        <w:t xml:space="preserve">Discover Ashfield </w:t>
      </w:r>
    </w:p>
    <w:p w14:paraId="4E10FA82" w14:textId="0D7D29CB" w:rsidR="00034610" w:rsidRDefault="00034610" w:rsidP="00034610">
      <w:pPr>
        <w:pStyle w:val="Bulletpointliststyle2"/>
        <w:numPr>
          <w:ilvl w:val="1"/>
          <w:numId w:val="2"/>
        </w:numPr>
      </w:pPr>
      <w:r w:rsidRPr="00F302B5">
        <w:t>Efficiency</w:t>
      </w:r>
    </w:p>
    <w:p w14:paraId="0F1A0E03" w14:textId="77777777" w:rsidR="00034610" w:rsidRPr="00F302B5" w:rsidRDefault="00034610" w:rsidP="00034610">
      <w:pPr>
        <w:pStyle w:val="Bulletpointliststyle2"/>
      </w:pPr>
      <w:r w:rsidRPr="00F302B5">
        <w:t>Business cases</w:t>
      </w:r>
    </w:p>
    <w:p w14:paraId="759847CD" w14:textId="77777777" w:rsidR="00034610" w:rsidRDefault="00034610" w:rsidP="00034610">
      <w:pPr>
        <w:pStyle w:val="Bulletpointliststyle2"/>
      </w:pPr>
      <w:r>
        <w:t xml:space="preserve">Project framework </w:t>
      </w:r>
    </w:p>
    <w:p w14:paraId="6E0784F2" w14:textId="77777777" w:rsidR="00034610" w:rsidRDefault="00034610" w:rsidP="00034610">
      <w:pPr>
        <w:pStyle w:val="Bulletpointliststyle2"/>
      </w:pPr>
      <w:r>
        <w:t>Weighted Benefit Mode</w:t>
      </w:r>
    </w:p>
    <w:p w14:paraId="31843352" w14:textId="77777777" w:rsidR="00034610" w:rsidRDefault="00034610" w:rsidP="00034610">
      <w:pPr>
        <w:pStyle w:val="Bulletpointliststyle2"/>
      </w:pPr>
      <w:r>
        <w:t>MTFS, capital programme</w:t>
      </w:r>
    </w:p>
    <w:p w14:paraId="37B1B0EC" w14:textId="77777777" w:rsidR="00034610" w:rsidRDefault="00034610" w:rsidP="00034610">
      <w:pPr>
        <w:pStyle w:val="Bulletpointliststyle2"/>
      </w:pPr>
      <w:r>
        <w:t>Budget setting and monitoring processes</w:t>
      </w:r>
    </w:p>
    <w:p w14:paraId="36DD294C" w14:textId="77777777" w:rsidR="00034610" w:rsidRDefault="00034610" w:rsidP="00034610">
      <w:pPr>
        <w:pStyle w:val="Bulletpointliststyle2"/>
      </w:pPr>
      <w:r>
        <w:t>Corporate report templates including legal, financial, human resource and risk appraisal</w:t>
      </w:r>
    </w:p>
    <w:p w14:paraId="5D862119" w14:textId="77777777" w:rsidR="00034610" w:rsidRDefault="00034610" w:rsidP="00034610">
      <w:pPr>
        <w:pStyle w:val="Bulletpointliststyle2"/>
      </w:pPr>
      <w:r>
        <w:t>Council’s website</w:t>
      </w:r>
    </w:p>
    <w:p w14:paraId="7DB0A9C6" w14:textId="77777777" w:rsidR="00034610" w:rsidRPr="008E7763" w:rsidRDefault="00034610" w:rsidP="00034610">
      <w:pPr>
        <w:pStyle w:val="Bulletpointliststyle2"/>
      </w:pPr>
      <w:r>
        <w:t>Overview and Scrutiny func</w:t>
      </w:r>
      <w:r w:rsidRPr="008E7763">
        <w:t>tions</w:t>
      </w:r>
    </w:p>
    <w:p w14:paraId="7D6E0E22" w14:textId="77777777" w:rsidR="00034610" w:rsidRDefault="00034610" w:rsidP="00034610">
      <w:pPr>
        <w:pStyle w:val="Bulletpointliststyle2"/>
      </w:pPr>
      <w:r>
        <w:t>Consultation arrangements</w:t>
      </w:r>
    </w:p>
    <w:p w14:paraId="02211C47" w14:textId="77777777" w:rsidR="00034610" w:rsidRDefault="00034610" w:rsidP="00034610">
      <w:pPr>
        <w:pStyle w:val="Bulletpointliststyle2"/>
      </w:pPr>
      <w:r>
        <w:t>Service Plans</w:t>
      </w:r>
    </w:p>
    <w:p w14:paraId="4B466EE3" w14:textId="77777777" w:rsidR="00034610" w:rsidRDefault="00034610" w:rsidP="00034610">
      <w:pPr>
        <w:pStyle w:val="Bulletpointliststyle2"/>
      </w:pPr>
      <w:r>
        <w:t>Weekly Corporate Leadership Team meetings</w:t>
      </w:r>
    </w:p>
    <w:p w14:paraId="6818E2EA" w14:textId="77777777" w:rsidR="00034610" w:rsidRDefault="00034610" w:rsidP="00034610">
      <w:pPr>
        <w:pStyle w:val="Bulletpointliststyle2"/>
      </w:pPr>
      <w:r>
        <w:t>Regular Senior Leadership Team Meetings</w:t>
      </w:r>
    </w:p>
    <w:p w14:paraId="1DC623CB" w14:textId="77777777" w:rsidR="00034610" w:rsidRDefault="00034610" w:rsidP="00034610">
      <w:pPr>
        <w:pStyle w:val="Bulletpointliststyle2"/>
      </w:pPr>
      <w:r>
        <w:t>Directorate Management Team meetings</w:t>
      </w:r>
    </w:p>
    <w:p w14:paraId="5557F517" w14:textId="77777777" w:rsidR="00034610" w:rsidRDefault="00034610" w:rsidP="00034610">
      <w:pPr>
        <w:pStyle w:val="Bulletpointliststyle2"/>
      </w:pPr>
      <w:r>
        <w:t>1-2-1 meetings</w:t>
      </w:r>
    </w:p>
    <w:p w14:paraId="2A626519" w14:textId="77777777" w:rsidR="00034610" w:rsidRDefault="00034610" w:rsidP="00034610">
      <w:pPr>
        <w:pStyle w:val="Bulletpointliststyle2"/>
      </w:pPr>
      <w:r>
        <w:t>Performance framework and reporting</w:t>
      </w:r>
    </w:p>
    <w:p w14:paraId="1BCD3F95" w14:textId="77777777" w:rsidR="00034610" w:rsidRDefault="00034610" w:rsidP="00034610">
      <w:pPr>
        <w:pStyle w:val="Bulletpointliststyle2"/>
      </w:pPr>
      <w:r>
        <w:t>Value for Money assessment by external auditor</w:t>
      </w:r>
    </w:p>
    <w:p w14:paraId="3224E8B9" w14:textId="77777777" w:rsidR="00E45E04" w:rsidRDefault="00E45E04" w:rsidP="00E45E04">
      <w:pPr>
        <w:sectPr w:rsidR="00E45E04">
          <w:pgSz w:w="11906" w:h="16838"/>
          <w:pgMar w:top="1440" w:right="1440" w:bottom="1440" w:left="1440" w:header="708" w:footer="708" w:gutter="0"/>
          <w:cols w:space="708"/>
          <w:docGrid w:linePitch="360"/>
        </w:sectPr>
      </w:pPr>
    </w:p>
    <w:p w14:paraId="2BDA829D" w14:textId="28E64D0B" w:rsidR="00034610" w:rsidRDefault="00A57C1F" w:rsidP="00E45E04">
      <w:pPr>
        <w:pStyle w:val="Heading2"/>
        <w:rPr>
          <w:rFonts w:eastAsiaTheme="minorHAnsi"/>
        </w:rPr>
      </w:pPr>
      <w:r>
        <w:lastRenderedPageBreak/>
        <w:t>Principle E</w:t>
      </w:r>
    </w:p>
    <w:p w14:paraId="28928DFB" w14:textId="36721E22" w:rsidR="00A57C1F" w:rsidRDefault="00A57C1F" w:rsidP="00034610">
      <w:pPr>
        <w:rPr>
          <w:rFonts w:cs="Arial"/>
          <w:szCs w:val="24"/>
        </w:rPr>
      </w:pPr>
      <w:r w:rsidRPr="00904211">
        <w:rPr>
          <w:rFonts w:cs="Arial"/>
          <w:szCs w:val="24"/>
        </w:rPr>
        <w:t>Developing the entity’s capacity, including the capability of its leadership and the individuals within it</w:t>
      </w:r>
    </w:p>
    <w:p w14:paraId="7A3F38C0" w14:textId="4F077519" w:rsidR="00A57C1F" w:rsidRDefault="00A57C1F" w:rsidP="00034610">
      <w:pPr>
        <w:rPr>
          <w:rFonts w:cs="Arial"/>
          <w:szCs w:val="24"/>
        </w:rPr>
      </w:pPr>
      <w:r w:rsidRPr="00D36923">
        <w:rPr>
          <w:rFonts w:cs="Arial"/>
          <w:szCs w:val="24"/>
        </w:rPr>
        <w:t>This will be achieved by</w:t>
      </w:r>
      <w:r>
        <w:rPr>
          <w:rFonts w:cs="Arial"/>
          <w:szCs w:val="24"/>
        </w:rPr>
        <w:t>:</w:t>
      </w:r>
    </w:p>
    <w:p w14:paraId="54010296" w14:textId="77777777" w:rsidR="00A57C1F" w:rsidRDefault="00A57C1F" w:rsidP="00A57C1F">
      <w:pPr>
        <w:pStyle w:val="Bulletpointliststyle2"/>
      </w:pPr>
      <w:r>
        <w:t>Corporate Plan</w:t>
      </w:r>
    </w:p>
    <w:p w14:paraId="45CD136D" w14:textId="77777777" w:rsidR="00A57C1F" w:rsidRPr="00994EF6" w:rsidRDefault="00A57C1F" w:rsidP="00A57C1F">
      <w:pPr>
        <w:pStyle w:val="Bulletpointliststyle2"/>
      </w:pPr>
      <w:r>
        <w:t xml:space="preserve">The Constitution </w:t>
      </w:r>
      <w:r w:rsidRPr="009C2828">
        <w:t>(including Scheme of Delegation)</w:t>
      </w:r>
    </w:p>
    <w:p w14:paraId="676F1BC1" w14:textId="77777777" w:rsidR="00A57C1F" w:rsidRPr="00994EF6" w:rsidRDefault="00A57C1F" w:rsidP="00A57C1F">
      <w:pPr>
        <w:pStyle w:val="Bulletpointliststyle2"/>
      </w:pPr>
      <w:r>
        <w:t>Member</w:t>
      </w:r>
      <w:r w:rsidRPr="00994EF6">
        <w:t>s</w:t>
      </w:r>
      <w:r>
        <w:t>’</w:t>
      </w:r>
      <w:r w:rsidRPr="00994EF6">
        <w:t xml:space="preserve"> Code of Conduct</w:t>
      </w:r>
    </w:p>
    <w:p w14:paraId="2C88AF2E" w14:textId="77777777" w:rsidR="00A57C1F" w:rsidRPr="00994EF6" w:rsidRDefault="00A57C1F" w:rsidP="00A57C1F">
      <w:pPr>
        <w:pStyle w:val="Bulletpointliststyle2"/>
      </w:pPr>
      <w:r w:rsidRPr="00994EF6">
        <w:t>Employees’ Code of Conduct</w:t>
      </w:r>
    </w:p>
    <w:p w14:paraId="12B5390D" w14:textId="77777777" w:rsidR="00A57C1F" w:rsidRPr="00994EF6" w:rsidRDefault="00A57C1F" w:rsidP="00A57C1F">
      <w:pPr>
        <w:pStyle w:val="Bulletpointliststyle2"/>
      </w:pPr>
      <w:r>
        <w:t>Equalities policies</w:t>
      </w:r>
    </w:p>
    <w:p w14:paraId="4D5A6A2F" w14:textId="77777777" w:rsidR="00A57C1F" w:rsidRDefault="00A57C1F" w:rsidP="00A57C1F">
      <w:pPr>
        <w:pStyle w:val="Bulletpointliststyle2"/>
      </w:pPr>
      <w:r>
        <w:t>Officer and Member development strategies</w:t>
      </w:r>
    </w:p>
    <w:p w14:paraId="20A86B56" w14:textId="77777777" w:rsidR="00A57C1F" w:rsidRDefault="00A57C1F" w:rsidP="00A57C1F">
      <w:pPr>
        <w:pStyle w:val="Bulletpointliststyle2"/>
      </w:pPr>
      <w:r>
        <w:t>Personal Development Reviews</w:t>
      </w:r>
    </w:p>
    <w:p w14:paraId="782A890C" w14:textId="77777777" w:rsidR="00A57C1F" w:rsidRDefault="00A57C1F" w:rsidP="00A57C1F">
      <w:pPr>
        <w:pStyle w:val="Bulletpointliststyle2"/>
      </w:pPr>
      <w:r>
        <w:t>Officer Competency framework</w:t>
      </w:r>
    </w:p>
    <w:p w14:paraId="12D88427" w14:textId="77777777" w:rsidR="00A57C1F" w:rsidRDefault="00A57C1F" w:rsidP="00A57C1F">
      <w:pPr>
        <w:pStyle w:val="Bulletpointliststyle2"/>
      </w:pPr>
      <w:r>
        <w:t>C</w:t>
      </w:r>
      <w:r w:rsidRPr="00F867C4">
        <w:t>learly defined roles</w:t>
      </w:r>
      <w:r>
        <w:t xml:space="preserve"> – job descriptions, person specifications </w:t>
      </w:r>
    </w:p>
    <w:p w14:paraId="17528A23" w14:textId="77777777" w:rsidR="00A57C1F" w:rsidRDefault="00A57C1F" w:rsidP="00A57C1F">
      <w:pPr>
        <w:pStyle w:val="Bulletpointliststyle2"/>
      </w:pPr>
      <w:r>
        <w:t>Recruitment and selection procedures</w:t>
      </w:r>
    </w:p>
    <w:p w14:paraId="548A1C82" w14:textId="77777777" w:rsidR="00A57C1F" w:rsidRDefault="00A57C1F" w:rsidP="00A57C1F">
      <w:pPr>
        <w:pStyle w:val="Bulletpointliststyle2"/>
      </w:pPr>
      <w:r>
        <w:t>Staff surveys</w:t>
      </w:r>
    </w:p>
    <w:p w14:paraId="51747F1E" w14:textId="77777777" w:rsidR="00A57C1F" w:rsidRDefault="00A57C1F" w:rsidP="00A57C1F">
      <w:pPr>
        <w:pStyle w:val="Bulletpointliststyle2"/>
      </w:pPr>
      <w:r>
        <w:t>Cross Party Update Group</w:t>
      </w:r>
    </w:p>
    <w:p w14:paraId="7D3D7E35" w14:textId="77777777" w:rsidR="00A57C1F" w:rsidRPr="00F867C4" w:rsidRDefault="00A57C1F" w:rsidP="00A57C1F">
      <w:pPr>
        <w:pStyle w:val="Bulletpointliststyle2"/>
      </w:pPr>
      <w:r>
        <w:t>Peer Challenge</w:t>
      </w:r>
    </w:p>
    <w:p w14:paraId="41A98DBA" w14:textId="77777777" w:rsidR="00E45E04" w:rsidRDefault="00E45E04" w:rsidP="00034610">
      <w:pPr>
        <w:sectPr w:rsidR="00E45E04">
          <w:pgSz w:w="11906" w:h="16838"/>
          <w:pgMar w:top="1440" w:right="1440" w:bottom="1440" w:left="1440" w:header="708" w:footer="708" w:gutter="0"/>
          <w:cols w:space="708"/>
          <w:docGrid w:linePitch="360"/>
        </w:sectPr>
      </w:pPr>
    </w:p>
    <w:p w14:paraId="230C96B0" w14:textId="4BDB6C7D" w:rsidR="00A57C1F" w:rsidRDefault="00A57C1F" w:rsidP="00E45E04">
      <w:pPr>
        <w:pStyle w:val="Heading2"/>
        <w:rPr>
          <w:rFonts w:eastAsiaTheme="minorHAnsi"/>
        </w:rPr>
      </w:pPr>
      <w:r>
        <w:lastRenderedPageBreak/>
        <w:t>Principle F</w:t>
      </w:r>
    </w:p>
    <w:p w14:paraId="472D1BDF" w14:textId="56B630F9" w:rsidR="00A57C1F" w:rsidRDefault="00A57C1F" w:rsidP="00034610">
      <w:pPr>
        <w:rPr>
          <w:rFonts w:cs="Arial"/>
          <w:szCs w:val="24"/>
        </w:rPr>
      </w:pPr>
      <w:r w:rsidRPr="00904211">
        <w:rPr>
          <w:rFonts w:cs="Arial"/>
          <w:szCs w:val="24"/>
        </w:rPr>
        <w:t xml:space="preserve">Managing risks and performance through robust </w:t>
      </w:r>
      <w:r>
        <w:rPr>
          <w:rFonts w:cs="Arial"/>
          <w:szCs w:val="24"/>
        </w:rPr>
        <w:t xml:space="preserve">internal </w:t>
      </w:r>
      <w:r w:rsidRPr="00904211">
        <w:rPr>
          <w:rFonts w:cs="Arial"/>
          <w:szCs w:val="24"/>
        </w:rPr>
        <w:t>control and strong public financial management</w:t>
      </w:r>
    </w:p>
    <w:p w14:paraId="5705F064" w14:textId="6B03DFCD" w:rsidR="00A57C1F" w:rsidRDefault="00A57C1F" w:rsidP="00034610">
      <w:pPr>
        <w:rPr>
          <w:rFonts w:cs="Arial"/>
          <w:szCs w:val="24"/>
        </w:rPr>
      </w:pPr>
      <w:r w:rsidRPr="00D36923">
        <w:rPr>
          <w:rFonts w:cs="Arial"/>
          <w:szCs w:val="24"/>
        </w:rPr>
        <w:t>This will be achieved by</w:t>
      </w:r>
      <w:r>
        <w:rPr>
          <w:rFonts w:cs="Arial"/>
          <w:szCs w:val="24"/>
        </w:rPr>
        <w:t>:</w:t>
      </w:r>
    </w:p>
    <w:p w14:paraId="7AC574BB" w14:textId="77777777" w:rsidR="00A57C1F" w:rsidRPr="00F302B5" w:rsidRDefault="00A57C1F" w:rsidP="00A57C1F">
      <w:pPr>
        <w:pStyle w:val="Bulletpointliststyle2"/>
      </w:pPr>
      <w:r w:rsidRPr="00F302B5">
        <w:t>Corporate Risk Register is regularly updated and considered by the Audit Committee</w:t>
      </w:r>
    </w:p>
    <w:p w14:paraId="041C135D" w14:textId="77777777" w:rsidR="00A57C1F" w:rsidRPr="00F302B5" w:rsidRDefault="00A57C1F" w:rsidP="00A57C1F">
      <w:pPr>
        <w:pStyle w:val="Bulletpointliststyle2"/>
      </w:pPr>
      <w:r w:rsidRPr="00F302B5">
        <w:t>Directorate risk registers</w:t>
      </w:r>
    </w:p>
    <w:p w14:paraId="441F79C7" w14:textId="77777777" w:rsidR="00A57C1F" w:rsidRPr="00F302B5" w:rsidRDefault="00A57C1F" w:rsidP="00A57C1F">
      <w:pPr>
        <w:pStyle w:val="Bulletpointliststyle2"/>
      </w:pPr>
      <w:r w:rsidRPr="00F302B5">
        <w:t>Performance monitoring and reporting</w:t>
      </w:r>
    </w:p>
    <w:p w14:paraId="068F9A78" w14:textId="77777777" w:rsidR="00A57C1F" w:rsidRPr="00F302B5" w:rsidRDefault="00A57C1F" w:rsidP="00A57C1F">
      <w:pPr>
        <w:pStyle w:val="Bulletpointliststyle2"/>
      </w:pPr>
      <w:r w:rsidRPr="00F302B5">
        <w:t xml:space="preserve">Corporate report templates including legal, financial, human resource, </w:t>
      </w:r>
      <w:proofErr w:type="gramStart"/>
      <w:r w:rsidRPr="00F302B5">
        <w:t>equalities</w:t>
      </w:r>
      <w:proofErr w:type="gramEnd"/>
      <w:r w:rsidRPr="00F302B5">
        <w:t xml:space="preserve"> and risk appraisal</w:t>
      </w:r>
    </w:p>
    <w:p w14:paraId="4E259288" w14:textId="77777777" w:rsidR="00A57C1F" w:rsidRPr="00F302B5" w:rsidRDefault="00A57C1F" w:rsidP="00A57C1F">
      <w:pPr>
        <w:pStyle w:val="Bulletpointliststyle2"/>
      </w:pPr>
      <w:r w:rsidRPr="00F302B5">
        <w:t>Overview and Scrutiny function</w:t>
      </w:r>
    </w:p>
    <w:p w14:paraId="12735A4E" w14:textId="77777777" w:rsidR="00A57C1F" w:rsidRPr="00F302B5" w:rsidRDefault="00A57C1F" w:rsidP="00A57C1F">
      <w:pPr>
        <w:pStyle w:val="Bulletpointliststyle2"/>
      </w:pPr>
      <w:r w:rsidRPr="00F302B5">
        <w:t>MTFS</w:t>
      </w:r>
    </w:p>
    <w:p w14:paraId="6E5C0F37" w14:textId="77777777" w:rsidR="00A57C1F" w:rsidRPr="00F302B5" w:rsidRDefault="00A57C1F" w:rsidP="00A57C1F">
      <w:pPr>
        <w:pStyle w:val="Bulletpointliststyle2"/>
      </w:pPr>
      <w:r w:rsidRPr="00F302B5">
        <w:t>Capital Programme</w:t>
      </w:r>
    </w:p>
    <w:p w14:paraId="5CC0A99D" w14:textId="77777777" w:rsidR="00A57C1F" w:rsidRPr="00F302B5" w:rsidRDefault="00A57C1F" w:rsidP="00A57C1F">
      <w:pPr>
        <w:pStyle w:val="Bulletpointliststyle2"/>
      </w:pPr>
      <w:r w:rsidRPr="00F302B5">
        <w:t>Financial Regulations</w:t>
      </w:r>
    </w:p>
    <w:p w14:paraId="6637D6F5" w14:textId="77777777" w:rsidR="00A57C1F" w:rsidRPr="00F302B5" w:rsidRDefault="00A57C1F" w:rsidP="00A57C1F">
      <w:pPr>
        <w:pStyle w:val="Bulletpointliststyle2"/>
      </w:pPr>
      <w:r w:rsidRPr="00F302B5">
        <w:t>Budget reporting and monitoring</w:t>
      </w:r>
    </w:p>
    <w:p w14:paraId="073E5690" w14:textId="77777777" w:rsidR="00A57C1F" w:rsidRPr="00F302B5" w:rsidRDefault="00A57C1F" w:rsidP="00A57C1F">
      <w:pPr>
        <w:pStyle w:val="Bulletpointliststyle2"/>
      </w:pPr>
      <w:r w:rsidRPr="00F302B5">
        <w:t>Anti-Fraud and Corruption Policy &amp; Strategy</w:t>
      </w:r>
    </w:p>
    <w:p w14:paraId="7D8B98D1" w14:textId="77777777" w:rsidR="00A57C1F" w:rsidRPr="00F302B5" w:rsidRDefault="00A57C1F" w:rsidP="00A57C1F">
      <w:pPr>
        <w:pStyle w:val="Bulletpointliststyle2"/>
      </w:pPr>
      <w:r w:rsidRPr="00F302B5">
        <w:t>Equalities policies</w:t>
      </w:r>
    </w:p>
    <w:p w14:paraId="6F728734" w14:textId="77777777" w:rsidR="00A57C1F" w:rsidRPr="00F302B5" w:rsidRDefault="00A57C1F" w:rsidP="00A57C1F">
      <w:pPr>
        <w:pStyle w:val="Bulletpointliststyle2"/>
      </w:pPr>
      <w:r w:rsidRPr="00F302B5">
        <w:t>Whistle-blowing Policy</w:t>
      </w:r>
    </w:p>
    <w:p w14:paraId="17B9CAB5" w14:textId="77777777" w:rsidR="00A57C1F" w:rsidRPr="00F302B5" w:rsidRDefault="00A57C1F" w:rsidP="00A57C1F">
      <w:pPr>
        <w:pStyle w:val="Bulletpointliststyle2"/>
      </w:pPr>
      <w:r w:rsidRPr="00F302B5">
        <w:t>Anti-Bribery Policy Statement and Procedures</w:t>
      </w:r>
    </w:p>
    <w:p w14:paraId="4DA23C1F" w14:textId="77777777" w:rsidR="00A57C1F" w:rsidRPr="00F302B5" w:rsidRDefault="00A57C1F" w:rsidP="00A57C1F">
      <w:pPr>
        <w:pStyle w:val="Bulletpointliststyle2"/>
      </w:pPr>
      <w:r w:rsidRPr="00F302B5">
        <w:t>Anti-Money Laundering Policy Statement and Procedures</w:t>
      </w:r>
    </w:p>
    <w:p w14:paraId="63E95E35" w14:textId="77777777" w:rsidR="00A57C1F" w:rsidRPr="00F302B5" w:rsidRDefault="00A57C1F" w:rsidP="00A57C1F">
      <w:pPr>
        <w:pStyle w:val="Bulletpointliststyle2"/>
      </w:pPr>
      <w:r w:rsidRPr="00F302B5">
        <w:t>Emergency Planning and procedures and Business Continuity Plans</w:t>
      </w:r>
    </w:p>
    <w:p w14:paraId="2601D589" w14:textId="77777777" w:rsidR="00A57C1F" w:rsidRPr="00F302B5" w:rsidRDefault="00A57C1F" w:rsidP="00A57C1F">
      <w:pPr>
        <w:pStyle w:val="Bulletpointliststyle2"/>
      </w:pPr>
      <w:r w:rsidRPr="00F302B5">
        <w:t>Information management policies and procedures including implementation of GDPR</w:t>
      </w:r>
    </w:p>
    <w:p w14:paraId="2F69B4F9" w14:textId="77777777" w:rsidR="00A57C1F" w:rsidRPr="00F302B5" w:rsidRDefault="00A57C1F" w:rsidP="00A57C1F">
      <w:pPr>
        <w:pStyle w:val="Bulletpointliststyle2"/>
      </w:pPr>
      <w:r w:rsidRPr="00F302B5">
        <w:t>Publication Scheme</w:t>
      </w:r>
    </w:p>
    <w:p w14:paraId="055083E3" w14:textId="77777777" w:rsidR="00A57C1F" w:rsidRPr="00F302B5" w:rsidRDefault="00A57C1F" w:rsidP="00A57C1F">
      <w:pPr>
        <w:pStyle w:val="Bulletpointliststyle2"/>
      </w:pPr>
      <w:r w:rsidRPr="00F302B5">
        <w:t>Procurement Strategy</w:t>
      </w:r>
    </w:p>
    <w:p w14:paraId="7CE03D41" w14:textId="77777777" w:rsidR="00A57C1F" w:rsidRPr="00F302B5" w:rsidRDefault="00A57C1F" w:rsidP="00A57C1F">
      <w:pPr>
        <w:pStyle w:val="Bulletpointliststyle2"/>
      </w:pPr>
      <w:r w:rsidRPr="00F302B5">
        <w:t>Contract Procedure Rules</w:t>
      </w:r>
    </w:p>
    <w:p w14:paraId="419AE3BE" w14:textId="77777777" w:rsidR="00A57C1F" w:rsidRPr="00F302B5" w:rsidRDefault="00A57C1F" w:rsidP="00A57C1F">
      <w:pPr>
        <w:pStyle w:val="Bulletpointliststyle2"/>
      </w:pPr>
      <w:r w:rsidRPr="00F302B5">
        <w:t>Assessment of Value for Money by external auditors</w:t>
      </w:r>
    </w:p>
    <w:p w14:paraId="30FE4292" w14:textId="77777777" w:rsidR="00A57C1F" w:rsidRDefault="00A57C1F" w:rsidP="00A57C1F">
      <w:pPr>
        <w:pStyle w:val="Bulletpointliststyle2"/>
      </w:pPr>
      <w:r w:rsidRPr="009C2828">
        <w:t>Health and Safety Policies and Procedures</w:t>
      </w:r>
    </w:p>
    <w:p w14:paraId="3905D92E" w14:textId="77847EB8" w:rsidR="00A57C1F" w:rsidRDefault="00A57C1F" w:rsidP="00A57C1F">
      <w:pPr>
        <w:pStyle w:val="Bulletpointliststyle2"/>
      </w:pPr>
      <w:r w:rsidRPr="009C2828">
        <w:t>Fraud Risk Register</w:t>
      </w:r>
    </w:p>
    <w:p w14:paraId="38663C9D" w14:textId="77777777" w:rsidR="00E45E04" w:rsidRDefault="00E45E04" w:rsidP="00A57C1F">
      <w:pPr>
        <w:sectPr w:rsidR="00E45E04">
          <w:pgSz w:w="11906" w:h="16838"/>
          <w:pgMar w:top="1440" w:right="1440" w:bottom="1440" w:left="1440" w:header="708" w:footer="708" w:gutter="0"/>
          <w:cols w:space="708"/>
          <w:docGrid w:linePitch="360"/>
        </w:sectPr>
      </w:pPr>
    </w:p>
    <w:p w14:paraId="53012A7C" w14:textId="77118AE3" w:rsidR="00A57C1F" w:rsidRDefault="00A57C1F" w:rsidP="00E45E04">
      <w:pPr>
        <w:pStyle w:val="Heading2"/>
        <w:rPr>
          <w:rFonts w:eastAsiaTheme="minorHAnsi"/>
        </w:rPr>
      </w:pPr>
      <w:r>
        <w:lastRenderedPageBreak/>
        <w:t xml:space="preserve">Principle G </w:t>
      </w:r>
    </w:p>
    <w:p w14:paraId="590D5BCD" w14:textId="7A8C94EF" w:rsidR="00A57C1F" w:rsidRDefault="00A57C1F" w:rsidP="00A57C1F">
      <w:pPr>
        <w:rPr>
          <w:rFonts w:cs="Arial"/>
          <w:szCs w:val="24"/>
        </w:rPr>
      </w:pPr>
      <w:r w:rsidRPr="00904211">
        <w:rPr>
          <w:rFonts w:cs="Arial"/>
          <w:szCs w:val="24"/>
        </w:rPr>
        <w:t>Implementing good practices in transparency, reporting, and audit to deliver effective accountability</w:t>
      </w:r>
    </w:p>
    <w:p w14:paraId="27D8C646" w14:textId="15261B30" w:rsidR="00A57C1F" w:rsidRDefault="00A57C1F" w:rsidP="00A57C1F">
      <w:pPr>
        <w:rPr>
          <w:rFonts w:cs="Arial"/>
          <w:szCs w:val="24"/>
        </w:rPr>
      </w:pPr>
      <w:r w:rsidRPr="00D36923">
        <w:rPr>
          <w:rFonts w:cs="Arial"/>
          <w:szCs w:val="24"/>
        </w:rPr>
        <w:t>This will be achieved by</w:t>
      </w:r>
      <w:r>
        <w:rPr>
          <w:rFonts w:cs="Arial"/>
          <w:szCs w:val="24"/>
        </w:rPr>
        <w:t>:</w:t>
      </w:r>
    </w:p>
    <w:p w14:paraId="774BD906" w14:textId="77777777" w:rsidR="00A57C1F" w:rsidRPr="00F302B5" w:rsidRDefault="00A57C1F" w:rsidP="00A57C1F">
      <w:pPr>
        <w:pStyle w:val="Bulletpointliststyle2"/>
      </w:pPr>
      <w:r w:rsidRPr="00F302B5">
        <w:t>Council’s website and social media channels</w:t>
      </w:r>
    </w:p>
    <w:p w14:paraId="33D1A8EA" w14:textId="77777777" w:rsidR="00A57C1F" w:rsidRPr="00F302B5" w:rsidRDefault="00A57C1F" w:rsidP="00A57C1F">
      <w:pPr>
        <w:pStyle w:val="Bulletpointliststyle2"/>
      </w:pPr>
      <w:r w:rsidRPr="00F302B5">
        <w:t>Council Website – includes meeting agendas and minutes of current and archived meetings and decisions</w:t>
      </w:r>
    </w:p>
    <w:p w14:paraId="0D49E045" w14:textId="77777777" w:rsidR="00A57C1F" w:rsidRPr="00F302B5" w:rsidRDefault="00A57C1F" w:rsidP="00A57C1F">
      <w:pPr>
        <w:pStyle w:val="Bulletpointliststyle2"/>
      </w:pPr>
      <w:r w:rsidRPr="00F302B5">
        <w:t>Community Engagement and Consultation Strategy</w:t>
      </w:r>
    </w:p>
    <w:p w14:paraId="662D6093" w14:textId="77777777" w:rsidR="00A57C1F" w:rsidRPr="00F302B5" w:rsidRDefault="00A57C1F" w:rsidP="00A57C1F">
      <w:pPr>
        <w:pStyle w:val="Bulletpointliststyle2"/>
      </w:pPr>
      <w:r w:rsidRPr="00F302B5">
        <w:t>Pay Policy published</w:t>
      </w:r>
    </w:p>
    <w:p w14:paraId="75DED95E" w14:textId="77777777" w:rsidR="00A57C1F" w:rsidRPr="00F302B5" w:rsidRDefault="00A57C1F" w:rsidP="00A57C1F">
      <w:pPr>
        <w:pStyle w:val="Bulletpointliststyle2"/>
      </w:pPr>
      <w:r w:rsidRPr="00F302B5">
        <w:t>Publication Scheme</w:t>
      </w:r>
    </w:p>
    <w:p w14:paraId="0145CF8E" w14:textId="77777777" w:rsidR="00A57C1F" w:rsidRPr="00F302B5" w:rsidRDefault="00A57C1F" w:rsidP="00A57C1F">
      <w:pPr>
        <w:pStyle w:val="Bulletpointliststyle2"/>
      </w:pPr>
      <w:r w:rsidRPr="00F302B5">
        <w:t>Local Code of Corporate Governance – updated annually</w:t>
      </w:r>
    </w:p>
    <w:p w14:paraId="6E383D58" w14:textId="77777777" w:rsidR="00A57C1F" w:rsidRPr="00F302B5" w:rsidRDefault="00A57C1F" w:rsidP="00A57C1F">
      <w:pPr>
        <w:pStyle w:val="Bulletpointliststyle2"/>
      </w:pPr>
      <w:r w:rsidRPr="00F302B5">
        <w:t>Annual Governance Statement and Corporate Assurance Checklist are updated annually</w:t>
      </w:r>
    </w:p>
    <w:p w14:paraId="7E965319" w14:textId="77777777" w:rsidR="00A57C1F" w:rsidRPr="00F302B5" w:rsidRDefault="00A57C1F" w:rsidP="00A57C1F">
      <w:pPr>
        <w:pStyle w:val="Bulletpointliststyle2"/>
      </w:pPr>
      <w:r w:rsidRPr="00F302B5">
        <w:t>Reporting of performance</w:t>
      </w:r>
    </w:p>
    <w:p w14:paraId="67FEF4AB" w14:textId="77777777" w:rsidR="00A57C1F" w:rsidRPr="00F302B5" w:rsidRDefault="00A57C1F" w:rsidP="00A57C1F">
      <w:pPr>
        <w:pStyle w:val="Bulletpointliststyle2"/>
      </w:pPr>
      <w:r w:rsidRPr="00F302B5">
        <w:t>Publication of Annual Report and Statement of Accounts</w:t>
      </w:r>
    </w:p>
    <w:p w14:paraId="3AFD3770" w14:textId="77777777" w:rsidR="00A57C1F" w:rsidRPr="00F302B5" w:rsidRDefault="00A57C1F" w:rsidP="00A57C1F">
      <w:pPr>
        <w:pStyle w:val="Bulletpointliststyle2"/>
      </w:pPr>
      <w:r w:rsidRPr="00F302B5">
        <w:t xml:space="preserve">External auditors annual audit letter is published </w:t>
      </w:r>
    </w:p>
    <w:p w14:paraId="5341F812" w14:textId="77777777" w:rsidR="00A57C1F" w:rsidRDefault="00A57C1F" w:rsidP="00A57C1F">
      <w:pPr>
        <w:pStyle w:val="Bulletpointliststyle2"/>
      </w:pPr>
      <w:r w:rsidRPr="00F302B5">
        <w:t>Audit Committee</w:t>
      </w:r>
    </w:p>
    <w:p w14:paraId="47AE8315" w14:textId="59C770DF" w:rsidR="00A57C1F" w:rsidRPr="00CD255C" w:rsidRDefault="00A57C1F" w:rsidP="00A57C1F">
      <w:pPr>
        <w:pStyle w:val="Bulletpointliststyle2"/>
      </w:pPr>
      <w:r w:rsidRPr="00F302B5">
        <w:t>Peer Challenge</w:t>
      </w:r>
    </w:p>
    <w:p w14:paraId="6E65E46D" w14:textId="77777777" w:rsidR="00E13D51" w:rsidRDefault="00E13D51" w:rsidP="00E13D51"/>
    <w:sectPr w:rsidR="00E13D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28B0" w14:textId="77777777" w:rsidR="00B01105" w:rsidRDefault="00B01105" w:rsidP="00B01105">
      <w:pPr>
        <w:spacing w:after="0" w:line="240" w:lineRule="auto"/>
      </w:pPr>
      <w:r>
        <w:separator/>
      </w:r>
    </w:p>
  </w:endnote>
  <w:endnote w:type="continuationSeparator" w:id="0">
    <w:p w14:paraId="0380B156" w14:textId="77777777" w:rsidR="00B01105" w:rsidRDefault="00B01105" w:rsidP="00B011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08B4C" w14:textId="77777777" w:rsidR="00B01105" w:rsidRDefault="00B01105" w:rsidP="00B01105">
      <w:pPr>
        <w:spacing w:after="0" w:line="240" w:lineRule="auto"/>
      </w:pPr>
      <w:r>
        <w:separator/>
      </w:r>
    </w:p>
  </w:footnote>
  <w:footnote w:type="continuationSeparator" w:id="0">
    <w:p w14:paraId="3B3ED3B4" w14:textId="77777777" w:rsidR="00B01105" w:rsidRDefault="00B01105" w:rsidP="00B011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77E6F"/>
    <w:multiLevelType w:val="hybridMultilevel"/>
    <w:tmpl w:val="86281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4781C"/>
    <w:multiLevelType w:val="hybridMultilevel"/>
    <w:tmpl w:val="F7669118"/>
    <w:lvl w:ilvl="0" w:tplc="BFE0A3C2">
      <w:start w:val="1"/>
      <w:numFmt w:val="bullet"/>
      <w:pStyle w:val="Bulletpoint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D2BED"/>
    <w:multiLevelType w:val="hybridMultilevel"/>
    <w:tmpl w:val="5F4A3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366485"/>
    <w:multiLevelType w:val="hybridMultilevel"/>
    <w:tmpl w:val="50F8B618"/>
    <w:lvl w:ilvl="0" w:tplc="6E32F4DA">
      <w:start w:val="1"/>
      <w:numFmt w:val="upperLetter"/>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8490730"/>
    <w:multiLevelType w:val="hybridMultilevel"/>
    <w:tmpl w:val="DF6010E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02E6374"/>
    <w:multiLevelType w:val="hybridMultilevel"/>
    <w:tmpl w:val="5EE4A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F769A"/>
    <w:multiLevelType w:val="hybridMultilevel"/>
    <w:tmpl w:val="6C06B15A"/>
    <w:lvl w:ilvl="0" w:tplc="7C0674AA">
      <w:start w:val="1"/>
      <w:numFmt w:val="upperLetter"/>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6861CC2"/>
    <w:multiLevelType w:val="hybridMultilevel"/>
    <w:tmpl w:val="CE542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A27D09"/>
    <w:multiLevelType w:val="hybridMultilevel"/>
    <w:tmpl w:val="24D8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CB2A46"/>
    <w:multiLevelType w:val="hybridMultilevel"/>
    <w:tmpl w:val="5602FF10"/>
    <w:lvl w:ilvl="0" w:tplc="B4944392">
      <w:numFmt w:val="bullet"/>
      <w:lvlText w:val="•"/>
      <w:lvlJc w:val="left"/>
      <w:pPr>
        <w:ind w:left="1632" w:hanging="360"/>
      </w:pPr>
      <w:rPr>
        <w:rFonts w:ascii="Calibri" w:eastAsiaTheme="minorHAnsi" w:hAnsi="Calibri" w:cstheme="minorBidi" w:hint="default"/>
      </w:rPr>
    </w:lvl>
    <w:lvl w:ilvl="1" w:tplc="08090003" w:tentative="1">
      <w:start w:val="1"/>
      <w:numFmt w:val="bullet"/>
      <w:lvlText w:val="o"/>
      <w:lvlJc w:val="left"/>
      <w:pPr>
        <w:ind w:left="2352" w:hanging="360"/>
      </w:pPr>
      <w:rPr>
        <w:rFonts w:ascii="Courier New" w:hAnsi="Courier New" w:cs="Courier New" w:hint="default"/>
      </w:rPr>
    </w:lvl>
    <w:lvl w:ilvl="2" w:tplc="08090005" w:tentative="1">
      <w:start w:val="1"/>
      <w:numFmt w:val="bullet"/>
      <w:lvlText w:val=""/>
      <w:lvlJc w:val="left"/>
      <w:pPr>
        <w:ind w:left="3072" w:hanging="360"/>
      </w:pPr>
      <w:rPr>
        <w:rFonts w:ascii="Wingdings" w:hAnsi="Wingdings" w:hint="default"/>
      </w:rPr>
    </w:lvl>
    <w:lvl w:ilvl="3" w:tplc="08090001" w:tentative="1">
      <w:start w:val="1"/>
      <w:numFmt w:val="bullet"/>
      <w:lvlText w:val=""/>
      <w:lvlJc w:val="left"/>
      <w:pPr>
        <w:ind w:left="3792" w:hanging="360"/>
      </w:pPr>
      <w:rPr>
        <w:rFonts w:ascii="Symbol" w:hAnsi="Symbol" w:hint="default"/>
      </w:rPr>
    </w:lvl>
    <w:lvl w:ilvl="4" w:tplc="08090003" w:tentative="1">
      <w:start w:val="1"/>
      <w:numFmt w:val="bullet"/>
      <w:lvlText w:val="o"/>
      <w:lvlJc w:val="left"/>
      <w:pPr>
        <w:ind w:left="4512" w:hanging="360"/>
      </w:pPr>
      <w:rPr>
        <w:rFonts w:ascii="Courier New" w:hAnsi="Courier New" w:cs="Courier New" w:hint="default"/>
      </w:rPr>
    </w:lvl>
    <w:lvl w:ilvl="5" w:tplc="08090005" w:tentative="1">
      <w:start w:val="1"/>
      <w:numFmt w:val="bullet"/>
      <w:lvlText w:val=""/>
      <w:lvlJc w:val="left"/>
      <w:pPr>
        <w:ind w:left="5232" w:hanging="360"/>
      </w:pPr>
      <w:rPr>
        <w:rFonts w:ascii="Wingdings" w:hAnsi="Wingdings" w:hint="default"/>
      </w:rPr>
    </w:lvl>
    <w:lvl w:ilvl="6" w:tplc="08090001" w:tentative="1">
      <w:start w:val="1"/>
      <w:numFmt w:val="bullet"/>
      <w:lvlText w:val=""/>
      <w:lvlJc w:val="left"/>
      <w:pPr>
        <w:ind w:left="5952" w:hanging="360"/>
      </w:pPr>
      <w:rPr>
        <w:rFonts w:ascii="Symbol" w:hAnsi="Symbol" w:hint="default"/>
      </w:rPr>
    </w:lvl>
    <w:lvl w:ilvl="7" w:tplc="08090003" w:tentative="1">
      <w:start w:val="1"/>
      <w:numFmt w:val="bullet"/>
      <w:lvlText w:val="o"/>
      <w:lvlJc w:val="left"/>
      <w:pPr>
        <w:ind w:left="6672" w:hanging="360"/>
      </w:pPr>
      <w:rPr>
        <w:rFonts w:ascii="Courier New" w:hAnsi="Courier New" w:cs="Courier New" w:hint="default"/>
      </w:rPr>
    </w:lvl>
    <w:lvl w:ilvl="8" w:tplc="08090005" w:tentative="1">
      <w:start w:val="1"/>
      <w:numFmt w:val="bullet"/>
      <w:lvlText w:val=""/>
      <w:lvlJc w:val="left"/>
      <w:pPr>
        <w:ind w:left="7392" w:hanging="360"/>
      </w:pPr>
      <w:rPr>
        <w:rFonts w:ascii="Wingdings" w:hAnsi="Wingdings" w:hint="default"/>
      </w:rPr>
    </w:lvl>
  </w:abstractNum>
  <w:abstractNum w:abstractNumId="10" w15:restartNumberingAfterBreak="0">
    <w:nsid w:val="72F60782"/>
    <w:multiLevelType w:val="hybridMultilevel"/>
    <w:tmpl w:val="F810197C"/>
    <w:lvl w:ilvl="0" w:tplc="990E28A8">
      <w:start w:val="1"/>
      <w:numFmt w:val="upperLetter"/>
      <w:pStyle w:val="Letteredlist"/>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DB26B2B"/>
    <w:multiLevelType w:val="hybridMultilevel"/>
    <w:tmpl w:val="5D18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9"/>
  </w:num>
  <w:num w:numId="5">
    <w:abstractNumId w:val="8"/>
  </w:num>
  <w:num w:numId="6">
    <w:abstractNumId w:val="0"/>
  </w:num>
  <w:num w:numId="7">
    <w:abstractNumId w:val="2"/>
  </w:num>
  <w:num w:numId="8">
    <w:abstractNumId w:val="4"/>
  </w:num>
  <w:num w:numId="9">
    <w:abstractNumId w:val="11"/>
  </w:num>
  <w:num w:numId="10">
    <w:abstractNumId w:val="5"/>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05"/>
    <w:rsid w:val="000264B0"/>
    <w:rsid w:val="00034610"/>
    <w:rsid w:val="001E3FE7"/>
    <w:rsid w:val="002B396D"/>
    <w:rsid w:val="00320D3D"/>
    <w:rsid w:val="00343F30"/>
    <w:rsid w:val="003B3468"/>
    <w:rsid w:val="00403EC6"/>
    <w:rsid w:val="00404EC4"/>
    <w:rsid w:val="004674EB"/>
    <w:rsid w:val="004F5EA8"/>
    <w:rsid w:val="005168CD"/>
    <w:rsid w:val="00526E21"/>
    <w:rsid w:val="00634C6A"/>
    <w:rsid w:val="006A1029"/>
    <w:rsid w:val="00760C76"/>
    <w:rsid w:val="007A78E8"/>
    <w:rsid w:val="0081098B"/>
    <w:rsid w:val="008D1312"/>
    <w:rsid w:val="00903202"/>
    <w:rsid w:val="009417C5"/>
    <w:rsid w:val="00944F2E"/>
    <w:rsid w:val="00950C2C"/>
    <w:rsid w:val="009C2828"/>
    <w:rsid w:val="00A45FF1"/>
    <w:rsid w:val="00A57C1F"/>
    <w:rsid w:val="00AF68C7"/>
    <w:rsid w:val="00B01105"/>
    <w:rsid w:val="00C357EA"/>
    <w:rsid w:val="00CD255C"/>
    <w:rsid w:val="00CF7A72"/>
    <w:rsid w:val="00D41647"/>
    <w:rsid w:val="00D509FC"/>
    <w:rsid w:val="00D5325B"/>
    <w:rsid w:val="00D61E9F"/>
    <w:rsid w:val="00D647DF"/>
    <w:rsid w:val="00DD1F56"/>
    <w:rsid w:val="00DF3ED4"/>
    <w:rsid w:val="00DF4986"/>
    <w:rsid w:val="00E13D51"/>
    <w:rsid w:val="00E33F9E"/>
    <w:rsid w:val="00E45E04"/>
    <w:rsid w:val="00E516BC"/>
    <w:rsid w:val="00E700C9"/>
    <w:rsid w:val="00E95B86"/>
    <w:rsid w:val="00EE1CB4"/>
    <w:rsid w:val="00F302B5"/>
    <w:rsid w:val="00F36901"/>
    <w:rsid w:val="00F64782"/>
    <w:rsid w:val="00FF3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7EF9"/>
  <w15:chartTrackingRefBased/>
  <w15:docId w15:val="{A4DA1332-D1BD-4DC3-A55E-E0EC946B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C2C"/>
    <w:pPr>
      <w:spacing w:line="256" w:lineRule="auto"/>
    </w:pPr>
    <w:rPr>
      <w:rFonts w:ascii="Arial" w:hAnsi="Arial"/>
      <w:color w:val="000000" w:themeColor="text1"/>
      <w:sz w:val="24"/>
    </w:rPr>
  </w:style>
  <w:style w:type="paragraph" w:styleId="Heading1">
    <w:name w:val="heading 1"/>
    <w:next w:val="Normal"/>
    <w:link w:val="Heading1Char"/>
    <w:uiPriority w:val="9"/>
    <w:qFormat/>
    <w:rsid w:val="00403EC6"/>
    <w:pPr>
      <w:keepNext/>
      <w:keepLines/>
      <w:spacing w:after="0" w:line="256" w:lineRule="auto"/>
      <w:ind w:right="69"/>
      <w:outlineLvl w:val="0"/>
    </w:pPr>
    <w:rPr>
      <w:rFonts w:ascii="Arial" w:eastAsia="Arial" w:hAnsi="Arial" w:cs="Arial"/>
      <w:b/>
      <w:color w:val="000000"/>
      <w:sz w:val="48"/>
      <w:lang w:eastAsia="en-GB"/>
    </w:rPr>
  </w:style>
  <w:style w:type="paragraph" w:styleId="Heading2">
    <w:name w:val="heading 2"/>
    <w:basedOn w:val="Normal"/>
    <w:next w:val="Normal"/>
    <w:link w:val="Heading2Char"/>
    <w:autoRedefine/>
    <w:uiPriority w:val="9"/>
    <w:unhideWhenUsed/>
    <w:qFormat/>
    <w:rsid w:val="00760C76"/>
    <w:pPr>
      <w:keepNext/>
      <w:keepLines/>
      <w:spacing w:before="240" w:after="240" w:line="257" w:lineRule="auto"/>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105"/>
    <w:pPr>
      <w:ind w:left="720"/>
      <w:contextualSpacing/>
    </w:pPr>
  </w:style>
  <w:style w:type="paragraph" w:styleId="Header">
    <w:name w:val="header"/>
    <w:basedOn w:val="Normal"/>
    <w:link w:val="HeaderChar"/>
    <w:uiPriority w:val="99"/>
    <w:unhideWhenUsed/>
    <w:rsid w:val="00B011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1105"/>
  </w:style>
  <w:style w:type="paragraph" w:styleId="Footer">
    <w:name w:val="footer"/>
    <w:basedOn w:val="Normal"/>
    <w:link w:val="FooterChar"/>
    <w:uiPriority w:val="99"/>
    <w:unhideWhenUsed/>
    <w:rsid w:val="00B011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1105"/>
  </w:style>
  <w:style w:type="character" w:customStyle="1" w:styleId="Heading1Char">
    <w:name w:val="Heading 1 Char"/>
    <w:basedOn w:val="DefaultParagraphFont"/>
    <w:link w:val="Heading1"/>
    <w:uiPriority w:val="9"/>
    <w:rsid w:val="00403EC6"/>
    <w:rPr>
      <w:rFonts w:ascii="Arial" w:eastAsia="Arial" w:hAnsi="Arial" w:cs="Arial"/>
      <w:b/>
      <w:color w:val="000000"/>
      <w:sz w:val="48"/>
      <w:lang w:eastAsia="en-GB"/>
    </w:rPr>
  </w:style>
  <w:style w:type="paragraph" w:styleId="NoSpacing">
    <w:name w:val="No Spacing"/>
    <w:link w:val="NoSpacingChar"/>
    <w:uiPriority w:val="1"/>
    <w:qFormat/>
    <w:rsid w:val="00E33F9E"/>
    <w:pPr>
      <w:spacing w:after="0" w:line="240" w:lineRule="auto"/>
    </w:pPr>
  </w:style>
  <w:style w:type="table" w:customStyle="1" w:styleId="TableGrid4">
    <w:name w:val="Table Grid4"/>
    <w:basedOn w:val="TableNormal"/>
    <w:next w:val="TableGrid"/>
    <w:uiPriority w:val="59"/>
    <w:rsid w:val="00E13D51"/>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13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E3F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FE7"/>
    <w:rPr>
      <w:rFonts w:ascii="Segoe UI" w:hAnsi="Segoe UI" w:cs="Segoe UI"/>
      <w:sz w:val="18"/>
      <w:szCs w:val="18"/>
    </w:rPr>
  </w:style>
  <w:style w:type="paragraph" w:customStyle="1" w:styleId="Frontcoverheading1">
    <w:name w:val="Front cover heading 1"/>
    <w:basedOn w:val="Heading1"/>
    <w:link w:val="Frontcoverheading1Char"/>
    <w:qFormat/>
    <w:rsid w:val="00E700C9"/>
    <w:pPr>
      <w:spacing w:before="360" w:after="360" w:line="257" w:lineRule="auto"/>
      <w:ind w:right="68"/>
      <w:jc w:val="center"/>
    </w:pPr>
    <w:rPr>
      <w:color w:val="000000" w:themeColor="text1"/>
      <w:szCs w:val="48"/>
    </w:rPr>
  </w:style>
  <w:style w:type="paragraph" w:customStyle="1" w:styleId="Frontcoverheading2">
    <w:name w:val="Front cover heading 2"/>
    <w:basedOn w:val="Heading2"/>
    <w:link w:val="Frontcoverheading2Char"/>
    <w:qFormat/>
    <w:rsid w:val="002B396D"/>
    <w:rPr>
      <w:rFonts w:cs="Arial"/>
      <w:b w:val="0"/>
      <w:sz w:val="32"/>
      <w:szCs w:val="32"/>
    </w:rPr>
  </w:style>
  <w:style w:type="character" w:customStyle="1" w:styleId="Frontcoverheading1Char">
    <w:name w:val="Front cover heading 1 Char"/>
    <w:basedOn w:val="Heading1Char"/>
    <w:link w:val="Frontcoverheading1"/>
    <w:rsid w:val="00E700C9"/>
    <w:rPr>
      <w:rFonts w:ascii="Arial" w:eastAsia="Arial" w:hAnsi="Arial" w:cs="Arial"/>
      <w:b/>
      <w:color w:val="000000" w:themeColor="text1"/>
      <w:sz w:val="48"/>
      <w:szCs w:val="48"/>
      <w:lang w:eastAsia="en-GB"/>
    </w:rPr>
  </w:style>
  <w:style w:type="paragraph" w:customStyle="1" w:styleId="Letteredlist">
    <w:name w:val="Lettered list"/>
    <w:basedOn w:val="Normal"/>
    <w:autoRedefine/>
    <w:qFormat/>
    <w:rsid w:val="00D647DF"/>
    <w:pPr>
      <w:numPr>
        <w:numId w:val="12"/>
      </w:numPr>
      <w:tabs>
        <w:tab w:val="left" w:pos="7371"/>
      </w:tabs>
      <w:spacing w:before="240" w:after="240" w:line="240" w:lineRule="auto"/>
      <w:ind w:left="567" w:hanging="567"/>
    </w:pPr>
    <w:rPr>
      <w:rFonts w:eastAsiaTheme="minorEastAsia" w:cs="Arial"/>
      <w:sz w:val="28"/>
      <w:szCs w:val="28"/>
      <w:lang w:eastAsia="en-GB"/>
    </w:rPr>
  </w:style>
  <w:style w:type="character" w:customStyle="1" w:styleId="Heading2Char">
    <w:name w:val="Heading 2 Char"/>
    <w:basedOn w:val="DefaultParagraphFont"/>
    <w:link w:val="Heading2"/>
    <w:uiPriority w:val="9"/>
    <w:rsid w:val="00760C76"/>
    <w:rPr>
      <w:rFonts w:ascii="Arial" w:eastAsiaTheme="majorEastAsia" w:hAnsi="Arial" w:cstheme="majorBidi"/>
      <w:b/>
      <w:color w:val="000000" w:themeColor="text1"/>
      <w:sz w:val="26"/>
      <w:szCs w:val="26"/>
    </w:rPr>
  </w:style>
  <w:style w:type="character" w:customStyle="1" w:styleId="Frontcoverheading2Char">
    <w:name w:val="Front cover heading 2 Char"/>
    <w:basedOn w:val="Heading2Char"/>
    <w:link w:val="Frontcoverheading2"/>
    <w:rsid w:val="002B396D"/>
    <w:rPr>
      <w:rFonts w:ascii="Arial" w:eastAsiaTheme="majorEastAsia" w:hAnsi="Arial" w:cs="Arial"/>
      <w:b w:val="0"/>
      <w:color w:val="000000" w:themeColor="text1"/>
      <w:sz w:val="32"/>
      <w:szCs w:val="32"/>
    </w:rPr>
  </w:style>
  <w:style w:type="paragraph" w:customStyle="1" w:styleId="Bulletpointlist">
    <w:name w:val="Bulletpoint list"/>
    <w:basedOn w:val="NoSpacing"/>
    <w:link w:val="BulletpointlistChar"/>
    <w:qFormat/>
    <w:rsid w:val="00FF38AF"/>
    <w:pPr>
      <w:numPr>
        <w:numId w:val="2"/>
      </w:numPr>
      <w:spacing w:before="240" w:after="240"/>
      <w:ind w:left="924" w:hanging="567"/>
    </w:pPr>
    <w:rPr>
      <w:rFonts w:ascii="Arial" w:hAnsi="Arial" w:cs="Arial"/>
      <w:color w:val="000000" w:themeColor="text1"/>
      <w:sz w:val="24"/>
      <w:szCs w:val="24"/>
    </w:rPr>
  </w:style>
  <w:style w:type="paragraph" w:customStyle="1" w:styleId="Bulletpointliststyle2">
    <w:name w:val="Bulletpoint list style 2"/>
    <w:basedOn w:val="Bulletpointlist"/>
    <w:autoRedefine/>
    <w:qFormat/>
    <w:rsid w:val="00E95B86"/>
    <w:pPr>
      <w:spacing w:before="0" w:after="120"/>
    </w:pPr>
    <w:rPr>
      <w:rFonts w:eastAsiaTheme="minorEastAsia"/>
      <w:lang w:eastAsia="en-GB"/>
    </w:rPr>
  </w:style>
  <w:style w:type="character" w:customStyle="1" w:styleId="NoSpacingChar">
    <w:name w:val="No Spacing Char"/>
    <w:basedOn w:val="DefaultParagraphFont"/>
    <w:link w:val="NoSpacing"/>
    <w:uiPriority w:val="1"/>
    <w:rsid w:val="00FF38AF"/>
  </w:style>
  <w:style w:type="character" w:customStyle="1" w:styleId="BulletpointlistChar">
    <w:name w:val="Bulletpoint list Char"/>
    <w:basedOn w:val="NoSpacingChar"/>
    <w:link w:val="Bulletpointlist"/>
    <w:rsid w:val="00FF38AF"/>
    <w:rPr>
      <w:rFonts w:ascii="Arial" w:hAnsi="Arial" w:cs="Arial"/>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2656">
      <w:bodyDiv w:val="1"/>
      <w:marLeft w:val="0"/>
      <w:marRight w:val="0"/>
      <w:marTop w:val="0"/>
      <w:marBottom w:val="0"/>
      <w:divBdr>
        <w:top w:val="none" w:sz="0" w:space="0" w:color="auto"/>
        <w:left w:val="none" w:sz="0" w:space="0" w:color="auto"/>
        <w:bottom w:val="none" w:sz="0" w:space="0" w:color="auto"/>
        <w:right w:val="none" w:sz="0" w:space="0" w:color="auto"/>
      </w:divBdr>
    </w:div>
    <w:div w:id="74044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4788ADE9182D3409640B32ABC7914B2" ma:contentTypeVersion="17" ma:contentTypeDescription="Create a new document." ma:contentTypeScope="" ma:versionID="b4c61aab263b40b7e5350d809287de33">
  <xsd:schema xmlns:xsd="http://www.w3.org/2001/XMLSchema" xmlns:xs="http://www.w3.org/2001/XMLSchema" xmlns:p="http://schemas.microsoft.com/office/2006/metadata/properties" xmlns:ns1="http://schemas.microsoft.com/sharepoint/v3" xmlns:ns2="e402b34e-0bec-4698-9443-e54c1d6c1a4e" xmlns:ns3="065c7180-8096-46be-8663-611465dee428" targetNamespace="http://schemas.microsoft.com/office/2006/metadata/properties" ma:root="true" ma:fieldsID="ced774c76b6dc27fee7f899584f04455" ns1:_="" ns2:_="" ns3:_="">
    <xsd:import namespace="http://schemas.microsoft.com/sharepoint/v3"/>
    <xsd:import namespace="e402b34e-0bec-4698-9443-e54c1d6c1a4e"/>
    <xsd:import namespace="065c7180-8096-46be-8663-611465dee4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02b34e-0bec-4698-9443-e54c1d6c1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65c7180-8096-46be-8663-611465dee42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188f0d6-fcd7-4fcb-9afb-ff18431315c4}" ma:internalName="TaxCatchAll" ma:showField="CatchAllData" ma:web="065c7180-8096-46be-8663-611465dee4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402b34e-0bec-4698-9443-e54c1d6c1a4e">
      <Terms xmlns="http://schemas.microsoft.com/office/infopath/2007/PartnerControls"/>
    </lcf76f155ced4ddcb4097134ff3c332f>
    <_ip_UnifiedCompliancePolicyProperties xmlns="http://schemas.microsoft.com/sharepoint/v3" xsi:nil="true"/>
    <TaxCatchAll xmlns="065c7180-8096-46be-8663-611465dee428" xsi:nil="true"/>
  </documentManagement>
</p:properties>
</file>

<file path=customXml/itemProps1.xml><?xml version="1.0" encoding="utf-8"?>
<ds:datastoreItem xmlns:ds="http://schemas.openxmlformats.org/officeDocument/2006/customXml" ds:itemID="{095E0254-B187-4D74-A7D6-991FDD922EAD}">
  <ds:schemaRefs>
    <ds:schemaRef ds:uri="http://schemas.microsoft.com/sharepoint/v3/contenttype/forms"/>
  </ds:schemaRefs>
</ds:datastoreItem>
</file>

<file path=customXml/itemProps2.xml><?xml version="1.0" encoding="utf-8"?>
<ds:datastoreItem xmlns:ds="http://schemas.openxmlformats.org/officeDocument/2006/customXml" ds:itemID="{C901D0A4-099E-4C06-90A2-632188C08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02b34e-0bec-4698-9443-e54c1d6c1a4e"/>
    <ds:schemaRef ds:uri="065c7180-8096-46be-8663-611465dee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2294CB-D3BB-42CB-8C7C-2A10A98D9771}">
  <ds:schemaRefs>
    <ds:schemaRef ds:uri="http://schemas.microsoft.com/sharepoint/v3"/>
    <ds:schemaRef ds:uri="065c7180-8096-46be-8663-611465dee428"/>
    <ds:schemaRef ds:uri="e402b34e-0bec-4698-9443-e54c1d6c1a4e"/>
    <ds:schemaRef ds:uri="http://purl.org/dc/terms/"/>
    <ds:schemaRef ds:uri="http://www.w3.org/XML/1998/namespac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1445</Words>
  <Characters>8238</Characters>
  <Application>Microsoft Office Word</Application>
  <DocSecurity>2</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CODE OF CORPORATE GOVERNANCE V4</dc:title>
  <dc:subject/>
  <dc:creator>R.Dennis</dc:creator>
  <cp:keywords/>
  <dc:description/>
  <cp:lastModifiedBy>Sharon.Simcox</cp:lastModifiedBy>
  <cp:revision>2</cp:revision>
  <dcterms:created xsi:type="dcterms:W3CDTF">2022-06-09T09:50:00Z</dcterms:created>
  <dcterms:modified xsi:type="dcterms:W3CDTF">2022-06-09T09:50:00Z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0x01010094788ADE9182D3409640B32ABC7914B2</vt:lpwstr>
  </property>
</Properties>
</file>