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73925B3A">
            <wp:extent cx="3411382" cy="1409787"/>
            <wp:effectExtent l="0" t="0" r="0" b="0"/>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1460" cy="1418085"/>
                    </a:xfrm>
                    <a:prstGeom prst="rect">
                      <a:avLst/>
                    </a:prstGeom>
                    <a:noFill/>
                    <a:ln>
                      <a:noFill/>
                    </a:ln>
                  </pic:spPr>
                </pic:pic>
              </a:graphicData>
            </a:graphic>
          </wp:inline>
        </w:drawing>
      </w:r>
    </w:p>
    <w:p w14:paraId="4F16935A" w14:textId="77777777" w:rsidR="00EE515D" w:rsidRDefault="00EE515D" w:rsidP="0092346E">
      <w:pPr>
        <w:pStyle w:val="Heading6"/>
        <w:suppressAutoHyphens w:val="0"/>
        <w:spacing w:line="240" w:lineRule="auto"/>
        <w:jc w:val="center"/>
        <w:rPr>
          <w:sz w:val="44"/>
          <w:szCs w:val="44"/>
        </w:rPr>
      </w:pPr>
    </w:p>
    <w:p w14:paraId="301FCAA6" w14:textId="77777777" w:rsidR="007740F1" w:rsidRPr="008D2DCA" w:rsidRDefault="007740F1" w:rsidP="008D2DCA"/>
    <w:p w14:paraId="4EAE0BCF" w14:textId="77777777" w:rsidR="007740F1" w:rsidRPr="008D2DCA" w:rsidRDefault="007740F1" w:rsidP="008D2DCA"/>
    <w:p w14:paraId="5EA64F02" w14:textId="77777777" w:rsidR="008D2DCA" w:rsidRPr="008D2DCA" w:rsidRDefault="008D2DCA" w:rsidP="008D2DCA">
      <w:pPr>
        <w:jc w:val="center"/>
        <w:rPr>
          <w:b/>
          <w:bCs/>
          <w:sz w:val="40"/>
          <w:szCs w:val="40"/>
        </w:rPr>
      </w:pPr>
      <w:r w:rsidRPr="008D2DCA">
        <w:rPr>
          <w:b/>
          <w:bCs/>
          <w:sz w:val="40"/>
          <w:szCs w:val="40"/>
        </w:rPr>
        <w:t>Ashfield Local Plan 2023 to 2040</w:t>
      </w:r>
    </w:p>
    <w:p w14:paraId="77F4CAC2" w14:textId="2D31E45B" w:rsidR="00B83660" w:rsidRPr="008D2DCA" w:rsidRDefault="008D2DCA" w:rsidP="008D2DCA">
      <w:pPr>
        <w:jc w:val="center"/>
        <w:rPr>
          <w:b/>
          <w:bCs/>
          <w:sz w:val="40"/>
          <w:szCs w:val="40"/>
        </w:rPr>
      </w:pPr>
      <w:r w:rsidRPr="008D2DCA">
        <w:rPr>
          <w:b/>
          <w:bCs/>
          <w:sz w:val="40"/>
          <w:szCs w:val="40"/>
        </w:rPr>
        <w:t>Regulation 19 Pre-Submission Draft</w:t>
      </w:r>
    </w:p>
    <w:p w14:paraId="05136420" w14:textId="77777777" w:rsidR="006A1718" w:rsidRDefault="006A1718" w:rsidP="006A1718"/>
    <w:p w14:paraId="35BAD4CC" w14:textId="77777777" w:rsidR="008D2DCA" w:rsidRPr="006A1718" w:rsidRDefault="008D2DCA" w:rsidP="006A1718"/>
    <w:p w14:paraId="53F4C59D" w14:textId="1DDF2DF0" w:rsidR="00EE515D" w:rsidRDefault="00CD2F6E" w:rsidP="001A3BFC">
      <w:pPr>
        <w:pStyle w:val="Heading2"/>
      </w:pPr>
      <w:r>
        <w:t>Background Paper</w:t>
      </w:r>
      <w:r w:rsidR="004D74FC">
        <w:t xml:space="preserve"> </w:t>
      </w:r>
      <w:r w:rsidR="00C16D95">
        <w:t>2</w:t>
      </w:r>
      <w:r w:rsidR="00AE4A0D">
        <w:t>:</w:t>
      </w:r>
    </w:p>
    <w:p w14:paraId="704DF565" w14:textId="368DC7F4" w:rsidR="00D93D9F" w:rsidRDefault="00C16D95" w:rsidP="001A3BFC">
      <w:pPr>
        <w:pStyle w:val="Heading2"/>
      </w:pPr>
      <w:r>
        <w:t>Housing</w:t>
      </w:r>
    </w:p>
    <w:p w14:paraId="79CC09F7" w14:textId="77777777" w:rsidR="00D93D9F" w:rsidRPr="00725CDC" w:rsidRDefault="00D93D9F" w:rsidP="00F31A1B"/>
    <w:p w14:paraId="23A746B0" w14:textId="77777777" w:rsidR="00E71D8B" w:rsidRPr="00725CDC" w:rsidRDefault="00E71D8B" w:rsidP="00F31A1B"/>
    <w:p w14:paraId="634F8E73" w14:textId="77777777" w:rsidR="008F43C1" w:rsidRDefault="008F43C1" w:rsidP="003F6D32"/>
    <w:p w14:paraId="57323363" w14:textId="77777777" w:rsidR="008D2DCA" w:rsidRPr="003F6D32" w:rsidRDefault="008D2DCA" w:rsidP="003F6D32"/>
    <w:p w14:paraId="7E18BAAC" w14:textId="28E075B1" w:rsidR="00EE515D" w:rsidRPr="003F6D32" w:rsidRDefault="00C16D95" w:rsidP="00F31A1B">
      <w:pPr>
        <w:pStyle w:val="Title"/>
        <w:jc w:val="center"/>
        <w:rPr>
          <w:rFonts w:ascii="Arial" w:hAnsi="Arial" w:cs="Arial"/>
          <w:b/>
          <w:bCs/>
          <w:sz w:val="36"/>
          <w:szCs w:val="36"/>
        </w:rPr>
      </w:pPr>
      <w:r w:rsidRPr="003F6D32">
        <w:rPr>
          <w:rFonts w:ascii="Arial" w:hAnsi="Arial" w:cs="Arial"/>
          <w:b/>
          <w:bCs/>
          <w:sz w:val="36"/>
          <w:szCs w:val="36"/>
        </w:rPr>
        <w:t>October</w:t>
      </w:r>
      <w:r w:rsidR="00F90D50" w:rsidRPr="003F6D32">
        <w:rPr>
          <w:rFonts w:ascii="Arial" w:hAnsi="Arial" w:cs="Arial"/>
          <w:b/>
          <w:bCs/>
          <w:sz w:val="36"/>
          <w:szCs w:val="36"/>
        </w:rPr>
        <w:t xml:space="preserve"> 202</w:t>
      </w:r>
      <w:r w:rsidR="00844F1F">
        <w:rPr>
          <w:rFonts w:ascii="Arial" w:hAnsi="Arial" w:cs="Arial"/>
          <w:b/>
          <w:bCs/>
          <w:sz w:val="36"/>
          <w:szCs w:val="36"/>
        </w:rPr>
        <w:t>3</w:t>
      </w:r>
    </w:p>
    <w:p w14:paraId="05E2A180" w14:textId="77777777" w:rsidR="00321AAC" w:rsidRDefault="00321AAC" w:rsidP="0092346E">
      <w:pPr>
        <w:pStyle w:val="BodyText2"/>
      </w:pPr>
    </w:p>
    <w:p w14:paraId="70D5D388" w14:textId="7974836B" w:rsidR="001A3BFC" w:rsidRDefault="001A3BFC" w:rsidP="0092346E">
      <w:pPr>
        <w:pStyle w:val="BodyText2"/>
        <w:sectPr w:rsidR="001A3BFC" w:rsidSect="008D2DCA">
          <w:footerReference w:type="default" r:id="rId9"/>
          <w:pgSz w:w="11906" w:h="16838"/>
          <w:pgMar w:top="1258" w:right="1134" w:bottom="1079"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88"/>
          <w:cols w:space="708"/>
          <w:docGrid w:linePitch="360"/>
        </w:sectPr>
      </w:pPr>
    </w:p>
    <w:bookmarkEnd w:id="0"/>
    <w:bookmarkEnd w:id="1"/>
    <w:p w14:paraId="52C4C362" w14:textId="77777777" w:rsidR="003F6D32" w:rsidRDefault="003F6D32" w:rsidP="00C05F80">
      <w:pPr>
        <w:keepNext w:val="0"/>
        <w:autoSpaceDE w:val="0"/>
        <w:autoSpaceDN w:val="0"/>
        <w:adjustRightInd w:val="0"/>
        <w:spacing w:before="0"/>
        <w:rPr>
          <w:rFonts w:cs="Arial"/>
          <w:b/>
          <w:bCs/>
          <w:szCs w:val="24"/>
        </w:rPr>
      </w:pPr>
    </w:p>
    <w:p w14:paraId="49D9EA59" w14:textId="77777777" w:rsidR="003F6D32" w:rsidRDefault="003F6D32" w:rsidP="00C05F80">
      <w:pPr>
        <w:keepNext w:val="0"/>
        <w:autoSpaceDE w:val="0"/>
        <w:autoSpaceDN w:val="0"/>
        <w:adjustRightInd w:val="0"/>
        <w:spacing w:before="0"/>
        <w:rPr>
          <w:rFonts w:cs="Arial"/>
          <w:b/>
          <w:bCs/>
          <w:szCs w:val="24"/>
        </w:rPr>
      </w:pPr>
    </w:p>
    <w:p w14:paraId="4CE498E3" w14:textId="77777777" w:rsidR="003F6D32" w:rsidRDefault="003F6D32" w:rsidP="00C05F80">
      <w:pPr>
        <w:keepNext w:val="0"/>
        <w:autoSpaceDE w:val="0"/>
        <w:autoSpaceDN w:val="0"/>
        <w:adjustRightInd w:val="0"/>
        <w:spacing w:before="0"/>
        <w:rPr>
          <w:rFonts w:cs="Arial"/>
          <w:b/>
          <w:bCs/>
          <w:szCs w:val="24"/>
        </w:rPr>
      </w:pPr>
    </w:p>
    <w:p w14:paraId="7A59706E" w14:textId="77777777" w:rsidR="003F6D32" w:rsidRDefault="003F6D32" w:rsidP="00C05F80">
      <w:pPr>
        <w:keepNext w:val="0"/>
        <w:autoSpaceDE w:val="0"/>
        <w:autoSpaceDN w:val="0"/>
        <w:adjustRightInd w:val="0"/>
        <w:spacing w:before="0"/>
        <w:rPr>
          <w:rFonts w:cs="Arial"/>
          <w:b/>
          <w:bCs/>
          <w:szCs w:val="24"/>
        </w:rPr>
      </w:pPr>
    </w:p>
    <w:p w14:paraId="7AFDB151" w14:textId="77777777" w:rsidR="003F6D32" w:rsidRDefault="003F6D32" w:rsidP="00C05F80">
      <w:pPr>
        <w:keepNext w:val="0"/>
        <w:autoSpaceDE w:val="0"/>
        <w:autoSpaceDN w:val="0"/>
        <w:adjustRightInd w:val="0"/>
        <w:spacing w:before="0"/>
        <w:rPr>
          <w:rFonts w:cs="Arial"/>
          <w:b/>
          <w:bCs/>
          <w:szCs w:val="24"/>
        </w:rPr>
      </w:pPr>
    </w:p>
    <w:p w14:paraId="16AF6C58" w14:textId="77777777" w:rsidR="003F6D32" w:rsidRDefault="003F6D32" w:rsidP="00C05F80">
      <w:pPr>
        <w:keepNext w:val="0"/>
        <w:autoSpaceDE w:val="0"/>
        <w:autoSpaceDN w:val="0"/>
        <w:adjustRightInd w:val="0"/>
        <w:spacing w:before="0"/>
        <w:rPr>
          <w:rFonts w:cs="Arial"/>
          <w:b/>
          <w:bCs/>
          <w:szCs w:val="24"/>
        </w:rPr>
      </w:pPr>
    </w:p>
    <w:p w14:paraId="100D10E0" w14:textId="71885846" w:rsidR="001356B6" w:rsidRDefault="003F6D32" w:rsidP="003F6D32">
      <w:pPr>
        <w:keepNext w:val="0"/>
        <w:autoSpaceDE w:val="0"/>
        <w:autoSpaceDN w:val="0"/>
        <w:adjustRightInd w:val="0"/>
        <w:spacing w:before="0"/>
        <w:jc w:val="center"/>
        <w:rPr>
          <w:rFonts w:cs="Arial"/>
          <w:b/>
          <w:bCs/>
          <w:szCs w:val="24"/>
        </w:rPr>
      </w:pPr>
      <w:bookmarkStart w:id="2" w:name="_Hlk83222770"/>
      <w:r>
        <w:rPr>
          <w:rFonts w:cs="Arial"/>
          <w:b/>
          <w:bCs/>
          <w:szCs w:val="24"/>
        </w:rPr>
        <w:t>THIS PAGE IS INTENTIONALLY BLANK</w:t>
      </w:r>
    </w:p>
    <w:bookmarkEnd w:id="2"/>
    <w:p w14:paraId="05340645" w14:textId="77777777" w:rsidR="003F6D32" w:rsidRDefault="003F6D32" w:rsidP="00C05F80">
      <w:pPr>
        <w:keepNext w:val="0"/>
        <w:autoSpaceDE w:val="0"/>
        <w:autoSpaceDN w:val="0"/>
        <w:adjustRightInd w:val="0"/>
        <w:spacing w:before="0"/>
        <w:rPr>
          <w:rFonts w:cs="Arial"/>
          <w:b/>
          <w:bCs/>
          <w:szCs w:val="24"/>
        </w:rPr>
      </w:pPr>
    </w:p>
    <w:p w14:paraId="568ADAEF" w14:textId="77777777" w:rsidR="003F6D32" w:rsidRDefault="003F6D32" w:rsidP="00C05F80">
      <w:pPr>
        <w:keepNext w:val="0"/>
        <w:autoSpaceDE w:val="0"/>
        <w:autoSpaceDN w:val="0"/>
        <w:adjustRightInd w:val="0"/>
        <w:spacing w:before="0"/>
        <w:rPr>
          <w:rFonts w:cs="Arial"/>
          <w:b/>
          <w:bCs/>
          <w:szCs w:val="24"/>
        </w:rPr>
      </w:pPr>
    </w:p>
    <w:p w14:paraId="562100D1" w14:textId="37E13A6B" w:rsidR="003F6D32" w:rsidRDefault="003F6D32" w:rsidP="00C05F80">
      <w:pPr>
        <w:keepNext w:val="0"/>
        <w:autoSpaceDE w:val="0"/>
        <w:autoSpaceDN w:val="0"/>
        <w:adjustRightInd w:val="0"/>
        <w:spacing w:before="0"/>
        <w:rPr>
          <w:rFonts w:cs="Arial"/>
          <w:b/>
          <w:bCs/>
          <w:szCs w:val="24"/>
        </w:rPr>
        <w:sectPr w:rsidR="003F6D32" w:rsidSect="00EB69AD">
          <w:headerReference w:type="default" r:id="rId10"/>
          <w:footerReference w:type="default" r:id="rId11"/>
          <w:pgSz w:w="11906" w:h="16838"/>
          <w:pgMar w:top="1258" w:right="1134" w:bottom="1079" w:left="1134" w:header="709" w:footer="709" w:gutter="0"/>
          <w:pgNumType w:start="1"/>
          <w:cols w:space="708"/>
          <w:docGrid w:linePitch="360"/>
        </w:sectPr>
      </w:pPr>
    </w:p>
    <w:p w14:paraId="6A60FE19" w14:textId="3A1BCAAB" w:rsidR="00FD285F" w:rsidRPr="00F65AB6" w:rsidRDefault="00FD285F" w:rsidP="00B824A9">
      <w:pPr>
        <w:pStyle w:val="Contentspageheading"/>
      </w:pPr>
      <w:r w:rsidRPr="00F65AB6">
        <w:lastRenderedPageBreak/>
        <w:t>Contents</w:t>
      </w:r>
    </w:p>
    <w:p w14:paraId="2600FF24" w14:textId="77777777" w:rsidR="00FD285F" w:rsidRPr="001A5534" w:rsidRDefault="00FD285F" w:rsidP="00FD285F">
      <w:pPr>
        <w:jc w:val="right"/>
        <w:rPr>
          <w:szCs w:val="24"/>
        </w:rPr>
      </w:pPr>
    </w:p>
    <w:tbl>
      <w:tblPr>
        <w:tblStyle w:val="TableGrid1"/>
        <w:tblW w:w="9643" w:type="dxa"/>
        <w:tblInd w:w="137" w:type="dxa"/>
        <w:tblLook w:val="04A0" w:firstRow="1" w:lastRow="0" w:firstColumn="1" w:lastColumn="0" w:noHBand="0" w:noVBand="1"/>
      </w:tblPr>
      <w:tblGrid>
        <w:gridCol w:w="1418"/>
        <w:gridCol w:w="7091"/>
        <w:gridCol w:w="1134"/>
      </w:tblGrid>
      <w:tr w:rsidR="00FD285F" w:rsidRPr="00CE00BE" w14:paraId="16650231" w14:textId="77777777" w:rsidTr="001D74D6">
        <w:trPr>
          <w:trHeight w:val="542"/>
        </w:trPr>
        <w:tc>
          <w:tcPr>
            <w:tcW w:w="1418" w:type="dxa"/>
            <w:shd w:val="clear" w:color="auto" w:fill="D9D9D9" w:themeFill="background1" w:themeFillShade="D9"/>
          </w:tcPr>
          <w:p w14:paraId="0F48DDCD" w14:textId="77777777" w:rsidR="00FD285F" w:rsidRPr="00CE00BE" w:rsidRDefault="00FD285F" w:rsidP="00F562CD">
            <w:pPr>
              <w:rPr>
                <w:rFonts w:cs="Arial"/>
                <w:szCs w:val="24"/>
              </w:rPr>
            </w:pPr>
            <w:r w:rsidRPr="00CE00BE">
              <w:rPr>
                <w:rFonts w:cs="Arial"/>
                <w:szCs w:val="24"/>
              </w:rPr>
              <w:t>Section</w:t>
            </w:r>
          </w:p>
        </w:tc>
        <w:tc>
          <w:tcPr>
            <w:tcW w:w="7091" w:type="dxa"/>
            <w:shd w:val="clear" w:color="auto" w:fill="D9D9D9" w:themeFill="background1" w:themeFillShade="D9"/>
          </w:tcPr>
          <w:p w14:paraId="7971AD27" w14:textId="77777777" w:rsidR="00FD285F" w:rsidRPr="00CE00BE" w:rsidRDefault="00FD285F" w:rsidP="00F562CD">
            <w:pPr>
              <w:jc w:val="right"/>
              <w:rPr>
                <w:rFonts w:cs="Arial"/>
                <w:szCs w:val="24"/>
              </w:rPr>
            </w:pPr>
          </w:p>
        </w:tc>
        <w:tc>
          <w:tcPr>
            <w:tcW w:w="1134" w:type="dxa"/>
            <w:shd w:val="clear" w:color="auto" w:fill="D9D9D9" w:themeFill="background1" w:themeFillShade="D9"/>
          </w:tcPr>
          <w:p w14:paraId="190CAD67" w14:textId="77777777" w:rsidR="00FD285F" w:rsidRPr="00CE00BE" w:rsidRDefault="00FD285F" w:rsidP="00F562CD">
            <w:pPr>
              <w:jc w:val="center"/>
              <w:rPr>
                <w:rFonts w:cs="Arial"/>
                <w:szCs w:val="24"/>
              </w:rPr>
            </w:pPr>
            <w:r w:rsidRPr="00CE00BE">
              <w:rPr>
                <w:rFonts w:cs="Arial"/>
                <w:szCs w:val="24"/>
              </w:rPr>
              <w:t>Page</w:t>
            </w:r>
          </w:p>
        </w:tc>
      </w:tr>
      <w:tr w:rsidR="005C255F" w:rsidRPr="00CE00BE" w14:paraId="1E05C2A7" w14:textId="77777777" w:rsidTr="001D74D6">
        <w:trPr>
          <w:trHeight w:val="454"/>
        </w:trPr>
        <w:tc>
          <w:tcPr>
            <w:tcW w:w="1418" w:type="dxa"/>
          </w:tcPr>
          <w:p w14:paraId="3C11C700" w14:textId="77777777" w:rsidR="005C255F" w:rsidRPr="00CE00BE" w:rsidRDefault="005C255F" w:rsidP="005C255F">
            <w:pPr>
              <w:jc w:val="center"/>
              <w:rPr>
                <w:rFonts w:cs="Arial"/>
                <w:szCs w:val="24"/>
              </w:rPr>
            </w:pPr>
            <w:r w:rsidRPr="00CE00BE">
              <w:rPr>
                <w:rFonts w:cs="Arial"/>
                <w:szCs w:val="24"/>
              </w:rPr>
              <w:t>1</w:t>
            </w:r>
          </w:p>
        </w:tc>
        <w:tc>
          <w:tcPr>
            <w:tcW w:w="7091" w:type="dxa"/>
          </w:tcPr>
          <w:p w14:paraId="110C237E" w14:textId="77777777" w:rsidR="005C255F" w:rsidRPr="00CE00BE" w:rsidRDefault="005C255F" w:rsidP="005C255F">
            <w:pPr>
              <w:rPr>
                <w:rFonts w:cs="Arial"/>
                <w:szCs w:val="24"/>
              </w:rPr>
            </w:pPr>
            <w:r w:rsidRPr="00CE00BE">
              <w:rPr>
                <w:rFonts w:cs="Arial"/>
                <w:szCs w:val="24"/>
              </w:rPr>
              <w:t>Introduction</w:t>
            </w:r>
          </w:p>
        </w:tc>
        <w:tc>
          <w:tcPr>
            <w:tcW w:w="1134" w:type="dxa"/>
          </w:tcPr>
          <w:p w14:paraId="19BA601C" w14:textId="1A5E73FD" w:rsidR="005C255F" w:rsidRPr="00CE00BE" w:rsidRDefault="005C255F" w:rsidP="00776166">
            <w:pPr>
              <w:jc w:val="center"/>
              <w:rPr>
                <w:rFonts w:cs="Arial"/>
                <w:szCs w:val="24"/>
              </w:rPr>
            </w:pPr>
            <w:r w:rsidRPr="00C34D2D">
              <w:rPr>
                <w:rFonts w:cs="Arial"/>
                <w:color w:val="000000"/>
                <w:szCs w:val="24"/>
              </w:rPr>
              <w:t>1</w:t>
            </w:r>
          </w:p>
        </w:tc>
      </w:tr>
      <w:tr w:rsidR="005C255F" w:rsidRPr="00CE00BE" w14:paraId="042ECE77" w14:textId="77777777" w:rsidTr="001D74D6">
        <w:trPr>
          <w:trHeight w:val="454"/>
        </w:trPr>
        <w:tc>
          <w:tcPr>
            <w:tcW w:w="1418" w:type="dxa"/>
          </w:tcPr>
          <w:p w14:paraId="5E094826" w14:textId="613DF7ED" w:rsidR="005C255F" w:rsidRPr="00CE00BE" w:rsidRDefault="005C255F" w:rsidP="005C255F">
            <w:pPr>
              <w:jc w:val="center"/>
              <w:rPr>
                <w:rFonts w:cs="Arial"/>
                <w:szCs w:val="24"/>
              </w:rPr>
            </w:pPr>
            <w:r w:rsidRPr="00CE00BE">
              <w:rPr>
                <w:rFonts w:cs="Arial"/>
                <w:szCs w:val="24"/>
              </w:rPr>
              <w:t>2</w:t>
            </w:r>
          </w:p>
        </w:tc>
        <w:tc>
          <w:tcPr>
            <w:tcW w:w="7091" w:type="dxa"/>
          </w:tcPr>
          <w:p w14:paraId="2521BE96" w14:textId="201503C2" w:rsidR="005C255F" w:rsidRPr="00CE00BE" w:rsidRDefault="005C255F" w:rsidP="005C255F">
            <w:pPr>
              <w:rPr>
                <w:rFonts w:cs="Arial"/>
                <w:szCs w:val="24"/>
              </w:rPr>
            </w:pPr>
            <w:r w:rsidRPr="00CE00BE">
              <w:rPr>
                <w:rFonts w:cs="Arial"/>
                <w:szCs w:val="24"/>
              </w:rPr>
              <w:t>Policy Background</w:t>
            </w:r>
          </w:p>
        </w:tc>
        <w:tc>
          <w:tcPr>
            <w:tcW w:w="1134" w:type="dxa"/>
          </w:tcPr>
          <w:p w14:paraId="1A993FBC" w14:textId="3ECFF9A0" w:rsidR="005C255F" w:rsidRPr="00CE00BE" w:rsidRDefault="005C255F" w:rsidP="00776166">
            <w:pPr>
              <w:jc w:val="center"/>
              <w:rPr>
                <w:rFonts w:cs="Arial"/>
                <w:szCs w:val="24"/>
              </w:rPr>
            </w:pPr>
            <w:r w:rsidRPr="00C34D2D">
              <w:rPr>
                <w:rFonts w:cs="Arial"/>
                <w:color w:val="000000"/>
                <w:szCs w:val="24"/>
              </w:rPr>
              <w:t>1</w:t>
            </w:r>
          </w:p>
        </w:tc>
      </w:tr>
      <w:tr w:rsidR="005C255F" w:rsidRPr="00CE00BE" w14:paraId="17AD0EAC" w14:textId="77777777" w:rsidTr="001D74D6">
        <w:trPr>
          <w:trHeight w:val="325"/>
        </w:trPr>
        <w:tc>
          <w:tcPr>
            <w:tcW w:w="1418" w:type="dxa"/>
          </w:tcPr>
          <w:p w14:paraId="2625B4E8" w14:textId="77777777" w:rsidR="005C255F" w:rsidRPr="00CE00BE" w:rsidRDefault="005C255F" w:rsidP="005C255F">
            <w:pPr>
              <w:jc w:val="center"/>
              <w:rPr>
                <w:rFonts w:cs="Arial"/>
                <w:szCs w:val="24"/>
              </w:rPr>
            </w:pPr>
          </w:p>
        </w:tc>
        <w:tc>
          <w:tcPr>
            <w:tcW w:w="7091" w:type="dxa"/>
          </w:tcPr>
          <w:p w14:paraId="0F99E666" w14:textId="1C47D833" w:rsidR="005C255F" w:rsidRPr="00CE00BE" w:rsidRDefault="005C255F" w:rsidP="005C255F">
            <w:pPr>
              <w:pStyle w:val="ListParagraph"/>
              <w:numPr>
                <w:ilvl w:val="0"/>
                <w:numId w:val="8"/>
              </w:numPr>
              <w:rPr>
                <w:rFonts w:ascii="Arial" w:hAnsi="Arial" w:cs="Arial"/>
                <w:szCs w:val="24"/>
              </w:rPr>
            </w:pPr>
            <w:r w:rsidRPr="00CE00BE">
              <w:rPr>
                <w:rFonts w:ascii="Arial" w:hAnsi="Arial" w:cs="Arial"/>
                <w:szCs w:val="24"/>
              </w:rPr>
              <w:t>Map 1: Extent of Green Belt in Ashfield</w:t>
            </w:r>
          </w:p>
        </w:tc>
        <w:tc>
          <w:tcPr>
            <w:tcW w:w="1134" w:type="dxa"/>
          </w:tcPr>
          <w:p w14:paraId="1E28A0C9" w14:textId="107FEEDD" w:rsidR="005C255F" w:rsidRPr="00CE00BE" w:rsidRDefault="005C255F" w:rsidP="00776166">
            <w:pPr>
              <w:jc w:val="center"/>
              <w:rPr>
                <w:rFonts w:cs="Arial"/>
                <w:szCs w:val="24"/>
              </w:rPr>
            </w:pPr>
            <w:r w:rsidRPr="00C34D2D">
              <w:rPr>
                <w:rFonts w:cs="Arial"/>
                <w:color w:val="000000"/>
                <w:szCs w:val="24"/>
              </w:rPr>
              <w:t>2</w:t>
            </w:r>
          </w:p>
        </w:tc>
      </w:tr>
      <w:tr w:rsidR="005C255F" w:rsidRPr="00CE00BE" w14:paraId="30A239E9" w14:textId="77777777" w:rsidTr="001D74D6">
        <w:trPr>
          <w:trHeight w:val="454"/>
        </w:trPr>
        <w:tc>
          <w:tcPr>
            <w:tcW w:w="1418" w:type="dxa"/>
          </w:tcPr>
          <w:p w14:paraId="12B3636E" w14:textId="62B2C27D" w:rsidR="005C255F" w:rsidRPr="00CE00BE" w:rsidRDefault="005C255F" w:rsidP="005C255F">
            <w:pPr>
              <w:jc w:val="center"/>
              <w:rPr>
                <w:rFonts w:cs="Arial"/>
                <w:szCs w:val="24"/>
              </w:rPr>
            </w:pPr>
            <w:r w:rsidRPr="00CE00BE">
              <w:rPr>
                <w:rFonts w:cs="Arial"/>
                <w:szCs w:val="24"/>
              </w:rPr>
              <w:t>3</w:t>
            </w:r>
          </w:p>
        </w:tc>
        <w:tc>
          <w:tcPr>
            <w:tcW w:w="7091" w:type="dxa"/>
          </w:tcPr>
          <w:p w14:paraId="06FA2F48" w14:textId="5685B662" w:rsidR="005C255F" w:rsidRPr="00CE00BE" w:rsidRDefault="005C255F" w:rsidP="005C255F">
            <w:pPr>
              <w:rPr>
                <w:rFonts w:cs="Arial"/>
                <w:szCs w:val="24"/>
              </w:rPr>
            </w:pPr>
            <w:r w:rsidRPr="00CE00BE">
              <w:rPr>
                <w:rFonts w:cs="Arial"/>
                <w:szCs w:val="24"/>
              </w:rPr>
              <w:t>Housing Market Area</w:t>
            </w:r>
          </w:p>
        </w:tc>
        <w:tc>
          <w:tcPr>
            <w:tcW w:w="1134" w:type="dxa"/>
          </w:tcPr>
          <w:p w14:paraId="46F49919" w14:textId="7DBD5E71" w:rsidR="005C255F" w:rsidRPr="00CE00BE" w:rsidRDefault="00865B3B" w:rsidP="00776166">
            <w:pPr>
              <w:jc w:val="center"/>
              <w:rPr>
                <w:rFonts w:cs="Arial"/>
                <w:szCs w:val="24"/>
              </w:rPr>
            </w:pPr>
            <w:r>
              <w:rPr>
                <w:rFonts w:cs="Arial"/>
                <w:szCs w:val="24"/>
              </w:rPr>
              <w:t>4</w:t>
            </w:r>
          </w:p>
        </w:tc>
      </w:tr>
      <w:tr w:rsidR="005C255F" w:rsidRPr="00CE00BE" w14:paraId="44346A09" w14:textId="77777777" w:rsidTr="001D74D6">
        <w:trPr>
          <w:trHeight w:val="454"/>
        </w:trPr>
        <w:tc>
          <w:tcPr>
            <w:tcW w:w="1418" w:type="dxa"/>
          </w:tcPr>
          <w:p w14:paraId="779DA785" w14:textId="77777777" w:rsidR="005C255F" w:rsidRPr="00CE00BE" w:rsidRDefault="005C255F" w:rsidP="005C255F">
            <w:pPr>
              <w:jc w:val="center"/>
              <w:rPr>
                <w:rFonts w:cs="Arial"/>
                <w:szCs w:val="24"/>
              </w:rPr>
            </w:pPr>
          </w:p>
        </w:tc>
        <w:tc>
          <w:tcPr>
            <w:tcW w:w="7091" w:type="dxa"/>
          </w:tcPr>
          <w:p w14:paraId="76309625" w14:textId="617F55F8" w:rsidR="005C255F" w:rsidRPr="00CE00BE" w:rsidRDefault="005C255F" w:rsidP="005C255F">
            <w:pPr>
              <w:pStyle w:val="Heading6"/>
              <w:numPr>
                <w:ilvl w:val="0"/>
                <w:numId w:val="8"/>
              </w:numPr>
              <w:rPr>
                <w:rFonts w:cs="Arial"/>
                <w:b w:val="0"/>
                <w:bCs w:val="0"/>
                <w:noProof/>
              </w:rPr>
            </w:pPr>
            <w:r w:rsidRPr="00CE00BE">
              <w:rPr>
                <w:rFonts w:cs="Arial"/>
                <w:b w:val="0"/>
                <w:bCs w:val="0"/>
                <w:noProof/>
              </w:rPr>
              <w:t xml:space="preserve">Map 2:  Nottingham Outer Housing Market Area </w:t>
            </w:r>
          </w:p>
        </w:tc>
        <w:tc>
          <w:tcPr>
            <w:tcW w:w="1134" w:type="dxa"/>
          </w:tcPr>
          <w:p w14:paraId="40FCFAF5" w14:textId="1EB19D4E" w:rsidR="005C255F" w:rsidRPr="00CE00BE" w:rsidRDefault="005C255F" w:rsidP="00776166">
            <w:pPr>
              <w:jc w:val="center"/>
              <w:rPr>
                <w:rFonts w:cs="Arial"/>
                <w:szCs w:val="24"/>
              </w:rPr>
            </w:pPr>
            <w:r w:rsidRPr="00C34D2D">
              <w:rPr>
                <w:rFonts w:cs="Arial"/>
                <w:color w:val="000000"/>
                <w:szCs w:val="24"/>
              </w:rPr>
              <w:t>4</w:t>
            </w:r>
          </w:p>
        </w:tc>
      </w:tr>
      <w:tr w:rsidR="005C255F" w:rsidRPr="00CE00BE" w14:paraId="0D3C5B6A" w14:textId="77777777" w:rsidTr="001D74D6">
        <w:trPr>
          <w:trHeight w:val="454"/>
        </w:trPr>
        <w:tc>
          <w:tcPr>
            <w:tcW w:w="1418" w:type="dxa"/>
          </w:tcPr>
          <w:p w14:paraId="5A9473B6" w14:textId="4B3AE228" w:rsidR="005C255F" w:rsidRPr="00CE00BE" w:rsidRDefault="005C255F" w:rsidP="005C255F">
            <w:pPr>
              <w:jc w:val="center"/>
              <w:rPr>
                <w:rFonts w:cs="Arial"/>
                <w:szCs w:val="24"/>
              </w:rPr>
            </w:pPr>
            <w:r w:rsidRPr="00CE00BE">
              <w:rPr>
                <w:rFonts w:cs="Arial"/>
                <w:szCs w:val="24"/>
              </w:rPr>
              <w:t>4</w:t>
            </w:r>
          </w:p>
        </w:tc>
        <w:tc>
          <w:tcPr>
            <w:tcW w:w="7091" w:type="dxa"/>
          </w:tcPr>
          <w:p w14:paraId="0C2805AE" w14:textId="2CCF0EF4" w:rsidR="005C255F" w:rsidRPr="00CE00BE" w:rsidRDefault="005C255F" w:rsidP="005C255F">
            <w:pPr>
              <w:rPr>
                <w:rFonts w:cs="Arial"/>
                <w:szCs w:val="24"/>
              </w:rPr>
            </w:pPr>
            <w:r w:rsidRPr="00CE00BE">
              <w:rPr>
                <w:rFonts w:cs="Arial"/>
                <w:bCs/>
                <w:szCs w:val="24"/>
              </w:rPr>
              <w:t>The Need for Homes in Ashfield</w:t>
            </w:r>
          </w:p>
        </w:tc>
        <w:tc>
          <w:tcPr>
            <w:tcW w:w="1134" w:type="dxa"/>
          </w:tcPr>
          <w:p w14:paraId="766EA1A6" w14:textId="727E320C" w:rsidR="005C255F" w:rsidRPr="00CE00BE" w:rsidRDefault="005C255F" w:rsidP="00776166">
            <w:pPr>
              <w:jc w:val="center"/>
              <w:rPr>
                <w:rFonts w:cs="Arial"/>
                <w:szCs w:val="24"/>
              </w:rPr>
            </w:pPr>
            <w:r w:rsidRPr="00C34D2D">
              <w:rPr>
                <w:rFonts w:cs="Arial"/>
                <w:color w:val="000000"/>
                <w:szCs w:val="24"/>
              </w:rPr>
              <w:t>5</w:t>
            </w:r>
          </w:p>
        </w:tc>
      </w:tr>
      <w:tr w:rsidR="005C255F" w:rsidRPr="00CE00BE" w14:paraId="39828ABB" w14:textId="77777777" w:rsidTr="001D74D6">
        <w:trPr>
          <w:trHeight w:val="454"/>
        </w:trPr>
        <w:tc>
          <w:tcPr>
            <w:tcW w:w="1418" w:type="dxa"/>
          </w:tcPr>
          <w:p w14:paraId="24235D2B" w14:textId="77777777" w:rsidR="005C255F" w:rsidRPr="00CE00BE" w:rsidRDefault="005C255F" w:rsidP="005C255F">
            <w:pPr>
              <w:jc w:val="center"/>
              <w:rPr>
                <w:rFonts w:cs="Arial"/>
                <w:szCs w:val="24"/>
              </w:rPr>
            </w:pPr>
          </w:p>
        </w:tc>
        <w:tc>
          <w:tcPr>
            <w:tcW w:w="7091" w:type="dxa"/>
          </w:tcPr>
          <w:p w14:paraId="7BB9FC54" w14:textId="018227BD" w:rsidR="005C255F" w:rsidRPr="00CE00BE" w:rsidRDefault="005C255F" w:rsidP="005C255F">
            <w:pPr>
              <w:pStyle w:val="Heading5"/>
              <w:rPr>
                <w:rFonts w:cs="Arial"/>
              </w:rPr>
            </w:pPr>
            <w:r w:rsidRPr="00CE00BE">
              <w:rPr>
                <w:rFonts w:cs="Arial"/>
              </w:rPr>
              <w:t>Standard Method for assessing Local Housing Need (LHN)</w:t>
            </w:r>
          </w:p>
        </w:tc>
        <w:tc>
          <w:tcPr>
            <w:tcW w:w="1134" w:type="dxa"/>
          </w:tcPr>
          <w:p w14:paraId="29122E2F" w14:textId="7C90C919" w:rsidR="005C255F" w:rsidRPr="00CE00BE" w:rsidRDefault="005C255F" w:rsidP="00776166">
            <w:pPr>
              <w:jc w:val="center"/>
              <w:rPr>
                <w:rFonts w:cs="Arial"/>
                <w:szCs w:val="24"/>
              </w:rPr>
            </w:pPr>
            <w:r w:rsidRPr="00C34D2D">
              <w:rPr>
                <w:rFonts w:cs="Arial"/>
                <w:color w:val="000000"/>
                <w:szCs w:val="24"/>
              </w:rPr>
              <w:t>5</w:t>
            </w:r>
          </w:p>
        </w:tc>
      </w:tr>
      <w:tr w:rsidR="005C255F" w:rsidRPr="00CE00BE" w14:paraId="2330B5B4" w14:textId="77777777" w:rsidTr="001D74D6">
        <w:trPr>
          <w:trHeight w:val="454"/>
        </w:trPr>
        <w:tc>
          <w:tcPr>
            <w:tcW w:w="1418" w:type="dxa"/>
          </w:tcPr>
          <w:p w14:paraId="5F8B9998" w14:textId="1A8024CA" w:rsidR="005C255F" w:rsidRPr="00CE00BE" w:rsidRDefault="005C255F" w:rsidP="005C255F">
            <w:pPr>
              <w:jc w:val="center"/>
              <w:rPr>
                <w:rFonts w:cs="Arial"/>
                <w:szCs w:val="24"/>
              </w:rPr>
            </w:pPr>
            <w:r w:rsidRPr="00CE00BE">
              <w:rPr>
                <w:rFonts w:cs="Arial"/>
                <w:szCs w:val="24"/>
              </w:rPr>
              <w:t>5</w:t>
            </w:r>
          </w:p>
        </w:tc>
        <w:tc>
          <w:tcPr>
            <w:tcW w:w="7091" w:type="dxa"/>
          </w:tcPr>
          <w:p w14:paraId="09903CE1" w14:textId="62DCAD9F" w:rsidR="005C255F" w:rsidRPr="00CE00BE" w:rsidRDefault="005C255F" w:rsidP="005C255F">
            <w:pPr>
              <w:rPr>
                <w:rFonts w:cs="Arial"/>
                <w:szCs w:val="24"/>
              </w:rPr>
            </w:pPr>
            <w:r w:rsidRPr="00CE00BE">
              <w:rPr>
                <w:rFonts w:cs="Arial"/>
                <w:szCs w:val="24"/>
              </w:rPr>
              <w:t>Supply of Housing Land</w:t>
            </w:r>
          </w:p>
        </w:tc>
        <w:tc>
          <w:tcPr>
            <w:tcW w:w="1134" w:type="dxa"/>
          </w:tcPr>
          <w:p w14:paraId="7D7C4359" w14:textId="1491822B" w:rsidR="005C255F" w:rsidRPr="00CE00BE" w:rsidRDefault="005C255F" w:rsidP="00776166">
            <w:pPr>
              <w:jc w:val="center"/>
              <w:rPr>
                <w:rFonts w:cs="Arial"/>
                <w:szCs w:val="24"/>
              </w:rPr>
            </w:pPr>
            <w:r w:rsidRPr="00C34D2D">
              <w:rPr>
                <w:rFonts w:cs="Arial"/>
                <w:color w:val="000000"/>
                <w:szCs w:val="24"/>
              </w:rPr>
              <w:t>7</w:t>
            </w:r>
          </w:p>
        </w:tc>
      </w:tr>
      <w:tr w:rsidR="005C255F" w:rsidRPr="00CE00BE" w14:paraId="10FFCDC5" w14:textId="77777777" w:rsidTr="001D74D6">
        <w:trPr>
          <w:trHeight w:val="501"/>
        </w:trPr>
        <w:tc>
          <w:tcPr>
            <w:tcW w:w="1418" w:type="dxa"/>
          </w:tcPr>
          <w:p w14:paraId="1EB78459" w14:textId="77777777" w:rsidR="005C255F" w:rsidRPr="00CE00BE" w:rsidRDefault="005C255F" w:rsidP="005C255F">
            <w:pPr>
              <w:jc w:val="center"/>
              <w:rPr>
                <w:rFonts w:cs="Arial"/>
                <w:szCs w:val="24"/>
              </w:rPr>
            </w:pPr>
          </w:p>
        </w:tc>
        <w:tc>
          <w:tcPr>
            <w:tcW w:w="7091" w:type="dxa"/>
          </w:tcPr>
          <w:p w14:paraId="015D0887" w14:textId="5CD04E0C" w:rsidR="005C255F" w:rsidRPr="00CE00BE" w:rsidRDefault="005C255F" w:rsidP="005C255F">
            <w:pPr>
              <w:pStyle w:val="Heading6"/>
              <w:numPr>
                <w:ilvl w:val="0"/>
                <w:numId w:val="6"/>
              </w:numPr>
              <w:rPr>
                <w:rFonts w:cs="Arial"/>
                <w:b w:val="0"/>
                <w:bCs w:val="0"/>
              </w:rPr>
            </w:pPr>
            <w:r w:rsidRPr="00CE00BE">
              <w:rPr>
                <w:rFonts w:cs="Arial"/>
                <w:b w:val="0"/>
                <w:bCs w:val="0"/>
              </w:rPr>
              <w:t>Sources of Housing Supply</w:t>
            </w:r>
          </w:p>
        </w:tc>
        <w:tc>
          <w:tcPr>
            <w:tcW w:w="1134" w:type="dxa"/>
          </w:tcPr>
          <w:p w14:paraId="691CCD60" w14:textId="5A09B043" w:rsidR="005C255F" w:rsidRPr="00CE00BE" w:rsidRDefault="005C255F" w:rsidP="00776166">
            <w:pPr>
              <w:jc w:val="center"/>
              <w:rPr>
                <w:rFonts w:cs="Arial"/>
                <w:szCs w:val="24"/>
              </w:rPr>
            </w:pPr>
            <w:r w:rsidRPr="00C34D2D">
              <w:rPr>
                <w:rFonts w:cs="Arial"/>
                <w:color w:val="000000"/>
                <w:szCs w:val="24"/>
              </w:rPr>
              <w:t>7</w:t>
            </w:r>
          </w:p>
        </w:tc>
      </w:tr>
      <w:tr w:rsidR="005C255F" w:rsidRPr="00CE00BE" w14:paraId="65DE4692" w14:textId="77777777" w:rsidTr="001D74D6">
        <w:trPr>
          <w:trHeight w:val="454"/>
        </w:trPr>
        <w:tc>
          <w:tcPr>
            <w:tcW w:w="1418" w:type="dxa"/>
          </w:tcPr>
          <w:p w14:paraId="4085C11A" w14:textId="77777777" w:rsidR="005C255F" w:rsidRPr="00CE00BE" w:rsidRDefault="005C255F" w:rsidP="005C255F">
            <w:pPr>
              <w:jc w:val="center"/>
              <w:rPr>
                <w:rFonts w:cs="Arial"/>
                <w:szCs w:val="24"/>
              </w:rPr>
            </w:pPr>
          </w:p>
        </w:tc>
        <w:tc>
          <w:tcPr>
            <w:tcW w:w="7091" w:type="dxa"/>
          </w:tcPr>
          <w:p w14:paraId="664DE7AC" w14:textId="7DF3B48C" w:rsidR="005C255F" w:rsidRPr="00CE00BE" w:rsidRDefault="005C255F" w:rsidP="005C255F">
            <w:pPr>
              <w:pStyle w:val="Heading6"/>
              <w:numPr>
                <w:ilvl w:val="0"/>
                <w:numId w:val="7"/>
              </w:numPr>
              <w:rPr>
                <w:rFonts w:cs="Arial"/>
                <w:b w:val="0"/>
                <w:bCs w:val="0"/>
              </w:rPr>
            </w:pPr>
            <w:r w:rsidRPr="00CE00BE">
              <w:rPr>
                <w:rFonts w:cs="Arial"/>
                <w:b w:val="0"/>
                <w:bCs w:val="0"/>
              </w:rPr>
              <w:t>Strategic Housing and Economic Land Availability Assessment</w:t>
            </w:r>
          </w:p>
        </w:tc>
        <w:tc>
          <w:tcPr>
            <w:tcW w:w="1134" w:type="dxa"/>
          </w:tcPr>
          <w:p w14:paraId="55BD9A88" w14:textId="01491491" w:rsidR="005C255F" w:rsidRPr="00CE00BE" w:rsidRDefault="005C255F" w:rsidP="00776166">
            <w:pPr>
              <w:jc w:val="center"/>
              <w:rPr>
                <w:rFonts w:cs="Arial"/>
                <w:szCs w:val="24"/>
              </w:rPr>
            </w:pPr>
            <w:r w:rsidRPr="00C34D2D">
              <w:rPr>
                <w:rFonts w:cs="Arial"/>
                <w:color w:val="000000"/>
                <w:szCs w:val="24"/>
              </w:rPr>
              <w:t>8</w:t>
            </w:r>
          </w:p>
        </w:tc>
      </w:tr>
      <w:tr w:rsidR="005C255F" w:rsidRPr="00CE00BE" w14:paraId="1EA7F301" w14:textId="77777777" w:rsidTr="001D74D6">
        <w:trPr>
          <w:trHeight w:val="454"/>
        </w:trPr>
        <w:tc>
          <w:tcPr>
            <w:tcW w:w="1418" w:type="dxa"/>
          </w:tcPr>
          <w:p w14:paraId="1B462FD9" w14:textId="77777777" w:rsidR="005C255F" w:rsidRPr="00CE00BE" w:rsidRDefault="005C255F" w:rsidP="005C255F">
            <w:pPr>
              <w:jc w:val="center"/>
              <w:rPr>
                <w:rFonts w:cs="Arial"/>
                <w:szCs w:val="24"/>
              </w:rPr>
            </w:pPr>
          </w:p>
        </w:tc>
        <w:tc>
          <w:tcPr>
            <w:tcW w:w="7091" w:type="dxa"/>
          </w:tcPr>
          <w:p w14:paraId="6EA66561" w14:textId="740D9DE1" w:rsidR="005C255F" w:rsidRPr="00CE00BE" w:rsidRDefault="005C255F" w:rsidP="005C255F">
            <w:pPr>
              <w:pStyle w:val="Heading6"/>
              <w:numPr>
                <w:ilvl w:val="0"/>
                <w:numId w:val="7"/>
              </w:numPr>
              <w:rPr>
                <w:rFonts w:cs="Arial"/>
                <w:b w:val="0"/>
                <w:bCs w:val="0"/>
              </w:rPr>
            </w:pPr>
            <w:r w:rsidRPr="00CE00BE">
              <w:rPr>
                <w:rFonts w:cs="Arial"/>
                <w:b w:val="0"/>
                <w:bCs w:val="0"/>
              </w:rPr>
              <w:t>Approach to Windfall Sites</w:t>
            </w:r>
          </w:p>
        </w:tc>
        <w:tc>
          <w:tcPr>
            <w:tcW w:w="1134" w:type="dxa"/>
          </w:tcPr>
          <w:p w14:paraId="008C3A5F" w14:textId="75F0699F" w:rsidR="005C255F" w:rsidRPr="00CE00BE" w:rsidRDefault="005C255F" w:rsidP="00776166">
            <w:pPr>
              <w:jc w:val="center"/>
              <w:rPr>
                <w:rFonts w:cs="Arial"/>
                <w:szCs w:val="24"/>
              </w:rPr>
            </w:pPr>
            <w:r>
              <w:rPr>
                <w:rFonts w:cs="Arial"/>
                <w:color w:val="000000"/>
                <w:szCs w:val="24"/>
              </w:rPr>
              <w:t>8</w:t>
            </w:r>
          </w:p>
        </w:tc>
      </w:tr>
      <w:tr w:rsidR="005C255F" w:rsidRPr="00CE00BE" w14:paraId="27FAF5A1" w14:textId="77777777" w:rsidTr="001D74D6">
        <w:trPr>
          <w:trHeight w:val="454"/>
        </w:trPr>
        <w:tc>
          <w:tcPr>
            <w:tcW w:w="1418" w:type="dxa"/>
          </w:tcPr>
          <w:p w14:paraId="2C223273" w14:textId="77777777" w:rsidR="005C255F" w:rsidRPr="00CE00BE" w:rsidRDefault="005C255F" w:rsidP="005C255F">
            <w:pPr>
              <w:jc w:val="center"/>
              <w:rPr>
                <w:rFonts w:cs="Arial"/>
                <w:szCs w:val="24"/>
              </w:rPr>
            </w:pPr>
          </w:p>
        </w:tc>
        <w:tc>
          <w:tcPr>
            <w:tcW w:w="7091" w:type="dxa"/>
          </w:tcPr>
          <w:p w14:paraId="36F636E3" w14:textId="2CE39208" w:rsidR="005C255F" w:rsidRPr="00CE00BE" w:rsidRDefault="005C255F" w:rsidP="005C255F">
            <w:pPr>
              <w:pStyle w:val="Heading5"/>
              <w:rPr>
                <w:rFonts w:cs="Arial"/>
              </w:rPr>
            </w:pPr>
            <w:r w:rsidRPr="00CE00BE">
              <w:rPr>
                <w:rFonts w:cs="Arial"/>
              </w:rPr>
              <w:t>Approach to non-implementation of Planning Permissions</w:t>
            </w:r>
          </w:p>
        </w:tc>
        <w:tc>
          <w:tcPr>
            <w:tcW w:w="1134" w:type="dxa"/>
          </w:tcPr>
          <w:p w14:paraId="1EA48124" w14:textId="2310F179" w:rsidR="005C255F" w:rsidRPr="00CE00BE" w:rsidRDefault="005C255F" w:rsidP="00776166">
            <w:pPr>
              <w:jc w:val="center"/>
              <w:rPr>
                <w:rFonts w:cs="Arial"/>
                <w:szCs w:val="24"/>
              </w:rPr>
            </w:pPr>
            <w:r>
              <w:rPr>
                <w:rFonts w:cs="Arial"/>
                <w:color w:val="000000"/>
                <w:szCs w:val="24"/>
              </w:rPr>
              <w:t>11</w:t>
            </w:r>
          </w:p>
        </w:tc>
      </w:tr>
      <w:tr w:rsidR="005C255F" w:rsidRPr="00CE00BE" w14:paraId="0C63C100" w14:textId="77777777" w:rsidTr="001D74D6">
        <w:trPr>
          <w:trHeight w:val="548"/>
        </w:trPr>
        <w:tc>
          <w:tcPr>
            <w:tcW w:w="1418" w:type="dxa"/>
          </w:tcPr>
          <w:p w14:paraId="61ADFA20" w14:textId="11450071" w:rsidR="005C255F" w:rsidRPr="00CE00BE" w:rsidRDefault="005C255F" w:rsidP="005C255F">
            <w:pPr>
              <w:jc w:val="center"/>
              <w:rPr>
                <w:rFonts w:cs="Arial"/>
                <w:szCs w:val="24"/>
              </w:rPr>
            </w:pPr>
            <w:r w:rsidRPr="00CE00BE">
              <w:rPr>
                <w:rFonts w:cs="Arial"/>
                <w:szCs w:val="24"/>
              </w:rPr>
              <w:t>6</w:t>
            </w:r>
          </w:p>
        </w:tc>
        <w:tc>
          <w:tcPr>
            <w:tcW w:w="7091" w:type="dxa"/>
          </w:tcPr>
          <w:p w14:paraId="6A619941" w14:textId="71418BA0" w:rsidR="005C255F" w:rsidRPr="00FE22F3" w:rsidRDefault="005C255F" w:rsidP="00FE22F3">
            <w:pPr>
              <w:pStyle w:val="Heading3"/>
              <w:rPr>
                <w:b w:val="0"/>
                <w:bCs/>
              </w:rPr>
            </w:pPr>
            <w:r w:rsidRPr="00FE22F3">
              <w:rPr>
                <w:b w:val="0"/>
                <w:bCs/>
              </w:rPr>
              <w:t>Housing Site Delivery Assumptions</w:t>
            </w:r>
          </w:p>
        </w:tc>
        <w:tc>
          <w:tcPr>
            <w:tcW w:w="1134" w:type="dxa"/>
          </w:tcPr>
          <w:p w14:paraId="3D414794" w14:textId="5C0C7A69" w:rsidR="005C255F" w:rsidRPr="00CE00BE" w:rsidRDefault="005C255F" w:rsidP="00776166">
            <w:pPr>
              <w:jc w:val="center"/>
              <w:rPr>
                <w:rFonts w:cs="Arial"/>
                <w:szCs w:val="24"/>
              </w:rPr>
            </w:pPr>
            <w:r>
              <w:rPr>
                <w:rFonts w:cs="Arial"/>
                <w:color w:val="000000"/>
                <w:szCs w:val="24"/>
              </w:rPr>
              <w:t>13</w:t>
            </w:r>
          </w:p>
        </w:tc>
      </w:tr>
      <w:tr w:rsidR="005C255F" w:rsidRPr="00CE00BE" w14:paraId="6D2204C9" w14:textId="77777777" w:rsidTr="001D74D6">
        <w:trPr>
          <w:trHeight w:val="415"/>
        </w:trPr>
        <w:tc>
          <w:tcPr>
            <w:tcW w:w="1418" w:type="dxa"/>
          </w:tcPr>
          <w:p w14:paraId="7D710ED1" w14:textId="77777777" w:rsidR="005C255F" w:rsidRPr="00CE00BE" w:rsidRDefault="005C255F" w:rsidP="005C255F">
            <w:pPr>
              <w:jc w:val="center"/>
              <w:rPr>
                <w:rFonts w:cs="Arial"/>
                <w:szCs w:val="24"/>
              </w:rPr>
            </w:pPr>
          </w:p>
        </w:tc>
        <w:tc>
          <w:tcPr>
            <w:tcW w:w="7091" w:type="dxa"/>
          </w:tcPr>
          <w:p w14:paraId="75525C70" w14:textId="2957C083"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Lead-in Timescale</w:t>
            </w:r>
          </w:p>
        </w:tc>
        <w:tc>
          <w:tcPr>
            <w:tcW w:w="1134" w:type="dxa"/>
          </w:tcPr>
          <w:p w14:paraId="73B11FE8" w14:textId="65C0E49C" w:rsidR="005C255F" w:rsidRPr="00CE00BE" w:rsidRDefault="005C255F" w:rsidP="00776166">
            <w:pPr>
              <w:jc w:val="center"/>
              <w:rPr>
                <w:rFonts w:cs="Arial"/>
                <w:szCs w:val="24"/>
              </w:rPr>
            </w:pPr>
            <w:r>
              <w:rPr>
                <w:rFonts w:cs="Arial"/>
                <w:color w:val="000000"/>
                <w:szCs w:val="24"/>
              </w:rPr>
              <w:t>13</w:t>
            </w:r>
          </w:p>
        </w:tc>
      </w:tr>
      <w:tr w:rsidR="005C255F" w:rsidRPr="00CE00BE" w14:paraId="1F088C9F" w14:textId="77777777" w:rsidTr="001D74D6">
        <w:trPr>
          <w:trHeight w:val="323"/>
        </w:trPr>
        <w:tc>
          <w:tcPr>
            <w:tcW w:w="1418" w:type="dxa"/>
          </w:tcPr>
          <w:p w14:paraId="3A93BFBE" w14:textId="77777777" w:rsidR="005C255F" w:rsidRPr="00CE00BE" w:rsidRDefault="005C255F" w:rsidP="005C255F">
            <w:pPr>
              <w:jc w:val="center"/>
              <w:rPr>
                <w:rFonts w:cs="Arial"/>
                <w:szCs w:val="24"/>
              </w:rPr>
            </w:pPr>
          </w:p>
        </w:tc>
        <w:tc>
          <w:tcPr>
            <w:tcW w:w="7091" w:type="dxa"/>
          </w:tcPr>
          <w:p w14:paraId="512FB1BE" w14:textId="293B3355"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Annual Delivery Rate</w:t>
            </w:r>
          </w:p>
        </w:tc>
        <w:tc>
          <w:tcPr>
            <w:tcW w:w="1134" w:type="dxa"/>
          </w:tcPr>
          <w:p w14:paraId="2DC2A389" w14:textId="340F260A" w:rsidR="005C255F" w:rsidRPr="00CE00BE" w:rsidRDefault="005C255F" w:rsidP="00776166">
            <w:pPr>
              <w:jc w:val="center"/>
              <w:rPr>
                <w:rFonts w:cs="Arial"/>
                <w:szCs w:val="24"/>
              </w:rPr>
            </w:pPr>
            <w:r>
              <w:rPr>
                <w:rFonts w:cs="Arial"/>
                <w:color w:val="000000"/>
                <w:szCs w:val="24"/>
              </w:rPr>
              <w:t>14</w:t>
            </w:r>
          </w:p>
        </w:tc>
      </w:tr>
      <w:tr w:rsidR="005C255F" w:rsidRPr="00CE00BE" w14:paraId="48B90F05" w14:textId="77777777" w:rsidTr="001D74D6">
        <w:trPr>
          <w:trHeight w:val="359"/>
        </w:trPr>
        <w:tc>
          <w:tcPr>
            <w:tcW w:w="1418" w:type="dxa"/>
          </w:tcPr>
          <w:p w14:paraId="26077F0A" w14:textId="77777777" w:rsidR="005C255F" w:rsidRPr="00CE00BE" w:rsidRDefault="005C255F" w:rsidP="005C255F">
            <w:pPr>
              <w:jc w:val="center"/>
              <w:rPr>
                <w:rFonts w:cs="Arial"/>
                <w:szCs w:val="24"/>
              </w:rPr>
            </w:pPr>
          </w:p>
        </w:tc>
        <w:tc>
          <w:tcPr>
            <w:tcW w:w="7091" w:type="dxa"/>
          </w:tcPr>
          <w:p w14:paraId="08A15CDB" w14:textId="3AB117C9"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Density</w:t>
            </w:r>
          </w:p>
        </w:tc>
        <w:tc>
          <w:tcPr>
            <w:tcW w:w="1134" w:type="dxa"/>
          </w:tcPr>
          <w:p w14:paraId="3173F635" w14:textId="443320A7" w:rsidR="005C255F" w:rsidRPr="00CE00BE" w:rsidRDefault="005C255F" w:rsidP="00776166">
            <w:pPr>
              <w:jc w:val="center"/>
              <w:rPr>
                <w:rFonts w:cs="Arial"/>
                <w:szCs w:val="24"/>
              </w:rPr>
            </w:pPr>
            <w:r>
              <w:rPr>
                <w:rFonts w:cs="Arial"/>
                <w:color w:val="000000"/>
                <w:szCs w:val="24"/>
              </w:rPr>
              <w:t>16</w:t>
            </w:r>
          </w:p>
        </w:tc>
      </w:tr>
      <w:tr w:rsidR="005C255F" w:rsidRPr="00CE00BE" w14:paraId="6B659EC0" w14:textId="77777777" w:rsidTr="001D74D6">
        <w:trPr>
          <w:trHeight w:val="454"/>
        </w:trPr>
        <w:tc>
          <w:tcPr>
            <w:tcW w:w="1418" w:type="dxa"/>
          </w:tcPr>
          <w:p w14:paraId="7E81FC64" w14:textId="623B3D9E" w:rsidR="005C255F" w:rsidRPr="00CE00BE" w:rsidRDefault="005C255F" w:rsidP="005C255F">
            <w:pPr>
              <w:jc w:val="center"/>
              <w:rPr>
                <w:rFonts w:cs="Arial"/>
                <w:szCs w:val="24"/>
              </w:rPr>
            </w:pPr>
            <w:r>
              <w:rPr>
                <w:rFonts w:cs="Arial"/>
                <w:szCs w:val="24"/>
              </w:rPr>
              <w:t>7</w:t>
            </w:r>
          </w:p>
        </w:tc>
        <w:tc>
          <w:tcPr>
            <w:tcW w:w="7091" w:type="dxa"/>
          </w:tcPr>
          <w:p w14:paraId="5BBC96C4" w14:textId="17AA1B33" w:rsidR="005C255F" w:rsidRPr="00CE00BE" w:rsidRDefault="005C255F" w:rsidP="005C255F">
            <w:pPr>
              <w:rPr>
                <w:rFonts w:cs="Arial"/>
                <w:szCs w:val="24"/>
              </w:rPr>
            </w:pPr>
            <w:r>
              <w:t>Supply of Housing Land to meet Need in Ashfield</w:t>
            </w:r>
          </w:p>
        </w:tc>
        <w:tc>
          <w:tcPr>
            <w:tcW w:w="1134" w:type="dxa"/>
          </w:tcPr>
          <w:p w14:paraId="6CF0C294" w14:textId="78788A65" w:rsidR="005C255F" w:rsidRPr="00CE00BE" w:rsidRDefault="005C255F" w:rsidP="00776166">
            <w:pPr>
              <w:jc w:val="center"/>
              <w:rPr>
                <w:rFonts w:cs="Arial"/>
                <w:szCs w:val="24"/>
              </w:rPr>
            </w:pPr>
            <w:r>
              <w:rPr>
                <w:rFonts w:cs="Arial"/>
                <w:color w:val="000000"/>
                <w:szCs w:val="24"/>
              </w:rPr>
              <w:t>18</w:t>
            </w:r>
          </w:p>
        </w:tc>
      </w:tr>
      <w:tr w:rsidR="005C255F" w:rsidRPr="00CE00BE" w14:paraId="2EE627AC" w14:textId="77777777" w:rsidTr="001D74D6">
        <w:trPr>
          <w:trHeight w:val="454"/>
        </w:trPr>
        <w:tc>
          <w:tcPr>
            <w:tcW w:w="1418" w:type="dxa"/>
          </w:tcPr>
          <w:p w14:paraId="348816AC" w14:textId="507E0113" w:rsidR="005C255F" w:rsidRPr="00CE00BE" w:rsidRDefault="005C255F" w:rsidP="005C255F">
            <w:pPr>
              <w:jc w:val="center"/>
              <w:rPr>
                <w:rFonts w:cs="Arial"/>
                <w:szCs w:val="24"/>
              </w:rPr>
            </w:pPr>
            <w:r>
              <w:rPr>
                <w:rFonts w:cs="Arial"/>
                <w:szCs w:val="24"/>
              </w:rPr>
              <w:t>8</w:t>
            </w:r>
          </w:p>
        </w:tc>
        <w:tc>
          <w:tcPr>
            <w:tcW w:w="7091" w:type="dxa"/>
          </w:tcPr>
          <w:p w14:paraId="63DAA61D" w14:textId="4528FCFB" w:rsidR="005C255F" w:rsidRPr="00CE00BE" w:rsidRDefault="005C255F" w:rsidP="005C255F">
            <w:pPr>
              <w:rPr>
                <w:rFonts w:cs="Arial"/>
                <w:szCs w:val="24"/>
              </w:rPr>
            </w:pPr>
            <w:r>
              <w:rPr>
                <w:rFonts w:cs="Arial"/>
                <w:szCs w:val="24"/>
              </w:rPr>
              <w:t>Housing Mix</w:t>
            </w:r>
          </w:p>
        </w:tc>
        <w:tc>
          <w:tcPr>
            <w:tcW w:w="1134" w:type="dxa"/>
          </w:tcPr>
          <w:p w14:paraId="56239A60" w14:textId="43623BD4" w:rsidR="005C255F" w:rsidRPr="00CE00BE" w:rsidRDefault="005C255F" w:rsidP="00776166">
            <w:pPr>
              <w:jc w:val="center"/>
              <w:rPr>
                <w:rFonts w:cs="Arial"/>
                <w:szCs w:val="24"/>
              </w:rPr>
            </w:pPr>
            <w:r>
              <w:rPr>
                <w:rFonts w:cs="Arial"/>
                <w:color w:val="000000"/>
                <w:szCs w:val="24"/>
              </w:rPr>
              <w:t>20</w:t>
            </w:r>
          </w:p>
        </w:tc>
      </w:tr>
      <w:tr w:rsidR="005C255F" w:rsidRPr="00CE00BE" w14:paraId="4444467B" w14:textId="77777777" w:rsidTr="001D74D6">
        <w:trPr>
          <w:trHeight w:val="454"/>
        </w:trPr>
        <w:tc>
          <w:tcPr>
            <w:tcW w:w="1418" w:type="dxa"/>
          </w:tcPr>
          <w:p w14:paraId="725CFE69" w14:textId="372B7601" w:rsidR="005C255F" w:rsidRPr="00CE00BE" w:rsidRDefault="005C255F" w:rsidP="005C255F">
            <w:pPr>
              <w:jc w:val="center"/>
              <w:rPr>
                <w:rFonts w:cs="Arial"/>
                <w:szCs w:val="24"/>
              </w:rPr>
            </w:pPr>
            <w:r>
              <w:rPr>
                <w:rFonts w:cs="Arial"/>
                <w:szCs w:val="24"/>
              </w:rPr>
              <w:t>9</w:t>
            </w:r>
          </w:p>
        </w:tc>
        <w:tc>
          <w:tcPr>
            <w:tcW w:w="7091" w:type="dxa"/>
          </w:tcPr>
          <w:p w14:paraId="7499074A" w14:textId="461BE4F5" w:rsidR="005C255F" w:rsidRPr="0006394B" w:rsidRDefault="005C255F" w:rsidP="005C255F">
            <w:pPr>
              <w:rPr>
                <w:rFonts w:cs="Arial"/>
                <w:bCs/>
                <w:szCs w:val="24"/>
              </w:rPr>
            </w:pPr>
            <w:r w:rsidRPr="0006394B">
              <w:rPr>
                <w:rFonts w:cs="Arial"/>
                <w:bCs/>
                <w:szCs w:val="24"/>
              </w:rPr>
              <w:t xml:space="preserve">Gypsy, Traveller and Travelling </w:t>
            </w:r>
            <w:proofErr w:type="spellStart"/>
            <w:r w:rsidRPr="0006394B">
              <w:rPr>
                <w:rFonts w:cs="Arial"/>
                <w:bCs/>
                <w:szCs w:val="24"/>
              </w:rPr>
              <w:t>Showpeople’s</w:t>
            </w:r>
            <w:proofErr w:type="spellEnd"/>
            <w:r w:rsidRPr="0006394B">
              <w:rPr>
                <w:rFonts w:cs="Arial"/>
                <w:bCs/>
                <w:szCs w:val="24"/>
              </w:rPr>
              <w:t xml:space="preserve"> Accommodation</w:t>
            </w:r>
          </w:p>
        </w:tc>
        <w:tc>
          <w:tcPr>
            <w:tcW w:w="1134" w:type="dxa"/>
          </w:tcPr>
          <w:p w14:paraId="2DB9998B" w14:textId="2A9E06AA" w:rsidR="005C255F" w:rsidRPr="00CE00BE" w:rsidRDefault="005C255F" w:rsidP="00776166">
            <w:pPr>
              <w:jc w:val="center"/>
              <w:rPr>
                <w:rFonts w:cs="Arial"/>
                <w:szCs w:val="24"/>
              </w:rPr>
            </w:pPr>
            <w:r>
              <w:rPr>
                <w:rFonts w:cs="Arial"/>
                <w:color w:val="000000"/>
                <w:szCs w:val="24"/>
              </w:rPr>
              <w:t>23</w:t>
            </w:r>
          </w:p>
        </w:tc>
      </w:tr>
      <w:tr w:rsidR="00776166" w:rsidRPr="00CE00BE" w14:paraId="050EF3C8" w14:textId="77777777" w:rsidTr="001D74D6">
        <w:trPr>
          <w:trHeight w:val="454"/>
        </w:trPr>
        <w:tc>
          <w:tcPr>
            <w:tcW w:w="1418" w:type="dxa"/>
          </w:tcPr>
          <w:p w14:paraId="15CCF84E" w14:textId="77777777" w:rsidR="00776166" w:rsidRDefault="00776166" w:rsidP="005C255F">
            <w:pPr>
              <w:jc w:val="center"/>
              <w:rPr>
                <w:rFonts w:cs="Arial"/>
                <w:szCs w:val="24"/>
              </w:rPr>
            </w:pPr>
          </w:p>
        </w:tc>
        <w:tc>
          <w:tcPr>
            <w:tcW w:w="7091" w:type="dxa"/>
          </w:tcPr>
          <w:p w14:paraId="735E78A9" w14:textId="77777777" w:rsidR="00776166" w:rsidRPr="0006394B" w:rsidRDefault="00776166" w:rsidP="005C255F">
            <w:pPr>
              <w:rPr>
                <w:rFonts w:cs="Arial"/>
                <w:bCs/>
                <w:szCs w:val="24"/>
              </w:rPr>
            </w:pPr>
          </w:p>
        </w:tc>
        <w:tc>
          <w:tcPr>
            <w:tcW w:w="1134" w:type="dxa"/>
          </w:tcPr>
          <w:p w14:paraId="0A47F1AB" w14:textId="77777777" w:rsidR="00776166" w:rsidRDefault="00776166" w:rsidP="00776166">
            <w:pPr>
              <w:jc w:val="center"/>
              <w:rPr>
                <w:rFonts w:cs="Arial"/>
                <w:color w:val="000000"/>
                <w:szCs w:val="24"/>
              </w:rPr>
            </w:pPr>
          </w:p>
        </w:tc>
      </w:tr>
      <w:tr w:rsidR="00776166" w:rsidRPr="00CE00BE" w14:paraId="67CB2376" w14:textId="77777777" w:rsidTr="001D74D6">
        <w:trPr>
          <w:trHeight w:val="454"/>
        </w:trPr>
        <w:tc>
          <w:tcPr>
            <w:tcW w:w="1418" w:type="dxa"/>
          </w:tcPr>
          <w:p w14:paraId="57D80854" w14:textId="61B019C2" w:rsidR="00776166" w:rsidRDefault="00776166" w:rsidP="00776166">
            <w:pPr>
              <w:jc w:val="center"/>
              <w:rPr>
                <w:rFonts w:cs="Arial"/>
                <w:szCs w:val="24"/>
              </w:rPr>
            </w:pPr>
            <w:r w:rsidRPr="00040A23">
              <w:t>A</w:t>
            </w:r>
            <w:r>
              <w:t>ppendix</w:t>
            </w:r>
            <w:r w:rsidRPr="00040A23">
              <w:t xml:space="preserve"> </w:t>
            </w:r>
            <w:r>
              <w:t>1</w:t>
            </w:r>
          </w:p>
        </w:tc>
        <w:tc>
          <w:tcPr>
            <w:tcW w:w="7091" w:type="dxa"/>
          </w:tcPr>
          <w:p w14:paraId="15C459A2" w14:textId="3BD90211" w:rsidR="00776166" w:rsidRPr="0006394B" w:rsidRDefault="00776166" w:rsidP="00776166">
            <w:pPr>
              <w:rPr>
                <w:rFonts w:cs="Arial"/>
                <w:bCs/>
                <w:szCs w:val="24"/>
              </w:rPr>
            </w:pPr>
            <w:r>
              <w:rPr>
                <w:szCs w:val="24"/>
              </w:rPr>
              <w:t>Delivery Rates on Large Sites 2013-2016</w:t>
            </w:r>
          </w:p>
        </w:tc>
        <w:tc>
          <w:tcPr>
            <w:tcW w:w="1134" w:type="dxa"/>
          </w:tcPr>
          <w:p w14:paraId="28AF4A89" w14:textId="0F3110CF" w:rsidR="00776166" w:rsidRDefault="00776166" w:rsidP="00776166">
            <w:pPr>
              <w:jc w:val="center"/>
              <w:rPr>
                <w:rFonts w:cs="Arial"/>
                <w:color w:val="000000"/>
                <w:szCs w:val="24"/>
              </w:rPr>
            </w:pPr>
            <w:r>
              <w:rPr>
                <w:szCs w:val="24"/>
              </w:rPr>
              <w:t>25</w:t>
            </w:r>
          </w:p>
        </w:tc>
      </w:tr>
    </w:tbl>
    <w:p w14:paraId="2E706890" w14:textId="7A0E0CB0" w:rsidR="00771BB1" w:rsidRDefault="00771BB1" w:rsidP="00FD285F">
      <w:pPr>
        <w:jc w:val="right"/>
        <w:rPr>
          <w:szCs w:val="24"/>
        </w:rPr>
      </w:pPr>
    </w:p>
    <w:p w14:paraId="0809A4FE" w14:textId="77777777" w:rsidR="001A5534" w:rsidRPr="001A5534" w:rsidRDefault="001A5534" w:rsidP="00FD285F">
      <w:pPr>
        <w:jc w:val="right"/>
        <w:rPr>
          <w:szCs w:val="24"/>
        </w:rPr>
      </w:pPr>
    </w:p>
    <w:p w14:paraId="30B32345" w14:textId="3CDD2604" w:rsidR="00936DAE" w:rsidRDefault="00936DAE">
      <w:pPr>
        <w:keepNext w:val="0"/>
        <w:spacing w:before="0"/>
        <w:rPr>
          <w:sz w:val="40"/>
          <w:szCs w:val="40"/>
        </w:rPr>
      </w:pPr>
      <w:r>
        <w:rPr>
          <w:sz w:val="40"/>
          <w:szCs w:val="40"/>
        </w:rPr>
        <w:br w:type="page"/>
      </w:r>
    </w:p>
    <w:p w14:paraId="7A6B270F" w14:textId="77777777" w:rsidR="00936DAE" w:rsidRDefault="00936DAE" w:rsidP="00936DAE">
      <w:pPr>
        <w:keepNext w:val="0"/>
        <w:autoSpaceDE w:val="0"/>
        <w:autoSpaceDN w:val="0"/>
        <w:adjustRightInd w:val="0"/>
        <w:spacing w:before="0"/>
        <w:jc w:val="center"/>
        <w:rPr>
          <w:rFonts w:cs="Arial"/>
          <w:b/>
          <w:bCs/>
          <w:szCs w:val="24"/>
        </w:rPr>
      </w:pPr>
    </w:p>
    <w:p w14:paraId="06DF2FDE" w14:textId="77777777" w:rsidR="00936DAE" w:rsidRDefault="00936DAE" w:rsidP="00936DAE">
      <w:pPr>
        <w:keepNext w:val="0"/>
        <w:autoSpaceDE w:val="0"/>
        <w:autoSpaceDN w:val="0"/>
        <w:adjustRightInd w:val="0"/>
        <w:spacing w:before="0"/>
        <w:jc w:val="center"/>
        <w:rPr>
          <w:rFonts w:cs="Arial"/>
          <w:b/>
          <w:bCs/>
          <w:szCs w:val="24"/>
        </w:rPr>
      </w:pPr>
    </w:p>
    <w:p w14:paraId="0B2D0929" w14:textId="77777777" w:rsidR="00936DAE" w:rsidRDefault="00936DAE" w:rsidP="00936DAE">
      <w:pPr>
        <w:keepNext w:val="0"/>
        <w:autoSpaceDE w:val="0"/>
        <w:autoSpaceDN w:val="0"/>
        <w:adjustRightInd w:val="0"/>
        <w:spacing w:before="0"/>
        <w:jc w:val="center"/>
        <w:rPr>
          <w:rFonts w:cs="Arial"/>
          <w:b/>
          <w:bCs/>
          <w:szCs w:val="24"/>
        </w:rPr>
      </w:pPr>
    </w:p>
    <w:p w14:paraId="7A88D13B" w14:textId="77777777" w:rsidR="00936DAE" w:rsidRDefault="00936DAE" w:rsidP="00936DAE">
      <w:pPr>
        <w:keepNext w:val="0"/>
        <w:autoSpaceDE w:val="0"/>
        <w:autoSpaceDN w:val="0"/>
        <w:adjustRightInd w:val="0"/>
        <w:spacing w:before="0"/>
        <w:jc w:val="center"/>
        <w:rPr>
          <w:rFonts w:cs="Arial"/>
          <w:b/>
          <w:bCs/>
          <w:szCs w:val="24"/>
        </w:rPr>
      </w:pPr>
    </w:p>
    <w:p w14:paraId="56FC6FDB" w14:textId="77777777" w:rsidR="00936DAE" w:rsidRDefault="00936DAE" w:rsidP="00936DAE">
      <w:pPr>
        <w:keepNext w:val="0"/>
        <w:autoSpaceDE w:val="0"/>
        <w:autoSpaceDN w:val="0"/>
        <w:adjustRightInd w:val="0"/>
        <w:spacing w:before="0"/>
        <w:jc w:val="center"/>
        <w:rPr>
          <w:rFonts w:cs="Arial"/>
          <w:b/>
          <w:bCs/>
          <w:szCs w:val="24"/>
        </w:rPr>
      </w:pPr>
    </w:p>
    <w:p w14:paraId="40A53969" w14:textId="77777777" w:rsidR="00936DAE" w:rsidRDefault="00936DAE" w:rsidP="00936DAE">
      <w:pPr>
        <w:keepNext w:val="0"/>
        <w:autoSpaceDE w:val="0"/>
        <w:autoSpaceDN w:val="0"/>
        <w:adjustRightInd w:val="0"/>
        <w:spacing w:before="0"/>
        <w:jc w:val="center"/>
        <w:rPr>
          <w:rFonts w:cs="Arial"/>
          <w:b/>
          <w:bCs/>
          <w:szCs w:val="24"/>
        </w:rPr>
      </w:pPr>
    </w:p>
    <w:p w14:paraId="786A213B" w14:textId="77777777" w:rsidR="00936DAE" w:rsidRDefault="00936DAE" w:rsidP="00936DAE">
      <w:pPr>
        <w:keepNext w:val="0"/>
        <w:autoSpaceDE w:val="0"/>
        <w:autoSpaceDN w:val="0"/>
        <w:adjustRightInd w:val="0"/>
        <w:spacing w:before="0"/>
        <w:jc w:val="center"/>
        <w:rPr>
          <w:rFonts w:cs="Arial"/>
          <w:b/>
          <w:bCs/>
          <w:szCs w:val="24"/>
        </w:rPr>
      </w:pPr>
    </w:p>
    <w:p w14:paraId="72CF98C0" w14:textId="1D9857B9" w:rsidR="00936DAE" w:rsidRDefault="00936DAE" w:rsidP="00936DAE">
      <w:pPr>
        <w:keepNext w:val="0"/>
        <w:autoSpaceDE w:val="0"/>
        <w:autoSpaceDN w:val="0"/>
        <w:adjustRightInd w:val="0"/>
        <w:spacing w:before="0"/>
        <w:jc w:val="center"/>
        <w:rPr>
          <w:rFonts w:cs="Arial"/>
          <w:b/>
          <w:bCs/>
          <w:szCs w:val="24"/>
        </w:rPr>
      </w:pPr>
      <w:r>
        <w:rPr>
          <w:rFonts w:cs="Arial"/>
          <w:b/>
          <w:bCs/>
          <w:szCs w:val="24"/>
        </w:rPr>
        <w:t>THIS PAGE IS INTENTIONALLY BLANK</w:t>
      </w:r>
    </w:p>
    <w:p w14:paraId="7AE42C4D" w14:textId="77777777" w:rsidR="00FD285F" w:rsidRDefault="00FD285F" w:rsidP="00FD285F">
      <w:pPr>
        <w:jc w:val="right"/>
        <w:rPr>
          <w:sz w:val="40"/>
          <w:szCs w:val="40"/>
        </w:rPr>
      </w:pPr>
    </w:p>
    <w:p w14:paraId="0B083755" w14:textId="553F5D1E" w:rsidR="00936DAE" w:rsidRDefault="00936DAE" w:rsidP="00FD285F">
      <w:pPr>
        <w:jc w:val="right"/>
        <w:rPr>
          <w:sz w:val="40"/>
          <w:szCs w:val="40"/>
        </w:rPr>
        <w:sectPr w:rsidR="00936DAE" w:rsidSect="00EB69AD">
          <w:footerReference w:type="default" r:id="rId12"/>
          <w:pgSz w:w="11906" w:h="16838"/>
          <w:pgMar w:top="1440" w:right="1077" w:bottom="1440" w:left="1077" w:header="709" w:footer="709" w:gutter="0"/>
          <w:cols w:space="708"/>
          <w:docGrid w:linePitch="360"/>
        </w:sectPr>
      </w:pPr>
    </w:p>
    <w:p w14:paraId="5D3026C1" w14:textId="18FA9680" w:rsidR="00321AAC" w:rsidRPr="009820B5" w:rsidRDefault="007D3B54" w:rsidP="00C633B2">
      <w:pPr>
        <w:pStyle w:val="Heading4"/>
        <w:numPr>
          <w:ilvl w:val="0"/>
          <w:numId w:val="9"/>
        </w:numPr>
        <w:ind w:left="567" w:hanging="567"/>
      </w:pPr>
      <w:r w:rsidRPr="009820B5">
        <w:lastRenderedPageBreak/>
        <w:t>Introduction</w:t>
      </w:r>
    </w:p>
    <w:p w14:paraId="51BFA73B" w14:textId="77777777" w:rsidR="00460DF9" w:rsidRPr="002E0491" w:rsidRDefault="00460DF9" w:rsidP="007D3B54">
      <w:pPr>
        <w:rPr>
          <w:rFonts w:cs="Arial"/>
        </w:rPr>
      </w:pPr>
    </w:p>
    <w:p w14:paraId="1B615ADB" w14:textId="6BB5430F" w:rsidR="007D3B54" w:rsidRPr="002E0491" w:rsidRDefault="007D3B54" w:rsidP="005D6EB3">
      <w:pPr>
        <w:pStyle w:val="ListParagraph"/>
        <w:numPr>
          <w:ilvl w:val="1"/>
          <w:numId w:val="9"/>
        </w:numPr>
        <w:spacing w:after="0"/>
        <w:ind w:left="567" w:hanging="567"/>
        <w:rPr>
          <w:rFonts w:ascii="Arial" w:hAnsi="Arial" w:cs="Arial"/>
        </w:rPr>
      </w:pPr>
      <w:r w:rsidRPr="002E0491">
        <w:rPr>
          <w:rFonts w:ascii="Arial" w:hAnsi="Arial" w:cs="Arial"/>
        </w:rPr>
        <w:t xml:space="preserve">This Background Paper provides the context for the housing provision and </w:t>
      </w:r>
      <w:r w:rsidR="00F9609F" w:rsidRPr="002E0491">
        <w:rPr>
          <w:rFonts w:ascii="Arial" w:hAnsi="Arial" w:cs="Arial"/>
        </w:rPr>
        <w:t>supply in the Draft Ashfield Local Plan 202</w:t>
      </w:r>
      <w:r w:rsidR="00844F1F">
        <w:rPr>
          <w:rFonts w:ascii="Arial" w:hAnsi="Arial" w:cs="Arial"/>
        </w:rPr>
        <w:t>3</w:t>
      </w:r>
      <w:r w:rsidR="00F9609F" w:rsidRPr="002E0491">
        <w:rPr>
          <w:rFonts w:ascii="Arial" w:hAnsi="Arial" w:cs="Arial"/>
        </w:rPr>
        <w:t>-20</w:t>
      </w:r>
      <w:r w:rsidR="00844F1F">
        <w:rPr>
          <w:rFonts w:ascii="Arial" w:hAnsi="Arial" w:cs="Arial"/>
        </w:rPr>
        <w:t>40</w:t>
      </w:r>
      <w:r w:rsidRPr="002E0491">
        <w:rPr>
          <w:rFonts w:ascii="Arial" w:hAnsi="Arial" w:cs="Arial"/>
        </w:rPr>
        <w:t>, together with the context and reasoning behind the housing mix</w:t>
      </w:r>
      <w:r w:rsidR="00F9609F" w:rsidRPr="002E0491">
        <w:rPr>
          <w:rFonts w:ascii="Arial" w:hAnsi="Arial" w:cs="Arial"/>
        </w:rPr>
        <w:t xml:space="preserve">, delivery </w:t>
      </w:r>
      <w:r w:rsidR="00757C47" w:rsidRPr="002E0491">
        <w:rPr>
          <w:rFonts w:ascii="Arial" w:hAnsi="Arial" w:cs="Arial"/>
        </w:rPr>
        <w:t>assumptions</w:t>
      </w:r>
      <w:r w:rsidRPr="002E0491">
        <w:rPr>
          <w:rFonts w:ascii="Arial" w:hAnsi="Arial" w:cs="Arial"/>
        </w:rPr>
        <w:t xml:space="preserve"> and Gypsy and Traveling Showpeople policies.  It summarises the broad approach to housing, drawing on evidence and signposting to where further information can be found. </w:t>
      </w:r>
    </w:p>
    <w:p w14:paraId="72656232" w14:textId="77777777" w:rsidR="00460DF9" w:rsidRDefault="00460DF9" w:rsidP="005D6EB3">
      <w:pPr>
        <w:spacing w:before="0" w:line="276" w:lineRule="auto"/>
        <w:rPr>
          <w:rFonts w:cs="Arial"/>
          <w:color w:val="auto"/>
        </w:rPr>
      </w:pPr>
    </w:p>
    <w:p w14:paraId="654FBD22" w14:textId="66E85204" w:rsidR="00F9609F" w:rsidRPr="00757C47" w:rsidRDefault="00F9609F" w:rsidP="005D6EB3">
      <w:pPr>
        <w:pStyle w:val="Heading4"/>
        <w:numPr>
          <w:ilvl w:val="0"/>
          <w:numId w:val="9"/>
        </w:numPr>
        <w:spacing w:before="0" w:line="276" w:lineRule="auto"/>
        <w:ind w:left="567" w:hanging="567"/>
        <w:rPr>
          <w:color w:val="auto"/>
        </w:rPr>
      </w:pPr>
      <w:r w:rsidRPr="00757C47">
        <w:t>Policy Background</w:t>
      </w:r>
    </w:p>
    <w:p w14:paraId="34C4F769" w14:textId="77777777" w:rsidR="00460DF9" w:rsidRDefault="00460DF9" w:rsidP="005D6EB3">
      <w:pPr>
        <w:spacing w:before="0"/>
        <w:rPr>
          <w:rFonts w:cs="Arial"/>
        </w:rPr>
      </w:pPr>
    </w:p>
    <w:p w14:paraId="2E59B4AC" w14:textId="4C9B3C67" w:rsidR="00931BD5" w:rsidRDefault="00F9609F" w:rsidP="005D6EB3">
      <w:pPr>
        <w:pStyle w:val="ListParagraph"/>
        <w:numPr>
          <w:ilvl w:val="1"/>
          <w:numId w:val="9"/>
        </w:numPr>
        <w:spacing w:after="0"/>
        <w:ind w:left="567" w:hanging="567"/>
        <w:rPr>
          <w:rFonts w:ascii="Arial" w:hAnsi="Arial" w:cs="Arial"/>
        </w:rPr>
      </w:pPr>
      <w:r w:rsidRPr="002E0491">
        <w:rPr>
          <w:rFonts w:ascii="Arial" w:hAnsi="Arial" w:cs="Arial"/>
        </w:rPr>
        <w:t xml:space="preserve">The National Planning Policy Framework (NPPF) sets out the Government’s approach to significantly boosting the supply of homes.  It confirms that the standard methodology for assessing </w:t>
      </w:r>
      <w:r w:rsidR="005E3D0B">
        <w:rPr>
          <w:rFonts w:ascii="Arial" w:hAnsi="Arial" w:cs="Arial"/>
        </w:rPr>
        <w:t>L</w:t>
      </w:r>
      <w:r w:rsidRPr="002E0491">
        <w:rPr>
          <w:rFonts w:ascii="Arial" w:hAnsi="Arial" w:cs="Arial"/>
        </w:rPr>
        <w:t xml:space="preserve">ocal </w:t>
      </w:r>
      <w:r w:rsidR="005E3D0B">
        <w:rPr>
          <w:rFonts w:ascii="Arial" w:hAnsi="Arial" w:cs="Arial"/>
        </w:rPr>
        <w:t>H</w:t>
      </w:r>
      <w:r w:rsidRPr="002E0491">
        <w:rPr>
          <w:rFonts w:ascii="Arial" w:hAnsi="Arial" w:cs="Arial"/>
        </w:rPr>
        <w:t xml:space="preserve">ousing </w:t>
      </w:r>
      <w:r w:rsidR="005E3D0B">
        <w:rPr>
          <w:rFonts w:ascii="Arial" w:hAnsi="Arial" w:cs="Arial"/>
        </w:rPr>
        <w:t>N</w:t>
      </w:r>
      <w:r w:rsidRPr="002E0491">
        <w:rPr>
          <w:rFonts w:ascii="Arial" w:hAnsi="Arial" w:cs="Arial"/>
        </w:rPr>
        <w:t xml:space="preserve">eed </w:t>
      </w:r>
      <w:r w:rsidR="00DD171A" w:rsidRPr="002E0491">
        <w:rPr>
          <w:rFonts w:ascii="Arial" w:hAnsi="Arial" w:cs="Arial"/>
        </w:rPr>
        <w:t xml:space="preserve">(LHN) </w:t>
      </w:r>
      <w:r w:rsidRPr="002E0491">
        <w:rPr>
          <w:rFonts w:ascii="Arial" w:hAnsi="Arial" w:cs="Arial"/>
        </w:rPr>
        <w:t xml:space="preserve">should be the source for determining the minimum number of homes required, unless exceptional </w:t>
      </w:r>
      <w:r w:rsidRPr="00844F1F">
        <w:rPr>
          <w:rFonts w:ascii="Arial" w:hAnsi="Arial" w:cs="Arial"/>
        </w:rPr>
        <w:t xml:space="preserve">circumstances </w:t>
      </w:r>
      <w:r w:rsidR="00844F1F" w:rsidRPr="00844F1F">
        <w:rPr>
          <w:rFonts w:ascii="Arial" w:hAnsi="Arial" w:cs="Arial"/>
        </w:rPr>
        <w:t>justify an alternative approach which also reflects current and future demographic trends and market signals.</w:t>
      </w:r>
    </w:p>
    <w:p w14:paraId="1E843235" w14:textId="77777777" w:rsidR="00931BD5" w:rsidRDefault="00931BD5" w:rsidP="00931BD5">
      <w:pPr>
        <w:pStyle w:val="ListParagraph"/>
        <w:spacing w:after="0"/>
        <w:ind w:left="567"/>
        <w:rPr>
          <w:rFonts w:ascii="Arial" w:hAnsi="Arial" w:cs="Arial"/>
        </w:rPr>
      </w:pPr>
    </w:p>
    <w:p w14:paraId="180DD2D6" w14:textId="4B5B43C8" w:rsidR="00460DF9" w:rsidRPr="005E3D0B" w:rsidRDefault="00931BD5" w:rsidP="005D6EB3">
      <w:pPr>
        <w:pStyle w:val="ListParagraph"/>
        <w:numPr>
          <w:ilvl w:val="1"/>
          <w:numId w:val="9"/>
        </w:numPr>
        <w:spacing w:after="0"/>
        <w:ind w:left="567" w:hanging="567"/>
        <w:rPr>
          <w:rFonts w:ascii="Arial" w:hAnsi="Arial" w:cs="Arial"/>
          <w:szCs w:val="24"/>
        </w:rPr>
      </w:pPr>
      <w:r>
        <w:rPr>
          <w:rFonts w:ascii="Arial" w:hAnsi="Arial" w:cs="Arial"/>
        </w:rPr>
        <w:t>The</w:t>
      </w:r>
      <w:r w:rsidR="00460DF9" w:rsidRPr="002E0491">
        <w:rPr>
          <w:rFonts w:ascii="Arial" w:hAnsi="Arial" w:cs="Arial"/>
        </w:rPr>
        <w:t xml:space="preserve"> </w:t>
      </w:r>
      <w:r w:rsidR="00844F1F">
        <w:rPr>
          <w:rFonts w:ascii="Arial" w:hAnsi="Arial" w:cs="Arial"/>
        </w:rPr>
        <w:t>Council recognises the expectation that the standard method should be used</w:t>
      </w:r>
      <w:r w:rsidR="00F9609F" w:rsidRPr="002E0491">
        <w:rPr>
          <w:rFonts w:ascii="Arial" w:hAnsi="Arial" w:cs="Arial"/>
        </w:rPr>
        <w:t xml:space="preserve"> </w:t>
      </w:r>
      <w:r w:rsidR="00844F1F">
        <w:rPr>
          <w:rFonts w:ascii="Arial" w:hAnsi="Arial" w:cs="Arial"/>
        </w:rPr>
        <w:t xml:space="preserve">to determine </w:t>
      </w:r>
      <w:r w:rsidR="00F9609F" w:rsidRPr="002E0491">
        <w:rPr>
          <w:rFonts w:ascii="Arial" w:hAnsi="Arial" w:cs="Arial"/>
        </w:rPr>
        <w:t xml:space="preserve">housing provision in the </w:t>
      </w:r>
      <w:r w:rsidR="00460DF9" w:rsidRPr="002E0491">
        <w:rPr>
          <w:rFonts w:ascii="Arial" w:hAnsi="Arial" w:cs="Arial"/>
        </w:rPr>
        <w:t>Local</w:t>
      </w:r>
      <w:r w:rsidR="00F9609F" w:rsidRPr="002E0491">
        <w:rPr>
          <w:rFonts w:ascii="Arial" w:hAnsi="Arial" w:cs="Arial"/>
        </w:rPr>
        <w:t xml:space="preserve"> Plan</w:t>
      </w:r>
      <w:r w:rsidR="005702E9">
        <w:rPr>
          <w:rFonts w:ascii="Arial" w:hAnsi="Arial" w:cs="Arial"/>
        </w:rPr>
        <w:t>.</w:t>
      </w:r>
      <w:r w:rsidR="00653236">
        <w:rPr>
          <w:rFonts w:ascii="Arial" w:hAnsi="Arial" w:cs="Arial"/>
        </w:rPr>
        <w:t xml:space="preserve"> </w:t>
      </w:r>
      <w:r w:rsidR="005702E9">
        <w:rPr>
          <w:rFonts w:ascii="Arial" w:hAnsi="Arial" w:cs="Arial"/>
        </w:rPr>
        <w:t>H</w:t>
      </w:r>
      <w:r w:rsidR="00653236">
        <w:rPr>
          <w:rFonts w:ascii="Arial" w:hAnsi="Arial" w:cs="Arial"/>
        </w:rPr>
        <w:t>owever</w:t>
      </w:r>
      <w:r>
        <w:rPr>
          <w:rFonts w:ascii="Arial" w:hAnsi="Arial" w:cs="Arial"/>
        </w:rPr>
        <w:t>,</w:t>
      </w:r>
      <w:r w:rsidR="00653236">
        <w:rPr>
          <w:rFonts w:ascii="Arial" w:hAnsi="Arial" w:cs="Arial"/>
        </w:rPr>
        <w:t xml:space="preserve"> </w:t>
      </w:r>
      <w:r w:rsidR="005702E9">
        <w:rPr>
          <w:rFonts w:ascii="Arial" w:hAnsi="Arial" w:cs="Arial"/>
        </w:rPr>
        <w:t xml:space="preserve">it is also acknowledged that </w:t>
      </w:r>
      <w:r w:rsidR="00386465">
        <w:rPr>
          <w:rFonts w:ascii="Arial" w:hAnsi="Arial" w:cs="Arial"/>
        </w:rPr>
        <w:t xml:space="preserve">government are in the process of reforming the </w:t>
      </w:r>
      <w:r w:rsidR="00032355">
        <w:rPr>
          <w:rFonts w:ascii="Arial" w:hAnsi="Arial" w:cs="Arial"/>
        </w:rPr>
        <w:t xml:space="preserve">approach to assessing housing </w:t>
      </w:r>
      <w:proofErr w:type="gramStart"/>
      <w:r w:rsidR="00032355">
        <w:rPr>
          <w:rFonts w:ascii="Arial" w:hAnsi="Arial" w:cs="Arial"/>
        </w:rPr>
        <w:t>need, and</w:t>
      </w:r>
      <w:proofErr w:type="gramEnd"/>
      <w:r w:rsidR="00032355">
        <w:rPr>
          <w:rFonts w:ascii="Arial" w:hAnsi="Arial" w:cs="Arial"/>
        </w:rPr>
        <w:t xml:space="preserve"> has consulted on </w:t>
      </w:r>
      <w:r>
        <w:rPr>
          <w:rFonts w:ascii="Arial" w:hAnsi="Arial" w:cs="Arial"/>
        </w:rPr>
        <w:t xml:space="preserve">proposed </w:t>
      </w:r>
      <w:r w:rsidR="00032355">
        <w:rPr>
          <w:rFonts w:ascii="Arial" w:hAnsi="Arial" w:cs="Arial"/>
        </w:rPr>
        <w:t xml:space="preserve">amendments to the NPPF </w:t>
      </w:r>
      <w:r w:rsidRPr="00931BD5">
        <w:rPr>
          <w:rFonts w:ascii="Arial" w:hAnsi="Arial" w:cs="Arial"/>
          <w:szCs w:val="24"/>
        </w:rPr>
        <w:t xml:space="preserve">including </w:t>
      </w:r>
      <w:r w:rsidRPr="00931BD5">
        <w:rPr>
          <w:rFonts w:ascii="Arial" w:hAnsi="Arial" w:cs="Arial"/>
          <w:color w:val="000000"/>
          <w:szCs w:val="24"/>
        </w:rPr>
        <w:t>that local plans will only be required to meet an area’s objectively assessed housing needs “so far as possible”.</w:t>
      </w:r>
      <w:r w:rsidR="005E3D0B" w:rsidRPr="005E3D0B">
        <w:rPr>
          <w:rFonts w:cs="Minion Pro"/>
          <w:color w:val="000000"/>
          <w:sz w:val="23"/>
          <w:szCs w:val="23"/>
        </w:rPr>
        <w:t xml:space="preserve"> </w:t>
      </w:r>
      <w:r w:rsidR="005E3D0B" w:rsidRPr="005E3D0B">
        <w:rPr>
          <w:rFonts w:ascii="Arial" w:hAnsi="Arial" w:cs="Arial"/>
          <w:color w:val="000000"/>
          <w:szCs w:val="24"/>
        </w:rPr>
        <w:t>The Government has also proposed that it will issue more explicit guidance to outline the ‘exceptional circumstances’ which may justify using an alternative approach to the standard method to calculate housing need.</w:t>
      </w:r>
      <w:r w:rsidR="005E3D0B">
        <w:rPr>
          <w:rFonts w:ascii="Arial" w:hAnsi="Arial" w:cs="Arial"/>
          <w:color w:val="000000"/>
          <w:szCs w:val="24"/>
        </w:rPr>
        <w:t xml:space="preserve"> In this respect, the level of housing need and supply will be kept under review.</w:t>
      </w:r>
    </w:p>
    <w:p w14:paraId="4A1D7BA7" w14:textId="77777777" w:rsidR="005D6EB3" w:rsidRPr="002E0491" w:rsidRDefault="005D6EB3" w:rsidP="005D6EB3">
      <w:pPr>
        <w:pStyle w:val="ListParagraph"/>
        <w:spacing w:after="0"/>
        <w:ind w:left="567"/>
        <w:rPr>
          <w:rFonts w:ascii="Arial" w:hAnsi="Arial" w:cs="Arial"/>
        </w:rPr>
      </w:pPr>
    </w:p>
    <w:p w14:paraId="011920D2" w14:textId="5FA9256A" w:rsidR="00FC42E6" w:rsidRPr="002E0491" w:rsidRDefault="00460DF9" w:rsidP="005D6EB3">
      <w:pPr>
        <w:pStyle w:val="ListParagraph"/>
        <w:numPr>
          <w:ilvl w:val="1"/>
          <w:numId w:val="9"/>
        </w:numPr>
        <w:spacing w:after="0"/>
        <w:ind w:left="567" w:hanging="567"/>
        <w:rPr>
          <w:rFonts w:ascii="Arial" w:hAnsi="Arial" w:cs="Arial"/>
        </w:rPr>
      </w:pPr>
      <w:r w:rsidRPr="002E0491">
        <w:rPr>
          <w:rFonts w:ascii="Arial" w:hAnsi="Arial" w:cs="Arial"/>
        </w:rPr>
        <w:t>Ashfield District is a Green Belt authority with approximately half of the land outside of the urban areas forming part of the Nottingham-Derby Green Belt. Essentially this is the area in the southern half of the District, surrounding the town of Hucknall and the larger villages of Selston, Jacksdale and Underwood, alongside smaller settlements of Annesley</w:t>
      </w:r>
      <w:r w:rsidR="00E24F78">
        <w:rPr>
          <w:rFonts w:ascii="Arial" w:hAnsi="Arial" w:cs="Arial"/>
        </w:rPr>
        <w:t>/Newstead</w:t>
      </w:r>
      <w:r w:rsidRPr="002E0491">
        <w:rPr>
          <w:rFonts w:ascii="Arial" w:hAnsi="Arial" w:cs="Arial"/>
        </w:rPr>
        <w:t xml:space="preserve">, Brinsley and Bestwood (see Map </w:t>
      </w:r>
      <w:r w:rsidR="00FC42E6" w:rsidRPr="002E0491">
        <w:rPr>
          <w:rFonts w:ascii="Arial" w:hAnsi="Arial" w:cs="Arial"/>
        </w:rPr>
        <w:t>1</w:t>
      </w:r>
      <w:r w:rsidRPr="002E0491">
        <w:rPr>
          <w:rFonts w:ascii="Arial" w:hAnsi="Arial" w:cs="Arial"/>
        </w:rPr>
        <w:t>).</w:t>
      </w:r>
      <w:r w:rsidR="00FC42E6" w:rsidRPr="002E0491">
        <w:rPr>
          <w:rFonts w:ascii="Arial" w:hAnsi="Arial" w:cs="Arial"/>
        </w:rPr>
        <w:t xml:space="preserve"> Any significant increase in housing land supply in these areas is therefore dependent on a review of the Green Belt through the Local Plan process.</w:t>
      </w:r>
    </w:p>
    <w:p w14:paraId="018DD13B" w14:textId="3C0CBC41" w:rsidR="00FC42E6" w:rsidRPr="002E0491" w:rsidRDefault="00FC42E6" w:rsidP="005D6EB3">
      <w:pPr>
        <w:pStyle w:val="ListParagraph"/>
        <w:spacing w:after="0"/>
        <w:ind w:left="426"/>
        <w:rPr>
          <w:rFonts w:ascii="Arial" w:hAnsi="Arial" w:cs="Arial"/>
        </w:rPr>
      </w:pPr>
    </w:p>
    <w:p w14:paraId="4E08DC3D" w14:textId="23F773BB" w:rsidR="00DD171A" w:rsidRPr="002E0491" w:rsidRDefault="00FC42E6" w:rsidP="005D6EB3">
      <w:pPr>
        <w:pStyle w:val="ListParagraph"/>
        <w:numPr>
          <w:ilvl w:val="1"/>
          <w:numId w:val="9"/>
        </w:numPr>
        <w:spacing w:after="0"/>
        <w:ind w:left="567" w:hanging="567"/>
        <w:rPr>
          <w:rFonts w:ascii="Arial" w:hAnsi="Arial" w:cs="Arial"/>
        </w:rPr>
      </w:pPr>
      <w:r w:rsidRPr="002E0491">
        <w:rPr>
          <w:rFonts w:ascii="Arial" w:hAnsi="Arial" w:cs="Arial"/>
        </w:rPr>
        <w:t xml:space="preserve">The NPPF states that altering Green Belt boundaries through a Local Plan can only be justified by exceptional circumstances. Such exceptional circumstances may include any unmet quantitative need for housing that cannot be accommodated within the built-up area. </w:t>
      </w:r>
      <w:r w:rsidR="001F1C3E" w:rsidRPr="002E0491">
        <w:rPr>
          <w:rFonts w:ascii="Arial" w:hAnsi="Arial" w:cs="Arial"/>
        </w:rPr>
        <w:t>It</w:t>
      </w:r>
      <w:r w:rsidR="00DD171A" w:rsidRPr="002E0491">
        <w:rPr>
          <w:rFonts w:ascii="Arial" w:hAnsi="Arial" w:cs="Arial"/>
        </w:rPr>
        <w:t xml:space="preserve"> has been determined that Ashfield District </w:t>
      </w:r>
      <w:r w:rsidR="005E3D0B">
        <w:rPr>
          <w:rFonts w:ascii="Arial" w:hAnsi="Arial" w:cs="Arial"/>
        </w:rPr>
        <w:t xml:space="preserve">will aim to </w:t>
      </w:r>
      <w:r w:rsidR="00DD171A" w:rsidRPr="002E0491">
        <w:rPr>
          <w:rFonts w:ascii="Arial" w:hAnsi="Arial" w:cs="Arial"/>
        </w:rPr>
        <w:t xml:space="preserve">meet its </w:t>
      </w:r>
      <w:r w:rsidR="00B11B14" w:rsidRPr="002E0491">
        <w:rPr>
          <w:rFonts w:ascii="Arial" w:hAnsi="Arial" w:cs="Arial"/>
        </w:rPr>
        <w:t>own need for housing</w:t>
      </w:r>
      <w:r w:rsidR="008E221D" w:rsidRPr="002E0491">
        <w:rPr>
          <w:rFonts w:ascii="Arial" w:hAnsi="Arial" w:cs="Arial"/>
        </w:rPr>
        <w:t>, but this will necessarily require a review of the Green Belt boundaries to address the Council’s strategy for growth</w:t>
      </w:r>
      <w:r w:rsidR="00774E27" w:rsidRPr="002E0491">
        <w:rPr>
          <w:rFonts w:ascii="Arial" w:hAnsi="Arial" w:cs="Arial"/>
        </w:rPr>
        <w:t xml:space="preserve">, as set out in Background </w:t>
      </w:r>
      <w:r w:rsidR="00774E27" w:rsidRPr="002E0491">
        <w:rPr>
          <w:rFonts w:ascii="Arial" w:hAnsi="Arial" w:cs="Arial"/>
        </w:rPr>
        <w:lastRenderedPageBreak/>
        <w:t>Paper 1: Spatial Strategy and Location of Development</w:t>
      </w:r>
      <w:r w:rsidR="00D63890" w:rsidRPr="002E0491">
        <w:rPr>
          <w:rFonts w:ascii="Arial" w:hAnsi="Arial" w:cs="Arial"/>
        </w:rPr>
        <w:t xml:space="preserve"> and Chapter 3 of the draft Ashfield Local Plan</w:t>
      </w:r>
      <w:r w:rsidR="00774E27" w:rsidRPr="002E0491">
        <w:rPr>
          <w:rFonts w:ascii="Arial" w:hAnsi="Arial" w:cs="Arial"/>
        </w:rPr>
        <w:t>.</w:t>
      </w:r>
    </w:p>
    <w:p w14:paraId="3B48ECFB" w14:textId="30546200" w:rsidR="00865FDB" w:rsidRPr="007233D2" w:rsidRDefault="00865FDB" w:rsidP="00A506AF">
      <w:pPr>
        <w:pStyle w:val="Heading6"/>
        <w:ind w:left="142" w:firstLine="284"/>
        <w:rPr>
          <w:noProof/>
        </w:rPr>
      </w:pPr>
      <w:r w:rsidRPr="007233D2">
        <w:rPr>
          <w:noProof/>
        </w:rPr>
        <w:t xml:space="preserve">Map </w:t>
      </w:r>
      <w:r w:rsidR="00F0167C">
        <w:rPr>
          <w:noProof/>
        </w:rPr>
        <w:t>1</w:t>
      </w:r>
      <w:r>
        <w:rPr>
          <w:noProof/>
        </w:rPr>
        <w:t>:</w:t>
      </w:r>
      <w:r w:rsidRPr="007233D2">
        <w:rPr>
          <w:noProof/>
        </w:rPr>
        <w:t xml:space="preserve"> Extent of Green Belt in Ashfield District</w:t>
      </w:r>
    </w:p>
    <w:p w14:paraId="49C5E0FD" w14:textId="4A78C1F4" w:rsidR="00A506AF" w:rsidRDefault="00865FDB" w:rsidP="00A506AF">
      <w:pPr>
        <w:jc w:val="center"/>
        <w:rPr>
          <w:rFonts w:cs="Arial"/>
        </w:rPr>
      </w:pPr>
      <w:r>
        <w:rPr>
          <w:noProof/>
        </w:rPr>
        <w:drawing>
          <wp:inline distT="0" distB="0" distL="0" distR="0" wp14:anchorId="44E14013" wp14:editId="3CE4DE69">
            <wp:extent cx="5519109" cy="7539444"/>
            <wp:effectExtent l="19050" t="19050" r="24765" b="23495"/>
            <wp:docPr id="18" name="Picture 18" descr="Map 1: Extent of Green Belt in Ashfiel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1: Extent of Green Belt in Ashfield Distri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8" t="5871" r="1967" b="1355"/>
                    <a:stretch/>
                  </pic:blipFill>
                  <pic:spPr bwMode="auto">
                    <a:xfrm>
                      <a:off x="0" y="0"/>
                      <a:ext cx="5548340" cy="7579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B59D5D" w14:textId="77777777" w:rsidR="00A506AF" w:rsidRDefault="00A506AF">
      <w:pPr>
        <w:keepNext w:val="0"/>
        <w:spacing w:before="0"/>
        <w:rPr>
          <w:rFonts w:cs="Arial"/>
        </w:rPr>
      </w:pPr>
      <w:r>
        <w:rPr>
          <w:rFonts w:cs="Arial"/>
        </w:rPr>
        <w:br w:type="page"/>
      </w:r>
    </w:p>
    <w:p w14:paraId="29CD95D4" w14:textId="7074E8EF" w:rsidR="000818E3" w:rsidRPr="00E075C8" w:rsidRDefault="00A506AF" w:rsidP="005D6EB3">
      <w:pPr>
        <w:pStyle w:val="ListParagraph"/>
        <w:numPr>
          <w:ilvl w:val="1"/>
          <w:numId w:val="9"/>
        </w:numPr>
        <w:spacing w:after="0"/>
        <w:ind w:left="567" w:hanging="567"/>
        <w:rPr>
          <w:rFonts w:ascii="Arial" w:hAnsi="Arial" w:cs="Arial"/>
        </w:rPr>
      </w:pPr>
      <w:proofErr w:type="gramStart"/>
      <w:r>
        <w:rPr>
          <w:rFonts w:ascii="Arial" w:hAnsi="Arial" w:cs="Arial"/>
        </w:rPr>
        <w:lastRenderedPageBreak/>
        <w:t xml:space="preserve">The </w:t>
      </w:r>
      <w:r w:rsidR="000818E3" w:rsidRPr="00E075C8">
        <w:rPr>
          <w:rFonts w:ascii="Arial" w:hAnsi="Arial" w:cs="Arial"/>
        </w:rPr>
        <w:t xml:space="preserve"> NPPF</w:t>
      </w:r>
      <w:proofErr w:type="gramEnd"/>
      <w:r w:rsidR="000818E3" w:rsidRPr="00E075C8">
        <w:rPr>
          <w:rFonts w:ascii="Arial" w:hAnsi="Arial" w:cs="Arial"/>
        </w:rPr>
        <w:t xml:space="preserve"> </w:t>
      </w:r>
      <w:r>
        <w:rPr>
          <w:rFonts w:ascii="Arial" w:hAnsi="Arial" w:cs="Arial"/>
        </w:rPr>
        <w:t xml:space="preserve">also </w:t>
      </w:r>
      <w:r w:rsidR="000818E3" w:rsidRPr="00E075C8">
        <w:rPr>
          <w:rFonts w:ascii="Arial" w:hAnsi="Arial" w:cs="Arial"/>
        </w:rPr>
        <w:t xml:space="preserve">requires the size, type and tenure of housing needed for different groups in the community to be assessed and reflected in planning policies.  To this end, </w:t>
      </w:r>
      <w:r w:rsidR="00FE1EA9" w:rsidRPr="00E075C8">
        <w:rPr>
          <w:rFonts w:ascii="Arial" w:hAnsi="Arial" w:cs="Arial"/>
        </w:rPr>
        <w:t xml:space="preserve">Ashfield and </w:t>
      </w:r>
      <w:r w:rsidR="000818E3" w:rsidRPr="00E075C8">
        <w:rPr>
          <w:rFonts w:ascii="Arial" w:hAnsi="Arial" w:cs="Arial"/>
        </w:rPr>
        <w:t>the Greater Nottingham councils jointly commissioned the Greater Nottingham &amp; Ashfield Housing Needs Assessment, 2020</w:t>
      </w:r>
      <w:r w:rsidR="000818E3" w:rsidRPr="00E075C8">
        <w:rPr>
          <w:rFonts w:ascii="Arial" w:hAnsi="Arial" w:cs="Arial"/>
          <w:vertAlign w:val="superscript"/>
        </w:rPr>
        <w:footnoteReference w:id="1"/>
      </w:r>
      <w:r w:rsidR="000818E3" w:rsidRPr="00E075C8">
        <w:rPr>
          <w:rFonts w:ascii="Arial" w:hAnsi="Arial" w:cs="Arial"/>
        </w:rPr>
        <w:t xml:space="preserve"> (HNA) and the Greater Nottingham and Ashfield District Council Gypsy and Traveller Accommodation Assessment, 2021</w:t>
      </w:r>
      <w:r w:rsidR="000818E3" w:rsidRPr="00E075C8">
        <w:rPr>
          <w:rFonts w:ascii="Arial" w:hAnsi="Arial" w:cs="Arial"/>
          <w:vertAlign w:val="superscript"/>
        </w:rPr>
        <w:footnoteReference w:id="2"/>
      </w:r>
      <w:r w:rsidR="000818E3" w:rsidRPr="00E075C8">
        <w:rPr>
          <w:rFonts w:ascii="Arial" w:hAnsi="Arial" w:cs="Arial"/>
        </w:rPr>
        <w:t xml:space="preserve"> (GTAA).</w:t>
      </w:r>
    </w:p>
    <w:p w14:paraId="093EC63E" w14:textId="4EF9AB06" w:rsidR="00F9609F" w:rsidRPr="00E075C8" w:rsidRDefault="00F9609F" w:rsidP="005D6EB3">
      <w:pPr>
        <w:spacing w:before="0" w:line="276" w:lineRule="auto"/>
        <w:rPr>
          <w:rFonts w:cs="Arial"/>
        </w:rPr>
      </w:pPr>
    </w:p>
    <w:p w14:paraId="090ECD2F" w14:textId="501916A1" w:rsidR="007B0BD3" w:rsidRPr="00E075C8" w:rsidRDefault="007B0BD3" w:rsidP="005D6EB3">
      <w:pPr>
        <w:pStyle w:val="ListParagraph"/>
        <w:numPr>
          <w:ilvl w:val="1"/>
          <w:numId w:val="9"/>
        </w:numPr>
        <w:spacing w:after="0"/>
        <w:ind w:left="567" w:hanging="567"/>
        <w:rPr>
          <w:rFonts w:ascii="Arial" w:hAnsi="Arial" w:cs="Arial"/>
          <w:color w:val="auto"/>
        </w:rPr>
      </w:pPr>
      <w:r w:rsidRPr="00E075C8">
        <w:rPr>
          <w:rFonts w:ascii="Arial" w:hAnsi="Arial" w:cs="Arial"/>
          <w:color w:val="auto"/>
        </w:rPr>
        <w:t>The HNA considers the size type and tenure of housing required, addressing the needs of groups as set out in the NPPF (i.e. including, but not limited to, those who require affordable housing, families with children, older people, students, people with disabilities, service families, travellers, people who rent their homes and people wishing to commission or build their own homes), with the exception of Gypsies and Travellers, whose accommodation needs, together with those of boat dwellers, are considered in the GTAA, and people wishing to commission or build their own homes, which are considered via the joint Self and Custom Build Registers for Ashfield, Newark and Sherwood, and Mansfield districts.</w:t>
      </w:r>
    </w:p>
    <w:p w14:paraId="444E38F8" w14:textId="209309BD" w:rsidR="00776166" w:rsidRDefault="00776166" w:rsidP="005D6EB3">
      <w:pPr>
        <w:spacing w:before="0" w:line="276" w:lineRule="auto"/>
        <w:rPr>
          <w:rFonts w:cs="Arial"/>
          <w:color w:val="auto"/>
        </w:rPr>
      </w:pPr>
      <w:r>
        <w:rPr>
          <w:rFonts w:cs="Arial"/>
          <w:color w:val="auto"/>
        </w:rPr>
        <w:br w:type="page"/>
      </w:r>
    </w:p>
    <w:p w14:paraId="613FF868" w14:textId="1899F2C3" w:rsidR="001F1C3E" w:rsidRDefault="001F1C3E" w:rsidP="005D6EB3">
      <w:pPr>
        <w:pStyle w:val="Heading4"/>
        <w:numPr>
          <w:ilvl w:val="0"/>
          <w:numId w:val="9"/>
        </w:numPr>
        <w:spacing w:before="0" w:line="276" w:lineRule="auto"/>
        <w:ind w:left="567" w:hanging="567"/>
      </w:pPr>
      <w:r>
        <w:lastRenderedPageBreak/>
        <w:t>Housing Market Area</w:t>
      </w:r>
    </w:p>
    <w:p w14:paraId="7553F140" w14:textId="2921E2C4" w:rsidR="001F1C3E" w:rsidRPr="00E447EC" w:rsidRDefault="001F1C3E" w:rsidP="005D6EB3">
      <w:pPr>
        <w:spacing w:before="0" w:line="276" w:lineRule="auto"/>
        <w:rPr>
          <w:rFonts w:cs="Arial"/>
        </w:rPr>
      </w:pPr>
    </w:p>
    <w:p w14:paraId="6686A55F" w14:textId="77777777" w:rsidR="00B31BB5" w:rsidRPr="00E447EC" w:rsidRDefault="00B31BB5" w:rsidP="005D6EB3">
      <w:pPr>
        <w:pStyle w:val="ListParagraph"/>
        <w:numPr>
          <w:ilvl w:val="1"/>
          <w:numId w:val="9"/>
        </w:numPr>
        <w:spacing w:after="0"/>
        <w:ind w:left="567" w:hanging="567"/>
        <w:rPr>
          <w:rFonts w:ascii="Arial" w:hAnsi="Arial" w:cs="Arial"/>
          <w:color w:val="auto"/>
        </w:rPr>
      </w:pPr>
      <w:r w:rsidRPr="00E447EC">
        <w:rPr>
          <w:rFonts w:ascii="Arial" w:hAnsi="Arial" w:cs="Arial"/>
          <w:color w:val="auto"/>
        </w:rPr>
        <w:t xml:space="preserve">Ashfield falls within the Nottingham Outer Housing Market Area (Map 2), which also includes the districts of Mansfield and Newark and Sherwood.  An economic relationship also exists with Mansfield District Council, and to a lesser extent with Newark and Sherwood.  However, all three local authorities are at different stages in their Local Plan preparation and as such there are no proposals for a joint plan covering these areas. </w:t>
      </w:r>
    </w:p>
    <w:p w14:paraId="7E0DFEB9" w14:textId="77777777" w:rsidR="00B31BB5" w:rsidRPr="00E447EC" w:rsidRDefault="00B31BB5" w:rsidP="005D6EB3">
      <w:pPr>
        <w:spacing w:before="0"/>
        <w:rPr>
          <w:rFonts w:cs="Arial"/>
          <w:color w:val="auto"/>
        </w:rPr>
      </w:pPr>
    </w:p>
    <w:p w14:paraId="0E5FB01C" w14:textId="38976C9D" w:rsidR="00B31BB5" w:rsidRPr="00865B3B" w:rsidRDefault="00B31BB5" w:rsidP="005D6EB3">
      <w:pPr>
        <w:pStyle w:val="ListParagraph"/>
        <w:numPr>
          <w:ilvl w:val="1"/>
          <w:numId w:val="9"/>
        </w:numPr>
        <w:spacing w:after="0"/>
        <w:ind w:left="567" w:hanging="567"/>
        <w:rPr>
          <w:rFonts w:ascii="Arial" w:hAnsi="Arial" w:cs="Arial"/>
          <w:color w:val="auto"/>
        </w:rPr>
      </w:pPr>
      <w:r w:rsidRPr="00E447EC">
        <w:rPr>
          <w:rFonts w:ascii="Arial" w:hAnsi="Arial" w:cs="Arial"/>
        </w:rPr>
        <w:t xml:space="preserve">From a strategic perspective, Ashfield District Council forms part of a wider Housing and Functional Economic Market Area.  The location of Hucknall and its </w:t>
      </w:r>
      <w:r w:rsidR="00E447EC" w:rsidRPr="00E447EC">
        <w:rPr>
          <w:rFonts w:ascii="Arial" w:hAnsi="Arial" w:cs="Arial"/>
        </w:rPr>
        <w:t>proximity</w:t>
      </w:r>
      <w:r w:rsidRPr="00E447EC">
        <w:rPr>
          <w:rFonts w:ascii="Arial" w:hAnsi="Arial" w:cs="Arial"/>
        </w:rPr>
        <w:t xml:space="preserve"> to Nottingham City has also led to a close working relationship with other local authorities forming part of the Greater Nottingham Joint Planning Partnership.  Further information on the duty to co- operate and the Housing and Functional Economic Market areas can be found in the Spatial Strategy background paper. </w:t>
      </w:r>
    </w:p>
    <w:p w14:paraId="28F4E9B1" w14:textId="77777777" w:rsidR="00865B3B" w:rsidRPr="00865B3B" w:rsidRDefault="00865B3B" w:rsidP="00865B3B">
      <w:pPr>
        <w:pStyle w:val="ListParagraph"/>
        <w:rPr>
          <w:rFonts w:ascii="Arial" w:hAnsi="Arial" w:cs="Arial"/>
          <w:color w:val="auto"/>
        </w:rPr>
      </w:pPr>
    </w:p>
    <w:p w14:paraId="242E8D71" w14:textId="77777777" w:rsidR="00865B3B" w:rsidRPr="00E447EC" w:rsidRDefault="00865B3B" w:rsidP="00865B3B">
      <w:pPr>
        <w:pStyle w:val="ListParagraph"/>
        <w:spacing w:after="0"/>
        <w:ind w:left="567"/>
        <w:rPr>
          <w:rFonts w:ascii="Arial" w:hAnsi="Arial" w:cs="Arial"/>
          <w:color w:val="auto"/>
        </w:rPr>
      </w:pPr>
    </w:p>
    <w:p w14:paraId="30E5023C" w14:textId="1DEC895F" w:rsidR="00B31BB5" w:rsidRDefault="00F0167C" w:rsidP="00B31BB5">
      <w:pPr>
        <w:pStyle w:val="Heading6"/>
        <w:rPr>
          <w:noProof/>
        </w:rPr>
      </w:pPr>
      <w:r>
        <w:rPr>
          <w:noProof/>
        </w:rPr>
        <w:t>Map 2</w:t>
      </w:r>
      <w:r w:rsidR="001F1C3E" w:rsidRPr="001F1C3E">
        <w:rPr>
          <w:noProof/>
        </w:rPr>
        <w:t xml:space="preserve">:  </w:t>
      </w:r>
      <w:r w:rsidR="00B31BB5" w:rsidRPr="00B31BB5">
        <w:rPr>
          <w:noProof/>
        </w:rPr>
        <w:t xml:space="preserve">Nottingham Outer Housing Market Area </w:t>
      </w:r>
    </w:p>
    <w:p w14:paraId="4EC36FB5" w14:textId="1D086F0E" w:rsidR="001F1C3E" w:rsidRDefault="00B31BB5" w:rsidP="002130E5">
      <w:pPr>
        <w:rPr>
          <w:noProof/>
        </w:rPr>
      </w:pPr>
      <w:r w:rsidRPr="0091690E">
        <w:rPr>
          <w:noProof/>
        </w:rPr>
        <w:drawing>
          <wp:inline distT="0" distB="0" distL="0" distR="0" wp14:anchorId="67991FC9" wp14:editId="0B84DA34">
            <wp:extent cx="6064878" cy="4025900"/>
            <wp:effectExtent l="19050" t="19050" r="12700" b="12700"/>
            <wp:docPr id="16" name="Picture 16" descr="Map 2:  Nottingham Outer Housing Market Area &#10;Identifies the councils of Ashfield , Mansfield and Newark &amp; Sherwood which form the Nottingham Outer Housing Market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2:  Nottingham Outer Housing Market Area &#10;Identifies the councils of Ashfield , Mansfield and Newark &amp; Sherwood which form the Nottingham Outer Housing Market Area.&#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5165" cy="4032729"/>
                    </a:xfrm>
                    <a:prstGeom prst="rect">
                      <a:avLst/>
                    </a:prstGeom>
                    <a:noFill/>
                    <a:ln w="15875">
                      <a:solidFill>
                        <a:schemeClr val="tx1"/>
                      </a:solidFill>
                    </a:ln>
                  </pic:spPr>
                </pic:pic>
              </a:graphicData>
            </a:graphic>
          </wp:inline>
        </w:drawing>
      </w:r>
    </w:p>
    <w:p w14:paraId="3B4D84DF" w14:textId="32281113" w:rsidR="001F1C3E" w:rsidRPr="001F1C3E" w:rsidRDefault="001F1C3E" w:rsidP="001F1C3E"/>
    <w:p w14:paraId="330B2DE4" w14:textId="77777777" w:rsidR="001F1C3E" w:rsidRPr="002130E5" w:rsidRDefault="001F1C3E" w:rsidP="002130E5"/>
    <w:p w14:paraId="46EBB357" w14:textId="7B62DA39" w:rsidR="002C40F6" w:rsidRPr="009820B5" w:rsidRDefault="00B24E61" w:rsidP="009820B5">
      <w:pPr>
        <w:pStyle w:val="Heading4"/>
        <w:numPr>
          <w:ilvl w:val="0"/>
          <w:numId w:val="9"/>
        </w:numPr>
        <w:ind w:left="567" w:hanging="567"/>
        <w:rPr>
          <w:rFonts w:cs="Arial"/>
        </w:rPr>
      </w:pPr>
      <w:r>
        <w:br w:type="page"/>
      </w:r>
      <w:r w:rsidR="002B1FE6">
        <w:lastRenderedPageBreak/>
        <w:t xml:space="preserve">The Need for </w:t>
      </w:r>
      <w:r w:rsidR="002C40F6">
        <w:t>Homes in Ashfield</w:t>
      </w:r>
    </w:p>
    <w:p w14:paraId="3DCFA656" w14:textId="77777777" w:rsidR="002C40F6" w:rsidRPr="002130E5" w:rsidRDefault="002C40F6" w:rsidP="002130E5"/>
    <w:p w14:paraId="110B1048" w14:textId="707C4251" w:rsidR="00E447EC" w:rsidRDefault="002C40F6" w:rsidP="00FE22F3">
      <w:pPr>
        <w:pStyle w:val="Heading3"/>
      </w:pPr>
      <w:r w:rsidRPr="005D6EB3">
        <w:t>Standard Method for assessing Local Housing Need (LHN)</w:t>
      </w:r>
    </w:p>
    <w:p w14:paraId="5D0D673B" w14:textId="77777777" w:rsidR="00011610" w:rsidRPr="00011610" w:rsidRDefault="00011610" w:rsidP="00011610">
      <w:pPr>
        <w:rPr>
          <w:lang w:eastAsia="en-US"/>
        </w:rPr>
      </w:pPr>
    </w:p>
    <w:p w14:paraId="53B52AE3" w14:textId="30A7DFA1" w:rsidR="00B24E61" w:rsidRPr="00B25F85" w:rsidRDefault="00B24E61" w:rsidP="00FB686A">
      <w:pPr>
        <w:pStyle w:val="ListParagraph"/>
        <w:numPr>
          <w:ilvl w:val="1"/>
          <w:numId w:val="9"/>
        </w:numPr>
        <w:ind w:left="567" w:hanging="567"/>
        <w:rPr>
          <w:rFonts w:cs="Arial"/>
          <w:szCs w:val="24"/>
        </w:rPr>
      </w:pPr>
      <w:r w:rsidRPr="00B25F85">
        <w:rPr>
          <w:rFonts w:ascii="Arial" w:hAnsi="Arial" w:cs="Arial"/>
        </w:rPr>
        <w:t>Planning practice guidance sets out the standard methodology for assessing the minimum number of homes expected to be planned for in a local planning authority area</w:t>
      </w:r>
      <w:r w:rsidRPr="00E447EC">
        <w:rPr>
          <w:rStyle w:val="FootnoteReference"/>
          <w:rFonts w:ascii="Arial" w:hAnsi="Arial" w:cs="Arial"/>
        </w:rPr>
        <w:footnoteReference w:id="3"/>
      </w:r>
      <w:r w:rsidRPr="00B25F85">
        <w:rPr>
          <w:rFonts w:ascii="Arial" w:hAnsi="Arial" w:cs="Arial"/>
        </w:rPr>
        <w:t xml:space="preserve">. Essentially the process is as </w:t>
      </w:r>
      <w:proofErr w:type="gramStart"/>
      <w:r w:rsidRPr="00B25F85">
        <w:rPr>
          <w:rFonts w:ascii="Arial" w:hAnsi="Arial" w:cs="Arial"/>
        </w:rPr>
        <w:t>follows:-</w:t>
      </w:r>
      <w:proofErr w:type="gramEnd"/>
    </w:p>
    <w:p w14:paraId="79B929D0" w14:textId="77777777" w:rsidR="00B25F85" w:rsidRPr="00B25F85" w:rsidRDefault="00B25F85" w:rsidP="00B25F85">
      <w:pPr>
        <w:pStyle w:val="ListParagraph"/>
        <w:ind w:left="567"/>
        <w:rPr>
          <w:rFonts w:cs="Arial"/>
          <w:szCs w:val="24"/>
        </w:rPr>
      </w:pPr>
    </w:p>
    <w:tbl>
      <w:tblPr>
        <w:tblStyle w:val="TableGrid"/>
        <w:tblW w:w="0" w:type="auto"/>
        <w:tblInd w:w="-5" w:type="dxa"/>
        <w:tblLook w:val="04A0" w:firstRow="1" w:lastRow="0" w:firstColumn="1" w:lastColumn="0" w:noHBand="0" w:noVBand="1"/>
      </w:tblPr>
      <w:tblGrid>
        <w:gridCol w:w="9633"/>
      </w:tblGrid>
      <w:tr w:rsidR="00F43607" w14:paraId="77DC15EF" w14:textId="77777777" w:rsidTr="00EB69AD">
        <w:tc>
          <w:tcPr>
            <w:tcW w:w="9633" w:type="dxa"/>
            <w:shd w:val="clear" w:color="auto" w:fill="D9D9D9" w:themeFill="background1" w:themeFillShade="D9"/>
          </w:tcPr>
          <w:p w14:paraId="072D81E0" w14:textId="1C79F49B" w:rsidR="00F43607" w:rsidRDefault="00F43607" w:rsidP="00F43607">
            <w:pPr>
              <w:pStyle w:val="ListParagraph"/>
              <w:spacing w:after="160" w:line="259" w:lineRule="auto"/>
              <w:ind w:left="0"/>
              <w:rPr>
                <w:rFonts w:ascii="Arial" w:hAnsi="Arial" w:cs="Arial"/>
                <w:szCs w:val="24"/>
              </w:rPr>
            </w:pPr>
            <w:r w:rsidRPr="00B24E61">
              <w:rPr>
                <w:rFonts w:ascii="Arial" w:hAnsi="Arial" w:cs="Arial"/>
                <w:szCs w:val="24"/>
              </w:rPr>
              <w:t xml:space="preserve">Calculate the average annual household growth over a 10 year period, based on 2014 </w:t>
            </w:r>
            <w:r w:rsidR="00670770">
              <w:rPr>
                <w:rFonts w:ascii="Arial" w:hAnsi="Arial" w:cs="Arial"/>
                <w:szCs w:val="24"/>
              </w:rPr>
              <w:t>household</w:t>
            </w:r>
            <w:r w:rsidRPr="00B24E61">
              <w:rPr>
                <w:rFonts w:ascii="Arial" w:hAnsi="Arial" w:cs="Arial"/>
                <w:szCs w:val="24"/>
              </w:rPr>
              <w:t xml:space="preserve"> growth data.</w:t>
            </w:r>
            <w:r w:rsidRPr="00EB69AD">
              <w:rPr>
                <w:rFonts w:ascii="Arial" w:hAnsi="Arial"/>
                <w:color w:val="0B0C0C"/>
                <w:sz w:val="29"/>
                <w:szCs w:val="29"/>
                <w:lang w:eastAsia="en-GB"/>
              </w:rPr>
              <w:t xml:space="preserve"> </w:t>
            </w:r>
            <w:r>
              <w:rPr>
                <w:rFonts w:ascii="Arial" w:hAnsi="Arial" w:cs="Arial"/>
                <w:szCs w:val="24"/>
              </w:rPr>
              <w:t>T</w:t>
            </w:r>
            <w:r w:rsidRPr="00F43607">
              <w:rPr>
                <w:rFonts w:ascii="Arial" w:hAnsi="Arial" w:cs="Arial"/>
                <w:szCs w:val="24"/>
              </w:rPr>
              <w:t>his should be 10 consecutive years, with the current year being used as the starting point from which to calculate growth over that period</w:t>
            </w:r>
            <w:r>
              <w:rPr>
                <w:rFonts w:ascii="Arial" w:hAnsi="Arial" w:cs="Arial"/>
                <w:szCs w:val="24"/>
              </w:rPr>
              <w:t>.</w:t>
            </w:r>
          </w:p>
        </w:tc>
      </w:tr>
      <w:tr w:rsidR="00F43607" w14:paraId="7C934E7E" w14:textId="77777777" w:rsidTr="00B25F85">
        <w:trPr>
          <w:trHeight w:val="843"/>
        </w:trPr>
        <w:tc>
          <w:tcPr>
            <w:tcW w:w="9633" w:type="dxa"/>
          </w:tcPr>
          <w:p w14:paraId="333C4E18" w14:textId="77777777" w:rsidR="00F43607" w:rsidRDefault="00F43607" w:rsidP="00F43607">
            <w:pPr>
              <w:pStyle w:val="ListParagraph"/>
              <w:spacing w:after="160" w:line="259" w:lineRule="auto"/>
              <w:ind w:left="0"/>
              <w:rPr>
                <w:rFonts w:ascii="Arial" w:hAnsi="Arial" w:cs="Arial"/>
                <w:b/>
                <w:szCs w:val="24"/>
              </w:rPr>
            </w:pPr>
          </w:p>
          <w:p w14:paraId="51426E6E" w14:textId="27AB3D78" w:rsidR="00F43607" w:rsidRPr="00B25F85" w:rsidRDefault="00F43607" w:rsidP="00F43607">
            <w:pPr>
              <w:pStyle w:val="ListParagraph"/>
              <w:spacing w:after="160" w:line="259" w:lineRule="auto"/>
              <w:ind w:left="0"/>
              <w:rPr>
                <w:rFonts w:ascii="Arial" w:hAnsi="Arial" w:cs="Arial"/>
                <w:bCs/>
                <w:szCs w:val="24"/>
              </w:rPr>
            </w:pPr>
            <w:r w:rsidRPr="00F43607">
              <w:rPr>
                <w:rFonts w:ascii="Arial" w:hAnsi="Arial" w:cs="Arial"/>
                <w:bCs/>
                <w:szCs w:val="24"/>
              </w:rPr>
              <w:t>Ashfield household growth 202</w:t>
            </w:r>
            <w:r w:rsidR="004E4D65">
              <w:rPr>
                <w:rFonts w:ascii="Arial" w:hAnsi="Arial" w:cs="Arial"/>
                <w:bCs/>
                <w:szCs w:val="24"/>
              </w:rPr>
              <w:t>3</w:t>
            </w:r>
            <w:r w:rsidRPr="00F43607">
              <w:rPr>
                <w:rFonts w:ascii="Arial" w:hAnsi="Arial" w:cs="Arial"/>
                <w:bCs/>
                <w:szCs w:val="24"/>
              </w:rPr>
              <w:t xml:space="preserve"> to 203</w:t>
            </w:r>
            <w:r w:rsidR="004E4D65">
              <w:rPr>
                <w:rFonts w:ascii="Arial" w:hAnsi="Arial" w:cs="Arial"/>
                <w:bCs/>
                <w:szCs w:val="24"/>
              </w:rPr>
              <w:t>3</w:t>
            </w:r>
            <w:r w:rsidRPr="00F43607">
              <w:rPr>
                <w:rFonts w:ascii="Arial" w:hAnsi="Arial" w:cs="Arial"/>
                <w:bCs/>
                <w:szCs w:val="24"/>
              </w:rPr>
              <w:t xml:space="preserve"> = </w:t>
            </w:r>
            <w:r w:rsidR="004E4D65">
              <w:rPr>
                <w:rFonts w:ascii="Arial" w:hAnsi="Arial" w:cs="Arial"/>
                <w:bCs/>
                <w:szCs w:val="24"/>
              </w:rPr>
              <w:t>4023</w:t>
            </w:r>
            <w:r w:rsidRPr="00F43607">
              <w:rPr>
                <w:rFonts w:ascii="Arial" w:hAnsi="Arial" w:cs="Arial"/>
                <w:bCs/>
                <w:szCs w:val="24"/>
              </w:rPr>
              <w:t xml:space="preserve"> (4</w:t>
            </w:r>
            <w:r w:rsidR="00B25F85">
              <w:rPr>
                <w:rFonts w:ascii="Arial" w:hAnsi="Arial" w:cs="Arial"/>
                <w:bCs/>
                <w:szCs w:val="24"/>
              </w:rPr>
              <w:t>0</w:t>
            </w:r>
            <w:r w:rsidRPr="00F43607">
              <w:rPr>
                <w:rFonts w:ascii="Arial" w:hAnsi="Arial" w:cs="Arial"/>
                <w:bCs/>
                <w:szCs w:val="24"/>
              </w:rPr>
              <w:t>2 dpa)</w:t>
            </w:r>
          </w:p>
        </w:tc>
      </w:tr>
    </w:tbl>
    <w:p w14:paraId="28A3046B" w14:textId="77777777" w:rsidR="00B25F85" w:rsidRDefault="00B25F85" w:rsidP="00B25F85">
      <w:pPr>
        <w:pStyle w:val="ListParagraph"/>
        <w:spacing w:after="0"/>
        <w:ind w:left="567"/>
        <w:rPr>
          <w:rFonts w:ascii="Arial" w:hAnsi="Arial" w:cs="Arial"/>
          <w:color w:val="auto"/>
        </w:rPr>
      </w:pPr>
    </w:p>
    <w:tbl>
      <w:tblPr>
        <w:tblStyle w:val="TableGrid"/>
        <w:tblW w:w="0" w:type="auto"/>
        <w:tblInd w:w="-5" w:type="dxa"/>
        <w:tblLook w:val="04A0" w:firstRow="1" w:lastRow="0" w:firstColumn="1" w:lastColumn="0" w:noHBand="0" w:noVBand="1"/>
      </w:tblPr>
      <w:tblGrid>
        <w:gridCol w:w="9633"/>
      </w:tblGrid>
      <w:tr w:rsidR="00B25F85" w14:paraId="7E0951B1" w14:textId="77777777" w:rsidTr="00445B99">
        <w:tc>
          <w:tcPr>
            <w:tcW w:w="9633" w:type="dxa"/>
            <w:shd w:val="pct10" w:color="auto" w:fill="auto"/>
          </w:tcPr>
          <w:p w14:paraId="69BC760A" w14:textId="061A0CEE" w:rsidR="00B25F85" w:rsidRDefault="00B25F85" w:rsidP="00445B99">
            <w:pPr>
              <w:spacing w:after="160" w:line="259" w:lineRule="auto"/>
              <w:rPr>
                <w:rFonts w:cs="Arial"/>
                <w:szCs w:val="24"/>
              </w:rPr>
            </w:pPr>
            <w:r w:rsidRPr="00EB69AD">
              <w:rPr>
                <w:rFonts w:cs="Arial"/>
                <w:szCs w:val="24"/>
              </w:rPr>
              <w:t>Adjust the annual figure used on the affordability of the area.  This uses a ‘</w:t>
            </w:r>
            <w:r w:rsidRPr="00EB69AD">
              <w:rPr>
                <w:rFonts w:cs="Arial"/>
                <w:i/>
                <w:szCs w:val="24"/>
              </w:rPr>
              <w:t xml:space="preserve">median workplace based affordability ratio’ </w:t>
            </w:r>
            <w:r w:rsidRPr="00EB69AD">
              <w:rPr>
                <w:rFonts w:cs="Arial"/>
                <w:szCs w:val="24"/>
              </w:rPr>
              <w:t xml:space="preserve">as published by the ONS (Table 5c).  The ratio for Ashfield is </w:t>
            </w:r>
            <w:r w:rsidRPr="00EB69AD">
              <w:rPr>
                <w:rFonts w:cs="Arial"/>
                <w:b/>
                <w:bCs/>
                <w:szCs w:val="24"/>
              </w:rPr>
              <w:t>5.</w:t>
            </w:r>
            <w:r>
              <w:rPr>
                <w:rFonts w:cs="Arial"/>
                <w:b/>
                <w:bCs/>
                <w:szCs w:val="24"/>
              </w:rPr>
              <w:t>73</w:t>
            </w:r>
            <w:r w:rsidRPr="00EB69AD">
              <w:rPr>
                <w:rFonts w:cs="Arial"/>
                <w:szCs w:val="24"/>
              </w:rPr>
              <w:t xml:space="preserve"> (202</w:t>
            </w:r>
            <w:r>
              <w:rPr>
                <w:rFonts w:cs="Arial"/>
                <w:szCs w:val="24"/>
              </w:rPr>
              <w:t>2</w:t>
            </w:r>
            <w:r w:rsidRPr="00EB69AD">
              <w:rPr>
                <w:rFonts w:cs="Arial"/>
                <w:szCs w:val="24"/>
              </w:rPr>
              <w:t xml:space="preserve"> ratio published March 202</w:t>
            </w:r>
            <w:r>
              <w:rPr>
                <w:rFonts w:cs="Arial"/>
                <w:szCs w:val="24"/>
              </w:rPr>
              <w:t>3</w:t>
            </w:r>
            <w:r w:rsidRPr="00EB69AD">
              <w:rPr>
                <w:rFonts w:cs="Arial"/>
                <w:szCs w:val="24"/>
              </w:rPr>
              <w:t>).</w:t>
            </w:r>
          </w:p>
        </w:tc>
      </w:tr>
      <w:tr w:rsidR="00B25F85" w:rsidRPr="00595DBB" w14:paraId="31AB6A66" w14:textId="77777777" w:rsidTr="00445B99">
        <w:tc>
          <w:tcPr>
            <w:tcW w:w="9633" w:type="dxa"/>
          </w:tcPr>
          <w:p w14:paraId="4690015D" w14:textId="5AB67FF4" w:rsidR="00B25F85" w:rsidRPr="00670770" w:rsidRDefault="00B25F85" w:rsidP="00445B99">
            <w:pPr>
              <w:rPr>
                <w:rFonts w:cs="Arial"/>
                <w:bCs/>
                <w:szCs w:val="24"/>
              </w:rPr>
            </w:pPr>
            <w:r w:rsidRPr="00670770">
              <w:rPr>
                <w:rFonts w:cs="Arial"/>
                <w:bCs/>
                <w:szCs w:val="24"/>
              </w:rPr>
              <w:t xml:space="preserve">Adjustment factor </w:t>
            </w:r>
            <w:r w:rsidRPr="00670770">
              <w:rPr>
                <w:rFonts w:cs="Arial"/>
                <w:bCs/>
                <w:szCs w:val="24"/>
              </w:rPr>
              <w:tab/>
            </w:r>
            <w:r w:rsidRPr="00670770">
              <w:rPr>
                <w:rFonts w:cs="Arial"/>
                <w:bCs/>
                <w:szCs w:val="24"/>
              </w:rPr>
              <w:tab/>
            </w:r>
            <w:r w:rsidRPr="00670770">
              <w:rPr>
                <w:rFonts w:cs="Arial"/>
                <w:bCs/>
                <w:szCs w:val="24"/>
              </w:rPr>
              <w:tab/>
            </w:r>
            <w:proofErr w:type="gramStart"/>
            <w:r w:rsidRPr="00670770">
              <w:rPr>
                <w:rFonts w:cs="Arial"/>
                <w:bCs/>
                <w:szCs w:val="24"/>
              </w:rPr>
              <w:t>=  (</w:t>
            </w:r>
            <w:proofErr w:type="gramEnd"/>
            <w:r w:rsidRPr="00670770">
              <w:rPr>
                <w:rFonts w:cs="Arial"/>
                <w:bCs/>
                <w:szCs w:val="24"/>
                <w:u w:val="single"/>
              </w:rPr>
              <w:t>5.</w:t>
            </w:r>
            <w:r>
              <w:rPr>
                <w:rFonts w:cs="Arial"/>
                <w:bCs/>
                <w:szCs w:val="24"/>
                <w:u w:val="single"/>
              </w:rPr>
              <w:t xml:space="preserve">73 </w:t>
            </w:r>
            <w:r w:rsidRPr="00670770">
              <w:rPr>
                <w:rFonts w:cs="Arial"/>
                <w:bCs/>
                <w:szCs w:val="24"/>
                <w:u w:val="single"/>
              </w:rPr>
              <w:t>-</w:t>
            </w:r>
            <w:r>
              <w:rPr>
                <w:rFonts w:cs="Arial"/>
                <w:bCs/>
                <w:szCs w:val="24"/>
                <w:u w:val="single"/>
              </w:rPr>
              <w:t xml:space="preserve"> </w:t>
            </w:r>
            <w:r w:rsidRPr="00670770">
              <w:rPr>
                <w:rFonts w:cs="Arial"/>
                <w:bCs/>
                <w:szCs w:val="24"/>
                <w:u w:val="single"/>
              </w:rPr>
              <w:t>4</w:t>
            </w:r>
            <w:r w:rsidRPr="00670770">
              <w:rPr>
                <w:rFonts w:cs="Arial"/>
                <w:bCs/>
                <w:szCs w:val="24"/>
              </w:rPr>
              <w:t xml:space="preserve">) x 0.25 </w:t>
            </w:r>
          </w:p>
          <w:p w14:paraId="1D91359D" w14:textId="08B5EF88" w:rsidR="00B25F85" w:rsidRPr="00670770" w:rsidRDefault="00B25F85" w:rsidP="00445B99">
            <w:pPr>
              <w:pStyle w:val="ListParagraph"/>
              <w:rPr>
                <w:rFonts w:ascii="Arial" w:hAnsi="Arial" w:cs="Arial"/>
                <w:bCs/>
                <w:szCs w:val="24"/>
              </w:rPr>
            </w:pPr>
            <w:r w:rsidRPr="00670770">
              <w:rPr>
                <w:rFonts w:ascii="Arial" w:hAnsi="Arial" w:cs="Arial"/>
                <w:bCs/>
                <w:szCs w:val="24"/>
              </w:rPr>
              <w:tab/>
            </w:r>
            <w:r w:rsidRPr="00670770">
              <w:rPr>
                <w:rFonts w:ascii="Arial" w:hAnsi="Arial" w:cs="Arial"/>
                <w:bCs/>
                <w:szCs w:val="24"/>
              </w:rPr>
              <w:tab/>
            </w:r>
            <w:r w:rsidRPr="00670770">
              <w:rPr>
                <w:rFonts w:ascii="Arial" w:hAnsi="Arial" w:cs="Arial"/>
                <w:bCs/>
                <w:szCs w:val="24"/>
              </w:rPr>
              <w:tab/>
            </w:r>
            <w:r w:rsidRPr="00670770">
              <w:rPr>
                <w:rFonts w:ascii="Arial" w:hAnsi="Arial" w:cs="Arial"/>
                <w:bCs/>
                <w:szCs w:val="24"/>
              </w:rPr>
              <w:tab/>
              <w:t xml:space="preserve">         </w:t>
            </w:r>
            <w:r>
              <w:rPr>
                <w:rFonts w:ascii="Arial" w:hAnsi="Arial" w:cs="Arial"/>
                <w:bCs/>
                <w:szCs w:val="24"/>
              </w:rPr>
              <w:t xml:space="preserve">  </w:t>
            </w:r>
            <w:r w:rsidRPr="00670770">
              <w:rPr>
                <w:rFonts w:ascii="Arial" w:hAnsi="Arial" w:cs="Arial"/>
                <w:bCs/>
                <w:szCs w:val="24"/>
              </w:rPr>
              <w:t>4</w:t>
            </w:r>
          </w:p>
          <w:p w14:paraId="66C27FEE" w14:textId="77777777" w:rsidR="00B25F85" w:rsidRPr="00670770" w:rsidRDefault="00B25F85" w:rsidP="00445B99">
            <w:pPr>
              <w:pStyle w:val="ListParagraph"/>
              <w:rPr>
                <w:rFonts w:ascii="Arial" w:hAnsi="Arial" w:cs="Arial"/>
                <w:bCs/>
                <w:szCs w:val="24"/>
              </w:rPr>
            </w:pPr>
          </w:p>
          <w:p w14:paraId="4EB2BAA2" w14:textId="0B4620C5" w:rsidR="00B25F85" w:rsidRPr="00670770" w:rsidRDefault="00B25F85" w:rsidP="00445B99">
            <w:pPr>
              <w:pStyle w:val="ListParagraph"/>
              <w:ind w:left="2880" w:firstLine="720"/>
              <w:rPr>
                <w:rFonts w:ascii="Arial" w:hAnsi="Arial" w:cs="Arial"/>
                <w:bCs/>
                <w:szCs w:val="24"/>
              </w:rPr>
            </w:pPr>
            <w:proofErr w:type="gramStart"/>
            <w:r w:rsidRPr="00670770">
              <w:rPr>
                <w:rFonts w:ascii="Arial" w:hAnsi="Arial" w:cs="Arial"/>
                <w:bCs/>
                <w:szCs w:val="24"/>
              </w:rPr>
              <w:t xml:space="preserve">=  </w:t>
            </w:r>
            <w:r w:rsidRPr="00670770">
              <w:rPr>
                <w:rFonts w:ascii="Arial" w:hAnsi="Arial" w:cs="Arial"/>
                <w:bCs/>
                <w:szCs w:val="24"/>
                <w:u w:val="single"/>
              </w:rPr>
              <w:t>1.</w:t>
            </w:r>
            <w:r>
              <w:rPr>
                <w:rFonts w:ascii="Arial" w:hAnsi="Arial" w:cs="Arial"/>
                <w:bCs/>
                <w:szCs w:val="24"/>
                <w:u w:val="single"/>
              </w:rPr>
              <w:t>73</w:t>
            </w:r>
            <w:proofErr w:type="gramEnd"/>
            <w:r w:rsidRPr="00670770">
              <w:rPr>
                <w:rFonts w:ascii="Arial" w:hAnsi="Arial" w:cs="Arial"/>
                <w:bCs/>
                <w:szCs w:val="24"/>
              </w:rPr>
              <w:t xml:space="preserve">  </w:t>
            </w:r>
            <w:proofErr w:type="gramStart"/>
            <w:r w:rsidRPr="00670770">
              <w:rPr>
                <w:rFonts w:ascii="Arial" w:hAnsi="Arial" w:cs="Arial"/>
                <w:bCs/>
                <w:szCs w:val="24"/>
              </w:rPr>
              <w:t>x  0.25</w:t>
            </w:r>
            <w:proofErr w:type="gramEnd"/>
          </w:p>
          <w:p w14:paraId="39AEA547" w14:textId="1C63D500" w:rsidR="00B25F85" w:rsidRPr="00670770" w:rsidRDefault="00B25F85" w:rsidP="00445B99">
            <w:pPr>
              <w:pStyle w:val="ListParagraph"/>
              <w:ind w:left="2880" w:firstLine="720"/>
              <w:rPr>
                <w:rFonts w:ascii="Arial" w:hAnsi="Arial" w:cs="Arial"/>
                <w:bCs/>
                <w:szCs w:val="24"/>
              </w:rPr>
            </w:pPr>
            <w:r w:rsidRPr="00670770">
              <w:rPr>
                <w:rFonts w:ascii="Arial" w:hAnsi="Arial" w:cs="Arial"/>
                <w:bCs/>
                <w:szCs w:val="24"/>
              </w:rPr>
              <w:t xml:space="preserve">     </w:t>
            </w:r>
            <w:r>
              <w:rPr>
                <w:rFonts w:ascii="Arial" w:hAnsi="Arial" w:cs="Arial"/>
                <w:bCs/>
                <w:szCs w:val="24"/>
              </w:rPr>
              <w:t xml:space="preserve"> </w:t>
            </w:r>
            <w:r w:rsidRPr="00670770">
              <w:rPr>
                <w:rFonts w:ascii="Arial" w:hAnsi="Arial" w:cs="Arial"/>
                <w:bCs/>
                <w:szCs w:val="24"/>
              </w:rPr>
              <w:t xml:space="preserve"> 4</w:t>
            </w:r>
          </w:p>
          <w:p w14:paraId="7C07791E" w14:textId="77777777" w:rsidR="00B25F85" w:rsidRPr="00670770" w:rsidRDefault="00B25F85" w:rsidP="00445B99">
            <w:pPr>
              <w:pStyle w:val="ListParagraph"/>
              <w:ind w:left="2880" w:firstLine="720"/>
              <w:rPr>
                <w:rFonts w:ascii="Arial" w:hAnsi="Arial" w:cs="Arial"/>
                <w:bCs/>
                <w:szCs w:val="24"/>
              </w:rPr>
            </w:pPr>
          </w:p>
          <w:p w14:paraId="45BE7C6B" w14:textId="714CE675" w:rsidR="00B25F85" w:rsidRPr="00670770" w:rsidRDefault="00B25F85" w:rsidP="00445B99">
            <w:pPr>
              <w:pStyle w:val="ListParagraph"/>
              <w:ind w:left="2880" w:firstLine="720"/>
              <w:rPr>
                <w:rFonts w:ascii="Arial" w:hAnsi="Arial" w:cs="Arial"/>
                <w:bCs/>
                <w:szCs w:val="24"/>
              </w:rPr>
            </w:pPr>
            <w:proofErr w:type="gramStart"/>
            <w:r w:rsidRPr="00670770">
              <w:rPr>
                <w:rFonts w:ascii="Arial" w:hAnsi="Arial" w:cs="Arial"/>
                <w:bCs/>
                <w:szCs w:val="24"/>
              </w:rPr>
              <w:t>=  0.</w:t>
            </w:r>
            <w:r>
              <w:rPr>
                <w:rFonts w:ascii="Arial" w:hAnsi="Arial" w:cs="Arial"/>
                <w:bCs/>
                <w:szCs w:val="24"/>
              </w:rPr>
              <w:t>4325</w:t>
            </w:r>
            <w:proofErr w:type="gramEnd"/>
            <w:r w:rsidRPr="00670770">
              <w:rPr>
                <w:rFonts w:ascii="Arial" w:hAnsi="Arial" w:cs="Arial"/>
                <w:bCs/>
                <w:szCs w:val="24"/>
              </w:rPr>
              <w:t xml:space="preserve"> x 0.25</w:t>
            </w:r>
          </w:p>
          <w:p w14:paraId="37B7ECEA" w14:textId="77777777" w:rsidR="00B25F85" w:rsidRPr="00670770" w:rsidRDefault="00B25F85" w:rsidP="00445B99">
            <w:pPr>
              <w:pStyle w:val="ListParagraph"/>
              <w:ind w:left="2880" w:firstLine="720"/>
              <w:rPr>
                <w:rFonts w:ascii="Arial" w:hAnsi="Arial" w:cs="Arial"/>
                <w:bCs/>
                <w:szCs w:val="24"/>
              </w:rPr>
            </w:pPr>
          </w:p>
          <w:p w14:paraId="260890E5" w14:textId="2E321343" w:rsidR="00B25F85" w:rsidRPr="00595DBB" w:rsidRDefault="00B25F85" w:rsidP="00445B99">
            <w:pPr>
              <w:pStyle w:val="ListParagraph"/>
              <w:ind w:left="2880" w:firstLine="720"/>
              <w:rPr>
                <w:rFonts w:ascii="Arial" w:hAnsi="Arial" w:cs="Arial"/>
                <w:b/>
                <w:szCs w:val="24"/>
              </w:rPr>
            </w:pPr>
            <w:proofErr w:type="gramStart"/>
            <w:r w:rsidRPr="00670770">
              <w:rPr>
                <w:rFonts w:ascii="Arial" w:hAnsi="Arial" w:cs="Arial"/>
                <w:bCs/>
                <w:szCs w:val="24"/>
              </w:rPr>
              <w:t>=  0</w:t>
            </w:r>
            <w:proofErr w:type="gramEnd"/>
            <w:r w:rsidRPr="00670770">
              <w:rPr>
                <w:rFonts w:ascii="Arial" w:hAnsi="Arial" w:cs="Arial"/>
                <w:bCs/>
                <w:szCs w:val="24"/>
              </w:rPr>
              <w:t>.</w:t>
            </w:r>
            <w:r>
              <w:rPr>
                <w:rFonts w:ascii="Arial" w:hAnsi="Arial" w:cs="Arial"/>
                <w:bCs/>
                <w:szCs w:val="24"/>
              </w:rPr>
              <w:t>1</w:t>
            </w:r>
            <w:r w:rsidRPr="00670770">
              <w:rPr>
                <w:rFonts w:ascii="Arial" w:hAnsi="Arial" w:cs="Arial"/>
                <w:bCs/>
                <w:szCs w:val="24"/>
              </w:rPr>
              <w:t>08125</w:t>
            </w:r>
          </w:p>
        </w:tc>
      </w:tr>
    </w:tbl>
    <w:p w14:paraId="7969D536" w14:textId="77777777" w:rsidR="00B25F85" w:rsidRDefault="00B25F85" w:rsidP="00B25F85">
      <w:pPr>
        <w:pStyle w:val="ListParagraph"/>
        <w:spacing w:after="0"/>
        <w:ind w:left="567"/>
        <w:rPr>
          <w:rFonts w:ascii="Arial" w:hAnsi="Arial" w:cs="Arial"/>
          <w:color w:val="auto"/>
        </w:rPr>
      </w:pPr>
    </w:p>
    <w:tbl>
      <w:tblPr>
        <w:tblStyle w:val="TableGrid"/>
        <w:tblW w:w="0" w:type="auto"/>
        <w:tblInd w:w="-5" w:type="dxa"/>
        <w:tblLook w:val="04A0" w:firstRow="1" w:lastRow="0" w:firstColumn="1" w:lastColumn="0" w:noHBand="0" w:noVBand="1"/>
      </w:tblPr>
      <w:tblGrid>
        <w:gridCol w:w="9633"/>
      </w:tblGrid>
      <w:tr w:rsidR="00B25F85" w14:paraId="00394E3F" w14:textId="77777777" w:rsidTr="00445B99">
        <w:tc>
          <w:tcPr>
            <w:tcW w:w="9633" w:type="dxa"/>
            <w:shd w:val="pct10" w:color="auto" w:fill="auto"/>
          </w:tcPr>
          <w:p w14:paraId="60538C46" w14:textId="223C863B" w:rsidR="00B25F85" w:rsidRDefault="00B25F85" w:rsidP="00445B99">
            <w:pPr>
              <w:spacing w:after="160" w:line="259" w:lineRule="auto"/>
              <w:rPr>
                <w:rFonts w:cs="Arial"/>
                <w:szCs w:val="24"/>
              </w:rPr>
            </w:pPr>
            <w:r w:rsidRPr="00595DBB">
              <w:rPr>
                <w:rFonts w:cs="Arial"/>
                <w:szCs w:val="24"/>
              </w:rPr>
              <w:t xml:space="preserve">Total </w:t>
            </w:r>
            <w:r w:rsidRPr="00595DBB">
              <w:rPr>
                <w:rFonts w:cs="Arial"/>
                <w:bCs/>
                <w:szCs w:val="24"/>
              </w:rPr>
              <w:t xml:space="preserve">minimum </w:t>
            </w:r>
            <w:r w:rsidRPr="00595DBB">
              <w:rPr>
                <w:rFonts w:cs="Arial"/>
                <w:szCs w:val="24"/>
              </w:rPr>
              <w:t xml:space="preserve">annual </w:t>
            </w:r>
            <w:r>
              <w:rPr>
                <w:rFonts w:cs="Arial"/>
                <w:szCs w:val="24"/>
              </w:rPr>
              <w:t>LHN</w:t>
            </w:r>
            <w:r w:rsidRPr="00595DBB">
              <w:rPr>
                <w:rFonts w:cs="Arial"/>
                <w:szCs w:val="24"/>
              </w:rPr>
              <w:t xml:space="preserve"> at March 202</w:t>
            </w:r>
            <w:r>
              <w:rPr>
                <w:rFonts w:cs="Arial"/>
                <w:szCs w:val="24"/>
              </w:rPr>
              <w:t>3</w:t>
            </w:r>
            <w:r w:rsidRPr="00595DBB">
              <w:rPr>
                <w:rFonts w:cs="Arial"/>
                <w:szCs w:val="24"/>
              </w:rPr>
              <w:t xml:space="preserve"> is calculated as follows:</w:t>
            </w:r>
          </w:p>
        </w:tc>
      </w:tr>
      <w:tr w:rsidR="00B25F85" w:rsidRPr="007F743C" w14:paraId="2A1EB10A" w14:textId="77777777" w:rsidTr="00445B99">
        <w:tc>
          <w:tcPr>
            <w:tcW w:w="9633" w:type="dxa"/>
          </w:tcPr>
          <w:p w14:paraId="317B812F" w14:textId="77777777" w:rsidR="00B25F85" w:rsidRPr="00670770" w:rsidRDefault="00B25F85" w:rsidP="00B25F85">
            <w:pPr>
              <w:jc w:val="center"/>
              <w:rPr>
                <w:rFonts w:cs="Arial"/>
                <w:bCs/>
                <w:szCs w:val="24"/>
              </w:rPr>
            </w:pPr>
            <w:r w:rsidRPr="00670770">
              <w:rPr>
                <w:rFonts w:cs="Arial"/>
                <w:bCs/>
                <w:szCs w:val="24"/>
              </w:rPr>
              <w:t>1 + adjustment factor x projected household growth =</w:t>
            </w:r>
          </w:p>
          <w:p w14:paraId="6A17A7B0" w14:textId="77777777" w:rsidR="00B25F85" w:rsidRPr="00670770" w:rsidRDefault="00B25F85" w:rsidP="00445B99">
            <w:pPr>
              <w:pStyle w:val="ListParagraph"/>
              <w:rPr>
                <w:rFonts w:ascii="Arial" w:hAnsi="Arial" w:cs="Arial"/>
                <w:bCs/>
                <w:szCs w:val="24"/>
              </w:rPr>
            </w:pPr>
            <w:r w:rsidRPr="00670770">
              <w:rPr>
                <w:rFonts w:ascii="Arial" w:hAnsi="Arial" w:cs="Arial"/>
                <w:bCs/>
                <w:szCs w:val="24"/>
              </w:rPr>
              <w:tab/>
            </w:r>
          </w:p>
          <w:p w14:paraId="2888FB55" w14:textId="7B4AC093" w:rsidR="00B25F85" w:rsidRPr="007F743C" w:rsidRDefault="00B25F85" w:rsidP="00445B99">
            <w:pPr>
              <w:pStyle w:val="ListParagraph"/>
              <w:rPr>
                <w:rFonts w:ascii="Arial" w:hAnsi="Arial" w:cs="Arial"/>
                <w:b/>
                <w:szCs w:val="24"/>
              </w:rPr>
            </w:pPr>
            <w:r w:rsidRPr="00B24E61">
              <w:rPr>
                <w:rFonts w:ascii="Arial" w:hAnsi="Arial" w:cs="Arial"/>
                <w:szCs w:val="24"/>
              </w:rPr>
              <w:tab/>
            </w:r>
            <w:r>
              <w:rPr>
                <w:rFonts w:ascii="Arial" w:hAnsi="Arial" w:cs="Arial"/>
                <w:szCs w:val="24"/>
              </w:rPr>
              <w:tab/>
            </w:r>
            <w:r>
              <w:rPr>
                <w:rFonts w:ascii="Arial" w:hAnsi="Arial" w:cs="Arial"/>
                <w:szCs w:val="24"/>
              </w:rPr>
              <w:tab/>
            </w:r>
            <w:r w:rsidRPr="00B24E61">
              <w:rPr>
                <w:rFonts w:ascii="Arial" w:hAnsi="Arial" w:cs="Arial"/>
                <w:szCs w:val="24"/>
              </w:rPr>
              <w:t>1.</w:t>
            </w:r>
            <w:r>
              <w:rPr>
                <w:rFonts w:ascii="Arial" w:hAnsi="Arial" w:cs="Arial"/>
                <w:szCs w:val="24"/>
              </w:rPr>
              <w:t>1</w:t>
            </w:r>
            <w:r w:rsidRPr="00B24E61">
              <w:rPr>
                <w:rFonts w:ascii="Arial" w:hAnsi="Arial" w:cs="Arial"/>
                <w:szCs w:val="24"/>
              </w:rPr>
              <w:t>08125 x 4</w:t>
            </w:r>
            <w:r>
              <w:rPr>
                <w:rFonts w:ascii="Arial" w:hAnsi="Arial" w:cs="Arial"/>
                <w:szCs w:val="24"/>
              </w:rPr>
              <w:t>0</w:t>
            </w:r>
            <w:r w:rsidRPr="00B24E61">
              <w:rPr>
                <w:rFonts w:ascii="Arial" w:hAnsi="Arial" w:cs="Arial"/>
                <w:szCs w:val="24"/>
              </w:rPr>
              <w:t>2.</w:t>
            </w:r>
            <w:r>
              <w:rPr>
                <w:rFonts w:ascii="Arial" w:hAnsi="Arial" w:cs="Arial"/>
                <w:szCs w:val="24"/>
              </w:rPr>
              <w:t>3</w:t>
            </w:r>
            <w:r w:rsidRPr="00B24E61">
              <w:rPr>
                <w:rFonts w:ascii="Arial" w:hAnsi="Arial" w:cs="Arial"/>
                <w:szCs w:val="24"/>
              </w:rPr>
              <w:t xml:space="preserve"> = </w:t>
            </w:r>
            <w:r w:rsidRPr="00B24E61">
              <w:rPr>
                <w:rFonts w:ascii="Arial" w:hAnsi="Arial" w:cs="Arial"/>
                <w:bCs/>
                <w:szCs w:val="24"/>
              </w:rPr>
              <w:t>4</w:t>
            </w:r>
            <w:r>
              <w:rPr>
                <w:rFonts w:ascii="Arial" w:hAnsi="Arial" w:cs="Arial"/>
                <w:bCs/>
                <w:szCs w:val="24"/>
              </w:rPr>
              <w:t>45.8</w:t>
            </w:r>
          </w:p>
        </w:tc>
      </w:tr>
      <w:tr w:rsidR="00B25F85" w:rsidRPr="00670770" w14:paraId="3BA0604E" w14:textId="77777777" w:rsidTr="00445B99">
        <w:tc>
          <w:tcPr>
            <w:tcW w:w="9633" w:type="dxa"/>
          </w:tcPr>
          <w:p w14:paraId="767A9935" w14:textId="77777777" w:rsidR="00B25F85" w:rsidRPr="007F743C" w:rsidRDefault="00B25F85" w:rsidP="00445B99">
            <w:pPr>
              <w:pStyle w:val="ListParagraph"/>
              <w:ind w:firstLine="720"/>
              <w:rPr>
                <w:rFonts w:ascii="Arial" w:hAnsi="Arial" w:cs="Arial"/>
                <w:b/>
                <w:szCs w:val="24"/>
              </w:rPr>
            </w:pPr>
          </w:p>
          <w:p w14:paraId="58547885" w14:textId="6F8A2BDE" w:rsidR="00B25F85" w:rsidRPr="00670770" w:rsidRDefault="00B25F85" w:rsidP="00445B99">
            <w:pPr>
              <w:pStyle w:val="ListParagraph"/>
              <w:ind w:left="2160" w:firstLine="720"/>
              <w:rPr>
                <w:rFonts w:ascii="Arial" w:hAnsi="Arial" w:cs="Arial"/>
                <w:b/>
              </w:rPr>
            </w:pPr>
            <w:r w:rsidRPr="007F743C">
              <w:rPr>
                <w:rFonts w:ascii="Arial" w:hAnsi="Arial" w:cs="Arial"/>
                <w:b/>
              </w:rPr>
              <w:t>4</w:t>
            </w:r>
            <w:r>
              <w:rPr>
                <w:rFonts w:ascii="Arial" w:hAnsi="Arial" w:cs="Arial"/>
                <w:b/>
              </w:rPr>
              <w:t>46</w:t>
            </w:r>
            <w:r w:rsidRPr="007F743C">
              <w:rPr>
                <w:rFonts w:ascii="Arial" w:hAnsi="Arial" w:cs="Arial"/>
                <w:b/>
              </w:rPr>
              <w:t xml:space="preserve"> dwellings per annum (dpa)</w:t>
            </w:r>
          </w:p>
        </w:tc>
      </w:tr>
    </w:tbl>
    <w:p w14:paraId="1117FD0D" w14:textId="77777777" w:rsidR="00B25F85" w:rsidRDefault="00B25F85" w:rsidP="00B25F85">
      <w:pPr>
        <w:pStyle w:val="ListParagraph"/>
        <w:spacing w:after="0"/>
        <w:ind w:left="567"/>
        <w:rPr>
          <w:rFonts w:ascii="Arial" w:hAnsi="Arial" w:cs="Arial"/>
          <w:color w:val="auto"/>
        </w:rPr>
      </w:pPr>
    </w:p>
    <w:p w14:paraId="17A0CA3B" w14:textId="31F73391" w:rsidR="00F237CE" w:rsidRDefault="00011610" w:rsidP="00C14BFC">
      <w:pPr>
        <w:pStyle w:val="Heading4"/>
        <w:numPr>
          <w:ilvl w:val="0"/>
          <w:numId w:val="9"/>
        </w:numPr>
        <w:ind w:left="426" w:hanging="426"/>
      </w:pPr>
      <w:r>
        <w:lastRenderedPageBreak/>
        <w:t>S</w:t>
      </w:r>
      <w:r w:rsidR="00F237CE">
        <w:t>upply of Housing Land</w:t>
      </w:r>
    </w:p>
    <w:p w14:paraId="20BB4782" w14:textId="77777777" w:rsidR="00E679BA" w:rsidRPr="00E679BA" w:rsidRDefault="00E679BA" w:rsidP="00E679BA"/>
    <w:p w14:paraId="5162AE55" w14:textId="09379C48" w:rsidR="00F237CE" w:rsidRPr="00F237CE" w:rsidRDefault="00257D42" w:rsidP="00FE22F3">
      <w:pPr>
        <w:pStyle w:val="Heading3"/>
      </w:pPr>
      <w:r w:rsidRPr="0009718B">
        <w:t>Sources</w:t>
      </w:r>
      <w:r>
        <w:t xml:space="preserve"> of Housing Supply</w:t>
      </w:r>
    </w:p>
    <w:p w14:paraId="51C6DB07" w14:textId="77777777" w:rsidR="00F237CE" w:rsidRPr="00BF4A3F" w:rsidRDefault="00F237CE" w:rsidP="00F237CE"/>
    <w:tbl>
      <w:tblPr>
        <w:tblStyle w:val="ReportTable1"/>
        <w:tblW w:w="8365" w:type="dxa"/>
        <w:tblInd w:w="561" w:type="dxa"/>
        <w:tblLook w:val="04A0" w:firstRow="1" w:lastRow="0" w:firstColumn="1" w:lastColumn="0" w:noHBand="0" w:noVBand="1"/>
      </w:tblPr>
      <w:tblGrid>
        <w:gridCol w:w="2660"/>
        <w:gridCol w:w="5705"/>
      </w:tblGrid>
      <w:tr w:rsidR="00257D42" w:rsidRPr="00257D42" w14:paraId="29EEBD72" w14:textId="77777777" w:rsidTr="00E24F78">
        <w:trPr>
          <w:trHeight w:val="206"/>
        </w:trPr>
        <w:tc>
          <w:tcPr>
            <w:tcW w:w="2660" w:type="dxa"/>
          </w:tcPr>
          <w:p w14:paraId="0FC8F3DC" w14:textId="77777777" w:rsidR="00C75CD3" w:rsidRDefault="00C75CD3" w:rsidP="00C75CD3">
            <w:pPr>
              <w:keepNext w:val="0"/>
              <w:spacing w:before="0"/>
              <w:rPr>
                <w:rFonts w:cs="Arial"/>
                <w:b/>
                <w:color w:val="auto"/>
                <w:szCs w:val="24"/>
              </w:rPr>
            </w:pPr>
          </w:p>
          <w:p w14:paraId="5E12A1EF" w14:textId="77777777" w:rsidR="00257D42" w:rsidRDefault="00257D42" w:rsidP="00C75CD3">
            <w:pPr>
              <w:keepNext w:val="0"/>
              <w:spacing w:before="0"/>
              <w:rPr>
                <w:rFonts w:cs="Arial"/>
                <w:b/>
                <w:color w:val="auto"/>
                <w:szCs w:val="24"/>
              </w:rPr>
            </w:pPr>
            <w:r w:rsidRPr="00257D42">
              <w:rPr>
                <w:rFonts w:cs="Arial"/>
                <w:b/>
                <w:color w:val="auto"/>
                <w:szCs w:val="24"/>
              </w:rPr>
              <w:t>Source of supply</w:t>
            </w:r>
          </w:p>
          <w:p w14:paraId="3798BF28" w14:textId="51204562" w:rsidR="00C75CD3" w:rsidRPr="00257D42" w:rsidRDefault="00C75CD3" w:rsidP="00C75CD3">
            <w:pPr>
              <w:keepNext w:val="0"/>
              <w:spacing w:before="0"/>
              <w:rPr>
                <w:rFonts w:eastAsia="Calibri" w:cs="Arial"/>
                <w:color w:val="auto"/>
                <w:szCs w:val="22"/>
                <w:lang w:eastAsia="en-US"/>
              </w:rPr>
            </w:pPr>
          </w:p>
        </w:tc>
        <w:tc>
          <w:tcPr>
            <w:tcW w:w="5705" w:type="dxa"/>
          </w:tcPr>
          <w:p w14:paraId="4FD59E21" w14:textId="77777777" w:rsidR="00C75CD3" w:rsidRDefault="00C75CD3" w:rsidP="00C75CD3">
            <w:pPr>
              <w:keepNext w:val="0"/>
              <w:spacing w:before="0"/>
              <w:rPr>
                <w:rFonts w:eastAsia="Calibri" w:cs="Arial"/>
                <w:b/>
                <w:color w:val="auto"/>
                <w:szCs w:val="24"/>
                <w:lang w:eastAsia="en-US"/>
              </w:rPr>
            </w:pPr>
          </w:p>
          <w:p w14:paraId="714599A9" w14:textId="77777777" w:rsidR="00C75CD3" w:rsidRDefault="00257D42" w:rsidP="00C75CD3">
            <w:pPr>
              <w:keepNext w:val="0"/>
              <w:spacing w:before="0"/>
              <w:rPr>
                <w:rFonts w:eastAsia="Calibri" w:cs="Arial"/>
                <w:b/>
                <w:color w:val="auto"/>
                <w:szCs w:val="24"/>
                <w:lang w:eastAsia="en-US"/>
              </w:rPr>
            </w:pPr>
            <w:r w:rsidRPr="00257D42">
              <w:rPr>
                <w:rFonts w:eastAsia="Calibri" w:cs="Arial"/>
                <w:b/>
                <w:color w:val="auto"/>
                <w:szCs w:val="24"/>
                <w:lang w:eastAsia="en-US"/>
              </w:rPr>
              <w:t>Notes</w:t>
            </w:r>
          </w:p>
          <w:p w14:paraId="79EA3B38" w14:textId="0BDB25CB" w:rsidR="00C75CD3" w:rsidRPr="00257D42" w:rsidRDefault="00C75CD3" w:rsidP="00C75CD3">
            <w:pPr>
              <w:keepNext w:val="0"/>
              <w:spacing w:before="0"/>
              <w:rPr>
                <w:rFonts w:eastAsia="Calibri" w:cs="Arial"/>
                <w:b/>
                <w:color w:val="auto"/>
                <w:szCs w:val="24"/>
                <w:lang w:eastAsia="en-US"/>
              </w:rPr>
            </w:pPr>
          </w:p>
        </w:tc>
      </w:tr>
      <w:tr w:rsidR="00257D42" w:rsidRPr="00257D42" w14:paraId="7A218436" w14:textId="77777777" w:rsidTr="00E24F78">
        <w:trPr>
          <w:trHeight w:val="1020"/>
        </w:trPr>
        <w:tc>
          <w:tcPr>
            <w:tcW w:w="2660" w:type="dxa"/>
          </w:tcPr>
          <w:p w14:paraId="46E679AF" w14:textId="77777777"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1. Past completions</w:t>
            </w:r>
          </w:p>
        </w:tc>
        <w:tc>
          <w:tcPr>
            <w:tcW w:w="5705" w:type="dxa"/>
          </w:tcPr>
          <w:p w14:paraId="12D6FC0E" w14:textId="31124985" w:rsidR="00257D42" w:rsidRPr="00257D42" w:rsidRDefault="00257D42" w:rsidP="00257D42">
            <w:pPr>
              <w:keepNext w:val="0"/>
              <w:spacing w:before="0"/>
              <w:rPr>
                <w:rFonts w:eastAsia="Calibri" w:cs="Arial"/>
                <w:color w:val="auto"/>
                <w:szCs w:val="24"/>
                <w:lang w:eastAsia="en-US"/>
              </w:rPr>
            </w:pPr>
            <w:r w:rsidRPr="00257D42">
              <w:rPr>
                <w:rFonts w:eastAsia="Calibri" w:cs="Arial"/>
                <w:color w:val="auto"/>
                <w:szCs w:val="24"/>
                <w:lang w:eastAsia="en-US"/>
              </w:rPr>
              <w:t>This category provides the net number of homes (including new build, converted homes and changes of use</w:t>
            </w:r>
            <w:r>
              <w:rPr>
                <w:rFonts w:eastAsia="Calibri" w:cs="Arial"/>
                <w:color w:val="auto"/>
                <w:szCs w:val="24"/>
                <w:lang w:eastAsia="en-US"/>
              </w:rPr>
              <w:t xml:space="preserve"> and losses</w:t>
            </w:r>
            <w:r w:rsidRPr="00257D42">
              <w:rPr>
                <w:rFonts w:eastAsia="Calibri" w:cs="Arial"/>
                <w:color w:val="auto"/>
                <w:szCs w:val="24"/>
                <w:lang w:eastAsia="en-US"/>
              </w:rPr>
              <w:t xml:space="preserve">) completed from the start of the plan period </w:t>
            </w:r>
            <w:r>
              <w:rPr>
                <w:rFonts w:eastAsia="Calibri" w:cs="Arial"/>
                <w:color w:val="auto"/>
                <w:szCs w:val="24"/>
                <w:lang w:eastAsia="en-US"/>
              </w:rPr>
              <w:t>for the Ashfield Local Plan from 2020.</w:t>
            </w:r>
          </w:p>
          <w:p w14:paraId="27942A25" w14:textId="259B345B" w:rsidR="00257D42" w:rsidRPr="00257D42" w:rsidRDefault="00257D42" w:rsidP="00257D42">
            <w:pPr>
              <w:keepNext w:val="0"/>
              <w:spacing w:before="0"/>
              <w:rPr>
                <w:rFonts w:eastAsia="Calibri" w:cs="Arial"/>
                <w:color w:val="auto"/>
                <w:szCs w:val="24"/>
                <w:lang w:eastAsia="en-US"/>
              </w:rPr>
            </w:pPr>
          </w:p>
        </w:tc>
      </w:tr>
      <w:tr w:rsidR="00257D42" w:rsidRPr="00257D42" w14:paraId="00A65E8C" w14:textId="77777777" w:rsidTr="00E24F78">
        <w:trPr>
          <w:trHeight w:val="1020"/>
        </w:trPr>
        <w:tc>
          <w:tcPr>
            <w:tcW w:w="2660" w:type="dxa"/>
          </w:tcPr>
          <w:p w14:paraId="72DA035A" w14:textId="21F1FB0A"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 xml:space="preserve">2. </w:t>
            </w:r>
            <w:r>
              <w:rPr>
                <w:rFonts w:cs="Arial"/>
                <w:color w:val="auto"/>
                <w:szCs w:val="24"/>
              </w:rPr>
              <w:t>Sites with planning permission</w:t>
            </w:r>
            <w:r w:rsidR="00B30AC1">
              <w:rPr>
                <w:rStyle w:val="FootnoteReference"/>
                <w:rFonts w:cs="Arial"/>
                <w:color w:val="auto"/>
                <w:szCs w:val="24"/>
              </w:rPr>
              <w:footnoteReference w:id="4"/>
            </w:r>
          </w:p>
        </w:tc>
        <w:tc>
          <w:tcPr>
            <w:tcW w:w="5705" w:type="dxa"/>
          </w:tcPr>
          <w:p w14:paraId="5B309CBA" w14:textId="419C1377" w:rsidR="00257D42" w:rsidRDefault="00257D42" w:rsidP="00257D42">
            <w:pPr>
              <w:keepNext w:val="0"/>
              <w:spacing w:before="0"/>
              <w:rPr>
                <w:rFonts w:eastAsia="Calibri" w:cs="Arial"/>
                <w:color w:val="auto"/>
                <w:szCs w:val="24"/>
                <w:lang w:eastAsia="en-US"/>
              </w:rPr>
            </w:pPr>
            <w:r w:rsidRPr="00257D42">
              <w:rPr>
                <w:rFonts w:eastAsia="Calibri" w:cs="Arial"/>
                <w:color w:val="auto"/>
                <w:szCs w:val="24"/>
                <w:lang w:eastAsia="en-US"/>
              </w:rPr>
              <w:t>This category includes</w:t>
            </w:r>
            <w:r>
              <w:rPr>
                <w:rFonts w:eastAsia="Calibri" w:cs="Arial"/>
                <w:color w:val="auto"/>
                <w:szCs w:val="24"/>
                <w:lang w:eastAsia="en-US"/>
              </w:rPr>
              <w:t xml:space="preserve"> all sites with current planning </w:t>
            </w:r>
            <w:r w:rsidR="001D74D6">
              <w:rPr>
                <w:rFonts w:eastAsia="Calibri" w:cs="Arial"/>
                <w:color w:val="auto"/>
                <w:szCs w:val="24"/>
                <w:lang w:eastAsia="en-US"/>
              </w:rPr>
              <w:t>permission unless</w:t>
            </w:r>
            <w:r>
              <w:rPr>
                <w:rFonts w:eastAsia="Calibri" w:cs="Arial"/>
                <w:color w:val="auto"/>
                <w:szCs w:val="24"/>
                <w:lang w:eastAsia="en-US"/>
              </w:rPr>
              <w:t xml:space="preserve"> there are clear indications that the site will not come forward for development. Sites may be under construction, or not yet implemented.</w:t>
            </w:r>
          </w:p>
          <w:p w14:paraId="2563CC6E" w14:textId="18ADB620" w:rsidR="00257D42" w:rsidRPr="00257D42" w:rsidRDefault="00257D42" w:rsidP="00257D42">
            <w:pPr>
              <w:keepNext w:val="0"/>
              <w:spacing w:before="0"/>
              <w:rPr>
                <w:rFonts w:eastAsia="Calibri"/>
                <w:color w:val="auto"/>
                <w:szCs w:val="24"/>
                <w:lang w:eastAsia="en-US"/>
              </w:rPr>
            </w:pPr>
          </w:p>
        </w:tc>
      </w:tr>
      <w:tr w:rsidR="00257D42" w:rsidRPr="00257D42" w14:paraId="52233252" w14:textId="77777777" w:rsidTr="00E24F78">
        <w:trPr>
          <w:trHeight w:val="1020"/>
        </w:trPr>
        <w:tc>
          <w:tcPr>
            <w:tcW w:w="2660" w:type="dxa"/>
          </w:tcPr>
          <w:p w14:paraId="0985D863" w14:textId="3C7592FF"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 xml:space="preserve">3. </w:t>
            </w:r>
            <w:r>
              <w:rPr>
                <w:rFonts w:cs="Arial"/>
                <w:color w:val="auto"/>
                <w:szCs w:val="24"/>
              </w:rPr>
              <w:t>Proposed</w:t>
            </w:r>
            <w:r w:rsidRPr="00257D42">
              <w:rPr>
                <w:rFonts w:cs="Arial"/>
                <w:color w:val="auto"/>
                <w:szCs w:val="24"/>
              </w:rPr>
              <w:t xml:space="preserve"> Local Plan allocations not in the above category</w:t>
            </w:r>
          </w:p>
        </w:tc>
        <w:tc>
          <w:tcPr>
            <w:tcW w:w="5705" w:type="dxa"/>
          </w:tcPr>
          <w:p w14:paraId="07320D7B" w14:textId="1CE9D860" w:rsidR="005F6F8B" w:rsidRDefault="00257D42" w:rsidP="00257D42">
            <w:pPr>
              <w:keepNext w:val="0"/>
              <w:spacing w:before="0"/>
              <w:rPr>
                <w:rFonts w:eastAsia="Calibri" w:cs="Arial"/>
                <w:color w:val="auto"/>
                <w:szCs w:val="24"/>
                <w:lang w:eastAsia="en-US"/>
              </w:rPr>
            </w:pPr>
            <w:r w:rsidRPr="00257D42">
              <w:rPr>
                <w:rFonts w:eastAsia="Calibri"/>
                <w:color w:val="auto"/>
                <w:szCs w:val="24"/>
                <w:lang w:eastAsia="en-US"/>
              </w:rPr>
              <w:t xml:space="preserve">This category includes sites that are “developable” using the </w:t>
            </w:r>
            <w:r w:rsidRPr="00257D42">
              <w:rPr>
                <w:rFonts w:eastAsia="Calibri" w:cs="Arial"/>
                <w:color w:val="auto"/>
                <w:szCs w:val="24"/>
                <w:lang w:eastAsia="en-US"/>
              </w:rPr>
              <w:t>approach set out in the SH</w:t>
            </w:r>
            <w:r>
              <w:rPr>
                <w:rFonts w:eastAsia="Calibri" w:cs="Arial"/>
                <w:color w:val="auto"/>
                <w:szCs w:val="24"/>
                <w:lang w:eastAsia="en-US"/>
              </w:rPr>
              <w:t>E</w:t>
            </w:r>
            <w:r w:rsidRPr="00257D42">
              <w:rPr>
                <w:rFonts w:eastAsia="Calibri" w:cs="Arial"/>
                <w:color w:val="auto"/>
                <w:szCs w:val="24"/>
                <w:lang w:eastAsia="en-US"/>
              </w:rPr>
              <w:t xml:space="preserve">LAA methodology </w:t>
            </w:r>
            <w:r w:rsidR="001D74D6" w:rsidRPr="00257D42">
              <w:rPr>
                <w:rFonts w:eastAsia="Calibri" w:cs="Arial"/>
                <w:color w:val="auto"/>
                <w:szCs w:val="24"/>
                <w:lang w:eastAsia="en-US"/>
              </w:rPr>
              <w:t>report</w:t>
            </w:r>
            <w:r w:rsidR="001D74D6">
              <w:rPr>
                <w:rFonts w:eastAsia="Calibri" w:cs="Arial"/>
                <w:color w:val="auto"/>
                <w:szCs w:val="24"/>
                <w:lang w:eastAsia="en-US"/>
              </w:rPr>
              <w:t xml:space="preserve"> and</w:t>
            </w:r>
            <w:r>
              <w:rPr>
                <w:rFonts w:eastAsia="Calibri" w:cs="Arial"/>
                <w:color w:val="auto"/>
                <w:szCs w:val="24"/>
                <w:lang w:eastAsia="en-US"/>
              </w:rPr>
              <w:t xml:space="preserve"> have been selected as preferred sites to meet the need for future housing and Council’s strategic approach for growth</w:t>
            </w:r>
            <w:r w:rsidR="005F6F8B">
              <w:rPr>
                <w:rStyle w:val="FootnoteReference"/>
                <w:rFonts w:eastAsia="Calibri" w:cs="Arial"/>
                <w:color w:val="auto"/>
                <w:szCs w:val="24"/>
                <w:lang w:eastAsia="en-US"/>
              </w:rPr>
              <w:footnoteReference w:id="5"/>
            </w:r>
            <w:r>
              <w:rPr>
                <w:rFonts w:eastAsia="Calibri" w:cs="Arial"/>
                <w:color w:val="auto"/>
                <w:szCs w:val="24"/>
                <w:lang w:eastAsia="en-US"/>
              </w:rPr>
              <w:t>.</w:t>
            </w:r>
            <w:r w:rsidR="005F6F8B">
              <w:rPr>
                <w:rFonts w:eastAsia="Calibri" w:cs="Arial"/>
                <w:color w:val="auto"/>
                <w:szCs w:val="24"/>
                <w:lang w:eastAsia="en-US"/>
              </w:rPr>
              <w:t xml:space="preserve"> </w:t>
            </w:r>
          </w:p>
          <w:p w14:paraId="43E56367" w14:textId="18E43E2D" w:rsidR="00257D42" w:rsidRPr="00257D42" w:rsidRDefault="005F6F8B" w:rsidP="00257D42">
            <w:pPr>
              <w:keepNext w:val="0"/>
              <w:spacing w:before="0"/>
              <w:rPr>
                <w:rFonts w:eastAsia="Calibri"/>
                <w:color w:val="auto"/>
                <w:szCs w:val="24"/>
                <w:lang w:eastAsia="en-US"/>
              </w:rPr>
            </w:pPr>
            <w:r>
              <w:rPr>
                <w:rFonts w:eastAsia="Calibri" w:cs="Arial"/>
                <w:color w:val="auto"/>
                <w:szCs w:val="24"/>
                <w:lang w:eastAsia="en-US"/>
              </w:rPr>
              <w:t xml:space="preserve"> </w:t>
            </w:r>
          </w:p>
        </w:tc>
      </w:tr>
      <w:tr w:rsidR="00257D42" w:rsidRPr="00257D42" w14:paraId="53222113" w14:textId="77777777" w:rsidTr="00E24F78">
        <w:trPr>
          <w:trHeight w:val="1665"/>
        </w:trPr>
        <w:tc>
          <w:tcPr>
            <w:tcW w:w="2660" w:type="dxa"/>
          </w:tcPr>
          <w:p w14:paraId="2B4E4DB4" w14:textId="77777777"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4. Other developable sites</w:t>
            </w:r>
          </w:p>
        </w:tc>
        <w:tc>
          <w:tcPr>
            <w:tcW w:w="5705" w:type="dxa"/>
          </w:tcPr>
          <w:p w14:paraId="6659D818" w14:textId="7E7499D8" w:rsidR="00257D42" w:rsidRPr="00257D42" w:rsidRDefault="00257D42" w:rsidP="00257D42">
            <w:pPr>
              <w:keepNext w:val="0"/>
              <w:spacing w:before="0"/>
              <w:rPr>
                <w:rFonts w:eastAsia="Calibri" w:cs="Arial"/>
                <w:color w:val="auto"/>
                <w:szCs w:val="24"/>
                <w:lang w:eastAsia="en-US"/>
              </w:rPr>
            </w:pPr>
            <w:r w:rsidRPr="00257D42">
              <w:rPr>
                <w:rFonts w:eastAsia="Calibri"/>
                <w:color w:val="auto"/>
                <w:szCs w:val="24"/>
                <w:lang w:eastAsia="en-US"/>
              </w:rPr>
              <w:t xml:space="preserve">This category includes sites </w:t>
            </w:r>
            <w:r w:rsidRPr="00257D42">
              <w:rPr>
                <w:rFonts w:eastAsia="Calibri" w:cs="Arial"/>
                <w:color w:val="auto"/>
                <w:szCs w:val="24"/>
                <w:lang w:eastAsia="en-US"/>
              </w:rPr>
              <w:t>that are not included in above categories</w:t>
            </w:r>
            <w:r w:rsidR="00B30AC1">
              <w:rPr>
                <w:rFonts w:eastAsia="Calibri" w:cs="Arial"/>
                <w:color w:val="auto"/>
                <w:szCs w:val="24"/>
                <w:lang w:eastAsia="en-US"/>
              </w:rPr>
              <w:t xml:space="preserve"> and</w:t>
            </w:r>
            <w:r w:rsidRPr="00257D42">
              <w:rPr>
                <w:rFonts w:eastAsia="Calibri" w:cs="Arial"/>
                <w:color w:val="auto"/>
                <w:szCs w:val="24"/>
                <w:lang w:eastAsia="en-US"/>
              </w:rPr>
              <w:t xml:space="preserve"> </w:t>
            </w:r>
            <w:r w:rsidR="00B30AC1">
              <w:rPr>
                <w:rFonts w:eastAsia="Calibri" w:cs="Arial"/>
                <w:color w:val="auto"/>
                <w:szCs w:val="24"/>
                <w:lang w:eastAsia="en-US"/>
              </w:rPr>
              <w:t xml:space="preserve">may </w:t>
            </w:r>
            <w:proofErr w:type="gramStart"/>
            <w:r w:rsidRPr="00257D42">
              <w:rPr>
                <w:rFonts w:eastAsia="Calibri" w:cs="Arial"/>
                <w:color w:val="auto"/>
                <w:szCs w:val="24"/>
                <w:lang w:eastAsia="en-US"/>
              </w:rPr>
              <w:t>include:-</w:t>
            </w:r>
            <w:proofErr w:type="gramEnd"/>
          </w:p>
          <w:p w14:paraId="27DDCD88" w14:textId="4BAD3153" w:rsidR="00257D42" w:rsidRP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 xml:space="preserve">Non-allocated sites awaiting s106 sign off. </w:t>
            </w:r>
          </w:p>
          <w:p w14:paraId="03229647" w14:textId="77777777" w:rsidR="00257D42" w:rsidRP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Sites without planning permission to be delivered by local authority or partners.</w:t>
            </w:r>
          </w:p>
          <w:p w14:paraId="6D63F531" w14:textId="77777777" w:rsid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Sites with lapsed permission and new application pending determination.</w:t>
            </w:r>
          </w:p>
          <w:p w14:paraId="60EBDA4A" w14:textId="3330ACDA" w:rsidR="00B30AC1" w:rsidRPr="00257D42" w:rsidRDefault="00B30AC1" w:rsidP="00B30AC1">
            <w:pPr>
              <w:keepNext w:val="0"/>
              <w:spacing w:before="0"/>
              <w:ind w:left="360"/>
              <w:rPr>
                <w:rFonts w:eastAsia="Calibri"/>
                <w:color w:val="auto"/>
                <w:szCs w:val="24"/>
                <w:lang w:eastAsia="en-US"/>
              </w:rPr>
            </w:pPr>
          </w:p>
        </w:tc>
      </w:tr>
      <w:tr w:rsidR="00257D42" w:rsidRPr="00257D42" w14:paraId="3B557531" w14:textId="77777777" w:rsidTr="00E24F78">
        <w:trPr>
          <w:trHeight w:val="821"/>
        </w:trPr>
        <w:tc>
          <w:tcPr>
            <w:tcW w:w="2660" w:type="dxa"/>
          </w:tcPr>
          <w:p w14:paraId="297CC2DE" w14:textId="77777777" w:rsidR="00257D42" w:rsidRPr="00257D42" w:rsidRDefault="00257D42" w:rsidP="00257D42">
            <w:pPr>
              <w:keepNext w:val="0"/>
              <w:spacing w:before="0"/>
              <w:rPr>
                <w:rFonts w:cs="Arial"/>
                <w:color w:val="auto"/>
                <w:szCs w:val="24"/>
              </w:rPr>
            </w:pPr>
            <w:r w:rsidRPr="00257D42">
              <w:rPr>
                <w:rFonts w:cs="Arial"/>
                <w:color w:val="auto"/>
                <w:szCs w:val="24"/>
              </w:rPr>
              <w:t>6. Windfall allowance</w:t>
            </w:r>
          </w:p>
        </w:tc>
        <w:tc>
          <w:tcPr>
            <w:tcW w:w="5705" w:type="dxa"/>
          </w:tcPr>
          <w:p w14:paraId="0C036880" w14:textId="41D9ED66" w:rsidR="00257D42" w:rsidRDefault="00137A79" w:rsidP="00257D42">
            <w:pPr>
              <w:keepNext w:val="0"/>
              <w:spacing w:before="0"/>
              <w:rPr>
                <w:rFonts w:eastAsia="Calibri"/>
                <w:color w:val="auto"/>
                <w:szCs w:val="22"/>
                <w:lang w:eastAsia="en-US"/>
              </w:rPr>
            </w:pPr>
            <w:r>
              <w:rPr>
                <w:rFonts w:eastAsia="Calibri"/>
                <w:color w:val="auto"/>
                <w:szCs w:val="22"/>
                <w:lang w:eastAsia="en-US"/>
              </w:rPr>
              <w:t xml:space="preserve">The </w:t>
            </w:r>
            <w:r w:rsidR="00B30AC1">
              <w:rPr>
                <w:rFonts w:eastAsia="Calibri"/>
                <w:color w:val="auto"/>
                <w:szCs w:val="22"/>
                <w:lang w:eastAsia="en-US"/>
              </w:rPr>
              <w:t>Council</w:t>
            </w:r>
            <w:r>
              <w:rPr>
                <w:rFonts w:eastAsia="Calibri"/>
                <w:color w:val="auto"/>
                <w:szCs w:val="22"/>
                <w:lang w:eastAsia="en-US"/>
              </w:rPr>
              <w:t xml:space="preserve"> includes a windfall allowance for small sites which may come forward from year 5 onwards. This has a basis in historic rates and is set out in more detail in </w:t>
            </w:r>
            <w:r w:rsidRPr="00C75CD3">
              <w:rPr>
                <w:rFonts w:eastAsia="Calibri"/>
                <w:color w:val="auto"/>
                <w:szCs w:val="22"/>
                <w:lang w:eastAsia="en-US"/>
              </w:rPr>
              <w:t xml:space="preserve">paragraph </w:t>
            </w:r>
            <w:r w:rsidR="00C75CD3" w:rsidRPr="00C75CD3">
              <w:rPr>
                <w:rFonts w:eastAsia="Calibri"/>
                <w:color w:val="auto"/>
                <w:szCs w:val="22"/>
                <w:lang w:eastAsia="en-US"/>
              </w:rPr>
              <w:t>5.5 onwards</w:t>
            </w:r>
          </w:p>
          <w:p w14:paraId="324C7C9E" w14:textId="1C0F24CC" w:rsidR="00B30AC1" w:rsidRPr="00257D42" w:rsidRDefault="00B30AC1" w:rsidP="00257D42">
            <w:pPr>
              <w:keepNext w:val="0"/>
              <w:spacing w:before="0"/>
              <w:rPr>
                <w:rFonts w:eastAsia="Calibri"/>
                <w:color w:val="auto"/>
                <w:szCs w:val="22"/>
                <w:lang w:eastAsia="en-US"/>
              </w:rPr>
            </w:pPr>
          </w:p>
        </w:tc>
      </w:tr>
    </w:tbl>
    <w:p w14:paraId="4EB8CFB1" w14:textId="77777777" w:rsidR="00813CFB" w:rsidRPr="00813CFB" w:rsidRDefault="00813CFB" w:rsidP="00813CFB"/>
    <w:p w14:paraId="04FD362E" w14:textId="77777777" w:rsidR="00813CFB" w:rsidRDefault="00813CFB">
      <w:pPr>
        <w:keepNext w:val="0"/>
        <w:spacing w:before="0"/>
        <w:rPr>
          <w:rFonts w:eastAsia="Calibri" w:cs="Arial"/>
          <w:b/>
          <w:szCs w:val="24"/>
          <w:lang w:eastAsia="en-US"/>
        </w:rPr>
      </w:pPr>
      <w:r>
        <w:br w:type="page"/>
      </w:r>
    </w:p>
    <w:p w14:paraId="356791B8" w14:textId="2304AA12" w:rsidR="00B30AC1" w:rsidRPr="00257D42" w:rsidRDefault="00B30AC1" w:rsidP="00FE22F3">
      <w:pPr>
        <w:pStyle w:val="Heading3"/>
      </w:pPr>
      <w:r w:rsidRPr="00257D42">
        <w:lastRenderedPageBreak/>
        <w:t xml:space="preserve">Strategic </w:t>
      </w:r>
      <w:r w:rsidRPr="0009718B">
        <w:t>Housing</w:t>
      </w:r>
      <w:r w:rsidRPr="00257D42">
        <w:t xml:space="preserve"> and Economic Land Availability Assessment</w:t>
      </w:r>
    </w:p>
    <w:p w14:paraId="614E00CE" w14:textId="77777777" w:rsidR="00B30AC1" w:rsidRDefault="00B30AC1" w:rsidP="00C75CD3">
      <w:pPr>
        <w:spacing w:before="0" w:line="276" w:lineRule="auto"/>
        <w:rPr>
          <w:rFonts w:cs="Arial"/>
        </w:rPr>
      </w:pPr>
    </w:p>
    <w:p w14:paraId="0881CB30" w14:textId="1F98DAB8" w:rsidR="00B30AC1" w:rsidRPr="00843FA4" w:rsidRDefault="00B30AC1" w:rsidP="00C75CD3">
      <w:pPr>
        <w:pStyle w:val="ListParagraph"/>
        <w:numPr>
          <w:ilvl w:val="1"/>
          <w:numId w:val="9"/>
        </w:numPr>
        <w:spacing w:after="0"/>
        <w:ind w:left="567" w:hanging="567"/>
        <w:rPr>
          <w:rFonts w:ascii="Arial" w:hAnsi="Arial" w:cs="Arial"/>
        </w:rPr>
      </w:pPr>
      <w:r w:rsidRPr="00843FA4">
        <w:rPr>
          <w:rFonts w:ascii="Arial" w:hAnsi="Arial" w:cs="Arial"/>
        </w:rPr>
        <w:t>The Strategic Housing Land Availability Assessment (SHELAA) is an ongoing assessment of sites undertaken by councils to identify sites that have may potential for residential development.  It helps the council to understand where and when housing could be built in the future.</w:t>
      </w:r>
    </w:p>
    <w:p w14:paraId="460B7B77" w14:textId="77777777" w:rsidR="00843FA4" w:rsidRPr="00843FA4" w:rsidRDefault="00843FA4" w:rsidP="00C75CD3">
      <w:pPr>
        <w:pStyle w:val="ListParagraph"/>
        <w:spacing w:after="0"/>
        <w:ind w:left="567"/>
        <w:rPr>
          <w:rFonts w:ascii="Arial" w:hAnsi="Arial" w:cs="Arial"/>
        </w:rPr>
      </w:pPr>
    </w:p>
    <w:p w14:paraId="5A356110" w14:textId="669C1664" w:rsidR="00B30AC1" w:rsidRDefault="00B30AC1" w:rsidP="00C75CD3">
      <w:pPr>
        <w:pStyle w:val="ListParagraph"/>
        <w:numPr>
          <w:ilvl w:val="1"/>
          <w:numId w:val="9"/>
        </w:numPr>
        <w:spacing w:after="0"/>
        <w:ind w:left="567" w:hanging="567"/>
        <w:rPr>
          <w:rFonts w:ascii="Arial" w:hAnsi="Arial" w:cs="Arial"/>
        </w:rPr>
      </w:pPr>
      <w:r w:rsidRPr="00843FA4">
        <w:rPr>
          <w:rFonts w:ascii="Arial" w:hAnsi="Arial" w:cs="Arial"/>
        </w:rPr>
        <w:t xml:space="preserve">The SHELAA methodology was updated in </w:t>
      </w:r>
      <w:r w:rsidRPr="00C75CD3">
        <w:rPr>
          <w:rFonts w:ascii="Arial" w:hAnsi="Arial" w:cs="Arial"/>
        </w:rPr>
        <w:t>2021</w:t>
      </w:r>
      <w:r w:rsidRPr="00843FA4">
        <w:rPr>
          <w:rFonts w:ascii="Arial" w:hAnsi="Arial" w:cs="Arial"/>
        </w:rPr>
        <w:t xml:space="preserve"> and the individual SHELAA site reports have also been published on the Council’s website.</w:t>
      </w:r>
      <w:r w:rsidR="007534A9">
        <w:rPr>
          <w:rFonts w:ascii="Arial" w:hAnsi="Arial" w:cs="Arial"/>
        </w:rPr>
        <w:t xml:space="preserve"> </w:t>
      </w:r>
      <w:r w:rsidRPr="007534A9">
        <w:rPr>
          <w:rFonts w:ascii="Arial" w:hAnsi="Arial" w:cs="Arial"/>
        </w:rPr>
        <w:t>The SH</w:t>
      </w:r>
      <w:r w:rsidR="00C75CD3">
        <w:rPr>
          <w:rFonts w:ascii="Arial" w:hAnsi="Arial" w:cs="Arial"/>
        </w:rPr>
        <w:t>E</w:t>
      </w:r>
      <w:r w:rsidRPr="007534A9">
        <w:rPr>
          <w:rFonts w:ascii="Arial" w:hAnsi="Arial" w:cs="Arial"/>
        </w:rPr>
        <w:t xml:space="preserve">LAA methodology report focusses on the </w:t>
      </w:r>
      <w:proofErr w:type="gramStart"/>
      <w:r w:rsidRPr="007534A9">
        <w:rPr>
          <w:rFonts w:ascii="Arial" w:hAnsi="Arial" w:cs="Arial"/>
        </w:rPr>
        <w:t>following:-</w:t>
      </w:r>
      <w:proofErr w:type="gramEnd"/>
    </w:p>
    <w:p w14:paraId="3D1D0552" w14:textId="77777777" w:rsidR="00C75CD3" w:rsidRPr="00C75CD3" w:rsidRDefault="00C75CD3" w:rsidP="00C75CD3">
      <w:pPr>
        <w:rPr>
          <w:rFonts w:cs="Arial"/>
        </w:rPr>
      </w:pPr>
    </w:p>
    <w:p w14:paraId="4E53870E" w14:textId="77777777" w:rsidR="00B30AC1" w:rsidRPr="00F237CE" w:rsidRDefault="00B30AC1" w:rsidP="00C75CD3">
      <w:pPr>
        <w:numPr>
          <w:ilvl w:val="0"/>
          <w:numId w:val="2"/>
        </w:numPr>
        <w:spacing w:before="0" w:line="276" w:lineRule="auto"/>
        <w:ind w:left="1134" w:hanging="567"/>
        <w:rPr>
          <w:rFonts w:cs="Arial"/>
        </w:rPr>
      </w:pPr>
      <w:r w:rsidRPr="00F237CE">
        <w:rPr>
          <w:rFonts w:cs="Arial"/>
        </w:rPr>
        <w:t>The identification of site</w:t>
      </w:r>
      <w:r>
        <w:rPr>
          <w:rFonts w:cs="Arial"/>
        </w:rPr>
        <w:t>s</w:t>
      </w:r>
      <w:r w:rsidRPr="00F237CE">
        <w:rPr>
          <w:rFonts w:cs="Arial"/>
        </w:rPr>
        <w:t>/broad locations;</w:t>
      </w:r>
    </w:p>
    <w:p w14:paraId="0506C202" w14:textId="77777777" w:rsidR="007534A9" w:rsidRDefault="00B30AC1" w:rsidP="00C75CD3">
      <w:pPr>
        <w:numPr>
          <w:ilvl w:val="0"/>
          <w:numId w:val="2"/>
        </w:numPr>
        <w:spacing w:before="0" w:line="276" w:lineRule="auto"/>
        <w:ind w:left="1134" w:hanging="567"/>
        <w:rPr>
          <w:rFonts w:cs="Arial"/>
        </w:rPr>
      </w:pPr>
      <w:r w:rsidRPr="00F237CE">
        <w:rPr>
          <w:rFonts w:cs="Arial"/>
        </w:rPr>
        <w:t xml:space="preserve">Assessment of each site/broad location to </w:t>
      </w:r>
      <w:proofErr w:type="gramStart"/>
      <w:r w:rsidRPr="00F237CE">
        <w:rPr>
          <w:rFonts w:cs="Arial"/>
        </w:rPr>
        <w:t>consider:-</w:t>
      </w:r>
      <w:proofErr w:type="gramEnd"/>
    </w:p>
    <w:p w14:paraId="0C318E9B" w14:textId="36C37FB3" w:rsidR="00B30AC1" w:rsidRPr="00FA22F8" w:rsidRDefault="00B30AC1" w:rsidP="00C75CD3">
      <w:pPr>
        <w:numPr>
          <w:ilvl w:val="0"/>
          <w:numId w:val="2"/>
        </w:numPr>
        <w:spacing w:before="0" w:line="276" w:lineRule="auto"/>
        <w:ind w:left="1134" w:hanging="567"/>
        <w:rPr>
          <w:rFonts w:cs="Arial"/>
        </w:rPr>
      </w:pPr>
      <w:r w:rsidRPr="007534A9">
        <w:rPr>
          <w:rFonts w:cs="Arial"/>
        </w:rPr>
        <w:t xml:space="preserve">Establishing whether a site can be considered for future allocation based </w:t>
      </w:r>
      <w:proofErr w:type="gramStart"/>
      <w:r w:rsidRPr="007534A9">
        <w:rPr>
          <w:rFonts w:cs="Arial"/>
        </w:rPr>
        <w:t>on:-</w:t>
      </w:r>
      <w:proofErr w:type="gramEnd"/>
    </w:p>
    <w:p w14:paraId="27B3A40F" w14:textId="77777777" w:rsidR="00FA22F8" w:rsidRPr="00FA22F8" w:rsidRDefault="00B30AC1" w:rsidP="00FA22F8">
      <w:pPr>
        <w:pStyle w:val="ListParagraph"/>
        <w:numPr>
          <w:ilvl w:val="0"/>
          <w:numId w:val="19"/>
        </w:numPr>
        <w:rPr>
          <w:rFonts w:ascii="Arial" w:hAnsi="Arial" w:cs="Arial"/>
        </w:rPr>
      </w:pPr>
      <w:r w:rsidRPr="00FA22F8">
        <w:rPr>
          <w:rFonts w:ascii="Arial" w:hAnsi="Arial" w:cs="Arial"/>
        </w:rPr>
        <w:t>Suitability</w:t>
      </w:r>
    </w:p>
    <w:p w14:paraId="2745AF6A" w14:textId="77777777" w:rsidR="00FA22F8" w:rsidRPr="00FA22F8" w:rsidRDefault="00B30AC1" w:rsidP="00FA22F8">
      <w:pPr>
        <w:pStyle w:val="ListParagraph"/>
        <w:numPr>
          <w:ilvl w:val="0"/>
          <w:numId w:val="19"/>
        </w:numPr>
        <w:rPr>
          <w:rFonts w:ascii="Arial" w:hAnsi="Arial" w:cs="Arial"/>
        </w:rPr>
      </w:pPr>
      <w:r w:rsidRPr="00FA22F8">
        <w:rPr>
          <w:rFonts w:ascii="Arial" w:hAnsi="Arial" w:cs="Arial"/>
        </w:rPr>
        <w:t>Availability</w:t>
      </w:r>
    </w:p>
    <w:p w14:paraId="0EAD8B34" w14:textId="39EBD48B" w:rsidR="00B30AC1" w:rsidRPr="00FA22F8" w:rsidRDefault="00B30AC1" w:rsidP="00FA22F8">
      <w:pPr>
        <w:pStyle w:val="ListParagraph"/>
        <w:numPr>
          <w:ilvl w:val="0"/>
          <w:numId w:val="19"/>
        </w:numPr>
        <w:rPr>
          <w:rFonts w:ascii="Arial" w:hAnsi="Arial" w:cs="Arial"/>
        </w:rPr>
      </w:pPr>
      <w:r w:rsidRPr="00FA22F8">
        <w:rPr>
          <w:rFonts w:ascii="Arial" w:hAnsi="Arial" w:cs="Arial"/>
        </w:rPr>
        <w:t>Achievability</w:t>
      </w:r>
    </w:p>
    <w:p w14:paraId="1CD39125" w14:textId="77777777" w:rsidR="00FA22F8" w:rsidRDefault="00B30AC1" w:rsidP="00FA22F8">
      <w:pPr>
        <w:numPr>
          <w:ilvl w:val="0"/>
          <w:numId w:val="2"/>
        </w:numPr>
        <w:spacing w:before="0" w:line="276" w:lineRule="auto"/>
        <w:rPr>
          <w:rFonts w:cs="Arial"/>
        </w:rPr>
      </w:pPr>
      <w:r w:rsidRPr="00F237CE">
        <w:rPr>
          <w:rFonts w:cs="Arial"/>
        </w:rPr>
        <w:t>Whether identified site constraints can be overcome</w:t>
      </w:r>
    </w:p>
    <w:p w14:paraId="5A100F11" w14:textId="3D345CA9" w:rsidR="00B30AC1" w:rsidRPr="00FA22F8" w:rsidRDefault="00B30AC1" w:rsidP="00FA22F8">
      <w:pPr>
        <w:numPr>
          <w:ilvl w:val="0"/>
          <w:numId w:val="2"/>
        </w:numPr>
        <w:spacing w:before="0" w:line="276" w:lineRule="auto"/>
        <w:rPr>
          <w:rFonts w:cs="Arial"/>
        </w:rPr>
      </w:pPr>
      <w:r w:rsidRPr="00FA22F8">
        <w:rPr>
          <w:rFonts w:cs="Arial"/>
        </w:rPr>
        <w:t xml:space="preserve">Estimating the development potential based </w:t>
      </w:r>
      <w:proofErr w:type="gramStart"/>
      <w:r w:rsidRPr="00FA22F8">
        <w:rPr>
          <w:rFonts w:cs="Arial"/>
        </w:rPr>
        <w:t>on:-</w:t>
      </w:r>
      <w:proofErr w:type="gramEnd"/>
    </w:p>
    <w:p w14:paraId="56836470"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Density.</w:t>
      </w:r>
    </w:p>
    <w:p w14:paraId="7FB27935"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Developable area</w:t>
      </w:r>
    </w:p>
    <w:p w14:paraId="0E74402E"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Responding to site constraints</w:t>
      </w:r>
    </w:p>
    <w:p w14:paraId="352AC39C" w14:textId="3713D236" w:rsidR="00B30AC1" w:rsidRPr="00FA22F8" w:rsidRDefault="00B30AC1" w:rsidP="00FA22F8">
      <w:pPr>
        <w:pStyle w:val="ListParagraph"/>
        <w:numPr>
          <w:ilvl w:val="0"/>
          <w:numId w:val="20"/>
        </w:numPr>
        <w:rPr>
          <w:rFonts w:ascii="Arial" w:hAnsi="Arial" w:cs="Arial"/>
        </w:rPr>
      </w:pPr>
      <w:r w:rsidRPr="00FA22F8">
        <w:rPr>
          <w:rFonts w:ascii="Arial" w:hAnsi="Arial" w:cs="Arial"/>
        </w:rPr>
        <w:t>Lead in times and build out rates</w:t>
      </w:r>
    </w:p>
    <w:p w14:paraId="449F0EBD" w14:textId="77777777" w:rsidR="00B30AC1" w:rsidRPr="00FA22F8" w:rsidRDefault="00B30AC1" w:rsidP="00C75CD3">
      <w:pPr>
        <w:spacing w:before="0" w:line="276" w:lineRule="auto"/>
        <w:rPr>
          <w:rFonts w:cs="Arial"/>
        </w:rPr>
      </w:pPr>
    </w:p>
    <w:p w14:paraId="2505450C" w14:textId="61461F20" w:rsidR="00B30AC1" w:rsidRDefault="00B30AC1" w:rsidP="00C75CD3">
      <w:pPr>
        <w:pStyle w:val="ListParagraph"/>
        <w:numPr>
          <w:ilvl w:val="1"/>
          <w:numId w:val="9"/>
        </w:numPr>
        <w:spacing w:after="0"/>
        <w:ind w:left="567" w:hanging="567"/>
        <w:rPr>
          <w:rFonts w:ascii="Arial" w:hAnsi="Arial" w:cs="Arial"/>
        </w:rPr>
      </w:pPr>
      <w:r w:rsidRPr="00D567A1">
        <w:rPr>
          <w:rFonts w:ascii="Arial" w:hAnsi="Arial" w:cs="Arial"/>
        </w:rPr>
        <w:t>The site assessments enable sustainable site selection from a pool of achievable sites to meet the assessed needs.</w:t>
      </w:r>
    </w:p>
    <w:p w14:paraId="5A24F859" w14:textId="77777777" w:rsidR="00D567A1" w:rsidRPr="00D567A1" w:rsidRDefault="00D567A1" w:rsidP="00C75CD3">
      <w:pPr>
        <w:pStyle w:val="ListParagraph"/>
        <w:spacing w:after="0"/>
        <w:ind w:left="567"/>
        <w:rPr>
          <w:rFonts w:ascii="Arial" w:hAnsi="Arial" w:cs="Arial"/>
        </w:rPr>
      </w:pPr>
    </w:p>
    <w:p w14:paraId="5636B5C6" w14:textId="77777777" w:rsidR="00B30AC1" w:rsidRPr="00D567A1" w:rsidRDefault="00B30AC1" w:rsidP="00C75CD3">
      <w:pPr>
        <w:pStyle w:val="ListParagraph"/>
        <w:numPr>
          <w:ilvl w:val="1"/>
          <w:numId w:val="9"/>
        </w:numPr>
        <w:spacing w:after="0"/>
        <w:ind w:left="567" w:hanging="567"/>
        <w:rPr>
          <w:rFonts w:ascii="Arial" w:hAnsi="Arial" w:cs="Arial"/>
        </w:rPr>
      </w:pPr>
      <w:r w:rsidRPr="00D567A1">
        <w:rPr>
          <w:rFonts w:ascii="Arial" w:hAnsi="Arial" w:cs="Arial"/>
        </w:rPr>
        <w:t>An assessment for potential supply from ‘Windfall’ sites, and also an assessment</w:t>
      </w:r>
      <w:r w:rsidRPr="00D567A1">
        <w:rPr>
          <w:rFonts w:ascii="Arial" w:hAnsi="Arial" w:cs="Arial"/>
          <w:b/>
          <w:bCs/>
        </w:rPr>
        <w:t xml:space="preserve"> </w:t>
      </w:r>
      <w:r w:rsidRPr="00C75CD3">
        <w:rPr>
          <w:rFonts w:ascii="Arial" w:hAnsi="Arial" w:cs="Arial"/>
        </w:rPr>
        <w:t xml:space="preserve">of </w:t>
      </w:r>
      <w:r w:rsidRPr="00D567A1">
        <w:rPr>
          <w:rFonts w:ascii="Arial" w:hAnsi="Arial" w:cs="Arial"/>
        </w:rPr>
        <w:t>non-implementation rates is considered separately in this report.</w:t>
      </w:r>
    </w:p>
    <w:p w14:paraId="3AFABE64" w14:textId="77777777" w:rsidR="00871F59" w:rsidRPr="00D567A1" w:rsidRDefault="00871F59" w:rsidP="00C75CD3">
      <w:pPr>
        <w:keepNext w:val="0"/>
        <w:spacing w:before="0" w:line="276" w:lineRule="auto"/>
        <w:rPr>
          <w:rFonts w:cs="Arial"/>
        </w:rPr>
      </w:pPr>
    </w:p>
    <w:p w14:paraId="61832151" w14:textId="66CB69D4" w:rsidR="00871F59" w:rsidRDefault="009E2C7F" w:rsidP="00FE22F3">
      <w:pPr>
        <w:pStyle w:val="Heading3"/>
      </w:pPr>
      <w:r>
        <w:t>Approach to Windfall Sites</w:t>
      </w:r>
    </w:p>
    <w:p w14:paraId="3249C64A" w14:textId="77777777" w:rsidR="00086B78" w:rsidRDefault="00086B78" w:rsidP="00C75CD3">
      <w:pPr>
        <w:keepNext w:val="0"/>
        <w:spacing w:before="0" w:line="276" w:lineRule="auto"/>
        <w:rPr>
          <w:rFonts w:cs="Arial"/>
        </w:rPr>
      </w:pPr>
    </w:p>
    <w:p w14:paraId="4EEC906A" w14:textId="03D7D55D" w:rsidR="00E74157" w:rsidRPr="00C90190" w:rsidRDefault="00086B78" w:rsidP="00C75CD3">
      <w:pPr>
        <w:pStyle w:val="ListParagraph"/>
        <w:numPr>
          <w:ilvl w:val="1"/>
          <w:numId w:val="9"/>
        </w:numPr>
        <w:spacing w:after="0"/>
        <w:ind w:left="567" w:hanging="567"/>
        <w:rPr>
          <w:rFonts w:ascii="Arial" w:hAnsi="Arial" w:cs="Arial"/>
        </w:rPr>
      </w:pPr>
      <w:r w:rsidRPr="00C90190">
        <w:rPr>
          <w:rFonts w:ascii="Arial" w:hAnsi="Arial" w:cs="Arial"/>
        </w:rPr>
        <w:t xml:space="preserve">Paragraph </w:t>
      </w:r>
      <w:r w:rsidR="00E74157" w:rsidRPr="00C90190">
        <w:rPr>
          <w:rFonts w:ascii="Arial" w:hAnsi="Arial" w:cs="Arial"/>
        </w:rPr>
        <w:t>69</w:t>
      </w:r>
      <w:r w:rsidRPr="00C90190">
        <w:rPr>
          <w:rFonts w:ascii="Arial" w:hAnsi="Arial" w:cs="Arial"/>
        </w:rPr>
        <w:t xml:space="preserve"> of the NPPF</w:t>
      </w:r>
      <w:r w:rsidR="00E74157" w:rsidRPr="00C90190">
        <w:rPr>
          <w:rFonts w:ascii="Arial" w:hAnsi="Arial" w:cs="Arial"/>
        </w:rPr>
        <w:t xml:space="preserve"> emphasises the importance of small and medium sites in meeting an areas housing requirement</w:t>
      </w:r>
      <w:r w:rsidR="00D843D6" w:rsidRPr="00C90190">
        <w:rPr>
          <w:rFonts w:ascii="Arial" w:hAnsi="Arial" w:cs="Arial"/>
        </w:rPr>
        <w:t xml:space="preserve">. It </w:t>
      </w:r>
      <w:r w:rsidR="00E74157" w:rsidRPr="00C90190">
        <w:rPr>
          <w:rFonts w:ascii="Arial" w:hAnsi="Arial" w:cs="Arial"/>
        </w:rPr>
        <w:t>sets out that local planning authorities should</w:t>
      </w:r>
      <w:r w:rsidR="00D843D6" w:rsidRPr="00C90190">
        <w:rPr>
          <w:rFonts w:ascii="Arial" w:hAnsi="Arial" w:cs="Arial"/>
        </w:rPr>
        <w:t xml:space="preserve"> </w:t>
      </w:r>
      <w:r w:rsidR="00E74157" w:rsidRPr="00C90190">
        <w:rPr>
          <w:rFonts w:ascii="Arial" w:hAnsi="Arial" w:cs="Arial"/>
        </w:rPr>
        <w:t>support the development of windfall sites through policies and decisions – giving great weight to the benefits of using suitable sites within existing settlements for homes.</w:t>
      </w:r>
    </w:p>
    <w:p w14:paraId="48B8AA66" w14:textId="77777777" w:rsidR="00E74157" w:rsidRPr="00C90190" w:rsidRDefault="00E74157" w:rsidP="00C75CD3">
      <w:pPr>
        <w:pStyle w:val="ListParagraph"/>
        <w:spacing w:after="0"/>
        <w:ind w:left="567"/>
        <w:rPr>
          <w:rFonts w:ascii="Arial" w:hAnsi="Arial" w:cs="Arial"/>
        </w:rPr>
      </w:pPr>
    </w:p>
    <w:p w14:paraId="4EE7E801" w14:textId="68BFFEA1" w:rsidR="003B66CD" w:rsidRPr="00C90190" w:rsidRDefault="003B66CD" w:rsidP="00C75CD3">
      <w:pPr>
        <w:pStyle w:val="ListParagraph"/>
        <w:numPr>
          <w:ilvl w:val="1"/>
          <w:numId w:val="9"/>
        </w:numPr>
        <w:spacing w:after="0"/>
        <w:ind w:left="567" w:hanging="567"/>
        <w:rPr>
          <w:rFonts w:ascii="Arial" w:hAnsi="Arial" w:cs="Arial"/>
        </w:rPr>
      </w:pPr>
      <w:r w:rsidRPr="00C90190">
        <w:rPr>
          <w:rFonts w:ascii="Arial" w:hAnsi="Arial" w:cs="Arial"/>
        </w:rPr>
        <w:t xml:space="preserve">NPPF paragraph 71 goes on to </w:t>
      </w:r>
      <w:r w:rsidR="00086B78" w:rsidRPr="00C90190">
        <w:rPr>
          <w:rFonts w:ascii="Arial" w:hAnsi="Arial" w:cs="Arial"/>
        </w:rPr>
        <w:t xml:space="preserve">provides that </w:t>
      </w:r>
      <w:r w:rsidRPr="00C90190">
        <w:rPr>
          <w:rFonts w:ascii="Arial" w:hAnsi="Arial" w:cs="Arial"/>
        </w:rPr>
        <w:t xml:space="preserve">where an allowance is to be made for windfall sites as part of anticipated supply, there should be compelling evidence that </w:t>
      </w:r>
      <w:r w:rsidRPr="00C90190">
        <w:rPr>
          <w:rFonts w:ascii="Arial" w:hAnsi="Arial" w:cs="Arial"/>
        </w:rPr>
        <w:lastRenderedPageBreak/>
        <w:t>they will provide a reliable source of supply. Any allowance should be realistic having regard to the strategic housing land availability assessment, historic windfall delivery rates and expected future trends.</w:t>
      </w:r>
      <w:r w:rsidR="00832855" w:rsidRPr="00C90190">
        <w:rPr>
          <w:rFonts w:ascii="Arial" w:hAnsi="Arial" w:cs="Arial"/>
        </w:rPr>
        <w:t xml:space="preserve"> Resisting inappropriate development in residential gardens where development would cause harm to the local area is also encouraged.</w:t>
      </w:r>
    </w:p>
    <w:p w14:paraId="20C01254" w14:textId="77777777" w:rsidR="003B66CD" w:rsidRPr="00C90190" w:rsidRDefault="003B66CD" w:rsidP="00C75CD3">
      <w:pPr>
        <w:pStyle w:val="ListParagraph"/>
        <w:spacing w:after="0"/>
        <w:ind w:left="567"/>
        <w:rPr>
          <w:rFonts w:ascii="Arial" w:hAnsi="Arial" w:cs="Arial"/>
        </w:rPr>
      </w:pPr>
    </w:p>
    <w:p w14:paraId="4F175B6B" w14:textId="67F24BC5" w:rsidR="00086B78"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T</w:t>
      </w:r>
      <w:r w:rsidR="00086B78" w:rsidRPr="00C90190">
        <w:rPr>
          <w:rFonts w:ascii="Arial" w:hAnsi="Arial" w:cs="Arial"/>
        </w:rPr>
        <w:t xml:space="preserve">he NPPF </w:t>
      </w:r>
      <w:r w:rsidRPr="00C90190">
        <w:rPr>
          <w:rFonts w:ascii="Arial" w:hAnsi="Arial" w:cs="Arial"/>
        </w:rPr>
        <w:t>defines Windfall sites</w:t>
      </w:r>
      <w:r w:rsidR="00086B78" w:rsidRPr="00C90190">
        <w:rPr>
          <w:rFonts w:ascii="Arial" w:hAnsi="Arial" w:cs="Arial"/>
        </w:rPr>
        <w:t xml:space="preserve"> as</w:t>
      </w:r>
      <w:r w:rsidRPr="00C90190">
        <w:rPr>
          <w:rFonts w:ascii="Arial" w:hAnsi="Arial" w:cs="Arial"/>
        </w:rPr>
        <w:t xml:space="preserve"> s</w:t>
      </w:r>
      <w:r w:rsidR="00086B78" w:rsidRPr="00C90190">
        <w:rPr>
          <w:rFonts w:ascii="Arial" w:hAnsi="Arial" w:cs="Arial"/>
        </w:rPr>
        <w:t xml:space="preserve">ites which have not been specifically identified as available in the </w:t>
      </w:r>
      <w:r w:rsidRPr="00C90190">
        <w:rPr>
          <w:rFonts w:ascii="Arial" w:hAnsi="Arial" w:cs="Arial"/>
        </w:rPr>
        <w:t xml:space="preserve">development plan. </w:t>
      </w:r>
      <w:r w:rsidR="00086B78" w:rsidRPr="00C90190">
        <w:rPr>
          <w:rFonts w:ascii="Arial" w:hAnsi="Arial" w:cs="Arial"/>
        </w:rPr>
        <w:t>It is assumed therefore that the term ‘windfall’ can refer to sites of all sizes.</w:t>
      </w:r>
    </w:p>
    <w:p w14:paraId="4E1AF921" w14:textId="77777777" w:rsidR="00086B78" w:rsidRPr="00C90190" w:rsidRDefault="00086B78" w:rsidP="00C75CD3">
      <w:pPr>
        <w:pStyle w:val="ListParagraph"/>
        <w:spacing w:after="0"/>
        <w:ind w:left="567"/>
        <w:rPr>
          <w:rFonts w:ascii="Arial" w:hAnsi="Arial" w:cs="Arial"/>
        </w:rPr>
      </w:pPr>
    </w:p>
    <w:p w14:paraId="7EA98F9B" w14:textId="77777777" w:rsidR="00D843D6" w:rsidRPr="00C90190" w:rsidRDefault="00D843D6" w:rsidP="00C75CD3">
      <w:pPr>
        <w:pStyle w:val="ListParagraph"/>
        <w:spacing w:after="0"/>
        <w:ind w:left="567"/>
        <w:rPr>
          <w:rFonts w:ascii="Arial" w:hAnsi="Arial" w:cs="Arial"/>
          <w:u w:val="single"/>
        </w:rPr>
      </w:pPr>
      <w:r w:rsidRPr="00C90190">
        <w:rPr>
          <w:rFonts w:ascii="Arial" w:hAnsi="Arial" w:cs="Arial"/>
          <w:u w:val="single"/>
        </w:rPr>
        <w:t>Large Site Windfalls</w:t>
      </w:r>
    </w:p>
    <w:p w14:paraId="41D9E81D" w14:textId="77777777" w:rsidR="00D843D6" w:rsidRPr="00C90190" w:rsidRDefault="00D843D6" w:rsidP="00C75CD3">
      <w:pPr>
        <w:pStyle w:val="ListParagraph"/>
        <w:spacing w:after="0"/>
        <w:ind w:left="567"/>
        <w:rPr>
          <w:rFonts w:ascii="Arial" w:hAnsi="Arial" w:cs="Arial"/>
        </w:rPr>
      </w:pPr>
    </w:p>
    <w:p w14:paraId="49F71E4D" w14:textId="7042BD1D"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For the purposes of the Local Plan and supporting information, ‘large sites’ refer to those of 10 dwellings and above (in accordance with the NPPF definition of ‘Major</w:t>
      </w:r>
      <w:r w:rsidR="000044D7" w:rsidRPr="00C90190">
        <w:rPr>
          <w:rFonts w:ascii="Arial" w:hAnsi="Arial" w:cs="Arial"/>
        </w:rPr>
        <w:t>’ development)</w:t>
      </w:r>
      <w:r w:rsidRPr="00C90190">
        <w:rPr>
          <w:rFonts w:ascii="Arial" w:hAnsi="Arial" w:cs="Arial"/>
        </w:rPr>
        <w:t xml:space="preserve">. </w:t>
      </w:r>
      <w:r w:rsidR="000044D7" w:rsidRPr="00C90190">
        <w:rPr>
          <w:rFonts w:ascii="Arial" w:hAnsi="Arial" w:cs="Arial"/>
        </w:rPr>
        <w:t>The Council do not consider that there</w:t>
      </w:r>
      <w:r w:rsidRPr="00C90190">
        <w:rPr>
          <w:rFonts w:ascii="Arial" w:hAnsi="Arial" w:cs="Arial"/>
        </w:rPr>
        <w:t xml:space="preserve"> is </w:t>
      </w:r>
      <w:r w:rsidR="000044D7" w:rsidRPr="00C90190">
        <w:rPr>
          <w:rFonts w:ascii="Arial" w:hAnsi="Arial" w:cs="Arial"/>
        </w:rPr>
        <w:t xml:space="preserve">currently </w:t>
      </w:r>
      <w:r w:rsidRPr="00C90190">
        <w:rPr>
          <w:rFonts w:ascii="Arial" w:hAnsi="Arial" w:cs="Arial"/>
        </w:rPr>
        <w:t xml:space="preserve">any justification to make an allowance for large windfall sites as part of the </w:t>
      </w:r>
      <w:r w:rsidR="000044D7" w:rsidRPr="00C90190">
        <w:rPr>
          <w:rFonts w:ascii="Arial" w:hAnsi="Arial" w:cs="Arial"/>
        </w:rPr>
        <w:t xml:space="preserve">future </w:t>
      </w:r>
      <w:r w:rsidRPr="00C90190">
        <w:rPr>
          <w:rFonts w:ascii="Arial" w:hAnsi="Arial" w:cs="Arial"/>
        </w:rPr>
        <w:t>housing supply.</w:t>
      </w:r>
    </w:p>
    <w:p w14:paraId="28524684" w14:textId="77777777" w:rsidR="00D843D6" w:rsidRPr="00C90190" w:rsidRDefault="00D843D6" w:rsidP="00C75CD3">
      <w:pPr>
        <w:pStyle w:val="ListParagraph"/>
        <w:spacing w:after="0"/>
        <w:ind w:left="567"/>
        <w:rPr>
          <w:rFonts w:ascii="Arial" w:hAnsi="Arial" w:cs="Arial"/>
        </w:rPr>
      </w:pPr>
    </w:p>
    <w:p w14:paraId="6EC563D0" w14:textId="35FC65D0"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 xml:space="preserve">The </w:t>
      </w:r>
      <w:r w:rsidR="000044D7" w:rsidRPr="00C90190">
        <w:rPr>
          <w:rFonts w:ascii="Arial" w:hAnsi="Arial" w:cs="Arial"/>
        </w:rPr>
        <w:t>Draft Local Plan include</w:t>
      </w:r>
      <w:r w:rsidR="0033177D" w:rsidRPr="00C90190">
        <w:rPr>
          <w:rFonts w:ascii="Arial" w:hAnsi="Arial" w:cs="Arial"/>
        </w:rPr>
        <w:t>s</w:t>
      </w:r>
      <w:r w:rsidRPr="00C90190">
        <w:rPr>
          <w:rFonts w:ascii="Arial" w:hAnsi="Arial" w:cs="Arial"/>
        </w:rPr>
        <w:t xml:space="preserve"> proposed sites allocated under </w:t>
      </w:r>
      <w:r w:rsidR="00813CFB">
        <w:rPr>
          <w:rFonts w:ascii="Arial" w:hAnsi="Arial" w:cs="Arial"/>
        </w:rPr>
        <w:t>P</w:t>
      </w:r>
      <w:r w:rsidR="0033177D" w:rsidRPr="00C90190">
        <w:rPr>
          <w:rFonts w:ascii="Arial" w:hAnsi="Arial" w:cs="Arial"/>
        </w:rPr>
        <w:t>olicy H1</w:t>
      </w:r>
      <w:r w:rsidRPr="00C90190">
        <w:rPr>
          <w:rFonts w:ascii="Arial" w:hAnsi="Arial" w:cs="Arial"/>
        </w:rPr>
        <w:t xml:space="preserve"> towards future supply.  Those considered to be de</w:t>
      </w:r>
      <w:r w:rsidR="0033177D" w:rsidRPr="00C90190">
        <w:rPr>
          <w:rFonts w:ascii="Arial" w:hAnsi="Arial" w:cs="Arial"/>
        </w:rPr>
        <w:t xml:space="preserve">velopable </w:t>
      </w:r>
      <w:r w:rsidRPr="00C90190">
        <w:rPr>
          <w:rFonts w:ascii="Arial" w:hAnsi="Arial" w:cs="Arial"/>
        </w:rPr>
        <w:t>the period 20</w:t>
      </w:r>
      <w:r w:rsidR="0033177D" w:rsidRPr="00C90190">
        <w:rPr>
          <w:rFonts w:ascii="Arial" w:hAnsi="Arial" w:cs="Arial"/>
        </w:rPr>
        <w:t>2</w:t>
      </w:r>
      <w:r w:rsidR="00813CFB">
        <w:rPr>
          <w:rFonts w:ascii="Arial" w:hAnsi="Arial" w:cs="Arial"/>
        </w:rPr>
        <w:t>3</w:t>
      </w:r>
      <w:r w:rsidRPr="00C90190">
        <w:rPr>
          <w:rFonts w:ascii="Arial" w:hAnsi="Arial" w:cs="Arial"/>
        </w:rPr>
        <w:t xml:space="preserve"> to 20</w:t>
      </w:r>
      <w:r w:rsidR="00813CFB">
        <w:rPr>
          <w:rFonts w:ascii="Arial" w:hAnsi="Arial" w:cs="Arial"/>
        </w:rPr>
        <w:t>40</w:t>
      </w:r>
      <w:r w:rsidRPr="00C90190">
        <w:rPr>
          <w:rFonts w:ascii="Arial" w:hAnsi="Arial" w:cs="Arial"/>
        </w:rPr>
        <w:t xml:space="preserve"> have been counted towards the overall supply, whilst only those deliverable 20</w:t>
      </w:r>
      <w:r w:rsidR="0033177D" w:rsidRPr="00C90190">
        <w:rPr>
          <w:rFonts w:ascii="Arial" w:hAnsi="Arial" w:cs="Arial"/>
        </w:rPr>
        <w:t>2</w:t>
      </w:r>
      <w:r w:rsidR="00813CFB">
        <w:rPr>
          <w:rFonts w:ascii="Arial" w:hAnsi="Arial" w:cs="Arial"/>
        </w:rPr>
        <w:t>5</w:t>
      </w:r>
      <w:r w:rsidRPr="00C90190">
        <w:rPr>
          <w:rFonts w:ascii="Arial" w:hAnsi="Arial" w:cs="Arial"/>
        </w:rPr>
        <w:t xml:space="preserve"> to 20</w:t>
      </w:r>
      <w:r w:rsidR="00813CFB">
        <w:rPr>
          <w:rFonts w:ascii="Arial" w:hAnsi="Arial" w:cs="Arial"/>
        </w:rPr>
        <w:t>30</w:t>
      </w:r>
      <w:r w:rsidRPr="00C90190">
        <w:rPr>
          <w:rFonts w:ascii="Arial" w:hAnsi="Arial" w:cs="Arial"/>
        </w:rPr>
        <w:t xml:space="preserve"> have been counted towards the </w:t>
      </w:r>
      <w:r w:rsidR="00813CFB">
        <w:rPr>
          <w:rFonts w:ascii="Arial" w:hAnsi="Arial" w:cs="Arial"/>
        </w:rPr>
        <w:t xml:space="preserve">Local Plan post adoption </w:t>
      </w:r>
      <w:r w:rsidRPr="00C90190">
        <w:rPr>
          <w:rFonts w:ascii="Arial" w:hAnsi="Arial" w:cs="Arial"/>
        </w:rPr>
        <w:t>5 year supply calculations.</w:t>
      </w:r>
      <w:r w:rsidR="00AF17A4" w:rsidRPr="00C90190">
        <w:rPr>
          <w:rFonts w:ascii="Arial" w:hAnsi="Arial" w:cs="Arial"/>
        </w:rPr>
        <w:t xml:space="preserve"> </w:t>
      </w:r>
      <w:r w:rsidRPr="00C90190">
        <w:rPr>
          <w:rFonts w:ascii="Arial" w:hAnsi="Arial" w:cs="Arial"/>
        </w:rPr>
        <w:t xml:space="preserve">Where available, the anticipated rates of delivery are as provided by the </w:t>
      </w:r>
      <w:r w:rsidR="00AF17A4" w:rsidRPr="00C90190">
        <w:rPr>
          <w:rFonts w:ascii="Arial" w:hAnsi="Arial" w:cs="Arial"/>
        </w:rPr>
        <w:t xml:space="preserve">agent/ </w:t>
      </w:r>
      <w:r w:rsidRPr="00C90190">
        <w:rPr>
          <w:rFonts w:ascii="Arial" w:hAnsi="Arial" w:cs="Arial"/>
        </w:rPr>
        <w:t>developer/</w:t>
      </w:r>
      <w:r w:rsidR="00AF17A4" w:rsidRPr="00C90190">
        <w:rPr>
          <w:rFonts w:ascii="Arial" w:hAnsi="Arial" w:cs="Arial"/>
        </w:rPr>
        <w:t xml:space="preserve"> </w:t>
      </w:r>
      <w:r w:rsidRPr="00C90190">
        <w:rPr>
          <w:rFonts w:ascii="Arial" w:hAnsi="Arial" w:cs="Arial"/>
        </w:rPr>
        <w:t xml:space="preserve">landowner. Where delivery information has not been provided, assumptions have been used (see </w:t>
      </w:r>
      <w:r w:rsidR="00AF17A4" w:rsidRPr="00C90190">
        <w:rPr>
          <w:rFonts w:ascii="Arial" w:hAnsi="Arial" w:cs="Arial"/>
        </w:rPr>
        <w:t xml:space="preserve">paragraph </w:t>
      </w:r>
      <w:r w:rsidR="00813CFB">
        <w:rPr>
          <w:rFonts w:ascii="Arial" w:hAnsi="Arial" w:cs="Arial"/>
        </w:rPr>
        <w:t>6.14</w:t>
      </w:r>
      <w:r w:rsidRPr="00C90190">
        <w:rPr>
          <w:rFonts w:ascii="Arial" w:hAnsi="Arial" w:cs="Arial"/>
        </w:rPr>
        <w:t xml:space="preserve">). </w:t>
      </w:r>
    </w:p>
    <w:p w14:paraId="25931D39" w14:textId="77777777" w:rsidR="00D843D6" w:rsidRPr="00C90190" w:rsidRDefault="00D843D6" w:rsidP="00C75CD3">
      <w:pPr>
        <w:pStyle w:val="ListParagraph"/>
        <w:spacing w:after="0"/>
        <w:ind w:left="567"/>
        <w:rPr>
          <w:rFonts w:ascii="Arial" w:hAnsi="Arial" w:cs="Arial"/>
        </w:rPr>
      </w:pPr>
    </w:p>
    <w:p w14:paraId="56F94450" w14:textId="1096E6AB"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 xml:space="preserve">At present there is no justification to include any additional large site windfall allowance in the </w:t>
      </w:r>
      <w:r w:rsidR="001F7A05" w:rsidRPr="00C90190">
        <w:rPr>
          <w:rFonts w:ascii="Arial" w:hAnsi="Arial" w:cs="Arial"/>
        </w:rPr>
        <w:t>Draft</w:t>
      </w:r>
      <w:r w:rsidRPr="00C90190">
        <w:rPr>
          <w:rFonts w:ascii="Arial" w:hAnsi="Arial" w:cs="Arial"/>
        </w:rPr>
        <w:t xml:space="preserve"> Local Plan since all appropriate large sites </w:t>
      </w:r>
      <w:r w:rsidR="001F7A05" w:rsidRPr="00C90190">
        <w:rPr>
          <w:rFonts w:ascii="Arial" w:hAnsi="Arial" w:cs="Arial"/>
        </w:rPr>
        <w:t xml:space="preserve">which are not contrary to emerging policy </w:t>
      </w:r>
      <w:r w:rsidRPr="00C90190">
        <w:rPr>
          <w:rFonts w:ascii="Arial" w:hAnsi="Arial" w:cs="Arial"/>
        </w:rPr>
        <w:t xml:space="preserve">are </w:t>
      </w:r>
      <w:r w:rsidR="00813CFB">
        <w:rPr>
          <w:rFonts w:ascii="Arial" w:hAnsi="Arial" w:cs="Arial"/>
        </w:rPr>
        <w:t>anticipated</w:t>
      </w:r>
      <w:r w:rsidRPr="00C90190">
        <w:rPr>
          <w:rFonts w:ascii="Arial" w:hAnsi="Arial" w:cs="Arial"/>
        </w:rPr>
        <w:t xml:space="preserve"> to have been picked up through the site selection process. This approach avoids the risk of over-estimating future supply from large sites. It is reasonable to expect large</w:t>
      </w:r>
      <w:r w:rsidR="001F7A05" w:rsidRPr="00C90190">
        <w:rPr>
          <w:rFonts w:ascii="Arial" w:hAnsi="Arial" w:cs="Arial"/>
        </w:rPr>
        <w:t xml:space="preserve"> </w:t>
      </w:r>
      <w:r w:rsidRPr="00C90190">
        <w:rPr>
          <w:rFonts w:ascii="Arial" w:hAnsi="Arial" w:cs="Arial"/>
        </w:rPr>
        <w:t xml:space="preserve">windfall sites </w:t>
      </w:r>
      <w:r w:rsidR="001F7A05" w:rsidRPr="00C90190">
        <w:rPr>
          <w:rFonts w:ascii="Arial" w:hAnsi="Arial" w:cs="Arial"/>
        </w:rPr>
        <w:t>may</w:t>
      </w:r>
      <w:r w:rsidRPr="00C90190">
        <w:rPr>
          <w:rFonts w:ascii="Arial" w:hAnsi="Arial" w:cs="Arial"/>
        </w:rPr>
        <w:t xml:space="preserve"> come forward in future </w:t>
      </w:r>
      <w:r w:rsidR="00813CFB">
        <w:rPr>
          <w:rFonts w:ascii="Arial" w:hAnsi="Arial" w:cs="Arial"/>
        </w:rPr>
        <w:t>and</w:t>
      </w:r>
      <w:r w:rsidRPr="00C90190">
        <w:rPr>
          <w:rFonts w:ascii="Arial" w:hAnsi="Arial" w:cs="Arial"/>
        </w:rPr>
        <w:t xml:space="preserve"> these will be </w:t>
      </w:r>
      <w:r w:rsidR="001F7A05" w:rsidRPr="00C90190">
        <w:rPr>
          <w:rFonts w:ascii="Arial" w:hAnsi="Arial" w:cs="Arial"/>
        </w:rPr>
        <w:t xml:space="preserve">monitored </w:t>
      </w:r>
      <w:r w:rsidR="00813CFB">
        <w:rPr>
          <w:rFonts w:ascii="Arial" w:hAnsi="Arial" w:cs="Arial"/>
        </w:rPr>
        <w:t>and count towards supply at that time.</w:t>
      </w:r>
    </w:p>
    <w:p w14:paraId="0491C740" w14:textId="77777777" w:rsidR="00B651E0" w:rsidRPr="00C90190" w:rsidRDefault="00B651E0" w:rsidP="00C75CD3">
      <w:pPr>
        <w:spacing w:before="0" w:line="276" w:lineRule="auto"/>
        <w:rPr>
          <w:rFonts w:cs="Arial"/>
        </w:rPr>
      </w:pPr>
    </w:p>
    <w:p w14:paraId="10C05D94" w14:textId="77777777" w:rsidR="00B651E0" w:rsidRPr="00C90190" w:rsidRDefault="00B651E0" w:rsidP="00C75CD3">
      <w:pPr>
        <w:pStyle w:val="ListParagraph"/>
        <w:spacing w:after="0"/>
        <w:ind w:left="567"/>
        <w:rPr>
          <w:rFonts w:ascii="Arial" w:hAnsi="Arial" w:cs="Arial"/>
          <w:u w:val="single"/>
        </w:rPr>
      </w:pPr>
      <w:r w:rsidRPr="00C90190">
        <w:rPr>
          <w:rFonts w:ascii="Arial" w:hAnsi="Arial" w:cs="Arial"/>
          <w:u w:val="single"/>
        </w:rPr>
        <w:t>Small Site Windfalls</w:t>
      </w:r>
    </w:p>
    <w:p w14:paraId="0523839C" w14:textId="77777777" w:rsidR="00B651E0" w:rsidRPr="00C90190" w:rsidRDefault="00B651E0" w:rsidP="00C75CD3">
      <w:pPr>
        <w:pStyle w:val="ListParagraph"/>
        <w:spacing w:after="0"/>
        <w:ind w:left="567"/>
        <w:rPr>
          <w:rFonts w:ascii="Arial" w:hAnsi="Arial" w:cs="Arial"/>
        </w:rPr>
      </w:pPr>
    </w:p>
    <w:p w14:paraId="7ACB496C" w14:textId="64F0FC8F" w:rsidR="001F7A05" w:rsidRPr="00C90190" w:rsidRDefault="00B651E0" w:rsidP="00C75CD3">
      <w:pPr>
        <w:pStyle w:val="ListParagraph"/>
        <w:numPr>
          <w:ilvl w:val="1"/>
          <w:numId w:val="9"/>
        </w:numPr>
        <w:spacing w:after="0"/>
        <w:ind w:left="567" w:hanging="567"/>
        <w:rPr>
          <w:rFonts w:ascii="Arial" w:hAnsi="Arial" w:cs="Arial"/>
          <w:b/>
          <w:color w:val="auto"/>
        </w:rPr>
      </w:pPr>
      <w:r w:rsidRPr="00C90190">
        <w:rPr>
          <w:rFonts w:ascii="Arial" w:hAnsi="Arial" w:cs="Arial"/>
        </w:rPr>
        <w:t xml:space="preserve">For the purposes of the Local Plan and supporting information, ‘small sites’ refer to those with a yield below 10 </w:t>
      </w:r>
      <w:r w:rsidR="001D74D6" w:rsidRPr="00C90190">
        <w:rPr>
          <w:rFonts w:ascii="Arial" w:hAnsi="Arial" w:cs="Arial"/>
        </w:rPr>
        <w:t>dwellings and</w:t>
      </w:r>
      <w:r w:rsidRPr="00C90190">
        <w:rPr>
          <w:rFonts w:ascii="Arial" w:hAnsi="Arial" w:cs="Arial"/>
        </w:rPr>
        <w:t xml:space="preserve"> will generally be considered as windfalls since the Local Plan does not allocate sites below this threshold. Although the SHELAA does </w:t>
      </w:r>
      <w:r w:rsidR="0052177C" w:rsidRPr="00C90190">
        <w:rPr>
          <w:rFonts w:ascii="Arial" w:hAnsi="Arial" w:cs="Arial"/>
        </w:rPr>
        <w:t xml:space="preserve">not </w:t>
      </w:r>
      <w:r w:rsidRPr="00C90190">
        <w:rPr>
          <w:rFonts w:ascii="Arial" w:hAnsi="Arial" w:cs="Arial"/>
        </w:rPr>
        <w:t xml:space="preserve">have a </w:t>
      </w:r>
      <w:r w:rsidR="0052177C" w:rsidRPr="00C90190">
        <w:rPr>
          <w:rFonts w:ascii="Arial" w:hAnsi="Arial" w:cs="Arial"/>
        </w:rPr>
        <w:t>site size</w:t>
      </w:r>
      <w:r w:rsidRPr="00C90190">
        <w:rPr>
          <w:rFonts w:ascii="Arial" w:hAnsi="Arial" w:cs="Arial"/>
        </w:rPr>
        <w:t xml:space="preserve"> threshold</w:t>
      </w:r>
      <w:r w:rsidRPr="00C90190">
        <w:rPr>
          <w:rFonts w:ascii="Arial" w:hAnsi="Arial" w:cs="Arial"/>
          <w:color w:val="auto"/>
        </w:rPr>
        <w:t xml:space="preserve">, few small sites have been submitted for assessment and those deemed deliverable are negligible – these have not been counted as contributing towards future supply. It is therefore considered appropriate to project forward past trends in small site delivery to help establish a windfall rate. This approach ensures that no ‘double </w:t>
      </w:r>
      <w:proofErr w:type="gramStart"/>
      <w:r w:rsidR="00A63507" w:rsidRPr="00C90190">
        <w:rPr>
          <w:rFonts w:ascii="Arial" w:hAnsi="Arial" w:cs="Arial"/>
          <w:color w:val="auto"/>
        </w:rPr>
        <w:t>counting‘</w:t>
      </w:r>
      <w:r w:rsidR="00A63507">
        <w:rPr>
          <w:rFonts w:ascii="Arial" w:hAnsi="Arial" w:cs="Arial"/>
          <w:color w:val="auto"/>
        </w:rPr>
        <w:t xml:space="preserve"> </w:t>
      </w:r>
      <w:r w:rsidR="00A63507" w:rsidRPr="00C90190">
        <w:rPr>
          <w:rFonts w:ascii="Arial" w:hAnsi="Arial" w:cs="Arial"/>
          <w:color w:val="auto"/>
        </w:rPr>
        <w:t>will</w:t>
      </w:r>
      <w:proofErr w:type="gramEnd"/>
      <w:r w:rsidRPr="00C90190">
        <w:rPr>
          <w:rFonts w:ascii="Arial" w:hAnsi="Arial" w:cs="Arial"/>
          <w:color w:val="auto"/>
        </w:rPr>
        <w:t xml:space="preserve"> occur.</w:t>
      </w:r>
    </w:p>
    <w:p w14:paraId="7E954F6C" w14:textId="77777777" w:rsidR="005800CE" w:rsidRPr="00AC577D" w:rsidRDefault="005800CE" w:rsidP="005800CE">
      <w:pPr>
        <w:keepNext w:val="0"/>
        <w:spacing w:before="0"/>
        <w:rPr>
          <w:rFonts w:cs="Arial"/>
          <w:b/>
          <w:color w:val="auto"/>
        </w:rPr>
      </w:pPr>
    </w:p>
    <w:p w14:paraId="168F26F1" w14:textId="10FDFB75" w:rsidR="005800CE" w:rsidRPr="005800CE" w:rsidRDefault="005800CE" w:rsidP="00C75CD3">
      <w:pPr>
        <w:keepNext w:val="0"/>
        <w:spacing w:before="0"/>
        <w:ind w:left="142" w:firstLine="425"/>
        <w:rPr>
          <w:rFonts w:cs="Arial"/>
          <w:bCs/>
          <w:color w:val="auto"/>
          <w:u w:val="single"/>
        </w:rPr>
      </w:pPr>
      <w:r w:rsidRPr="005800CE">
        <w:rPr>
          <w:rFonts w:cs="Arial"/>
          <w:bCs/>
          <w:color w:val="auto"/>
          <w:u w:val="single"/>
        </w:rPr>
        <w:lastRenderedPageBreak/>
        <w:t>Estimating a Future Windfall Allowance for Small Sites</w:t>
      </w:r>
    </w:p>
    <w:p w14:paraId="52546C0D" w14:textId="77777777" w:rsidR="00E00C6E" w:rsidRPr="00D843D6" w:rsidRDefault="00E00C6E" w:rsidP="00C75CD3">
      <w:pPr>
        <w:keepNext w:val="0"/>
        <w:spacing w:before="0"/>
        <w:rPr>
          <w:rFonts w:cs="Arial"/>
          <w:b/>
          <w:color w:val="auto"/>
        </w:rPr>
      </w:pPr>
    </w:p>
    <w:p w14:paraId="6D8727D0" w14:textId="6ACB257C" w:rsidR="00086B78" w:rsidRPr="00AC577D" w:rsidRDefault="005800CE" w:rsidP="00C75CD3">
      <w:pPr>
        <w:pStyle w:val="ListParagraph"/>
        <w:numPr>
          <w:ilvl w:val="1"/>
          <w:numId w:val="9"/>
        </w:numPr>
        <w:spacing w:after="0"/>
        <w:ind w:left="567" w:hanging="567"/>
        <w:rPr>
          <w:rFonts w:ascii="Arial" w:hAnsi="Arial" w:cs="Arial"/>
          <w:color w:val="auto"/>
        </w:rPr>
      </w:pPr>
      <w:r w:rsidRPr="00AC577D">
        <w:rPr>
          <w:rFonts w:ascii="Arial" w:hAnsi="Arial" w:cs="Arial"/>
          <w:color w:val="auto"/>
        </w:rPr>
        <w:t xml:space="preserve">For the purposes of projecting forward past trends in housing delivery it is appropriate to look back over a longer period in order to take account of the peaks and troughs of the housing market cycle. </w:t>
      </w:r>
      <w:r w:rsidR="00086B78" w:rsidRPr="00AC577D">
        <w:rPr>
          <w:rFonts w:ascii="Arial" w:hAnsi="Arial" w:cs="Arial"/>
          <w:bCs/>
          <w:color w:val="auto"/>
        </w:rPr>
        <w:t>Between the years 20</w:t>
      </w:r>
      <w:r w:rsidR="00F562CD" w:rsidRPr="00AC577D">
        <w:rPr>
          <w:rFonts w:ascii="Arial" w:hAnsi="Arial" w:cs="Arial"/>
          <w:bCs/>
          <w:color w:val="auto"/>
        </w:rPr>
        <w:t>11</w:t>
      </w:r>
      <w:r w:rsidR="00086B78" w:rsidRPr="00AC577D">
        <w:rPr>
          <w:rFonts w:ascii="Arial" w:hAnsi="Arial" w:cs="Arial"/>
          <w:bCs/>
          <w:color w:val="auto"/>
        </w:rPr>
        <w:t xml:space="preserve"> to 20</w:t>
      </w:r>
      <w:r w:rsidR="00F562CD" w:rsidRPr="00AC577D">
        <w:rPr>
          <w:rFonts w:ascii="Arial" w:hAnsi="Arial" w:cs="Arial"/>
          <w:bCs/>
          <w:color w:val="auto"/>
        </w:rPr>
        <w:t>21</w:t>
      </w:r>
      <w:r w:rsidR="00086B78" w:rsidRPr="00AC577D">
        <w:rPr>
          <w:rFonts w:ascii="Arial" w:hAnsi="Arial" w:cs="Arial"/>
          <w:bCs/>
          <w:color w:val="auto"/>
        </w:rPr>
        <w:t xml:space="preserve"> a total of 7</w:t>
      </w:r>
      <w:r w:rsidR="00F562CD" w:rsidRPr="00AC577D">
        <w:rPr>
          <w:rFonts w:ascii="Arial" w:hAnsi="Arial" w:cs="Arial"/>
          <w:bCs/>
          <w:color w:val="auto"/>
        </w:rPr>
        <w:t>27</w:t>
      </w:r>
      <w:r w:rsidR="00086B78" w:rsidRPr="00AC577D">
        <w:rPr>
          <w:rFonts w:ascii="Arial" w:hAnsi="Arial" w:cs="Arial"/>
          <w:bCs/>
          <w:color w:val="auto"/>
        </w:rPr>
        <w:t xml:space="preserve"> dwellings were delivered on small sites, including new build, conversions and change of use. This equates to an average rate of 7</w:t>
      </w:r>
      <w:r w:rsidR="00F562CD" w:rsidRPr="00AC577D">
        <w:rPr>
          <w:rFonts w:ascii="Arial" w:hAnsi="Arial" w:cs="Arial"/>
          <w:bCs/>
          <w:color w:val="auto"/>
        </w:rPr>
        <w:t>3</w:t>
      </w:r>
      <w:r w:rsidR="00086B78" w:rsidRPr="00AC577D">
        <w:rPr>
          <w:rFonts w:ascii="Arial" w:hAnsi="Arial" w:cs="Arial"/>
          <w:bCs/>
          <w:color w:val="auto"/>
        </w:rPr>
        <w:t xml:space="preserve"> dwellings per annum (dpa).</w:t>
      </w:r>
    </w:p>
    <w:p w14:paraId="127325E5" w14:textId="77777777" w:rsidR="00C75CD3" w:rsidRDefault="00C75CD3" w:rsidP="00C33CA3">
      <w:pPr>
        <w:keepNext w:val="0"/>
        <w:spacing w:before="0"/>
        <w:ind w:firstLine="567"/>
        <w:rPr>
          <w:rFonts w:cs="Arial"/>
          <w:b/>
          <w:bCs/>
          <w:color w:val="000000"/>
          <w:szCs w:val="24"/>
        </w:rPr>
      </w:pPr>
    </w:p>
    <w:p w14:paraId="750F4262" w14:textId="43EDBCDC" w:rsidR="00086B78" w:rsidRDefault="00C33CA3" w:rsidP="00C33CA3">
      <w:pPr>
        <w:keepNext w:val="0"/>
        <w:spacing w:before="0"/>
        <w:ind w:firstLine="567"/>
        <w:rPr>
          <w:rFonts w:cs="Arial"/>
          <w:b/>
          <w:bCs/>
          <w:color w:val="000000"/>
          <w:szCs w:val="24"/>
        </w:rPr>
      </w:pPr>
      <w:r w:rsidRPr="00ED340A">
        <w:rPr>
          <w:rFonts w:cs="Arial"/>
          <w:b/>
          <w:bCs/>
          <w:color w:val="000000"/>
          <w:szCs w:val="24"/>
        </w:rPr>
        <w:t>Table 1: Small Housing Site completions 2011-2021</w:t>
      </w:r>
    </w:p>
    <w:p w14:paraId="6E86F52D" w14:textId="77777777" w:rsidR="00C33CA3" w:rsidRPr="00C33CA3" w:rsidRDefault="00C33CA3" w:rsidP="00C33CA3">
      <w:pPr>
        <w:keepNext w:val="0"/>
        <w:spacing w:before="0"/>
        <w:ind w:firstLine="567"/>
        <w:rPr>
          <w:rFonts w:cs="Arial"/>
          <w:color w:val="auto"/>
        </w:rPr>
      </w:pPr>
    </w:p>
    <w:tbl>
      <w:tblPr>
        <w:tblStyle w:val="ReportTable1"/>
        <w:tblW w:w="8931" w:type="dxa"/>
        <w:tblInd w:w="349" w:type="dxa"/>
        <w:tblLook w:val="04A0" w:firstRow="1" w:lastRow="0" w:firstColumn="1" w:lastColumn="0" w:noHBand="0" w:noVBand="1"/>
      </w:tblPr>
      <w:tblGrid>
        <w:gridCol w:w="2263"/>
        <w:gridCol w:w="960"/>
        <w:gridCol w:w="2058"/>
        <w:gridCol w:w="2121"/>
        <w:gridCol w:w="1529"/>
      </w:tblGrid>
      <w:tr w:rsidR="00ED340A" w:rsidRPr="00ED340A" w14:paraId="45A8A17F" w14:textId="77777777" w:rsidTr="001D74D6">
        <w:trPr>
          <w:trHeight w:val="1320"/>
        </w:trPr>
        <w:tc>
          <w:tcPr>
            <w:tcW w:w="2263" w:type="dxa"/>
            <w:hideMark/>
          </w:tcPr>
          <w:p w14:paraId="1584B224" w14:textId="77777777" w:rsidR="00ED340A" w:rsidRPr="00ED340A" w:rsidRDefault="00ED340A" w:rsidP="00ED340A">
            <w:pPr>
              <w:keepNext w:val="0"/>
              <w:spacing w:before="0"/>
              <w:rPr>
                <w:rFonts w:cs="Arial"/>
                <w:color w:val="auto"/>
                <w:szCs w:val="24"/>
              </w:rPr>
            </w:pPr>
            <w:r w:rsidRPr="00ED340A">
              <w:rPr>
                <w:rFonts w:cs="Arial"/>
                <w:color w:val="auto"/>
                <w:szCs w:val="24"/>
              </w:rPr>
              <w:t>Year (1st April - 31st March)</w:t>
            </w:r>
          </w:p>
        </w:tc>
        <w:tc>
          <w:tcPr>
            <w:tcW w:w="960" w:type="dxa"/>
            <w:hideMark/>
          </w:tcPr>
          <w:p w14:paraId="1EB2DBE2" w14:textId="77777777" w:rsidR="00ED340A" w:rsidRPr="00ED340A" w:rsidRDefault="00ED340A" w:rsidP="00ED340A">
            <w:pPr>
              <w:keepNext w:val="0"/>
              <w:spacing w:before="0"/>
              <w:rPr>
                <w:rFonts w:cs="Arial"/>
                <w:color w:val="auto"/>
                <w:szCs w:val="24"/>
              </w:rPr>
            </w:pPr>
            <w:r w:rsidRPr="00ED340A">
              <w:rPr>
                <w:rFonts w:cs="Arial"/>
                <w:color w:val="auto"/>
                <w:szCs w:val="24"/>
              </w:rPr>
              <w:t>New Build</w:t>
            </w:r>
          </w:p>
        </w:tc>
        <w:tc>
          <w:tcPr>
            <w:tcW w:w="2058" w:type="dxa"/>
            <w:hideMark/>
          </w:tcPr>
          <w:p w14:paraId="4EAA278C" w14:textId="77777777" w:rsidR="00ED340A" w:rsidRPr="00ED340A" w:rsidRDefault="00ED340A" w:rsidP="00ED340A">
            <w:pPr>
              <w:keepNext w:val="0"/>
              <w:spacing w:before="0"/>
              <w:rPr>
                <w:rFonts w:cs="Arial"/>
                <w:color w:val="auto"/>
                <w:szCs w:val="24"/>
              </w:rPr>
            </w:pPr>
            <w:r w:rsidRPr="00ED340A">
              <w:rPr>
                <w:rFonts w:cs="Arial"/>
                <w:color w:val="auto"/>
                <w:szCs w:val="24"/>
              </w:rPr>
              <w:t>Net Additions through Conversion/          Change of Use</w:t>
            </w:r>
          </w:p>
        </w:tc>
        <w:tc>
          <w:tcPr>
            <w:tcW w:w="2121" w:type="dxa"/>
            <w:hideMark/>
          </w:tcPr>
          <w:p w14:paraId="70BBF368" w14:textId="77777777" w:rsidR="00ED340A" w:rsidRPr="00ED340A" w:rsidRDefault="00ED340A" w:rsidP="00ED340A">
            <w:pPr>
              <w:keepNext w:val="0"/>
              <w:spacing w:before="0"/>
              <w:rPr>
                <w:rFonts w:cs="Arial"/>
                <w:color w:val="auto"/>
                <w:szCs w:val="24"/>
              </w:rPr>
            </w:pPr>
            <w:r w:rsidRPr="00ED340A">
              <w:rPr>
                <w:rFonts w:cs="Arial"/>
                <w:color w:val="auto"/>
                <w:szCs w:val="24"/>
              </w:rPr>
              <w:t>Net additions through Permitted Development</w:t>
            </w:r>
          </w:p>
        </w:tc>
        <w:tc>
          <w:tcPr>
            <w:tcW w:w="1529" w:type="dxa"/>
            <w:hideMark/>
          </w:tcPr>
          <w:p w14:paraId="7575DCE8" w14:textId="77777777" w:rsidR="00ED340A" w:rsidRPr="00ED340A" w:rsidRDefault="00ED340A" w:rsidP="00ED340A">
            <w:pPr>
              <w:keepNext w:val="0"/>
              <w:spacing w:before="0"/>
              <w:rPr>
                <w:rFonts w:cs="Arial"/>
                <w:color w:val="000000"/>
                <w:szCs w:val="24"/>
              </w:rPr>
            </w:pPr>
            <w:r w:rsidRPr="00ED340A">
              <w:rPr>
                <w:rFonts w:cs="Arial"/>
                <w:color w:val="000000"/>
                <w:szCs w:val="24"/>
              </w:rPr>
              <w:t>Total Dwellings</w:t>
            </w:r>
          </w:p>
        </w:tc>
      </w:tr>
      <w:tr w:rsidR="00ED340A" w:rsidRPr="00ED340A" w14:paraId="33584113" w14:textId="77777777" w:rsidTr="001D74D6">
        <w:trPr>
          <w:trHeight w:val="310"/>
        </w:trPr>
        <w:tc>
          <w:tcPr>
            <w:tcW w:w="2263" w:type="dxa"/>
            <w:noWrap/>
            <w:hideMark/>
          </w:tcPr>
          <w:p w14:paraId="714870A8" w14:textId="77777777" w:rsidR="00ED340A" w:rsidRPr="00ED340A" w:rsidRDefault="00ED340A" w:rsidP="00ED340A">
            <w:pPr>
              <w:keepNext w:val="0"/>
              <w:spacing w:before="0"/>
              <w:rPr>
                <w:rFonts w:cs="Arial"/>
                <w:color w:val="000000"/>
                <w:szCs w:val="24"/>
              </w:rPr>
            </w:pPr>
            <w:r w:rsidRPr="00ED340A">
              <w:rPr>
                <w:rFonts w:cs="Arial"/>
                <w:color w:val="000000"/>
                <w:szCs w:val="24"/>
              </w:rPr>
              <w:t>2011 - 2012</w:t>
            </w:r>
          </w:p>
        </w:tc>
        <w:tc>
          <w:tcPr>
            <w:tcW w:w="960" w:type="dxa"/>
            <w:noWrap/>
            <w:hideMark/>
          </w:tcPr>
          <w:p w14:paraId="0316CFF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43</w:t>
            </w:r>
          </w:p>
        </w:tc>
        <w:tc>
          <w:tcPr>
            <w:tcW w:w="2058" w:type="dxa"/>
            <w:noWrap/>
            <w:hideMark/>
          </w:tcPr>
          <w:p w14:paraId="1D354F8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15</w:t>
            </w:r>
          </w:p>
        </w:tc>
        <w:tc>
          <w:tcPr>
            <w:tcW w:w="2121" w:type="dxa"/>
            <w:noWrap/>
            <w:hideMark/>
          </w:tcPr>
          <w:p w14:paraId="21381615"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7FB3E4A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58</w:t>
            </w:r>
          </w:p>
        </w:tc>
      </w:tr>
      <w:tr w:rsidR="00ED340A" w:rsidRPr="00ED340A" w14:paraId="0E0DADB0" w14:textId="77777777" w:rsidTr="001D74D6">
        <w:trPr>
          <w:trHeight w:val="310"/>
        </w:trPr>
        <w:tc>
          <w:tcPr>
            <w:tcW w:w="2263" w:type="dxa"/>
            <w:noWrap/>
            <w:hideMark/>
          </w:tcPr>
          <w:p w14:paraId="5BC53E5B" w14:textId="77777777" w:rsidR="00ED340A" w:rsidRPr="00ED340A" w:rsidRDefault="00ED340A" w:rsidP="00ED340A">
            <w:pPr>
              <w:keepNext w:val="0"/>
              <w:spacing w:before="0"/>
              <w:rPr>
                <w:rFonts w:cs="Arial"/>
                <w:color w:val="000000"/>
                <w:szCs w:val="24"/>
              </w:rPr>
            </w:pPr>
            <w:r w:rsidRPr="00ED340A">
              <w:rPr>
                <w:rFonts w:cs="Arial"/>
                <w:color w:val="000000"/>
                <w:szCs w:val="24"/>
              </w:rPr>
              <w:t>2012 - 2013</w:t>
            </w:r>
          </w:p>
        </w:tc>
        <w:tc>
          <w:tcPr>
            <w:tcW w:w="960" w:type="dxa"/>
            <w:noWrap/>
            <w:hideMark/>
          </w:tcPr>
          <w:p w14:paraId="38F61BB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37</w:t>
            </w:r>
          </w:p>
        </w:tc>
        <w:tc>
          <w:tcPr>
            <w:tcW w:w="2058" w:type="dxa"/>
            <w:noWrap/>
            <w:hideMark/>
          </w:tcPr>
          <w:p w14:paraId="5491786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13</w:t>
            </w:r>
          </w:p>
        </w:tc>
        <w:tc>
          <w:tcPr>
            <w:tcW w:w="2121" w:type="dxa"/>
            <w:noWrap/>
            <w:hideMark/>
          </w:tcPr>
          <w:p w14:paraId="6BC58B4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147CAD3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50</w:t>
            </w:r>
          </w:p>
        </w:tc>
      </w:tr>
      <w:tr w:rsidR="00ED340A" w:rsidRPr="00ED340A" w14:paraId="0B53A25D" w14:textId="77777777" w:rsidTr="001D74D6">
        <w:trPr>
          <w:trHeight w:val="310"/>
        </w:trPr>
        <w:tc>
          <w:tcPr>
            <w:tcW w:w="2263" w:type="dxa"/>
            <w:noWrap/>
            <w:hideMark/>
          </w:tcPr>
          <w:p w14:paraId="3DCCEDD6" w14:textId="77777777" w:rsidR="00ED340A" w:rsidRPr="00ED340A" w:rsidRDefault="00ED340A" w:rsidP="00ED340A">
            <w:pPr>
              <w:keepNext w:val="0"/>
              <w:spacing w:before="0"/>
              <w:rPr>
                <w:rFonts w:cs="Arial"/>
                <w:color w:val="000000"/>
                <w:szCs w:val="24"/>
              </w:rPr>
            </w:pPr>
            <w:r w:rsidRPr="00ED340A">
              <w:rPr>
                <w:rFonts w:cs="Arial"/>
                <w:color w:val="000000"/>
                <w:szCs w:val="24"/>
              </w:rPr>
              <w:t>2013 - 2014</w:t>
            </w:r>
          </w:p>
        </w:tc>
        <w:tc>
          <w:tcPr>
            <w:tcW w:w="960" w:type="dxa"/>
            <w:noWrap/>
            <w:hideMark/>
          </w:tcPr>
          <w:p w14:paraId="79CD0DB8"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34</w:t>
            </w:r>
          </w:p>
        </w:tc>
        <w:tc>
          <w:tcPr>
            <w:tcW w:w="2058" w:type="dxa"/>
            <w:noWrap/>
            <w:hideMark/>
          </w:tcPr>
          <w:p w14:paraId="4A944A0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17</w:t>
            </w:r>
          </w:p>
        </w:tc>
        <w:tc>
          <w:tcPr>
            <w:tcW w:w="2121" w:type="dxa"/>
            <w:noWrap/>
            <w:hideMark/>
          </w:tcPr>
          <w:p w14:paraId="35E89D8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37EFF34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51</w:t>
            </w:r>
          </w:p>
        </w:tc>
      </w:tr>
      <w:tr w:rsidR="00ED340A" w:rsidRPr="00ED340A" w14:paraId="570405B3" w14:textId="77777777" w:rsidTr="001D74D6">
        <w:trPr>
          <w:trHeight w:val="310"/>
        </w:trPr>
        <w:tc>
          <w:tcPr>
            <w:tcW w:w="2263" w:type="dxa"/>
            <w:noWrap/>
            <w:hideMark/>
          </w:tcPr>
          <w:p w14:paraId="22888189" w14:textId="77777777" w:rsidR="00ED340A" w:rsidRPr="00ED340A" w:rsidRDefault="00ED340A" w:rsidP="00ED340A">
            <w:pPr>
              <w:keepNext w:val="0"/>
              <w:spacing w:before="0"/>
              <w:rPr>
                <w:rFonts w:cs="Arial"/>
                <w:color w:val="000000"/>
                <w:szCs w:val="24"/>
              </w:rPr>
            </w:pPr>
            <w:r w:rsidRPr="00ED340A">
              <w:rPr>
                <w:rFonts w:cs="Arial"/>
                <w:color w:val="000000"/>
                <w:szCs w:val="24"/>
              </w:rPr>
              <w:t>2014 - 2015</w:t>
            </w:r>
          </w:p>
        </w:tc>
        <w:tc>
          <w:tcPr>
            <w:tcW w:w="960" w:type="dxa"/>
            <w:noWrap/>
            <w:hideMark/>
          </w:tcPr>
          <w:p w14:paraId="69DE1DA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41</w:t>
            </w:r>
          </w:p>
        </w:tc>
        <w:tc>
          <w:tcPr>
            <w:tcW w:w="2058" w:type="dxa"/>
            <w:noWrap/>
            <w:hideMark/>
          </w:tcPr>
          <w:p w14:paraId="0923F14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19</w:t>
            </w:r>
          </w:p>
        </w:tc>
        <w:tc>
          <w:tcPr>
            <w:tcW w:w="2121" w:type="dxa"/>
            <w:noWrap/>
            <w:hideMark/>
          </w:tcPr>
          <w:p w14:paraId="42EAE17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47D87B6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60</w:t>
            </w:r>
          </w:p>
        </w:tc>
      </w:tr>
      <w:tr w:rsidR="00ED340A" w:rsidRPr="00ED340A" w14:paraId="0E98121F" w14:textId="77777777" w:rsidTr="001D74D6">
        <w:trPr>
          <w:trHeight w:val="310"/>
        </w:trPr>
        <w:tc>
          <w:tcPr>
            <w:tcW w:w="2263" w:type="dxa"/>
            <w:noWrap/>
            <w:hideMark/>
          </w:tcPr>
          <w:p w14:paraId="505B7C98" w14:textId="77777777" w:rsidR="00ED340A" w:rsidRPr="00ED340A" w:rsidRDefault="00ED340A" w:rsidP="00ED340A">
            <w:pPr>
              <w:keepNext w:val="0"/>
              <w:spacing w:before="0"/>
              <w:rPr>
                <w:rFonts w:cs="Arial"/>
                <w:color w:val="000000"/>
                <w:szCs w:val="24"/>
              </w:rPr>
            </w:pPr>
            <w:r w:rsidRPr="00ED340A">
              <w:rPr>
                <w:rFonts w:cs="Arial"/>
                <w:color w:val="000000"/>
                <w:szCs w:val="24"/>
              </w:rPr>
              <w:t>2015 - 2016</w:t>
            </w:r>
          </w:p>
        </w:tc>
        <w:tc>
          <w:tcPr>
            <w:tcW w:w="960" w:type="dxa"/>
            <w:noWrap/>
            <w:hideMark/>
          </w:tcPr>
          <w:p w14:paraId="60C7A18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103</w:t>
            </w:r>
          </w:p>
        </w:tc>
        <w:tc>
          <w:tcPr>
            <w:tcW w:w="2058" w:type="dxa"/>
            <w:noWrap/>
            <w:hideMark/>
          </w:tcPr>
          <w:p w14:paraId="658C3E09"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23</w:t>
            </w:r>
          </w:p>
        </w:tc>
        <w:tc>
          <w:tcPr>
            <w:tcW w:w="2121" w:type="dxa"/>
            <w:noWrap/>
            <w:hideMark/>
          </w:tcPr>
          <w:p w14:paraId="5034CD7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14BC15A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126</w:t>
            </w:r>
          </w:p>
        </w:tc>
      </w:tr>
      <w:tr w:rsidR="00ED340A" w:rsidRPr="00ED340A" w14:paraId="001F4840" w14:textId="77777777" w:rsidTr="001D74D6">
        <w:trPr>
          <w:trHeight w:val="310"/>
        </w:trPr>
        <w:tc>
          <w:tcPr>
            <w:tcW w:w="2263" w:type="dxa"/>
            <w:noWrap/>
            <w:hideMark/>
          </w:tcPr>
          <w:p w14:paraId="7AFBF04C" w14:textId="77777777" w:rsidR="00ED340A" w:rsidRPr="00ED340A" w:rsidRDefault="00ED340A" w:rsidP="00ED340A">
            <w:pPr>
              <w:keepNext w:val="0"/>
              <w:spacing w:before="0"/>
              <w:rPr>
                <w:rFonts w:cs="Arial"/>
                <w:color w:val="000000"/>
                <w:szCs w:val="24"/>
              </w:rPr>
            </w:pPr>
            <w:r w:rsidRPr="00ED340A">
              <w:rPr>
                <w:rFonts w:cs="Arial"/>
                <w:color w:val="000000"/>
                <w:szCs w:val="24"/>
              </w:rPr>
              <w:t>2016 - 2017</w:t>
            </w:r>
          </w:p>
        </w:tc>
        <w:tc>
          <w:tcPr>
            <w:tcW w:w="960" w:type="dxa"/>
            <w:noWrap/>
            <w:hideMark/>
          </w:tcPr>
          <w:p w14:paraId="2E3E86E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57</w:t>
            </w:r>
          </w:p>
        </w:tc>
        <w:tc>
          <w:tcPr>
            <w:tcW w:w="2058" w:type="dxa"/>
            <w:noWrap/>
            <w:hideMark/>
          </w:tcPr>
          <w:p w14:paraId="2FCAFA8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34</w:t>
            </w:r>
          </w:p>
        </w:tc>
        <w:tc>
          <w:tcPr>
            <w:tcW w:w="2121" w:type="dxa"/>
            <w:noWrap/>
            <w:hideMark/>
          </w:tcPr>
          <w:p w14:paraId="18FAE5D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6C5125A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91</w:t>
            </w:r>
          </w:p>
        </w:tc>
      </w:tr>
      <w:tr w:rsidR="00ED340A" w:rsidRPr="00ED340A" w14:paraId="74B4817F" w14:textId="77777777" w:rsidTr="001D74D6">
        <w:trPr>
          <w:trHeight w:val="310"/>
        </w:trPr>
        <w:tc>
          <w:tcPr>
            <w:tcW w:w="2263" w:type="dxa"/>
            <w:noWrap/>
            <w:hideMark/>
          </w:tcPr>
          <w:p w14:paraId="4B237007" w14:textId="77777777" w:rsidR="00ED340A" w:rsidRPr="00ED340A" w:rsidRDefault="00ED340A" w:rsidP="00ED340A">
            <w:pPr>
              <w:keepNext w:val="0"/>
              <w:spacing w:before="0"/>
              <w:rPr>
                <w:rFonts w:cs="Arial"/>
                <w:color w:val="000000"/>
                <w:szCs w:val="24"/>
              </w:rPr>
            </w:pPr>
            <w:r w:rsidRPr="00ED340A">
              <w:rPr>
                <w:rFonts w:cs="Arial"/>
                <w:color w:val="000000"/>
                <w:szCs w:val="24"/>
              </w:rPr>
              <w:t>2017 - 2018</w:t>
            </w:r>
          </w:p>
        </w:tc>
        <w:tc>
          <w:tcPr>
            <w:tcW w:w="960" w:type="dxa"/>
            <w:noWrap/>
            <w:hideMark/>
          </w:tcPr>
          <w:p w14:paraId="298D9FE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35</w:t>
            </w:r>
          </w:p>
        </w:tc>
        <w:tc>
          <w:tcPr>
            <w:tcW w:w="2058" w:type="dxa"/>
            <w:noWrap/>
            <w:hideMark/>
          </w:tcPr>
          <w:p w14:paraId="393C1D3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48</w:t>
            </w:r>
          </w:p>
        </w:tc>
        <w:tc>
          <w:tcPr>
            <w:tcW w:w="2121" w:type="dxa"/>
            <w:noWrap/>
            <w:hideMark/>
          </w:tcPr>
          <w:p w14:paraId="523A691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w:t>
            </w:r>
          </w:p>
        </w:tc>
        <w:tc>
          <w:tcPr>
            <w:tcW w:w="1529" w:type="dxa"/>
            <w:noWrap/>
            <w:hideMark/>
          </w:tcPr>
          <w:p w14:paraId="25DEF04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87</w:t>
            </w:r>
          </w:p>
        </w:tc>
      </w:tr>
      <w:tr w:rsidR="00ED340A" w:rsidRPr="00ED340A" w14:paraId="0398599D" w14:textId="77777777" w:rsidTr="001D74D6">
        <w:trPr>
          <w:trHeight w:val="310"/>
        </w:trPr>
        <w:tc>
          <w:tcPr>
            <w:tcW w:w="2263" w:type="dxa"/>
            <w:noWrap/>
            <w:hideMark/>
          </w:tcPr>
          <w:p w14:paraId="4BD8DDB2" w14:textId="77777777" w:rsidR="00ED340A" w:rsidRPr="00ED340A" w:rsidRDefault="00ED340A" w:rsidP="00ED340A">
            <w:pPr>
              <w:keepNext w:val="0"/>
              <w:spacing w:before="0"/>
              <w:rPr>
                <w:rFonts w:cs="Arial"/>
                <w:color w:val="000000"/>
                <w:szCs w:val="24"/>
              </w:rPr>
            </w:pPr>
            <w:r w:rsidRPr="00ED340A">
              <w:rPr>
                <w:rFonts w:cs="Arial"/>
                <w:color w:val="000000"/>
                <w:szCs w:val="24"/>
              </w:rPr>
              <w:t>2018 - 2019</w:t>
            </w:r>
          </w:p>
        </w:tc>
        <w:tc>
          <w:tcPr>
            <w:tcW w:w="960" w:type="dxa"/>
            <w:noWrap/>
            <w:hideMark/>
          </w:tcPr>
          <w:p w14:paraId="59BDD98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63</w:t>
            </w:r>
          </w:p>
        </w:tc>
        <w:tc>
          <w:tcPr>
            <w:tcW w:w="2058" w:type="dxa"/>
            <w:noWrap/>
            <w:hideMark/>
          </w:tcPr>
          <w:p w14:paraId="634F883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28</w:t>
            </w:r>
          </w:p>
        </w:tc>
        <w:tc>
          <w:tcPr>
            <w:tcW w:w="2121" w:type="dxa"/>
            <w:noWrap/>
            <w:hideMark/>
          </w:tcPr>
          <w:p w14:paraId="7D292381"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w:t>
            </w:r>
          </w:p>
        </w:tc>
        <w:tc>
          <w:tcPr>
            <w:tcW w:w="1529" w:type="dxa"/>
            <w:noWrap/>
            <w:hideMark/>
          </w:tcPr>
          <w:p w14:paraId="2E440C4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96</w:t>
            </w:r>
          </w:p>
        </w:tc>
      </w:tr>
      <w:tr w:rsidR="00ED340A" w:rsidRPr="00ED340A" w14:paraId="3E16F0E1" w14:textId="77777777" w:rsidTr="001D74D6">
        <w:trPr>
          <w:trHeight w:val="310"/>
        </w:trPr>
        <w:tc>
          <w:tcPr>
            <w:tcW w:w="2263" w:type="dxa"/>
            <w:noWrap/>
            <w:hideMark/>
          </w:tcPr>
          <w:p w14:paraId="06B290A3" w14:textId="77777777" w:rsidR="00ED340A" w:rsidRPr="00ED340A" w:rsidRDefault="00ED340A" w:rsidP="00ED340A">
            <w:pPr>
              <w:keepNext w:val="0"/>
              <w:spacing w:before="0"/>
              <w:rPr>
                <w:rFonts w:cs="Arial"/>
                <w:color w:val="000000"/>
                <w:szCs w:val="24"/>
              </w:rPr>
            </w:pPr>
            <w:r w:rsidRPr="00ED340A">
              <w:rPr>
                <w:rFonts w:cs="Arial"/>
                <w:color w:val="000000"/>
                <w:szCs w:val="24"/>
              </w:rPr>
              <w:t>2019 - 2020</w:t>
            </w:r>
          </w:p>
        </w:tc>
        <w:tc>
          <w:tcPr>
            <w:tcW w:w="960" w:type="dxa"/>
            <w:noWrap/>
            <w:hideMark/>
          </w:tcPr>
          <w:p w14:paraId="0B63845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39</w:t>
            </w:r>
          </w:p>
        </w:tc>
        <w:tc>
          <w:tcPr>
            <w:tcW w:w="2058" w:type="dxa"/>
            <w:noWrap/>
            <w:hideMark/>
          </w:tcPr>
          <w:p w14:paraId="03D82618"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w:t>
            </w:r>
          </w:p>
        </w:tc>
        <w:tc>
          <w:tcPr>
            <w:tcW w:w="2121" w:type="dxa"/>
            <w:noWrap/>
            <w:hideMark/>
          </w:tcPr>
          <w:p w14:paraId="163A143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w:t>
            </w:r>
          </w:p>
        </w:tc>
        <w:tc>
          <w:tcPr>
            <w:tcW w:w="1529" w:type="dxa"/>
            <w:noWrap/>
            <w:hideMark/>
          </w:tcPr>
          <w:p w14:paraId="4D25CC2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50</w:t>
            </w:r>
          </w:p>
        </w:tc>
      </w:tr>
      <w:tr w:rsidR="00ED340A" w:rsidRPr="00ED340A" w14:paraId="7B0C7DE9" w14:textId="77777777" w:rsidTr="001D74D6">
        <w:trPr>
          <w:trHeight w:val="310"/>
        </w:trPr>
        <w:tc>
          <w:tcPr>
            <w:tcW w:w="2263" w:type="dxa"/>
            <w:noWrap/>
            <w:hideMark/>
          </w:tcPr>
          <w:p w14:paraId="1123BE5C" w14:textId="77777777" w:rsidR="00ED340A" w:rsidRPr="00ED340A" w:rsidRDefault="00ED340A" w:rsidP="00ED340A">
            <w:pPr>
              <w:keepNext w:val="0"/>
              <w:spacing w:before="0"/>
              <w:rPr>
                <w:rFonts w:cs="Arial"/>
                <w:color w:val="000000"/>
                <w:szCs w:val="24"/>
              </w:rPr>
            </w:pPr>
            <w:r w:rsidRPr="00ED340A">
              <w:rPr>
                <w:rFonts w:cs="Arial"/>
                <w:color w:val="000000"/>
                <w:szCs w:val="24"/>
              </w:rPr>
              <w:t>2020 - 2021</w:t>
            </w:r>
          </w:p>
        </w:tc>
        <w:tc>
          <w:tcPr>
            <w:tcW w:w="960" w:type="dxa"/>
            <w:noWrap/>
            <w:hideMark/>
          </w:tcPr>
          <w:p w14:paraId="234A820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27</w:t>
            </w:r>
          </w:p>
        </w:tc>
        <w:tc>
          <w:tcPr>
            <w:tcW w:w="2058" w:type="dxa"/>
            <w:noWrap/>
            <w:hideMark/>
          </w:tcPr>
          <w:p w14:paraId="7C6A04C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23</w:t>
            </w:r>
          </w:p>
        </w:tc>
        <w:tc>
          <w:tcPr>
            <w:tcW w:w="2121" w:type="dxa"/>
            <w:noWrap/>
            <w:hideMark/>
          </w:tcPr>
          <w:p w14:paraId="0A462AC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8</w:t>
            </w:r>
          </w:p>
        </w:tc>
        <w:tc>
          <w:tcPr>
            <w:tcW w:w="1529" w:type="dxa"/>
            <w:noWrap/>
            <w:hideMark/>
          </w:tcPr>
          <w:p w14:paraId="40E3B7B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58</w:t>
            </w:r>
          </w:p>
        </w:tc>
      </w:tr>
      <w:tr w:rsidR="00ED340A" w:rsidRPr="00ED340A" w14:paraId="2E4BA564" w14:textId="77777777" w:rsidTr="001D74D6">
        <w:trPr>
          <w:trHeight w:val="420"/>
        </w:trPr>
        <w:tc>
          <w:tcPr>
            <w:tcW w:w="2263" w:type="dxa"/>
            <w:noWrap/>
            <w:hideMark/>
          </w:tcPr>
          <w:p w14:paraId="294752F3" w14:textId="77777777" w:rsidR="00ED340A" w:rsidRPr="00ED340A" w:rsidRDefault="00ED340A" w:rsidP="00ED340A">
            <w:pPr>
              <w:keepNext w:val="0"/>
              <w:spacing w:before="0"/>
              <w:rPr>
                <w:rFonts w:cs="Arial"/>
                <w:b/>
                <w:bCs/>
                <w:color w:val="000000"/>
                <w:szCs w:val="24"/>
              </w:rPr>
            </w:pPr>
            <w:r w:rsidRPr="00ED340A">
              <w:rPr>
                <w:rFonts w:cs="Arial"/>
                <w:b/>
                <w:bCs/>
                <w:color w:val="000000"/>
                <w:szCs w:val="24"/>
              </w:rPr>
              <w:t>2011 to 2021</w:t>
            </w:r>
          </w:p>
        </w:tc>
        <w:tc>
          <w:tcPr>
            <w:tcW w:w="960" w:type="dxa"/>
            <w:noWrap/>
            <w:hideMark/>
          </w:tcPr>
          <w:p w14:paraId="3045FF22"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479</w:t>
            </w:r>
          </w:p>
        </w:tc>
        <w:tc>
          <w:tcPr>
            <w:tcW w:w="2058" w:type="dxa"/>
            <w:noWrap/>
            <w:hideMark/>
          </w:tcPr>
          <w:p w14:paraId="08598070"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229</w:t>
            </w:r>
          </w:p>
        </w:tc>
        <w:tc>
          <w:tcPr>
            <w:tcW w:w="2121" w:type="dxa"/>
            <w:noWrap/>
            <w:hideMark/>
          </w:tcPr>
          <w:p w14:paraId="6CA10E4B"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19</w:t>
            </w:r>
          </w:p>
        </w:tc>
        <w:tc>
          <w:tcPr>
            <w:tcW w:w="1529" w:type="dxa"/>
            <w:noWrap/>
            <w:hideMark/>
          </w:tcPr>
          <w:p w14:paraId="79AE49A1"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727</w:t>
            </w:r>
          </w:p>
        </w:tc>
      </w:tr>
      <w:tr w:rsidR="00ED340A" w:rsidRPr="00ED340A" w14:paraId="24DE48E5" w14:textId="77777777" w:rsidTr="001D74D6">
        <w:trPr>
          <w:trHeight w:val="490"/>
        </w:trPr>
        <w:tc>
          <w:tcPr>
            <w:tcW w:w="2263" w:type="dxa"/>
            <w:noWrap/>
            <w:hideMark/>
          </w:tcPr>
          <w:p w14:paraId="2714C991" w14:textId="77777777" w:rsidR="00ED340A" w:rsidRPr="00ED340A" w:rsidRDefault="00ED340A" w:rsidP="00ED340A">
            <w:pPr>
              <w:keepNext w:val="0"/>
              <w:spacing w:before="0"/>
              <w:rPr>
                <w:rFonts w:cs="Arial"/>
                <w:b/>
                <w:bCs/>
                <w:color w:val="000000"/>
                <w:szCs w:val="24"/>
              </w:rPr>
            </w:pPr>
            <w:r w:rsidRPr="00ED340A">
              <w:rPr>
                <w:rFonts w:cs="Arial"/>
                <w:b/>
                <w:bCs/>
                <w:color w:val="000000"/>
                <w:szCs w:val="24"/>
              </w:rPr>
              <w:t xml:space="preserve">Average per year </w:t>
            </w:r>
          </w:p>
        </w:tc>
        <w:tc>
          <w:tcPr>
            <w:tcW w:w="960" w:type="dxa"/>
            <w:noWrap/>
            <w:hideMark/>
          </w:tcPr>
          <w:p w14:paraId="63858A27"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47.9</w:t>
            </w:r>
          </w:p>
        </w:tc>
        <w:tc>
          <w:tcPr>
            <w:tcW w:w="2058" w:type="dxa"/>
            <w:noWrap/>
            <w:hideMark/>
          </w:tcPr>
          <w:p w14:paraId="1511E924"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22.9</w:t>
            </w:r>
          </w:p>
        </w:tc>
        <w:tc>
          <w:tcPr>
            <w:tcW w:w="2121" w:type="dxa"/>
            <w:noWrap/>
            <w:hideMark/>
          </w:tcPr>
          <w:p w14:paraId="6B29BDED"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1.9</w:t>
            </w:r>
          </w:p>
        </w:tc>
        <w:tc>
          <w:tcPr>
            <w:tcW w:w="1529" w:type="dxa"/>
            <w:noWrap/>
            <w:hideMark/>
          </w:tcPr>
          <w:p w14:paraId="3B68219D"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72.7</w:t>
            </w:r>
          </w:p>
        </w:tc>
      </w:tr>
    </w:tbl>
    <w:p w14:paraId="775CBE72" w14:textId="77777777" w:rsidR="00086B78" w:rsidRPr="002B2015" w:rsidRDefault="00086B78" w:rsidP="00086B78">
      <w:pPr>
        <w:keepNext w:val="0"/>
        <w:spacing w:before="0"/>
        <w:rPr>
          <w:rFonts w:cs="Arial"/>
          <w:color w:val="auto"/>
        </w:rPr>
      </w:pPr>
    </w:p>
    <w:p w14:paraId="66834D7B" w14:textId="77777777" w:rsidR="00086B78" w:rsidRPr="002B2015" w:rsidRDefault="00086B78" w:rsidP="00D23E4E">
      <w:pPr>
        <w:keepNext w:val="0"/>
        <w:spacing w:before="0"/>
        <w:rPr>
          <w:rFonts w:cs="Arial"/>
          <w:color w:val="auto"/>
        </w:rPr>
      </w:pPr>
    </w:p>
    <w:p w14:paraId="7C3DCAE8" w14:textId="0E1F9A44" w:rsidR="00086B78" w:rsidRPr="00AC548D" w:rsidRDefault="00C22F5D"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As set out </w:t>
      </w:r>
      <w:r w:rsidR="005800CE" w:rsidRPr="00AC548D">
        <w:rPr>
          <w:rFonts w:ascii="Arial" w:hAnsi="Arial" w:cs="Arial"/>
          <w:color w:val="auto"/>
        </w:rPr>
        <w:t xml:space="preserve">in paragraph </w:t>
      </w:r>
      <w:r w:rsidR="00D23E4E">
        <w:rPr>
          <w:rFonts w:ascii="Arial" w:hAnsi="Arial" w:cs="Arial"/>
          <w:color w:val="auto"/>
        </w:rPr>
        <w:t>71</w:t>
      </w:r>
      <w:r w:rsidRPr="00AC548D">
        <w:rPr>
          <w:rFonts w:ascii="Arial" w:hAnsi="Arial" w:cs="Arial"/>
          <w:color w:val="auto"/>
        </w:rPr>
        <w:t>, t</w:t>
      </w:r>
      <w:r w:rsidR="00086B78" w:rsidRPr="00AC548D">
        <w:rPr>
          <w:rFonts w:ascii="Arial" w:hAnsi="Arial" w:cs="Arial"/>
          <w:color w:val="auto"/>
        </w:rPr>
        <w:t xml:space="preserve">he NPPF specifically refers to </w:t>
      </w:r>
      <w:r w:rsidRPr="00AC548D">
        <w:rPr>
          <w:rFonts w:ascii="Arial" w:hAnsi="Arial" w:cs="Arial"/>
          <w:color w:val="auto"/>
        </w:rPr>
        <w:t>resisting inappropriate development in residential gardens and is less restrictive than the previous iteration of the NPPF in this respect</w:t>
      </w:r>
      <w:r w:rsidR="00086B78" w:rsidRPr="00AC548D">
        <w:rPr>
          <w:rFonts w:ascii="Arial" w:hAnsi="Arial" w:cs="Arial"/>
          <w:color w:val="auto"/>
        </w:rPr>
        <w:t xml:space="preserve"> </w:t>
      </w:r>
      <w:r w:rsidRPr="00AC548D">
        <w:rPr>
          <w:rFonts w:ascii="Arial" w:hAnsi="Arial" w:cs="Arial"/>
          <w:color w:val="auto"/>
        </w:rPr>
        <w:t xml:space="preserve">(which excluded </w:t>
      </w:r>
      <w:r w:rsidR="00086B78" w:rsidRPr="00AC548D">
        <w:rPr>
          <w:rFonts w:ascii="Arial" w:hAnsi="Arial" w:cs="Arial"/>
          <w:color w:val="auto"/>
        </w:rPr>
        <w:t>residential gardens</w:t>
      </w:r>
      <w:r w:rsidRPr="00AC548D">
        <w:rPr>
          <w:rFonts w:ascii="Arial" w:hAnsi="Arial" w:cs="Arial"/>
          <w:color w:val="auto"/>
        </w:rPr>
        <w:t>)</w:t>
      </w:r>
      <w:r w:rsidR="00086B78" w:rsidRPr="00AC548D">
        <w:rPr>
          <w:rFonts w:ascii="Arial" w:hAnsi="Arial" w:cs="Arial"/>
          <w:color w:val="auto"/>
        </w:rPr>
        <w:t>. Gardens were re-classified as ‘Greenfield’ from ‘Previously Developed Land’ (PDL/Brownfield) for planning purposes as of 9th June 2010 through a revised version of PPS3</w:t>
      </w:r>
      <w:r w:rsidR="009215A2" w:rsidRPr="00AC548D">
        <w:rPr>
          <w:rFonts w:ascii="Arial" w:hAnsi="Arial" w:cs="Arial"/>
          <w:color w:val="auto"/>
        </w:rPr>
        <w:t xml:space="preserve"> and d</w:t>
      </w:r>
      <w:r w:rsidR="00086B78" w:rsidRPr="00AC548D">
        <w:rPr>
          <w:rFonts w:ascii="Arial" w:hAnsi="Arial" w:cs="Arial"/>
          <w:color w:val="auto"/>
        </w:rPr>
        <w:t>evelopment on garden land has therefore been monitored from this date. Data for the period 201</w:t>
      </w:r>
      <w:r w:rsidR="0048768B" w:rsidRPr="00AC548D">
        <w:rPr>
          <w:rFonts w:ascii="Arial" w:hAnsi="Arial" w:cs="Arial"/>
          <w:color w:val="auto"/>
        </w:rPr>
        <w:t>1</w:t>
      </w:r>
      <w:r w:rsidR="00086B78" w:rsidRPr="00AC548D">
        <w:rPr>
          <w:rFonts w:ascii="Arial" w:hAnsi="Arial" w:cs="Arial"/>
          <w:color w:val="auto"/>
        </w:rPr>
        <w:t xml:space="preserve"> to 20</w:t>
      </w:r>
      <w:r w:rsidR="0048768B" w:rsidRPr="00AC548D">
        <w:rPr>
          <w:rFonts w:ascii="Arial" w:hAnsi="Arial" w:cs="Arial"/>
          <w:color w:val="auto"/>
        </w:rPr>
        <w:t>21</w:t>
      </w:r>
      <w:r w:rsidR="00086B78" w:rsidRPr="00AC548D">
        <w:rPr>
          <w:rFonts w:ascii="Arial" w:hAnsi="Arial" w:cs="Arial"/>
          <w:color w:val="auto"/>
        </w:rPr>
        <w:t xml:space="preserve"> shows that a total of </w:t>
      </w:r>
      <w:r w:rsidR="0048768B" w:rsidRPr="00AC548D">
        <w:rPr>
          <w:rFonts w:ascii="Arial" w:hAnsi="Arial" w:cs="Arial"/>
          <w:color w:val="auto"/>
        </w:rPr>
        <w:t>132</w:t>
      </w:r>
      <w:r w:rsidR="009215A2" w:rsidRPr="00AC548D">
        <w:rPr>
          <w:rFonts w:ascii="Arial" w:hAnsi="Arial" w:cs="Arial"/>
          <w:color w:val="auto"/>
        </w:rPr>
        <w:t>, or an average of 13.2 per annum</w:t>
      </w:r>
      <w:r w:rsidR="00086B78" w:rsidRPr="00AC548D">
        <w:rPr>
          <w:rFonts w:ascii="Arial" w:hAnsi="Arial" w:cs="Arial"/>
          <w:color w:val="auto"/>
        </w:rPr>
        <w:t xml:space="preserve"> dwellings were completed on small sites on garden land. </w:t>
      </w:r>
    </w:p>
    <w:p w14:paraId="2BB9DC99" w14:textId="1450984D" w:rsidR="009215A2" w:rsidRPr="00AC548D" w:rsidRDefault="009215A2" w:rsidP="00D23E4E">
      <w:pPr>
        <w:pStyle w:val="ListParagraph"/>
        <w:spacing w:after="0"/>
        <w:ind w:left="567"/>
        <w:rPr>
          <w:rFonts w:ascii="Arial" w:hAnsi="Arial" w:cs="Arial"/>
          <w:color w:val="auto"/>
        </w:rPr>
      </w:pPr>
    </w:p>
    <w:p w14:paraId="72EF76B8" w14:textId="07A62260" w:rsidR="009215A2" w:rsidRPr="00AC548D" w:rsidRDefault="009215A2"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Taking a cautious approach to future provision from this source, it is considered reasonable to subtract the </w:t>
      </w:r>
      <w:r w:rsidR="005800CE" w:rsidRPr="00AC548D">
        <w:rPr>
          <w:rFonts w:ascii="Arial" w:hAnsi="Arial" w:cs="Arial"/>
          <w:color w:val="auto"/>
        </w:rPr>
        <w:t xml:space="preserve">number of homes developed on residential land (albeit accepting there may be appropriate schemes of this nature which come forward in any event).  This would give an annual average of 60 dwellings per annum </w:t>
      </w:r>
      <w:r w:rsidR="00BC0D75" w:rsidRPr="00AC548D">
        <w:rPr>
          <w:rFonts w:ascii="Arial" w:hAnsi="Arial" w:cs="Arial"/>
          <w:color w:val="auto"/>
        </w:rPr>
        <w:t xml:space="preserve">(dpa) </w:t>
      </w:r>
      <w:r w:rsidR="005800CE" w:rsidRPr="00AC548D">
        <w:rPr>
          <w:rFonts w:ascii="Arial" w:hAnsi="Arial" w:cs="Arial"/>
          <w:color w:val="auto"/>
        </w:rPr>
        <w:t>from small site windfalls.</w:t>
      </w:r>
    </w:p>
    <w:p w14:paraId="699E1A6B" w14:textId="77777777" w:rsidR="00086B78" w:rsidRPr="00AC548D" w:rsidRDefault="00086B78" w:rsidP="00D23E4E">
      <w:pPr>
        <w:pStyle w:val="ListParagraph"/>
        <w:spacing w:after="0"/>
        <w:ind w:left="567"/>
        <w:rPr>
          <w:rFonts w:ascii="Arial" w:hAnsi="Arial" w:cs="Arial"/>
          <w:color w:val="auto"/>
        </w:rPr>
      </w:pPr>
    </w:p>
    <w:p w14:paraId="76745CC0" w14:textId="28385DA3" w:rsidR="00C11F5E" w:rsidRDefault="00086B78"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The </w:t>
      </w:r>
      <w:r w:rsidR="00863C7D" w:rsidRPr="00AC548D">
        <w:rPr>
          <w:rFonts w:ascii="Arial" w:hAnsi="Arial" w:cs="Arial"/>
          <w:color w:val="auto"/>
        </w:rPr>
        <w:t>Draft</w:t>
      </w:r>
      <w:r w:rsidRPr="00AC548D">
        <w:rPr>
          <w:rFonts w:ascii="Arial" w:hAnsi="Arial" w:cs="Arial"/>
          <w:color w:val="auto"/>
        </w:rPr>
        <w:t xml:space="preserve"> Local Plan includes </w:t>
      </w:r>
      <w:r w:rsidR="00BC0D75" w:rsidRPr="00AC548D">
        <w:rPr>
          <w:rFonts w:ascii="Arial" w:hAnsi="Arial" w:cs="Arial"/>
          <w:color w:val="auto"/>
        </w:rPr>
        <w:t xml:space="preserve">a future </w:t>
      </w:r>
      <w:r w:rsidRPr="00AC548D">
        <w:rPr>
          <w:rFonts w:ascii="Arial" w:hAnsi="Arial" w:cs="Arial"/>
          <w:color w:val="auto"/>
        </w:rPr>
        <w:t xml:space="preserve">supply from small site planning permissions which amount to </w:t>
      </w:r>
      <w:r w:rsidR="00BC0D75" w:rsidRPr="00AC548D">
        <w:rPr>
          <w:rFonts w:ascii="Arial" w:hAnsi="Arial" w:cs="Arial"/>
          <w:color w:val="auto"/>
        </w:rPr>
        <w:t xml:space="preserve">some </w:t>
      </w:r>
      <w:r w:rsidR="00C11F5E">
        <w:rPr>
          <w:rFonts w:ascii="Arial" w:hAnsi="Arial" w:cs="Arial"/>
          <w:color w:val="auto"/>
        </w:rPr>
        <w:t>262</w:t>
      </w:r>
      <w:r w:rsidRPr="00AC548D">
        <w:rPr>
          <w:rFonts w:ascii="Arial" w:hAnsi="Arial" w:cs="Arial"/>
          <w:color w:val="auto"/>
        </w:rPr>
        <w:t xml:space="preserve"> dwellings as of 1st April 20</w:t>
      </w:r>
      <w:r w:rsidR="00863C7D" w:rsidRPr="00AC548D">
        <w:rPr>
          <w:rFonts w:ascii="Arial" w:hAnsi="Arial" w:cs="Arial"/>
          <w:color w:val="auto"/>
        </w:rPr>
        <w:t>2</w:t>
      </w:r>
      <w:r w:rsidR="00C11F5E">
        <w:rPr>
          <w:rFonts w:ascii="Arial" w:hAnsi="Arial" w:cs="Arial"/>
          <w:color w:val="auto"/>
        </w:rPr>
        <w:t>3</w:t>
      </w:r>
      <w:r w:rsidR="00BC0D75" w:rsidRPr="00AC548D">
        <w:rPr>
          <w:rFonts w:ascii="Arial" w:hAnsi="Arial" w:cs="Arial"/>
          <w:color w:val="auto"/>
        </w:rPr>
        <w:t>, after the deduction of a non-implementation rate</w:t>
      </w:r>
      <w:r w:rsidRPr="00AC548D">
        <w:rPr>
          <w:rFonts w:ascii="Arial" w:hAnsi="Arial" w:cs="Arial"/>
          <w:color w:val="auto"/>
        </w:rPr>
        <w:t>. These are included in the 5 year housing land supply</w:t>
      </w:r>
      <w:r w:rsidR="00BC0D75" w:rsidRPr="00AC548D">
        <w:rPr>
          <w:rFonts w:ascii="Arial" w:hAnsi="Arial" w:cs="Arial"/>
          <w:color w:val="auto"/>
        </w:rPr>
        <w:t>.</w:t>
      </w:r>
      <w:r w:rsidRPr="00AC548D">
        <w:rPr>
          <w:rFonts w:ascii="Arial" w:hAnsi="Arial" w:cs="Arial"/>
          <w:color w:val="auto"/>
        </w:rPr>
        <w:t xml:space="preserve">  </w:t>
      </w:r>
      <w:r w:rsidR="00BC0D75" w:rsidRPr="00AC548D">
        <w:rPr>
          <w:rFonts w:ascii="Arial" w:hAnsi="Arial" w:cs="Arial"/>
          <w:color w:val="auto"/>
        </w:rPr>
        <w:t xml:space="preserve">As a </w:t>
      </w:r>
      <w:r w:rsidRPr="00AC548D">
        <w:rPr>
          <w:rFonts w:ascii="Arial" w:hAnsi="Arial" w:cs="Arial"/>
          <w:color w:val="auto"/>
        </w:rPr>
        <w:t xml:space="preserve">comparison, projecting forward the </w:t>
      </w:r>
      <w:r w:rsidR="00BC0D75" w:rsidRPr="00AC548D">
        <w:rPr>
          <w:rFonts w:ascii="Arial" w:hAnsi="Arial" w:cs="Arial"/>
          <w:color w:val="auto"/>
        </w:rPr>
        <w:t xml:space="preserve">reduced </w:t>
      </w:r>
      <w:r w:rsidRPr="00AC548D">
        <w:rPr>
          <w:rFonts w:ascii="Arial" w:hAnsi="Arial" w:cs="Arial"/>
          <w:color w:val="auto"/>
        </w:rPr>
        <w:t>historic rate of 60 dpa would provide around 300 dwellings over 5 years. Although the estimated delivery from small site permissions is</w:t>
      </w:r>
      <w:r w:rsidR="00BC0D75" w:rsidRPr="00AC548D">
        <w:rPr>
          <w:rFonts w:ascii="Arial" w:hAnsi="Arial" w:cs="Arial"/>
          <w:color w:val="auto"/>
        </w:rPr>
        <w:t xml:space="preserve"> marginally</w:t>
      </w:r>
      <w:r w:rsidRPr="00AC548D">
        <w:rPr>
          <w:rFonts w:ascii="Arial" w:hAnsi="Arial" w:cs="Arial"/>
          <w:color w:val="auto"/>
        </w:rPr>
        <w:t xml:space="preserve"> lower than the projected historic delivery figure, </w:t>
      </w:r>
      <w:r w:rsidR="00BC0D75" w:rsidRPr="00AC548D">
        <w:rPr>
          <w:rFonts w:ascii="Arial" w:hAnsi="Arial" w:cs="Arial"/>
          <w:color w:val="auto"/>
        </w:rPr>
        <w:t>this is to be expected due to the 3 year lifespan of planning approvals.</w:t>
      </w:r>
    </w:p>
    <w:p w14:paraId="6917358C" w14:textId="77777777" w:rsidR="00C11F5E" w:rsidRPr="00C11F5E" w:rsidRDefault="00C11F5E" w:rsidP="00C11F5E">
      <w:pPr>
        <w:pStyle w:val="ListParagraph"/>
        <w:rPr>
          <w:rFonts w:ascii="Arial" w:hAnsi="Arial" w:cs="Arial"/>
          <w:color w:val="auto"/>
        </w:rPr>
      </w:pPr>
    </w:p>
    <w:p w14:paraId="159D486A" w14:textId="025B273E" w:rsidR="00086B78" w:rsidRPr="00C11F5E" w:rsidRDefault="00BC0D75" w:rsidP="00C11F5E">
      <w:pPr>
        <w:pStyle w:val="ListParagraph"/>
        <w:numPr>
          <w:ilvl w:val="1"/>
          <w:numId w:val="9"/>
        </w:numPr>
        <w:spacing w:after="0"/>
        <w:ind w:left="567" w:hanging="567"/>
        <w:rPr>
          <w:rFonts w:ascii="Arial" w:hAnsi="Arial" w:cs="Arial"/>
          <w:color w:val="auto"/>
          <w:szCs w:val="24"/>
        </w:rPr>
      </w:pPr>
      <w:r w:rsidRPr="00AC548D">
        <w:rPr>
          <w:rFonts w:ascii="Arial" w:hAnsi="Arial" w:cs="Arial"/>
          <w:color w:val="auto"/>
        </w:rPr>
        <w:t xml:space="preserve">The Council </w:t>
      </w:r>
      <w:r w:rsidR="00CB203B" w:rsidRPr="00AC548D">
        <w:rPr>
          <w:rFonts w:ascii="Arial" w:hAnsi="Arial" w:cs="Arial"/>
          <w:color w:val="auto"/>
        </w:rPr>
        <w:t xml:space="preserve">taken the decision not to </w:t>
      </w:r>
      <w:r w:rsidRPr="00AC548D">
        <w:rPr>
          <w:rFonts w:ascii="Arial" w:hAnsi="Arial" w:cs="Arial"/>
          <w:color w:val="auto"/>
        </w:rPr>
        <w:t xml:space="preserve">include any </w:t>
      </w:r>
      <w:r w:rsidR="00086B78" w:rsidRPr="00AC548D">
        <w:rPr>
          <w:rFonts w:ascii="Arial" w:hAnsi="Arial" w:cs="Arial"/>
          <w:color w:val="auto"/>
        </w:rPr>
        <w:t xml:space="preserve">additional small site windfall allowance </w:t>
      </w:r>
      <w:r w:rsidRPr="00AC548D">
        <w:rPr>
          <w:rFonts w:ascii="Arial" w:hAnsi="Arial" w:cs="Arial"/>
          <w:color w:val="auto"/>
        </w:rPr>
        <w:t>i</w:t>
      </w:r>
      <w:r w:rsidR="00086B78" w:rsidRPr="00AC548D">
        <w:rPr>
          <w:rFonts w:ascii="Arial" w:hAnsi="Arial" w:cs="Arial"/>
          <w:color w:val="auto"/>
        </w:rPr>
        <w:t>n the first 5 years supply</w:t>
      </w:r>
      <w:r w:rsidR="00CB203B" w:rsidRPr="00AC548D">
        <w:rPr>
          <w:rFonts w:ascii="Arial" w:hAnsi="Arial" w:cs="Arial"/>
          <w:color w:val="auto"/>
        </w:rPr>
        <w:t xml:space="preserve"> at this time,</w:t>
      </w:r>
      <w:r w:rsidRPr="00AC548D">
        <w:rPr>
          <w:rFonts w:ascii="Arial" w:hAnsi="Arial" w:cs="Arial"/>
          <w:color w:val="auto"/>
        </w:rPr>
        <w:t xml:space="preserve"> in order to acknowledge pipeline projects and </w:t>
      </w:r>
      <w:r w:rsidR="00086B78" w:rsidRPr="00AC548D">
        <w:rPr>
          <w:rFonts w:ascii="Arial" w:hAnsi="Arial" w:cs="Arial"/>
          <w:color w:val="auto"/>
        </w:rPr>
        <w:t>avoid double-</w:t>
      </w:r>
      <w:r w:rsidR="00086B78" w:rsidRPr="00C11F5E">
        <w:rPr>
          <w:rFonts w:ascii="Arial" w:hAnsi="Arial" w:cs="Arial"/>
          <w:color w:val="auto"/>
          <w:szCs w:val="24"/>
        </w:rPr>
        <w:t>counting.</w:t>
      </w:r>
      <w:r w:rsidR="00C11F5E" w:rsidRPr="00C11F5E">
        <w:rPr>
          <w:rFonts w:ascii="Arial" w:hAnsi="Arial" w:cs="Arial"/>
          <w:color w:val="auto"/>
          <w:szCs w:val="24"/>
        </w:rPr>
        <w:t xml:space="preserve"> </w:t>
      </w:r>
      <w:r w:rsidR="00086B78" w:rsidRPr="00C11F5E">
        <w:rPr>
          <w:rFonts w:ascii="Arial" w:hAnsi="Arial" w:cs="Arial"/>
          <w:color w:val="auto"/>
          <w:szCs w:val="24"/>
        </w:rPr>
        <w:t>It is considered appropriate</w:t>
      </w:r>
      <w:r w:rsidR="00CB203B" w:rsidRPr="00C11F5E">
        <w:rPr>
          <w:rFonts w:ascii="Arial" w:hAnsi="Arial" w:cs="Arial"/>
          <w:color w:val="auto"/>
          <w:szCs w:val="24"/>
        </w:rPr>
        <w:t>,</w:t>
      </w:r>
      <w:r w:rsidR="00086B78" w:rsidRPr="00C11F5E">
        <w:rPr>
          <w:rFonts w:ascii="Arial" w:hAnsi="Arial" w:cs="Arial"/>
          <w:color w:val="auto"/>
          <w:szCs w:val="24"/>
        </w:rPr>
        <w:t xml:space="preserve"> however</w:t>
      </w:r>
      <w:r w:rsidR="00CB203B" w:rsidRPr="00C11F5E">
        <w:rPr>
          <w:rFonts w:ascii="Arial" w:hAnsi="Arial" w:cs="Arial"/>
          <w:color w:val="auto"/>
          <w:szCs w:val="24"/>
        </w:rPr>
        <w:t>,</w:t>
      </w:r>
      <w:r w:rsidR="00086B78" w:rsidRPr="00C11F5E">
        <w:rPr>
          <w:rFonts w:ascii="Arial" w:hAnsi="Arial" w:cs="Arial"/>
          <w:color w:val="auto"/>
          <w:szCs w:val="24"/>
        </w:rPr>
        <w:t xml:space="preserve"> to include an allowance beyond 5 years, since small unallocated sites have consistently formed part of past supply and there is no justification to assume this source will cease in future. Projecting forward the 60 dpa will give an additional supply of </w:t>
      </w:r>
      <w:r w:rsidR="006766A0">
        <w:rPr>
          <w:rFonts w:ascii="Arial" w:hAnsi="Arial" w:cs="Arial"/>
          <w:b/>
          <w:color w:val="auto"/>
          <w:szCs w:val="24"/>
        </w:rPr>
        <w:t>720</w:t>
      </w:r>
      <w:r w:rsidR="00086B78" w:rsidRPr="00C11F5E">
        <w:rPr>
          <w:rFonts w:ascii="Arial" w:hAnsi="Arial" w:cs="Arial"/>
          <w:color w:val="auto"/>
          <w:szCs w:val="24"/>
        </w:rPr>
        <w:t xml:space="preserve"> towards meeting the overall housing requirement for the period 202</w:t>
      </w:r>
      <w:r w:rsidR="006766A0">
        <w:rPr>
          <w:rFonts w:ascii="Arial" w:hAnsi="Arial" w:cs="Arial"/>
          <w:color w:val="auto"/>
          <w:szCs w:val="24"/>
        </w:rPr>
        <w:t>8</w:t>
      </w:r>
      <w:r w:rsidR="00086B78" w:rsidRPr="00C11F5E">
        <w:rPr>
          <w:rFonts w:ascii="Arial" w:hAnsi="Arial" w:cs="Arial"/>
          <w:color w:val="auto"/>
          <w:szCs w:val="24"/>
        </w:rPr>
        <w:t xml:space="preserve"> to 20</w:t>
      </w:r>
      <w:r w:rsidR="006766A0">
        <w:rPr>
          <w:rFonts w:ascii="Arial" w:hAnsi="Arial" w:cs="Arial"/>
          <w:color w:val="auto"/>
          <w:szCs w:val="24"/>
        </w:rPr>
        <w:t>40</w:t>
      </w:r>
      <w:r w:rsidR="00086B78" w:rsidRPr="00C11F5E">
        <w:rPr>
          <w:rFonts w:ascii="Arial" w:hAnsi="Arial" w:cs="Arial"/>
          <w:color w:val="auto"/>
          <w:szCs w:val="24"/>
        </w:rPr>
        <w:t>.</w:t>
      </w:r>
    </w:p>
    <w:p w14:paraId="4DEFBA3D" w14:textId="77777777" w:rsidR="00086B78" w:rsidRPr="00CB203B" w:rsidRDefault="00086B78" w:rsidP="00D23E4E">
      <w:pPr>
        <w:keepNext w:val="0"/>
        <w:spacing w:before="0"/>
        <w:rPr>
          <w:rFonts w:cs="Arial"/>
          <w:color w:val="auto"/>
        </w:rPr>
      </w:pPr>
    </w:p>
    <w:p w14:paraId="0CE1490E" w14:textId="77A056AC" w:rsidR="00F27E51" w:rsidRPr="00F27E51" w:rsidRDefault="008C6959" w:rsidP="00FE22F3">
      <w:pPr>
        <w:pStyle w:val="Heading3"/>
      </w:pPr>
      <w:r>
        <w:t>Approach to Non-implementation of</w:t>
      </w:r>
      <w:r w:rsidR="00F27E51" w:rsidRPr="00F27E51">
        <w:t xml:space="preserve"> Existing Planning Permissions</w:t>
      </w:r>
    </w:p>
    <w:p w14:paraId="39BC4BA5" w14:textId="77777777" w:rsidR="00F27E51" w:rsidRPr="0009718B" w:rsidRDefault="00F27E51" w:rsidP="00D23E4E">
      <w:pPr>
        <w:keepNext w:val="0"/>
        <w:autoSpaceDE w:val="0"/>
        <w:autoSpaceDN w:val="0"/>
        <w:adjustRightInd w:val="0"/>
        <w:spacing w:before="0"/>
        <w:rPr>
          <w:rFonts w:cs="Arial"/>
          <w:b/>
          <w:color w:val="auto"/>
          <w:szCs w:val="24"/>
        </w:rPr>
      </w:pPr>
    </w:p>
    <w:p w14:paraId="559D3993" w14:textId="6626E244" w:rsidR="00F27E51" w:rsidRPr="0024591C"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 xml:space="preserve">The HLMR sets out the supply of housing sites deliverable without policy change against the </w:t>
      </w:r>
      <w:r w:rsidR="00813501" w:rsidRPr="0024591C">
        <w:rPr>
          <w:rFonts w:ascii="Arial" w:hAnsi="Arial" w:cs="Arial"/>
          <w:color w:val="auto"/>
          <w:szCs w:val="24"/>
        </w:rPr>
        <w:t>Local Housing Need (LHN</w:t>
      </w:r>
      <w:r w:rsidR="001D74D6" w:rsidRPr="0024591C">
        <w:rPr>
          <w:rFonts w:ascii="Arial" w:hAnsi="Arial" w:cs="Arial"/>
          <w:color w:val="auto"/>
          <w:szCs w:val="24"/>
        </w:rPr>
        <w:t>) and</w:t>
      </w:r>
      <w:r w:rsidRPr="0024591C">
        <w:rPr>
          <w:rFonts w:ascii="Arial" w:hAnsi="Arial" w:cs="Arial"/>
          <w:color w:val="auto"/>
          <w:szCs w:val="24"/>
        </w:rPr>
        <w:t xml:space="preserve"> demonstrates how the </w:t>
      </w:r>
      <w:proofErr w:type="gramStart"/>
      <w:r w:rsidRPr="0024591C">
        <w:rPr>
          <w:rFonts w:ascii="Arial" w:hAnsi="Arial" w:cs="Arial"/>
          <w:color w:val="auto"/>
          <w:szCs w:val="24"/>
        </w:rPr>
        <w:t>District</w:t>
      </w:r>
      <w:proofErr w:type="gramEnd"/>
      <w:r w:rsidRPr="0024591C">
        <w:rPr>
          <w:rFonts w:ascii="Arial" w:hAnsi="Arial" w:cs="Arial"/>
          <w:color w:val="auto"/>
          <w:szCs w:val="24"/>
        </w:rPr>
        <w:t xml:space="preserve"> performs </w:t>
      </w:r>
      <w:proofErr w:type="gramStart"/>
      <w:r w:rsidRPr="0024591C">
        <w:rPr>
          <w:rFonts w:ascii="Arial" w:hAnsi="Arial" w:cs="Arial"/>
          <w:color w:val="auto"/>
          <w:szCs w:val="24"/>
        </w:rPr>
        <w:t>with regard to</w:t>
      </w:r>
      <w:proofErr w:type="gramEnd"/>
      <w:r w:rsidRPr="0024591C">
        <w:rPr>
          <w:rFonts w:ascii="Arial" w:hAnsi="Arial" w:cs="Arial"/>
          <w:color w:val="auto"/>
          <w:szCs w:val="24"/>
        </w:rPr>
        <w:t xml:space="preserve"> the 5 year supply requirement</w:t>
      </w:r>
      <w:r w:rsidR="00813501" w:rsidRPr="0024591C">
        <w:rPr>
          <w:rFonts w:ascii="Arial" w:hAnsi="Arial" w:cs="Arial"/>
          <w:color w:val="auto"/>
          <w:szCs w:val="24"/>
        </w:rPr>
        <w:t xml:space="preserve"> </w:t>
      </w:r>
      <w:proofErr w:type="gramStart"/>
      <w:r w:rsidR="00813501" w:rsidRPr="0024591C">
        <w:rPr>
          <w:rFonts w:ascii="Arial" w:hAnsi="Arial" w:cs="Arial"/>
          <w:color w:val="auto"/>
          <w:szCs w:val="24"/>
        </w:rPr>
        <w:t>at</w:t>
      </w:r>
      <w:proofErr w:type="gramEnd"/>
      <w:r w:rsidR="00813501" w:rsidRPr="0024591C">
        <w:rPr>
          <w:rFonts w:ascii="Arial" w:hAnsi="Arial" w:cs="Arial"/>
          <w:color w:val="auto"/>
          <w:szCs w:val="24"/>
        </w:rPr>
        <w:t xml:space="preserve"> April 202</w:t>
      </w:r>
      <w:r w:rsidR="00214E5A">
        <w:rPr>
          <w:rFonts w:ascii="Arial" w:hAnsi="Arial" w:cs="Arial"/>
          <w:color w:val="auto"/>
          <w:szCs w:val="24"/>
        </w:rPr>
        <w:t>3</w:t>
      </w:r>
      <w:r w:rsidRPr="0024591C">
        <w:rPr>
          <w:rFonts w:ascii="Arial" w:hAnsi="Arial" w:cs="Arial"/>
          <w:color w:val="auto"/>
          <w:szCs w:val="24"/>
        </w:rPr>
        <w:t xml:space="preserve">. Appendix 2 of the </w:t>
      </w:r>
      <w:r w:rsidR="00813501" w:rsidRPr="0024591C">
        <w:rPr>
          <w:rFonts w:ascii="Arial" w:hAnsi="Arial" w:cs="Arial"/>
          <w:color w:val="auto"/>
          <w:szCs w:val="24"/>
        </w:rPr>
        <w:t xml:space="preserve">Draft </w:t>
      </w:r>
      <w:r w:rsidRPr="0024591C">
        <w:rPr>
          <w:rFonts w:ascii="Arial" w:hAnsi="Arial" w:cs="Arial"/>
          <w:color w:val="auto"/>
          <w:szCs w:val="24"/>
        </w:rPr>
        <w:t>Ashfield Local Plan 20</w:t>
      </w:r>
      <w:r w:rsidR="00813501" w:rsidRPr="0024591C">
        <w:rPr>
          <w:rFonts w:ascii="Arial" w:hAnsi="Arial" w:cs="Arial"/>
          <w:color w:val="auto"/>
          <w:szCs w:val="24"/>
        </w:rPr>
        <w:t>2</w:t>
      </w:r>
      <w:r w:rsidR="00214E5A">
        <w:rPr>
          <w:rFonts w:ascii="Arial" w:hAnsi="Arial" w:cs="Arial"/>
          <w:color w:val="auto"/>
          <w:szCs w:val="24"/>
        </w:rPr>
        <w:t>3</w:t>
      </w:r>
      <w:r w:rsidR="00813501" w:rsidRPr="0024591C">
        <w:rPr>
          <w:rFonts w:ascii="Arial" w:hAnsi="Arial" w:cs="Arial"/>
          <w:color w:val="auto"/>
          <w:szCs w:val="24"/>
        </w:rPr>
        <w:t>-20</w:t>
      </w:r>
      <w:r w:rsidR="00214E5A">
        <w:rPr>
          <w:rFonts w:ascii="Arial" w:hAnsi="Arial" w:cs="Arial"/>
          <w:color w:val="auto"/>
          <w:szCs w:val="24"/>
        </w:rPr>
        <w:t>40</w:t>
      </w:r>
      <w:r w:rsidRPr="0024591C">
        <w:rPr>
          <w:rFonts w:ascii="Arial" w:hAnsi="Arial" w:cs="Arial"/>
          <w:color w:val="auto"/>
          <w:szCs w:val="24"/>
        </w:rPr>
        <w:t xml:space="preserve"> sets out the 5 year Housing Land Supply </w:t>
      </w:r>
      <w:r w:rsidR="00214E5A">
        <w:rPr>
          <w:rFonts w:ascii="Arial" w:hAnsi="Arial" w:cs="Arial"/>
          <w:color w:val="auto"/>
          <w:szCs w:val="24"/>
        </w:rPr>
        <w:t xml:space="preserve">(post adoption) </w:t>
      </w:r>
      <w:r w:rsidRPr="0024591C">
        <w:rPr>
          <w:rFonts w:ascii="Arial" w:hAnsi="Arial" w:cs="Arial"/>
          <w:color w:val="auto"/>
          <w:szCs w:val="24"/>
        </w:rPr>
        <w:t xml:space="preserve">including new site allocations. </w:t>
      </w:r>
    </w:p>
    <w:p w14:paraId="0BB69366" w14:textId="77777777" w:rsidR="00F27E51" w:rsidRPr="0024591C" w:rsidRDefault="00F27E51" w:rsidP="00D23E4E">
      <w:pPr>
        <w:keepNext w:val="0"/>
        <w:autoSpaceDE w:val="0"/>
        <w:autoSpaceDN w:val="0"/>
        <w:adjustRightInd w:val="0"/>
        <w:spacing w:before="0"/>
        <w:rPr>
          <w:rFonts w:cs="Arial"/>
          <w:color w:val="auto"/>
          <w:szCs w:val="24"/>
        </w:rPr>
      </w:pPr>
      <w:r w:rsidRPr="0024591C">
        <w:rPr>
          <w:rFonts w:cs="Arial"/>
          <w:color w:val="auto"/>
          <w:szCs w:val="24"/>
        </w:rPr>
        <w:t xml:space="preserve"> </w:t>
      </w:r>
    </w:p>
    <w:p w14:paraId="76415F1B" w14:textId="1A107410" w:rsidR="00F27E51" w:rsidRPr="0024591C"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The calculations include all residential planning permissions towards future supply</w:t>
      </w:r>
      <w:r w:rsidR="00813501" w:rsidRPr="0024591C">
        <w:rPr>
          <w:rFonts w:ascii="Arial" w:hAnsi="Arial" w:cs="Arial"/>
          <w:color w:val="auto"/>
          <w:szCs w:val="24"/>
        </w:rPr>
        <w:t>,</w:t>
      </w:r>
      <w:r w:rsidRPr="0024591C">
        <w:rPr>
          <w:rFonts w:ascii="Arial" w:hAnsi="Arial" w:cs="Arial"/>
          <w:color w:val="auto"/>
          <w:szCs w:val="24"/>
        </w:rPr>
        <w:t xml:space="preserve"> offset by proposals for </w:t>
      </w:r>
      <w:r w:rsidR="00813501" w:rsidRPr="0024591C">
        <w:rPr>
          <w:rFonts w:ascii="Arial" w:hAnsi="Arial" w:cs="Arial"/>
          <w:color w:val="auto"/>
          <w:szCs w:val="24"/>
        </w:rPr>
        <w:t xml:space="preserve">losses and </w:t>
      </w:r>
      <w:r w:rsidRPr="0024591C">
        <w:rPr>
          <w:rFonts w:ascii="Arial" w:hAnsi="Arial" w:cs="Arial"/>
          <w:color w:val="auto"/>
          <w:szCs w:val="24"/>
        </w:rPr>
        <w:t>demolition</w:t>
      </w:r>
      <w:r w:rsidR="00813501" w:rsidRPr="0024591C">
        <w:rPr>
          <w:rFonts w:ascii="Arial" w:hAnsi="Arial" w:cs="Arial"/>
          <w:color w:val="auto"/>
          <w:szCs w:val="24"/>
        </w:rPr>
        <w:t>s</w:t>
      </w:r>
      <w:r w:rsidRPr="0024591C">
        <w:rPr>
          <w:rFonts w:ascii="Arial" w:hAnsi="Arial" w:cs="Arial"/>
          <w:color w:val="auto"/>
          <w:szCs w:val="24"/>
        </w:rPr>
        <w:t xml:space="preserve">. Whilst there is no reason to believe that any specific permission may not be implemented, it is accepted that there will be a number which </w:t>
      </w:r>
      <w:r w:rsidR="00813501" w:rsidRPr="0024591C">
        <w:rPr>
          <w:rFonts w:ascii="Arial" w:hAnsi="Arial" w:cs="Arial"/>
          <w:color w:val="auto"/>
          <w:szCs w:val="24"/>
        </w:rPr>
        <w:t>may never be developed</w:t>
      </w:r>
      <w:r w:rsidRPr="0024591C">
        <w:rPr>
          <w:rFonts w:ascii="Arial" w:hAnsi="Arial" w:cs="Arial"/>
          <w:color w:val="auto"/>
          <w:szCs w:val="24"/>
        </w:rPr>
        <w:t>.</w:t>
      </w:r>
    </w:p>
    <w:p w14:paraId="44EA91B5" w14:textId="77777777" w:rsidR="00F27E51" w:rsidRPr="0024591C" w:rsidRDefault="00F27E51" w:rsidP="00D23E4E">
      <w:pPr>
        <w:pStyle w:val="ListParagraph"/>
        <w:spacing w:after="0"/>
        <w:ind w:left="567"/>
        <w:rPr>
          <w:rFonts w:ascii="Arial" w:hAnsi="Arial" w:cs="Arial"/>
          <w:color w:val="auto"/>
          <w:szCs w:val="24"/>
        </w:rPr>
      </w:pPr>
    </w:p>
    <w:p w14:paraId="75E4B32E" w14:textId="58F20CEB" w:rsidR="00F27E51" w:rsidRDefault="00F27E51" w:rsidP="00D23E4E">
      <w:pPr>
        <w:pStyle w:val="ListParagraph"/>
        <w:numPr>
          <w:ilvl w:val="1"/>
          <w:numId w:val="9"/>
        </w:numPr>
        <w:spacing w:after="0"/>
        <w:ind w:left="567" w:hanging="567"/>
        <w:rPr>
          <w:rFonts w:ascii="Arial" w:hAnsi="Arial" w:cs="Arial"/>
          <w:color w:val="auto"/>
          <w:szCs w:val="24"/>
        </w:rPr>
      </w:pPr>
      <w:proofErr w:type="gramStart"/>
      <w:r w:rsidRPr="0024591C">
        <w:rPr>
          <w:rFonts w:ascii="Arial" w:hAnsi="Arial" w:cs="Arial"/>
          <w:color w:val="auto"/>
          <w:szCs w:val="24"/>
        </w:rPr>
        <w:t>In order to</w:t>
      </w:r>
      <w:proofErr w:type="gramEnd"/>
      <w:r w:rsidRPr="0024591C">
        <w:rPr>
          <w:rFonts w:ascii="Arial" w:hAnsi="Arial" w:cs="Arial"/>
          <w:color w:val="auto"/>
          <w:szCs w:val="24"/>
        </w:rPr>
        <w:t xml:space="preserve"> determine a rate for discounting the potential supply from this source, a comparison has been drawn with the number of dwellings on permissions granted against those lapsing over </w:t>
      </w:r>
      <w:r w:rsidR="002C0AA8" w:rsidRPr="0024591C">
        <w:rPr>
          <w:rFonts w:ascii="Arial" w:hAnsi="Arial" w:cs="Arial"/>
          <w:color w:val="auto"/>
          <w:szCs w:val="24"/>
        </w:rPr>
        <w:t xml:space="preserve">a </w:t>
      </w:r>
      <w:r w:rsidRPr="0024591C">
        <w:rPr>
          <w:rFonts w:ascii="Arial" w:hAnsi="Arial" w:cs="Arial"/>
          <w:color w:val="auto"/>
          <w:szCs w:val="24"/>
        </w:rPr>
        <w:t>10 year</w:t>
      </w:r>
      <w:r w:rsidR="002C0AA8" w:rsidRPr="0024591C">
        <w:rPr>
          <w:rFonts w:ascii="Arial" w:hAnsi="Arial" w:cs="Arial"/>
          <w:color w:val="auto"/>
          <w:szCs w:val="24"/>
        </w:rPr>
        <w:t xml:space="preserve"> period</w:t>
      </w:r>
      <w:r w:rsidRPr="0024591C">
        <w:rPr>
          <w:rFonts w:ascii="Arial" w:hAnsi="Arial" w:cs="Arial"/>
          <w:color w:val="auto"/>
          <w:szCs w:val="24"/>
        </w:rPr>
        <w:t xml:space="preserve">. The assessment has been undertaken separately for small and large sites </w:t>
      </w:r>
      <w:r w:rsidR="002C0AA8" w:rsidRPr="0024591C">
        <w:rPr>
          <w:rFonts w:ascii="Arial" w:hAnsi="Arial" w:cs="Arial"/>
          <w:color w:val="auto"/>
          <w:szCs w:val="24"/>
        </w:rPr>
        <w:t>(</w:t>
      </w:r>
      <w:r w:rsidRPr="0024591C">
        <w:rPr>
          <w:rFonts w:ascii="Arial" w:hAnsi="Arial" w:cs="Arial"/>
          <w:color w:val="auto"/>
          <w:szCs w:val="24"/>
        </w:rPr>
        <w:t xml:space="preserve">see Table </w:t>
      </w:r>
      <w:r w:rsidR="00B10CB3" w:rsidRPr="0024591C">
        <w:rPr>
          <w:rFonts w:ascii="Arial" w:hAnsi="Arial" w:cs="Arial"/>
          <w:color w:val="auto"/>
          <w:szCs w:val="24"/>
        </w:rPr>
        <w:t>2</w:t>
      </w:r>
      <w:r w:rsidR="002C0AA8" w:rsidRPr="0024591C">
        <w:rPr>
          <w:rFonts w:ascii="Arial" w:hAnsi="Arial" w:cs="Arial"/>
          <w:color w:val="auto"/>
          <w:szCs w:val="24"/>
        </w:rPr>
        <w:t>)</w:t>
      </w:r>
      <w:r w:rsidRPr="0024591C">
        <w:rPr>
          <w:rFonts w:ascii="Arial" w:hAnsi="Arial" w:cs="Arial"/>
          <w:color w:val="auto"/>
          <w:szCs w:val="24"/>
        </w:rPr>
        <w:t>.</w:t>
      </w:r>
    </w:p>
    <w:p w14:paraId="1AE4684B" w14:textId="4781B9C5" w:rsidR="00FA22F8" w:rsidRDefault="00FA22F8" w:rsidP="00D23E4E">
      <w:pPr>
        <w:rPr>
          <w:rFonts w:cs="Arial"/>
          <w:color w:val="auto"/>
          <w:szCs w:val="24"/>
        </w:rPr>
      </w:pPr>
    </w:p>
    <w:p w14:paraId="56C0A111" w14:textId="36EFF599" w:rsidR="00FA22F8" w:rsidRDefault="00FA22F8" w:rsidP="00D23E4E">
      <w:pPr>
        <w:rPr>
          <w:rFonts w:cs="Arial"/>
          <w:color w:val="auto"/>
          <w:szCs w:val="24"/>
        </w:rPr>
      </w:pPr>
    </w:p>
    <w:p w14:paraId="2EADC20E" w14:textId="77777777" w:rsidR="00FA22F8" w:rsidRPr="00D23E4E" w:rsidRDefault="00FA22F8" w:rsidP="00D23E4E">
      <w:pPr>
        <w:rPr>
          <w:rFonts w:cs="Arial"/>
          <w:color w:val="auto"/>
          <w:szCs w:val="24"/>
        </w:rPr>
      </w:pPr>
    </w:p>
    <w:p w14:paraId="50717CF7" w14:textId="77777777" w:rsidR="00FA22F8" w:rsidRDefault="00FA22F8" w:rsidP="00C33CA3">
      <w:pPr>
        <w:keepNext w:val="0"/>
        <w:autoSpaceDE w:val="0"/>
        <w:autoSpaceDN w:val="0"/>
        <w:adjustRightInd w:val="0"/>
        <w:spacing w:before="0"/>
        <w:ind w:left="567"/>
        <w:rPr>
          <w:rFonts w:cs="Arial"/>
          <w:b/>
          <w:color w:val="auto"/>
          <w:szCs w:val="24"/>
        </w:rPr>
      </w:pPr>
    </w:p>
    <w:p w14:paraId="69011044" w14:textId="77777777" w:rsidR="00214E5A" w:rsidRDefault="00214E5A">
      <w:pPr>
        <w:keepNext w:val="0"/>
        <w:spacing w:before="0"/>
        <w:rPr>
          <w:rFonts w:cs="Arial"/>
          <w:b/>
          <w:color w:val="auto"/>
          <w:szCs w:val="24"/>
        </w:rPr>
      </w:pPr>
      <w:r>
        <w:rPr>
          <w:rFonts w:cs="Arial"/>
          <w:b/>
          <w:color w:val="auto"/>
          <w:szCs w:val="24"/>
        </w:rPr>
        <w:br w:type="page"/>
      </w:r>
    </w:p>
    <w:p w14:paraId="61BAD12A" w14:textId="68D9E1BC" w:rsidR="00F27E51" w:rsidRPr="00F27E51" w:rsidRDefault="00C33CA3" w:rsidP="00C33CA3">
      <w:pPr>
        <w:keepNext w:val="0"/>
        <w:autoSpaceDE w:val="0"/>
        <w:autoSpaceDN w:val="0"/>
        <w:adjustRightInd w:val="0"/>
        <w:spacing w:before="0"/>
        <w:ind w:left="567"/>
        <w:rPr>
          <w:rFonts w:cs="Arial"/>
          <w:color w:val="FF0000"/>
          <w:szCs w:val="24"/>
        </w:rPr>
      </w:pPr>
      <w:r w:rsidRPr="00C33CA3">
        <w:rPr>
          <w:rFonts w:cs="Arial"/>
          <w:b/>
          <w:color w:val="auto"/>
          <w:szCs w:val="24"/>
        </w:rPr>
        <w:lastRenderedPageBreak/>
        <w:t xml:space="preserve">TABLE 2: Historical Lapse Rate for Large and Small Residential Permissions </w:t>
      </w:r>
    </w:p>
    <w:tbl>
      <w:tblPr>
        <w:tblStyle w:val="TableGrid"/>
        <w:tblW w:w="9077" w:type="dxa"/>
        <w:tblInd w:w="562" w:type="dxa"/>
        <w:tblLook w:val="04A0" w:firstRow="1" w:lastRow="0" w:firstColumn="1" w:lastColumn="0" w:noHBand="0" w:noVBand="1"/>
      </w:tblPr>
      <w:tblGrid>
        <w:gridCol w:w="1701"/>
        <w:gridCol w:w="2551"/>
        <w:gridCol w:w="2693"/>
        <w:gridCol w:w="2132"/>
      </w:tblGrid>
      <w:tr w:rsidR="00C33CA3" w:rsidRPr="006413B0" w14:paraId="5CE245FA" w14:textId="77777777" w:rsidTr="00C33CA3">
        <w:trPr>
          <w:trHeight w:val="760"/>
        </w:trPr>
        <w:tc>
          <w:tcPr>
            <w:tcW w:w="1701" w:type="dxa"/>
            <w:shd w:val="clear" w:color="auto" w:fill="D9D9D9" w:themeFill="background1" w:themeFillShade="D9"/>
          </w:tcPr>
          <w:p w14:paraId="7421A290"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Site size</w:t>
            </w:r>
          </w:p>
        </w:tc>
        <w:tc>
          <w:tcPr>
            <w:tcW w:w="2551" w:type="dxa"/>
            <w:shd w:val="clear" w:color="auto" w:fill="D9D9D9" w:themeFill="background1" w:themeFillShade="D9"/>
          </w:tcPr>
          <w:p w14:paraId="49665869"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Permissions Granted</w:t>
            </w:r>
          </w:p>
          <w:p w14:paraId="765A95C6"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2006-2016 (Dwellings)</w:t>
            </w:r>
          </w:p>
        </w:tc>
        <w:tc>
          <w:tcPr>
            <w:tcW w:w="2693" w:type="dxa"/>
            <w:shd w:val="clear" w:color="auto" w:fill="D9D9D9" w:themeFill="background1" w:themeFillShade="D9"/>
          </w:tcPr>
          <w:p w14:paraId="0C30C0C6"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Lapsed Permissions</w:t>
            </w:r>
          </w:p>
          <w:p w14:paraId="45601883"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2006-2016 (Dwellings)</w:t>
            </w:r>
          </w:p>
        </w:tc>
        <w:tc>
          <w:tcPr>
            <w:tcW w:w="2132" w:type="dxa"/>
            <w:shd w:val="clear" w:color="auto" w:fill="D9D9D9" w:themeFill="background1" w:themeFillShade="D9"/>
          </w:tcPr>
          <w:p w14:paraId="1299365B" w14:textId="77777777" w:rsidR="00F27E51" w:rsidRPr="005D6EB3" w:rsidRDefault="00F27E51" w:rsidP="00F27E51">
            <w:pPr>
              <w:keepNext w:val="0"/>
              <w:autoSpaceDE w:val="0"/>
              <w:autoSpaceDN w:val="0"/>
              <w:adjustRightInd w:val="0"/>
              <w:spacing w:before="0"/>
              <w:rPr>
                <w:rFonts w:cs="Arial"/>
                <w:b/>
                <w:color w:val="auto"/>
                <w:szCs w:val="24"/>
              </w:rPr>
            </w:pPr>
            <w:r w:rsidRPr="005D6EB3">
              <w:rPr>
                <w:rFonts w:cs="Arial"/>
                <w:b/>
                <w:color w:val="auto"/>
                <w:szCs w:val="24"/>
              </w:rPr>
              <w:t>Lapse Rate</w:t>
            </w:r>
          </w:p>
          <w:p w14:paraId="1AC6EF97" w14:textId="77777777" w:rsidR="00F27E51" w:rsidRPr="005D6EB3" w:rsidRDefault="00F27E51" w:rsidP="00F27E51">
            <w:pPr>
              <w:keepNext w:val="0"/>
              <w:autoSpaceDE w:val="0"/>
              <w:autoSpaceDN w:val="0"/>
              <w:adjustRightInd w:val="0"/>
              <w:spacing w:before="0"/>
              <w:rPr>
                <w:rFonts w:cs="Arial"/>
                <w:b/>
                <w:color w:val="auto"/>
                <w:szCs w:val="24"/>
              </w:rPr>
            </w:pPr>
            <w:r w:rsidRPr="005D6EB3">
              <w:rPr>
                <w:rFonts w:cs="Arial"/>
                <w:b/>
                <w:color w:val="auto"/>
                <w:szCs w:val="24"/>
              </w:rPr>
              <w:t>%</w:t>
            </w:r>
          </w:p>
        </w:tc>
      </w:tr>
      <w:tr w:rsidR="00C33CA3" w:rsidRPr="006413B0" w14:paraId="48508336" w14:textId="77777777" w:rsidTr="00C33CA3">
        <w:trPr>
          <w:trHeight w:val="498"/>
        </w:trPr>
        <w:tc>
          <w:tcPr>
            <w:tcW w:w="1701" w:type="dxa"/>
          </w:tcPr>
          <w:p w14:paraId="6FA364A7" w14:textId="77777777" w:rsidR="00F27E51" w:rsidRPr="00C33CA3" w:rsidRDefault="00F27E51" w:rsidP="00F27E51">
            <w:pPr>
              <w:keepNext w:val="0"/>
              <w:autoSpaceDE w:val="0"/>
              <w:autoSpaceDN w:val="0"/>
              <w:adjustRightInd w:val="0"/>
              <w:spacing w:before="0"/>
              <w:rPr>
                <w:rFonts w:cs="Arial"/>
                <w:color w:val="auto"/>
                <w:szCs w:val="24"/>
              </w:rPr>
            </w:pPr>
            <w:r w:rsidRPr="00C33CA3">
              <w:rPr>
                <w:rFonts w:cs="Arial"/>
                <w:color w:val="auto"/>
                <w:szCs w:val="24"/>
              </w:rPr>
              <w:t>Large</w:t>
            </w:r>
          </w:p>
        </w:tc>
        <w:tc>
          <w:tcPr>
            <w:tcW w:w="2551" w:type="dxa"/>
          </w:tcPr>
          <w:p w14:paraId="6A595CE4"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6535</w:t>
            </w:r>
          </w:p>
        </w:tc>
        <w:tc>
          <w:tcPr>
            <w:tcW w:w="2693" w:type="dxa"/>
          </w:tcPr>
          <w:p w14:paraId="014D8B59"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421</w:t>
            </w:r>
          </w:p>
        </w:tc>
        <w:tc>
          <w:tcPr>
            <w:tcW w:w="2132" w:type="dxa"/>
          </w:tcPr>
          <w:p w14:paraId="16E773C1" w14:textId="77777777" w:rsidR="00F27E51" w:rsidRPr="005D6EB3" w:rsidRDefault="00F27E51" w:rsidP="005D6EB3">
            <w:pPr>
              <w:keepNext w:val="0"/>
              <w:autoSpaceDE w:val="0"/>
              <w:autoSpaceDN w:val="0"/>
              <w:adjustRightInd w:val="0"/>
              <w:spacing w:before="0"/>
              <w:jc w:val="center"/>
              <w:rPr>
                <w:rFonts w:cs="Arial"/>
                <w:bCs/>
                <w:color w:val="auto"/>
                <w:szCs w:val="24"/>
              </w:rPr>
            </w:pPr>
            <w:r w:rsidRPr="005D6EB3">
              <w:rPr>
                <w:rFonts w:cs="Arial"/>
                <w:bCs/>
                <w:color w:val="auto"/>
                <w:szCs w:val="24"/>
              </w:rPr>
              <w:t>6.4%</w:t>
            </w:r>
          </w:p>
        </w:tc>
      </w:tr>
      <w:tr w:rsidR="00C33CA3" w:rsidRPr="006413B0" w14:paraId="2D26A419" w14:textId="77777777" w:rsidTr="00C33CA3">
        <w:trPr>
          <w:trHeight w:val="420"/>
        </w:trPr>
        <w:tc>
          <w:tcPr>
            <w:tcW w:w="1701" w:type="dxa"/>
          </w:tcPr>
          <w:p w14:paraId="53C69AA0" w14:textId="77777777" w:rsidR="00F27E51" w:rsidRPr="00C33CA3" w:rsidRDefault="00F27E51" w:rsidP="00F27E51">
            <w:pPr>
              <w:keepNext w:val="0"/>
              <w:autoSpaceDE w:val="0"/>
              <w:autoSpaceDN w:val="0"/>
              <w:adjustRightInd w:val="0"/>
              <w:spacing w:before="0"/>
              <w:rPr>
                <w:rFonts w:cs="Arial"/>
                <w:color w:val="auto"/>
                <w:szCs w:val="24"/>
              </w:rPr>
            </w:pPr>
            <w:r w:rsidRPr="00C33CA3">
              <w:rPr>
                <w:rFonts w:cs="Arial"/>
                <w:color w:val="auto"/>
                <w:szCs w:val="24"/>
              </w:rPr>
              <w:t>Small</w:t>
            </w:r>
          </w:p>
        </w:tc>
        <w:tc>
          <w:tcPr>
            <w:tcW w:w="2551" w:type="dxa"/>
          </w:tcPr>
          <w:p w14:paraId="0526D2C8"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1011</w:t>
            </w:r>
          </w:p>
        </w:tc>
        <w:tc>
          <w:tcPr>
            <w:tcW w:w="2693" w:type="dxa"/>
          </w:tcPr>
          <w:p w14:paraId="3D70F04A"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272</w:t>
            </w:r>
          </w:p>
        </w:tc>
        <w:tc>
          <w:tcPr>
            <w:tcW w:w="2132" w:type="dxa"/>
          </w:tcPr>
          <w:p w14:paraId="30BF121D" w14:textId="77777777" w:rsidR="00F27E51" w:rsidRPr="005D6EB3" w:rsidRDefault="00F27E51" w:rsidP="005D6EB3">
            <w:pPr>
              <w:keepNext w:val="0"/>
              <w:autoSpaceDE w:val="0"/>
              <w:autoSpaceDN w:val="0"/>
              <w:adjustRightInd w:val="0"/>
              <w:spacing w:before="0"/>
              <w:jc w:val="center"/>
              <w:rPr>
                <w:rFonts w:cs="Arial"/>
                <w:bCs/>
                <w:color w:val="auto"/>
                <w:szCs w:val="24"/>
              </w:rPr>
            </w:pPr>
            <w:r w:rsidRPr="005D6EB3">
              <w:rPr>
                <w:rFonts w:cs="Arial"/>
                <w:bCs/>
                <w:color w:val="auto"/>
                <w:szCs w:val="24"/>
              </w:rPr>
              <w:t>26.9%</w:t>
            </w:r>
          </w:p>
        </w:tc>
      </w:tr>
    </w:tbl>
    <w:p w14:paraId="3E722A73" w14:textId="77777777" w:rsidR="00F27E51" w:rsidRPr="00F27E51" w:rsidRDefault="00F27E51" w:rsidP="00F27E51">
      <w:pPr>
        <w:keepNext w:val="0"/>
        <w:autoSpaceDE w:val="0"/>
        <w:autoSpaceDN w:val="0"/>
        <w:adjustRightInd w:val="0"/>
        <w:spacing w:before="0"/>
        <w:rPr>
          <w:rFonts w:cs="Arial"/>
          <w:color w:val="FF0000"/>
          <w:szCs w:val="24"/>
        </w:rPr>
      </w:pPr>
    </w:p>
    <w:p w14:paraId="3CD34FAD" w14:textId="1271C9DC" w:rsidR="00F27E51" w:rsidRPr="0024591C" w:rsidRDefault="00F27E51" w:rsidP="0024591C">
      <w:pPr>
        <w:pStyle w:val="ListParagraph"/>
        <w:numPr>
          <w:ilvl w:val="1"/>
          <w:numId w:val="9"/>
        </w:numPr>
        <w:ind w:left="567" w:hanging="567"/>
        <w:rPr>
          <w:rFonts w:ascii="Arial" w:hAnsi="Arial" w:cs="Arial"/>
          <w:color w:val="auto"/>
          <w:szCs w:val="24"/>
        </w:rPr>
      </w:pPr>
      <w:r w:rsidRPr="0024591C">
        <w:rPr>
          <w:rFonts w:ascii="Arial" w:hAnsi="Arial" w:cs="Arial"/>
          <w:color w:val="auto"/>
          <w:szCs w:val="24"/>
        </w:rPr>
        <w:t>The percentage rates for lapsed permissions have been applied to large site planning permissions where development has not yet commenced since once a site has started it becomes ‘extant’ and can no longer lapse.</w:t>
      </w:r>
      <w:r w:rsidRPr="0024591C">
        <w:rPr>
          <w:rFonts w:ascii="Arial" w:hAnsi="Arial" w:cs="Arial"/>
          <w:color w:val="FF0000"/>
          <w:szCs w:val="24"/>
        </w:rPr>
        <w:t xml:space="preserve">  </w:t>
      </w:r>
      <w:r w:rsidRPr="0024591C">
        <w:rPr>
          <w:rFonts w:ascii="Arial" w:hAnsi="Arial" w:cs="Arial"/>
          <w:color w:val="auto"/>
          <w:szCs w:val="24"/>
        </w:rPr>
        <w:t xml:space="preserve">In contrast, </w:t>
      </w:r>
      <w:r w:rsidRPr="0024591C">
        <w:rPr>
          <w:rFonts w:ascii="Arial" w:hAnsi="Arial" w:cs="Arial"/>
          <w:b/>
          <w:color w:val="auto"/>
          <w:szCs w:val="24"/>
        </w:rPr>
        <w:t>all</w:t>
      </w:r>
      <w:r w:rsidRPr="0024591C">
        <w:rPr>
          <w:rFonts w:ascii="Arial" w:hAnsi="Arial" w:cs="Arial"/>
          <w:color w:val="auto"/>
          <w:szCs w:val="24"/>
        </w:rPr>
        <w:t xml:space="preserve"> of the outstanding permissions on small sites have been discounted. The effect of </w:t>
      </w:r>
      <w:r w:rsidR="00541DF5" w:rsidRPr="0024591C">
        <w:rPr>
          <w:rFonts w:ascii="Arial" w:hAnsi="Arial" w:cs="Arial"/>
          <w:color w:val="auto"/>
          <w:szCs w:val="24"/>
        </w:rPr>
        <w:t>applying a non-implementation rate</w:t>
      </w:r>
      <w:r w:rsidRPr="0024591C">
        <w:rPr>
          <w:rFonts w:ascii="Arial" w:hAnsi="Arial" w:cs="Arial"/>
          <w:color w:val="auto"/>
          <w:szCs w:val="24"/>
        </w:rPr>
        <w:t xml:space="preserve"> is illustrated in Table </w:t>
      </w:r>
      <w:r w:rsidR="0026216D" w:rsidRPr="0024591C">
        <w:rPr>
          <w:rFonts w:ascii="Arial" w:hAnsi="Arial" w:cs="Arial"/>
          <w:color w:val="auto"/>
          <w:szCs w:val="24"/>
        </w:rPr>
        <w:t>3</w:t>
      </w:r>
      <w:r w:rsidR="00FE15F1" w:rsidRPr="0024591C">
        <w:rPr>
          <w:rFonts w:ascii="Arial" w:hAnsi="Arial" w:cs="Arial"/>
          <w:color w:val="auto"/>
          <w:szCs w:val="24"/>
        </w:rPr>
        <w:t xml:space="preserve"> and amounts to </w:t>
      </w:r>
      <w:r w:rsidR="00FE15F1" w:rsidRPr="0024591C">
        <w:rPr>
          <w:rFonts w:ascii="Arial" w:hAnsi="Arial" w:cs="Arial"/>
          <w:b/>
          <w:bCs/>
          <w:color w:val="auto"/>
          <w:szCs w:val="24"/>
        </w:rPr>
        <w:t xml:space="preserve">159 </w:t>
      </w:r>
      <w:r w:rsidR="00FE15F1" w:rsidRPr="0024591C">
        <w:rPr>
          <w:rFonts w:ascii="Arial" w:hAnsi="Arial" w:cs="Arial"/>
          <w:color w:val="auto"/>
          <w:szCs w:val="24"/>
        </w:rPr>
        <w:t>dwellings based on historic trends.</w:t>
      </w:r>
    </w:p>
    <w:p w14:paraId="11A467C8" w14:textId="2CD3E47A" w:rsidR="00F27E51" w:rsidRPr="0024591C" w:rsidRDefault="00F27E51" w:rsidP="00F27E51">
      <w:pPr>
        <w:keepNext w:val="0"/>
        <w:autoSpaceDE w:val="0"/>
        <w:autoSpaceDN w:val="0"/>
        <w:adjustRightInd w:val="0"/>
        <w:spacing w:before="0"/>
        <w:rPr>
          <w:rFonts w:cs="Arial"/>
          <w:color w:val="auto"/>
          <w:szCs w:val="24"/>
        </w:rPr>
      </w:pPr>
    </w:p>
    <w:p w14:paraId="11A6D77C" w14:textId="68D549BC" w:rsidR="00F27E51" w:rsidRDefault="0026216D" w:rsidP="00E46D4A">
      <w:pPr>
        <w:keepNext w:val="0"/>
        <w:autoSpaceDE w:val="0"/>
        <w:autoSpaceDN w:val="0"/>
        <w:adjustRightInd w:val="0"/>
        <w:spacing w:before="0"/>
        <w:ind w:left="567"/>
        <w:rPr>
          <w:rFonts w:cs="Arial"/>
          <w:b/>
          <w:bCs/>
          <w:color w:val="auto"/>
          <w:szCs w:val="24"/>
        </w:rPr>
      </w:pPr>
      <w:bookmarkStart w:id="3" w:name="_Hlk83129307"/>
      <w:r w:rsidRPr="0026216D">
        <w:rPr>
          <w:rFonts w:cs="Arial"/>
          <w:b/>
          <w:bCs/>
          <w:color w:val="auto"/>
          <w:szCs w:val="24"/>
        </w:rPr>
        <w:t>TABLE 3: Effect of lapsed rate on unimplemented Planning Permissions deliverable over the Plan Period</w:t>
      </w:r>
    </w:p>
    <w:p w14:paraId="597AA7D5" w14:textId="77777777" w:rsidR="002E5693" w:rsidRPr="0026216D" w:rsidRDefault="002E5693" w:rsidP="00F27E51">
      <w:pPr>
        <w:keepNext w:val="0"/>
        <w:autoSpaceDE w:val="0"/>
        <w:autoSpaceDN w:val="0"/>
        <w:adjustRightInd w:val="0"/>
        <w:spacing w:before="0"/>
        <w:rPr>
          <w:rFonts w:cs="Arial"/>
          <w:b/>
          <w:bCs/>
          <w:color w:val="auto"/>
          <w:szCs w:val="24"/>
        </w:rPr>
      </w:pPr>
    </w:p>
    <w:tbl>
      <w:tblPr>
        <w:tblW w:w="8931" w:type="dxa"/>
        <w:tblInd w:w="562" w:type="dxa"/>
        <w:tblLook w:val="04A0" w:firstRow="1" w:lastRow="0" w:firstColumn="1" w:lastColumn="0" w:noHBand="0" w:noVBand="1"/>
      </w:tblPr>
      <w:tblGrid>
        <w:gridCol w:w="1843"/>
        <w:gridCol w:w="1598"/>
        <w:gridCol w:w="1564"/>
        <w:gridCol w:w="1513"/>
        <w:gridCol w:w="2413"/>
      </w:tblGrid>
      <w:tr w:rsidR="00214E5A" w:rsidRPr="00214E5A" w14:paraId="005A6D06" w14:textId="77777777" w:rsidTr="00214E5A">
        <w:trPr>
          <w:trHeight w:val="1200"/>
        </w:trPr>
        <w:tc>
          <w:tcPr>
            <w:tcW w:w="1843" w:type="dxa"/>
            <w:tcBorders>
              <w:top w:val="single" w:sz="4" w:space="0" w:color="auto"/>
              <w:left w:val="single" w:sz="4" w:space="0" w:color="auto"/>
              <w:bottom w:val="single" w:sz="4" w:space="0" w:color="auto"/>
              <w:right w:val="single" w:sz="4" w:space="0" w:color="auto"/>
            </w:tcBorders>
            <w:shd w:val="clear" w:color="000000" w:fill="D9D9D9"/>
            <w:hideMark/>
          </w:tcPr>
          <w:bookmarkEnd w:id="3"/>
          <w:p w14:paraId="473ED428"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Area/Site size</w:t>
            </w:r>
          </w:p>
        </w:tc>
        <w:tc>
          <w:tcPr>
            <w:tcW w:w="1598" w:type="dxa"/>
            <w:tcBorders>
              <w:top w:val="single" w:sz="4" w:space="0" w:color="auto"/>
              <w:left w:val="nil"/>
              <w:bottom w:val="single" w:sz="4" w:space="0" w:color="auto"/>
              <w:right w:val="single" w:sz="4" w:space="0" w:color="auto"/>
            </w:tcBorders>
            <w:shd w:val="clear" w:color="000000" w:fill="D9D9D9"/>
            <w:hideMark/>
          </w:tcPr>
          <w:p w14:paraId="505DD913"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 xml:space="preserve">Outstanding permissions* </w:t>
            </w:r>
          </w:p>
        </w:tc>
        <w:tc>
          <w:tcPr>
            <w:tcW w:w="1564" w:type="dxa"/>
            <w:tcBorders>
              <w:top w:val="single" w:sz="4" w:space="0" w:color="auto"/>
              <w:left w:val="nil"/>
              <w:bottom w:val="single" w:sz="4" w:space="0" w:color="auto"/>
              <w:right w:val="single" w:sz="4" w:space="0" w:color="auto"/>
            </w:tcBorders>
            <w:shd w:val="clear" w:color="000000" w:fill="D9D9D9"/>
            <w:hideMark/>
          </w:tcPr>
          <w:p w14:paraId="3B5D7FE0"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Lapse rate applicable</w:t>
            </w:r>
          </w:p>
        </w:tc>
        <w:tc>
          <w:tcPr>
            <w:tcW w:w="1513" w:type="dxa"/>
            <w:tcBorders>
              <w:top w:val="single" w:sz="4" w:space="0" w:color="auto"/>
              <w:left w:val="nil"/>
              <w:bottom w:val="single" w:sz="4" w:space="0" w:color="auto"/>
              <w:right w:val="single" w:sz="4" w:space="0" w:color="auto"/>
            </w:tcBorders>
            <w:shd w:val="clear" w:color="000000" w:fill="D9D9D9"/>
            <w:hideMark/>
          </w:tcPr>
          <w:p w14:paraId="0CFF8347"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Discounted permissions</w:t>
            </w:r>
          </w:p>
        </w:tc>
        <w:tc>
          <w:tcPr>
            <w:tcW w:w="2413" w:type="dxa"/>
            <w:tcBorders>
              <w:top w:val="single" w:sz="4" w:space="0" w:color="auto"/>
              <w:left w:val="nil"/>
              <w:bottom w:val="single" w:sz="4" w:space="0" w:color="auto"/>
              <w:right w:val="single" w:sz="4" w:space="0" w:color="auto"/>
            </w:tcBorders>
            <w:shd w:val="clear" w:color="000000" w:fill="D9D9D9"/>
            <w:hideMark/>
          </w:tcPr>
          <w:p w14:paraId="415BF889"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Dwellings deducted over plan period</w:t>
            </w:r>
          </w:p>
        </w:tc>
      </w:tr>
      <w:tr w:rsidR="00214E5A" w:rsidRPr="00214E5A" w14:paraId="6921B576"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8153D12"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Hucknall Large</w:t>
            </w:r>
          </w:p>
        </w:tc>
        <w:tc>
          <w:tcPr>
            <w:tcW w:w="1598" w:type="dxa"/>
            <w:tcBorders>
              <w:top w:val="nil"/>
              <w:left w:val="nil"/>
              <w:bottom w:val="single" w:sz="4" w:space="0" w:color="auto"/>
              <w:right w:val="single" w:sz="4" w:space="0" w:color="auto"/>
            </w:tcBorders>
            <w:shd w:val="clear" w:color="auto" w:fill="auto"/>
            <w:hideMark/>
          </w:tcPr>
          <w:p w14:paraId="51D4B6BA"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1564" w:type="dxa"/>
            <w:tcBorders>
              <w:top w:val="nil"/>
              <w:left w:val="nil"/>
              <w:bottom w:val="single" w:sz="4" w:space="0" w:color="auto"/>
              <w:right w:val="single" w:sz="4" w:space="0" w:color="auto"/>
            </w:tcBorders>
            <w:shd w:val="clear" w:color="auto" w:fill="auto"/>
            <w:hideMark/>
          </w:tcPr>
          <w:p w14:paraId="6872E7F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1B39EC3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2413" w:type="dxa"/>
            <w:tcBorders>
              <w:top w:val="nil"/>
              <w:left w:val="nil"/>
              <w:bottom w:val="single" w:sz="4" w:space="0" w:color="auto"/>
              <w:right w:val="single" w:sz="4" w:space="0" w:color="auto"/>
            </w:tcBorders>
            <w:shd w:val="clear" w:color="auto" w:fill="auto"/>
            <w:hideMark/>
          </w:tcPr>
          <w:p w14:paraId="18289D2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r>
      <w:tr w:rsidR="00214E5A" w:rsidRPr="00214E5A" w14:paraId="60A733CA"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4D3B56F8"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Hucknall Small</w:t>
            </w:r>
          </w:p>
        </w:tc>
        <w:tc>
          <w:tcPr>
            <w:tcW w:w="1598" w:type="dxa"/>
            <w:tcBorders>
              <w:top w:val="nil"/>
              <w:left w:val="nil"/>
              <w:bottom w:val="single" w:sz="4" w:space="0" w:color="auto"/>
              <w:right w:val="single" w:sz="4" w:space="0" w:color="auto"/>
            </w:tcBorders>
            <w:shd w:val="clear" w:color="auto" w:fill="auto"/>
            <w:hideMark/>
          </w:tcPr>
          <w:p w14:paraId="78843F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113</w:t>
            </w:r>
          </w:p>
        </w:tc>
        <w:tc>
          <w:tcPr>
            <w:tcW w:w="1564" w:type="dxa"/>
            <w:tcBorders>
              <w:top w:val="nil"/>
              <w:left w:val="nil"/>
              <w:bottom w:val="single" w:sz="4" w:space="0" w:color="auto"/>
              <w:right w:val="single" w:sz="4" w:space="0" w:color="auto"/>
            </w:tcBorders>
            <w:shd w:val="clear" w:color="auto" w:fill="auto"/>
            <w:hideMark/>
          </w:tcPr>
          <w:p w14:paraId="048643A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2DDD882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83</w:t>
            </w:r>
          </w:p>
        </w:tc>
        <w:tc>
          <w:tcPr>
            <w:tcW w:w="2413" w:type="dxa"/>
            <w:tcBorders>
              <w:top w:val="nil"/>
              <w:left w:val="nil"/>
              <w:bottom w:val="single" w:sz="4" w:space="0" w:color="auto"/>
              <w:right w:val="single" w:sz="4" w:space="0" w:color="auto"/>
            </w:tcBorders>
            <w:shd w:val="clear" w:color="auto" w:fill="auto"/>
            <w:hideMark/>
          </w:tcPr>
          <w:p w14:paraId="26BDF68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30</w:t>
            </w:r>
          </w:p>
        </w:tc>
      </w:tr>
      <w:tr w:rsidR="00214E5A" w:rsidRPr="00214E5A" w14:paraId="1EB1BE23"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97AC6AB"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Rurals Large</w:t>
            </w:r>
          </w:p>
        </w:tc>
        <w:tc>
          <w:tcPr>
            <w:tcW w:w="1598" w:type="dxa"/>
            <w:tcBorders>
              <w:top w:val="nil"/>
              <w:left w:val="nil"/>
              <w:bottom w:val="single" w:sz="4" w:space="0" w:color="auto"/>
              <w:right w:val="single" w:sz="4" w:space="0" w:color="auto"/>
            </w:tcBorders>
            <w:shd w:val="clear" w:color="auto" w:fill="auto"/>
            <w:hideMark/>
          </w:tcPr>
          <w:p w14:paraId="46245261"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1564" w:type="dxa"/>
            <w:tcBorders>
              <w:top w:val="nil"/>
              <w:left w:val="nil"/>
              <w:bottom w:val="single" w:sz="4" w:space="0" w:color="auto"/>
              <w:right w:val="single" w:sz="4" w:space="0" w:color="auto"/>
            </w:tcBorders>
            <w:shd w:val="clear" w:color="auto" w:fill="auto"/>
            <w:hideMark/>
          </w:tcPr>
          <w:p w14:paraId="7A793F4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187DAA84"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2413" w:type="dxa"/>
            <w:tcBorders>
              <w:top w:val="nil"/>
              <w:left w:val="nil"/>
              <w:bottom w:val="single" w:sz="4" w:space="0" w:color="auto"/>
              <w:right w:val="single" w:sz="4" w:space="0" w:color="auto"/>
            </w:tcBorders>
            <w:shd w:val="clear" w:color="auto" w:fill="auto"/>
            <w:hideMark/>
          </w:tcPr>
          <w:p w14:paraId="2803391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r>
      <w:tr w:rsidR="00214E5A" w:rsidRPr="00214E5A" w14:paraId="759BFBE3"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3D80096"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Rurals Small</w:t>
            </w:r>
          </w:p>
        </w:tc>
        <w:tc>
          <w:tcPr>
            <w:tcW w:w="1598" w:type="dxa"/>
            <w:tcBorders>
              <w:top w:val="nil"/>
              <w:left w:val="nil"/>
              <w:bottom w:val="single" w:sz="4" w:space="0" w:color="auto"/>
              <w:right w:val="single" w:sz="4" w:space="0" w:color="auto"/>
            </w:tcBorders>
            <w:shd w:val="clear" w:color="auto" w:fill="auto"/>
            <w:hideMark/>
          </w:tcPr>
          <w:p w14:paraId="309B32F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38</w:t>
            </w:r>
          </w:p>
        </w:tc>
        <w:tc>
          <w:tcPr>
            <w:tcW w:w="1564" w:type="dxa"/>
            <w:tcBorders>
              <w:top w:val="nil"/>
              <w:left w:val="nil"/>
              <w:bottom w:val="single" w:sz="4" w:space="0" w:color="auto"/>
              <w:right w:val="single" w:sz="4" w:space="0" w:color="auto"/>
            </w:tcBorders>
            <w:shd w:val="clear" w:color="auto" w:fill="auto"/>
            <w:hideMark/>
          </w:tcPr>
          <w:p w14:paraId="4CFFEC1A"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11117345"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28</w:t>
            </w:r>
          </w:p>
        </w:tc>
        <w:tc>
          <w:tcPr>
            <w:tcW w:w="2413" w:type="dxa"/>
            <w:tcBorders>
              <w:top w:val="nil"/>
              <w:left w:val="nil"/>
              <w:bottom w:val="single" w:sz="4" w:space="0" w:color="auto"/>
              <w:right w:val="single" w:sz="4" w:space="0" w:color="auto"/>
            </w:tcBorders>
            <w:shd w:val="clear" w:color="auto" w:fill="auto"/>
            <w:hideMark/>
          </w:tcPr>
          <w:p w14:paraId="657FDF0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10</w:t>
            </w:r>
          </w:p>
        </w:tc>
      </w:tr>
      <w:tr w:rsidR="00214E5A" w:rsidRPr="00214E5A" w14:paraId="78890089"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7C1B2654"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Kirkby Large</w:t>
            </w:r>
          </w:p>
        </w:tc>
        <w:tc>
          <w:tcPr>
            <w:tcW w:w="1598" w:type="dxa"/>
            <w:tcBorders>
              <w:top w:val="nil"/>
              <w:left w:val="nil"/>
              <w:bottom w:val="single" w:sz="4" w:space="0" w:color="auto"/>
              <w:right w:val="single" w:sz="4" w:space="0" w:color="auto"/>
            </w:tcBorders>
            <w:shd w:val="clear" w:color="auto" w:fill="auto"/>
            <w:hideMark/>
          </w:tcPr>
          <w:p w14:paraId="389A4FE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54</w:t>
            </w:r>
          </w:p>
        </w:tc>
        <w:tc>
          <w:tcPr>
            <w:tcW w:w="1564" w:type="dxa"/>
            <w:tcBorders>
              <w:top w:val="nil"/>
              <w:left w:val="nil"/>
              <w:bottom w:val="single" w:sz="4" w:space="0" w:color="auto"/>
              <w:right w:val="single" w:sz="4" w:space="0" w:color="auto"/>
            </w:tcBorders>
            <w:shd w:val="clear" w:color="auto" w:fill="auto"/>
            <w:hideMark/>
          </w:tcPr>
          <w:p w14:paraId="12F79C8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403D5B9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51</w:t>
            </w:r>
          </w:p>
        </w:tc>
        <w:tc>
          <w:tcPr>
            <w:tcW w:w="2413" w:type="dxa"/>
            <w:tcBorders>
              <w:top w:val="nil"/>
              <w:left w:val="nil"/>
              <w:bottom w:val="single" w:sz="4" w:space="0" w:color="auto"/>
              <w:right w:val="single" w:sz="4" w:space="0" w:color="auto"/>
            </w:tcBorders>
            <w:shd w:val="clear" w:color="auto" w:fill="auto"/>
            <w:hideMark/>
          </w:tcPr>
          <w:p w14:paraId="0CF044B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w:t>
            </w:r>
          </w:p>
        </w:tc>
      </w:tr>
      <w:tr w:rsidR="00214E5A" w:rsidRPr="00214E5A" w14:paraId="0F8E1E51"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3AE682BA"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Kirkby Small</w:t>
            </w:r>
          </w:p>
        </w:tc>
        <w:tc>
          <w:tcPr>
            <w:tcW w:w="1598" w:type="dxa"/>
            <w:tcBorders>
              <w:top w:val="nil"/>
              <w:left w:val="nil"/>
              <w:bottom w:val="single" w:sz="4" w:space="0" w:color="auto"/>
              <w:right w:val="single" w:sz="4" w:space="0" w:color="auto"/>
            </w:tcBorders>
            <w:shd w:val="clear" w:color="auto" w:fill="auto"/>
            <w:hideMark/>
          </w:tcPr>
          <w:p w14:paraId="3831F642"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48</w:t>
            </w:r>
          </w:p>
        </w:tc>
        <w:tc>
          <w:tcPr>
            <w:tcW w:w="1564" w:type="dxa"/>
            <w:tcBorders>
              <w:top w:val="nil"/>
              <w:left w:val="nil"/>
              <w:bottom w:val="single" w:sz="4" w:space="0" w:color="auto"/>
              <w:right w:val="single" w:sz="4" w:space="0" w:color="auto"/>
            </w:tcBorders>
            <w:shd w:val="clear" w:color="auto" w:fill="auto"/>
            <w:hideMark/>
          </w:tcPr>
          <w:p w14:paraId="6FC10FE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5C8BE729"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c>
          <w:tcPr>
            <w:tcW w:w="2413" w:type="dxa"/>
            <w:tcBorders>
              <w:top w:val="nil"/>
              <w:left w:val="nil"/>
              <w:bottom w:val="single" w:sz="4" w:space="0" w:color="auto"/>
              <w:right w:val="single" w:sz="4" w:space="0" w:color="auto"/>
            </w:tcBorders>
            <w:shd w:val="clear" w:color="auto" w:fill="auto"/>
            <w:hideMark/>
          </w:tcPr>
          <w:p w14:paraId="7E2FEC6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13</w:t>
            </w:r>
          </w:p>
        </w:tc>
      </w:tr>
      <w:tr w:rsidR="00214E5A" w:rsidRPr="00214E5A" w14:paraId="160034E0" w14:textId="77777777" w:rsidTr="00214E5A">
        <w:trPr>
          <w:trHeight w:val="462"/>
        </w:trPr>
        <w:tc>
          <w:tcPr>
            <w:tcW w:w="1843" w:type="dxa"/>
            <w:tcBorders>
              <w:top w:val="nil"/>
              <w:left w:val="single" w:sz="4" w:space="0" w:color="auto"/>
              <w:bottom w:val="single" w:sz="4" w:space="0" w:color="auto"/>
              <w:right w:val="single" w:sz="4" w:space="0" w:color="auto"/>
            </w:tcBorders>
            <w:shd w:val="clear" w:color="auto" w:fill="auto"/>
            <w:hideMark/>
          </w:tcPr>
          <w:p w14:paraId="5A2DC1B2"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Sutton Large</w:t>
            </w:r>
          </w:p>
        </w:tc>
        <w:tc>
          <w:tcPr>
            <w:tcW w:w="1598" w:type="dxa"/>
            <w:tcBorders>
              <w:top w:val="nil"/>
              <w:left w:val="nil"/>
              <w:bottom w:val="single" w:sz="4" w:space="0" w:color="auto"/>
              <w:right w:val="single" w:sz="4" w:space="0" w:color="auto"/>
            </w:tcBorders>
            <w:shd w:val="clear" w:color="auto" w:fill="auto"/>
            <w:hideMark/>
          </w:tcPr>
          <w:p w14:paraId="286CB351"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500</w:t>
            </w:r>
          </w:p>
        </w:tc>
        <w:tc>
          <w:tcPr>
            <w:tcW w:w="1564" w:type="dxa"/>
            <w:tcBorders>
              <w:top w:val="nil"/>
              <w:left w:val="nil"/>
              <w:bottom w:val="single" w:sz="4" w:space="0" w:color="auto"/>
              <w:right w:val="single" w:sz="4" w:space="0" w:color="auto"/>
            </w:tcBorders>
            <w:shd w:val="clear" w:color="auto" w:fill="auto"/>
            <w:hideMark/>
          </w:tcPr>
          <w:p w14:paraId="6D27E23F"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2E1F711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468</w:t>
            </w:r>
          </w:p>
        </w:tc>
        <w:tc>
          <w:tcPr>
            <w:tcW w:w="2413" w:type="dxa"/>
            <w:tcBorders>
              <w:top w:val="nil"/>
              <w:left w:val="nil"/>
              <w:bottom w:val="single" w:sz="4" w:space="0" w:color="auto"/>
              <w:right w:val="single" w:sz="4" w:space="0" w:color="auto"/>
            </w:tcBorders>
            <w:shd w:val="clear" w:color="auto" w:fill="auto"/>
            <w:hideMark/>
          </w:tcPr>
          <w:p w14:paraId="07424FE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32</w:t>
            </w:r>
          </w:p>
        </w:tc>
      </w:tr>
      <w:tr w:rsidR="00214E5A" w:rsidRPr="00214E5A" w14:paraId="2B55E9C9"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0F934B1"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Sutton Small</w:t>
            </w:r>
          </w:p>
        </w:tc>
        <w:tc>
          <w:tcPr>
            <w:tcW w:w="1598" w:type="dxa"/>
            <w:tcBorders>
              <w:top w:val="nil"/>
              <w:left w:val="nil"/>
              <w:bottom w:val="single" w:sz="4" w:space="0" w:color="auto"/>
              <w:right w:val="single" w:sz="4" w:space="0" w:color="auto"/>
            </w:tcBorders>
            <w:shd w:val="clear" w:color="auto" w:fill="auto"/>
            <w:hideMark/>
          </w:tcPr>
          <w:p w14:paraId="13673070"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131</w:t>
            </w:r>
          </w:p>
        </w:tc>
        <w:tc>
          <w:tcPr>
            <w:tcW w:w="1564" w:type="dxa"/>
            <w:tcBorders>
              <w:top w:val="nil"/>
              <w:left w:val="nil"/>
              <w:bottom w:val="single" w:sz="4" w:space="0" w:color="auto"/>
              <w:right w:val="single" w:sz="4" w:space="0" w:color="auto"/>
            </w:tcBorders>
            <w:shd w:val="clear" w:color="auto" w:fill="auto"/>
            <w:hideMark/>
          </w:tcPr>
          <w:p w14:paraId="78B9ECC2"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0FBCD7E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96</w:t>
            </w:r>
          </w:p>
        </w:tc>
        <w:tc>
          <w:tcPr>
            <w:tcW w:w="2413" w:type="dxa"/>
            <w:tcBorders>
              <w:top w:val="nil"/>
              <w:left w:val="nil"/>
              <w:bottom w:val="single" w:sz="4" w:space="0" w:color="auto"/>
              <w:right w:val="single" w:sz="4" w:space="0" w:color="auto"/>
            </w:tcBorders>
            <w:shd w:val="clear" w:color="auto" w:fill="auto"/>
            <w:hideMark/>
          </w:tcPr>
          <w:p w14:paraId="5AB34B20"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r>
      <w:tr w:rsidR="00214E5A" w:rsidRPr="00214E5A" w14:paraId="596B52D5"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19F691B9"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Large</w:t>
            </w:r>
          </w:p>
        </w:tc>
        <w:tc>
          <w:tcPr>
            <w:tcW w:w="1598" w:type="dxa"/>
            <w:tcBorders>
              <w:top w:val="nil"/>
              <w:left w:val="nil"/>
              <w:bottom w:val="single" w:sz="4" w:space="0" w:color="auto"/>
              <w:right w:val="single" w:sz="4" w:space="0" w:color="auto"/>
            </w:tcBorders>
            <w:shd w:val="clear" w:color="auto" w:fill="auto"/>
            <w:hideMark/>
          </w:tcPr>
          <w:p w14:paraId="2341278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554</w:t>
            </w:r>
          </w:p>
        </w:tc>
        <w:tc>
          <w:tcPr>
            <w:tcW w:w="1564" w:type="dxa"/>
            <w:tcBorders>
              <w:top w:val="nil"/>
              <w:left w:val="nil"/>
              <w:bottom w:val="single" w:sz="4" w:space="0" w:color="auto"/>
              <w:right w:val="single" w:sz="4" w:space="0" w:color="auto"/>
            </w:tcBorders>
            <w:shd w:val="clear" w:color="auto" w:fill="auto"/>
            <w:hideMark/>
          </w:tcPr>
          <w:p w14:paraId="1596E85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595B700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519</w:t>
            </w:r>
          </w:p>
        </w:tc>
        <w:tc>
          <w:tcPr>
            <w:tcW w:w="2413" w:type="dxa"/>
            <w:tcBorders>
              <w:top w:val="nil"/>
              <w:left w:val="nil"/>
              <w:bottom w:val="single" w:sz="4" w:space="0" w:color="auto"/>
              <w:right w:val="single" w:sz="4" w:space="0" w:color="auto"/>
            </w:tcBorders>
            <w:shd w:val="clear" w:color="auto" w:fill="auto"/>
            <w:hideMark/>
          </w:tcPr>
          <w:p w14:paraId="23E669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r>
      <w:tr w:rsidR="00214E5A" w:rsidRPr="00214E5A" w14:paraId="4ABB42C0"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55599B6"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Small</w:t>
            </w:r>
          </w:p>
        </w:tc>
        <w:tc>
          <w:tcPr>
            <w:tcW w:w="1598" w:type="dxa"/>
            <w:tcBorders>
              <w:top w:val="nil"/>
              <w:left w:val="nil"/>
              <w:bottom w:val="single" w:sz="4" w:space="0" w:color="auto"/>
              <w:right w:val="single" w:sz="4" w:space="0" w:color="auto"/>
            </w:tcBorders>
            <w:shd w:val="clear" w:color="auto" w:fill="auto"/>
            <w:hideMark/>
          </w:tcPr>
          <w:p w14:paraId="3FF696E9"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330</w:t>
            </w:r>
          </w:p>
        </w:tc>
        <w:tc>
          <w:tcPr>
            <w:tcW w:w="1564" w:type="dxa"/>
            <w:tcBorders>
              <w:top w:val="nil"/>
              <w:left w:val="nil"/>
              <w:bottom w:val="single" w:sz="4" w:space="0" w:color="auto"/>
              <w:right w:val="single" w:sz="4" w:space="0" w:color="auto"/>
            </w:tcBorders>
            <w:shd w:val="clear" w:color="auto" w:fill="auto"/>
            <w:hideMark/>
          </w:tcPr>
          <w:p w14:paraId="720840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41A0A415"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241</w:t>
            </w:r>
          </w:p>
        </w:tc>
        <w:tc>
          <w:tcPr>
            <w:tcW w:w="2413" w:type="dxa"/>
            <w:tcBorders>
              <w:top w:val="nil"/>
              <w:left w:val="nil"/>
              <w:bottom w:val="single" w:sz="4" w:space="0" w:color="auto"/>
              <w:right w:val="single" w:sz="4" w:space="0" w:color="auto"/>
            </w:tcBorders>
            <w:shd w:val="clear" w:color="auto" w:fill="auto"/>
            <w:hideMark/>
          </w:tcPr>
          <w:p w14:paraId="4AC38B1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89</w:t>
            </w:r>
          </w:p>
        </w:tc>
      </w:tr>
      <w:tr w:rsidR="00214E5A" w:rsidRPr="00214E5A" w14:paraId="73A1A6DC"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CFC9A57"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ALL SITES</w:t>
            </w:r>
          </w:p>
        </w:tc>
        <w:tc>
          <w:tcPr>
            <w:tcW w:w="1598" w:type="dxa"/>
            <w:tcBorders>
              <w:top w:val="nil"/>
              <w:left w:val="nil"/>
              <w:bottom w:val="single" w:sz="4" w:space="0" w:color="auto"/>
              <w:right w:val="single" w:sz="4" w:space="0" w:color="auto"/>
            </w:tcBorders>
            <w:shd w:val="clear" w:color="auto" w:fill="auto"/>
            <w:noWrap/>
            <w:hideMark/>
          </w:tcPr>
          <w:p w14:paraId="51B9C63C"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884</w:t>
            </w:r>
          </w:p>
        </w:tc>
        <w:tc>
          <w:tcPr>
            <w:tcW w:w="1564" w:type="dxa"/>
            <w:tcBorders>
              <w:top w:val="nil"/>
              <w:left w:val="nil"/>
              <w:bottom w:val="single" w:sz="4" w:space="0" w:color="auto"/>
              <w:right w:val="single" w:sz="4" w:space="0" w:color="auto"/>
            </w:tcBorders>
            <w:shd w:val="clear" w:color="auto" w:fill="auto"/>
            <w:noWrap/>
            <w:hideMark/>
          </w:tcPr>
          <w:p w14:paraId="5EF6C256"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n/a</w:t>
            </w:r>
          </w:p>
        </w:tc>
        <w:tc>
          <w:tcPr>
            <w:tcW w:w="1513" w:type="dxa"/>
            <w:tcBorders>
              <w:top w:val="nil"/>
              <w:left w:val="nil"/>
              <w:bottom w:val="single" w:sz="4" w:space="0" w:color="auto"/>
              <w:right w:val="single" w:sz="4" w:space="0" w:color="auto"/>
            </w:tcBorders>
            <w:shd w:val="clear" w:color="auto" w:fill="auto"/>
            <w:noWrap/>
            <w:hideMark/>
          </w:tcPr>
          <w:p w14:paraId="3B8A5594"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760</w:t>
            </w:r>
          </w:p>
        </w:tc>
        <w:tc>
          <w:tcPr>
            <w:tcW w:w="2413" w:type="dxa"/>
            <w:tcBorders>
              <w:top w:val="nil"/>
              <w:left w:val="nil"/>
              <w:bottom w:val="single" w:sz="4" w:space="0" w:color="auto"/>
              <w:right w:val="single" w:sz="4" w:space="0" w:color="auto"/>
            </w:tcBorders>
            <w:shd w:val="clear" w:color="auto" w:fill="auto"/>
            <w:noWrap/>
            <w:hideMark/>
          </w:tcPr>
          <w:p w14:paraId="4501DDAA"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124</w:t>
            </w:r>
          </w:p>
        </w:tc>
      </w:tr>
    </w:tbl>
    <w:p w14:paraId="432C8BBE" w14:textId="43427966" w:rsidR="00635E3F" w:rsidRPr="00214E5A" w:rsidRDefault="00214E5A" w:rsidP="00214E5A">
      <w:pPr>
        <w:keepNext w:val="0"/>
        <w:spacing w:before="0"/>
        <w:ind w:left="426" w:firstLine="141"/>
        <w:rPr>
          <w:rFonts w:cs="Arial"/>
          <w:sz w:val="20"/>
        </w:rPr>
      </w:pPr>
      <w:r w:rsidRPr="00214E5A">
        <w:rPr>
          <w:rFonts w:cs="Arial"/>
          <w:sz w:val="20"/>
        </w:rPr>
        <w:t xml:space="preserve">*Small sites = all dwellings. Large sites = dwellings on sites not under construction </w:t>
      </w:r>
      <w:r w:rsidR="00635E3F" w:rsidRPr="00214E5A">
        <w:rPr>
          <w:rFonts w:cs="Arial"/>
          <w:sz w:val="20"/>
        </w:rPr>
        <w:br w:type="page"/>
      </w:r>
    </w:p>
    <w:p w14:paraId="747AA7F3" w14:textId="0B9CE87A" w:rsidR="007D2B47" w:rsidRDefault="00635E3F" w:rsidP="00157A7C">
      <w:pPr>
        <w:pStyle w:val="Heading4"/>
        <w:numPr>
          <w:ilvl w:val="0"/>
          <w:numId w:val="9"/>
        </w:numPr>
        <w:ind w:left="567" w:hanging="567"/>
      </w:pPr>
      <w:r w:rsidRPr="00331D9D">
        <w:lastRenderedPageBreak/>
        <w:t xml:space="preserve">Housing </w:t>
      </w:r>
      <w:r>
        <w:t xml:space="preserve">Site </w:t>
      </w:r>
      <w:r w:rsidRPr="00331D9D">
        <w:t>Delivery Assumptions</w:t>
      </w:r>
    </w:p>
    <w:p w14:paraId="68FA28F3" w14:textId="6001D089" w:rsidR="00635E3F" w:rsidRDefault="00635E3F" w:rsidP="00D23E4E">
      <w:pPr>
        <w:keepNext w:val="0"/>
        <w:autoSpaceDE w:val="0"/>
        <w:autoSpaceDN w:val="0"/>
        <w:adjustRightInd w:val="0"/>
        <w:spacing w:before="0" w:line="276" w:lineRule="auto"/>
        <w:rPr>
          <w:rFonts w:cs="Arial"/>
          <w:b/>
          <w:bCs/>
          <w:szCs w:val="24"/>
        </w:rPr>
      </w:pPr>
    </w:p>
    <w:p w14:paraId="33E8C28F" w14:textId="77777777" w:rsidR="00157A7C" w:rsidRPr="00157A7C" w:rsidRDefault="00063C83" w:rsidP="00D23E4E">
      <w:pPr>
        <w:pStyle w:val="ListParagraph"/>
        <w:numPr>
          <w:ilvl w:val="1"/>
          <w:numId w:val="9"/>
        </w:numPr>
        <w:spacing w:after="0"/>
        <w:ind w:left="567" w:hanging="567"/>
        <w:rPr>
          <w:rFonts w:ascii="Arial" w:hAnsi="Arial" w:cs="Arial"/>
          <w:color w:val="auto"/>
          <w:szCs w:val="24"/>
          <w:u w:val="single"/>
        </w:rPr>
      </w:pPr>
      <w:r w:rsidRPr="00157A7C">
        <w:rPr>
          <w:rFonts w:ascii="Arial" w:hAnsi="Arial" w:cs="Arial"/>
          <w:color w:val="auto"/>
          <w:szCs w:val="24"/>
        </w:rPr>
        <w:t xml:space="preserve">In order to ensure that the Council maintains a sufficient supply of housing to meet the </w:t>
      </w:r>
      <w:r w:rsidR="00FE15F1" w:rsidRPr="00157A7C">
        <w:rPr>
          <w:rFonts w:ascii="Arial" w:hAnsi="Arial" w:cs="Arial"/>
          <w:color w:val="auto"/>
          <w:szCs w:val="24"/>
        </w:rPr>
        <w:t>Local Housing Need</w:t>
      </w:r>
      <w:r w:rsidRPr="00157A7C">
        <w:rPr>
          <w:rFonts w:ascii="Arial" w:hAnsi="Arial" w:cs="Arial"/>
          <w:color w:val="auto"/>
          <w:szCs w:val="24"/>
        </w:rPr>
        <w:t xml:space="preserve"> it has been necessary to undertake a review of housing delivery in Ashfield </w:t>
      </w:r>
      <w:r w:rsidR="00234878" w:rsidRPr="00157A7C">
        <w:rPr>
          <w:rFonts w:ascii="Arial" w:hAnsi="Arial" w:cs="Arial"/>
          <w:color w:val="auto"/>
          <w:szCs w:val="24"/>
        </w:rPr>
        <w:t>D</w:t>
      </w:r>
      <w:r w:rsidRPr="00157A7C">
        <w:rPr>
          <w:rFonts w:ascii="Arial" w:hAnsi="Arial" w:cs="Arial"/>
          <w:color w:val="auto"/>
          <w:szCs w:val="24"/>
        </w:rPr>
        <w:t xml:space="preserve">istrict over </w:t>
      </w:r>
      <w:r w:rsidR="00FE15F1" w:rsidRPr="00157A7C">
        <w:rPr>
          <w:rFonts w:ascii="Arial" w:hAnsi="Arial" w:cs="Arial"/>
          <w:color w:val="auto"/>
          <w:szCs w:val="24"/>
        </w:rPr>
        <w:t>recent</w:t>
      </w:r>
      <w:r w:rsidRPr="00157A7C">
        <w:rPr>
          <w:rFonts w:ascii="Arial" w:hAnsi="Arial" w:cs="Arial"/>
          <w:color w:val="auto"/>
          <w:szCs w:val="24"/>
        </w:rPr>
        <w:t xml:space="preserve"> years. This analysis has </w:t>
      </w:r>
      <w:r w:rsidR="00234878" w:rsidRPr="00157A7C">
        <w:rPr>
          <w:rFonts w:ascii="Arial" w:hAnsi="Arial" w:cs="Arial"/>
          <w:color w:val="auto"/>
          <w:szCs w:val="24"/>
        </w:rPr>
        <w:t xml:space="preserve">contributed towards the </w:t>
      </w:r>
      <w:r w:rsidRPr="00157A7C">
        <w:rPr>
          <w:rFonts w:ascii="Arial" w:hAnsi="Arial" w:cs="Arial"/>
          <w:color w:val="auto"/>
          <w:szCs w:val="24"/>
        </w:rPr>
        <w:t>assumptions made in relation to the timescale of housing delivery and the annual build rates included in Ashfield District’s Housing Trajectory</w:t>
      </w:r>
      <w:r w:rsidRPr="00157A7C">
        <w:rPr>
          <w:rFonts w:ascii="Arial" w:hAnsi="Arial" w:cs="Arial"/>
          <w:color w:val="auto"/>
          <w:szCs w:val="24"/>
          <w:vertAlign w:val="superscript"/>
        </w:rPr>
        <w:footnoteReference w:id="6"/>
      </w:r>
      <w:r w:rsidRPr="00157A7C">
        <w:rPr>
          <w:rFonts w:ascii="Arial" w:hAnsi="Arial" w:cs="Arial"/>
          <w:color w:val="auto"/>
          <w:szCs w:val="24"/>
        </w:rPr>
        <w:t xml:space="preserve">. </w:t>
      </w:r>
    </w:p>
    <w:p w14:paraId="63E11707" w14:textId="77777777" w:rsidR="00157A7C" w:rsidRPr="00157A7C" w:rsidRDefault="00157A7C" w:rsidP="00D23E4E">
      <w:pPr>
        <w:pStyle w:val="ListParagraph"/>
        <w:spacing w:after="0"/>
        <w:ind w:left="567"/>
        <w:rPr>
          <w:rFonts w:ascii="Arial" w:hAnsi="Arial" w:cs="Arial"/>
          <w:color w:val="auto"/>
          <w:szCs w:val="24"/>
          <w:u w:val="single"/>
        </w:rPr>
      </w:pPr>
    </w:p>
    <w:p w14:paraId="08A51811" w14:textId="54FDA193" w:rsidR="00063C83" w:rsidRPr="00157A7C" w:rsidRDefault="00063C83" w:rsidP="00D23E4E">
      <w:pPr>
        <w:pStyle w:val="ListParagraph"/>
        <w:numPr>
          <w:ilvl w:val="1"/>
          <w:numId w:val="9"/>
        </w:numPr>
        <w:spacing w:after="0"/>
        <w:ind w:left="567" w:hanging="567"/>
        <w:rPr>
          <w:rFonts w:ascii="Arial" w:hAnsi="Arial" w:cs="Arial"/>
          <w:color w:val="auto"/>
          <w:szCs w:val="24"/>
          <w:u w:val="single"/>
        </w:rPr>
      </w:pPr>
      <w:r w:rsidRPr="00157A7C">
        <w:rPr>
          <w:rFonts w:ascii="Arial" w:hAnsi="Arial" w:cs="Arial"/>
          <w:color w:val="auto"/>
          <w:szCs w:val="24"/>
        </w:rPr>
        <w:t>In addition, the Council has liaised with landowners, agents and developers of sites submitted for consideration as housing allocations in the emerging Local Plan. Studies undertaken by the HBF</w:t>
      </w:r>
      <w:r w:rsidRPr="00157A7C">
        <w:rPr>
          <w:rFonts w:ascii="Arial" w:hAnsi="Arial" w:cs="Arial"/>
          <w:vertAlign w:val="superscript"/>
        </w:rPr>
        <w:footnoteReference w:id="7"/>
      </w:r>
      <w:r w:rsidRPr="00157A7C">
        <w:rPr>
          <w:rFonts w:ascii="Arial" w:hAnsi="Arial" w:cs="Arial"/>
          <w:color w:val="auto"/>
          <w:szCs w:val="24"/>
        </w:rPr>
        <w:t>, Nathaniel Lichfield and Partners</w:t>
      </w:r>
      <w:r w:rsidRPr="00157A7C">
        <w:rPr>
          <w:rFonts w:ascii="Arial" w:hAnsi="Arial" w:cs="Arial"/>
          <w:vertAlign w:val="superscript"/>
        </w:rPr>
        <w:footnoteReference w:id="8"/>
      </w:r>
      <w:r w:rsidRPr="00157A7C">
        <w:rPr>
          <w:rFonts w:ascii="Arial" w:hAnsi="Arial" w:cs="Arial"/>
          <w:color w:val="auto"/>
          <w:szCs w:val="24"/>
        </w:rPr>
        <w:t>, and Savills</w:t>
      </w:r>
      <w:r w:rsidRPr="00157A7C">
        <w:rPr>
          <w:rFonts w:ascii="Arial" w:hAnsi="Arial" w:cs="Arial"/>
          <w:vertAlign w:val="superscript"/>
        </w:rPr>
        <w:footnoteReference w:id="9"/>
      </w:r>
      <w:r w:rsidRPr="00157A7C">
        <w:rPr>
          <w:rFonts w:ascii="Arial" w:hAnsi="Arial" w:cs="Arial"/>
          <w:color w:val="auto"/>
          <w:szCs w:val="24"/>
        </w:rPr>
        <w:t xml:space="preserve"> have also informed the approach taken. </w:t>
      </w:r>
      <w:r w:rsidR="00214E5A">
        <w:rPr>
          <w:rFonts w:ascii="Arial" w:hAnsi="Arial" w:cs="Arial"/>
          <w:color w:val="auto"/>
          <w:szCs w:val="24"/>
        </w:rPr>
        <w:t>T</w:t>
      </w:r>
      <w:r w:rsidRPr="00157A7C">
        <w:rPr>
          <w:rFonts w:ascii="Arial" w:hAnsi="Arial" w:cs="Arial"/>
          <w:color w:val="auto"/>
          <w:szCs w:val="24"/>
        </w:rPr>
        <w:t xml:space="preserve">his process </w:t>
      </w:r>
      <w:r w:rsidR="00214E5A">
        <w:rPr>
          <w:rFonts w:ascii="Arial" w:hAnsi="Arial" w:cs="Arial"/>
          <w:color w:val="auto"/>
          <w:szCs w:val="24"/>
        </w:rPr>
        <w:t xml:space="preserve">has enabled </w:t>
      </w:r>
      <w:r w:rsidRPr="00157A7C">
        <w:rPr>
          <w:rFonts w:ascii="Arial" w:hAnsi="Arial" w:cs="Arial"/>
          <w:color w:val="auto"/>
          <w:szCs w:val="24"/>
        </w:rPr>
        <w:t xml:space="preserve">the Council </w:t>
      </w:r>
      <w:r w:rsidR="00851BA2">
        <w:rPr>
          <w:rFonts w:ascii="Arial" w:hAnsi="Arial" w:cs="Arial"/>
          <w:color w:val="auto"/>
          <w:szCs w:val="24"/>
        </w:rPr>
        <w:t xml:space="preserve">to </w:t>
      </w:r>
      <w:proofErr w:type="gramStart"/>
      <w:r w:rsidRPr="00157A7C">
        <w:rPr>
          <w:rFonts w:ascii="Arial" w:hAnsi="Arial" w:cs="Arial"/>
          <w:color w:val="auto"/>
          <w:szCs w:val="24"/>
        </w:rPr>
        <w:t>developed</w:t>
      </w:r>
      <w:proofErr w:type="gramEnd"/>
      <w:r w:rsidRPr="00157A7C">
        <w:rPr>
          <w:rFonts w:ascii="Arial" w:hAnsi="Arial" w:cs="Arial"/>
          <w:color w:val="auto"/>
          <w:szCs w:val="24"/>
        </w:rPr>
        <w:t xml:space="preserve"> a realistic timetable of future housing delivery, justified through the assessment of past delivery rates</w:t>
      </w:r>
      <w:r w:rsidR="00454E26" w:rsidRPr="00157A7C">
        <w:rPr>
          <w:rFonts w:ascii="Arial" w:hAnsi="Arial" w:cs="Arial"/>
          <w:color w:val="auto"/>
          <w:szCs w:val="24"/>
        </w:rPr>
        <w:t xml:space="preserve">, literature review and </w:t>
      </w:r>
      <w:r w:rsidRPr="00157A7C">
        <w:rPr>
          <w:rFonts w:ascii="Arial" w:hAnsi="Arial" w:cs="Arial"/>
          <w:color w:val="auto"/>
          <w:szCs w:val="24"/>
        </w:rPr>
        <w:t xml:space="preserve">ongoing dialogue with developers and landowners of </w:t>
      </w:r>
      <w:r w:rsidR="00454E26" w:rsidRPr="00157A7C">
        <w:rPr>
          <w:rFonts w:ascii="Arial" w:hAnsi="Arial" w:cs="Arial"/>
          <w:color w:val="auto"/>
          <w:szCs w:val="24"/>
        </w:rPr>
        <w:t xml:space="preserve">potential housing </w:t>
      </w:r>
      <w:r w:rsidRPr="00157A7C">
        <w:rPr>
          <w:rFonts w:ascii="Arial" w:hAnsi="Arial" w:cs="Arial"/>
          <w:color w:val="auto"/>
          <w:szCs w:val="24"/>
        </w:rPr>
        <w:t>sites.</w:t>
      </w:r>
    </w:p>
    <w:p w14:paraId="40AA04F1" w14:textId="77777777" w:rsidR="00635E3F" w:rsidRPr="00157A7C" w:rsidRDefault="00635E3F" w:rsidP="00D23E4E">
      <w:pPr>
        <w:keepNext w:val="0"/>
        <w:autoSpaceDE w:val="0"/>
        <w:autoSpaceDN w:val="0"/>
        <w:adjustRightInd w:val="0"/>
        <w:spacing w:before="0" w:line="276" w:lineRule="auto"/>
        <w:rPr>
          <w:rFonts w:cs="Arial"/>
          <w:b/>
          <w:bCs/>
          <w:szCs w:val="24"/>
        </w:rPr>
      </w:pPr>
    </w:p>
    <w:p w14:paraId="00735BF7" w14:textId="3AC8A0E8" w:rsidR="00F24CBF" w:rsidRDefault="00063C83" w:rsidP="00FE22F3">
      <w:pPr>
        <w:pStyle w:val="Heading3"/>
      </w:pPr>
      <w:r w:rsidRPr="00063C83">
        <w:t>Lead-in Timescales</w:t>
      </w:r>
    </w:p>
    <w:p w14:paraId="01A80150" w14:textId="77777777" w:rsidR="00063C83" w:rsidRPr="00157A7C" w:rsidRDefault="00063C83" w:rsidP="00D23E4E">
      <w:pPr>
        <w:keepNext w:val="0"/>
        <w:spacing w:before="0" w:line="276" w:lineRule="auto"/>
        <w:ind w:left="709"/>
        <w:rPr>
          <w:rFonts w:eastAsia="Calibri" w:cs="Arial"/>
          <w:strike/>
          <w:color w:val="auto"/>
          <w:szCs w:val="24"/>
          <w:lang w:eastAsia="en-US"/>
        </w:rPr>
      </w:pPr>
    </w:p>
    <w:p w14:paraId="25470A2B" w14:textId="45818B55" w:rsidR="00063C83" w:rsidRPr="00157A7C" w:rsidRDefault="0052177C" w:rsidP="00D23E4E">
      <w:pPr>
        <w:pStyle w:val="ListParagraph"/>
        <w:numPr>
          <w:ilvl w:val="1"/>
          <w:numId w:val="9"/>
        </w:numPr>
        <w:spacing w:after="0"/>
        <w:ind w:left="567" w:hanging="567"/>
        <w:rPr>
          <w:rFonts w:ascii="Arial" w:hAnsi="Arial" w:cs="Arial"/>
          <w:color w:val="auto"/>
          <w:szCs w:val="24"/>
        </w:rPr>
      </w:pPr>
      <w:r w:rsidRPr="00157A7C">
        <w:rPr>
          <w:rFonts w:ascii="Arial" w:hAnsi="Arial" w:cs="Arial"/>
          <w:color w:val="auto"/>
          <w:szCs w:val="24"/>
        </w:rPr>
        <w:t>F</w:t>
      </w:r>
      <w:r w:rsidR="00063C83" w:rsidRPr="00157A7C">
        <w:rPr>
          <w:rFonts w:ascii="Arial" w:hAnsi="Arial" w:cs="Arial"/>
          <w:color w:val="auto"/>
          <w:szCs w:val="24"/>
        </w:rPr>
        <w:t xml:space="preserve">or the purposes of estimating future delivery in the trajectory, the Council have adopted a cautious approach to assumptions on lead-in times. For sites with full or reserved matters planning permission, the Council assumes that it will take 9 months for the discharging of conditions and a further 15 months from the granting of planning permission to the commencement of development. Taking this into consideration, the Council has assumed that development will commence in Year 3 of the Local Plan. For </w:t>
      </w:r>
      <w:r w:rsidR="00422B80" w:rsidRPr="00157A7C">
        <w:rPr>
          <w:rFonts w:ascii="Arial" w:hAnsi="Arial" w:cs="Arial"/>
          <w:color w:val="auto"/>
          <w:szCs w:val="24"/>
        </w:rPr>
        <w:t xml:space="preserve">small </w:t>
      </w:r>
      <w:r w:rsidR="00063C83" w:rsidRPr="00157A7C">
        <w:rPr>
          <w:rFonts w:ascii="Arial" w:hAnsi="Arial" w:cs="Arial"/>
          <w:color w:val="auto"/>
          <w:szCs w:val="24"/>
        </w:rPr>
        <w:t xml:space="preserve">sites with outline planning permission, development is assumed to commence in Year 4 of the Local Plan to take account of the Reserved Matters planning process. Unless site specific information has been submitted by landowners or developers, lead in times for </w:t>
      </w:r>
      <w:r w:rsidR="00422B80" w:rsidRPr="00157A7C">
        <w:rPr>
          <w:rFonts w:ascii="Arial" w:hAnsi="Arial" w:cs="Arial"/>
          <w:color w:val="auto"/>
          <w:szCs w:val="24"/>
        </w:rPr>
        <w:t xml:space="preserve">Large sites with Outline planning permission, </w:t>
      </w:r>
      <w:r w:rsidR="00C7657E" w:rsidRPr="00157A7C">
        <w:rPr>
          <w:rFonts w:ascii="Arial" w:hAnsi="Arial" w:cs="Arial"/>
          <w:color w:val="auto"/>
          <w:szCs w:val="24"/>
        </w:rPr>
        <w:t xml:space="preserve">sites with Permission in Principle, </w:t>
      </w:r>
      <w:r w:rsidR="00422B80" w:rsidRPr="00157A7C">
        <w:rPr>
          <w:rFonts w:ascii="Arial" w:hAnsi="Arial" w:cs="Arial"/>
          <w:color w:val="auto"/>
          <w:szCs w:val="24"/>
        </w:rPr>
        <w:t xml:space="preserve">and allocated </w:t>
      </w:r>
      <w:r w:rsidR="00063C83" w:rsidRPr="00157A7C">
        <w:rPr>
          <w:rFonts w:ascii="Arial" w:hAnsi="Arial" w:cs="Arial"/>
          <w:color w:val="auto"/>
          <w:szCs w:val="24"/>
        </w:rPr>
        <w:t xml:space="preserve">sites without planning permission </w:t>
      </w:r>
      <w:r w:rsidR="00422B80" w:rsidRPr="00157A7C">
        <w:rPr>
          <w:rFonts w:ascii="Arial" w:hAnsi="Arial" w:cs="Arial"/>
          <w:color w:val="auto"/>
          <w:szCs w:val="24"/>
        </w:rPr>
        <w:t>are assumed to be beyond 5 years, consistent with the</w:t>
      </w:r>
      <w:r w:rsidR="00C7657E" w:rsidRPr="00157A7C">
        <w:rPr>
          <w:rFonts w:ascii="Arial" w:hAnsi="Arial" w:cs="Arial"/>
          <w:color w:val="auto"/>
          <w:szCs w:val="24"/>
        </w:rPr>
        <w:t xml:space="preserve"> NPPF</w:t>
      </w:r>
      <w:r w:rsidR="00422B80" w:rsidRPr="00157A7C">
        <w:rPr>
          <w:rFonts w:ascii="Arial" w:hAnsi="Arial" w:cs="Arial"/>
          <w:color w:val="auto"/>
          <w:szCs w:val="24"/>
        </w:rPr>
        <w:t xml:space="preserve"> definition of ‘deliverable’</w:t>
      </w:r>
      <w:r w:rsidR="00C7657E" w:rsidRPr="00851BA2">
        <w:rPr>
          <w:rFonts w:ascii="Arial" w:hAnsi="Arial"/>
          <w:vertAlign w:val="superscript"/>
        </w:rPr>
        <w:footnoteReference w:id="10"/>
      </w:r>
      <w:r w:rsidR="00063C83" w:rsidRPr="00851BA2">
        <w:rPr>
          <w:rFonts w:ascii="Arial" w:hAnsi="Arial" w:cs="Arial"/>
          <w:color w:val="auto"/>
          <w:szCs w:val="24"/>
          <w:vertAlign w:val="superscript"/>
        </w:rPr>
        <w:t>.</w:t>
      </w:r>
    </w:p>
    <w:p w14:paraId="315DDEA0" w14:textId="77777777" w:rsidR="00063C83" w:rsidRPr="00157A7C" w:rsidRDefault="00063C83" w:rsidP="00D23E4E">
      <w:pPr>
        <w:pStyle w:val="ListParagraph"/>
        <w:spacing w:after="0"/>
        <w:ind w:left="567"/>
        <w:rPr>
          <w:rFonts w:ascii="Arial" w:hAnsi="Arial" w:cs="Arial"/>
          <w:color w:val="auto"/>
          <w:szCs w:val="24"/>
        </w:rPr>
      </w:pPr>
    </w:p>
    <w:p w14:paraId="79327EA5" w14:textId="4113A092" w:rsidR="00063C83" w:rsidRPr="00157A7C" w:rsidRDefault="00063C83" w:rsidP="00D23E4E">
      <w:pPr>
        <w:pStyle w:val="ListParagraph"/>
        <w:numPr>
          <w:ilvl w:val="1"/>
          <w:numId w:val="9"/>
        </w:numPr>
        <w:spacing w:after="0"/>
        <w:ind w:left="567" w:hanging="567"/>
        <w:rPr>
          <w:rFonts w:ascii="Arial" w:eastAsia="Calibri" w:hAnsi="Arial" w:cs="Arial"/>
          <w:strike/>
          <w:color w:val="auto"/>
          <w:szCs w:val="24"/>
        </w:rPr>
      </w:pPr>
      <w:r w:rsidRPr="00157A7C">
        <w:rPr>
          <w:rFonts w:ascii="Arial" w:hAnsi="Arial" w:cs="Arial"/>
          <w:color w:val="auto"/>
          <w:szCs w:val="24"/>
        </w:rPr>
        <w:t xml:space="preserve">The Council has assumed the following lead in periods in the absence of </w:t>
      </w:r>
      <w:r w:rsidR="00851BA2" w:rsidRPr="00157A7C">
        <w:rPr>
          <w:rFonts w:ascii="Arial" w:hAnsi="Arial" w:cs="Arial"/>
          <w:color w:val="auto"/>
          <w:szCs w:val="24"/>
        </w:rPr>
        <w:t>site-specific</w:t>
      </w:r>
      <w:r w:rsidRPr="00157A7C">
        <w:rPr>
          <w:rFonts w:ascii="Arial" w:hAnsi="Arial" w:cs="Arial"/>
          <w:color w:val="auto"/>
          <w:szCs w:val="24"/>
        </w:rPr>
        <w:t xml:space="preserve"> information</w:t>
      </w:r>
      <w:r w:rsidRPr="00157A7C">
        <w:rPr>
          <w:rFonts w:ascii="Arial" w:eastAsia="Calibri" w:hAnsi="Arial" w:cs="Arial"/>
          <w:color w:val="auto"/>
          <w:szCs w:val="24"/>
        </w:rPr>
        <w:t xml:space="preserve"> which would indicate otherwise.</w:t>
      </w:r>
      <w:r w:rsidR="00422B80" w:rsidRPr="00157A7C">
        <w:rPr>
          <w:rFonts w:ascii="Arial" w:eastAsia="Calibri" w:hAnsi="Arial" w:cs="Arial"/>
          <w:color w:val="auto"/>
          <w:szCs w:val="24"/>
        </w:rPr>
        <w:t xml:space="preserve"> Where there is clear evidence of progress on a site, delivery may be brought forward.</w:t>
      </w:r>
    </w:p>
    <w:p w14:paraId="284FA513" w14:textId="690FDDB4" w:rsidR="0052177C" w:rsidRDefault="0052177C">
      <w:pPr>
        <w:keepNext w:val="0"/>
        <w:spacing w:before="0"/>
        <w:rPr>
          <w:rFonts w:cs="Arial"/>
          <w:b/>
          <w:bCs/>
          <w:color w:val="auto"/>
          <w:szCs w:val="24"/>
        </w:rPr>
      </w:pPr>
    </w:p>
    <w:p w14:paraId="5EB2294B" w14:textId="127C8506" w:rsidR="00317D75" w:rsidRDefault="00317D75" w:rsidP="00157A7C">
      <w:pPr>
        <w:keepNext w:val="0"/>
        <w:autoSpaceDE w:val="0"/>
        <w:autoSpaceDN w:val="0"/>
        <w:adjustRightInd w:val="0"/>
        <w:spacing w:before="0"/>
        <w:ind w:left="567"/>
        <w:rPr>
          <w:rFonts w:cs="Arial"/>
          <w:b/>
          <w:bCs/>
          <w:color w:val="auto"/>
          <w:szCs w:val="24"/>
        </w:rPr>
      </w:pPr>
      <w:r w:rsidRPr="0026216D">
        <w:rPr>
          <w:rFonts w:cs="Arial"/>
          <w:b/>
          <w:bCs/>
          <w:color w:val="auto"/>
          <w:szCs w:val="24"/>
        </w:rPr>
        <w:t xml:space="preserve">TABLE </w:t>
      </w:r>
      <w:r>
        <w:rPr>
          <w:rFonts w:cs="Arial"/>
          <w:b/>
          <w:bCs/>
          <w:color w:val="auto"/>
          <w:szCs w:val="24"/>
        </w:rPr>
        <w:t>4</w:t>
      </w:r>
      <w:r w:rsidRPr="0026216D">
        <w:rPr>
          <w:rFonts w:cs="Arial"/>
          <w:b/>
          <w:bCs/>
          <w:color w:val="auto"/>
          <w:szCs w:val="24"/>
        </w:rPr>
        <w:t xml:space="preserve">: </w:t>
      </w:r>
      <w:r w:rsidR="00CB0915">
        <w:rPr>
          <w:rFonts w:cs="Arial"/>
          <w:b/>
          <w:bCs/>
          <w:color w:val="auto"/>
          <w:szCs w:val="24"/>
        </w:rPr>
        <w:t xml:space="preserve">Standard </w:t>
      </w:r>
      <w:r>
        <w:rPr>
          <w:rFonts w:cs="Arial"/>
          <w:b/>
          <w:bCs/>
          <w:color w:val="auto"/>
          <w:szCs w:val="24"/>
        </w:rPr>
        <w:t xml:space="preserve">Lead in </w:t>
      </w:r>
      <w:r w:rsidR="00CB0915">
        <w:rPr>
          <w:rFonts w:cs="Arial"/>
          <w:b/>
          <w:bCs/>
          <w:color w:val="auto"/>
          <w:szCs w:val="24"/>
        </w:rPr>
        <w:t>Period A</w:t>
      </w:r>
      <w:r>
        <w:rPr>
          <w:rFonts w:cs="Arial"/>
          <w:b/>
          <w:bCs/>
          <w:color w:val="auto"/>
          <w:szCs w:val="24"/>
        </w:rPr>
        <w:t>ssumptions</w:t>
      </w:r>
    </w:p>
    <w:p w14:paraId="4E07F6B8" w14:textId="77777777" w:rsidR="0052177C" w:rsidRPr="0026216D" w:rsidRDefault="0052177C" w:rsidP="00317D75">
      <w:pPr>
        <w:keepNext w:val="0"/>
        <w:autoSpaceDE w:val="0"/>
        <w:autoSpaceDN w:val="0"/>
        <w:adjustRightInd w:val="0"/>
        <w:spacing w:before="0"/>
        <w:rPr>
          <w:rFonts w:cs="Arial"/>
          <w:b/>
          <w:bCs/>
          <w:color w:val="auto"/>
          <w:szCs w:val="24"/>
        </w:rPr>
      </w:pPr>
    </w:p>
    <w:tbl>
      <w:tblPr>
        <w:tblStyle w:val="ReportTable1"/>
        <w:tblW w:w="9072" w:type="dxa"/>
        <w:tblInd w:w="552" w:type="dxa"/>
        <w:tblLook w:val="04A0" w:firstRow="1" w:lastRow="0" w:firstColumn="1" w:lastColumn="0" w:noHBand="0" w:noVBand="1"/>
      </w:tblPr>
      <w:tblGrid>
        <w:gridCol w:w="6946"/>
        <w:gridCol w:w="2126"/>
      </w:tblGrid>
      <w:tr w:rsidR="00063C83" w:rsidRPr="00063C83" w14:paraId="07AA75C1" w14:textId="77777777" w:rsidTr="001D74D6">
        <w:trPr>
          <w:trHeight w:val="558"/>
        </w:trPr>
        <w:tc>
          <w:tcPr>
            <w:tcW w:w="6946" w:type="dxa"/>
          </w:tcPr>
          <w:p w14:paraId="00FB8517" w14:textId="77777777" w:rsidR="00063C83" w:rsidRPr="00422B80" w:rsidRDefault="00063C83" w:rsidP="00063C83">
            <w:pPr>
              <w:keepNext w:val="0"/>
              <w:spacing w:before="0" w:after="160" w:line="259" w:lineRule="auto"/>
              <w:rPr>
                <w:rFonts w:eastAsia="Calibri" w:cs="Arial"/>
                <w:b/>
                <w:color w:val="auto"/>
                <w:szCs w:val="24"/>
                <w:lang w:eastAsia="en-US"/>
              </w:rPr>
            </w:pPr>
            <w:r w:rsidRPr="00422B80">
              <w:rPr>
                <w:rFonts w:eastAsia="Calibri" w:cs="Arial"/>
                <w:b/>
                <w:color w:val="auto"/>
                <w:szCs w:val="24"/>
                <w:lang w:eastAsia="en-US"/>
              </w:rPr>
              <w:t>Planning Status</w:t>
            </w:r>
          </w:p>
        </w:tc>
        <w:tc>
          <w:tcPr>
            <w:tcW w:w="2126" w:type="dxa"/>
          </w:tcPr>
          <w:p w14:paraId="4C2D79E7" w14:textId="77777777" w:rsidR="00063C83" w:rsidRPr="00422B80" w:rsidRDefault="00063C83" w:rsidP="00063C83">
            <w:pPr>
              <w:keepNext w:val="0"/>
              <w:spacing w:before="0" w:after="160" w:line="259" w:lineRule="auto"/>
              <w:rPr>
                <w:rFonts w:eastAsia="Calibri" w:cs="Arial"/>
                <w:b/>
                <w:color w:val="auto"/>
                <w:szCs w:val="24"/>
                <w:lang w:eastAsia="en-US"/>
              </w:rPr>
            </w:pPr>
            <w:r w:rsidRPr="00422B80">
              <w:rPr>
                <w:rFonts w:eastAsia="Calibri" w:cs="Arial"/>
                <w:b/>
                <w:color w:val="auto"/>
                <w:szCs w:val="24"/>
                <w:lang w:eastAsia="en-US"/>
              </w:rPr>
              <w:t>Commencement Year</w:t>
            </w:r>
          </w:p>
        </w:tc>
      </w:tr>
      <w:tr w:rsidR="00063C83" w:rsidRPr="00063C83" w14:paraId="5139CCFE" w14:textId="77777777" w:rsidTr="001D74D6">
        <w:trPr>
          <w:trHeight w:val="693"/>
        </w:trPr>
        <w:tc>
          <w:tcPr>
            <w:tcW w:w="6946" w:type="dxa"/>
          </w:tcPr>
          <w:p w14:paraId="31741C18" w14:textId="36B421F1" w:rsidR="00063C83" w:rsidRPr="00422B80" w:rsidRDefault="00063C83" w:rsidP="00063C83">
            <w:pPr>
              <w:keepNext w:val="0"/>
              <w:spacing w:before="0" w:after="160" w:line="259" w:lineRule="auto"/>
              <w:rPr>
                <w:rFonts w:eastAsia="Calibri" w:cs="Arial"/>
                <w:color w:val="auto"/>
                <w:szCs w:val="24"/>
                <w:lang w:eastAsia="en-US"/>
              </w:rPr>
            </w:pPr>
            <w:r w:rsidRPr="00422B80">
              <w:rPr>
                <w:rFonts w:eastAsia="Calibri" w:cs="Arial"/>
                <w:color w:val="auto"/>
                <w:szCs w:val="24"/>
                <w:lang w:eastAsia="en-US"/>
              </w:rPr>
              <w:t>Full</w:t>
            </w:r>
            <w:r w:rsidR="00422B80" w:rsidRPr="00422B80">
              <w:rPr>
                <w:rFonts w:eastAsia="Calibri" w:cs="Arial"/>
                <w:color w:val="auto"/>
                <w:szCs w:val="24"/>
                <w:lang w:eastAsia="en-US"/>
              </w:rPr>
              <w:t>/detailed</w:t>
            </w:r>
            <w:r w:rsidRPr="00422B80">
              <w:rPr>
                <w:rFonts w:eastAsia="Calibri" w:cs="Arial"/>
                <w:color w:val="auto"/>
                <w:szCs w:val="24"/>
                <w:lang w:eastAsia="en-US"/>
              </w:rPr>
              <w:t xml:space="preserve"> planning permission</w:t>
            </w:r>
            <w:r w:rsidR="00422B80">
              <w:rPr>
                <w:rFonts w:eastAsia="Calibri" w:cs="Arial"/>
                <w:color w:val="auto"/>
                <w:szCs w:val="24"/>
                <w:lang w:eastAsia="en-US"/>
              </w:rPr>
              <w:t xml:space="preserve"> - where </w:t>
            </w:r>
            <w:r w:rsidRPr="00422B80">
              <w:rPr>
                <w:rFonts w:eastAsia="Calibri" w:cs="Arial"/>
                <w:color w:val="auto"/>
                <w:szCs w:val="24"/>
                <w:lang w:eastAsia="en-US"/>
              </w:rPr>
              <w:t xml:space="preserve">development </w:t>
            </w:r>
            <w:r w:rsidR="00422B80">
              <w:rPr>
                <w:rFonts w:eastAsia="Calibri" w:cs="Arial"/>
                <w:color w:val="auto"/>
                <w:szCs w:val="24"/>
                <w:lang w:eastAsia="en-US"/>
              </w:rPr>
              <w:t xml:space="preserve">has </w:t>
            </w:r>
            <w:r w:rsidRPr="00422B80">
              <w:rPr>
                <w:rFonts w:eastAsia="Calibri" w:cs="Arial"/>
                <w:color w:val="auto"/>
                <w:szCs w:val="24"/>
                <w:lang w:eastAsia="en-US"/>
              </w:rPr>
              <w:t>commenced</w:t>
            </w:r>
          </w:p>
        </w:tc>
        <w:tc>
          <w:tcPr>
            <w:tcW w:w="2126" w:type="dxa"/>
          </w:tcPr>
          <w:p w14:paraId="4E669A49" w14:textId="0982DE6A" w:rsidR="00063C83" w:rsidRPr="00422B80" w:rsidRDefault="00063C83" w:rsidP="000841D7">
            <w:pPr>
              <w:keepNext w:val="0"/>
              <w:spacing w:before="0" w:after="160" w:line="259" w:lineRule="auto"/>
              <w:jc w:val="center"/>
              <w:rPr>
                <w:rFonts w:eastAsia="Calibri" w:cs="Arial"/>
                <w:color w:val="auto"/>
                <w:szCs w:val="24"/>
                <w:lang w:eastAsia="en-US"/>
              </w:rPr>
            </w:pPr>
            <w:r w:rsidRPr="00422B80">
              <w:rPr>
                <w:rFonts w:eastAsia="Calibri" w:cs="Arial"/>
                <w:color w:val="auto"/>
                <w:szCs w:val="24"/>
                <w:lang w:eastAsia="en-US"/>
              </w:rPr>
              <w:t>Current Year</w:t>
            </w:r>
          </w:p>
        </w:tc>
      </w:tr>
      <w:tr w:rsidR="00063C83" w:rsidRPr="00063C83" w14:paraId="73775669" w14:textId="77777777" w:rsidTr="001D74D6">
        <w:trPr>
          <w:trHeight w:val="425"/>
        </w:trPr>
        <w:tc>
          <w:tcPr>
            <w:tcW w:w="6946" w:type="dxa"/>
          </w:tcPr>
          <w:p w14:paraId="317A0A62" w14:textId="401B48CF" w:rsidR="00063C83" w:rsidRPr="00422B80" w:rsidRDefault="00063C83" w:rsidP="00063C83">
            <w:pPr>
              <w:keepNext w:val="0"/>
              <w:spacing w:before="0" w:after="160" w:line="259" w:lineRule="auto"/>
              <w:rPr>
                <w:rFonts w:eastAsia="Calibri" w:cs="Arial"/>
                <w:color w:val="auto"/>
                <w:szCs w:val="24"/>
                <w:lang w:eastAsia="en-US"/>
              </w:rPr>
            </w:pPr>
            <w:r w:rsidRPr="00422B80">
              <w:rPr>
                <w:rFonts w:eastAsia="Calibri" w:cs="Arial"/>
                <w:color w:val="auto"/>
                <w:szCs w:val="24"/>
                <w:lang w:eastAsia="en-US"/>
              </w:rPr>
              <w:t>Full</w:t>
            </w:r>
            <w:r w:rsidR="00422B80" w:rsidRPr="00422B80">
              <w:rPr>
                <w:rFonts w:eastAsia="Calibri" w:cs="Arial"/>
                <w:color w:val="auto"/>
                <w:szCs w:val="24"/>
                <w:lang w:eastAsia="en-US"/>
              </w:rPr>
              <w:t>/detailed</w:t>
            </w:r>
            <w:r w:rsidRPr="00422B80">
              <w:rPr>
                <w:rFonts w:eastAsia="Calibri" w:cs="Arial"/>
                <w:color w:val="auto"/>
                <w:szCs w:val="24"/>
                <w:lang w:eastAsia="en-US"/>
              </w:rPr>
              <w:t xml:space="preserve"> planning </w:t>
            </w:r>
            <w:r w:rsidR="00927CA3" w:rsidRPr="00422B80">
              <w:rPr>
                <w:rFonts w:eastAsia="Calibri" w:cs="Arial"/>
                <w:color w:val="auto"/>
                <w:szCs w:val="24"/>
                <w:lang w:eastAsia="en-US"/>
              </w:rPr>
              <w:t xml:space="preserve">permission </w:t>
            </w:r>
            <w:r w:rsidR="00927CA3">
              <w:rPr>
                <w:rFonts w:eastAsia="Calibri" w:cs="Arial"/>
                <w:color w:val="auto"/>
                <w:szCs w:val="24"/>
                <w:lang w:eastAsia="en-US"/>
              </w:rPr>
              <w:t>-</w:t>
            </w:r>
            <w:r w:rsidR="00422B80">
              <w:rPr>
                <w:rFonts w:eastAsia="Calibri" w:cs="Arial"/>
                <w:color w:val="auto"/>
                <w:szCs w:val="24"/>
                <w:lang w:eastAsia="en-US"/>
              </w:rPr>
              <w:t xml:space="preserve"> </w:t>
            </w:r>
            <w:r w:rsidRPr="00422B80">
              <w:rPr>
                <w:rFonts w:eastAsia="Calibri" w:cs="Arial"/>
                <w:color w:val="auto"/>
                <w:szCs w:val="24"/>
                <w:lang w:eastAsia="en-US"/>
              </w:rPr>
              <w:t>not started</w:t>
            </w:r>
          </w:p>
        </w:tc>
        <w:tc>
          <w:tcPr>
            <w:tcW w:w="2126" w:type="dxa"/>
          </w:tcPr>
          <w:p w14:paraId="31ED30D6" w14:textId="77777777" w:rsidR="00063C83" w:rsidRPr="00422B80" w:rsidRDefault="00063C83" w:rsidP="000841D7">
            <w:pPr>
              <w:keepNext w:val="0"/>
              <w:spacing w:before="0" w:after="160" w:line="259" w:lineRule="auto"/>
              <w:jc w:val="center"/>
              <w:rPr>
                <w:rFonts w:eastAsia="Calibri" w:cs="Arial"/>
                <w:color w:val="auto"/>
                <w:szCs w:val="24"/>
                <w:lang w:eastAsia="en-US"/>
              </w:rPr>
            </w:pPr>
            <w:r w:rsidRPr="00422B80">
              <w:rPr>
                <w:rFonts w:eastAsia="Calibri" w:cs="Arial"/>
                <w:color w:val="auto"/>
                <w:szCs w:val="24"/>
                <w:lang w:eastAsia="en-US"/>
              </w:rPr>
              <w:t>Year 3</w:t>
            </w:r>
          </w:p>
        </w:tc>
      </w:tr>
      <w:tr w:rsidR="00063C83" w:rsidRPr="00063C83" w14:paraId="6B4EAF63" w14:textId="77777777" w:rsidTr="001D74D6">
        <w:trPr>
          <w:trHeight w:val="414"/>
        </w:trPr>
        <w:tc>
          <w:tcPr>
            <w:tcW w:w="6946" w:type="dxa"/>
          </w:tcPr>
          <w:p w14:paraId="443ADDB9" w14:textId="44547692" w:rsidR="00063C83" w:rsidRPr="00157A7C" w:rsidRDefault="00063C83" w:rsidP="00063C83">
            <w:pPr>
              <w:keepNext w:val="0"/>
              <w:spacing w:before="0" w:after="160" w:line="259" w:lineRule="auto"/>
              <w:rPr>
                <w:rFonts w:eastAsia="Calibri" w:cs="Arial"/>
                <w:color w:val="auto"/>
                <w:szCs w:val="24"/>
                <w:lang w:eastAsia="en-US"/>
              </w:rPr>
            </w:pPr>
            <w:r w:rsidRPr="00157A7C">
              <w:rPr>
                <w:rFonts w:eastAsia="Calibri" w:cs="Arial"/>
                <w:color w:val="auto"/>
                <w:szCs w:val="24"/>
                <w:lang w:eastAsia="en-US"/>
              </w:rPr>
              <w:t>Outline permission</w:t>
            </w:r>
            <w:r w:rsidR="00422B80" w:rsidRPr="00157A7C">
              <w:rPr>
                <w:rFonts w:eastAsia="Calibri" w:cs="Arial"/>
                <w:color w:val="auto"/>
                <w:szCs w:val="24"/>
                <w:lang w:eastAsia="en-US"/>
              </w:rPr>
              <w:t xml:space="preserve"> – Small site (less than 10 dwellings)</w:t>
            </w:r>
          </w:p>
        </w:tc>
        <w:tc>
          <w:tcPr>
            <w:tcW w:w="2126" w:type="dxa"/>
          </w:tcPr>
          <w:p w14:paraId="2158EB7C" w14:textId="77777777" w:rsidR="00063C83" w:rsidRPr="00157A7C" w:rsidRDefault="00063C83"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4</w:t>
            </w:r>
          </w:p>
        </w:tc>
      </w:tr>
      <w:tr w:rsidR="00422B80" w:rsidRPr="00063C83" w14:paraId="182CC2BE" w14:textId="77777777" w:rsidTr="001D74D6">
        <w:trPr>
          <w:trHeight w:val="414"/>
        </w:trPr>
        <w:tc>
          <w:tcPr>
            <w:tcW w:w="6946" w:type="dxa"/>
          </w:tcPr>
          <w:p w14:paraId="25BB67DC" w14:textId="3603C542" w:rsidR="00422B80" w:rsidRPr="00157A7C" w:rsidRDefault="00422B80" w:rsidP="00422B80">
            <w:pPr>
              <w:keepNext w:val="0"/>
              <w:spacing w:before="0" w:after="160" w:line="259" w:lineRule="auto"/>
              <w:rPr>
                <w:rFonts w:eastAsia="Calibri" w:cs="Arial"/>
                <w:color w:val="auto"/>
                <w:szCs w:val="24"/>
                <w:lang w:eastAsia="en-US"/>
              </w:rPr>
            </w:pPr>
            <w:r w:rsidRPr="00157A7C">
              <w:rPr>
                <w:rFonts w:eastAsia="Calibri" w:cs="Arial"/>
                <w:color w:val="auto"/>
                <w:szCs w:val="24"/>
                <w:lang w:eastAsia="en-US"/>
              </w:rPr>
              <w:t>Outline permission – Large/major site (10 or more dwellings)</w:t>
            </w:r>
          </w:p>
        </w:tc>
        <w:tc>
          <w:tcPr>
            <w:tcW w:w="2126" w:type="dxa"/>
          </w:tcPr>
          <w:p w14:paraId="218C2323" w14:textId="7DE0C53C" w:rsidR="00422B80" w:rsidRPr="00157A7C" w:rsidRDefault="00422B80"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6</w:t>
            </w:r>
          </w:p>
        </w:tc>
      </w:tr>
      <w:tr w:rsidR="00C7657E" w:rsidRPr="00063C83" w14:paraId="4FCE0688" w14:textId="77777777" w:rsidTr="001D74D6">
        <w:trPr>
          <w:trHeight w:val="463"/>
        </w:trPr>
        <w:tc>
          <w:tcPr>
            <w:tcW w:w="6946" w:type="dxa"/>
          </w:tcPr>
          <w:p w14:paraId="4481877E" w14:textId="5A70448E" w:rsidR="00C7657E" w:rsidRPr="00157A7C" w:rsidRDefault="00C7657E" w:rsidP="00C7657E">
            <w:pPr>
              <w:keepNext w:val="0"/>
              <w:spacing w:before="0" w:after="160"/>
              <w:rPr>
                <w:rFonts w:eastAsia="Calibri" w:cs="Arial"/>
                <w:color w:val="auto"/>
                <w:szCs w:val="24"/>
                <w:lang w:eastAsia="en-US"/>
              </w:rPr>
            </w:pPr>
            <w:r w:rsidRPr="00157A7C">
              <w:rPr>
                <w:rFonts w:eastAsia="Calibri" w:cs="Arial"/>
                <w:color w:val="auto"/>
                <w:szCs w:val="24"/>
                <w:lang w:eastAsia="en-US"/>
              </w:rPr>
              <w:t>Sites with Permission in Principle (PIP)</w:t>
            </w:r>
          </w:p>
        </w:tc>
        <w:tc>
          <w:tcPr>
            <w:tcW w:w="2126" w:type="dxa"/>
          </w:tcPr>
          <w:p w14:paraId="3837CD5C" w14:textId="7C9B4F29" w:rsidR="00C7657E" w:rsidRPr="00157A7C" w:rsidRDefault="00C7657E"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6</w:t>
            </w:r>
          </w:p>
        </w:tc>
      </w:tr>
      <w:tr w:rsidR="00422B80" w:rsidRPr="00063C83" w14:paraId="108AF52F" w14:textId="77777777" w:rsidTr="001D74D6">
        <w:trPr>
          <w:trHeight w:val="473"/>
        </w:trPr>
        <w:tc>
          <w:tcPr>
            <w:tcW w:w="6946" w:type="dxa"/>
          </w:tcPr>
          <w:p w14:paraId="7E1F71AD" w14:textId="55CF67C9" w:rsidR="00422B80" w:rsidRPr="00C7657E" w:rsidRDefault="00422B80" w:rsidP="00C7657E">
            <w:pPr>
              <w:keepNext w:val="0"/>
              <w:spacing w:before="0" w:after="160"/>
              <w:rPr>
                <w:rFonts w:eastAsia="Calibri" w:cs="Arial"/>
                <w:color w:val="auto"/>
                <w:szCs w:val="24"/>
                <w:lang w:eastAsia="en-US"/>
              </w:rPr>
            </w:pPr>
            <w:r w:rsidRPr="00C7657E">
              <w:rPr>
                <w:rFonts w:eastAsia="Calibri" w:cs="Arial"/>
                <w:color w:val="auto"/>
                <w:szCs w:val="24"/>
                <w:lang w:eastAsia="en-US"/>
              </w:rPr>
              <w:t>Allocated sites without</w:t>
            </w:r>
            <w:r w:rsidR="00C7657E" w:rsidRPr="00C7657E">
              <w:rPr>
                <w:rFonts w:eastAsia="Calibri" w:cs="Arial"/>
                <w:color w:val="auto"/>
                <w:szCs w:val="24"/>
                <w:lang w:eastAsia="en-US"/>
              </w:rPr>
              <w:t xml:space="preserve"> </w:t>
            </w:r>
            <w:r w:rsidRPr="00C7657E">
              <w:rPr>
                <w:rFonts w:eastAsia="Calibri" w:cs="Arial"/>
                <w:color w:val="auto"/>
                <w:szCs w:val="24"/>
                <w:lang w:eastAsia="en-US"/>
              </w:rPr>
              <w:t>planning permission</w:t>
            </w:r>
            <w:r w:rsidRPr="00C7657E">
              <w:rPr>
                <w:rFonts w:eastAsia="Calibri" w:cs="Arial"/>
                <w:color w:val="auto"/>
                <w:szCs w:val="24"/>
                <w:lang w:eastAsia="en-US"/>
              </w:rPr>
              <w:tab/>
            </w:r>
          </w:p>
        </w:tc>
        <w:tc>
          <w:tcPr>
            <w:tcW w:w="2126" w:type="dxa"/>
          </w:tcPr>
          <w:p w14:paraId="4AF0BCE2" w14:textId="5ECBAD6B" w:rsidR="00422B80" w:rsidRPr="00C7657E" w:rsidRDefault="00422B80" w:rsidP="000841D7">
            <w:pPr>
              <w:keepNext w:val="0"/>
              <w:spacing w:before="0" w:after="160" w:line="259" w:lineRule="auto"/>
              <w:jc w:val="center"/>
              <w:rPr>
                <w:rFonts w:eastAsia="Calibri" w:cs="Arial"/>
                <w:color w:val="auto"/>
                <w:szCs w:val="24"/>
                <w:lang w:eastAsia="en-US"/>
              </w:rPr>
            </w:pPr>
            <w:r w:rsidRPr="00C7657E">
              <w:rPr>
                <w:rFonts w:eastAsia="Calibri" w:cs="Arial"/>
                <w:color w:val="auto"/>
                <w:szCs w:val="24"/>
                <w:lang w:eastAsia="en-US"/>
              </w:rPr>
              <w:t>Year 6</w:t>
            </w:r>
          </w:p>
        </w:tc>
      </w:tr>
    </w:tbl>
    <w:p w14:paraId="1B8318F7" w14:textId="57F0E081" w:rsidR="00063C83" w:rsidRDefault="00063C83" w:rsidP="00D23E4E">
      <w:pPr>
        <w:keepNext w:val="0"/>
        <w:spacing w:before="0" w:line="259" w:lineRule="auto"/>
        <w:rPr>
          <w:rFonts w:eastAsia="Calibri" w:cs="Arial"/>
          <w:b/>
          <w:color w:val="FF0000"/>
          <w:szCs w:val="24"/>
          <w:lang w:eastAsia="en-US"/>
        </w:rPr>
      </w:pPr>
    </w:p>
    <w:p w14:paraId="4EE199F1" w14:textId="77777777" w:rsidR="00FA22F8" w:rsidRDefault="00FA22F8" w:rsidP="00D23E4E">
      <w:pPr>
        <w:keepNext w:val="0"/>
        <w:spacing w:before="0" w:line="259" w:lineRule="auto"/>
        <w:rPr>
          <w:rFonts w:eastAsia="Calibri" w:cs="Arial"/>
          <w:b/>
          <w:color w:val="FF0000"/>
          <w:szCs w:val="24"/>
          <w:lang w:eastAsia="en-US"/>
        </w:rPr>
      </w:pPr>
    </w:p>
    <w:p w14:paraId="107F79E7" w14:textId="450D23FB" w:rsidR="00EB4144" w:rsidRDefault="00063C83" w:rsidP="00FE22F3">
      <w:pPr>
        <w:pStyle w:val="Heading3"/>
      </w:pPr>
      <w:r w:rsidRPr="00063C83">
        <w:t>Annual Delivery Rat</w:t>
      </w:r>
      <w:r w:rsidR="00EB4144">
        <w:t>e</w:t>
      </w:r>
    </w:p>
    <w:p w14:paraId="166D9F40" w14:textId="77777777" w:rsidR="00EB4144" w:rsidRPr="00EB4144" w:rsidRDefault="00EB4144" w:rsidP="00D23E4E">
      <w:pPr>
        <w:spacing w:before="0"/>
        <w:rPr>
          <w:rFonts w:eastAsia="Calibri"/>
          <w:lang w:eastAsia="en-US"/>
        </w:rPr>
      </w:pPr>
    </w:p>
    <w:p w14:paraId="45E1DF5D" w14:textId="242A2C9A" w:rsidR="00063C83" w:rsidRDefault="00063C83" w:rsidP="00D23E4E">
      <w:pPr>
        <w:pStyle w:val="ListParagraph"/>
        <w:spacing w:after="0"/>
        <w:ind w:left="567"/>
        <w:rPr>
          <w:rFonts w:ascii="Arial" w:hAnsi="Arial" w:cs="Arial"/>
          <w:color w:val="auto"/>
          <w:szCs w:val="24"/>
          <w:u w:val="single"/>
        </w:rPr>
      </w:pPr>
      <w:r w:rsidRPr="00EB4144">
        <w:rPr>
          <w:rFonts w:ascii="Arial" w:hAnsi="Arial" w:cs="Arial"/>
          <w:color w:val="auto"/>
          <w:szCs w:val="24"/>
          <w:u w:val="single"/>
        </w:rPr>
        <w:t>Historic Annual Delivery in Ashfield</w:t>
      </w:r>
    </w:p>
    <w:p w14:paraId="00FDD050" w14:textId="77777777" w:rsidR="00EB4144" w:rsidRPr="00EB4144" w:rsidRDefault="00EB4144" w:rsidP="00D23E4E">
      <w:pPr>
        <w:pStyle w:val="ListParagraph"/>
        <w:spacing w:after="0"/>
        <w:ind w:left="567"/>
        <w:rPr>
          <w:rFonts w:ascii="Arial" w:hAnsi="Arial" w:cs="Arial"/>
          <w:color w:val="auto"/>
          <w:szCs w:val="24"/>
          <w:u w:val="single"/>
        </w:rPr>
      </w:pPr>
    </w:p>
    <w:p w14:paraId="0542C1C3" w14:textId="242D41AA"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 xml:space="preserve">An analysis of large site (sites over 10 dwellings) with full or reserved matters planning permission has been undertaken which looks at annual build rates over </w:t>
      </w:r>
      <w:r w:rsidR="001E2B50" w:rsidRPr="00EB4144">
        <w:rPr>
          <w:rFonts w:ascii="Arial" w:hAnsi="Arial" w:cs="Arial"/>
          <w:color w:val="auto"/>
          <w:szCs w:val="24"/>
        </w:rPr>
        <w:t>recent</w:t>
      </w:r>
      <w:r w:rsidRPr="00EB4144">
        <w:rPr>
          <w:rFonts w:ascii="Arial" w:hAnsi="Arial" w:cs="Arial"/>
          <w:color w:val="auto"/>
          <w:szCs w:val="24"/>
        </w:rPr>
        <w:t xml:space="preserve"> years (</w:t>
      </w:r>
      <w:r w:rsidR="0006394B" w:rsidRPr="00EB4144">
        <w:rPr>
          <w:rFonts w:ascii="Arial" w:hAnsi="Arial" w:cs="Arial"/>
          <w:color w:val="auto"/>
          <w:szCs w:val="24"/>
        </w:rPr>
        <w:t>Appendix 1</w:t>
      </w:r>
      <w:r w:rsidRPr="00EB4144">
        <w:rPr>
          <w:rFonts w:ascii="Arial" w:hAnsi="Arial" w:cs="Arial"/>
          <w:color w:val="auto"/>
          <w:szCs w:val="24"/>
        </w:rPr>
        <w:t xml:space="preserve">). Results demonstrate that, on average, large sites have delivered between 39 dwellings per annum (dpa) in 2013/14 and 44 dpa in 2015/16 which reflects the gradual recovery in the local housing market. Over the three year period, this averages out at 42 dpa. Delivery rates have varied from 25 dwellings per annum up to 66 dwellings on individual sites (looking at full years only). </w:t>
      </w:r>
    </w:p>
    <w:p w14:paraId="773CDDDD" w14:textId="77777777" w:rsidR="00EB4144" w:rsidRPr="00EB4144" w:rsidRDefault="00EB4144" w:rsidP="00D23E4E">
      <w:pPr>
        <w:pStyle w:val="ListParagraph"/>
        <w:spacing w:after="0"/>
        <w:ind w:left="567"/>
        <w:rPr>
          <w:rFonts w:ascii="Arial" w:hAnsi="Arial" w:cs="Arial"/>
          <w:color w:val="auto"/>
          <w:szCs w:val="24"/>
        </w:rPr>
      </w:pPr>
    </w:p>
    <w:p w14:paraId="1AE966C6" w14:textId="77777777" w:rsidR="00EB4144" w:rsidRPr="00EB4144" w:rsidRDefault="00063C83" w:rsidP="00D23E4E">
      <w:pPr>
        <w:pStyle w:val="ListParagraph"/>
        <w:numPr>
          <w:ilvl w:val="1"/>
          <w:numId w:val="9"/>
        </w:numPr>
        <w:spacing w:after="0"/>
        <w:ind w:left="567" w:hanging="567"/>
        <w:rPr>
          <w:rFonts w:eastAsia="Calibri" w:cs="Arial"/>
          <w:color w:val="auto"/>
          <w:szCs w:val="24"/>
        </w:rPr>
      </w:pPr>
      <w:r w:rsidRPr="00EB4144">
        <w:rPr>
          <w:rFonts w:ascii="Arial" w:hAnsi="Arial" w:cs="Arial"/>
          <w:color w:val="auto"/>
          <w:szCs w:val="24"/>
        </w:rPr>
        <w:t>However, these figures are skewed by 2 sites at Brook Street and Portland road of 25 and 30 dwellings respectively. In both cases the whole site has been completed within 1 year, but delivery has clearly been limited by the total site capacity. If these are excluded from the calculations, delivery rates increase to between 41 and 46 dpa, averaging out at 44 dpa</w:t>
      </w:r>
      <w:r w:rsidR="00EB4144">
        <w:rPr>
          <w:rFonts w:ascii="Arial" w:hAnsi="Arial" w:cs="Arial"/>
          <w:color w:val="auto"/>
          <w:szCs w:val="24"/>
        </w:rPr>
        <w:t>.</w:t>
      </w:r>
    </w:p>
    <w:p w14:paraId="0718780D" w14:textId="77777777" w:rsidR="00EB4144" w:rsidRPr="00EB4144" w:rsidRDefault="00EB4144" w:rsidP="00D23E4E">
      <w:pPr>
        <w:pStyle w:val="ListParagraph"/>
        <w:spacing w:after="0"/>
        <w:rPr>
          <w:rFonts w:ascii="Arial" w:hAnsi="Arial" w:cs="Arial"/>
          <w:color w:val="auto"/>
          <w:szCs w:val="24"/>
        </w:rPr>
      </w:pPr>
    </w:p>
    <w:p w14:paraId="7D4CFFB1" w14:textId="45099016" w:rsidR="00063C83" w:rsidRPr="00EB4144" w:rsidRDefault="00063C83" w:rsidP="00D23E4E">
      <w:pPr>
        <w:pStyle w:val="ListParagraph"/>
        <w:numPr>
          <w:ilvl w:val="1"/>
          <w:numId w:val="9"/>
        </w:numPr>
        <w:spacing w:after="0"/>
        <w:ind w:left="567" w:hanging="567"/>
        <w:rPr>
          <w:rFonts w:ascii="Arial" w:eastAsia="Calibri" w:hAnsi="Arial" w:cs="Arial"/>
          <w:color w:val="auto"/>
          <w:szCs w:val="24"/>
        </w:rPr>
      </w:pPr>
      <w:r w:rsidRPr="00EB4144">
        <w:rPr>
          <w:rFonts w:ascii="Arial" w:hAnsi="Arial" w:cs="Arial"/>
          <w:color w:val="auto"/>
          <w:szCs w:val="24"/>
        </w:rPr>
        <w:t>It is notable that the larger site at Papplewick Lane (799 dwellings) has delivered between 57 and</w:t>
      </w:r>
      <w:r w:rsidRPr="00EB4144">
        <w:rPr>
          <w:rFonts w:ascii="Arial" w:eastAsia="Calibri" w:hAnsi="Arial" w:cs="Arial"/>
          <w:color w:val="auto"/>
          <w:szCs w:val="24"/>
        </w:rPr>
        <w:t xml:space="preserve"> 129 dpa over the past 3 years. This averages a substantial 87 dpa across the site. However, 2 developers/sales outlets were active on site at the time, consequently resulting in an average of </w:t>
      </w:r>
      <w:r w:rsidRPr="00EB4144">
        <w:rPr>
          <w:rFonts w:ascii="Arial" w:eastAsia="Calibri" w:hAnsi="Arial" w:cs="Arial"/>
          <w:b/>
          <w:color w:val="auto"/>
          <w:szCs w:val="24"/>
        </w:rPr>
        <w:t>44</w:t>
      </w:r>
      <w:r w:rsidRPr="00EB4144">
        <w:rPr>
          <w:rFonts w:ascii="Arial" w:eastAsia="Calibri" w:hAnsi="Arial" w:cs="Arial"/>
          <w:color w:val="auto"/>
          <w:szCs w:val="24"/>
        </w:rPr>
        <w:t xml:space="preserve"> dpa per developer being achieved on the larger site.</w:t>
      </w:r>
    </w:p>
    <w:p w14:paraId="39A7209E" w14:textId="77777777" w:rsidR="00D23E4E" w:rsidRDefault="00D23E4E" w:rsidP="00D23E4E">
      <w:pPr>
        <w:keepNext w:val="0"/>
        <w:spacing w:before="0" w:line="259" w:lineRule="auto"/>
        <w:ind w:firstLine="567"/>
        <w:rPr>
          <w:rFonts w:eastAsia="Calibri" w:cs="Arial"/>
          <w:color w:val="auto"/>
          <w:szCs w:val="24"/>
          <w:u w:val="single"/>
          <w:lang w:eastAsia="en-US"/>
        </w:rPr>
      </w:pPr>
    </w:p>
    <w:p w14:paraId="68713586" w14:textId="77777777" w:rsidR="00D23E4E" w:rsidRDefault="00D23E4E" w:rsidP="00D23E4E">
      <w:pPr>
        <w:keepNext w:val="0"/>
        <w:spacing w:before="0" w:line="259" w:lineRule="auto"/>
        <w:ind w:firstLine="567"/>
        <w:rPr>
          <w:rFonts w:eastAsia="Calibri" w:cs="Arial"/>
          <w:color w:val="auto"/>
          <w:szCs w:val="24"/>
          <w:u w:val="single"/>
          <w:lang w:eastAsia="en-US"/>
        </w:rPr>
      </w:pPr>
    </w:p>
    <w:p w14:paraId="7A718758" w14:textId="77777777" w:rsidR="00D23E4E" w:rsidRDefault="00D23E4E" w:rsidP="00D23E4E">
      <w:pPr>
        <w:keepNext w:val="0"/>
        <w:spacing w:before="0" w:line="259" w:lineRule="auto"/>
        <w:ind w:firstLine="567"/>
        <w:rPr>
          <w:rFonts w:eastAsia="Calibri" w:cs="Arial"/>
          <w:color w:val="auto"/>
          <w:szCs w:val="24"/>
          <w:u w:val="single"/>
          <w:lang w:eastAsia="en-US"/>
        </w:rPr>
      </w:pPr>
    </w:p>
    <w:p w14:paraId="51B244A0" w14:textId="3F97346F" w:rsidR="00063C83" w:rsidRDefault="00063C83" w:rsidP="00D23E4E">
      <w:pPr>
        <w:keepNext w:val="0"/>
        <w:spacing w:before="0" w:line="259" w:lineRule="auto"/>
        <w:ind w:firstLine="567"/>
        <w:rPr>
          <w:rFonts w:eastAsia="Calibri" w:cs="Arial"/>
          <w:color w:val="auto"/>
          <w:szCs w:val="24"/>
          <w:u w:val="single"/>
          <w:lang w:eastAsia="en-US"/>
        </w:rPr>
      </w:pPr>
      <w:r w:rsidRPr="00D26CC4">
        <w:rPr>
          <w:rFonts w:eastAsia="Calibri" w:cs="Arial"/>
          <w:color w:val="auto"/>
          <w:szCs w:val="24"/>
          <w:u w:val="single"/>
          <w:lang w:eastAsia="en-US"/>
        </w:rPr>
        <w:t>Literature Review</w:t>
      </w:r>
    </w:p>
    <w:p w14:paraId="26C36E7A" w14:textId="77777777" w:rsidR="00D23E4E" w:rsidRPr="00D26CC4" w:rsidRDefault="00D23E4E" w:rsidP="00D23E4E">
      <w:pPr>
        <w:keepNext w:val="0"/>
        <w:spacing w:before="0" w:line="259" w:lineRule="auto"/>
        <w:ind w:firstLine="567"/>
        <w:rPr>
          <w:rFonts w:eastAsia="Calibri" w:cs="Arial"/>
          <w:color w:val="auto"/>
          <w:szCs w:val="24"/>
          <w:u w:val="single"/>
          <w:lang w:eastAsia="en-US"/>
        </w:rPr>
      </w:pPr>
    </w:p>
    <w:p w14:paraId="3EFF9620" w14:textId="4F7BF83D"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A survey undertaken by the HBF</w:t>
      </w:r>
      <w:r w:rsidRPr="00D23E4E">
        <w:rPr>
          <w:rFonts w:ascii="Arial" w:hAnsi="Arial" w:cs="Arial"/>
          <w:color w:val="auto"/>
          <w:szCs w:val="24"/>
          <w:vertAlign w:val="superscript"/>
        </w:rPr>
        <w:footnoteReference w:id="11"/>
      </w:r>
      <w:r w:rsidRPr="00D23E4E">
        <w:rPr>
          <w:rFonts w:ascii="Arial" w:hAnsi="Arial" w:cs="Arial"/>
          <w:color w:val="auto"/>
          <w:szCs w:val="24"/>
          <w:vertAlign w:val="superscript"/>
        </w:rPr>
        <w:t xml:space="preserve"> </w:t>
      </w:r>
      <w:r w:rsidRPr="00EB4144">
        <w:rPr>
          <w:rFonts w:ascii="Arial" w:hAnsi="Arial" w:cs="Arial"/>
          <w:color w:val="auto"/>
          <w:szCs w:val="24"/>
        </w:rPr>
        <w:t xml:space="preserve">in February/March 2016 on ‘large sites’ over 350 dwellings, indicated that on average 70 dwellings per annum were delivered. Nathaniel Lichfield and Partners’ (NLP) study “Start to Finish - How quickly do large-scale housing sites deliver? (November 2016)” also indicates that, on average, sites with a capacity of between 500 and 999 dwellings deliver approximately 70 dwellings per annum. This study also implies that sites of 1000-1499 dwellings average out at a delivery of approximately 105 dwellings per annum. These are similar findings to the Council’s own conclusions on the delivery of development on urban extensions over 500 dwellings which shows that 81 dwellings per annum have typically been delivered. </w:t>
      </w:r>
    </w:p>
    <w:p w14:paraId="61EF23A2" w14:textId="77777777" w:rsidR="00EB4144" w:rsidRPr="00EB4144" w:rsidRDefault="00EB4144" w:rsidP="00D23E4E">
      <w:pPr>
        <w:pStyle w:val="ListParagraph"/>
        <w:spacing w:after="0"/>
        <w:ind w:left="567"/>
        <w:rPr>
          <w:rFonts w:ascii="Arial" w:hAnsi="Arial" w:cs="Arial"/>
          <w:color w:val="auto"/>
          <w:szCs w:val="24"/>
        </w:rPr>
      </w:pPr>
    </w:p>
    <w:p w14:paraId="221CD625" w14:textId="2565982E" w:rsidR="00063C83" w:rsidRPr="00EB4144"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NLP published a study “Stock and Flow: Planning Permissions and Housing Output, January 2017”</w:t>
      </w:r>
      <w:r w:rsidRPr="00EB4144">
        <w:rPr>
          <w:rFonts w:ascii="Arial" w:hAnsi="Arial" w:cs="Arial"/>
          <w:color w:val="auto"/>
          <w:szCs w:val="24"/>
        </w:rPr>
        <w:footnoteReference w:id="12"/>
      </w:r>
      <w:r w:rsidRPr="00EB4144">
        <w:rPr>
          <w:rFonts w:ascii="Arial" w:hAnsi="Arial" w:cs="Arial"/>
          <w:color w:val="auto"/>
          <w:szCs w:val="24"/>
        </w:rPr>
        <w:t xml:space="preserve"> which sets out that each sales outlet typically generates 30 to 40 sales per annum.</w:t>
      </w:r>
    </w:p>
    <w:p w14:paraId="48B471C5" w14:textId="77777777" w:rsidR="00063C83" w:rsidRPr="00EB4144" w:rsidRDefault="00063C83" w:rsidP="00D23E4E">
      <w:pPr>
        <w:pStyle w:val="ListParagraph"/>
        <w:spacing w:after="0"/>
        <w:ind w:left="567"/>
        <w:rPr>
          <w:rFonts w:ascii="Arial" w:hAnsi="Arial" w:cs="Arial"/>
          <w:color w:val="auto"/>
          <w:szCs w:val="24"/>
        </w:rPr>
      </w:pPr>
    </w:p>
    <w:p w14:paraId="4D7D7CF7" w14:textId="0349AE82" w:rsidR="00063C83" w:rsidRDefault="00063C83" w:rsidP="00D23E4E">
      <w:pPr>
        <w:pStyle w:val="ListParagraph"/>
        <w:spacing w:after="0"/>
        <w:ind w:left="567"/>
        <w:rPr>
          <w:rFonts w:ascii="Arial" w:hAnsi="Arial" w:cs="Arial"/>
          <w:color w:val="auto"/>
          <w:szCs w:val="24"/>
          <w:u w:val="single"/>
        </w:rPr>
      </w:pPr>
      <w:r w:rsidRPr="00EB4144">
        <w:rPr>
          <w:rFonts w:ascii="Arial" w:hAnsi="Arial" w:cs="Arial"/>
          <w:color w:val="auto"/>
          <w:szCs w:val="24"/>
          <w:u w:val="single"/>
        </w:rPr>
        <w:t>Future Annual Delivery Assumption</w:t>
      </w:r>
      <w:r w:rsidR="00EB4144">
        <w:rPr>
          <w:rFonts w:ascii="Arial" w:hAnsi="Arial" w:cs="Arial"/>
          <w:color w:val="auto"/>
          <w:szCs w:val="24"/>
          <w:u w:val="single"/>
        </w:rPr>
        <w:t>s</w:t>
      </w:r>
    </w:p>
    <w:p w14:paraId="3CB861DB" w14:textId="77777777" w:rsidR="00EB4144" w:rsidRPr="00EB4144" w:rsidRDefault="00EB4144" w:rsidP="00D23E4E">
      <w:pPr>
        <w:pStyle w:val="ListParagraph"/>
        <w:spacing w:after="0"/>
        <w:ind w:left="567"/>
        <w:rPr>
          <w:rFonts w:ascii="Arial" w:hAnsi="Arial" w:cs="Arial"/>
          <w:color w:val="auto"/>
          <w:szCs w:val="24"/>
          <w:u w:val="single"/>
        </w:rPr>
      </w:pPr>
    </w:p>
    <w:p w14:paraId="62B8DC5D" w14:textId="088EE3FC"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Large sites (allocations and permissions):</w:t>
      </w:r>
      <w:r w:rsidR="005903AA" w:rsidRPr="00EB4144">
        <w:rPr>
          <w:rFonts w:ascii="Arial" w:hAnsi="Arial" w:cs="Arial"/>
          <w:color w:val="auto"/>
          <w:szCs w:val="24"/>
        </w:rPr>
        <w:t xml:space="preserve"> </w:t>
      </w:r>
      <w:r w:rsidRPr="00EB4144">
        <w:rPr>
          <w:rFonts w:ascii="Arial" w:hAnsi="Arial" w:cs="Arial"/>
          <w:color w:val="auto"/>
          <w:szCs w:val="24"/>
        </w:rPr>
        <w:t xml:space="preserve">The Council has taken a cautious approach in setting the delivery rates in the housing trajectory to ensure that the </w:t>
      </w:r>
      <w:r w:rsidR="00176CB7" w:rsidRPr="00EB4144">
        <w:rPr>
          <w:rFonts w:ascii="Arial" w:hAnsi="Arial" w:cs="Arial"/>
          <w:color w:val="auto"/>
          <w:szCs w:val="24"/>
        </w:rPr>
        <w:t xml:space="preserve">Draft </w:t>
      </w:r>
      <w:r w:rsidRPr="00EB4144">
        <w:rPr>
          <w:rFonts w:ascii="Arial" w:hAnsi="Arial" w:cs="Arial"/>
          <w:color w:val="auto"/>
          <w:szCs w:val="24"/>
        </w:rPr>
        <w:t xml:space="preserve">Local Plan </w:t>
      </w:r>
      <w:r w:rsidR="00176CB7" w:rsidRPr="00EB4144">
        <w:rPr>
          <w:rFonts w:ascii="Arial" w:hAnsi="Arial" w:cs="Arial"/>
          <w:color w:val="auto"/>
          <w:szCs w:val="24"/>
        </w:rPr>
        <w:t>provides for sufficient land</w:t>
      </w:r>
      <w:r w:rsidRPr="00EB4144">
        <w:rPr>
          <w:rFonts w:ascii="Arial" w:hAnsi="Arial" w:cs="Arial"/>
          <w:color w:val="auto"/>
          <w:szCs w:val="24"/>
        </w:rPr>
        <w:t xml:space="preserve"> to meet the </w:t>
      </w:r>
      <w:r w:rsidR="00176CB7" w:rsidRPr="00EB4144">
        <w:rPr>
          <w:rFonts w:ascii="Arial" w:hAnsi="Arial" w:cs="Arial"/>
          <w:color w:val="auto"/>
          <w:szCs w:val="24"/>
        </w:rPr>
        <w:t>LHN</w:t>
      </w:r>
      <w:r w:rsidRPr="00EB4144">
        <w:rPr>
          <w:rFonts w:ascii="Arial" w:hAnsi="Arial" w:cs="Arial"/>
          <w:color w:val="auto"/>
          <w:szCs w:val="24"/>
        </w:rPr>
        <w:t xml:space="preserve">. Consequently, sites between 10 and 500 dwellings are assumed to be capable of delivering 35 dwellings per annum (per developer) based on past delivery rates. This is lower than the average build rates experienced locally in </w:t>
      </w:r>
      <w:r w:rsidR="005F4052" w:rsidRPr="00EB4144">
        <w:rPr>
          <w:rFonts w:ascii="Arial" w:hAnsi="Arial" w:cs="Arial"/>
          <w:color w:val="auto"/>
          <w:szCs w:val="24"/>
        </w:rPr>
        <w:t>Ashfield but</w:t>
      </w:r>
      <w:r w:rsidRPr="00EB4144">
        <w:rPr>
          <w:rFonts w:ascii="Arial" w:hAnsi="Arial" w:cs="Arial"/>
          <w:color w:val="auto"/>
          <w:szCs w:val="24"/>
        </w:rPr>
        <w:t xml:space="preserve"> is consistent with the findings of HBF and NLP national studies.</w:t>
      </w:r>
    </w:p>
    <w:p w14:paraId="6CCCE15B" w14:textId="77777777" w:rsidR="00EB4144" w:rsidRPr="00EB4144" w:rsidRDefault="00EB4144" w:rsidP="00D23E4E">
      <w:pPr>
        <w:pStyle w:val="ListParagraph"/>
        <w:spacing w:after="0"/>
        <w:ind w:left="567"/>
        <w:rPr>
          <w:rFonts w:ascii="Arial" w:hAnsi="Arial" w:cs="Arial"/>
          <w:color w:val="auto"/>
          <w:szCs w:val="24"/>
        </w:rPr>
      </w:pPr>
    </w:p>
    <w:p w14:paraId="14319428" w14:textId="3272043B" w:rsidR="00063C83" w:rsidRDefault="00063C83" w:rsidP="00FA22F8">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 xml:space="preserve">The NLP findings, together with typical large site delivery in Ashfield, support the Council’s approach to the delivery of development on larger sites which assumes that sites of 500 or more dwellings will deliver 80 dwellings per annum (based on an assumption of 2 developers/sales outlets). The HBF’s report “Responding to demand; Understanding private housing supply (August 2015)’ also indicates that larger sites are likely to have more sales units on site. </w:t>
      </w:r>
      <w:proofErr w:type="gramStart"/>
      <w:r w:rsidRPr="00EB4144">
        <w:rPr>
          <w:rFonts w:ascii="Arial" w:hAnsi="Arial" w:cs="Arial"/>
          <w:color w:val="auto"/>
          <w:szCs w:val="24"/>
        </w:rPr>
        <w:t>Indeed</w:t>
      </w:r>
      <w:proofErr w:type="gramEnd"/>
      <w:r w:rsidRPr="00EB4144">
        <w:rPr>
          <w:rFonts w:ascii="Arial" w:hAnsi="Arial" w:cs="Arial"/>
          <w:color w:val="auto"/>
          <w:szCs w:val="24"/>
        </w:rPr>
        <w:t xml:space="preserve"> it is often the case that landowners will seek to realise their return sooner and request that large sites are built out in partnership.</w:t>
      </w:r>
    </w:p>
    <w:p w14:paraId="5B1910F7" w14:textId="77777777" w:rsidR="00D23E4E" w:rsidRPr="00D23E4E" w:rsidRDefault="00D23E4E" w:rsidP="00FA22F8">
      <w:pPr>
        <w:spacing w:before="0"/>
        <w:rPr>
          <w:rFonts w:cs="Arial"/>
          <w:color w:val="auto"/>
          <w:szCs w:val="24"/>
        </w:rPr>
      </w:pPr>
    </w:p>
    <w:p w14:paraId="23989285" w14:textId="34BCDC91" w:rsidR="00EB4144" w:rsidRPr="00EB4144" w:rsidRDefault="00063C83"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hAnsi="Arial" w:cs="Arial"/>
          <w:color w:val="auto"/>
          <w:szCs w:val="24"/>
        </w:rPr>
        <w:t>Small Site Permissions:</w:t>
      </w:r>
      <w:r w:rsidR="005903AA" w:rsidRPr="00EB4144">
        <w:rPr>
          <w:rFonts w:ascii="Arial" w:hAnsi="Arial" w:cs="Arial"/>
          <w:color w:val="auto"/>
          <w:szCs w:val="24"/>
        </w:rPr>
        <w:t xml:space="preserve"> </w:t>
      </w:r>
      <w:r w:rsidRPr="00EB4144">
        <w:rPr>
          <w:rFonts w:ascii="Arial" w:hAnsi="Arial" w:cs="Arial"/>
          <w:color w:val="auto"/>
          <w:szCs w:val="24"/>
        </w:rPr>
        <w:t xml:space="preserve">Sites below 10 dwellings are not allocated in the submitted Ashfield Local </w:t>
      </w:r>
      <w:r w:rsidR="001D74D6" w:rsidRPr="00EB4144">
        <w:rPr>
          <w:rFonts w:ascii="Arial" w:hAnsi="Arial" w:cs="Arial"/>
          <w:color w:val="auto"/>
          <w:szCs w:val="24"/>
        </w:rPr>
        <w:t>Plan but</w:t>
      </w:r>
      <w:r w:rsidRPr="00EB4144">
        <w:rPr>
          <w:rFonts w:ascii="Arial" w:hAnsi="Arial" w:cs="Arial"/>
          <w:color w:val="auto"/>
          <w:szCs w:val="24"/>
        </w:rPr>
        <w:t xml:space="preserve"> do count towards overall supply as commitments. The </w:t>
      </w:r>
      <w:r w:rsidRPr="00EB4144">
        <w:rPr>
          <w:rFonts w:ascii="Arial" w:hAnsi="Arial" w:cs="Arial"/>
          <w:color w:val="auto"/>
          <w:szCs w:val="24"/>
        </w:rPr>
        <w:lastRenderedPageBreak/>
        <w:t>anticipated delivery of housing from this source is summarised in the Housing Trajectory in Appendix 2 of the Local</w:t>
      </w:r>
      <w:r w:rsidRPr="00EB4144">
        <w:rPr>
          <w:rFonts w:ascii="Arial" w:eastAsia="Calibri" w:hAnsi="Arial" w:cs="Arial"/>
          <w:color w:val="auto"/>
          <w:szCs w:val="24"/>
        </w:rPr>
        <w:t xml:space="preserve"> Plan.</w:t>
      </w:r>
    </w:p>
    <w:p w14:paraId="57A7C10E" w14:textId="77777777" w:rsidR="00EB4144" w:rsidRPr="00EB4144" w:rsidRDefault="00EB4144" w:rsidP="00FA22F8">
      <w:pPr>
        <w:pStyle w:val="ListParagraph"/>
        <w:spacing w:after="0"/>
        <w:ind w:left="567"/>
        <w:rPr>
          <w:rFonts w:ascii="Arial" w:eastAsia="Calibri" w:hAnsi="Arial" w:cs="Arial"/>
          <w:b/>
          <w:color w:val="auto"/>
          <w:szCs w:val="24"/>
        </w:rPr>
      </w:pPr>
    </w:p>
    <w:p w14:paraId="529896F1" w14:textId="77777777" w:rsidR="00EB4144" w:rsidRPr="00EB4144" w:rsidRDefault="00063C83"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eastAsia="Calibri" w:hAnsi="Arial" w:cs="Arial"/>
          <w:color w:val="auto"/>
          <w:szCs w:val="24"/>
        </w:rPr>
        <w:t>Assumptions applied in respect of annual delivery were initially drawn up with input from the development industry and historic evidence. Developments consisting entirely of flats are assumed to have a quicker build out rate due to the nature of construction.</w:t>
      </w:r>
    </w:p>
    <w:p w14:paraId="42E382A7" w14:textId="77777777" w:rsidR="00EB4144" w:rsidRPr="00EB4144" w:rsidRDefault="00EB4144" w:rsidP="00FA22F8">
      <w:pPr>
        <w:pStyle w:val="ListParagraph"/>
        <w:spacing w:after="0"/>
        <w:rPr>
          <w:rFonts w:ascii="Arial" w:eastAsia="Calibri" w:hAnsi="Arial" w:cs="Arial"/>
          <w:color w:val="auto"/>
          <w:szCs w:val="24"/>
        </w:rPr>
      </w:pPr>
    </w:p>
    <w:p w14:paraId="400F4FDA" w14:textId="35B096DE" w:rsidR="00063C83" w:rsidRPr="00EB4144" w:rsidRDefault="00D25D59"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eastAsia="Calibri" w:hAnsi="Arial" w:cs="Arial"/>
          <w:color w:val="auto"/>
          <w:szCs w:val="24"/>
        </w:rPr>
        <w:t>T</w:t>
      </w:r>
      <w:r w:rsidR="00063C83" w:rsidRPr="00EB4144">
        <w:rPr>
          <w:rFonts w:ascii="Arial" w:eastAsia="Calibri" w:hAnsi="Arial" w:cs="Arial"/>
          <w:color w:val="auto"/>
          <w:szCs w:val="24"/>
        </w:rPr>
        <w:t>able</w:t>
      </w:r>
      <w:r w:rsidRPr="00EB4144">
        <w:rPr>
          <w:rFonts w:ascii="Arial" w:eastAsia="Calibri" w:hAnsi="Arial" w:cs="Arial"/>
          <w:color w:val="auto"/>
          <w:szCs w:val="24"/>
        </w:rPr>
        <w:t xml:space="preserve"> 5</w:t>
      </w:r>
      <w:r w:rsidR="00063C83" w:rsidRPr="00EB4144">
        <w:rPr>
          <w:rFonts w:ascii="Arial" w:eastAsia="Calibri" w:hAnsi="Arial" w:cs="Arial"/>
          <w:color w:val="auto"/>
          <w:szCs w:val="24"/>
        </w:rPr>
        <w:t xml:space="preserve"> illustrat</w:t>
      </w:r>
      <w:r w:rsidR="005903AA" w:rsidRPr="00EB4144">
        <w:rPr>
          <w:rFonts w:ascii="Arial" w:eastAsia="Calibri" w:hAnsi="Arial" w:cs="Arial"/>
          <w:color w:val="auto"/>
          <w:szCs w:val="24"/>
        </w:rPr>
        <w:t>es</w:t>
      </w:r>
      <w:r w:rsidR="00063C83" w:rsidRPr="00EB4144">
        <w:rPr>
          <w:rFonts w:ascii="Arial" w:eastAsia="Calibri" w:hAnsi="Arial" w:cs="Arial"/>
          <w:color w:val="auto"/>
          <w:szCs w:val="24"/>
        </w:rPr>
        <w:t xml:space="preserve"> Ashfield’s approach to annual delivery rates. These are applied in the absence of any alternative site specific information being made available to the Council.</w:t>
      </w:r>
    </w:p>
    <w:p w14:paraId="3FF72381" w14:textId="77777777" w:rsidR="005903AA" w:rsidRPr="00EB4144" w:rsidRDefault="005903AA" w:rsidP="005903AA">
      <w:pPr>
        <w:keepNext w:val="0"/>
        <w:autoSpaceDE w:val="0"/>
        <w:autoSpaceDN w:val="0"/>
        <w:adjustRightInd w:val="0"/>
        <w:spacing w:before="0"/>
        <w:rPr>
          <w:rFonts w:cs="Arial"/>
          <w:b/>
          <w:bCs/>
          <w:color w:val="auto"/>
          <w:szCs w:val="24"/>
        </w:rPr>
      </w:pPr>
    </w:p>
    <w:p w14:paraId="7672651A" w14:textId="2F52FEF2" w:rsidR="005903AA" w:rsidRDefault="005903AA" w:rsidP="00333261">
      <w:pPr>
        <w:keepNext w:val="0"/>
        <w:autoSpaceDE w:val="0"/>
        <w:autoSpaceDN w:val="0"/>
        <w:adjustRightInd w:val="0"/>
        <w:spacing w:before="0"/>
        <w:ind w:firstLine="567"/>
        <w:rPr>
          <w:rFonts w:cs="Arial"/>
          <w:b/>
          <w:bCs/>
          <w:color w:val="auto"/>
          <w:szCs w:val="24"/>
        </w:rPr>
      </w:pPr>
      <w:r w:rsidRPr="0026216D">
        <w:rPr>
          <w:rFonts w:cs="Arial"/>
          <w:b/>
          <w:bCs/>
          <w:color w:val="auto"/>
          <w:szCs w:val="24"/>
        </w:rPr>
        <w:t xml:space="preserve">TABLE </w:t>
      </w:r>
      <w:r w:rsidR="00FA22F8">
        <w:rPr>
          <w:rFonts w:cs="Arial"/>
          <w:b/>
          <w:bCs/>
          <w:color w:val="auto"/>
          <w:szCs w:val="24"/>
        </w:rPr>
        <w:t>5</w:t>
      </w:r>
      <w:r w:rsidRPr="0026216D">
        <w:rPr>
          <w:rFonts w:cs="Arial"/>
          <w:b/>
          <w:bCs/>
          <w:color w:val="auto"/>
          <w:szCs w:val="24"/>
        </w:rPr>
        <w:t xml:space="preserve">: </w:t>
      </w:r>
      <w:r w:rsidR="00FA22F8">
        <w:rPr>
          <w:rFonts w:cs="Arial"/>
          <w:b/>
          <w:bCs/>
          <w:color w:val="auto"/>
          <w:szCs w:val="24"/>
        </w:rPr>
        <w:t xml:space="preserve">Standard Assumptions Annual Delivery Rates </w:t>
      </w:r>
    </w:p>
    <w:p w14:paraId="08C18E3A" w14:textId="77777777" w:rsidR="005903AA" w:rsidRPr="0026216D" w:rsidRDefault="005903AA" w:rsidP="005903AA">
      <w:pPr>
        <w:keepNext w:val="0"/>
        <w:autoSpaceDE w:val="0"/>
        <w:autoSpaceDN w:val="0"/>
        <w:adjustRightInd w:val="0"/>
        <w:spacing w:before="0"/>
        <w:rPr>
          <w:rFonts w:cs="Arial"/>
          <w:b/>
          <w:bCs/>
          <w:color w:val="auto"/>
          <w:szCs w:val="24"/>
        </w:rPr>
      </w:pPr>
    </w:p>
    <w:tbl>
      <w:tblPr>
        <w:tblStyle w:val="ReportTable1"/>
        <w:tblW w:w="8149" w:type="dxa"/>
        <w:tblInd w:w="562" w:type="dxa"/>
        <w:tblLook w:val="0020" w:firstRow="1" w:lastRow="0" w:firstColumn="0" w:lastColumn="0" w:noHBand="0" w:noVBand="0"/>
      </w:tblPr>
      <w:tblGrid>
        <w:gridCol w:w="3760"/>
        <w:gridCol w:w="4389"/>
      </w:tblGrid>
      <w:tr w:rsidR="00063C83" w:rsidRPr="00063C83" w14:paraId="55DE9470" w14:textId="77777777" w:rsidTr="001D74D6">
        <w:trPr>
          <w:trHeight w:val="510"/>
        </w:trPr>
        <w:tc>
          <w:tcPr>
            <w:tcW w:w="3760" w:type="dxa"/>
          </w:tcPr>
          <w:p w14:paraId="447FDC08" w14:textId="77777777" w:rsidR="00063C83" w:rsidRPr="005903AA" w:rsidRDefault="00063C83" w:rsidP="005903AA">
            <w:pPr>
              <w:keepNext w:val="0"/>
              <w:spacing w:before="0" w:after="160" w:line="259" w:lineRule="auto"/>
              <w:ind w:left="-110" w:firstLine="110"/>
              <w:rPr>
                <w:rFonts w:eastAsia="Calibri" w:cs="Arial"/>
                <w:b/>
                <w:color w:val="auto"/>
                <w:szCs w:val="24"/>
                <w:lang w:eastAsia="en-US"/>
              </w:rPr>
            </w:pPr>
            <w:r w:rsidRPr="005903AA">
              <w:rPr>
                <w:rFonts w:eastAsia="Calibri" w:cs="Arial"/>
                <w:b/>
                <w:color w:val="auto"/>
                <w:szCs w:val="24"/>
                <w:lang w:eastAsia="en-US"/>
              </w:rPr>
              <w:t>Site size/house types</w:t>
            </w:r>
          </w:p>
        </w:tc>
        <w:tc>
          <w:tcPr>
            <w:tcW w:w="4389" w:type="dxa"/>
          </w:tcPr>
          <w:p w14:paraId="7828F226" w14:textId="340FE87D" w:rsidR="00063C83" w:rsidRPr="005903AA" w:rsidRDefault="00063C83" w:rsidP="005903AA">
            <w:pPr>
              <w:keepNext w:val="0"/>
              <w:spacing w:before="0" w:after="160" w:line="259" w:lineRule="auto"/>
              <w:ind w:left="-110" w:firstLine="110"/>
              <w:jc w:val="center"/>
              <w:rPr>
                <w:rFonts w:eastAsia="Calibri" w:cs="Arial"/>
                <w:b/>
                <w:color w:val="auto"/>
                <w:szCs w:val="24"/>
                <w:lang w:eastAsia="en-US"/>
              </w:rPr>
            </w:pPr>
            <w:r w:rsidRPr="005903AA">
              <w:rPr>
                <w:rFonts w:eastAsia="Calibri" w:cs="Arial"/>
                <w:b/>
                <w:color w:val="auto"/>
                <w:szCs w:val="24"/>
                <w:lang w:eastAsia="en-US"/>
              </w:rPr>
              <w:t xml:space="preserve">Dwellings per Year </w:t>
            </w:r>
            <w:r w:rsidR="003E4B19" w:rsidRPr="005903AA">
              <w:rPr>
                <w:rFonts w:eastAsia="Calibri" w:cs="Arial"/>
                <w:b/>
                <w:color w:val="auto"/>
                <w:szCs w:val="24"/>
                <w:lang w:eastAsia="en-US"/>
              </w:rPr>
              <w:t>(per developer)</w:t>
            </w:r>
          </w:p>
        </w:tc>
      </w:tr>
      <w:tr w:rsidR="00063C83" w:rsidRPr="00063C83" w14:paraId="2A7F06F1" w14:textId="77777777" w:rsidTr="001D74D6">
        <w:trPr>
          <w:trHeight w:val="567"/>
        </w:trPr>
        <w:tc>
          <w:tcPr>
            <w:tcW w:w="3760" w:type="dxa"/>
          </w:tcPr>
          <w:p w14:paraId="56F1779C"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1 - 4 houses</w:t>
            </w:r>
          </w:p>
        </w:tc>
        <w:tc>
          <w:tcPr>
            <w:tcW w:w="4389" w:type="dxa"/>
          </w:tcPr>
          <w:p w14:paraId="08867D3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2</w:t>
            </w:r>
          </w:p>
        </w:tc>
      </w:tr>
      <w:tr w:rsidR="00063C83" w:rsidRPr="00063C83" w14:paraId="13F89AA8" w14:textId="77777777" w:rsidTr="001D74D6">
        <w:trPr>
          <w:trHeight w:val="567"/>
        </w:trPr>
        <w:tc>
          <w:tcPr>
            <w:tcW w:w="3760" w:type="dxa"/>
          </w:tcPr>
          <w:p w14:paraId="663A2277"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1 - 4 flats</w:t>
            </w:r>
          </w:p>
        </w:tc>
        <w:tc>
          <w:tcPr>
            <w:tcW w:w="4389" w:type="dxa"/>
          </w:tcPr>
          <w:p w14:paraId="5F49240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4</w:t>
            </w:r>
          </w:p>
        </w:tc>
      </w:tr>
      <w:tr w:rsidR="00063C83" w:rsidRPr="00063C83" w14:paraId="7B09D13A" w14:textId="77777777" w:rsidTr="001D74D6">
        <w:trPr>
          <w:trHeight w:val="567"/>
        </w:trPr>
        <w:tc>
          <w:tcPr>
            <w:tcW w:w="3760" w:type="dxa"/>
          </w:tcPr>
          <w:p w14:paraId="4351DEA5" w14:textId="73798C7D"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 xml:space="preserve">5 - </w:t>
            </w:r>
            <w:r w:rsidR="003E4B19" w:rsidRPr="005903AA">
              <w:rPr>
                <w:rFonts w:eastAsia="Calibri" w:cs="Arial"/>
                <w:color w:val="auto"/>
                <w:szCs w:val="24"/>
                <w:lang w:eastAsia="en-US"/>
              </w:rPr>
              <w:t>9</w:t>
            </w:r>
            <w:r w:rsidRPr="005903AA">
              <w:rPr>
                <w:rFonts w:eastAsia="Calibri" w:cs="Arial"/>
                <w:color w:val="auto"/>
                <w:szCs w:val="24"/>
                <w:lang w:eastAsia="en-US"/>
              </w:rPr>
              <w:t xml:space="preserve"> houses</w:t>
            </w:r>
          </w:p>
        </w:tc>
        <w:tc>
          <w:tcPr>
            <w:tcW w:w="4389" w:type="dxa"/>
          </w:tcPr>
          <w:p w14:paraId="36D741F3"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5</w:t>
            </w:r>
          </w:p>
        </w:tc>
      </w:tr>
      <w:tr w:rsidR="00063C83" w:rsidRPr="00063C83" w14:paraId="2DCB65F1" w14:textId="77777777" w:rsidTr="001D74D6">
        <w:trPr>
          <w:trHeight w:val="567"/>
        </w:trPr>
        <w:tc>
          <w:tcPr>
            <w:tcW w:w="3760" w:type="dxa"/>
          </w:tcPr>
          <w:p w14:paraId="42ACA8FD"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5 - 10 flats</w:t>
            </w:r>
          </w:p>
        </w:tc>
        <w:tc>
          <w:tcPr>
            <w:tcW w:w="4389" w:type="dxa"/>
          </w:tcPr>
          <w:p w14:paraId="74DBC2C1"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10</w:t>
            </w:r>
          </w:p>
        </w:tc>
      </w:tr>
      <w:tr w:rsidR="00063C83" w:rsidRPr="00063C83" w14:paraId="0FE7C61A" w14:textId="77777777" w:rsidTr="001D74D6">
        <w:trPr>
          <w:trHeight w:val="567"/>
        </w:trPr>
        <w:tc>
          <w:tcPr>
            <w:tcW w:w="3760" w:type="dxa"/>
          </w:tcPr>
          <w:p w14:paraId="6F12A3E4" w14:textId="44031D95"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w:t>
            </w:r>
            <w:r w:rsidR="003E4B19" w:rsidRPr="005903AA">
              <w:rPr>
                <w:rFonts w:eastAsia="Calibri" w:cs="Arial"/>
                <w:color w:val="auto"/>
                <w:szCs w:val="24"/>
                <w:lang w:eastAsia="en-US"/>
              </w:rPr>
              <w:t>0</w:t>
            </w:r>
            <w:r w:rsidRPr="005903AA">
              <w:rPr>
                <w:rFonts w:eastAsia="Calibri" w:cs="Arial"/>
                <w:color w:val="auto"/>
                <w:szCs w:val="24"/>
                <w:lang w:eastAsia="en-US"/>
              </w:rPr>
              <w:t xml:space="preserve"> – 499 houses</w:t>
            </w:r>
          </w:p>
        </w:tc>
        <w:tc>
          <w:tcPr>
            <w:tcW w:w="4389" w:type="dxa"/>
          </w:tcPr>
          <w:p w14:paraId="39265DC3"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35</w:t>
            </w:r>
          </w:p>
        </w:tc>
      </w:tr>
      <w:tr w:rsidR="00063C83" w:rsidRPr="00063C83" w14:paraId="4BE43B9A" w14:textId="77777777" w:rsidTr="001D74D6">
        <w:trPr>
          <w:trHeight w:val="567"/>
        </w:trPr>
        <w:tc>
          <w:tcPr>
            <w:tcW w:w="3760" w:type="dxa"/>
          </w:tcPr>
          <w:p w14:paraId="49A79921"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&gt;10 flats</w:t>
            </w:r>
          </w:p>
        </w:tc>
        <w:tc>
          <w:tcPr>
            <w:tcW w:w="4389" w:type="dxa"/>
          </w:tcPr>
          <w:p w14:paraId="3DAA5DF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50</w:t>
            </w:r>
          </w:p>
        </w:tc>
      </w:tr>
      <w:tr w:rsidR="00063C83" w:rsidRPr="00063C83" w14:paraId="6E02AFC0" w14:textId="77777777" w:rsidTr="001D74D6">
        <w:trPr>
          <w:trHeight w:val="567"/>
        </w:trPr>
        <w:tc>
          <w:tcPr>
            <w:tcW w:w="3760" w:type="dxa"/>
          </w:tcPr>
          <w:p w14:paraId="0DCF5F7C"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&gt;500 dwellings</w:t>
            </w:r>
          </w:p>
        </w:tc>
        <w:tc>
          <w:tcPr>
            <w:tcW w:w="4389" w:type="dxa"/>
          </w:tcPr>
          <w:p w14:paraId="678ED809" w14:textId="672B1B28" w:rsidR="00063C83" w:rsidRPr="005903AA" w:rsidRDefault="003E4B19"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4</w:t>
            </w:r>
            <w:r w:rsidR="00063C83" w:rsidRPr="005903AA">
              <w:rPr>
                <w:rFonts w:eastAsia="Calibri" w:cs="Arial"/>
                <w:color w:val="auto"/>
                <w:szCs w:val="24"/>
                <w:lang w:eastAsia="en-US"/>
              </w:rPr>
              <w:t>0</w:t>
            </w:r>
          </w:p>
        </w:tc>
      </w:tr>
    </w:tbl>
    <w:p w14:paraId="781D5AD3" w14:textId="77777777" w:rsidR="00063C83" w:rsidRPr="00063C83" w:rsidRDefault="00063C83" w:rsidP="00FA22F8">
      <w:pPr>
        <w:keepNext w:val="0"/>
        <w:spacing w:before="0" w:line="259" w:lineRule="auto"/>
        <w:rPr>
          <w:rFonts w:eastAsia="Calibri" w:cs="Arial"/>
          <w:color w:val="FF0000"/>
          <w:szCs w:val="24"/>
          <w:lang w:eastAsia="en-US"/>
        </w:rPr>
      </w:pPr>
    </w:p>
    <w:p w14:paraId="5D9DC62E" w14:textId="528149E6" w:rsidR="00EF5ACB" w:rsidRDefault="00EF5ACB" w:rsidP="00FE22F3">
      <w:pPr>
        <w:pStyle w:val="Heading3"/>
      </w:pPr>
      <w:r w:rsidRPr="00EF5ACB">
        <w:t>Density</w:t>
      </w:r>
    </w:p>
    <w:p w14:paraId="71BB2515" w14:textId="77777777" w:rsidR="005903AA" w:rsidRPr="00333261" w:rsidRDefault="005903AA" w:rsidP="00FA22F8">
      <w:pPr>
        <w:spacing w:before="0" w:line="276" w:lineRule="auto"/>
        <w:rPr>
          <w:rFonts w:eastAsia="Calibri" w:cs="Arial"/>
          <w:lang w:eastAsia="en-US"/>
        </w:rPr>
      </w:pPr>
    </w:p>
    <w:p w14:paraId="2055BA26" w14:textId="34C4DAD4" w:rsidR="00A07DED" w:rsidRDefault="00ED1700" w:rsidP="00FA22F8">
      <w:pPr>
        <w:pStyle w:val="ListParagraph"/>
        <w:numPr>
          <w:ilvl w:val="1"/>
          <w:numId w:val="9"/>
        </w:numPr>
        <w:spacing w:after="0"/>
        <w:ind w:left="567" w:hanging="567"/>
        <w:rPr>
          <w:rFonts w:ascii="Arial" w:eastAsia="Calibri" w:hAnsi="Arial" w:cs="Arial"/>
          <w:color w:val="auto"/>
          <w:szCs w:val="24"/>
        </w:rPr>
      </w:pPr>
      <w:r w:rsidRPr="00333261">
        <w:rPr>
          <w:rFonts w:ascii="Arial" w:eastAsia="Calibri" w:hAnsi="Arial" w:cs="Arial"/>
          <w:color w:val="auto"/>
          <w:szCs w:val="24"/>
        </w:rPr>
        <w:t xml:space="preserve">Sites with </w:t>
      </w:r>
      <w:r w:rsidR="00EF5ACB" w:rsidRPr="00333261">
        <w:rPr>
          <w:rFonts w:ascii="Arial" w:eastAsia="Calibri" w:hAnsi="Arial" w:cs="Arial"/>
          <w:color w:val="auto"/>
          <w:szCs w:val="24"/>
        </w:rPr>
        <w:t xml:space="preserve">Full or Reserved Matters </w:t>
      </w:r>
      <w:r w:rsidRPr="00333261">
        <w:rPr>
          <w:rFonts w:ascii="Arial" w:eastAsia="Calibri" w:hAnsi="Arial" w:cs="Arial"/>
          <w:color w:val="auto"/>
          <w:szCs w:val="24"/>
        </w:rPr>
        <w:t>planning permissions</w:t>
      </w:r>
      <w:r w:rsidR="00EF5ACB" w:rsidRPr="00333261">
        <w:rPr>
          <w:rFonts w:ascii="Arial" w:eastAsia="Calibri" w:hAnsi="Arial" w:cs="Arial"/>
          <w:color w:val="auto"/>
          <w:szCs w:val="24"/>
        </w:rPr>
        <w:t xml:space="preserve"> are based on the approved details. </w:t>
      </w:r>
      <w:r w:rsidR="00DE4B5A" w:rsidRPr="00333261">
        <w:rPr>
          <w:rFonts w:ascii="Arial" w:eastAsia="Calibri" w:hAnsi="Arial" w:cs="Arial"/>
          <w:color w:val="auto"/>
          <w:szCs w:val="24"/>
        </w:rPr>
        <w:t xml:space="preserve">For </w:t>
      </w:r>
      <w:r w:rsidR="00EF5ACB" w:rsidRPr="00333261">
        <w:rPr>
          <w:rFonts w:ascii="Arial" w:eastAsia="Calibri" w:hAnsi="Arial" w:cs="Arial"/>
          <w:color w:val="auto"/>
          <w:szCs w:val="24"/>
        </w:rPr>
        <w:t xml:space="preserve">Outline </w:t>
      </w:r>
      <w:r w:rsidR="00A07DED" w:rsidRPr="00333261">
        <w:rPr>
          <w:rFonts w:ascii="Arial" w:eastAsia="Calibri" w:hAnsi="Arial" w:cs="Arial"/>
          <w:color w:val="auto"/>
          <w:szCs w:val="24"/>
        </w:rPr>
        <w:t xml:space="preserve">permissions and </w:t>
      </w:r>
      <w:r w:rsidR="00EF5ACB" w:rsidRPr="00333261">
        <w:rPr>
          <w:rFonts w:ascii="Arial" w:eastAsia="Calibri" w:hAnsi="Arial" w:cs="Arial"/>
          <w:color w:val="auto"/>
          <w:szCs w:val="24"/>
        </w:rPr>
        <w:t>allocated sites without planning consent,</w:t>
      </w:r>
      <w:r w:rsidR="00A07DED" w:rsidRPr="00333261">
        <w:rPr>
          <w:rFonts w:ascii="Arial" w:eastAsia="Calibri" w:hAnsi="Arial" w:cs="Arial"/>
          <w:color w:val="auto"/>
          <w:szCs w:val="24"/>
        </w:rPr>
        <w:t xml:space="preserve"> the approach to densities is as follows, and is reflected in the Draft Local Plan policy H7.</w:t>
      </w:r>
    </w:p>
    <w:p w14:paraId="7F0BBB46" w14:textId="74DB74E3" w:rsidR="0053424E" w:rsidRDefault="0053424E" w:rsidP="00FA22F8">
      <w:pPr>
        <w:keepNext w:val="0"/>
        <w:spacing w:before="0" w:line="276" w:lineRule="auto"/>
        <w:rPr>
          <w:rFonts w:eastAsia="Calibri" w:cs="Arial"/>
          <w:color w:val="auto"/>
          <w:szCs w:val="24"/>
          <w:lang w:eastAsia="en-US"/>
        </w:rPr>
      </w:pPr>
    </w:p>
    <w:p w14:paraId="11236D66" w14:textId="6508F246" w:rsidR="00A07DED" w:rsidRDefault="00A07DED" w:rsidP="00FA22F8">
      <w:pPr>
        <w:pStyle w:val="ListParagraph"/>
        <w:numPr>
          <w:ilvl w:val="1"/>
          <w:numId w:val="9"/>
        </w:numPr>
        <w:spacing w:after="0"/>
        <w:ind w:left="567" w:hanging="567"/>
        <w:rPr>
          <w:rFonts w:ascii="Arial" w:hAnsi="Arial" w:cs="Arial"/>
          <w:color w:val="auto"/>
        </w:rPr>
      </w:pPr>
      <w:r w:rsidRPr="00333261">
        <w:rPr>
          <w:rFonts w:ascii="Arial" w:hAnsi="Arial" w:cs="Arial"/>
          <w:color w:val="auto"/>
        </w:rPr>
        <w:t xml:space="preserve">Development on sites of 0.4 hectares or greater, within distances indicated below from district shopping centres and major public transport nodes </w:t>
      </w:r>
      <w:r w:rsidR="00DE4B5A" w:rsidRPr="00333261">
        <w:rPr>
          <w:rFonts w:ascii="Arial" w:hAnsi="Arial" w:cs="Arial"/>
          <w:color w:val="auto"/>
        </w:rPr>
        <w:t xml:space="preserve">are </w:t>
      </w:r>
      <w:r w:rsidRPr="00333261">
        <w:rPr>
          <w:rFonts w:ascii="Arial" w:hAnsi="Arial" w:cs="Arial"/>
          <w:color w:val="auto"/>
        </w:rPr>
        <w:t>subject to the following minimum densit</w:t>
      </w:r>
      <w:r w:rsidR="00DE4B5A" w:rsidRPr="00333261">
        <w:rPr>
          <w:rFonts w:ascii="Arial" w:hAnsi="Arial" w:cs="Arial"/>
          <w:color w:val="auto"/>
        </w:rPr>
        <w:t>ies</w:t>
      </w:r>
      <w:r w:rsidRPr="00333261">
        <w:rPr>
          <w:rFonts w:ascii="Arial" w:hAnsi="Arial" w:cs="Arial"/>
          <w:color w:val="auto"/>
        </w:rPr>
        <w:t>:</w:t>
      </w:r>
    </w:p>
    <w:p w14:paraId="234350DB" w14:textId="77777777" w:rsidR="00333261" w:rsidRPr="00333261" w:rsidRDefault="00333261" w:rsidP="00FA22F8">
      <w:pPr>
        <w:pStyle w:val="ListParagraph"/>
        <w:spacing w:after="0"/>
        <w:ind w:left="567"/>
        <w:rPr>
          <w:rFonts w:ascii="Arial" w:hAnsi="Arial" w:cs="Arial"/>
          <w:color w:val="auto"/>
        </w:rPr>
      </w:pPr>
    </w:p>
    <w:p w14:paraId="0E980A91" w14:textId="0FC2E4D8" w:rsidR="00A07DED" w:rsidRPr="00333261" w:rsidRDefault="00A07DED" w:rsidP="00FA22F8">
      <w:pPr>
        <w:pStyle w:val="ListParagraph"/>
        <w:numPr>
          <w:ilvl w:val="0"/>
          <w:numId w:val="13"/>
        </w:numPr>
        <w:spacing w:after="0"/>
        <w:ind w:left="993" w:hanging="426"/>
        <w:rPr>
          <w:rFonts w:ascii="Arial" w:hAnsi="Arial" w:cs="Arial"/>
          <w:color w:val="auto"/>
        </w:rPr>
      </w:pPr>
      <w:r w:rsidRPr="00333261">
        <w:rPr>
          <w:rFonts w:ascii="Arial" w:hAnsi="Arial" w:cs="Arial"/>
          <w:color w:val="auto"/>
        </w:rPr>
        <w:t>Within 400m</w:t>
      </w:r>
      <w:r w:rsidRPr="00333261">
        <w:rPr>
          <w:rFonts w:ascii="Arial" w:hAnsi="Arial" w:cs="Arial"/>
          <w:color w:val="auto"/>
        </w:rPr>
        <w:tab/>
        <w:t>- 40 dwellings per hectare</w:t>
      </w:r>
    </w:p>
    <w:p w14:paraId="79DA238E" w14:textId="12712C54" w:rsidR="00A07DED" w:rsidRPr="00DE4B5A" w:rsidRDefault="00A07DED" w:rsidP="00FA22F8">
      <w:pPr>
        <w:pStyle w:val="ListParagraph"/>
        <w:numPr>
          <w:ilvl w:val="0"/>
          <w:numId w:val="11"/>
        </w:numPr>
        <w:spacing w:after="0"/>
        <w:ind w:left="993" w:hanging="426"/>
        <w:rPr>
          <w:rFonts w:ascii="Arial" w:hAnsi="Arial" w:cs="Arial"/>
          <w:color w:val="auto"/>
        </w:rPr>
      </w:pPr>
      <w:r w:rsidRPr="00DE4B5A">
        <w:rPr>
          <w:rFonts w:ascii="Arial" w:hAnsi="Arial" w:cs="Arial"/>
          <w:color w:val="auto"/>
        </w:rPr>
        <w:t>Within 1Km</w:t>
      </w:r>
      <w:r w:rsidRPr="00DE4B5A">
        <w:rPr>
          <w:rFonts w:ascii="Arial" w:hAnsi="Arial" w:cs="Arial"/>
          <w:color w:val="auto"/>
        </w:rPr>
        <w:tab/>
        <w:t>- 34 dwellings per hectare</w:t>
      </w:r>
    </w:p>
    <w:p w14:paraId="4092F858" w14:textId="69C42ADE" w:rsidR="00A07DED" w:rsidRDefault="00A07DED" w:rsidP="00FA22F8">
      <w:pPr>
        <w:pStyle w:val="ListParagraph"/>
        <w:numPr>
          <w:ilvl w:val="0"/>
          <w:numId w:val="11"/>
        </w:numPr>
        <w:spacing w:after="0"/>
        <w:ind w:left="993" w:hanging="426"/>
        <w:rPr>
          <w:rFonts w:ascii="Arial" w:hAnsi="Arial" w:cs="Arial"/>
          <w:color w:val="auto"/>
        </w:rPr>
      </w:pPr>
      <w:r w:rsidRPr="00DE4B5A">
        <w:rPr>
          <w:rFonts w:ascii="Arial" w:hAnsi="Arial" w:cs="Arial"/>
          <w:color w:val="auto"/>
        </w:rPr>
        <w:t>Over 1km</w:t>
      </w:r>
      <w:r w:rsidR="00333261">
        <w:rPr>
          <w:rFonts w:ascii="Arial" w:hAnsi="Arial" w:cs="Arial"/>
          <w:color w:val="auto"/>
        </w:rPr>
        <w:tab/>
      </w:r>
      <w:r w:rsidRPr="00DE4B5A">
        <w:rPr>
          <w:rFonts w:ascii="Arial" w:hAnsi="Arial" w:cs="Arial"/>
          <w:color w:val="auto"/>
        </w:rPr>
        <w:tab/>
        <w:t>- 30 dwellings per hectare</w:t>
      </w:r>
    </w:p>
    <w:p w14:paraId="1A68C201" w14:textId="77777777" w:rsidR="00333261" w:rsidRDefault="00333261" w:rsidP="00FA22F8">
      <w:pPr>
        <w:pStyle w:val="ListParagraph"/>
        <w:spacing w:after="0"/>
        <w:ind w:left="717"/>
        <w:rPr>
          <w:rFonts w:ascii="Arial" w:hAnsi="Arial" w:cs="Arial"/>
          <w:color w:val="auto"/>
        </w:rPr>
      </w:pPr>
    </w:p>
    <w:p w14:paraId="756DC2A2" w14:textId="491517D6" w:rsidR="0051770A" w:rsidRPr="00333261" w:rsidRDefault="00DE4B5A" w:rsidP="00FA22F8">
      <w:pPr>
        <w:pStyle w:val="ListParagraph"/>
        <w:numPr>
          <w:ilvl w:val="1"/>
          <w:numId w:val="9"/>
        </w:numPr>
        <w:spacing w:after="0"/>
        <w:ind w:left="567" w:hanging="567"/>
        <w:rPr>
          <w:rFonts w:ascii="Arial" w:hAnsi="Arial" w:cs="Arial"/>
          <w:color w:val="auto"/>
        </w:rPr>
      </w:pPr>
      <w:r w:rsidRPr="00333261">
        <w:rPr>
          <w:rFonts w:ascii="Arial" w:hAnsi="Arial" w:cs="Arial"/>
          <w:color w:val="auto"/>
        </w:rPr>
        <w:t xml:space="preserve">Where sites </w:t>
      </w:r>
      <w:r w:rsidRPr="00333261">
        <w:rPr>
          <w:rFonts w:ascii="Arial" w:eastAsia="Calibri" w:hAnsi="Arial" w:cs="Arial"/>
          <w:color w:val="auto"/>
          <w:szCs w:val="24"/>
        </w:rPr>
        <w:t>have masterplans or are subject to a pending planning application, th</w:t>
      </w:r>
      <w:r w:rsidR="002130E5" w:rsidRPr="00333261">
        <w:rPr>
          <w:rFonts w:ascii="Arial" w:eastAsia="Calibri" w:hAnsi="Arial" w:cs="Arial"/>
          <w:color w:val="auto"/>
          <w:szCs w:val="24"/>
        </w:rPr>
        <w:t>ese</w:t>
      </w:r>
      <w:r w:rsidRPr="00333261">
        <w:rPr>
          <w:rFonts w:ascii="Arial" w:eastAsia="Calibri" w:hAnsi="Arial" w:cs="Arial"/>
          <w:color w:val="auto"/>
          <w:szCs w:val="24"/>
        </w:rPr>
        <w:t xml:space="preserve"> ha</w:t>
      </w:r>
      <w:r w:rsidR="002130E5" w:rsidRPr="00333261">
        <w:rPr>
          <w:rFonts w:ascii="Arial" w:eastAsia="Calibri" w:hAnsi="Arial" w:cs="Arial"/>
          <w:color w:val="auto"/>
          <w:szCs w:val="24"/>
        </w:rPr>
        <w:t>ve</w:t>
      </w:r>
      <w:r w:rsidRPr="00333261">
        <w:rPr>
          <w:rFonts w:ascii="Arial" w:eastAsia="Calibri" w:hAnsi="Arial" w:cs="Arial"/>
          <w:color w:val="auto"/>
          <w:szCs w:val="24"/>
        </w:rPr>
        <w:t xml:space="preserve"> helped to inform potential site delivery.</w:t>
      </w:r>
    </w:p>
    <w:p w14:paraId="49405B09" w14:textId="77777777" w:rsidR="00333261" w:rsidRPr="00333261" w:rsidRDefault="00333261" w:rsidP="00FA22F8">
      <w:pPr>
        <w:pStyle w:val="ListParagraph"/>
        <w:spacing w:after="0"/>
        <w:ind w:left="567"/>
        <w:rPr>
          <w:rFonts w:ascii="Arial" w:hAnsi="Arial" w:cs="Arial"/>
          <w:color w:val="auto"/>
        </w:rPr>
      </w:pPr>
    </w:p>
    <w:p w14:paraId="7471ABFC" w14:textId="3F6A8B46" w:rsidR="00EF5ACB" w:rsidRPr="00333261" w:rsidRDefault="00DE4B5A" w:rsidP="00FA22F8">
      <w:pPr>
        <w:pStyle w:val="ListParagraph"/>
        <w:numPr>
          <w:ilvl w:val="1"/>
          <w:numId w:val="9"/>
        </w:numPr>
        <w:spacing w:after="0"/>
        <w:ind w:left="567" w:hanging="567"/>
        <w:rPr>
          <w:rFonts w:ascii="Arial" w:hAnsi="Arial" w:cs="Arial"/>
          <w:color w:val="auto"/>
        </w:rPr>
      </w:pPr>
      <w:r w:rsidRPr="00333261">
        <w:rPr>
          <w:rFonts w:ascii="Arial" w:eastAsia="Calibri" w:hAnsi="Arial" w:cs="Arial"/>
          <w:color w:val="auto"/>
          <w:szCs w:val="24"/>
        </w:rPr>
        <w:t>A conservative approach to site densities has been applied in order to avoid over estimating delivery and to ensure enough development to meet the needs of the district. In instances where sites</w:t>
      </w:r>
      <w:r w:rsidR="00EF5ACB" w:rsidRPr="00333261">
        <w:rPr>
          <w:rFonts w:ascii="Arial" w:eastAsia="Calibri" w:hAnsi="Arial" w:cs="Arial"/>
          <w:color w:val="auto"/>
          <w:szCs w:val="24"/>
        </w:rPr>
        <w:t xml:space="preserve"> </w:t>
      </w:r>
      <w:r w:rsidRPr="00333261">
        <w:rPr>
          <w:rFonts w:ascii="Arial" w:eastAsia="Calibri" w:hAnsi="Arial" w:cs="Arial"/>
          <w:color w:val="auto"/>
          <w:szCs w:val="24"/>
        </w:rPr>
        <w:t>have significant constraints which restrict the developable area, this is taken into account when estimating potential yield.</w:t>
      </w:r>
      <w:r w:rsidR="00EF5ACB" w:rsidRPr="00333261">
        <w:rPr>
          <w:rFonts w:ascii="Arial" w:eastAsia="Calibri" w:hAnsi="Arial" w:cs="Arial"/>
          <w:color w:val="auto"/>
          <w:szCs w:val="24"/>
        </w:rPr>
        <w:t xml:space="preserve"> </w:t>
      </w:r>
      <w:r w:rsidR="00E330B6" w:rsidRPr="00333261">
        <w:rPr>
          <w:rFonts w:ascii="Arial" w:eastAsia="Calibri" w:hAnsi="Arial" w:cs="Arial"/>
          <w:color w:val="auto"/>
          <w:szCs w:val="24"/>
        </w:rPr>
        <w:t>Furthermore, it is important that densities are applied to a net developable area, rather than the total site area in order to acknowledge the need for essential infrastructure. Consequently</w:t>
      </w:r>
      <w:r w:rsidR="002130E5" w:rsidRPr="00333261">
        <w:rPr>
          <w:rFonts w:ascii="Arial" w:eastAsia="Calibri" w:hAnsi="Arial" w:cs="Arial"/>
          <w:color w:val="auto"/>
          <w:szCs w:val="24"/>
        </w:rPr>
        <w:t>,</w:t>
      </w:r>
      <w:r w:rsidR="00EF5ACB" w:rsidRPr="00333261">
        <w:rPr>
          <w:rFonts w:ascii="Arial" w:eastAsia="Calibri" w:hAnsi="Arial" w:cs="Arial"/>
          <w:color w:val="auto"/>
          <w:szCs w:val="24"/>
        </w:rPr>
        <w:t xml:space="preserve"> the following density multiplier</w:t>
      </w:r>
      <w:r w:rsidR="0051770A" w:rsidRPr="00333261">
        <w:rPr>
          <w:rFonts w:ascii="Arial" w:eastAsia="Calibri" w:hAnsi="Arial" w:cs="Arial"/>
          <w:color w:val="auto"/>
          <w:szCs w:val="24"/>
        </w:rPr>
        <w:t>s</w:t>
      </w:r>
      <w:r w:rsidR="00EF5ACB" w:rsidRPr="00333261">
        <w:rPr>
          <w:rFonts w:ascii="Arial" w:eastAsia="Calibri" w:hAnsi="Arial" w:cs="Arial"/>
          <w:color w:val="auto"/>
          <w:szCs w:val="24"/>
        </w:rPr>
        <w:t xml:space="preserve"> ha</w:t>
      </w:r>
      <w:r w:rsidR="0051770A" w:rsidRPr="00333261">
        <w:rPr>
          <w:rFonts w:ascii="Arial" w:eastAsia="Calibri" w:hAnsi="Arial" w:cs="Arial"/>
          <w:color w:val="auto"/>
          <w:szCs w:val="24"/>
        </w:rPr>
        <w:t>ve</w:t>
      </w:r>
      <w:r w:rsidR="00EF5ACB" w:rsidRPr="00333261">
        <w:rPr>
          <w:rFonts w:ascii="Arial" w:eastAsia="Calibri" w:hAnsi="Arial" w:cs="Arial"/>
          <w:color w:val="auto"/>
          <w:szCs w:val="24"/>
        </w:rPr>
        <w:t xml:space="preserve"> been applied to allocated sites without planning permission to establish the net developable area. Exceptions to this include sites where comments from the owner/developer have justified a different capacity.</w:t>
      </w:r>
    </w:p>
    <w:p w14:paraId="111687BA" w14:textId="77777777" w:rsidR="00FA22F8" w:rsidRDefault="00FA22F8" w:rsidP="00FA22F8">
      <w:pPr>
        <w:keepNext w:val="0"/>
        <w:spacing w:before="0" w:line="276" w:lineRule="auto"/>
        <w:ind w:left="142" w:firstLine="425"/>
        <w:rPr>
          <w:rFonts w:cs="Arial"/>
          <w:b/>
          <w:bCs/>
          <w:color w:val="auto"/>
          <w:szCs w:val="24"/>
        </w:rPr>
      </w:pPr>
    </w:p>
    <w:p w14:paraId="47DFDF74" w14:textId="5DD2E6C5" w:rsidR="00EF5ACB" w:rsidRPr="00EF5ACB" w:rsidRDefault="0051770A" w:rsidP="0053424E">
      <w:pPr>
        <w:keepNext w:val="0"/>
        <w:spacing w:before="0" w:after="160" w:line="259" w:lineRule="auto"/>
        <w:ind w:left="142" w:firstLine="425"/>
        <w:rPr>
          <w:rFonts w:eastAsia="Calibri" w:cs="Arial"/>
          <w:color w:val="FF0000"/>
          <w:szCs w:val="24"/>
          <w:lang w:eastAsia="en-US"/>
        </w:rPr>
      </w:pPr>
      <w:r w:rsidRPr="0026216D">
        <w:rPr>
          <w:rFonts w:cs="Arial"/>
          <w:b/>
          <w:bCs/>
          <w:color w:val="auto"/>
          <w:szCs w:val="24"/>
        </w:rPr>
        <w:t xml:space="preserve">TABLE </w:t>
      </w:r>
      <w:r w:rsidR="00FA22F8">
        <w:rPr>
          <w:rFonts w:cs="Arial"/>
          <w:b/>
          <w:bCs/>
          <w:color w:val="auto"/>
          <w:szCs w:val="24"/>
        </w:rPr>
        <w:t>6</w:t>
      </w:r>
      <w:r w:rsidRPr="0026216D">
        <w:rPr>
          <w:rFonts w:cs="Arial"/>
          <w:b/>
          <w:bCs/>
          <w:color w:val="auto"/>
          <w:szCs w:val="24"/>
        </w:rPr>
        <w:t xml:space="preserve">: </w:t>
      </w:r>
      <w:r w:rsidR="007C4AB9">
        <w:rPr>
          <w:rFonts w:cs="Arial"/>
          <w:b/>
          <w:bCs/>
          <w:color w:val="auto"/>
          <w:szCs w:val="24"/>
        </w:rPr>
        <w:t>Standard Assumptions to Identify Net Developable Area</w:t>
      </w:r>
    </w:p>
    <w:tbl>
      <w:tblPr>
        <w:tblStyle w:val="ReportTable1"/>
        <w:tblW w:w="8931" w:type="dxa"/>
        <w:tblInd w:w="562" w:type="dxa"/>
        <w:tblLook w:val="04A0" w:firstRow="1" w:lastRow="0" w:firstColumn="1" w:lastColumn="0" w:noHBand="0" w:noVBand="1"/>
      </w:tblPr>
      <w:tblGrid>
        <w:gridCol w:w="2262"/>
        <w:gridCol w:w="1283"/>
        <w:gridCol w:w="5386"/>
      </w:tblGrid>
      <w:tr w:rsidR="00EF5ACB" w:rsidRPr="00E330B6" w14:paraId="7A04B927" w14:textId="77777777" w:rsidTr="00927CA3">
        <w:trPr>
          <w:trHeight w:val="547"/>
        </w:trPr>
        <w:tc>
          <w:tcPr>
            <w:tcW w:w="2262" w:type="dxa"/>
          </w:tcPr>
          <w:p w14:paraId="728C372F"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Site size (Ha)</w:t>
            </w:r>
          </w:p>
        </w:tc>
        <w:tc>
          <w:tcPr>
            <w:tcW w:w="1283" w:type="dxa"/>
          </w:tcPr>
          <w:p w14:paraId="082E024F"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Multiplier</w:t>
            </w:r>
          </w:p>
        </w:tc>
        <w:tc>
          <w:tcPr>
            <w:tcW w:w="5386" w:type="dxa"/>
          </w:tcPr>
          <w:p w14:paraId="681B4A78"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Comments</w:t>
            </w:r>
          </w:p>
        </w:tc>
      </w:tr>
      <w:tr w:rsidR="00EF5ACB" w:rsidRPr="00E330B6" w14:paraId="38157CB3" w14:textId="77777777" w:rsidTr="00927CA3">
        <w:tc>
          <w:tcPr>
            <w:tcW w:w="2262" w:type="dxa"/>
          </w:tcPr>
          <w:p w14:paraId="22400C06" w14:textId="3A3E19BC"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below 0.4 ha</w:t>
            </w:r>
          </w:p>
        </w:tc>
        <w:tc>
          <w:tcPr>
            <w:tcW w:w="1283" w:type="dxa"/>
          </w:tcPr>
          <w:p w14:paraId="0E1A0997"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100%</w:t>
            </w:r>
          </w:p>
        </w:tc>
        <w:tc>
          <w:tcPr>
            <w:tcW w:w="5386" w:type="dxa"/>
          </w:tcPr>
          <w:p w14:paraId="17EE9D4E" w14:textId="7777777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No reduction – Gross site area used to calculate yield.</w:t>
            </w:r>
          </w:p>
        </w:tc>
      </w:tr>
      <w:tr w:rsidR="00EF5ACB" w:rsidRPr="00E330B6" w14:paraId="07CC2EBE" w14:textId="77777777" w:rsidTr="00927CA3">
        <w:tc>
          <w:tcPr>
            <w:tcW w:w="2262" w:type="dxa"/>
          </w:tcPr>
          <w:p w14:paraId="492DE9BC" w14:textId="77777777" w:rsidR="007C4AB9"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between</w:t>
            </w:r>
          </w:p>
          <w:p w14:paraId="2B5D9DD2" w14:textId="016C9B41"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0.4 ha – 2.0 ha</w:t>
            </w:r>
          </w:p>
        </w:tc>
        <w:tc>
          <w:tcPr>
            <w:tcW w:w="1283" w:type="dxa"/>
          </w:tcPr>
          <w:p w14:paraId="417C3D02"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90%</w:t>
            </w:r>
          </w:p>
        </w:tc>
        <w:tc>
          <w:tcPr>
            <w:tcW w:w="5386" w:type="dxa"/>
          </w:tcPr>
          <w:p w14:paraId="563D46A6" w14:textId="435B5BCE"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On sites with an area between 0.4 and 2 hectares, a 10% reduction </w:t>
            </w:r>
            <w:r w:rsidR="002F2F73">
              <w:rPr>
                <w:rFonts w:eastAsia="Calibri" w:cs="Arial"/>
                <w:color w:val="auto"/>
                <w:szCs w:val="24"/>
                <w:lang w:eastAsia="en-US"/>
              </w:rPr>
              <w:t>is</w:t>
            </w:r>
            <w:r w:rsidRPr="00E330B6">
              <w:rPr>
                <w:rFonts w:eastAsia="Calibri" w:cs="Arial"/>
                <w:color w:val="auto"/>
                <w:szCs w:val="24"/>
                <w:lang w:eastAsia="en-US"/>
              </w:rPr>
              <w:t xml:space="preserve"> applied for potential infrastructure requirements.</w:t>
            </w:r>
          </w:p>
        </w:tc>
      </w:tr>
      <w:tr w:rsidR="00EF5ACB" w:rsidRPr="00E330B6" w14:paraId="14254B1A" w14:textId="77777777" w:rsidTr="00927CA3">
        <w:tc>
          <w:tcPr>
            <w:tcW w:w="2262" w:type="dxa"/>
          </w:tcPr>
          <w:p w14:paraId="39A68BC3" w14:textId="77777777" w:rsidR="007C4AB9"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between</w:t>
            </w:r>
          </w:p>
          <w:p w14:paraId="3F29D9BC" w14:textId="3A4D1189"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2.0 ha – 10.0 ha</w:t>
            </w:r>
          </w:p>
          <w:p w14:paraId="4392C94E" w14:textId="77777777" w:rsidR="00EF5ACB" w:rsidRPr="00E330B6" w:rsidRDefault="00EF5ACB" w:rsidP="00EF5ACB">
            <w:pPr>
              <w:keepNext w:val="0"/>
              <w:spacing w:before="0" w:after="160" w:line="259" w:lineRule="auto"/>
              <w:rPr>
                <w:rFonts w:eastAsia="Calibri" w:cs="Arial"/>
                <w:color w:val="auto"/>
                <w:szCs w:val="24"/>
                <w:lang w:eastAsia="en-US"/>
              </w:rPr>
            </w:pPr>
          </w:p>
        </w:tc>
        <w:tc>
          <w:tcPr>
            <w:tcW w:w="1283" w:type="dxa"/>
          </w:tcPr>
          <w:p w14:paraId="71417E2A"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75%</w:t>
            </w:r>
          </w:p>
        </w:tc>
        <w:tc>
          <w:tcPr>
            <w:tcW w:w="5386" w:type="dxa"/>
          </w:tcPr>
          <w:p w14:paraId="78920060" w14:textId="7E982E22"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Where sites exceed 2 hectares, 10% of the site size </w:t>
            </w:r>
            <w:r w:rsidR="002F2F73">
              <w:rPr>
                <w:rFonts w:eastAsia="Calibri" w:cs="Arial"/>
                <w:color w:val="auto"/>
                <w:szCs w:val="24"/>
                <w:lang w:eastAsia="en-US"/>
              </w:rPr>
              <w:t>is</w:t>
            </w:r>
            <w:r w:rsidRPr="00E330B6">
              <w:rPr>
                <w:rFonts w:eastAsia="Calibri" w:cs="Arial"/>
                <w:color w:val="auto"/>
                <w:szCs w:val="24"/>
                <w:lang w:eastAsia="en-US"/>
              </w:rPr>
              <w:t xml:space="preserve"> deducted to accommodate open space requirements (in accordance with Policy H</w:t>
            </w:r>
            <w:r w:rsidR="00E330B6">
              <w:rPr>
                <w:rFonts w:eastAsia="Calibri" w:cs="Arial"/>
                <w:color w:val="auto"/>
                <w:szCs w:val="24"/>
                <w:lang w:eastAsia="en-US"/>
              </w:rPr>
              <w:t>5</w:t>
            </w:r>
            <w:r w:rsidRPr="00E330B6">
              <w:rPr>
                <w:rFonts w:eastAsia="Calibri" w:cs="Arial"/>
                <w:color w:val="auto"/>
                <w:szCs w:val="24"/>
                <w:lang w:eastAsia="en-US"/>
              </w:rPr>
              <w:t xml:space="preserve"> of the </w:t>
            </w:r>
            <w:r w:rsidR="00E330B6">
              <w:rPr>
                <w:rFonts w:eastAsia="Calibri" w:cs="Arial"/>
                <w:color w:val="auto"/>
                <w:szCs w:val="24"/>
                <w:lang w:eastAsia="en-US"/>
              </w:rPr>
              <w:t xml:space="preserve">Draft </w:t>
            </w:r>
            <w:r w:rsidRPr="00E330B6">
              <w:rPr>
                <w:rFonts w:eastAsia="Calibri" w:cs="Arial"/>
                <w:color w:val="auto"/>
                <w:szCs w:val="24"/>
                <w:lang w:eastAsia="en-US"/>
              </w:rPr>
              <w:t xml:space="preserve">Ashfield Local Plan </w:t>
            </w:r>
            <w:r w:rsidR="00E330B6">
              <w:rPr>
                <w:rFonts w:eastAsia="Calibri" w:cs="Arial"/>
                <w:color w:val="auto"/>
                <w:szCs w:val="24"/>
                <w:lang w:eastAsia="en-US"/>
              </w:rPr>
              <w:t>2020-2038)</w:t>
            </w:r>
            <w:r w:rsidRPr="00E330B6">
              <w:rPr>
                <w:rFonts w:eastAsia="Calibri" w:cs="Arial"/>
                <w:color w:val="auto"/>
                <w:szCs w:val="24"/>
                <w:lang w:eastAsia="en-US"/>
              </w:rPr>
              <w:t xml:space="preserve">. A further 15% </w:t>
            </w:r>
            <w:r w:rsidR="002F2F73">
              <w:rPr>
                <w:rFonts w:eastAsia="Calibri" w:cs="Arial"/>
                <w:color w:val="auto"/>
                <w:szCs w:val="24"/>
                <w:lang w:eastAsia="en-US"/>
              </w:rPr>
              <w:t>is</w:t>
            </w:r>
            <w:r w:rsidRPr="00E330B6">
              <w:rPr>
                <w:rFonts w:eastAsia="Calibri" w:cs="Arial"/>
                <w:color w:val="auto"/>
                <w:szCs w:val="24"/>
                <w:lang w:eastAsia="en-US"/>
              </w:rPr>
              <w:t xml:space="preserve"> to take account of additional necessary infrastructure.</w:t>
            </w:r>
          </w:p>
        </w:tc>
      </w:tr>
      <w:tr w:rsidR="00EF5ACB" w:rsidRPr="00E330B6" w14:paraId="47AD679C" w14:textId="77777777" w:rsidTr="00927CA3">
        <w:tc>
          <w:tcPr>
            <w:tcW w:w="2262" w:type="dxa"/>
          </w:tcPr>
          <w:p w14:paraId="75BEF165" w14:textId="7777777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over 10 ha</w:t>
            </w:r>
          </w:p>
          <w:p w14:paraId="393F9E70" w14:textId="77777777" w:rsidR="00EF5ACB" w:rsidRPr="00E330B6" w:rsidRDefault="00EF5ACB" w:rsidP="00EF5ACB">
            <w:pPr>
              <w:keepNext w:val="0"/>
              <w:spacing w:before="0" w:after="160" w:line="259" w:lineRule="auto"/>
              <w:rPr>
                <w:rFonts w:eastAsia="Calibri" w:cs="Arial"/>
                <w:color w:val="auto"/>
                <w:szCs w:val="24"/>
                <w:lang w:eastAsia="en-US"/>
              </w:rPr>
            </w:pPr>
          </w:p>
        </w:tc>
        <w:tc>
          <w:tcPr>
            <w:tcW w:w="1283" w:type="dxa"/>
          </w:tcPr>
          <w:p w14:paraId="58ADF425"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60%</w:t>
            </w:r>
          </w:p>
        </w:tc>
        <w:tc>
          <w:tcPr>
            <w:tcW w:w="5386" w:type="dxa"/>
          </w:tcPr>
          <w:p w14:paraId="247C17E5" w14:textId="27A1692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On large sites over 10 Hectares a 40% reduction </w:t>
            </w:r>
            <w:r w:rsidR="002F2F73">
              <w:rPr>
                <w:rFonts w:eastAsia="Calibri" w:cs="Arial"/>
                <w:color w:val="auto"/>
                <w:szCs w:val="24"/>
                <w:lang w:eastAsia="en-US"/>
              </w:rPr>
              <w:t xml:space="preserve">is </w:t>
            </w:r>
            <w:r w:rsidRPr="00E330B6">
              <w:rPr>
                <w:rFonts w:eastAsia="Calibri" w:cs="Arial"/>
                <w:color w:val="auto"/>
                <w:szCs w:val="24"/>
                <w:lang w:eastAsia="en-US"/>
              </w:rPr>
              <w:t xml:space="preserve">applied to take account of larger scale infrastructure </w:t>
            </w:r>
            <w:r w:rsidR="00927CA3" w:rsidRPr="00E330B6">
              <w:rPr>
                <w:rFonts w:eastAsia="Calibri" w:cs="Arial"/>
                <w:color w:val="auto"/>
                <w:szCs w:val="24"/>
                <w:lang w:eastAsia="en-US"/>
              </w:rPr>
              <w:t>e.g.,</w:t>
            </w:r>
            <w:r w:rsidRPr="00E330B6">
              <w:rPr>
                <w:rFonts w:eastAsia="Calibri" w:cs="Arial"/>
                <w:color w:val="auto"/>
                <w:szCs w:val="24"/>
                <w:lang w:eastAsia="en-US"/>
              </w:rPr>
              <w:t xml:space="preserve"> the potential need for a new primary school, local shopping centre or medical centre, etc.</w:t>
            </w:r>
          </w:p>
        </w:tc>
      </w:tr>
    </w:tbl>
    <w:p w14:paraId="588CC466" w14:textId="56F27026" w:rsidR="0051770A" w:rsidRDefault="00EF5ACB" w:rsidP="00177A4E">
      <w:pPr>
        <w:pStyle w:val="Heading4"/>
        <w:numPr>
          <w:ilvl w:val="0"/>
          <w:numId w:val="9"/>
        </w:numPr>
        <w:ind w:left="567" w:hanging="567"/>
        <w:rPr>
          <w:rFonts w:eastAsia="Calibri"/>
          <w:lang w:eastAsia="en-US"/>
        </w:rPr>
      </w:pPr>
      <w:r w:rsidRPr="00EF5ACB">
        <w:rPr>
          <w:rFonts w:eastAsia="Calibri"/>
          <w:lang w:eastAsia="en-US"/>
        </w:rPr>
        <w:br w:type="page"/>
      </w:r>
      <w:r w:rsidR="0051770A">
        <w:rPr>
          <w:rFonts w:eastAsia="Calibri"/>
          <w:lang w:eastAsia="en-US"/>
        </w:rPr>
        <w:lastRenderedPageBreak/>
        <w:t>Supply of Housing Land to meet Need in Ashfield</w:t>
      </w:r>
    </w:p>
    <w:p w14:paraId="5FB77C8E" w14:textId="77777777" w:rsidR="00177A4E" w:rsidRDefault="00177A4E" w:rsidP="00FA22F8">
      <w:pPr>
        <w:spacing w:before="0"/>
        <w:rPr>
          <w:rFonts w:eastAsia="Calibri"/>
        </w:rPr>
      </w:pPr>
    </w:p>
    <w:p w14:paraId="530905B4" w14:textId="74798E06" w:rsidR="0051770A" w:rsidRPr="00B626E7" w:rsidRDefault="0051770A"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Table</w:t>
      </w:r>
      <w:r w:rsidR="00EF6432" w:rsidRPr="00B626E7">
        <w:rPr>
          <w:rFonts w:ascii="Arial" w:eastAsia="Calibri" w:hAnsi="Arial" w:cs="Arial"/>
        </w:rPr>
        <w:t xml:space="preserve"> </w:t>
      </w:r>
      <w:r w:rsidR="00FA22F8">
        <w:rPr>
          <w:rFonts w:ascii="Arial" w:eastAsia="Calibri" w:hAnsi="Arial" w:cs="Arial"/>
        </w:rPr>
        <w:t>7</w:t>
      </w:r>
      <w:r w:rsidR="00EF6432" w:rsidRPr="00B626E7">
        <w:rPr>
          <w:rFonts w:ascii="Arial" w:eastAsia="Calibri" w:hAnsi="Arial" w:cs="Arial"/>
        </w:rPr>
        <w:t xml:space="preserve"> illustrates how housing land allocations in the Draft Ashfield Local Plan 202</w:t>
      </w:r>
      <w:r w:rsidR="00927CA3">
        <w:rPr>
          <w:rFonts w:ascii="Arial" w:eastAsia="Calibri" w:hAnsi="Arial" w:cs="Arial"/>
        </w:rPr>
        <w:t>3</w:t>
      </w:r>
      <w:r w:rsidR="00EF6432" w:rsidRPr="00B626E7">
        <w:rPr>
          <w:rFonts w:ascii="Arial" w:eastAsia="Calibri" w:hAnsi="Arial" w:cs="Arial"/>
        </w:rPr>
        <w:t>-20</w:t>
      </w:r>
      <w:r w:rsidR="00E24F78">
        <w:rPr>
          <w:rFonts w:ascii="Arial" w:eastAsia="Calibri" w:hAnsi="Arial" w:cs="Arial"/>
        </w:rPr>
        <w:t>40</w:t>
      </w:r>
      <w:r w:rsidR="00EF6432" w:rsidRPr="00B626E7">
        <w:rPr>
          <w:rFonts w:ascii="Arial" w:eastAsia="Calibri" w:hAnsi="Arial" w:cs="Arial"/>
        </w:rPr>
        <w:t xml:space="preserve"> will meet future requirements alongside existing residential commitments from planning permissions</w:t>
      </w:r>
      <w:r w:rsidR="00864554" w:rsidRPr="00B626E7">
        <w:rPr>
          <w:rFonts w:ascii="Arial" w:eastAsia="Calibri" w:hAnsi="Arial" w:cs="Arial"/>
        </w:rPr>
        <w:t xml:space="preserve"> and </w:t>
      </w:r>
      <w:r w:rsidR="00927CA3">
        <w:rPr>
          <w:rFonts w:ascii="Arial" w:eastAsia="Calibri" w:hAnsi="Arial" w:cs="Arial"/>
        </w:rPr>
        <w:t>permitted development (where known)</w:t>
      </w:r>
      <w:r w:rsidR="00EF6432" w:rsidRPr="00B626E7">
        <w:rPr>
          <w:rFonts w:ascii="Arial" w:eastAsia="Calibri" w:hAnsi="Arial" w:cs="Arial"/>
        </w:rPr>
        <w:t>.</w:t>
      </w:r>
      <w:r w:rsidRPr="00B626E7">
        <w:rPr>
          <w:rFonts w:ascii="Arial" w:eastAsia="Calibri" w:hAnsi="Arial" w:cs="Arial"/>
        </w:rPr>
        <w:t xml:space="preserve"> </w:t>
      </w:r>
      <w:r w:rsidR="00C14BFC" w:rsidRPr="00B626E7">
        <w:rPr>
          <w:rFonts w:ascii="Arial" w:eastAsia="Calibri" w:hAnsi="Arial" w:cs="Arial"/>
        </w:rPr>
        <w:t>This take</w:t>
      </w:r>
      <w:r w:rsidR="00864554" w:rsidRPr="00B626E7">
        <w:rPr>
          <w:rFonts w:ascii="Arial" w:eastAsia="Calibri" w:hAnsi="Arial" w:cs="Arial"/>
        </w:rPr>
        <w:t>s</w:t>
      </w:r>
      <w:r w:rsidR="00C14BFC" w:rsidRPr="00B626E7">
        <w:rPr>
          <w:rFonts w:ascii="Arial" w:eastAsia="Calibri" w:hAnsi="Arial" w:cs="Arial"/>
        </w:rPr>
        <w:t xml:space="preserve"> account of the assumptions set out in Sections 5 and 6 of this paper with respect to potential non-implementation, windfalls, lead-in periods and build out rates.</w:t>
      </w:r>
    </w:p>
    <w:p w14:paraId="77CD68ED" w14:textId="77777777" w:rsidR="00B626E7" w:rsidRPr="00B626E7" w:rsidRDefault="00B626E7" w:rsidP="00FA22F8">
      <w:pPr>
        <w:pStyle w:val="ListParagraph"/>
        <w:spacing w:after="0"/>
        <w:ind w:left="567"/>
        <w:rPr>
          <w:rFonts w:ascii="Arial" w:eastAsia="Calibri" w:hAnsi="Arial" w:cs="Arial"/>
        </w:rPr>
      </w:pPr>
    </w:p>
    <w:p w14:paraId="67C03A01" w14:textId="025A6E85" w:rsidR="00EF6432" w:rsidRPr="00B626E7" w:rsidRDefault="00C14BFC"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Residential Institutions have also been included towards the supply of homes for Ashfield. National Planning Practice Guidance provides that housing for older people, including residential institutions in use class C2</w:t>
      </w:r>
      <w:r w:rsidRPr="00927CA3">
        <w:rPr>
          <w:rFonts w:ascii="Arial" w:eastAsia="Calibri" w:hAnsi="Arial" w:cs="Arial"/>
          <w:vertAlign w:val="superscript"/>
        </w:rPr>
        <w:footnoteReference w:id="13"/>
      </w:r>
      <w:r w:rsidRPr="00B626E7">
        <w:rPr>
          <w:rFonts w:ascii="Arial" w:eastAsia="Calibri" w:hAnsi="Arial" w:cs="Arial"/>
        </w:rPr>
        <w:t xml:space="preserve"> should be counted towards their housing requirement. 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w:t>
      </w:r>
      <w:r w:rsidR="00927CA3">
        <w:rPr>
          <w:rFonts w:ascii="Arial" w:eastAsia="Calibri" w:hAnsi="Arial" w:cs="Arial"/>
        </w:rPr>
        <w:t>)</w:t>
      </w:r>
      <w:r w:rsidRPr="00B626E7">
        <w:rPr>
          <w:rFonts w:ascii="Arial" w:eastAsia="Calibri" w:hAnsi="Arial" w:cs="Arial"/>
        </w:rPr>
        <w:t xml:space="preserve">. Ashfield does not currently have any student accommodation </w:t>
      </w:r>
      <w:r w:rsidR="00246796" w:rsidRPr="00B626E7">
        <w:rPr>
          <w:rFonts w:ascii="Arial" w:eastAsia="Calibri" w:hAnsi="Arial" w:cs="Arial"/>
        </w:rPr>
        <w:t>which falls into this category</w:t>
      </w:r>
      <w:r w:rsidRPr="00B626E7">
        <w:rPr>
          <w:rFonts w:ascii="Arial" w:eastAsia="Calibri" w:hAnsi="Arial" w:cs="Arial"/>
        </w:rPr>
        <w:t>.</w:t>
      </w:r>
    </w:p>
    <w:p w14:paraId="21FC4910" w14:textId="77777777" w:rsidR="00246796" w:rsidRPr="00B626E7" w:rsidRDefault="00246796" w:rsidP="00FA22F8">
      <w:pPr>
        <w:pStyle w:val="ListParagraph"/>
        <w:spacing w:after="0"/>
        <w:ind w:left="567"/>
        <w:rPr>
          <w:rFonts w:ascii="Arial" w:eastAsia="Calibri" w:hAnsi="Arial" w:cs="Arial"/>
        </w:rPr>
      </w:pPr>
    </w:p>
    <w:p w14:paraId="68727453" w14:textId="771259B5" w:rsidR="00927CA3" w:rsidRPr="00E21010" w:rsidRDefault="00C83774" w:rsidP="009033DC">
      <w:pPr>
        <w:pStyle w:val="ListParagraph"/>
        <w:numPr>
          <w:ilvl w:val="1"/>
          <w:numId w:val="9"/>
        </w:numPr>
        <w:spacing w:after="0"/>
        <w:ind w:left="567" w:hanging="567"/>
        <w:rPr>
          <w:rFonts w:ascii="Arial" w:eastAsia="Calibri" w:hAnsi="Arial" w:cs="Arial"/>
        </w:rPr>
      </w:pPr>
      <w:r w:rsidRPr="00E21010">
        <w:rPr>
          <w:rFonts w:ascii="Arial" w:eastAsia="Calibri" w:hAnsi="Arial" w:cs="Arial"/>
        </w:rPr>
        <w:t xml:space="preserve">As Table </w:t>
      </w:r>
      <w:r w:rsidR="00FA22F8" w:rsidRPr="00E21010">
        <w:rPr>
          <w:rFonts w:ascii="Arial" w:eastAsia="Calibri" w:hAnsi="Arial" w:cs="Arial"/>
        </w:rPr>
        <w:t>7</w:t>
      </w:r>
      <w:r w:rsidRPr="00E21010">
        <w:rPr>
          <w:rFonts w:ascii="Arial" w:eastAsia="Calibri" w:hAnsi="Arial" w:cs="Arial"/>
        </w:rPr>
        <w:t xml:space="preserve"> identifies, the Plan currently provides for </w:t>
      </w:r>
      <w:r w:rsidR="00E21010" w:rsidRPr="00E21010">
        <w:rPr>
          <w:rFonts w:ascii="Arial" w:eastAsia="Calibri" w:hAnsi="Arial" w:cs="Arial"/>
        </w:rPr>
        <w:t>6</w:t>
      </w:r>
      <w:r w:rsidR="00E24F78">
        <w:rPr>
          <w:rFonts w:ascii="Arial" w:eastAsia="Calibri" w:hAnsi="Arial" w:cs="Arial"/>
        </w:rPr>
        <w:t>700</w:t>
      </w:r>
      <w:r w:rsidR="00E21010" w:rsidRPr="00E21010">
        <w:rPr>
          <w:rFonts w:ascii="Arial" w:eastAsia="Calibri" w:hAnsi="Arial" w:cs="Arial"/>
        </w:rPr>
        <w:t xml:space="preserve"> dwellings against a need of 7582 to the year 2040, amounting to approximately 1</w:t>
      </w:r>
      <w:r w:rsidR="00E24F78">
        <w:rPr>
          <w:rFonts w:ascii="Arial" w:eastAsia="Calibri" w:hAnsi="Arial" w:cs="Arial"/>
        </w:rPr>
        <w:t>3</w:t>
      </w:r>
      <w:r w:rsidR="00E21010" w:rsidRPr="00E21010">
        <w:rPr>
          <w:rFonts w:ascii="Arial" w:eastAsia="Calibri" w:hAnsi="Arial" w:cs="Arial"/>
        </w:rPr>
        <w:t xml:space="preserve"> years supply post adoption (to year 203</w:t>
      </w:r>
      <w:r w:rsidR="00E24F78">
        <w:rPr>
          <w:rFonts w:ascii="Arial" w:eastAsia="Calibri" w:hAnsi="Arial" w:cs="Arial"/>
        </w:rPr>
        <w:t>8</w:t>
      </w:r>
      <w:r w:rsidR="00E21010" w:rsidRPr="00E21010">
        <w:rPr>
          <w:rFonts w:ascii="Arial" w:eastAsia="Calibri" w:hAnsi="Arial" w:cs="Arial"/>
        </w:rPr>
        <w:t>/3</w:t>
      </w:r>
      <w:r w:rsidR="00E24F78">
        <w:rPr>
          <w:rFonts w:ascii="Arial" w:eastAsia="Calibri" w:hAnsi="Arial" w:cs="Arial"/>
        </w:rPr>
        <w:t>9</w:t>
      </w:r>
      <w:r w:rsidR="00E21010" w:rsidRPr="00E21010">
        <w:rPr>
          <w:rFonts w:ascii="Arial" w:eastAsia="Calibri" w:hAnsi="Arial" w:cs="Arial"/>
        </w:rPr>
        <w:t xml:space="preserve">). It is considered to </w:t>
      </w:r>
      <w:r w:rsidR="00E21010" w:rsidRPr="00E21010">
        <w:rPr>
          <w:rFonts w:ascii="Arial" w:eastAsia="Calibri" w:hAnsi="Arial" w:cs="Arial"/>
          <w:color w:val="auto"/>
        </w:rPr>
        <w:t>be</w:t>
      </w:r>
      <w:r w:rsidR="00E21010" w:rsidRPr="00E21010">
        <w:rPr>
          <w:rFonts w:ascii="Arial" w:hAnsi="Arial" w:cs="Arial"/>
          <w:color w:val="auto"/>
          <w:szCs w:val="24"/>
        </w:rPr>
        <w:t xml:space="preserve"> consistent with NPPF paragraph 68 which </w:t>
      </w:r>
      <w:r w:rsidR="00E21010" w:rsidRPr="00E21010">
        <w:rPr>
          <w:rFonts w:ascii="Arial" w:hAnsi="Arial" w:cs="Arial"/>
          <w:color w:val="auto"/>
        </w:rPr>
        <w:t xml:space="preserve">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 This is discussed in </w:t>
      </w:r>
      <w:r w:rsidR="00E24F78" w:rsidRPr="00E21010">
        <w:rPr>
          <w:rFonts w:ascii="Arial" w:hAnsi="Arial" w:cs="Arial"/>
          <w:color w:val="auto"/>
        </w:rPr>
        <w:t>greater</w:t>
      </w:r>
      <w:r w:rsidR="00E21010" w:rsidRPr="00E21010">
        <w:rPr>
          <w:rFonts w:ascii="Arial" w:hAnsi="Arial" w:cs="Arial"/>
          <w:color w:val="auto"/>
        </w:rPr>
        <w:t xml:space="preserve"> detail in Background Paper 1: Spatial Approach and Site Selection.</w:t>
      </w:r>
    </w:p>
    <w:p w14:paraId="06A7A505" w14:textId="77777777" w:rsidR="00927CA3" w:rsidRPr="00927CA3" w:rsidRDefault="00927CA3" w:rsidP="00DC72B0">
      <w:pPr>
        <w:pStyle w:val="ListParagraph"/>
        <w:spacing w:after="0"/>
        <w:ind w:left="567"/>
        <w:rPr>
          <w:rFonts w:ascii="Arial" w:eastAsia="Calibri" w:hAnsi="Arial" w:cs="Arial"/>
        </w:rPr>
      </w:pPr>
    </w:p>
    <w:p w14:paraId="1818ADF8" w14:textId="3D095B36" w:rsidR="00246796" w:rsidRPr="00B626E7" w:rsidRDefault="00246796"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Housing trajectories illustrating the anticipated delivery of individual sites on an annual basis are included in Appendix 2 of the Draft Local Plan, along with the 5 year Supply of deliverable housing sites. These elements are updated annually in the Housing Land Monitoring Report.</w:t>
      </w:r>
    </w:p>
    <w:p w14:paraId="679D33C2" w14:textId="44E14763" w:rsidR="007D3443" w:rsidRDefault="007D3443" w:rsidP="00FA22F8">
      <w:pPr>
        <w:keepNext w:val="0"/>
        <w:spacing w:before="0"/>
        <w:rPr>
          <w:rFonts w:eastAsia="Calibri"/>
          <w:lang w:eastAsia="en-US"/>
        </w:rPr>
      </w:pPr>
      <w:r>
        <w:rPr>
          <w:rFonts w:eastAsia="Calibri"/>
          <w:lang w:eastAsia="en-US"/>
        </w:rPr>
        <w:br w:type="page"/>
      </w:r>
    </w:p>
    <w:p w14:paraId="69461AD4" w14:textId="1E8C270A" w:rsidR="007D3443" w:rsidRDefault="007D3443" w:rsidP="00EF6432">
      <w:pPr>
        <w:rPr>
          <w:rFonts w:eastAsia="Calibri"/>
          <w:b/>
          <w:bCs/>
          <w:lang w:eastAsia="en-US"/>
        </w:rPr>
      </w:pPr>
      <w:r w:rsidRPr="007D3443">
        <w:rPr>
          <w:rFonts w:eastAsia="Calibri"/>
          <w:b/>
          <w:bCs/>
          <w:lang w:eastAsia="en-US"/>
        </w:rPr>
        <w:lastRenderedPageBreak/>
        <w:t xml:space="preserve">Table </w:t>
      </w:r>
      <w:r w:rsidR="00FA22F8">
        <w:rPr>
          <w:rFonts w:eastAsia="Calibri"/>
          <w:b/>
          <w:bCs/>
          <w:lang w:eastAsia="en-US"/>
        </w:rPr>
        <w:t>7</w:t>
      </w:r>
      <w:r w:rsidRPr="007D3443">
        <w:rPr>
          <w:rFonts w:eastAsia="Calibri"/>
          <w:b/>
          <w:bCs/>
          <w:lang w:eastAsia="en-US"/>
        </w:rPr>
        <w:t>: Dwelling Requirement and Provision 202</w:t>
      </w:r>
      <w:r w:rsidR="00927CA3">
        <w:rPr>
          <w:rFonts w:eastAsia="Calibri"/>
          <w:b/>
          <w:bCs/>
          <w:lang w:eastAsia="en-US"/>
        </w:rPr>
        <w:t>3</w:t>
      </w:r>
      <w:r w:rsidRPr="007D3443">
        <w:rPr>
          <w:rFonts w:eastAsia="Calibri"/>
          <w:b/>
          <w:bCs/>
          <w:lang w:eastAsia="en-US"/>
        </w:rPr>
        <w:t>-20</w:t>
      </w:r>
      <w:r w:rsidR="00927CA3">
        <w:rPr>
          <w:rFonts w:eastAsia="Calibri"/>
          <w:b/>
          <w:bCs/>
          <w:lang w:eastAsia="en-US"/>
        </w:rPr>
        <w:t>40</w:t>
      </w:r>
    </w:p>
    <w:p w14:paraId="6D77057F" w14:textId="77777777" w:rsidR="007F1468" w:rsidRDefault="007F1468" w:rsidP="00EF6432">
      <w:pPr>
        <w:rPr>
          <w:rFonts w:eastAsia="Calibri"/>
          <w:b/>
          <w:bCs/>
          <w:lang w:eastAsia="en-US"/>
        </w:rPr>
      </w:pPr>
    </w:p>
    <w:tbl>
      <w:tblPr>
        <w:tblW w:w="9781" w:type="dxa"/>
        <w:tblLook w:val="04A0" w:firstRow="1" w:lastRow="0" w:firstColumn="1" w:lastColumn="0" w:noHBand="0" w:noVBand="1"/>
      </w:tblPr>
      <w:tblGrid>
        <w:gridCol w:w="8364"/>
        <w:gridCol w:w="1417"/>
      </w:tblGrid>
      <w:tr w:rsidR="00927CA3" w:rsidRPr="00927CA3" w14:paraId="05CBE8DA" w14:textId="77777777" w:rsidTr="00445B99">
        <w:trPr>
          <w:trHeight w:val="330"/>
        </w:trPr>
        <w:tc>
          <w:tcPr>
            <w:tcW w:w="8364" w:type="dxa"/>
            <w:tcBorders>
              <w:top w:val="single" w:sz="8" w:space="0" w:color="FFFFFF"/>
              <w:left w:val="nil"/>
              <w:bottom w:val="single" w:sz="8" w:space="0" w:color="FFFFFF"/>
              <w:right w:val="single" w:sz="8" w:space="0" w:color="FFFFFF"/>
            </w:tcBorders>
            <w:shd w:val="clear" w:color="000000" w:fill="D9D9D9"/>
            <w:hideMark/>
          </w:tcPr>
          <w:p w14:paraId="159A32CD"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Housing Requirement</w:t>
            </w:r>
          </w:p>
        </w:tc>
        <w:tc>
          <w:tcPr>
            <w:tcW w:w="1417" w:type="dxa"/>
            <w:tcBorders>
              <w:top w:val="single" w:sz="8" w:space="0" w:color="FFFFFF"/>
              <w:left w:val="nil"/>
              <w:bottom w:val="single" w:sz="8" w:space="0" w:color="FFFFFF"/>
              <w:right w:val="single" w:sz="8" w:space="0" w:color="FFFFFF"/>
            </w:tcBorders>
            <w:shd w:val="clear" w:color="000000" w:fill="D9D9D9"/>
            <w:hideMark/>
          </w:tcPr>
          <w:p w14:paraId="579B8F0E"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5DC11923" w14:textId="77777777" w:rsidTr="00445B99">
        <w:trPr>
          <w:trHeight w:val="315"/>
        </w:trPr>
        <w:tc>
          <w:tcPr>
            <w:tcW w:w="8364" w:type="dxa"/>
            <w:tcBorders>
              <w:top w:val="nil"/>
              <w:left w:val="nil"/>
              <w:bottom w:val="single" w:sz="8" w:space="0" w:color="FFFFFF"/>
              <w:right w:val="single" w:sz="8" w:space="0" w:color="FFFFFF"/>
            </w:tcBorders>
            <w:shd w:val="clear" w:color="000000" w:fill="D9D9D9"/>
            <w:hideMark/>
          </w:tcPr>
          <w:p w14:paraId="7AB0A1B9" w14:textId="77777777" w:rsidR="00927CA3" w:rsidRPr="00927CA3" w:rsidRDefault="00927CA3" w:rsidP="00445B99">
            <w:pPr>
              <w:keepNext w:val="0"/>
              <w:spacing w:before="0"/>
              <w:rPr>
                <w:rFonts w:cs="Arial"/>
                <w:color w:val="auto"/>
                <w:szCs w:val="24"/>
              </w:rPr>
            </w:pPr>
            <w:r w:rsidRPr="00927CA3">
              <w:rPr>
                <w:rFonts w:cs="Arial"/>
                <w:color w:val="auto"/>
                <w:szCs w:val="24"/>
              </w:rPr>
              <w:t>Annual Local Housing Need based on Standard Methodology at April 2023</w:t>
            </w:r>
          </w:p>
        </w:tc>
        <w:tc>
          <w:tcPr>
            <w:tcW w:w="1417" w:type="dxa"/>
            <w:tcBorders>
              <w:top w:val="nil"/>
              <w:left w:val="nil"/>
              <w:bottom w:val="single" w:sz="8" w:space="0" w:color="FFFFFF"/>
              <w:right w:val="single" w:sz="8" w:space="0" w:color="FFFFFF"/>
            </w:tcBorders>
            <w:shd w:val="clear" w:color="000000" w:fill="D9D9D9"/>
            <w:hideMark/>
          </w:tcPr>
          <w:p w14:paraId="65392EB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446</w:t>
            </w:r>
          </w:p>
        </w:tc>
      </w:tr>
      <w:tr w:rsidR="00927CA3" w:rsidRPr="00927CA3" w14:paraId="77D75269" w14:textId="77777777" w:rsidTr="00445B99">
        <w:trPr>
          <w:trHeight w:val="367"/>
        </w:trPr>
        <w:tc>
          <w:tcPr>
            <w:tcW w:w="8364" w:type="dxa"/>
            <w:tcBorders>
              <w:top w:val="nil"/>
              <w:left w:val="nil"/>
              <w:bottom w:val="single" w:sz="8" w:space="0" w:color="FFFFFF"/>
              <w:right w:val="single" w:sz="8" w:space="0" w:color="FFFFFF"/>
            </w:tcBorders>
            <w:shd w:val="clear" w:color="000000" w:fill="D9D9D9"/>
            <w:hideMark/>
          </w:tcPr>
          <w:p w14:paraId="53EE2F93" w14:textId="77777777" w:rsidR="00927CA3" w:rsidRPr="00927CA3" w:rsidRDefault="00927CA3" w:rsidP="00445B99">
            <w:pPr>
              <w:keepNext w:val="0"/>
              <w:spacing w:before="0"/>
              <w:rPr>
                <w:rFonts w:cs="Arial"/>
                <w:color w:val="auto"/>
                <w:szCs w:val="24"/>
              </w:rPr>
            </w:pPr>
            <w:r w:rsidRPr="00927CA3">
              <w:rPr>
                <w:rFonts w:cs="Arial"/>
                <w:color w:val="auto"/>
                <w:szCs w:val="24"/>
              </w:rPr>
              <w:t>Houses needed to meet requirement, 1/4/2023 to 31/4/2040</w:t>
            </w:r>
          </w:p>
        </w:tc>
        <w:tc>
          <w:tcPr>
            <w:tcW w:w="1417" w:type="dxa"/>
            <w:tcBorders>
              <w:top w:val="nil"/>
              <w:left w:val="nil"/>
              <w:bottom w:val="single" w:sz="8" w:space="0" w:color="FFFFFF"/>
              <w:right w:val="single" w:sz="8" w:space="0" w:color="FFFFFF"/>
            </w:tcBorders>
            <w:shd w:val="clear" w:color="000000" w:fill="D9D9D9"/>
            <w:hideMark/>
          </w:tcPr>
          <w:p w14:paraId="73A40EC3" w14:textId="77777777" w:rsidR="00927CA3" w:rsidRPr="00927CA3" w:rsidRDefault="00927CA3" w:rsidP="00445B99">
            <w:pPr>
              <w:keepNext w:val="0"/>
              <w:spacing w:before="0"/>
              <w:jc w:val="right"/>
              <w:rPr>
                <w:rFonts w:cs="Arial"/>
                <w:b/>
                <w:bCs/>
                <w:color w:val="auto"/>
                <w:szCs w:val="24"/>
              </w:rPr>
            </w:pPr>
            <w:r w:rsidRPr="00927CA3">
              <w:rPr>
                <w:rFonts w:cs="Arial"/>
                <w:b/>
                <w:bCs/>
                <w:color w:val="auto"/>
                <w:szCs w:val="24"/>
              </w:rPr>
              <w:t>7,582</w:t>
            </w:r>
          </w:p>
        </w:tc>
      </w:tr>
    </w:tbl>
    <w:p w14:paraId="5369AC79" w14:textId="77777777" w:rsidR="00927CA3" w:rsidRPr="00927CA3" w:rsidRDefault="00927CA3">
      <w:pPr>
        <w:keepNext w:val="0"/>
        <w:spacing w:before="0"/>
        <w:rPr>
          <w:rFonts w:eastAsia="Calibri"/>
          <w:color w:val="auto"/>
          <w:lang w:eastAsia="en-US"/>
        </w:rPr>
      </w:pPr>
    </w:p>
    <w:tbl>
      <w:tblPr>
        <w:tblW w:w="9771" w:type="dxa"/>
        <w:tblInd w:w="10" w:type="dxa"/>
        <w:tblLook w:val="04A0" w:firstRow="1" w:lastRow="0" w:firstColumn="1" w:lastColumn="0" w:noHBand="0" w:noVBand="1"/>
      </w:tblPr>
      <w:tblGrid>
        <w:gridCol w:w="8354"/>
        <w:gridCol w:w="1417"/>
      </w:tblGrid>
      <w:tr w:rsidR="00927CA3" w:rsidRPr="00927CA3" w14:paraId="005606BC" w14:textId="77777777" w:rsidTr="00445B99">
        <w:trPr>
          <w:trHeight w:val="330"/>
        </w:trPr>
        <w:tc>
          <w:tcPr>
            <w:tcW w:w="8354" w:type="dxa"/>
            <w:tcBorders>
              <w:top w:val="single" w:sz="8" w:space="0" w:color="FFFFFF"/>
              <w:left w:val="nil"/>
              <w:bottom w:val="single" w:sz="8" w:space="0" w:color="FFFFFF"/>
              <w:right w:val="single" w:sz="8" w:space="0" w:color="FFFFFF"/>
            </w:tcBorders>
            <w:shd w:val="clear" w:color="000000" w:fill="D6DCE4"/>
            <w:hideMark/>
          </w:tcPr>
          <w:p w14:paraId="1C0DF066"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Future Supply Source</w:t>
            </w:r>
          </w:p>
        </w:tc>
        <w:tc>
          <w:tcPr>
            <w:tcW w:w="1417" w:type="dxa"/>
            <w:tcBorders>
              <w:top w:val="single" w:sz="8" w:space="0" w:color="FFFFFF"/>
              <w:left w:val="nil"/>
              <w:bottom w:val="single" w:sz="8" w:space="0" w:color="FFFFFF"/>
              <w:right w:val="single" w:sz="8" w:space="0" w:color="FFFFFF"/>
            </w:tcBorders>
            <w:shd w:val="clear" w:color="000000" w:fill="D6DCE4"/>
            <w:hideMark/>
          </w:tcPr>
          <w:p w14:paraId="5DCC43E8"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02F5EB3F" w14:textId="77777777" w:rsidTr="00445B99">
        <w:trPr>
          <w:trHeight w:val="330"/>
        </w:trPr>
        <w:tc>
          <w:tcPr>
            <w:tcW w:w="8354" w:type="dxa"/>
            <w:tcBorders>
              <w:top w:val="nil"/>
              <w:left w:val="nil"/>
              <w:bottom w:val="single" w:sz="8" w:space="0" w:color="FFFFFF"/>
              <w:right w:val="single" w:sz="8" w:space="0" w:color="FFFFFF"/>
            </w:tcBorders>
            <w:shd w:val="clear" w:color="000000" w:fill="D6DCE4"/>
            <w:hideMark/>
          </w:tcPr>
          <w:p w14:paraId="7F4CF98A"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Houses deliverable on </w:t>
            </w:r>
            <w:r w:rsidRPr="00927CA3">
              <w:rPr>
                <w:rFonts w:cs="Arial"/>
                <w:b/>
                <w:bCs/>
                <w:color w:val="auto"/>
                <w:szCs w:val="24"/>
              </w:rPr>
              <w:t>small sites</w:t>
            </w:r>
            <w:r w:rsidRPr="00927CA3">
              <w:rPr>
                <w:rFonts w:cs="Arial"/>
                <w:color w:val="auto"/>
                <w:szCs w:val="24"/>
              </w:rPr>
              <w:t>, 1/4/2023 to 31/3/2040</w:t>
            </w:r>
          </w:p>
        </w:tc>
        <w:tc>
          <w:tcPr>
            <w:tcW w:w="1417" w:type="dxa"/>
            <w:tcBorders>
              <w:top w:val="nil"/>
              <w:left w:val="nil"/>
              <w:bottom w:val="single" w:sz="8" w:space="0" w:color="FFFFFF"/>
              <w:right w:val="single" w:sz="8" w:space="0" w:color="FFFFFF"/>
            </w:tcBorders>
            <w:shd w:val="clear" w:color="000000" w:fill="D6DCE4"/>
            <w:hideMark/>
          </w:tcPr>
          <w:p w14:paraId="470E1985"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 </w:t>
            </w:r>
          </w:p>
        </w:tc>
      </w:tr>
      <w:tr w:rsidR="00927CA3" w:rsidRPr="00927CA3" w14:paraId="0DC4CA82" w14:textId="77777777" w:rsidTr="00445B99">
        <w:trPr>
          <w:trHeight w:val="615"/>
        </w:trPr>
        <w:tc>
          <w:tcPr>
            <w:tcW w:w="8354" w:type="dxa"/>
            <w:tcBorders>
              <w:top w:val="nil"/>
              <w:left w:val="nil"/>
              <w:bottom w:val="single" w:sz="8" w:space="0" w:color="FFFFFF"/>
              <w:right w:val="single" w:sz="8" w:space="0" w:color="FFFFFF"/>
            </w:tcBorders>
            <w:shd w:val="clear" w:color="000000" w:fill="D6DCE4"/>
            <w:hideMark/>
          </w:tcPr>
          <w:p w14:paraId="2F4E80E4"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With planning permission (including new build, net conversions and change of use) at 1st April 2023</w:t>
            </w:r>
          </w:p>
        </w:tc>
        <w:tc>
          <w:tcPr>
            <w:tcW w:w="1417" w:type="dxa"/>
            <w:tcBorders>
              <w:top w:val="nil"/>
              <w:left w:val="nil"/>
              <w:bottom w:val="single" w:sz="8" w:space="0" w:color="FFFFFF"/>
              <w:right w:val="single" w:sz="8" w:space="0" w:color="FFFFFF"/>
            </w:tcBorders>
            <w:shd w:val="clear" w:color="000000" w:fill="D6DCE4"/>
            <w:hideMark/>
          </w:tcPr>
          <w:p w14:paraId="71B37CB9"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338</w:t>
            </w:r>
          </w:p>
        </w:tc>
      </w:tr>
      <w:tr w:rsidR="00927CA3" w:rsidRPr="00927CA3" w14:paraId="4555D654" w14:textId="77777777" w:rsidTr="00445B99">
        <w:trPr>
          <w:trHeight w:val="615"/>
        </w:trPr>
        <w:tc>
          <w:tcPr>
            <w:tcW w:w="8354" w:type="dxa"/>
            <w:tcBorders>
              <w:top w:val="nil"/>
              <w:left w:val="nil"/>
              <w:bottom w:val="single" w:sz="8" w:space="0" w:color="FFFFFF"/>
              <w:right w:val="single" w:sz="8" w:space="0" w:color="FFFFFF"/>
            </w:tcBorders>
            <w:shd w:val="clear" w:color="000000" w:fill="D6DCE4"/>
            <w:hideMark/>
          </w:tcPr>
          <w:p w14:paraId="51999619"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Known permitted development/prior notification schemes not yet implemented at 1st April 2023</w:t>
            </w:r>
          </w:p>
        </w:tc>
        <w:tc>
          <w:tcPr>
            <w:tcW w:w="1417" w:type="dxa"/>
            <w:tcBorders>
              <w:top w:val="nil"/>
              <w:left w:val="nil"/>
              <w:bottom w:val="single" w:sz="8" w:space="0" w:color="FFFFFF"/>
              <w:right w:val="single" w:sz="8" w:space="0" w:color="FFFFFF"/>
            </w:tcBorders>
            <w:shd w:val="clear" w:color="000000" w:fill="D6DCE4"/>
            <w:hideMark/>
          </w:tcPr>
          <w:p w14:paraId="0C2011C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14</w:t>
            </w:r>
          </w:p>
        </w:tc>
      </w:tr>
      <w:tr w:rsidR="00927CA3" w:rsidRPr="00927CA3" w14:paraId="19E5ECE9"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090C3DB8"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Demolitions and other losses with planning permission at 1/4/23</w:t>
            </w:r>
          </w:p>
        </w:tc>
        <w:tc>
          <w:tcPr>
            <w:tcW w:w="1417" w:type="dxa"/>
            <w:tcBorders>
              <w:top w:val="nil"/>
              <w:left w:val="nil"/>
              <w:bottom w:val="single" w:sz="8" w:space="0" w:color="FFFFFF"/>
              <w:right w:val="single" w:sz="8" w:space="0" w:color="FFFFFF"/>
            </w:tcBorders>
            <w:shd w:val="clear" w:color="000000" w:fill="D6DCE4"/>
            <w:hideMark/>
          </w:tcPr>
          <w:p w14:paraId="35A87038"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w:t>
            </w:r>
          </w:p>
        </w:tc>
      </w:tr>
      <w:tr w:rsidR="00927CA3" w:rsidRPr="00927CA3" w14:paraId="466B4712"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4BE74F2"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Deduction to account for potential lapsed permissions</w:t>
            </w:r>
          </w:p>
        </w:tc>
        <w:tc>
          <w:tcPr>
            <w:tcW w:w="1417" w:type="dxa"/>
            <w:tcBorders>
              <w:top w:val="nil"/>
              <w:left w:val="nil"/>
              <w:bottom w:val="single" w:sz="8" w:space="0" w:color="FFFFFF"/>
              <w:right w:val="single" w:sz="8" w:space="0" w:color="FFFFFF"/>
            </w:tcBorders>
            <w:shd w:val="clear" w:color="000000" w:fill="D6DCE4"/>
            <w:hideMark/>
          </w:tcPr>
          <w:p w14:paraId="39993AA3"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-89</w:t>
            </w:r>
          </w:p>
        </w:tc>
      </w:tr>
      <w:tr w:rsidR="00927CA3" w:rsidRPr="00927CA3" w14:paraId="0AD7B837"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1C925ECC"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Windfall allowance beyond 5 years (60 dpa) - 1/4/2028 to 1/4/2040</w:t>
            </w:r>
          </w:p>
        </w:tc>
        <w:tc>
          <w:tcPr>
            <w:tcW w:w="1417" w:type="dxa"/>
            <w:tcBorders>
              <w:top w:val="nil"/>
              <w:left w:val="nil"/>
              <w:bottom w:val="single" w:sz="8" w:space="0" w:color="FFFFFF"/>
              <w:right w:val="single" w:sz="8" w:space="0" w:color="FFFFFF"/>
            </w:tcBorders>
            <w:shd w:val="clear" w:color="000000" w:fill="D6DCE4"/>
            <w:hideMark/>
          </w:tcPr>
          <w:p w14:paraId="364B891C"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720</w:t>
            </w:r>
          </w:p>
        </w:tc>
      </w:tr>
      <w:tr w:rsidR="00927CA3" w:rsidRPr="00927CA3" w14:paraId="4D7BF58B" w14:textId="77777777" w:rsidTr="00445B99">
        <w:trPr>
          <w:trHeight w:val="330"/>
        </w:trPr>
        <w:tc>
          <w:tcPr>
            <w:tcW w:w="8354" w:type="dxa"/>
            <w:tcBorders>
              <w:top w:val="nil"/>
              <w:left w:val="nil"/>
              <w:bottom w:val="single" w:sz="8" w:space="0" w:color="FFFFFF"/>
              <w:right w:val="single" w:sz="8" w:space="0" w:color="FFFFFF"/>
            </w:tcBorders>
            <w:shd w:val="clear" w:color="000000" w:fill="D6DCE4"/>
            <w:hideMark/>
          </w:tcPr>
          <w:p w14:paraId="10C2BC92"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Houses deliverable on </w:t>
            </w:r>
            <w:r w:rsidRPr="00927CA3">
              <w:rPr>
                <w:rFonts w:cs="Arial"/>
                <w:b/>
                <w:bCs/>
                <w:color w:val="auto"/>
                <w:szCs w:val="24"/>
              </w:rPr>
              <w:t>large sites</w:t>
            </w:r>
            <w:r w:rsidRPr="00927CA3">
              <w:rPr>
                <w:rFonts w:cs="Arial"/>
                <w:color w:val="auto"/>
                <w:szCs w:val="24"/>
              </w:rPr>
              <w:t xml:space="preserve"> 1/4/2023 to 31/3/2040</w:t>
            </w:r>
          </w:p>
        </w:tc>
        <w:tc>
          <w:tcPr>
            <w:tcW w:w="1417" w:type="dxa"/>
            <w:tcBorders>
              <w:top w:val="nil"/>
              <w:left w:val="nil"/>
              <w:bottom w:val="single" w:sz="8" w:space="0" w:color="FFFFFF"/>
              <w:right w:val="single" w:sz="8" w:space="0" w:color="FFFFFF"/>
            </w:tcBorders>
            <w:shd w:val="clear" w:color="000000" w:fill="D6DCE4"/>
            <w:hideMark/>
          </w:tcPr>
          <w:p w14:paraId="19C8F56C"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 </w:t>
            </w:r>
          </w:p>
        </w:tc>
      </w:tr>
      <w:tr w:rsidR="00927CA3" w:rsidRPr="00927CA3" w14:paraId="6B736E69"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787B003"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With planning permission at 1st April 2023</w:t>
            </w:r>
          </w:p>
        </w:tc>
        <w:tc>
          <w:tcPr>
            <w:tcW w:w="1417" w:type="dxa"/>
            <w:tcBorders>
              <w:top w:val="nil"/>
              <w:left w:val="nil"/>
              <w:bottom w:val="single" w:sz="8" w:space="0" w:color="FFFFFF"/>
              <w:right w:val="single" w:sz="8" w:space="0" w:color="FFFFFF"/>
            </w:tcBorders>
            <w:shd w:val="clear" w:color="000000" w:fill="D6DCE4"/>
            <w:hideMark/>
          </w:tcPr>
          <w:p w14:paraId="1B7826C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1950</w:t>
            </w:r>
          </w:p>
        </w:tc>
      </w:tr>
      <w:tr w:rsidR="00927CA3" w:rsidRPr="00927CA3" w14:paraId="28CBA9A7"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65FAA1B"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Demolitions and other losses with planning permission at 1/4/23</w:t>
            </w:r>
          </w:p>
        </w:tc>
        <w:tc>
          <w:tcPr>
            <w:tcW w:w="1417" w:type="dxa"/>
            <w:tcBorders>
              <w:top w:val="nil"/>
              <w:left w:val="nil"/>
              <w:bottom w:val="single" w:sz="8" w:space="0" w:color="FFFFFF"/>
              <w:right w:val="single" w:sz="8" w:space="0" w:color="FFFFFF"/>
            </w:tcBorders>
            <w:shd w:val="clear" w:color="000000" w:fill="D6DCE4"/>
            <w:hideMark/>
          </w:tcPr>
          <w:p w14:paraId="5F0DA04E"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0</w:t>
            </w:r>
          </w:p>
        </w:tc>
      </w:tr>
      <w:tr w:rsidR="00927CA3" w:rsidRPr="00927CA3" w14:paraId="071B8510"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83832ED"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Deduction to account for potential lapsed permissions</w:t>
            </w:r>
          </w:p>
        </w:tc>
        <w:tc>
          <w:tcPr>
            <w:tcW w:w="1417" w:type="dxa"/>
            <w:tcBorders>
              <w:top w:val="nil"/>
              <w:left w:val="nil"/>
              <w:bottom w:val="single" w:sz="8" w:space="0" w:color="FFFFFF"/>
              <w:right w:val="single" w:sz="8" w:space="0" w:color="FFFFFF"/>
            </w:tcBorders>
            <w:shd w:val="clear" w:color="000000" w:fill="D6DCE4"/>
            <w:hideMark/>
          </w:tcPr>
          <w:p w14:paraId="0F067DF9"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-35</w:t>
            </w:r>
          </w:p>
        </w:tc>
      </w:tr>
      <w:tr w:rsidR="00927CA3" w:rsidRPr="00927CA3" w14:paraId="09CAF590"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5CC74DA"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Delivery from H1 allocated sites without planning permission</w:t>
            </w:r>
          </w:p>
        </w:tc>
        <w:tc>
          <w:tcPr>
            <w:tcW w:w="1417" w:type="dxa"/>
            <w:tcBorders>
              <w:top w:val="nil"/>
              <w:left w:val="nil"/>
              <w:bottom w:val="single" w:sz="8" w:space="0" w:color="FFFFFF"/>
              <w:right w:val="single" w:sz="8" w:space="0" w:color="FFFFFF"/>
            </w:tcBorders>
            <w:shd w:val="clear" w:color="000000" w:fill="D6DCE4"/>
            <w:hideMark/>
          </w:tcPr>
          <w:p w14:paraId="4FABB852" w14:textId="46CB6B89" w:rsidR="00927CA3" w:rsidRPr="00927CA3" w:rsidRDefault="00927CA3" w:rsidP="00445B99">
            <w:pPr>
              <w:keepNext w:val="0"/>
              <w:spacing w:before="0"/>
              <w:jc w:val="right"/>
              <w:rPr>
                <w:rFonts w:cs="Arial"/>
                <w:color w:val="auto"/>
                <w:szCs w:val="24"/>
              </w:rPr>
            </w:pPr>
            <w:r w:rsidRPr="00927CA3">
              <w:rPr>
                <w:rFonts w:cs="Arial"/>
                <w:color w:val="auto"/>
                <w:szCs w:val="24"/>
              </w:rPr>
              <w:t>3</w:t>
            </w:r>
            <w:r w:rsidR="00E24F78">
              <w:rPr>
                <w:rFonts w:cs="Arial"/>
                <w:color w:val="auto"/>
                <w:szCs w:val="24"/>
              </w:rPr>
              <w:t>757</w:t>
            </w:r>
          </w:p>
        </w:tc>
      </w:tr>
      <w:tr w:rsidR="00927CA3" w:rsidRPr="00927CA3" w14:paraId="02478D53"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A3B4BA3" w14:textId="77777777" w:rsidR="00927CA3" w:rsidRPr="00927CA3" w:rsidRDefault="00927CA3" w:rsidP="00445B99">
            <w:pPr>
              <w:keepNext w:val="0"/>
              <w:spacing w:before="0"/>
              <w:rPr>
                <w:rFonts w:cs="Arial"/>
                <w:color w:val="auto"/>
                <w:szCs w:val="24"/>
              </w:rPr>
            </w:pPr>
            <w:r w:rsidRPr="00927CA3">
              <w:rPr>
                <w:rFonts w:cs="Arial"/>
                <w:color w:val="auto"/>
                <w:szCs w:val="24"/>
              </w:rPr>
              <w:t>Provision from C2 residential institutions (dwelling equivalent)</w:t>
            </w:r>
          </w:p>
        </w:tc>
        <w:tc>
          <w:tcPr>
            <w:tcW w:w="1417" w:type="dxa"/>
            <w:tcBorders>
              <w:top w:val="nil"/>
              <w:left w:val="nil"/>
              <w:bottom w:val="single" w:sz="8" w:space="0" w:color="FFFFFF"/>
              <w:right w:val="single" w:sz="8" w:space="0" w:color="FFFFFF"/>
            </w:tcBorders>
            <w:shd w:val="clear" w:color="000000" w:fill="D6DCE4"/>
            <w:hideMark/>
          </w:tcPr>
          <w:p w14:paraId="5FD17A23"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46</w:t>
            </w:r>
          </w:p>
        </w:tc>
      </w:tr>
      <w:tr w:rsidR="00927CA3" w:rsidRPr="00927CA3" w14:paraId="222CB576" w14:textId="77777777" w:rsidTr="00445B99">
        <w:trPr>
          <w:trHeight w:val="630"/>
        </w:trPr>
        <w:tc>
          <w:tcPr>
            <w:tcW w:w="8354" w:type="dxa"/>
            <w:tcBorders>
              <w:top w:val="nil"/>
              <w:left w:val="nil"/>
              <w:bottom w:val="single" w:sz="8" w:space="0" w:color="FFFFFF"/>
              <w:right w:val="single" w:sz="8" w:space="0" w:color="FFFFFF"/>
            </w:tcBorders>
            <w:shd w:val="clear" w:color="000000" w:fill="D6DCE4"/>
            <w:hideMark/>
          </w:tcPr>
          <w:p w14:paraId="0E055F41"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Total housing supply 1/4/2023 to 31/3/2040</w:t>
            </w:r>
            <w:r w:rsidRPr="00927CA3">
              <w:rPr>
                <w:rFonts w:cs="Arial"/>
                <w:color w:val="auto"/>
                <w:szCs w:val="24"/>
              </w:rPr>
              <w:t xml:space="preserve"> </w:t>
            </w:r>
          </w:p>
        </w:tc>
        <w:tc>
          <w:tcPr>
            <w:tcW w:w="1417" w:type="dxa"/>
            <w:tcBorders>
              <w:top w:val="nil"/>
              <w:left w:val="nil"/>
              <w:bottom w:val="single" w:sz="8" w:space="0" w:color="FFFFFF"/>
              <w:right w:val="single" w:sz="8" w:space="0" w:color="FFFFFF"/>
            </w:tcBorders>
            <w:shd w:val="clear" w:color="000000" w:fill="D6DCE4"/>
            <w:hideMark/>
          </w:tcPr>
          <w:p w14:paraId="7F23F9A2" w14:textId="4242A6C7" w:rsidR="00927CA3" w:rsidRPr="00927CA3" w:rsidRDefault="00927CA3" w:rsidP="00445B99">
            <w:pPr>
              <w:keepNext w:val="0"/>
              <w:spacing w:before="0"/>
              <w:jc w:val="right"/>
              <w:rPr>
                <w:rFonts w:cs="Arial"/>
                <w:b/>
                <w:bCs/>
                <w:color w:val="auto"/>
                <w:szCs w:val="24"/>
              </w:rPr>
            </w:pPr>
            <w:r w:rsidRPr="00927CA3">
              <w:rPr>
                <w:rFonts w:cs="Arial"/>
                <w:b/>
                <w:bCs/>
                <w:color w:val="auto"/>
                <w:szCs w:val="24"/>
              </w:rPr>
              <w:t>6,</w:t>
            </w:r>
            <w:r w:rsidR="00E24F78">
              <w:rPr>
                <w:rFonts w:cs="Arial"/>
                <w:b/>
                <w:bCs/>
                <w:color w:val="auto"/>
                <w:szCs w:val="24"/>
              </w:rPr>
              <w:t>700</w:t>
            </w:r>
          </w:p>
        </w:tc>
      </w:tr>
    </w:tbl>
    <w:p w14:paraId="6EA46B12" w14:textId="77777777" w:rsidR="00927CA3" w:rsidRPr="00927CA3" w:rsidRDefault="00927CA3">
      <w:pPr>
        <w:keepNext w:val="0"/>
        <w:spacing w:before="0"/>
        <w:rPr>
          <w:rFonts w:eastAsia="Calibri"/>
          <w:color w:val="auto"/>
          <w:lang w:eastAsia="en-US"/>
        </w:rPr>
      </w:pPr>
    </w:p>
    <w:tbl>
      <w:tblPr>
        <w:tblW w:w="9781" w:type="dxa"/>
        <w:tblLook w:val="04A0" w:firstRow="1" w:lastRow="0" w:firstColumn="1" w:lastColumn="0" w:noHBand="0" w:noVBand="1"/>
      </w:tblPr>
      <w:tblGrid>
        <w:gridCol w:w="8364"/>
        <w:gridCol w:w="1417"/>
      </w:tblGrid>
      <w:tr w:rsidR="00927CA3" w:rsidRPr="00927CA3" w14:paraId="7BFD8BFB" w14:textId="77777777" w:rsidTr="00445B99">
        <w:trPr>
          <w:trHeight w:val="330"/>
        </w:trPr>
        <w:tc>
          <w:tcPr>
            <w:tcW w:w="8364" w:type="dxa"/>
            <w:tcBorders>
              <w:top w:val="single" w:sz="8" w:space="0" w:color="FFFFFF"/>
              <w:left w:val="nil"/>
              <w:bottom w:val="single" w:sz="8" w:space="0" w:color="FFFFFF"/>
              <w:right w:val="single" w:sz="8" w:space="0" w:color="FFFFFF"/>
            </w:tcBorders>
            <w:shd w:val="clear" w:color="000000" w:fill="BFBFBF"/>
            <w:hideMark/>
          </w:tcPr>
          <w:p w14:paraId="34AC8FA5"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Net Provision</w:t>
            </w:r>
          </w:p>
        </w:tc>
        <w:tc>
          <w:tcPr>
            <w:tcW w:w="1417" w:type="dxa"/>
            <w:tcBorders>
              <w:top w:val="single" w:sz="8" w:space="0" w:color="FFFFFF"/>
              <w:left w:val="nil"/>
              <w:bottom w:val="single" w:sz="8" w:space="0" w:color="FFFFFF"/>
              <w:right w:val="single" w:sz="8" w:space="0" w:color="FFFFFF"/>
            </w:tcBorders>
            <w:shd w:val="clear" w:color="000000" w:fill="BFBFBF"/>
            <w:hideMark/>
          </w:tcPr>
          <w:p w14:paraId="5B0F7B64"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44BECFC3" w14:textId="77777777" w:rsidTr="00445B99">
        <w:trPr>
          <w:trHeight w:val="315"/>
        </w:trPr>
        <w:tc>
          <w:tcPr>
            <w:tcW w:w="8364" w:type="dxa"/>
            <w:tcBorders>
              <w:top w:val="nil"/>
              <w:left w:val="nil"/>
              <w:bottom w:val="single" w:sz="8" w:space="0" w:color="FFFFFF"/>
              <w:right w:val="single" w:sz="8" w:space="0" w:color="FFFFFF"/>
            </w:tcBorders>
            <w:shd w:val="clear" w:color="000000" w:fill="BFBFBF"/>
            <w:hideMark/>
          </w:tcPr>
          <w:p w14:paraId="48F02886" w14:textId="77777777" w:rsidR="00927CA3" w:rsidRPr="00927CA3" w:rsidRDefault="00927CA3" w:rsidP="00445B99">
            <w:pPr>
              <w:keepNext w:val="0"/>
              <w:spacing w:before="0"/>
              <w:jc w:val="both"/>
              <w:rPr>
                <w:rFonts w:cs="Arial"/>
                <w:color w:val="auto"/>
                <w:szCs w:val="24"/>
              </w:rPr>
            </w:pPr>
            <w:r w:rsidRPr="00927CA3">
              <w:rPr>
                <w:rFonts w:cs="Arial"/>
                <w:color w:val="auto"/>
                <w:szCs w:val="24"/>
              </w:rPr>
              <w:t>Provision against Local Housing Need 2023 to 2040</w:t>
            </w:r>
          </w:p>
        </w:tc>
        <w:tc>
          <w:tcPr>
            <w:tcW w:w="1417" w:type="dxa"/>
            <w:tcBorders>
              <w:top w:val="nil"/>
              <w:left w:val="nil"/>
              <w:bottom w:val="single" w:sz="8" w:space="0" w:color="FFFFFF"/>
              <w:right w:val="single" w:sz="8" w:space="0" w:color="FFFFFF"/>
            </w:tcBorders>
            <w:shd w:val="clear" w:color="000000" w:fill="BFBFBF"/>
            <w:hideMark/>
          </w:tcPr>
          <w:p w14:paraId="404F7EC3" w14:textId="6A4C000D" w:rsidR="00927CA3" w:rsidRPr="00927CA3" w:rsidRDefault="00927CA3" w:rsidP="00445B99">
            <w:pPr>
              <w:keepNext w:val="0"/>
              <w:spacing w:before="0"/>
              <w:jc w:val="right"/>
              <w:rPr>
                <w:rFonts w:cs="Arial"/>
                <w:color w:val="auto"/>
                <w:szCs w:val="24"/>
              </w:rPr>
            </w:pPr>
            <w:r w:rsidRPr="00927CA3">
              <w:rPr>
                <w:rFonts w:cs="Arial"/>
                <w:color w:val="auto"/>
                <w:szCs w:val="24"/>
              </w:rPr>
              <w:t>-</w:t>
            </w:r>
            <w:r w:rsidR="00E24F78">
              <w:rPr>
                <w:rFonts w:cs="Arial"/>
                <w:color w:val="auto"/>
                <w:szCs w:val="24"/>
              </w:rPr>
              <w:t>882</w:t>
            </w:r>
          </w:p>
        </w:tc>
      </w:tr>
    </w:tbl>
    <w:p w14:paraId="2F5F0243" w14:textId="77777777" w:rsidR="004960EA" w:rsidRDefault="004960EA" w:rsidP="004960EA">
      <w:pPr>
        <w:rPr>
          <w:rFonts w:cs="Arial"/>
          <w:szCs w:val="24"/>
          <w:u w:val="single"/>
        </w:rPr>
      </w:pPr>
    </w:p>
    <w:p w14:paraId="4A6F5882" w14:textId="77777777" w:rsidR="004960EA" w:rsidRDefault="004960EA">
      <w:pPr>
        <w:keepNext w:val="0"/>
        <w:spacing w:before="0"/>
        <w:rPr>
          <w:rFonts w:cs="Arial"/>
          <w:b/>
          <w:bCs/>
          <w:szCs w:val="24"/>
        </w:rPr>
      </w:pPr>
      <w:r>
        <w:rPr>
          <w:rFonts w:cs="Arial"/>
          <w:b/>
          <w:bCs/>
          <w:szCs w:val="24"/>
        </w:rPr>
        <w:br w:type="page"/>
      </w:r>
    </w:p>
    <w:p w14:paraId="30093D5A" w14:textId="67FC0597" w:rsidR="004960EA" w:rsidRPr="004960EA" w:rsidRDefault="004960EA" w:rsidP="004960EA">
      <w:pPr>
        <w:pStyle w:val="Heading3"/>
      </w:pPr>
      <w:r w:rsidRPr="004960EA">
        <w:lastRenderedPageBreak/>
        <w:t>Quantum of Housing to be delivered on sites of less than 1 Hectare</w:t>
      </w:r>
    </w:p>
    <w:p w14:paraId="24C5C9C8" w14:textId="77777777" w:rsidR="004960EA" w:rsidRPr="00BC3079" w:rsidRDefault="004960EA" w:rsidP="004960EA">
      <w:pPr>
        <w:rPr>
          <w:rFonts w:cs="Arial"/>
          <w:szCs w:val="24"/>
          <w:u w:val="single"/>
        </w:rPr>
      </w:pPr>
    </w:p>
    <w:p w14:paraId="7CC166E0" w14:textId="77777777" w:rsidR="004960EA" w:rsidRDefault="004960EA" w:rsidP="004960EA">
      <w:pPr>
        <w:pStyle w:val="ListParagraph"/>
        <w:numPr>
          <w:ilvl w:val="1"/>
          <w:numId w:val="9"/>
        </w:numPr>
        <w:spacing w:after="0"/>
        <w:ind w:left="567" w:hanging="567"/>
        <w:rPr>
          <w:rFonts w:ascii="Arial" w:hAnsi="Arial" w:cs="Arial"/>
          <w:szCs w:val="24"/>
        </w:rPr>
      </w:pPr>
      <w:r w:rsidRPr="00BC3079">
        <w:rPr>
          <w:rFonts w:ascii="Arial" w:hAnsi="Arial" w:cs="Arial"/>
          <w:szCs w:val="24"/>
        </w:rPr>
        <w:t>NPPF para</w:t>
      </w:r>
      <w:r>
        <w:rPr>
          <w:rFonts w:ascii="Arial" w:hAnsi="Arial" w:cs="Arial"/>
          <w:szCs w:val="24"/>
        </w:rPr>
        <w:t>graph</w:t>
      </w:r>
      <w:r w:rsidRPr="00BC3079">
        <w:rPr>
          <w:rFonts w:ascii="Arial" w:hAnsi="Arial" w:cs="Arial"/>
          <w:szCs w:val="24"/>
        </w:rPr>
        <w:t xml:space="preserve"> 69 recognises that small and medium sized sites can make an important contribution to meeting the housing requirement of an area and are often built-out relatively quickly. As such local planning authorities are required to identify land to accommodate at least 10% of their housing requirement on sites no larger than one hectare.</w:t>
      </w:r>
    </w:p>
    <w:p w14:paraId="380EA14B" w14:textId="77777777" w:rsidR="004960EA" w:rsidRDefault="004960EA" w:rsidP="004960EA">
      <w:pPr>
        <w:pStyle w:val="ListParagraph"/>
        <w:spacing w:after="0"/>
        <w:ind w:left="567"/>
        <w:rPr>
          <w:rFonts w:ascii="Arial" w:hAnsi="Arial" w:cs="Arial"/>
          <w:szCs w:val="24"/>
        </w:rPr>
      </w:pPr>
    </w:p>
    <w:p w14:paraId="6D83641C" w14:textId="1F0A4881" w:rsidR="004960EA" w:rsidRPr="004960EA" w:rsidRDefault="004960EA" w:rsidP="004960EA">
      <w:pPr>
        <w:pStyle w:val="ListParagraph"/>
        <w:numPr>
          <w:ilvl w:val="1"/>
          <w:numId w:val="9"/>
        </w:numPr>
        <w:spacing w:after="0"/>
        <w:ind w:left="567" w:hanging="567"/>
        <w:rPr>
          <w:rFonts w:ascii="Arial" w:hAnsi="Arial" w:cs="Arial"/>
          <w:szCs w:val="24"/>
        </w:rPr>
      </w:pPr>
      <w:r w:rsidRPr="004960EA">
        <w:rPr>
          <w:rFonts w:ascii="Arial" w:hAnsi="Arial" w:cs="Arial"/>
          <w:szCs w:val="24"/>
        </w:rPr>
        <w:t xml:space="preserve">For Ashfield, if we look at the entire 17 year requirement, this means at least 758 dwellings need to be delivered on such sites. The supply as proposed in </w:t>
      </w:r>
      <w:r>
        <w:rPr>
          <w:rFonts w:ascii="Arial" w:hAnsi="Arial" w:cs="Arial"/>
          <w:szCs w:val="24"/>
        </w:rPr>
        <w:t>T</w:t>
      </w:r>
      <w:r w:rsidRPr="004960EA">
        <w:rPr>
          <w:rFonts w:ascii="Arial" w:hAnsi="Arial" w:cs="Arial"/>
          <w:szCs w:val="24"/>
        </w:rPr>
        <w:t xml:space="preserve">able </w:t>
      </w:r>
      <w:r>
        <w:rPr>
          <w:rFonts w:ascii="Arial" w:hAnsi="Arial" w:cs="Arial"/>
          <w:szCs w:val="24"/>
        </w:rPr>
        <w:t>7</w:t>
      </w:r>
      <w:r w:rsidRPr="004960EA">
        <w:rPr>
          <w:rFonts w:ascii="Arial" w:hAnsi="Arial" w:cs="Arial"/>
          <w:szCs w:val="24"/>
        </w:rPr>
        <w:t xml:space="preserve"> would more than meet this requirement with a potential for 1,243 dwellings on sites of less than 1 hectare (comprised of a net total of 982 on ‘small’ sites plus 261 from larger allocated sites). </w:t>
      </w:r>
    </w:p>
    <w:p w14:paraId="71309094" w14:textId="6F46151A" w:rsidR="00927CA3" w:rsidRPr="004960EA" w:rsidRDefault="00927CA3">
      <w:pPr>
        <w:keepNext w:val="0"/>
        <w:spacing w:before="0"/>
        <w:rPr>
          <w:rFonts w:eastAsia="Calibri" w:cs="Arial"/>
          <w:b/>
          <w:color w:val="auto"/>
          <w:sz w:val="28"/>
          <w:lang w:eastAsia="en-US"/>
        </w:rPr>
      </w:pPr>
      <w:r w:rsidRPr="004960EA">
        <w:rPr>
          <w:rFonts w:eastAsia="Calibri" w:cs="Arial"/>
          <w:color w:val="auto"/>
          <w:lang w:eastAsia="en-US"/>
        </w:rPr>
        <w:br w:type="page"/>
      </w:r>
    </w:p>
    <w:p w14:paraId="7CEE9544" w14:textId="69C2CC9D" w:rsidR="00F753E0" w:rsidRDefault="001F4782" w:rsidP="006E221A">
      <w:pPr>
        <w:pStyle w:val="Heading4"/>
        <w:numPr>
          <w:ilvl w:val="0"/>
          <w:numId w:val="9"/>
        </w:numPr>
        <w:ind w:left="567" w:hanging="567"/>
        <w:rPr>
          <w:rFonts w:eastAsia="Calibri"/>
          <w:lang w:eastAsia="en-US"/>
        </w:rPr>
      </w:pPr>
      <w:r>
        <w:rPr>
          <w:rFonts w:eastAsia="Calibri"/>
          <w:lang w:eastAsia="en-US"/>
        </w:rPr>
        <w:lastRenderedPageBreak/>
        <w:t>Housing Mix</w:t>
      </w:r>
    </w:p>
    <w:p w14:paraId="46868BB1" w14:textId="77777777" w:rsidR="00F753E0" w:rsidRPr="006C2D86" w:rsidRDefault="00F753E0" w:rsidP="00FA22F8">
      <w:pPr>
        <w:spacing w:before="0"/>
        <w:rPr>
          <w:rFonts w:eastAsia="Calibri"/>
        </w:rPr>
      </w:pPr>
    </w:p>
    <w:p w14:paraId="67588FF8" w14:textId="69FDDA7A" w:rsidR="00F753E0" w:rsidRPr="00F753E0" w:rsidRDefault="00F753E0" w:rsidP="00FA22F8">
      <w:pPr>
        <w:pStyle w:val="ListParagraph"/>
        <w:numPr>
          <w:ilvl w:val="1"/>
          <w:numId w:val="9"/>
        </w:numPr>
        <w:spacing w:after="0"/>
        <w:ind w:left="567" w:hanging="567"/>
        <w:rPr>
          <w:rFonts w:ascii="Arial" w:eastAsia="Calibri" w:hAnsi="Arial" w:cs="Arial"/>
        </w:rPr>
      </w:pPr>
      <w:r w:rsidRPr="00F753E0">
        <w:rPr>
          <w:rFonts w:ascii="Arial" w:eastAsia="Calibri" w:hAnsi="Arial" w:cs="Arial"/>
        </w:rPr>
        <w:t xml:space="preserve">Paragraph 62 of the NPPF requires planning policies to take </w:t>
      </w:r>
      <w:r w:rsidRPr="00D41A4C">
        <w:rPr>
          <w:rFonts w:ascii="Arial" w:eastAsia="Calibri" w:hAnsi="Arial" w:cs="Arial"/>
        </w:rPr>
        <w:t>account of</w:t>
      </w:r>
      <w:r w:rsidRPr="00F753E0">
        <w:rPr>
          <w:rFonts w:ascii="Arial" w:eastAsia="Calibri" w:hAnsi="Arial" w:cs="Arial"/>
        </w:rPr>
        <w:t xml:space="preserve"> the housing needs of different groups in respect of size, type and tenure. The specific groups named under this paragraph are “those who require affordable housing, families with children, older people, students, people with disabilities, people who rent their homes and people wishing to commission or build their own homes”. </w:t>
      </w:r>
    </w:p>
    <w:p w14:paraId="4B981581" w14:textId="77777777" w:rsidR="00F753E0" w:rsidRPr="00F753E0" w:rsidRDefault="00F753E0" w:rsidP="00FA22F8">
      <w:pPr>
        <w:pStyle w:val="ListParagraph"/>
        <w:spacing w:after="0"/>
        <w:ind w:left="567"/>
        <w:rPr>
          <w:rFonts w:ascii="Arial" w:eastAsia="Calibri" w:hAnsi="Arial" w:cs="Arial"/>
        </w:rPr>
      </w:pPr>
    </w:p>
    <w:p w14:paraId="247DCBBC" w14:textId="4C96ECCA" w:rsidR="00F753E0" w:rsidRDefault="00F753E0" w:rsidP="00C425DF">
      <w:pPr>
        <w:pStyle w:val="ListParagraph"/>
        <w:numPr>
          <w:ilvl w:val="1"/>
          <w:numId w:val="9"/>
        </w:numPr>
        <w:spacing w:after="0"/>
        <w:ind w:left="567" w:hanging="567"/>
        <w:rPr>
          <w:rFonts w:ascii="Arial" w:eastAsia="Calibri" w:hAnsi="Arial" w:cs="Arial"/>
        </w:rPr>
      </w:pPr>
      <w:r w:rsidRPr="00C425DF">
        <w:rPr>
          <w:rFonts w:ascii="Arial" w:eastAsia="Calibri" w:hAnsi="Arial" w:cs="Arial"/>
        </w:rPr>
        <w:t>Paragraph 63 of the NPPF states that where a need for affordable housing is identified, planning policies should specify the type of affordable housing required</w:t>
      </w:r>
      <w:r w:rsidR="00C425DF" w:rsidRPr="00C425DF">
        <w:rPr>
          <w:rFonts w:ascii="Arial" w:eastAsia="Calibri" w:hAnsi="Arial" w:cs="Arial"/>
        </w:rPr>
        <w:t>.</w:t>
      </w:r>
      <w:r w:rsidRPr="00C425DF">
        <w:rPr>
          <w:rFonts w:ascii="Arial" w:eastAsia="Calibri" w:hAnsi="Arial" w:cs="Arial"/>
        </w:rPr>
        <w:t xml:space="preserve"> </w:t>
      </w:r>
      <w:r w:rsidR="00C425DF" w:rsidRPr="00C425DF">
        <w:rPr>
          <w:rFonts w:ascii="Arial" w:eastAsia="Calibri" w:hAnsi="Arial" w:cs="Arial"/>
        </w:rPr>
        <w:t xml:space="preserve">The NPPF breaks this down into defined types including affordable housing for rent, starter homes, discounted market sales housing and other affordable routes to home ownership. </w:t>
      </w:r>
      <w:r w:rsidRPr="00C425DF">
        <w:rPr>
          <w:rFonts w:ascii="Arial" w:eastAsia="Calibri" w:hAnsi="Arial" w:cs="Arial"/>
        </w:rPr>
        <w:t xml:space="preserve">(included in the NPPF glossary definition). </w:t>
      </w:r>
    </w:p>
    <w:p w14:paraId="68CA9925" w14:textId="77777777" w:rsidR="00C425DF" w:rsidRPr="00C425DF" w:rsidRDefault="00C425DF" w:rsidP="00C425DF">
      <w:pPr>
        <w:pStyle w:val="ListParagraph"/>
        <w:rPr>
          <w:rFonts w:ascii="Arial" w:eastAsia="Calibri" w:hAnsi="Arial" w:cs="Arial"/>
        </w:rPr>
      </w:pPr>
    </w:p>
    <w:p w14:paraId="6135D21D" w14:textId="71D3AB1A" w:rsidR="00C425DF" w:rsidRPr="00CB0A12" w:rsidRDefault="00C425DF" w:rsidP="00CB0A12">
      <w:pPr>
        <w:pStyle w:val="ListParagraph"/>
        <w:numPr>
          <w:ilvl w:val="1"/>
          <w:numId w:val="9"/>
        </w:numPr>
        <w:spacing w:after="0"/>
        <w:ind w:left="567" w:hanging="567"/>
        <w:rPr>
          <w:rFonts w:ascii="Arial" w:eastAsia="Calibri" w:hAnsi="Arial" w:cs="Arial"/>
        </w:rPr>
      </w:pPr>
      <w:r w:rsidRPr="00C425DF">
        <w:rPr>
          <w:rFonts w:ascii="Arial" w:eastAsia="Calibri" w:hAnsi="Arial" w:cs="Arial"/>
        </w:rPr>
        <w:t xml:space="preserve">The government’s preferred form of discounted market sale housing is First Homes. First Homes are a specific kind of discounted market sale housing which are discounted by a minimum of 30% against the market value, sold to a person or persons meeting the </w:t>
      </w:r>
      <w:r>
        <w:rPr>
          <w:rFonts w:ascii="Arial" w:eastAsia="Calibri" w:hAnsi="Arial" w:cs="Arial"/>
        </w:rPr>
        <w:t>e</w:t>
      </w:r>
      <w:r w:rsidRPr="00C425DF">
        <w:rPr>
          <w:rFonts w:ascii="Arial" w:eastAsia="Calibri" w:hAnsi="Arial" w:cs="Arial"/>
        </w:rPr>
        <w:t>ligibility criteria set out in the Planning Practice Guidance and cost no more than £250,000.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that at least 10% of all homes delivered on major development sites should be “available for affordable home ownership, unless this would exceed the level of affordable housing required in the area, or significantly prejudice the ability to meet the identified affordable housing needs of specific groups.”</w:t>
      </w:r>
    </w:p>
    <w:p w14:paraId="08FDA4EC" w14:textId="77777777" w:rsidR="00F753E0" w:rsidRPr="00C425DF" w:rsidRDefault="00F753E0" w:rsidP="00FA22F8">
      <w:pPr>
        <w:pStyle w:val="ListParagraph"/>
        <w:spacing w:after="0"/>
        <w:ind w:left="567"/>
        <w:rPr>
          <w:rFonts w:ascii="Arial" w:eastAsia="Calibri" w:hAnsi="Arial" w:cs="Arial"/>
        </w:rPr>
      </w:pPr>
    </w:p>
    <w:p w14:paraId="05AC9900" w14:textId="77777777" w:rsidR="00F753E0" w:rsidRPr="00F753E0" w:rsidRDefault="00F753E0" w:rsidP="00FA22F8">
      <w:pPr>
        <w:pStyle w:val="ListParagraph"/>
        <w:numPr>
          <w:ilvl w:val="1"/>
          <w:numId w:val="9"/>
        </w:numPr>
        <w:spacing w:after="0"/>
        <w:ind w:left="567" w:hanging="567"/>
        <w:rPr>
          <w:rFonts w:ascii="Arial" w:eastAsia="Calibri" w:hAnsi="Arial" w:cs="Arial"/>
        </w:rPr>
      </w:pPr>
      <w:r w:rsidRPr="00F753E0">
        <w:rPr>
          <w:rFonts w:ascii="Arial" w:eastAsia="Calibri" w:hAnsi="Arial" w:cs="Arial"/>
        </w:rPr>
        <w:t xml:space="preserve">The Planning Practice Guidance on housing needs assessments states that authorities will need to consider how the needs of individual groups can be addressed within the overall need established. The need for </w:t>
      </w:r>
      <w:proofErr w:type="gramStart"/>
      <w:r w:rsidRPr="00F753E0">
        <w:rPr>
          <w:rFonts w:ascii="Arial" w:eastAsia="Calibri" w:hAnsi="Arial" w:cs="Arial"/>
        </w:rPr>
        <w:t>particular sizes</w:t>
      </w:r>
      <w:proofErr w:type="gramEnd"/>
      <w:r w:rsidRPr="00F753E0">
        <w:rPr>
          <w:rFonts w:ascii="Arial" w:eastAsia="Calibri" w:hAnsi="Arial" w:cs="Arial"/>
        </w:rPr>
        <w:t xml:space="preserve">, types and tenures of homes as well as the housing needs of </w:t>
      </w:r>
      <w:proofErr w:type="gramStart"/>
      <w:r w:rsidRPr="00F753E0">
        <w:rPr>
          <w:rFonts w:ascii="Arial" w:eastAsia="Calibri" w:hAnsi="Arial" w:cs="Arial"/>
        </w:rPr>
        <w:t>particular groups</w:t>
      </w:r>
      <w:proofErr w:type="gramEnd"/>
      <w:r w:rsidRPr="00F753E0">
        <w:rPr>
          <w:rFonts w:ascii="Arial" w:eastAsia="Calibri" w:hAnsi="Arial" w:cs="Arial"/>
        </w:rPr>
        <w:t xml:space="preserve"> should be considered separately. There is also specific PPG on Self Build and Custom Housebuilding; Build to Rent and Housing for Older and Disabled People. </w:t>
      </w:r>
    </w:p>
    <w:p w14:paraId="49764F5E" w14:textId="77777777" w:rsidR="00F753E0" w:rsidRPr="00F753E0" w:rsidRDefault="00F753E0" w:rsidP="00FA22F8">
      <w:pPr>
        <w:pStyle w:val="ListParagraph"/>
        <w:spacing w:after="0"/>
        <w:ind w:left="567"/>
        <w:rPr>
          <w:rFonts w:ascii="Arial" w:eastAsia="Calibri" w:hAnsi="Arial" w:cs="Arial"/>
        </w:rPr>
      </w:pPr>
    </w:p>
    <w:p w14:paraId="1870B6DD" w14:textId="77777777" w:rsidR="00593C0C" w:rsidRDefault="00F753E0" w:rsidP="00587F20">
      <w:pPr>
        <w:pStyle w:val="ListParagraph"/>
        <w:numPr>
          <w:ilvl w:val="1"/>
          <w:numId w:val="9"/>
        </w:numPr>
        <w:spacing w:after="0"/>
        <w:ind w:left="567" w:hanging="567"/>
        <w:rPr>
          <w:rFonts w:ascii="Arial" w:eastAsia="Calibri" w:hAnsi="Arial" w:cs="Arial"/>
        </w:rPr>
      </w:pPr>
      <w:r w:rsidRPr="00F753E0">
        <w:rPr>
          <w:rFonts w:ascii="Arial" w:eastAsia="Calibri" w:hAnsi="Arial" w:cs="Arial"/>
        </w:rPr>
        <w:t>The Greater Nottingham and Ashfield Housing Needs Assessment Report</w:t>
      </w:r>
      <w:r w:rsidRPr="00D41A4C">
        <w:rPr>
          <w:rFonts w:ascii="Arial" w:eastAsia="Calibri" w:hAnsi="Arial" w:cs="Arial"/>
        </w:rPr>
        <w:t xml:space="preserve">, </w:t>
      </w:r>
      <w:r w:rsidRPr="00F753E0">
        <w:rPr>
          <w:rFonts w:ascii="Arial" w:eastAsia="Calibri" w:hAnsi="Arial" w:cs="Arial"/>
        </w:rPr>
        <w:t>October 2020</w:t>
      </w:r>
      <w:r w:rsidRPr="00D41A4C">
        <w:rPr>
          <w:rFonts w:ascii="Arial" w:eastAsia="Calibri" w:hAnsi="Arial" w:cs="Arial"/>
        </w:rPr>
        <w:t xml:space="preserve"> (HNA</w:t>
      </w:r>
      <w:r w:rsidRPr="00F753E0">
        <w:rPr>
          <w:rFonts w:ascii="Arial" w:eastAsia="Calibri" w:hAnsi="Arial" w:cs="Arial"/>
        </w:rPr>
        <w:t xml:space="preserve">) prepared by ICENI consultants was commissioned to address the requirements of the NPPF in respect of paragraphs 62 and 63. The study was commissioned jointly with </w:t>
      </w:r>
      <w:r w:rsidRPr="00D41A4C">
        <w:rPr>
          <w:rFonts w:ascii="Arial" w:eastAsia="Calibri" w:hAnsi="Arial" w:cs="Arial"/>
        </w:rPr>
        <w:t xml:space="preserve">the Greater Nottingham </w:t>
      </w:r>
      <w:r w:rsidRPr="00F753E0">
        <w:rPr>
          <w:rFonts w:ascii="Arial" w:eastAsia="Calibri" w:hAnsi="Arial" w:cs="Arial"/>
        </w:rPr>
        <w:t xml:space="preserve">authorities </w:t>
      </w:r>
      <w:r w:rsidRPr="00D41A4C">
        <w:rPr>
          <w:rFonts w:ascii="Arial" w:eastAsia="Calibri" w:hAnsi="Arial" w:cs="Arial"/>
        </w:rPr>
        <w:t xml:space="preserve">of </w:t>
      </w:r>
      <w:r w:rsidR="000E658E" w:rsidRPr="00D41A4C">
        <w:rPr>
          <w:rFonts w:ascii="Arial" w:eastAsia="Calibri" w:hAnsi="Arial" w:cs="Arial"/>
        </w:rPr>
        <w:t xml:space="preserve">Broxtowe, Gedling, </w:t>
      </w:r>
      <w:r w:rsidRPr="00F753E0">
        <w:rPr>
          <w:rFonts w:ascii="Arial" w:eastAsia="Calibri" w:hAnsi="Arial" w:cs="Arial"/>
        </w:rPr>
        <w:t>Erewash</w:t>
      </w:r>
      <w:r w:rsidR="000E658E" w:rsidRPr="00D41A4C">
        <w:rPr>
          <w:rFonts w:ascii="Arial" w:eastAsia="Calibri" w:hAnsi="Arial" w:cs="Arial"/>
        </w:rPr>
        <w:t>, Nottingham City and Rushcliffe</w:t>
      </w:r>
      <w:r w:rsidRPr="00F753E0">
        <w:rPr>
          <w:rFonts w:ascii="Arial" w:eastAsia="Calibri" w:hAnsi="Arial" w:cs="Arial"/>
        </w:rPr>
        <w:t xml:space="preserve"> councils.  </w:t>
      </w:r>
      <w:r w:rsidRPr="00587F20">
        <w:rPr>
          <w:rFonts w:ascii="Arial" w:eastAsia="Calibri" w:hAnsi="Arial" w:cs="Arial"/>
        </w:rPr>
        <w:t xml:space="preserve">As this was commissioned and published prior to the </w:t>
      </w:r>
      <w:r w:rsidR="00587F20" w:rsidRPr="00587F20">
        <w:rPr>
          <w:rFonts w:ascii="Arial" w:eastAsia="Calibri" w:hAnsi="Arial" w:cs="Arial"/>
        </w:rPr>
        <w:t xml:space="preserve">government’s </w:t>
      </w:r>
      <w:r w:rsidRPr="00587F20">
        <w:rPr>
          <w:rFonts w:ascii="Arial" w:eastAsia="Calibri" w:hAnsi="Arial" w:cs="Arial"/>
        </w:rPr>
        <w:t>First Homes</w:t>
      </w:r>
      <w:r w:rsidR="00587F20" w:rsidRPr="00587F20">
        <w:rPr>
          <w:rFonts w:ascii="Arial" w:eastAsia="Calibri" w:hAnsi="Arial" w:cs="Arial"/>
        </w:rPr>
        <w:t xml:space="preserve"> policy</w:t>
      </w:r>
      <w:r w:rsidRPr="00587F20">
        <w:rPr>
          <w:rFonts w:ascii="Arial" w:eastAsia="Calibri" w:hAnsi="Arial" w:cs="Arial"/>
        </w:rPr>
        <w:t xml:space="preserve">, the study </w:t>
      </w:r>
      <w:r w:rsidR="00587F20" w:rsidRPr="00587F20">
        <w:rPr>
          <w:rFonts w:ascii="Arial" w:eastAsia="Calibri" w:hAnsi="Arial" w:cs="Arial"/>
        </w:rPr>
        <w:t>did not take</w:t>
      </w:r>
      <w:r w:rsidRPr="00587F20">
        <w:rPr>
          <w:rFonts w:ascii="Arial" w:eastAsia="Calibri" w:hAnsi="Arial" w:cs="Arial"/>
        </w:rPr>
        <w:t xml:space="preserve"> account of First Homes</w:t>
      </w:r>
      <w:r w:rsidR="00703C16" w:rsidRPr="00587F20">
        <w:rPr>
          <w:rFonts w:ascii="Arial" w:eastAsia="Calibri" w:hAnsi="Arial" w:cs="Arial"/>
        </w:rPr>
        <w:t>, but did consider the need for affordable home ownership by individual authority</w:t>
      </w:r>
      <w:r w:rsidRPr="00587F20">
        <w:rPr>
          <w:rFonts w:ascii="Arial" w:eastAsia="Calibri" w:hAnsi="Arial" w:cs="Arial"/>
        </w:rPr>
        <w:t>.</w:t>
      </w:r>
      <w:r w:rsidR="00587F20">
        <w:rPr>
          <w:rFonts w:ascii="Arial" w:eastAsia="Calibri" w:hAnsi="Arial" w:cs="Arial"/>
        </w:rPr>
        <w:t xml:space="preserve"> </w:t>
      </w:r>
    </w:p>
    <w:p w14:paraId="372404E4" w14:textId="77777777" w:rsidR="00593C0C" w:rsidRPr="00593C0C" w:rsidRDefault="00593C0C" w:rsidP="00593C0C">
      <w:pPr>
        <w:pStyle w:val="ListParagraph"/>
        <w:rPr>
          <w:rFonts w:ascii="Arial" w:eastAsia="Calibri" w:hAnsi="Arial" w:cs="Arial"/>
        </w:rPr>
      </w:pPr>
    </w:p>
    <w:p w14:paraId="5216C8A3" w14:textId="2E99BA1A" w:rsidR="00F753E0" w:rsidRPr="00593C0C" w:rsidRDefault="00587F20" w:rsidP="00587F20">
      <w:pPr>
        <w:pStyle w:val="ListParagraph"/>
        <w:numPr>
          <w:ilvl w:val="1"/>
          <w:numId w:val="9"/>
        </w:numPr>
        <w:spacing w:after="0"/>
        <w:ind w:left="567" w:hanging="567"/>
        <w:rPr>
          <w:rFonts w:ascii="Arial" w:eastAsia="Calibri" w:hAnsi="Arial" w:cs="Arial"/>
        </w:rPr>
      </w:pPr>
      <w:r w:rsidRPr="00593C0C">
        <w:rPr>
          <w:rFonts w:ascii="Arial" w:eastAsia="Calibri" w:hAnsi="Arial" w:cs="Arial"/>
        </w:rPr>
        <w:t xml:space="preserve">A subsequent </w:t>
      </w:r>
      <w:r w:rsidR="00593C0C">
        <w:rPr>
          <w:rFonts w:ascii="Arial" w:eastAsia="Calibri" w:hAnsi="Arial" w:cs="Arial"/>
        </w:rPr>
        <w:t xml:space="preserve">First Homes Assessment </w:t>
      </w:r>
      <w:r w:rsidRPr="00593C0C">
        <w:rPr>
          <w:rFonts w:ascii="Arial" w:eastAsia="Calibri" w:hAnsi="Arial" w:cs="Arial"/>
        </w:rPr>
        <w:t xml:space="preserve">to build on the HNA </w:t>
      </w:r>
      <w:r w:rsidR="00593C0C" w:rsidRPr="00593C0C">
        <w:rPr>
          <w:rFonts w:ascii="Arial" w:eastAsia="Calibri" w:hAnsi="Arial" w:cs="Arial"/>
        </w:rPr>
        <w:t>was prepared</w:t>
      </w:r>
      <w:r w:rsidRPr="00593C0C">
        <w:rPr>
          <w:rFonts w:ascii="Arial" w:eastAsia="Calibri" w:hAnsi="Arial" w:cs="Arial"/>
        </w:rPr>
        <w:t xml:space="preserve"> for the partner authorities in September 2022.</w:t>
      </w:r>
      <w:r w:rsidR="00593C0C" w:rsidRPr="00593C0C">
        <w:rPr>
          <w:rFonts w:ascii="Arial" w:eastAsia="Calibri" w:hAnsi="Arial" w:cs="Arial"/>
        </w:rPr>
        <w:t xml:space="preserve"> This reiterated the findings of the original HNA in respect of </w:t>
      </w:r>
      <w:r w:rsidR="00593C0C">
        <w:rPr>
          <w:rFonts w:ascii="Arial" w:eastAsia="Calibri" w:hAnsi="Arial" w:cs="Arial"/>
        </w:rPr>
        <w:t xml:space="preserve">First Homes as an </w:t>
      </w:r>
      <w:r w:rsidR="00593C0C" w:rsidRPr="00593C0C">
        <w:rPr>
          <w:rFonts w:ascii="Arial" w:eastAsia="Calibri" w:hAnsi="Arial" w:cs="Arial"/>
        </w:rPr>
        <w:t>affordable home ownership product</w:t>
      </w:r>
      <w:r w:rsidR="0094255F">
        <w:rPr>
          <w:rFonts w:ascii="Arial" w:eastAsia="Calibri" w:hAnsi="Arial" w:cs="Arial"/>
        </w:rPr>
        <w:t xml:space="preserve"> and</w:t>
      </w:r>
      <w:r w:rsidR="00593C0C" w:rsidRPr="00593C0C">
        <w:rPr>
          <w:rFonts w:ascii="Arial" w:eastAsia="Calibri" w:hAnsi="Arial" w:cs="Arial"/>
        </w:rPr>
        <w:t xml:space="preserve"> </w:t>
      </w:r>
      <w:r w:rsidR="00593C0C" w:rsidRPr="00593C0C">
        <w:rPr>
          <w:rFonts w:ascii="Arial" w:eastAsiaTheme="majorEastAsia" w:hAnsi="Arial" w:cs="Arial"/>
        </w:rPr>
        <w:t>consider</w:t>
      </w:r>
      <w:r w:rsidR="0094255F">
        <w:rPr>
          <w:rFonts w:ascii="Arial" w:eastAsiaTheme="majorEastAsia" w:hAnsi="Arial" w:cs="Arial"/>
        </w:rPr>
        <w:t>ed</w:t>
      </w:r>
      <w:r w:rsidR="00593C0C" w:rsidRPr="00593C0C">
        <w:rPr>
          <w:rFonts w:ascii="Arial" w:eastAsiaTheme="majorEastAsia" w:hAnsi="Arial" w:cs="Arial"/>
        </w:rPr>
        <w:t xml:space="preserve"> that the evidence of need and for different types of affordable housing (specifically rented versus affordable home ownership (AHO) means that the 10% of all housing as affordable home ownership is not appropriate across the study area.</w:t>
      </w:r>
    </w:p>
    <w:p w14:paraId="4F1BF63F" w14:textId="77777777" w:rsidR="00F753E0" w:rsidRPr="00F753E0" w:rsidRDefault="00F753E0" w:rsidP="00FA22F8">
      <w:pPr>
        <w:pStyle w:val="ListParagraph"/>
        <w:spacing w:after="0"/>
        <w:ind w:left="567"/>
        <w:rPr>
          <w:rFonts w:ascii="Arial" w:eastAsia="Calibri" w:hAnsi="Arial" w:cs="Arial"/>
        </w:rPr>
      </w:pPr>
    </w:p>
    <w:p w14:paraId="0E1A4A60" w14:textId="19AFDCF1" w:rsidR="00F753E0" w:rsidRPr="00D41A4C" w:rsidRDefault="00F753E0" w:rsidP="00FA22F8">
      <w:pPr>
        <w:pStyle w:val="ListParagraph"/>
        <w:numPr>
          <w:ilvl w:val="1"/>
          <w:numId w:val="9"/>
        </w:numPr>
        <w:spacing w:after="0"/>
        <w:ind w:left="567" w:hanging="567"/>
        <w:rPr>
          <w:rFonts w:ascii="Arial" w:hAnsi="Arial" w:cs="Arial"/>
          <w:color w:val="auto"/>
          <w:szCs w:val="24"/>
        </w:rPr>
      </w:pPr>
      <w:r w:rsidRPr="00F753E0">
        <w:rPr>
          <w:rFonts w:ascii="Arial" w:eastAsia="Calibri" w:hAnsi="Arial" w:cs="Arial"/>
        </w:rPr>
        <w:t>The key recommendations</w:t>
      </w:r>
      <w:r w:rsidRPr="00F753E0">
        <w:rPr>
          <w:rFonts w:ascii="Arial" w:hAnsi="Arial" w:cs="Arial"/>
          <w:color w:val="auto"/>
          <w:szCs w:val="24"/>
        </w:rPr>
        <w:t xml:space="preserve"> from the </w:t>
      </w:r>
      <w:r w:rsidR="00084E5A" w:rsidRPr="00D41A4C">
        <w:rPr>
          <w:rFonts w:ascii="Arial" w:hAnsi="Arial" w:cs="Arial"/>
          <w:color w:val="auto"/>
          <w:szCs w:val="24"/>
        </w:rPr>
        <w:t xml:space="preserve">HNA </w:t>
      </w:r>
      <w:r w:rsidRPr="00F753E0">
        <w:rPr>
          <w:rFonts w:ascii="Arial" w:hAnsi="Arial" w:cs="Arial"/>
          <w:color w:val="auto"/>
          <w:szCs w:val="24"/>
        </w:rPr>
        <w:t xml:space="preserve">and the policy response to these are summarised in the </w:t>
      </w:r>
      <w:r w:rsidR="00084E5A" w:rsidRPr="00D41A4C">
        <w:rPr>
          <w:rFonts w:ascii="Arial" w:hAnsi="Arial" w:cs="Arial"/>
          <w:color w:val="auto"/>
          <w:szCs w:val="24"/>
        </w:rPr>
        <w:t>T</w:t>
      </w:r>
      <w:r w:rsidRPr="00F753E0">
        <w:rPr>
          <w:rFonts w:ascii="Arial" w:hAnsi="Arial" w:cs="Arial"/>
          <w:color w:val="auto"/>
          <w:szCs w:val="24"/>
        </w:rPr>
        <w:t xml:space="preserve">able </w:t>
      </w:r>
      <w:r w:rsidR="005C255F">
        <w:rPr>
          <w:rFonts w:ascii="Arial" w:hAnsi="Arial" w:cs="Arial"/>
          <w:color w:val="auto"/>
          <w:szCs w:val="24"/>
        </w:rPr>
        <w:t>8</w:t>
      </w:r>
      <w:r w:rsidR="00084E5A" w:rsidRPr="00D41A4C">
        <w:rPr>
          <w:rFonts w:ascii="Arial" w:hAnsi="Arial" w:cs="Arial"/>
          <w:color w:val="auto"/>
          <w:szCs w:val="24"/>
        </w:rPr>
        <w:t>.</w:t>
      </w:r>
      <w:r w:rsidR="00147A09" w:rsidRPr="00D41A4C">
        <w:rPr>
          <w:rFonts w:ascii="Arial" w:hAnsi="Arial" w:cs="Arial"/>
          <w:color w:val="auto"/>
          <w:szCs w:val="24"/>
        </w:rPr>
        <w:t xml:space="preserve"> Draft ALP policies H3, H4 and H6 together with their associated supporting text set out the Council’s approach to delivering a mix of housing types to meet need</w:t>
      </w:r>
    </w:p>
    <w:p w14:paraId="2C8D3A72" w14:textId="77777777" w:rsidR="00587F20" w:rsidRDefault="00587F20" w:rsidP="00F753E0">
      <w:pPr>
        <w:keepNext w:val="0"/>
        <w:spacing w:before="0"/>
        <w:rPr>
          <w:rFonts w:cs="Arial"/>
          <w:b/>
          <w:color w:val="auto"/>
          <w:szCs w:val="24"/>
        </w:rPr>
      </w:pPr>
    </w:p>
    <w:p w14:paraId="21A3EA6B" w14:textId="38839F90" w:rsidR="00F753E0" w:rsidRDefault="00F753E0" w:rsidP="00F753E0">
      <w:pPr>
        <w:keepNext w:val="0"/>
        <w:spacing w:before="0"/>
        <w:rPr>
          <w:rFonts w:cs="Arial"/>
          <w:b/>
          <w:color w:val="auto"/>
          <w:szCs w:val="24"/>
        </w:rPr>
      </w:pPr>
      <w:r w:rsidRPr="00F753E0">
        <w:rPr>
          <w:rFonts w:cs="Arial"/>
          <w:b/>
          <w:color w:val="auto"/>
          <w:szCs w:val="24"/>
        </w:rPr>
        <w:t xml:space="preserve">Table </w:t>
      </w:r>
      <w:r w:rsidR="00FA22F8">
        <w:rPr>
          <w:rFonts w:cs="Arial"/>
          <w:b/>
          <w:color w:val="auto"/>
          <w:szCs w:val="24"/>
        </w:rPr>
        <w:t>8</w:t>
      </w:r>
      <w:r w:rsidR="00F75DD9">
        <w:rPr>
          <w:rFonts w:cs="Arial"/>
          <w:b/>
          <w:color w:val="auto"/>
          <w:szCs w:val="24"/>
        </w:rPr>
        <w:t>:</w:t>
      </w:r>
      <w:r w:rsidRPr="00F753E0">
        <w:rPr>
          <w:rFonts w:cs="Arial"/>
          <w:b/>
          <w:color w:val="auto"/>
          <w:szCs w:val="24"/>
        </w:rPr>
        <w:t xml:space="preserve"> Key findings of the Housing Needs Assessment </w:t>
      </w:r>
    </w:p>
    <w:p w14:paraId="5ACB24A7" w14:textId="77777777" w:rsidR="00F75DD9" w:rsidRPr="00F753E0" w:rsidRDefault="00F75DD9" w:rsidP="00F753E0">
      <w:pPr>
        <w:keepNext w:val="0"/>
        <w:spacing w:before="0"/>
        <w:rPr>
          <w:rFonts w:cs="Arial"/>
          <w:b/>
          <w:color w:val="auto"/>
          <w:szCs w:val="24"/>
        </w:rPr>
      </w:pPr>
    </w:p>
    <w:tbl>
      <w:tblPr>
        <w:tblStyle w:val="ReportTable1"/>
        <w:tblW w:w="9639" w:type="dxa"/>
        <w:tblLook w:val="04A0" w:firstRow="1" w:lastRow="0" w:firstColumn="1" w:lastColumn="0" w:noHBand="0" w:noVBand="1"/>
      </w:tblPr>
      <w:tblGrid>
        <w:gridCol w:w="4820"/>
        <w:gridCol w:w="4819"/>
      </w:tblGrid>
      <w:tr w:rsidR="00F753E0" w:rsidRPr="00F753E0" w14:paraId="1D231FA5" w14:textId="77777777" w:rsidTr="001D74D6">
        <w:tc>
          <w:tcPr>
            <w:tcW w:w="4820" w:type="dxa"/>
            <w:hideMark/>
          </w:tcPr>
          <w:p w14:paraId="7749D2C1" w14:textId="212571D7" w:rsidR="00F753E0" w:rsidRDefault="00F753E0" w:rsidP="00F753E0">
            <w:pPr>
              <w:keepNext w:val="0"/>
              <w:spacing w:before="0"/>
              <w:rPr>
                <w:rFonts w:cs="Arial"/>
                <w:b/>
                <w:color w:val="auto"/>
                <w:szCs w:val="24"/>
              </w:rPr>
            </w:pPr>
            <w:r w:rsidRPr="00F753E0">
              <w:rPr>
                <w:rFonts w:cs="Arial"/>
                <w:b/>
                <w:color w:val="auto"/>
                <w:szCs w:val="24"/>
              </w:rPr>
              <w:t>Key finding / recommendation</w:t>
            </w:r>
          </w:p>
          <w:p w14:paraId="348D0FA9" w14:textId="77777777" w:rsidR="0003519B" w:rsidRDefault="0003519B" w:rsidP="00F753E0">
            <w:pPr>
              <w:keepNext w:val="0"/>
              <w:spacing w:before="0"/>
              <w:rPr>
                <w:rFonts w:cs="Arial"/>
                <w:b/>
                <w:color w:val="auto"/>
                <w:szCs w:val="24"/>
              </w:rPr>
            </w:pPr>
          </w:p>
          <w:p w14:paraId="2864BE6C" w14:textId="58776425" w:rsidR="00C16899" w:rsidRPr="00F753E0" w:rsidRDefault="00C16899" w:rsidP="00F753E0">
            <w:pPr>
              <w:keepNext w:val="0"/>
              <w:spacing w:before="0"/>
              <w:rPr>
                <w:rFonts w:cs="Arial"/>
                <w:b/>
                <w:color w:val="auto"/>
                <w:szCs w:val="24"/>
              </w:rPr>
            </w:pPr>
          </w:p>
        </w:tc>
        <w:tc>
          <w:tcPr>
            <w:tcW w:w="4819" w:type="dxa"/>
            <w:hideMark/>
          </w:tcPr>
          <w:p w14:paraId="3BEA0DE0" w14:textId="77777777" w:rsidR="00F753E0" w:rsidRPr="00F753E0" w:rsidRDefault="00F753E0" w:rsidP="00F753E0">
            <w:pPr>
              <w:keepNext w:val="0"/>
              <w:spacing w:before="0"/>
              <w:rPr>
                <w:rFonts w:cs="Arial"/>
                <w:b/>
                <w:color w:val="auto"/>
                <w:szCs w:val="24"/>
              </w:rPr>
            </w:pPr>
            <w:r w:rsidRPr="00F753E0">
              <w:rPr>
                <w:rFonts w:cs="Arial"/>
                <w:b/>
                <w:color w:val="auto"/>
                <w:szCs w:val="24"/>
              </w:rPr>
              <w:t>Policy response</w:t>
            </w:r>
          </w:p>
        </w:tc>
      </w:tr>
      <w:tr w:rsidR="00F753E0" w:rsidRPr="00F753E0" w14:paraId="5095F079" w14:textId="77777777" w:rsidTr="001D74D6">
        <w:tc>
          <w:tcPr>
            <w:tcW w:w="4820" w:type="dxa"/>
          </w:tcPr>
          <w:p w14:paraId="333780D1" w14:textId="77777777" w:rsidR="00F63591" w:rsidRDefault="00F753E0" w:rsidP="00C16899">
            <w:pPr>
              <w:keepNext w:val="0"/>
              <w:spacing w:before="0"/>
              <w:rPr>
                <w:rFonts w:cs="Arial"/>
                <w:color w:val="auto"/>
                <w:szCs w:val="24"/>
              </w:rPr>
            </w:pPr>
            <w:r w:rsidRPr="00F753E0">
              <w:rPr>
                <w:rFonts w:cs="Arial"/>
                <w:b/>
                <w:bCs/>
                <w:color w:val="auto"/>
                <w:szCs w:val="24"/>
              </w:rPr>
              <w:t>Housing sub</w:t>
            </w:r>
            <w:r w:rsidR="00F75DD9" w:rsidRPr="00C16899">
              <w:rPr>
                <w:rFonts w:cs="Arial"/>
                <w:b/>
                <w:bCs/>
                <w:color w:val="auto"/>
                <w:szCs w:val="24"/>
              </w:rPr>
              <w:t>-</w:t>
            </w:r>
            <w:r w:rsidRPr="00F753E0">
              <w:rPr>
                <w:rFonts w:cs="Arial"/>
                <w:b/>
                <w:bCs/>
                <w:color w:val="auto"/>
                <w:szCs w:val="24"/>
              </w:rPr>
              <w:t>market areas</w:t>
            </w:r>
            <w:r w:rsidR="00C16899" w:rsidRPr="00C16899">
              <w:rPr>
                <w:rFonts w:cs="Arial"/>
                <w:b/>
                <w:bCs/>
                <w:color w:val="auto"/>
                <w:szCs w:val="24"/>
              </w:rPr>
              <w:t>:</w:t>
            </w:r>
            <w:r w:rsidR="00C16899">
              <w:rPr>
                <w:rFonts w:cs="Arial"/>
                <w:color w:val="auto"/>
                <w:szCs w:val="24"/>
                <w:u w:val="single"/>
              </w:rPr>
              <w:t xml:space="preserve"> </w:t>
            </w:r>
            <w:r w:rsidRPr="00F753E0">
              <w:rPr>
                <w:rFonts w:cs="Arial"/>
                <w:color w:val="auto"/>
                <w:szCs w:val="24"/>
              </w:rPr>
              <w:t>The report identifies 44 housing sub</w:t>
            </w:r>
            <w:r w:rsidR="00F75DD9">
              <w:rPr>
                <w:rFonts w:cs="Arial"/>
                <w:color w:val="auto"/>
                <w:szCs w:val="24"/>
              </w:rPr>
              <w:t>-</w:t>
            </w:r>
            <w:r w:rsidRPr="00F753E0">
              <w:rPr>
                <w:rFonts w:cs="Arial"/>
                <w:color w:val="auto"/>
                <w:szCs w:val="24"/>
              </w:rPr>
              <w:t xml:space="preserve">market areas across the plan area. The methodology for identification </w:t>
            </w:r>
            <w:r w:rsidR="00F75DD9">
              <w:rPr>
                <w:rFonts w:cs="Arial"/>
                <w:color w:val="auto"/>
                <w:szCs w:val="24"/>
              </w:rPr>
              <w:t>is</w:t>
            </w:r>
            <w:r w:rsidRPr="00F753E0">
              <w:rPr>
                <w:rFonts w:cs="Arial"/>
                <w:color w:val="auto"/>
                <w:szCs w:val="24"/>
              </w:rPr>
              <w:t xml:space="preserve"> based on analysis of data on sales transactions by type, house price patterns by type, commuting flows, self-containment and urban form/</w:t>
            </w:r>
            <w:r w:rsidR="00F75DD9">
              <w:rPr>
                <w:rFonts w:cs="Arial"/>
                <w:color w:val="auto"/>
                <w:szCs w:val="24"/>
              </w:rPr>
              <w:t xml:space="preserve"> </w:t>
            </w:r>
            <w:r w:rsidRPr="00F753E0">
              <w:rPr>
                <w:rFonts w:cs="Arial"/>
                <w:color w:val="auto"/>
                <w:szCs w:val="24"/>
              </w:rPr>
              <w:t>morphology.</w:t>
            </w:r>
          </w:p>
          <w:p w14:paraId="004DCC4F" w14:textId="4C8C08B9" w:rsidR="00F753E0" w:rsidRPr="00F753E0" w:rsidRDefault="00F753E0" w:rsidP="00C16899">
            <w:pPr>
              <w:keepNext w:val="0"/>
              <w:spacing w:before="0"/>
              <w:rPr>
                <w:rFonts w:cs="Arial"/>
                <w:color w:val="auto"/>
                <w:szCs w:val="24"/>
              </w:rPr>
            </w:pPr>
            <w:r w:rsidRPr="00F753E0">
              <w:rPr>
                <w:rFonts w:cs="Arial"/>
                <w:color w:val="auto"/>
                <w:szCs w:val="24"/>
              </w:rPr>
              <w:t xml:space="preserve"> </w:t>
            </w:r>
          </w:p>
        </w:tc>
        <w:tc>
          <w:tcPr>
            <w:tcW w:w="4819" w:type="dxa"/>
          </w:tcPr>
          <w:p w14:paraId="66F6F3CF" w14:textId="77777777" w:rsidR="00F753E0" w:rsidRDefault="00F753E0" w:rsidP="00147A09">
            <w:pPr>
              <w:keepNext w:val="0"/>
              <w:spacing w:before="0"/>
              <w:rPr>
                <w:rFonts w:cs="Arial"/>
                <w:color w:val="auto"/>
                <w:szCs w:val="24"/>
              </w:rPr>
            </w:pPr>
            <w:r w:rsidRPr="00F753E0">
              <w:rPr>
                <w:rFonts w:cs="Arial"/>
                <w:color w:val="auto"/>
                <w:szCs w:val="24"/>
              </w:rPr>
              <w:t>The housing sub</w:t>
            </w:r>
            <w:r w:rsidR="00F75DD9">
              <w:rPr>
                <w:rFonts w:cs="Arial"/>
                <w:color w:val="auto"/>
                <w:szCs w:val="24"/>
              </w:rPr>
              <w:t>-</w:t>
            </w:r>
            <w:r w:rsidRPr="00F753E0">
              <w:rPr>
                <w:rFonts w:cs="Arial"/>
                <w:color w:val="auto"/>
                <w:szCs w:val="24"/>
              </w:rPr>
              <w:t xml:space="preserve">market areas will be used in any subsequent viability work. Due to the varying levels of viability across authority areas it </w:t>
            </w:r>
            <w:r w:rsidR="00F75DD9">
              <w:rPr>
                <w:rFonts w:cs="Arial"/>
                <w:color w:val="auto"/>
                <w:szCs w:val="24"/>
              </w:rPr>
              <w:t>is</w:t>
            </w:r>
            <w:r w:rsidRPr="00F753E0">
              <w:rPr>
                <w:rFonts w:cs="Arial"/>
                <w:color w:val="auto"/>
                <w:szCs w:val="24"/>
              </w:rPr>
              <w:t xml:space="preserve"> considered appropriate to set different levels of affordable housing and tenure requirements based on sub</w:t>
            </w:r>
            <w:r w:rsidR="00C16899">
              <w:rPr>
                <w:rFonts w:cs="Arial"/>
                <w:color w:val="auto"/>
                <w:szCs w:val="24"/>
              </w:rPr>
              <w:t>-</w:t>
            </w:r>
            <w:r w:rsidRPr="00F753E0">
              <w:rPr>
                <w:rFonts w:cs="Arial"/>
                <w:color w:val="auto"/>
                <w:szCs w:val="24"/>
              </w:rPr>
              <w:t xml:space="preserve">market area. </w:t>
            </w:r>
          </w:p>
          <w:p w14:paraId="7983CE80" w14:textId="6787FCB7" w:rsidR="0003519B" w:rsidRPr="00F753E0" w:rsidRDefault="0003519B" w:rsidP="00147A09">
            <w:pPr>
              <w:keepNext w:val="0"/>
              <w:spacing w:before="0"/>
              <w:rPr>
                <w:rFonts w:cs="Arial"/>
                <w:color w:val="auto"/>
                <w:szCs w:val="24"/>
              </w:rPr>
            </w:pPr>
          </w:p>
        </w:tc>
      </w:tr>
      <w:tr w:rsidR="00F753E0" w:rsidRPr="00F753E0" w14:paraId="1CDBBC3A" w14:textId="77777777" w:rsidTr="001D74D6">
        <w:tc>
          <w:tcPr>
            <w:tcW w:w="4820" w:type="dxa"/>
            <w:hideMark/>
          </w:tcPr>
          <w:p w14:paraId="15225399" w14:textId="73B2027F" w:rsidR="00F753E0" w:rsidRPr="00F753E0" w:rsidRDefault="00F753E0" w:rsidP="00F753E0">
            <w:pPr>
              <w:keepNext w:val="0"/>
              <w:spacing w:before="0"/>
              <w:rPr>
                <w:rFonts w:cs="Arial"/>
                <w:color w:val="auto"/>
                <w:szCs w:val="24"/>
                <w:u w:val="single"/>
              </w:rPr>
            </w:pPr>
            <w:r w:rsidRPr="00F753E0">
              <w:rPr>
                <w:rFonts w:cs="Arial"/>
                <w:b/>
                <w:bCs/>
                <w:color w:val="auto"/>
                <w:szCs w:val="24"/>
              </w:rPr>
              <w:t>Housing mix</w:t>
            </w:r>
            <w:r w:rsidR="00C16899" w:rsidRPr="00C16899">
              <w:rPr>
                <w:rFonts w:cs="Arial"/>
                <w:b/>
                <w:bCs/>
                <w:color w:val="auto"/>
                <w:szCs w:val="24"/>
              </w:rPr>
              <w:t>:</w:t>
            </w:r>
            <w:r w:rsidR="00C16899" w:rsidRPr="00C16899">
              <w:rPr>
                <w:rFonts w:cs="Arial"/>
                <w:color w:val="auto"/>
                <w:szCs w:val="24"/>
              </w:rPr>
              <w:t xml:space="preserve"> </w:t>
            </w:r>
            <w:r w:rsidRPr="00F753E0">
              <w:rPr>
                <w:rFonts w:cs="Arial"/>
                <w:color w:val="auto"/>
                <w:szCs w:val="24"/>
              </w:rPr>
              <w:t>Housing mix recommendations at an authority level and housing sub</w:t>
            </w:r>
            <w:r w:rsidR="00C16899">
              <w:rPr>
                <w:rFonts w:cs="Arial"/>
                <w:color w:val="auto"/>
                <w:szCs w:val="24"/>
              </w:rPr>
              <w:t>-</w:t>
            </w:r>
            <w:r w:rsidRPr="00F753E0">
              <w:rPr>
                <w:rFonts w:cs="Arial"/>
                <w:color w:val="auto"/>
                <w:szCs w:val="24"/>
              </w:rPr>
              <w:t>market area (in terms of bedroom sizes)</w:t>
            </w:r>
          </w:p>
        </w:tc>
        <w:tc>
          <w:tcPr>
            <w:tcW w:w="4819" w:type="dxa"/>
            <w:hideMark/>
          </w:tcPr>
          <w:p w14:paraId="79071E61" w14:textId="77777777" w:rsidR="0003519B" w:rsidRDefault="00F753E0" w:rsidP="00F753E0">
            <w:pPr>
              <w:keepNext w:val="0"/>
              <w:spacing w:before="0"/>
              <w:rPr>
                <w:rFonts w:cs="Arial"/>
                <w:color w:val="auto"/>
                <w:szCs w:val="24"/>
              </w:rPr>
            </w:pPr>
            <w:r w:rsidRPr="00F753E0">
              <w:rPr>
                <w:rFonts w:cs="Arial"/>
                <w:color w:val="auto"/>
                <w:szCs w:val="24"/>
              </w:rPr>
              <w:t>As currently drafted, the justification text to policy</w:t>
            </w:r>
            <w:r w:rsidR="00147A09">
              <w:rPr>
                <w:rFonts w:cs="Arial"/>
                <w:color w:val="auto"/>
                <w:szCs w:val="24"/>
              </w:rPr>
              <w:t xml:space="preserve"> H6</w:t>
            </w:r>
            <w:r w:rsidRPr="00F753E0">
              <w:rPr>
                <w:rFonts w:cs="Arial"/>
                <w:color w:val="auto"/>
                <w:szCs w:val="24"/>
              </w:rPr>
              <w:t xml:space="preserve"> includes the housing mix recommendations (by tenure). The policy requires these to be used as a starting point for negotiations on house size mix on application sites.</w:t>
            </w:r>
          </w:p>
          <w:p w14:paraId="60EDC642" w14:textId="2AF44BA7" w:rsidR="00F753E0" w:rsidRPr="00F753E0" w:rsidRDefault="00F753E0" w:rsidP="00F753E0">
            <w:pPr>
              <w:keepNext w:val="0"/>
              <w:spacing w:before="0"/>
              <w:rPr>
                <w:rFonts w:cs="Arial"/>
                <w:color w:val="auto"/>
                <w:szCs w:val="24"/>
              </w:rPr>
            </w:pPr>
            <w:r w:rsidRPr="00F753E0">
              <w:rPr>
                <w:rFonts w:cs="Arial"/>
                <w:color w:val="auto"/>
                <w:szCs w:val="24"/>
              </w:rPr>
              <w:t xml:space="preserve"> </w:t>
            </w:r>
          </w:p>
        </w:tc>
      </w:tr>
      <w:tr w:rsidR="00F753E0" w:rsidRPr="00F753E0" w14:paraId="3804E923" w14:textId="77777777" w:rsidTr="001D74D6">
        <w:tc>
          <w:tcPr>
            <w:tcW w:w="4820" w:type="dxa"/>
            <w:hideMark/>
          </w:tcPr>
          <w:p w14:paraId="48535707" w14:textId="287E6C0B" w:rsidR="00F753E0" w:rsidRPr="00F753E0" w:rsidRDefault="00F753E0" w:rsidP="00C16899">
            <w:pPr>
              <w:keepNext w:val="0"/>
              <w:spacing w:before="0"/>
              <w:rPr>
                <w:rFonts w:cs="Arial"/>
                <w:color w:val="auto"/>
                <w:szCs w:val="24"/>
              </w:rPr>
            </w:pPr>
            <w:r w:rsidRPr="00F753E0">
              <w:rPr>
                <w:rFonts w:cs="Arial"/>
                <w:b/>
                <w:bCs/>
                <w:color w:val="auto"/>
                <w:szCs w:val="24"/>
              </w:rPr>
              <w:t>Rented affordable housing need</w:t>
            </w:r>
            <w:r w:rsidR="00C16899">
              <w:rPr>
                <w:rFonts w:cs="Arial"/>
                <w:b/>
                <w:bCs/>
                <w:color w:val="auto"/>
                <w:szCs w:val="24"/>
              </w:rPr>
              <w:t xml:space="preserve">: </w:t>
            </w:r>
            <w:r w:rsidRPr="00F753E0">
              <w:rPr>
                <w:rFonts w:cs="Arial"/>
                <w:color w:val="auto"/>
                <w:szCs w:val="24"/>
              </w:rPr>
              <w:t>A</w:t>
            </w:r>
            <w:r w:rsidR="00835BC0">
              <w:rPr>
                <w:rFonts w:cs="Arial"/>
                <w:color w:val="auto"/>
                <w:szCs w:val="24"/>
              </w:rPr>
              <w:t xml:space="preserve"> n</w:t>
            </w:r>
            <w:r w:rsidRPr="00F753E0">
              <w:rPr>
                <w:rFonts w:cs="Arial"/>
                <w:color w:val="auto"/>
                <w:szCs w:val="24"/>
              </w:rPr>
              <w:t xml:space="preserve">eed for </w:t>
            </w:r>
            <w:r w:rsidR="00835BC0">
              <w:rPr>
                <w:rFonts w:cs="Arial"/>
                <w:color w:val="auto"/>
                <w:szCs w:val="24"/>
              </w:rPr>
              <w:t>237 dwellings per annum is identified for Ashfield</w:t>
            </w:r>
            <w:r w:rsidRPr="00F753E0">
              <w:rPr>
                <w:rFonts w:cs="Arial"/>
                <w:color w:val="auto"/>
                <w:szCs w:val="24"/>
              </w:rPr>
              <w:t>. The report does not break this need down into social rent and affordable rent</w:t>
            </w:r>
            <w:r w:rsidR="00835BC0">
              <w:rPr>
                <w:rFonts w:cs="Arial"/>
                <w:color w:val="auto"/>
                <w:szCs w:val="24"/>
              </w:rPr>
              <w:t xml:space="preserve">, although it is </w:t>
            </w:r>
            <w:r w:rsidR="00835BC0" w:rsidRPr="00CE7909">
              <w:rPr>
                <w:rFonts w:eastAsia="Arial" w:cs="Arial"/>
                <w:szCs w:val="24"/>
              </w:rPr>
              <w:t>indicated that social rents will be affordable to a greater proportion of households than affordable rents</w:t>
            </w:r>
          </w:p>
        </w:tc>
        <w:tc>
          <w:tcPr>
            <w:tcW w:w="4819" w:type="dxa"/>
            <w:hideMark/>
          </w:tcPr>
          <w:p w14:paraId="375DDEE1" w14:textId="0820286A" w:rsidR="00F63591" w:rsidRDefault="00F753E0" w:rsidP="00835BC0">
            <w:pPr>
              <w:rPr>
                <w:rFonts w:cs="Arial"/>
                <w:color w:val="auto"/>
                <w:szCs w:val="24"/>
              </w:rPr>
            </w:pPr>
            <w:r w:rsidRPr="00F753E0">
              <w:rPr>
                <w:rFonts w:cs="Arial"/>
                <w:color w:val="auto"/>
                <w:szCs w:val="24"/>
              </w:rPr>
              <w:t xml:space="preserve">The identified level of need identified in the report provides a starting point in developing an affordable housing target. </w:t>
            </w:r>
            <w:r w:rsidR="00835BC0">
              <w:rPr>
                <w:rFonts w:cs="Arial"/>
                <w:color w:val="auto"/>
                <w:szCs w:val="24"/>
              </w:rPr>
              <w:t>Draft policy H3</w:t>
            </w:r>
            <w:r w:rsidR="00835BC0" w:rsidRPr="00835BC0">
              <w:rPr>
                <w:rFonts w:cs="Arial"/>
                <w:color w:val="auto"/>
                <w:szCs w:val="24"/>
              </w:rPr>
              <w:t xml:space="preserve"> is informed by the approach taken in the </w:t>
            </w:r>
            <w:r w:rsidR="0094255F">
              <w:rPr>
                <w:rFonts w:cs="Arial"/>
                <w:color w:val="auto"/>
                <w:szCs w:val="24"/>
              </w:rPr>
              <w:t>Whole Plan Viability Assessment 2023</w:t>
            </w:r>
            <w:r w:rsidR="00835BC0" w:rsidRPr="00835BC0">
              <w:rPr>
                <w:rFonts w:cs="Arial"/>
                <w:color w:val="auto"/>
                <w:szCs w:val="24"/>
              </w:rPr>
              <w:t xml:space="preserve"> which </w:t>
            </w:r>
            <w:r w:rsidR="00835BC0">
              <w:rPr>
                <w:rFonts w:cs="Arial"/>
                <w:color w:val="auto"/>
                <w:szCs w:val="24"/>
              </w:rPr>
              <w:t>tested a</w:t>
            </w:r>
            <w:r w:rsidR="00835BC0" w:rsidRPr="00F753E0">
              <w:rPr>
                <w:rFonts w:cs="Arial"/>
                <w:color w:val="auto"/>
                <w:szCs w:val="24"/>
              </w:rPr>
              <w:t xml:space="preserve"> range of different affordable housing levels and tenure</w:t>
            </w:r>
            <w:r w:rsidR="00835BC0">
              <w:rPr>
                <w:rFonts w:cs="Arial"/>
                <w:color w:val="auto"/>
                <w:szCs w:val="24"/>
              </w:rPr>
              <w:t xml:space="preserve">s. This </w:t>
            </w:r>
            <w:r w:rsidR="00835BC0" w:rsidRPr="00835BC0">
              <w:rPr>
                <w:rFonts w:cs="Arial"/>
                <w:color w:val="auto"/>
                <w:szCs w:val="24"/>
              </w:rPr>
              <w:t>will need to be updated</w:t>
            </w:r>
            <w:r w:rsidR="00835BC0">
              <w:rPr>
                <w:rFonts w:cs="Arial"/>
                <w:color w:val="auto"/>
                <w:szCs w:val="24"/>
              </w:rPr>
              <w:t xml:space="preserve"> and the policy amended accordingly if required.</w:t>
            </w:r>
          </w:p>
          <w:p w14:paraId="578CA2B1" w14:textId="77777777" w:rsidR="00F63591" w:rsidRDefault="00F63591" w:rsidP="00835BC0">
            <w:pPr>
              <w:rPr>
                <w:rFonts w:cs="Arial"/>
                <w:color w:val="auto"/>
                <w:szCs w:val="24"/>
              </w:rPr>
            </w:pPr>
          </w:p>
          <w:p w14:paraId="403E7B17" w14:textId="7CB0C7B9" w:rsidR="0003519B" w:rsidRPr="00F753E0" w:rsidRDefault="0003519B" w:rsidP="00835BC0">
            <w:pPr>
              <w:rPr>
                <w:rFonts w:cs="Arial"/>
                <w:color w:val="auto"/>
                <w:szCs w:val="24"/>
              </w:rPr>
            </w:pPr>
          </w:p>
        </w:tc>
      </w:tr>
      <w:tr w:rsidR="00F753E0" w:rsidRPr="00F753E0" w14:paraId="28283DD8" w14:textId="77777777" w:rsidTr="001D74D6">
        <w:tc>
          <w:tcPr>
            <w:tcW w:w="4820" w:type="dxa"/>
            <w:hideMark/>
          </w:tcPr>
          <w:p w14:paraId="1AEACFF7" w14:textId="77777777" w:rsidR="00F753E0" w:rsidRDefault="00F753E0" w:rsidP="00C16899">
            <w:pPr>
              <w:keepNext w:val="0"/>
              <w:spacing w:before="0"/>
              <w:rPr>
                <w:rFonts w:cs="Arial"/>
                <w:color w:val="auto"/>
                <w:szCs w:val="24"/>
              </w:rPr>
            </w:pPr>
            <w:r w:rsidRPr="00F753E0">
              <w:rPr>
                <w:rFonts w:cs="Arial"/>
                <w:b/>
                <w:bCs/>
                <w:color w:val="auto"/>
                <w:szCs w:val="24"/>
              </w:rPr>
              <w:t>Affordable home ownership need</w:t>
            </w:r>
            <w:r w:rsidR="00C16899">
              <w:rPr>
                <w:rFonts w:cs="Arial"/>
                <w:b/>
                <w:bCs/>
                <w:color w:val="auto"/>
                <w:szCs w:val="24"/>
              </w:rPr>
              <w:t xml:space="preserve">: </w:t>
            </w:r>
            <w:r w:rsidRPr="00F753E0">
              <w:rPr>
                <w:rFonts w:cs="Arial"/>
                <w:color w:val="auto"/>
                <w:szCs w:val="24"/>
              </w:rPr>
              <w:t xml:space="preserve">A negative need for </w:t>
            </w:r>
            <w:r w:rsidR="006A6DC7">
              <w:rPr>
                <w:rFonts w:cs="Arial"/>
                <w:color w:val="auto"/>
                <w:szCs w:val="24"/>
              </w:rPr>
              <w:t>–195 dwellings per annum is identified for Ashfield.</w:t>
            </w:r>
            <w:r w:rsidRPr="00F753E0">
              <w:rPr>
                <w:rFonts w:cs="Arial"/>
                <w:color w:val="auto"/>
                <w:szCs w:val="24"/>
              </w:rPr>
              <w:t xml:space="preserve"> Although </w:t>
            </w:r>
            <w:r w:rsidRPr="00F753E0">
              <w:rPr>
                <w:rFonts w:cs="Arial"/>
                <w:color w:val="auto"/>
                <w:szCs w:val="24"/>
              </w:rPr>
              <w:lastRenderedPageBreak/>
              <w:t>the analysis shows there are a number of households able to afford to rent privately but who cannot afford to buy because of the initial outlay/ deposit/securing a mortgage, there was considered to be enough potential supply within existing stock to make a contribution to this need with a reasonable proportion of properties available at lower quartile prices.</w:t>
            </w:r>
          </w:p>
          <w:p w14:paraId="4A9D8F03" w14:textId="77777777" w:rsidR="006A6DC7" w:rsidRDefault="006A6DC7" w:rsidP="00C16899">
            <w:pPr>
              <w:keepNext w:val="0"/>
              <w:spacing w:before="0"/>
              <w:rPr>
                <w:rFonts w:cs="Arial"/>
                <w:color w:val="auto"/>
                <w:szCs w:val="24"/>
              </w:rPr>
            </w:pPr>
          </w:p>
          <w:p w14:paraId="3AEF364B" w14:textId="0D7E6CEF" w:rsidR="00C10E12" w:rsidRDefault="006A6DC7" w:rsidP="00C16899">
            <w:pPr>
              <w:keepNext w:val="0"/>
              <w:spacing w:before="0"/>
              <w:rPr>
                <w:rFonts w:cs="Arial"/>
                <w:color w:val="auto"/>
                <w:szCs w:val="24"/>
              </w:rPr>
            </w:pPr>
            <w:r>
              <w:rPr>
                <w:rFonts w:cs="Arial"/>
                <w:color w:val="auto"/>
                <w:szCs w:val="24"/>
              </w:rPr>
              <w:t xml:space="preserve">If the Council seeks to provide affordable home </w:t>
            </w:r>
            <w:r w:rsidR="007716DB">
              <w:rPr>
                <w:rFonts w:cs="Arial"/>
                <w:color w:val="auto"/>
                <w:szCs w:val="24"/>
              </w:rPr>
              <w:t>ownership,</w:t>
            </w:r>
            <w:r>
              <w:rPr>
                <w:rFonts w:cs="Arial"/>
                <w:color w:val="auto"/>
                <w:szCs w:val="24"/>
              </w:rPr>
              <w:t xml:space="preserve"> then </w:t>
            </w:r>
            <w:r w:rsidRPr="00F753E0">
              <w:rPr>
                <w:rFonts w:cs="Arial"/>
                <w:color w:val="auto"/>
                <w:szCs w:val="24"/>
              </w:rPr>
              <w:t xml:space="preserve">Shared ownership is recommended as the most appropriate </w:t>
            </w:r>
            <w:proofErr w:type="gramStart"/>
            <w:r w:rsidRPr="00F753E0">
              <w:rPr>
                <w:rFonts w:cs="Arial"/>
                <w:color w:val="auto"/>
                <w:szCs w:val="24"/>
              </w:rPr>
              <w:t>type</w:t>
            </w:r>
            <w:proofErr w:type="gramEnd"/>
            <w:r w:rsidRPr="00F753E0">
              <w:rPr>
                <w:rFonts w:cs="Arial"/>
                <w:color w:val="auto"/>
                <w:szCs w:val="24"/>
              </w:rPr>
              <w:t xml:space="preserve"> product</w:t>
            </w:r>
            <w:r w:rsidR="00C425DF" w:rsidRPr="007966F9">
              <w:rPr>
                <w:rFonts w:eastAsia="Arial" w:cs="Arial"/>
                <w:color w:val="000000"/>
                <w:szCs w:val="24"/>
              </w:rPr>
              <w:t xml:space="preserve"> due to the lower deposit requirements and lower overall costs (given that the rent would also be subsidised).</w:t>
            </w:r>
          </w:p>
          <w:p w14:paraId="1336017C" w14:textId="7B6709C8" w:rsidR="00764DC3" w:rsidRPr="00F753E0" w:rsidRDefault="00764DC3" w:rsidP="00C16899">
            <w:pPr>
              <w:keepNext w:val="0"/>
              <w:spacing w:before="0"/>
              <w:rPr>
                <w:rFonts w:cs="Arial"/>
                <w:color w:val="auto"/>
                <w:szCs w:val="24"/>
              </w:rPr>
            </w:pPr>
          </w:p>
        </w:tc>
        <w:tc>
          <w:tcPr>
            <w:tcW w:w="4819" w:type="dxa"/>
          </w:tcPr>
          <w:p w14:paraId="4F4BC097" w14:textId="37BA979C" w:rsidR="0003519B" w:rsidRPr="00F753E0" w:rsidRDefault="00C425DF" w:rsidP="00F753E0">
            <w:pPr>
              <w:keepNext w:val="0"/>
              <w:spacing w:before="0"/>
              <w:rPr>
                <w:rFonts w:cs="Arial"/>
                <w:color w:val="auto"/>
                <w:szCs w:val="24"/>
              </w:rPr>
            </w:pPr>
            <w:r>
              <w:rPr>
                <w:rFonts w:cs="Arial"/>
                <w:color w:val="auto"/>
                <w:szCs w:val="24"/>
              </w:rPr>
              <w:lastRenderedPageBreak/>
              <w:t xml:space="preserve">Policy </w:t>
            </w:r>
            <w:r w:rsidR="00CB0A12">
              <w:rPr>
                <w:rFonts w:cs="Arial"/>
                <w:color w:val="auto"/>
                <w:szCs w:val="24"/>
              </w:rPr>
              <w:t xml:space="preserve">H3 includes the requirement for 25% of any affordable housing requirement to be delivered through shared ownership. </w:t>
            </w:r>
            <w:r w:rsidR="00CB0A12">
              <w:rPr>
                <w:rFonts w:cs="Arial"/>
                <w:color w:val="auto"/>
                <w:szCs w:val="24"/>
              </w:rPr>
              <w:lastRenderedPageBreak/>
              <w:t xml:space="preserve">Given </w:t>
            </w:r>
            <w:r w:rsidR="00CB0A12" w:rsidRPr="00CB0A12">
              <w:rPr>
                <w:rFonts w:cs="Arial"/>
                <w:color w:val="auto"/>
                <w:szCs w:val="24"/>
              </w:rPr>
              <w:t xml:space="preserve">the </w:t>
            </w:r>
            <w:r w:rsidR="00CB0A12" w:rsidRPr="00CB0A12">
              <w:rPr>
                <w:rFonts w:eastAsia="Arial" w:cs="Arial"/>
                <w:color w:val="auto"/>
                <w:szCs w:val="24"/>
              </w:rPr>
              <w:t>circumstances, the Council considers that the provision First Homes would significantly prejudice the ability of local people to meet their housing needs and an emphasis is placed on share ownership rather than First Homes.</w:t>
            </w:r>
          </w:p>
        </w:tc>
      </w:tr>
      <w:tr w:rsidR="00F753E0" w:rsidRPr="00F753E0" w14:paraId="4C9EBF5F" w14:textId="77777777" w:rsidTr="001D74D6">
        <w:tc>
          <w:tcPr>
            <w:tcW w:w="4820" w:type="dxa"/>
            <w:hideMark/>
          </w:tcPr>
          <w:p w14:paraId="58E278CA" w14:textId="02B712DE" w:rsidR="00F753E0" w:rsidRDefault="00F753E0" w:rsidP="00F753E0">
            <w:pPr>
              <w:keepNext w:val="0"/>
              <w:spacing w:before="0"/>
              <w:rPr>
                <w:rFonts w:cs="Arial"/>
                <w:color w:val="auto"/>
                <w:szCs w:val="24"/>
              </w:rPr>
            </w:pPr>
            <w:r w:rsidRPr="00F753E0">
              <w:rPr>
                <w:rFonts w:cs="Arial"/>
                <w:b/>
                <w:bCs/>
                <w:color w:val="auto"/>
                <w:szCs w:val="24"/>
              </w:rPr>
              <w:lastRenderedPageBreak/>
              <w:t>Accessible and adaptable homes</w:t>
            </w:r>
            <w:r w:rsidR="00C10E12">
              <w:rPr>
                <w:rFonts w:cs="Arial"/>
                <w:b/>
                <w:bCs/>
                <w:color w:val="auto"/>
                <w:szCs w:val="24"/>
              </w:rPr>
              <w:t>:</w:t>
            </w:r>
            <w:r w:rsidR="001A29F6">
              <w:rPr>
                <w:rFonts w:cs="Arial"/>
                <w:b/>
                <w:bCs/>
                <w:color w:val="auto"/>
                <w:szCs w:val="24"/>
              </w:rPr>
              <w:t xml:space="preserve"> </w:t>
            </w:r>
            <w:r w:rsidRPr="00F753E0">
              <w:rPr>
                <w:rFonts w:cs="Arial"/>
                <w:color w:val="auto"/>
                <w:szCs w:val="24"/>
              </w:rPr>
              <w:t>A need for around 3,203 wheelchair accessible dwellings for wheelchair users across the study area (including Erewash and Ashfield) has been identified, equivalent to 5% of the total housing need identified through the standard method.</w:t>
            </w:r>
            <w:r w:rsidR="001A29F6">
              <w:rPr>
                <w:rFonts w:cs="Arial"/>
                <w:color w:val="auto"/>
                <w:szCs w:val="24"/>
              </w:rPr>
              <w:t xml:space="preserve"> </w:t>
            </w:r>
          </w:p>
          <w:p w14:paraId="445B88F1" w14:textId="77777777" w:rsidR="00F1322C" w:rsidRDefault="00F1322C" w:rsidP="00F753E0">
            <w:pPr>
              <w:keepNext w:val="0"/>
              <w:spacing w:before="0"/>
              <w:rPr>
                <w:rFonts w:cs="Arial"/>
                <w:color w:val="auto"/>
                <w:szCs w:val="24"/>
              </w:rPr>
            </w:pPr>
          </w:p>
          <w:p w14:paraId="2BDFBDE6" w14:textId="0E727AEC" w:rsidR="001A29F6" w:rsidRPr="00F753E0" w:rsidRDefault="001A29F6" w:rsidP="00F753E0">
            <w:pPr>
              <w:keepNext w:val="0"/>
              <w:spacing w:before="0"/>
              <w:rPr>
                <w:rFonts w:cs="Arial"/>
                <w:b/>
                <w:bCs/>
                <w:color w:val="auto"/>
                <w:szCs w:val="24"/>
              </w:rPr>
            </w:pPr>
          </w:p>
        </w:tc>
        <w:tc>
          <w:tcPr>
            <w:tcW w:w="4819" w:type="dxa"/>
          </w:tcPr>
          <w:p w14:paraId="233F409E" w14:textId="790AF459" w:rsidR="00F753E0" w:rsidRPr="00F753E0" w:rsidRDefault="00E202A7" w:rsidP="00E202A7">
            <w:pPr>
              <w:keepNext w:val="0"/>
              <w:spacing w:before="0"/>
              <w:rPr>
                <w:rFonts w:cs="Arial"/>
                <w:color w:val="auto"/>
                <w:szCs w:val="24"/>
              </w:rPr>
            </w:pPr>
            <w:r>
              <w:rPr>
                <w:rFonts w:cs="Arial"/>
                <w:color w:val="auto"/>
                <w:szCs w:val="24"/>
              </w:rPr>
              <w:t>D</w:t>
            </w:r>
            <w:r w:rsidR="00F753E0" w:rsidRPr="00F753E0">
              <w:rPr>
                <w:rFonts w:cs="Arial"/>
                <w:color w:val="auto"/>
                <w:szCs w:val="24"/>
              </w:rPr>
              <w:t xml:space="preserve">raft policy </w:t>
            </w:r>
            <w:r w:rsidR="001A29F6">
              <w:rPr>
                <w:rFonts w:cs="Arial"/>
                <w:color w:val="auto"/>
                <w:szCs w:val="24"/>
              </w:rPr>
              <w:t>H6 requires that 10% of dwellings on sites with a capacity of 10 or more dwellings will be accessible or easily adaptable.</w:t>
            </w:r>
            <w:r w:rsidR="00F753E0" w:rsidRPr="00F753E0">
              <w:rPr>
                <w:rFonts w:cs="Arial"/>
                <w:color w:val="auto"/>
                <w:szCs w:val="24"/>
              </w:rPr>
              <w:t xml:space="preserve"> </w:t>
            </w:r>
          </w:p>
        </w:tc>
      </w:tr>
      <w:tr w:rsidR="00F753E0" w:rsidRPr="00F753E0" w14:paraId="35205A82" w14:textId="77777777" w:rsidTr="001D74D6">
        <w:tc>
          <w:tcPr>
            <w:tcW w:w="4820" w:type="dxa"/>
          </w:tcPr>
          <w:p w14:paraId="01206E6A" w14:textId="55DBBF39" w:rsidR="00F753E0" w:rsidRPr="00F753E0" w:rsidRDefault="00F753E0" w:rsidP="00F753E0">
            <w:pPr>
              <w:keepNext w:val="0"/>
              <w:spacing w:before="0"/>
              <w:rPr>
                <w:rFonts w:cs="Arial"/>
                <w:b/>
                <w:bCs/>
                <w:color w:val="auto"/>
                <w:szCs w:val="24"/>
              </w:rPr>
            </w:pPr>
            <w:r w:rsidRPr="00F753E0">
              <w:rPr>
                <w:rFonts w:cs="Arial"/>
                <w:b/>
                <w:bCs/>
                <w:color w:val="auto"/>
                <w:szCs w:val="24"/>
              </w:rPr>
              <w:t>Specialist residential accommodation</w:t>
            </w:r>
            <w:r w:rsidR="001A29F6">
              <w:rPr>
                <w:rFonts w:cs="Arial"/>
                <w:b/>
                <w:bCs/>
                <w:color w:val="auto"/>
                <w:szCs w:val="24"/>
              </w:rPr>
              <w:t>:</w:t>
            </w:r>
          </w:p>
          <w:p w14:paraId="5438963F" w14:textId="4B021B39" w:rsidR="00F753E0" w:rsidRPr="00F753E0" w:rsidRDefault="00922E01" w:rsidP="00F753E0">
            <w:pPr>
              <w:keepNext w:val="0"/>
              <w:spacing w:before="0"/>
              <w:rPr>
                <w:rFonts w:cs="Arial"/>
                <w:color w:val="auto"/>
                <w:szCs w:val="24"/>
                <w:u w:val="single"/>
              </w:rPr>
            </w:pPr>
            <w:r>
              <w:rPr>
                <w:rFonts w:cs="Arial"/>
                <w:color w:val="auto"/>
                <w:szCs w:val="24"/>
              </w:rPr>
              <w:t>For Ashfield District, t</w:t>
            </w:r>
            <w:r w:rsidR="00F753E0" w:rsidRPr="00F753E0">
              <w:rPr>
                <w:rFonts w:cs="Arial"/>
                <w:color w:val="auto"/>
                <w:szCs w:val="24"/>
              </w:rPr>
              <w:t xml:space="preserve">he analysis in this report points to a need for </w:t>
            </w:r>
            <w:r>
              <w:rPr>
                <w:rFonts w:cs="Arial"/>
                <w:color w:val="auto"/>
                <w:szCs w:val="24"/>
              </w:rPr>
              <w:t>1,037</w:t>
            </w:r>
            <w:r w:rsidR="00F753E0" w:rsidRPr="00F753E0">
              <w:rPr>
                <w:rFonts w:cs="Arial"/>
                <w:color w:val="auto"/>
                <w:szCs w:val="24"/>
              </w:rPr>
              <w:t xml:space="preserve"> units of housing with support to 2038, and </w:t>
            </w:r>
            <w:r>
              <w:rPr>
                <w:rFonts w:cs="Arial"/>
                <w:color w:val="auto"/>
                <w:szCs w:val="24"/>
              </w:rPr>
              <w:t>507</w:t>
            </w:r>
            <w:r w:rsidR="00F753E0" w:rsidRPr="00F753E0">
              <w:rPr>
                <w:rFonts w:cs="Arial"/>
                <w:color w:val="auto"/>
                <w:szCs w:val="24"/>
              </w:rPr>
              <w:t xml:space="preserve"> units of housing with care.</w:t>
            </w:r>
            <w:r>
              <w:rPr>
                <w:rFonts w:cs="Arial"/>
                <w:color w:val="auto"/>
                <w:szCs w:val="24"/>
              </w:rPr>
              <w:t xml:space="preserve"> </w:t>
            </w:r>
            <w:r w:rsidR="00F753E0" w:rsidRPr="00F753E0">
              <w:rPr>
                <w:rFonts w:cs="Arial"/>
                <w:color w:val="auto"/>
                <w:szCs w:val="24"/>
              </w:rPr>
              <w:t xml:space="preserve">The report also identifies a need for </w:t>
            </w:r>
            <w:r>
              <w:rPr>
                <w:rFonts w:cs="Arial"/>
                <w:color w:val="auto"/>
                <w:szCs w:val="24"/>
              </w:rPr>
              <w:t>1,252</w:t>
            </w:r>
            <w:r w:rsidR="00F753E0" w:rsidRPr="00F753E0">
              <w:rPr>
                <w:rFonts w:cs="Arial"/>
                <w:color w:val="auto"/>
                <w:szCs w:val="24"/>
              </w:rPr>
              <w:t xml:space="preserve"> additional bed spaces (C2 Use class).</w:t>
            </w:r>
          </w:p>
          <w:p w14:paraId="19E8E281" w14:textId="77777777" w:rsidR="00F753E0" w:rsidRPr="00F753E0" w:rsidRDefault="00F753E0" w:rsidP="00F753E0">
            <w:pPr>
              <w:keepNext w:val="0"/>
              <w:spacing w:before="0"/>
              <w:rPr>
                <w:rFonts w:cs="Arial"/>
                <w:color w:val="auto"/>
                <w:szCs w:val="24"/>
                <w:u w:val="single"/>
              </w:rPr>
            </w:pPr>
          </w:p>
          <w:p w14:paraId="16463839" w14:textId="77777777" w:rsidR="00F753E0" w:rsidRPr="00F753E0" w:rsidRDefault="00F753E0" w:rsidP="00F753E0">
            <w:pPr>
              <w:keepNext w:val="0"/>
              <w:spacing w:before="0"/>
              <w:rPr>
                <w:rFonts w:cs="Arial"/>
                <w:color w:val="auto"/>
                <w:szCs w:val="24"/>
                <w:u w:val="single"/>
              </w:rPr>
            </w:pPr>
          </w:p>
        </w:tc>
        <w:tc>
          <w:tcPr>
            <w:tcW w:w="4819" w:type="dxa"/>
          </w:tcPr>
          <w:p w14:paraId="1EE78F84" w14:textId="2ADB3B6A" w:rsidR="00F753E0" w:rsidRPr="00F753E0" w:rsidRDefault="001A29F6" w:rsidP="00F753E0">
            <w:pPr>
              <w:keepNext w:val="0"/>
              <w:spacing w:before="0"/>
              <w:rPr>
                <w:rFonts w:cs="Arial"/>
                <w:color w:val="auto"/>
                <w:szCs w:val="24"/>
              </w:rPr>
            </w:pPr>
            <w:r>
              <w:rPr>
                <w:rFonts w:cs="Arial"/>
                <w:color w:val="auto"/>
                <w:szCs w:val="24"/>
              </w:rPr>
              <w:t>D</w:t>
            </w:r>
            <w:r w:rsidR="00F753E0" w:rsidRPr="00F753E0">
              <w:rPr>
                <w:rFonts w:cs="Arial"/>
                <w:color w:val="auto"/>
                <w:szCs w:val="24"/>
              </w:rPr>
              <w:t xml:space="preserve">raft policy </w:t>
            </w:r>
            <w:r>
              <w:rPr>
                <w:rFonts w:cs="Arial"/>
                <w:color w:val="auto"/>
                <w:szCs w:val="24"/>
              </w:rPr>
              <w:t xml:space="preserve">H6 </w:t>
            </w:r>
            <w:r w:rsidR="00F753E0" w:rsidRPr="00F753E0">
              <w:rPr>
                <w:rFonts w:cs="Arial"/>
                <w:color w:val="auto"/>
                <w:szCs w:val="24"/>
              </w:rPr>
              <w:t xml:space="preserve">has </w:t>
            </w:r>
            <w:r>
              <w:rPr>
                <w:rFonts w:cs="Arial"/>
                <w:color w:val="auto"/>
                <w:szCs w:val="24"/>
              </w:rPr>
              <w:t>does not</w:t>
            </w:r>
            <w:r w:rsidR="00F753E0" w:rsidRPr="00F753E0">
              <w:rPr>
                <w:rFonts w:cs="Arial"/>
                <w:color w:val="auto"/>
                <w:szCs w:val="24"/>
              </w:rPr>
              <w:t xml:space="preserve"> include any specific targets in relation to specialist accommodation for older people. </w:t>
            </w:r>
            <w:r>
              <w:rPr>
                <w:rFonts w:cs="Arial"/>
                <w:color w:val="auto"/>
                <w:szCs w:val="24"/>
              </w:rPr>
              <w:t>However, t</w:t>
            </w:r>
            <w:r w:rsidRPr="00F9165A">
              <w:rPr>
                <w:rFonts w:cs="Arial"/>
                <w:szCs w:val="24"/>
              </w:rPr>
              <w:t>he requirement for 10% adaptable dwellings on large sites will contribute towards future needs for specialist housing.</w:t>
            </w:r>
            <w:r w:rsidRPr="00F9165A">
              <w:rPr>
                <w:rFonts w:eastAsia="Arial" w:cs="Arial"/>
                <w:b/>
              </w:rPr>
              <w:t xml:space="preserve"> </w:t>
            </w:r>
            <w:r w:rsidRPr="00F9165A">
              <w:rPr>
                <w:rFonts w:eastAsia="Arial" w:cs="Arial"/>
              </w:rPr>
              <w:t xml:space="preserve">The Council will also </w:t>
            </w:r>
            <w:r w:rsidRPr="00F9165A">
              <w:rPr>
                <w:rFonts w:eastAsia="Arial" w:cs="Arial"/>
                <w:color w:val="auto"/>
              </w:rPr>
              <w:t xml:space="preserve">encourage </w:t>
            </w:r>
            <w:r w:rsidRPr="00F9165A">
              <w:rPr>
                <w:rFonts w:eastAsia="Arial" w:cs="Arial"/>
              </w:rPr>
              <w:t>proposals which include supported/</w:t>
            </w:r>
            <w:r w:rsidR="00922E01">
              <w:rPr>
                <w:rFonts w:eastAsia="Arial" w:cs="Arial"/>
              </w:rPr>
              <w:t xml:space="preserve"> </w:t>
            </w:r>
            <w:r w:rsidRPr="00F9165A">
              <w:rPr>
                <w:rFonts w:eastAsia="Arial" w:cs="Arial"/>
              </w:rPr>
              <w:t xml:space="preserve">specialist accommodation and residential institutions, where they are in suitable </w:t>
            </w:r>
            <w:r w:rsidRPr="00F9165A">
              <w:rPr>
                <w:rFonts w:eastAsia="Arial" w:cs="Arial"/>
                <w:color w:val="auto"/>
              </w:rPr>
              <w:t>locations</w:t>
            </w:r>
            <w:r w:rsidRPr="00F9165A">
              <w:rPr>
                <w:rFonts w:eastAsia="Arial" w:cs="Arial"/>
                <w:b/>
              </w:rPr>
              <w:t>.</w:t>
            </w:r>
            <w:r w:rsidR="00F753E0" w:rsidRPr="00F753E0">
              <w:rPr>
                <w:rFonts w:cs="Arial"/>
                <w:color w:val="auto"/>
                <w:szCs w:val="24"/>
              </w:rPr>
              <w:t xml:space="preserve"> </w:t>
            </w:r>
          </w:p>
          <w:p w14:paraId="34798642" w14:textId="77777777" w:rsidR="00F753E0" w:rsidRPr="00F753E0" w:rsidRDefault="00F753E0" w:rsidP="00F753E0">
            <w:pPr>
              <w:keepNext w:val="0"/>
              <w:spacing w:before="0"/>
              <w:rPr>
                <w:rFonts w:cs="Arial"/>
                <w:color w:val="auto"/>
                <w:szCs w:val="24"/>
              </w:rPr>
            </w:pPr>
          </w:p>
        </w:tc>
      </w:tr>
    </w:tbl>
    <w:p w14:paraId="359AE326" w14:textId="327FAA8E" w:rsidR="00CC7F22" w:rsidRDefault="00CC7F22" w:rsidP="00F753E0">
      <w:pPr>
        <w:keepNext w:val="0"/>
        <w:spacing w:before="0"/>
        <w:ind w:left="720"/>
        <w:rPr>
          <w:rFonts w:cs="Arial"/>
          <w:color w:val="auto"/>
          <w:szCs w:val="24"/>
        </w:rPr>
      </w:pPr>
    </w:p>
    <w:p w14:paraId="66BEDB2E" w14:textId="77777777" w:rsidR="00CC7F22" w:rsidRDefault="00CC7F22">
      <w:pPr>
        <w:keepNext w:val="0"/>
        <w:spacing w:before="0"/>
        <w:rPr>
          <w:rFonts w:cs="Arial"/>
          <w:color w:val="auto"/>
          <w:szCs w:val="24"/>
        </w:rPr>
      </w:pPr>
      <w:r>
        <w:rPr>
          <w:rFonts w:cs="Arial"/>
          <w:color w:val="auto"/>
          <w:szCs w:val="24"/>
        </w:rPr>
        <w:br w:type="page"/>
      </w:r>
    </w:p>
    <w:p w14:paraId="31BCC934" w14:textId="388C1C61" w:rsidR="00F753E0" w:rsidRDefault="00CC7F22" w:rsidP="006C2D86">
      <w:pPr>
        <w:pStyle w:val="Heading4"/>
        <w:numPr>
          <w:ilvl w:val="0"/>
          <w:numId w:val="9"/>
        </w:numPr>
        <w:ind w:left="426" w:hanging="426"/>
      </w:pPr>
      <w:r>
        <w:lastRenderedPageBreak/>
        <w:t xml:space="preserve">Gypsy, Traveller and Travelling </w:t>
      </w:r>
      <w:proofErr w:type="spellStart"/>
      <w:r>
        <w:t>Showpe</w:t>
      </w:r>
      <w:r w:rsidR="006C2D86">
        <w:t>ople’s</w:t>
      </w:r>
      <w:proofErr w:type="spellEnd"/>
      <w:r w:rsidR="006C2D86">
        <w:t xml:space="preserve"> Accommodation</w:t>
      </w:r>
    </w:p>
    <w:p w14:paraId="722996A4" w14:textId="408516E0" w:rsidR="00B428ED" w:rsidRDefault="00B428ED" w:rsidP="005C255F">
      <w:pPr>
        <w:spacing w:before="0"/>
      </w:pPr>
    </w:p>
    <w:p w14:paraId="4E6CCE42" w14:textId="4A19392F" w:rsidR="006C2D86" w:rsidRPr="00B3436D" w:rsidRDefault="00B428ED" w:rsidP="005C255F">
      <w:pPr>
        <w:pStyle w:val="ListParagraph"/>
        <w:numPr>
          <w:ilvl w:val="1"/>
          <w:numId w:val="9"/>
        </w:numPr>
        <w:spacing w:after="0"/>
        <w:ind w:left="567" w:hanging="567"/>
        <w:rPr>
          <w:rFonts w:ascii="Arial" w:eastAsia="Calibri" w:hAnsi="Arial" w:cs="Arial"/>
        </w:rPr>
      </w:pPr>
      <w:r w:rsidRPr="00B3436D">
        <w:rPr>
          <w:rFonts w:ascii="Arial" w:eastAsia="Calibri" w:hAnsi="Arial" w:cs="Arial"/>
        </w:rPr>
        <w:t>The Government’s Planning Policy for Traveller Sites (2015) states that local planning authorities should set pitch targets for Gypsies and Travellers and plot targets for Travelling Showpeople which address the likely permanent and transit site accommodation needs of travellers in their area. Where there is no identified need, criteria-based policies should be included to provide a basis for decisions in case applications nevertheless come forward.</w:t>
      </w:r>
    </w:p>
    <w:p w14:paraId="3F3EB000" w14:textId="77777777" w:rsidR="00D959F8" w:rsidRPr="00B3436D" w:rsidRDefault="00D959F8" w:rsidP="005C255F">
      <w:pPr>
        <w:pStyle w:val="ListParagraph"/>
        <w:spacing w:after="0"/>
        <w:ind w:left="567"/>
        <w:rPr>
          <w:rFonts w:ascii="Arial" w:eastAsia="Calibri" w:hAnsi="Arial" w:cs="Arial"/>
        </w:rPr>
      </w:pPr>
    </w:p>
    <w:p w14:paraId="27B668EF" w14:textId="00AAD87B" w:rsidR="00B3436D" w:rsidRPr="00B3436D" w:rsidRDefault="000D7D0F" w:rsidP="005C255F">
      <w:pPr>
        <w:pStyle w:val="ListParagraph"/>
        <w:numPr>
          <w:ilvl w:val="1"/>
          <w:numId w:val="9"/>
        </w:numPr>
        <w:spacing w:after="0"/>
        <w:ind w:left="567" w:hanging="567"/>
        <w:rPr>
          <w:rFonts w:ascii="Arial" w:hAnsi="Arial" w:cs="Arial"/>
          <w:color w:val="auto"/>
          <w:sz w:val="22"/>
        </w:rPr>
      </w:pPr>
      <w:r w:rsidRPr="00B3436D">
        <w:rPr>
          <w:rFonts w:ascii="Arial" w:eastAsia="Calibri" w:hAnsi="Arial" w:cs="Arial"/>
        </w:rPr>
        <w:t>In line</w:t>
      </w:r>
      <w:r w:rsidRPr="00B3436D">
        <w:rPr>
          <w:rFonts w:ascii="Arial" w:hAnsi="Arial" w:cs="Arial"/>
        </w:rPr>
        <w:t xml:space="preserve"> with the requirement to review </w:t>
      </w:r>
      <w:r w:rsidR="007C11F6" w:rsidRPr="00B3436D">
        <w:rPr>
          <w:rFonts w:ascii="Arial" w:hAnsi="Arial" w:cs="Arial"/>
        </w:rPr>
        <w:t>T</w:t>
      </w:r>
      <w:r w:rsidRPr="00B3436D">
        <w:rPr>
          <w:rFonts w:ascii="Arial" w:hAnsi="Arial" w:cs="Arial"/>
        </w:rPr>
        <w:t xml:space="preserve">raveller </w:t>
      </w:r>
      <w:r w:rsidR="00610B2B" w:rsidRPr="00B3436D">
        <w:rPr>
          <w:rFonts w:ascii="Arial" w:hAnsi="Arial" w:cs="Arial"/>
        </w:rPr>
        <w:t xml:space="preserve">accommodation </w:t>
      </w:r>
      <w:r w:rsidRPr="00B3436D">
        <w:rPr>
          <w:rFonts w:ascii="Arial" w:hAnsi="Arial" w:cs="Arial"/>
        </w:rPr>
        <w:t>need</w:t>
      </w:r>
      <w:r w:rsidR="00610B2B" w:rsidRPr="00B3436D">
        <w:rPr>
          <w:rFonts w:ascii="Arial" w:hAnsi="Arial" w:cs="Arial"/>
        </w:rPr>
        <w:t>, the</w:t>
      </w:r>
      <w:r w:rsidRPr="00B3436D">
        <w:rPr>
          <w:rFonts w:ascii="Arial" w:hAnsi="Arial" w:cs="Arial"/>
        </w:rPr>
        <w:t xml:space="preserve"> Greater Nottingham </w:t>
      </w:r>
      <w:r w:rsidR="00561BED" w:rsidRPr="00B3436D">
        <w:rPr>
          <w:rFonts w:ascii="Arial" w:hAnsi="Arial" w:cs="Arial"/>
        </w:rPr>
        <w:t xml:space="preserve">and Ashfield District </w:t>
      </w:r>
      <w:r w:rsidRPr="00B3436D">
        <w:rPr>
          <w:rFonts w:ascii="Arial" w:hAnsi="Arial" w:cs="Arial"/>
        </w:rPr>
        <w:t xml:space="preserve">Gypsy and Traveller </w:t>
      </w:r>
      <w:r w:rsidR="00561BED" w:rsidRPr="00B3436D">
        <w:rPr>
          <w:rFonts w:ascii="Arial" w:hAnsi="Arial" w:cs="Arial"/>
        </w:rPr>
        <w:t>Accommodation Assessment</w:t>
      </w:r>
      <w:r w:rsidR="00D959F8" w:rsidRPr="00B3436D">
        <w:rPr>
          <w:rStyle w:val="FootnoteReference"/>
          <w:rFonts w:ascii="Arial" w:hAnsi="Arial" w:cs="Arial"/>
        </w:rPr>
        <w:footnoteReference w:id="14"/>
      </w:r>
      <w:r w:rsidR="00561BED" w:rsidRPr="00B3436D">
        <w:rPr>
          <w:rFonts w:ascii="Arial" w:hAnsi="Arial" w:cs="Arial"/>
        </w:rPr>
        <w:t xml:space="preserve"> </w:t>
      </w:r>
      <w:r w:rsidRPr="00B3436D">
        <w:rPr>
          <w:rFonts w:ascii="Arial" w:hAnsi="Arial" w:cs="Arial"/>
        </w:rPr>
        <w:t xml:space="preserve"> </w:t>
      </w:r>
      <w:r w:rsidR="00561BED" w:rsidRPr="00B3436D">
        <w:rPr>
          <w:rFonts w:ascii="Arial" w:hAnsi="Arial" w:cs="Arial"/>
        </w:rPr>
        <w:t xml:space="preserve">(GTAA) </w:t>
      </w:r>
      <w:r w:rsidRPr="00B3436D">
        <w:rPr>
          <w:rFonts w:ascii="Arial" w:hAnsi="Arial" w:cs="Arial"/>
        </w:rPr>
        <w:t>was commissioned in 2020 and completed by RRR consultancy in 2021</w:t>
      </w:r>
      <w:r w:rsidR="00561BED" w:rsidRPr="00B3436D">
        <w:rPr>
          <w:rFonts w:ascii="Arial" w:hAnsi="Arial" w:cs="Arial"/>
        </w:rPr>
        <w:t>.</w:t>
      </w:r>
      <w:r w:rsidRPr="00B3436D">
        <w:rPr>
          <w:rFonts w:ascii="Arial" w:hAnsi="Arial" w:cs="Arial"/>
        </w:rPr>
        <w:t xml:space="preserve"> </w:t>
      </w:r>
      <w:r w:rsidR="00561BED" w:rsidRPr="00B3436D">
        <w:rPr>
          <w:rFonts w:ascii="Arial" w:hAnsi="Arial" w:cs="Arial"/>
        </w:rPr>
        <w:t>I</w:t>
      </w:r>
      <w:r w:rsidRPr="00B3436D">
        <w:rPr>
          <w:rFonts w:ascii="Arial" w:hAnsi="Arial" w:cs="Arial"/>
        </w:rPr>
        <w:t>t assessed the accommodation need</w:t>
      </w:r>
      <w:r w:rsidR="00561BED" w:rsidRPr="00B3436D">
        <w:rPr>
          <w:rFonts w:ascii="Arial" w:hAnsi="Arial" w:cs="Arial"/>
        </w:rPr>
        <w:t>s</w:t>
      </w:r>
      <w:r w:rsidRPr="00B3436D">
        <w:rPr>
          <w:rFonts w:ascii="Arial" w:hAnsi="Arial" w:cs="Arial"/>
        </w:rPr>
        <w:t xml:space="preserve"> of Gypsies, Travellers, </w:t>
      </w:r>
      <w:r w:rsidR="00561BED" w:rsidRPr="00B3436D">
        <w:rPr>
          <w:rFonts w:ascii="Arial" w:hAnsi="Arial" w:cs="Arial"/>
        </w:rPr>
        <w:t xml:space="preserve">Travelling </w:t>
      </w:r>
      <w:r w:rsidRPr="00B3436D">
        <w:rPr>
          <w:rFonts w:ascii="Arial" w:hAnsi="Arial" w:cs="Arial"/>
        </w:rPr>
        <w:t>Showpeople and boat dwellers</w:t>
      </w:r>
      <w:r w:rsidR="00561BED" w:rsidRPr="00B3436D">
        <w:rPr>
          <w:rFonts w:ascii="Arial" w:hAnsi="Arial" w:cs="Arial"/>
        </w:rPr>
        <w:t>, including</w:t>
      </w:r>
      <w:r w:rsidR="00E24F78">
        <w:rPr>
          <w:rFonts w:ascii="Arial" w:hAnsi="Arial" w:cs="Arial"/>
        </w:rPr>
        <w:t>:</w:t>
      </w:r>
    </w:p>
    <w:p w14:paraId="1E3E0272" w14:textId="597E040C" w:rsidR="000D7D0F" w:rsidRPr="00561BED" w:rsidRDefault="00561BED" w:rsidP="005C255F">
      <w:pPr>
        <w:pStyle w:val="ListParagraph"/>
        <w:numPr>
          <w:ilvl w:val="0"/>
          <w:numId w:val="16"/>
        </w:numPr>
        <w:spacing w:after="0" w:line="300" w:lineRule="auto"/>
        <w:ind w:left="1134" w:hanging="567"/>
        <w:contextualSpacing w:val="0"/>
        <w:rPr>
          <w:rFonts w:ascii="Arial" w:hAnsi="Arial" w:cs="Arial"/>
        </w:rPr>
      </w:pPr>
      <w:r w:rsidRPr="00561BED">
        <w:rPr>
          <w:rFonts w:ascii="Arial" w:hAnsi="Arial" w:cs="Arial"/>
        </w:rPr>
        <w:t xml:space="preserve">A review of </w:t>
      </w:r>
      <w:r w:rsidR="000D7D0F" w:rsidRPr="00561BED">
        <w:rPr>
          <w:rFonts w:ascii="Arial" w:hAnsi="Arial" w:cs="Arial"/>
        </w:rPr>
        <w:t>national and local planning policies</w:t>
      </w:r>
      <w:r w:rsidRPr="00561BED">
        <w:rPr>
          <w:rFonts w:ascii="Arial" w:hAnsi="Arial" w:cs="Arial"/>
        </w:rPr>
        <w:t>,</w:t>
      </w:r>
      <w:r w:rsidR="000D7D0F" w:rsidRPr="00561BED">
        <w:rPr>
          <w:rFonts w:ascii="Arial" w:hAnsi="Arial" w:cs="Arial"/>
        </w:rPr>
        <w:t xml:space="preserve"> recently undertaken GTAAs, and </w:t>
      </w:r>
      <w:r w:rsidRPr="00561BED">
        <w:rPr>
          <w:rFonts w:ascii="Arial" w:hAnsi="Arial" w:cs="Arial"/>
        </w:rPr>
        <w:t xml:space="preserve">an </w:t>
      </w:r>
      <w:r w:rsidR="000D7D0F" w:rsidRPr="00561BED">
        <w:rPr>
          <w:rFonts w:ascii="Arial" w:hAnsi="Arial" w:cs="Arial"/>
        </w:rPr>
        <w:t>analys</w:t>
      </w:r>
      <w:r w:rsidRPr="00561BED">
        <w:rPr>
          <w:rFonts w:ascii="Arial" w:hAnsi="Arial" w:cs="Arial"/>
        </w:rPr>
        <w:t>is of</w:t>
      </w:r>
      <w:r w:rsidR="000D7D0F" w:rsidRPr="00561BED">
        <w:rPr>
          <w:rFonts w:ascii="Arial" w:hAnsi="Arial" w:cs="Arial"/>
        </w:rPr>
        <w:t xml:space="preserve"> secondary data. </w:t>
      </w:r>
    </w:p>
    <w:p w14:paraId="34382873" w14:textId="6A93FB36" w:rsidR="000D7D0F" w:rsidRPr="00561BED" w:rsidRDefault="00561BED" w:rsidP="005C255F">
      <w:pPr>
        <w:pStyle w:val="ListParagraph"/>
        <w:numPr>
          <w:ilvl w:val="0"/>
          <w:numId w:val="16"/>
        </w:numPr>
        <w:spacing w:after="0" w:line="300" w:lineRule="auto"/>
        <w:ind w:left="1134" w:hanging="567"/>
        <w:contextualSpacing w:val="0"/>
        <w:rPr>
          <w:rFonts w:ascii="Arial" w:hAnsi="Arial" w:cs="Arial"/>
        </w:rPr>
      </w:pPr>
      <w:r>
        <w:rPr>
          <w:rFonts w:ascii="Arial" w:hAnsi="Arial" w:cs="Arial"/>
        </w:rPr>
        <w:t>A</w:t>
      </w:r>
      <w:r w:rsidR="000D7D0F">
        <w:rPr>
          <w:rFonts w:ascii="Arial" w:hAnsi="Arial" w:cs="Arial"/>
        </w:rPr>
        <w:t xml:space="preserve">n online survey, </w:t>
      </w:r>
      <w:r>
        <w:rPr>
          <w:rFonts w:ascii="Arial" w:hAnsi="Arial" w:cs="Arial"/>
        </w:rPr>
        <w:t xml:space="preserve">and </w:t>
      </w:r>
      <w:r w:rsidRPr="00561BED">
        <w:rPr>
          <w:rFonts w:ascii="Arial" w:hAnsi="Arial" w:cs="Arial"/>
        </w:rPr>
        <w:t>e</w:t>
      </w:r>
      <w:r w:rsidR="000D7D0F" w:rsidRPr="00561BED">
        <w:rPr>
          <w:rFonts w:ascii="Arial" w:hAnsi="Arial" w:cs="Arial"/>
        </w:rPr>
        <w:t>xtensive face-to-face and telephone surveys of Gypsies, Travellers and Travelling Showpeople, covering a range of issues related to accommodation and service needs. RRR achieved a 90% survey rate.</w:t>
      </w:r>
    </w:p>
    <w:p w14:paraId="24DFD84B" w14:textId="77777777" w:rsidR="0033742D" w:rsidRDefault="0033742D" w:rsidP="005C255F">
      <w:pPr>
        <w:spacing w:before="0"/>
        <w:rPr>
          <w:rFonts w:cs="Arial"/>
        </w:rPr>
      </w:pPr>
    </w:p>
    <w:p w14:paraId="62DB14C9" w14:textId="53BE2463" w:rsidR="00B3436D" w:rsidRDefault="000D7D0F" w:rsidP="008C5945">
      <w:pPr>
        <w:pStyle w:val="ListParagraph"/>
        <w:numPr>
          <w:ilvl w:val="1"/>
          <w:numId w:val="9"/>
        </w:numPr>
        <w:spacing w:after="0"/>
        <w:ind w:left="567" w:hanging="567"/>
        <w:rPr>
          <w:rFonts w:ascii="Arial" w:hAnsi="Arial" w:cs="Arial"/>
        </w:rPr>
      </w:pPr>
      <w:r w:rsidRPr="00A20438">
        <w:rPr>
          <w:rFonts w:ascii="Arial" w:hAnsi="Arial" w:cs="Arial"/>
        </w:rPr>
        <w:t xml:space="preserve">The study used 3 different approaches to establishing need. First, one based on the ethnic identity definition; second, based on the needs of families who have </w:t>
      </w:r>
      <w:r w:rsidRPr="00A20438">
        <w:rPr>
          <w:rFonts w:ascii="Arial" w:hAnsi="Arial" w:cs="Arial"/>
          <w:i/>
          <w:iCs/>
        </w:rPr>
        <w:t xml:space="preserve">not </w:t>
      </w:r>
      <w:r w:rsidRPr="00A20438">
        <w:rPr>
          <w:rFonts w:ascii="Arial" w:hAnsi="Arial" w:cs="Arial"/>
        </w:rPr>
        <w:t>permanently ceased to travel (</w:t>
      </w:r>
      <w:r w:rsidR="00D3075C" w:rsidRPr="00A20438">
        <w:rPr>
          <w:rFonts w:cs="Arial"/>
        </w:rPr>
        <w:t>i.e.,</w:t>
      </w:r>
      <w:r w:rsidRPr="00A20438">
        <w:rPr>
          <w:rFonts w:ascii="Arial" w:hAnsi="Arial" w:cs="Arial"/>
        </w:rPr>
        <w:t xml:space="preserve"> based on the PPTS 2015 definition); and third, based on the ‘travel to work’ interpretation of PPTS 2015. PPTS requires travellers to demonstrate that they have not ceased to travel in order to be defined as such. </w:t>
      </w:r>
      <w:r w:rsidR="00A20438" w:rsidRPr="00A20438">
        <w:rPr>
          <w:rFonts w:ascii="Arial" w:hAnsi="Arial" w:cs="Arial"/>
        </w:rPr>
        <w:t xml:space="preserve">The study </w:t>
      </w:r>
      <w:r w:rsidRPr="00A20438">
        <w:rPr>
          <w:rFonts w:ascii="Arial" w:hAnsi="Arial" w:cs="Arial"/>
        </w:rPr>
        <w:t xml:space="preserve">recommended </w:t>
      </w:r>
      <w:r w:rsidR="00A20438" w:rsidRPr="00A20438">
        <w:rPr>
          <w:rFonts w:ascii="Arial" w:hAnsi="Arial" w:cs="Arial"/>
        </w:rPr>
        <w:t xml:space="preserve">that the local authorities’ Local Plans seek to meet the PPTS need (as required) with ‘ethnic’ need (potential need) covered by a criteria-based policy. </w:t>
      </w:r>
    </w:p>
    <w:p w14:paraId="0DF59D4B" w14:textId="77777777" w:rsidR="00A20438" w:rsidRPr="00A20438" w:rsidRDefault="00A20438" w:rsidP="00A20438">
      <w:pPr>
        <w:pStyle w:val="ListParagraph"/>
        <w:spacing w:after="0"/>
        <w:ind w:left="567"/>
        <w:rPr>
          <w:rFonts w:ascii="Arial" w:hAnsi="Arial" w:cs="Arial"/>
        </w:rPr>
      </w:pPr>
    </w:p>
    <w:p w14:paraId="700185DE" w14:textId="098080AB" w:rsidR="00C65840" w:rsidRDefault="00D959F8" w:rsidP="00F3177F">
      <w:pPr>
        <w:pStyle w:val="ListParagraph"/>
        <w:numPr>
          <w:ilvl w:val="1"/>
          <w:numId w:val="9"/>
        </w:numPr>
        <w:spacing w:after="0"/>
        <w:ind w:left="567" w:hanging="567"/>
        <w:rPr>
          <w:rFonts w:ascii="Arial" w:hAnsi="Arial" w:cs="Arial"/>
          <w:color w:val="auto"/>
        </w:rPr>
      </w:pPr>
      <w:r w:rsidRPr="00F3177F">
        <w:rPr>
          <w:rFonts w:ascii="Arial" w:hAnsi="Arial" w:cs="Arial"/>
          <w:color w:val="auto"/>
        </w:rPr>
        <w:t xml:space="preserve">The GTAA sets out the level of future need for the District for the period 2020 to 2038 as illustrated in Table </w:t>
      </w:r>
      <w:r w:rsidR="005C255F" w:rsidRPr="00F3177F">
        <w:rPr>
          <w:rFonts w:ascii="Arial" w:hAnsi="Arial" w:cs="Arial"/>
          <w:color w:val="auto"/>
        </w:rPr>
        <w:t>9</w:t>
      </w:r>
      <w:r w:rsidRPr="00F3177F">
        <w:rPr>
          <w:rFonts w:ascii="Arial" w:hAnsi="Arial" w:cs="Arial"/>
          <w:color w:val="auto"/>
        </w:rPr>
        <w:t xml:space="preserve">. </w:t>
      </w:r>
      <w:r w:rsidR="00A20438" w:rsidRPr="00F3177F">
        <w:rPr>
          <w:rFonts w:ascii="Arial" w:hAnsi="Arial" w:cs="Arial"/>
          <w:color w:val="auto"/>
        </w:rPr>
        <w:t xml:space="preserve">In respect of Gypsy/Traveller pitches, </w:t>
      </w:r>
      <w:r w:rsidR="00C65840">
        <w:rPr>
          <w:rFonts w:ascii="Arial" w:hAnsi="Arial" w:cs="Arial"/>
          <w:color w:val="auto"/>
        </w:rPr>
        <w:t xml:space="preserve">the </w:t>
      </w:r>
      <w:r w:rsidR="00C65840">
        <w:rPr>
          <w:rFonts w:ascii="Arial" w:hAnsi="Arial" w:cs="Arial"/>
        </w:rPr>
        <w:t xml:space="preserve">PPTS requires travellers to demonstrate that they have not ceased to travel in order to be defined as such. </w:t>
      </w:r>
      <w:r w:rsidR="00E24F78">
        <w:rPr>
          <w:rFonts w:ascii="Arial" w:hAnsi="Arial" w:cs="Arial"/>
        </w:rPr>
        <w:t xml:space="preserve">However, </w:t>
      </w:r>
      <w:r w:rsidR="00BB4F37">
        <w:rPr>
          <w:rFonts w:ascii="Arial" w:hAnsi="Arial" w:cs="Arial"/>
        </w:rPr>
        <w:t>due to</w:t>
      </w:r>
      <w:r w:rsidR="00C65840">
        <w:rPr>
          <w:rFonts w:ascii="Arial" w:hAnsi="Arial" w:cs="Arial"/>
        </w:rPr>
        <w:t xml:space="preserve"> the ‘ambiguity’ around demonstrating this and various court challenges to it,</w:t>
      </w:r>
      <w:r w:rsidR="00C65840" w:rsidRPr="00F3177F">
        <w:rPr>
          <w:rFonts w:ascii="Arial" w:hAnsi="Arial" w:cs="Arial"/>
          <w:color w:val="auto"/>
        </w:rPr>
        <w:t xml:space="preserve"> </w:t>
      </w:r>
      <w:r w:rsidR="00A20438" w:rsidRPr="00F3177F">
        <w:rPr>
          <w:rFonts w:ascii="Arial" w:hAnsi="Arial" w:cs="Arial"/>
          <w:color w:val="auto"/>
        </w:rPr>
        <w:t xml:space="preserve">the Council have </w:t>
      </w:r>
      <w:r w:rsidR="00E24F78">
        <w:rPr>
          <w:rFonts w:ascii="Arial" w:hAnsi="Arial" w:cs="Arial"/>
          <w:color w:val="auto"/>
        </w:rPr>
        <w:t xml:space="preserve">taken the decision to </w:t>
      </w:r>
      <w:r w:rsidR="00A20438" w:rsidRPr="00F3177F">
        <w:rPr>
          <w:rFonts w:ascii="Arial" w:hAnsi="Arial" w:cs="Arial"/>
          <w:color w:val="auto"/>
        </w:rPr>
        <w:t>use the higher level of assessed need based on the ‘ethnic definition’, as opposed to the Traveller definition set out in national policy Planning Policy for Traveller Sites.</w:t>
      </w:r>
    </w:p>
    <w:p w14:paraId="05798632" w14:textId="77777777" w:rsidR="00C65840" w:rsidRPr="00C65840" w:rsidRDefault="00C65840" w:rsidP="00C65840">
      <w:pPr>
        <w:pStyle w:val="ListParagraph"/>
        <w:rPr>
          <w:rFonts w:ascii="Arial" w:hAnsi="Arial" w:cs="Arial"/>
          <w:color w:val="auto"/>
        </w:rPr>
      </w:pPr>
    </w:p>
    <w:p w14:paraId="61B189E0" w14:textId="13D7D9F6" w:rsidR="00A20438" w:rsidRPr="00F3177F" w:rsidRDefault="00A20438" w:rsidP="00F3177F">
      <w:pPr>
        <w:pStyle w:val="ListParagraph"/>
        <w:numPr>
          <w:ilvl w:val="1"/>
          <w:numId w:val="9"/>
        </w:numPr>
        <w:spacing w:after="0"/>
        <w:ind w:left="567" w:hanging="567"/>
        <w:rPr>
          <w:rFonts w:ascii="Arial" w:hAnsi="Arial" w:cs="Arial"/>
          <w:color w:val="auto"/>
        </w:rPr>
      </w:pPr>
      <w:r w:rsidRPr="00F3177F">
        <w:rPr>
          <w:rFonts w:ascii="Arial" w:hAnsi="Arial" w:cs="Arial"/>
          <w:color w:val="auto"/>
        </w:rPr>
        <w:t xml:space="preserve">It is acknowledged that there is a slight mismatch in the evidence base timeframe, i.e., for the period 2020-2038, rather than </w:t>
      </w:r>
      <w:r w:rsidR="00F3177F">
        <w:rPr>
          <w:rFonts w:ascii="Arial" w:hAnsi="Arial" w:cs="Arial"/>
          <w:color w:val="auto"/>
        </w:rPr>
        <w:t xml:space="preserve">the Local Plan period of </w:t>
      </w:r>
      <w:r w:rsidRPr="00F3177F">
        <w:rPr>
          <w:rFonts w:ascii="Arial" w:hAnsi="Arial" w:cs="Arial"/>
          <w:color w:val="auto"/>
        </w:rPr>
        <w:t xml:space="preserve">2023-2040. </w:t>
      </w:r>
      <w:r w:rsidRPr="00F3177F">
        <w:rPr>
          <w:rFonts w:ascii="Arial" w:hAnsi="Arial" w:cs="Arial"/>
          <w:color w:val="auto"/>
        </w:rPr>
        <w:lastRenderedPageBreak/>
        <w:t xml:space="preserve">However, since the quantum of assessed need is minimal it is considered appropriate that any additional need will be addressed using </w:t>
      </w:r>
      <w:r w:rsidR="00F3177F" w:rsidRPr="00F3177F">
        <w:rPr>
          <w:rFonts w:ascii="Arial" w:hAnsi="Arial" w:cs="Arial"/>
          <w:color w:val="auto"/>
        </w:rPr>
        <w:t>criteria-based</w:t>
      </w:r>
      <w:r w:rsidRPr="00F3177F">
        <w:rPr>
          <w:rFonts w:ascii="Arial" w:hAnsi="Arial" w:cs="Arial"/>
          <w:color w:val="auto"/>
        </w:rPr>
        <w:t xml:space="preserve"> policy H2 alongside site allocations within policy H2a.</w:t>
      </w:r>
    </w:p>
    <w:p w14:paraId="72F5A688" w14:textId="73032F9D" w:rsidR="00D959F8" w:rsidRPr="00A20438" w:rsidRDefault="00D959F8" w:rsidP="00F3177F">
      <w:pPr>
        <w:pStyle w:val="ListParagraph"/>
        <w:spacing w:after="0"/>
        <w:ind w:left="567"/>
        <w:rPr>
          <w:rFonts w:ascii="Arial" w:hAnsi="Arial" w:cs="Arial"/>
        </w:rPr>
      </w:pPr>
    </w:p>
    <w:p w14:paraId="635422A0" w14:textId="19A2E8BE" w:rsidR="00D959F8" w:rsidRPr="00B3436D" w:rsidRDefault="00D959F8" w:rsidP="005C255F">
      <w:pPr>
        <w:pStyle w:val="ListParagraph"/>
        <w:numPr>
          <w:ilvl w:val="1"/>
          <w:numId w:val="9"/>
        </w:numPr>
        <w:spacing w:after="0"/>
        <w:ind w:left="567" w:hanging="567"/>
        <w:rPr>
          <w:rFonts w:ascii="Arial" w:hAnsi="Arial" w:cs="Arial"/>
        </w:rPr>
      </w:pPr>
      <w:r w:rsidRPr="00B3436D">
        <w:rPr>
          <w:rFonts w:ascii="Arial" w:hAnsi="Arial" w:cs="Arial"/>
        </w:rPr>
        <w:t>The provision of Traveller sites will be monitored in future Housing Land Monitoring Reports on an annual basis.</w:t>
      </w:r>
    </w:p>
    <w:p w14:paraId="6E874D7F" w14:textId="5106D16B" w:rsidR="00D959F8" w:rsidRDefault="00D959F8" w:rsidP="005C255F">
      <w:pPr>
        <w:keepNext w:val="0"/>
        <w:spacing w:before="0"/>
      </w:pPr>
    </w:p>
    <w:p w14:paraId="1208E653" w14:textId="0E04A198" w:rsidR="00F753E0" w:rsidRDefault="00D959F8" w:rsidP="00D959F8">
      <w:pPr>
        <w:rPr>
          <w:rFonts w:cs="Arial"/>
          <w:b/>
          <w:szCs w:val="24"/>
        </w:rPr>
      </w:pPr>
      <w:r w:rsidRPr="009B4089">
        <w:rPr>
          <w:rFonts w:cs="Arial"/>
          <w:b/>
          <w:szCs w:val="24"/>
        </w:rPr>
        <w:t xml:space="preserve">Table </w:t>
      </w:r>
      <w:r w:rsidR="005C255F">
        <w:rPr>
          <w:rFonts w:cs="Arial"/>
          <w:b/>
          <w:szCs w:val="24"/>
        </w:rPr>
        <w:t>9</w:t>
      </w:r>
      <w:r w:rsidRPr="009B4089">
        <w:rPr>
          <w:rFonts w:cs="Arial"/>
          <w:b/>
          <w:szCs w:val="24"/>
        </w:rPr>
        <w:t>:</w:t>
      </w:r>
      <w:r w:rsidRPr="003C7E62">
        <w:rPr>
          <w:rFonts w:cs="Arial"/>
          <w:b/>
          <w:szCs w:val="24"/>
        </w:rPr>
        <w:t xml:space="preserve"> Ashfield Future Pitch/Plot Requirements 2020 to 2038</w:t>
      </w:r>
    </w:p>
    <w:p w14:paraId="73167B06" w14:textId="407A7A55" w:rsidR="00D959F8" w:rsidRDefault="00D959F8" w:rsidP="00D959F8">
      <w:pPr>
        <w:rPr>
          <w:rFonts w:cs="Arial"/>
          <w:b/>
          <w:szCs w:val="24"/>
        </w:rPr>
      </w:pPr>
    </w:p>
    <w:tbl>
      <w:tblPr>
        <w:tblStyle w:val="ReportTable1"/>
        <w:tblW w:w="9634" w:type="dxa"/>
        <w:tblLook w:val="04A0" w:firstRow="1" w:lastRow="0" w:firstColumn="1" w:lastColumn="0" w:noHBand="0" w:noVBand="1"/>
      </w:tblPr>
      <w:tblGrid>
        <w:gridCol w:w="1838"/>
        <w:gridCol w:w="2217"/>
        <w:gridCol w:w="1897"/>
        <w:gridCol w:w="1971"/>
        <w:gridCol w:w="1711"/>
      </w:tblGrid>
      <w:tr w:rsidR="00A20438" w:rsidRPr="003C7E62" w14:paraId="5487C280" w14:textId="0D1B4226" w:rsidTr="00A20438">
        <w:trPr>
          <w:trHeight w:val="519"/>
        </w:trPr>
        <w:tc>
          <w:tcPr>
            <w:tcW w:w="1838" w:type="dxa"/>
            <w:shd w:val="clear" w:color="auto" w:fill="D9D9D9"/>
          </w:tcPr>
          <w:p w14:paraId="41581F5F" w14:textId="77777777" w:rsidR="00A20438" w:rsidRPr="00A20438" w:rsidRDefault="00A20438" w:rsidP="00A20438">
            <w:pPr>
              <w:contextualSpacing/>
              <w:rPr>
                <w:rFonts w:cs="Arial"/>
                <w:bCs/>
                <w:szCs w:val="24"/>
              </w:rPr>
            </w:pPr>
            <w:r w:rsidRPr="00A20438">
              <w:rPr>
                <w:rFonts w:cs="Arial"/>
                <w:bCs/>
                <w:szCs w:val="24"/>
              </w:rPr>
              <w:t>Period</w:t>
            </w:r>
          </w:p>
        </w:tc>
        <w:tc>
          <w:tcPr>
            <w:tcW w:w="2217" w:type="dxa"/>
            <w:shd w:val="clear" w:color="auto" w:fill="D9D9D9"/>
          </w:tcPr>
          <w:p w14:paraId="2BA918B3" w14:textId="77777777" w:rsidR="00A20438" w:rsidRDefault="00A20438" w:rsidP="00A20438">
            <w:pPr>
              <w:contextualSpacing/>
              <w:jc w:val="center"/>
              <w:rPr>
                <w:rFonts w:cs="Arial"/>
                <w:bCs/>
                <w:szCs w:val="24"/>
              </w:rPr>
            </w:pPr>
            <w:r w:rsidRPr="00A20438">
              <w:rPr>
                <w:rFonts w:cs="Arial"/>
                <w:bCs/>
                <w:szCs w:val="24"/>
              </w:rPr>
              <w:t>Gypsy/Traveller Pitches</w:t>
            </w:r>
          </w:p>
          <w:p w14:paraId="6CB84E69" w14:textId="0D1B0878" w:rsidR="00A20438" w:rsidRPr="00A20438" w:rsidRDefault="00A20438" w:rsidP="00A20438">
            <w:pPr>
              <w:contextualSpacing/>
              <w:jc w:val="center"/>
              <w:rPr>
                <w:rFonts w:cs="Arial"/>
                <w:bCs/>
                <w:szCs w:val="24"/>
              </w:rPr>
            </w:pPr>
            <w:r>
              <w:rPr>
                <w:rFonts w:cs="Arial"/>
                <w:bCs/>
                <w:szCs w:val="24"/>
              </w:rPr>
              <w:t>(Ethnic definition)</w:t>
            </w:r>
          </w:p>
        </w:tc>
        <w:tc>
          <w:tcPr>
            <w:tcW w:w="1897" w:type="dxa"/>
            <w:shd w:val="clear" w:color="auto" w:fill="D9D9D9"/>
          </w:tcPr>
          <w:p w14:paraId="0DD204B3" w14:textId="77777777" w:rsidR="00A20438" w:rsidRDefault="00A20438" w:rsidP="00A20438">
            <w:pPr>
              <w:contextualSpacing/>
              <w:jc w:val="center"/>
              <w:rPr>
                <w:rFonts w:cs="Arial"/>
                <w:bCs/>
                <w:szCs w:val="24"/>
              </w:rPr>
            </w:pPr>
            <w:r w:rsidRPr="00A20438">
              <w:rPr>
                <w:rFonts w:cs="Arial"/>
                <w:bCs/>
                <w:szCs w:val="24"/>
              </w:rPr>
              <w:t>Gypsy/Traveller Pitches</w:t>
            </w:r>
          </w:p>
          <w:p w14:paraId="55D40E35" w14:textId="4D317A5B" w:rsidR="00A20438" w:rsidRPr="00A20438" w:rsidRDefault="00A20438" w:rsidP="00A20438">
            <w:pPr>
              <w:contextualSpacing/>
              <w:jc w:val="center"/>
              <w:rPr>
                <w:rFonts w:cs="Arial"/>
                <w:bCs/>
                <w:szCs w:val="24"/>
              </w:rPr>
            </w:pPr>
            <w:r>
              <w:rPr>
                <w:rFonts w:cs="Arial"/>
                <w:bCs/>
                <w:szCs w:val="24"/>
              </w:rPr>
              <w:t>(PPTS 2015 definition)</w:t>
            </w:r>
          </w:p>
        </w:tc>
        <w:tc>
          <w:tcPr>
            <w:tcW w:w="1971" w:type="dxa"/>
            <w:shd w:val="clear" w:color="auto" w:fill="D9D9D9"/>
          </w:tcPr>
          <w:p w14:paraId="3ACED985" w14:textId="77777777" w:rsidR="00A20438" w:rsidRDefault="00A20438" w:rsidP="00A20438">
            <w:pPr>
              <w:contextualSpacing/>
              <w:jc w:val="center"/>
              <w:rPr>
                <w:rFonts w:cs="Arial"/>
                <w:bCs/>
                <w:szCs w:val="24"/>
              </w:rPr>
            </w:pPr>
            <w:r w:rsidRPr="00A20438">
              <w:rPr>
                <w:rFonts w:cs="Arial"/>
                <w:bCs/>
                <w:szCs w:val="24"/>
              </w:rPr>
              <w:t>Gypsy/Traveller Pitches</w:t>
            </w:r>
          </w:p>
          <w:p w14:paraId="20D80CC6" w14:textId="0D2C43BE" w:rsidR="00A20438" w:rsidRPr="00A20438" w:rsidRDefault="00A20438" w:rsidP="00A20438">
            <w:pPr>
              <w:contextualSpacing/>
              <w:jc w:val="center"/>
              <w:rPr>
                <w:rFonts w:cs="Arial"/>
                <w:bCs/>
                <w:szCs w:val="24"/>
              </w:rPr>
            </w:pPr>
            <w:r>
              <w:rPr>
                <w:rFonts w:cs="Arial"/>
                <w:bCs/>
                <w:szCs w:val="24"/>
              </w:rPr>
              <w:t>(Work definition)</w:t>
            </w:r>
          </w:p>
        </w:tc>
        <w:tc>
          <w:tcPr>
            <w:tcW w:w="1711" w:type="dxa"/>
            <w:shd w:val="clear" w:color="auto" w:fill="D9D9D9"/>
          </w:tcPr>
          <w:p w14:paraId="0818C5FC" w14:textId="569803D6" w:rsidR="00A20438" w:rsidRPr="00A20438" w:rsidRDefault="00A20438" w:rsidP="00A20438">
            <w:pPr>
              <w:contextualSpacing/>
              <w:jc w:val="center"/>
              <w:rPr>
                <w:rFonts w:cs="Arial"/>
                <w:bCs/>
                <w:szCs w:val="24"/>
              </w:rPr>
            </w:pPr>
            <w:proofErr w:type="spellStart"/>
            <w:r w:rsidRPr="00A20438">
              <w:rPr>
                <w:rFonts w:cs="Arial"/>
                <w:bCs/>
                <w:szCs w:val="24"/>
              </w:rPr>
              <w:t>Showpeople’s</w:t>
            </w:r>
            <w:proofErr w:type="spellEnd"/>
            <w:r w:rsidRPr="00A20438">
              <w:rPr>
                <w:rFonts w:cs="Arial"/>
                <w:bCs/>
                <w:szCs w:val="24"/>
              </w:rPr>
              <w:t xml:space="preserve"> Plots/Yards</w:t>
            </w:r>
          </w:p>
        </w:tc>
      </w:tr>
      <w:tr w:rsidR="00A20438" w:rsidRPr="003C7E62" w14:paraId="07AB5B6F" w14:textId="547D77F9" w:rsidTr="00A20438">
        <w:trPr>
          <w:trHeight w:val="526"/>
        </w:trPr>
        <w:tc>
          <w:tcPr>
            <w:tcW w:w="1838" w:type="dxa"/>
          </w:tcPr>
          <w:p w14:paraId="773D8CD3" w14:textId="41BDA4AC" w:rsidR="00A20438" w:rsidRPr="003C7E62" w:rsidRDefault="00A20438" w:rsidP="00A20438">
            <w:pPr>
              <w:contextualSpacing/>
              <w:rPr>
                <w:rFonts w:cs="Arial"/>
                <w:szCs w:val="24"/>
              </w:rPr>
            </w:pPr>
            <w:r w:rsidRPr="003C7E62">
              <w:rPr>
                <w:rFonts w:cs="Arial"/>
                <w:szCs w:val="24"/>
              </w:rPr>
              <w:t>2020 to 2025</w:t>
            </w:r>
          </w:p>
        </w:tc>
        <w:tc>
          <w:tcPr>
            <w:tcW w:w="2217" w:type="dxa"/>
          </w:tcPr>
          <w:p w14:paraId="0F50832D" w14:textId="1730BE8C" w:rsidR="00A20438" w:rsidRPr="003C7E62" w:rsidRDefault="00A20438" w:rsidP="00A20438">
            <w:pPr>
              <w:contextualSpacing/>
              <w:jc w:val="center"/>
              <w:rPr>
                <w:rFonts w:cs="Arial"/>
                <w:szCs w:val="24"/>
              </w:rPr>
            </w:pPr>
            <w:r>
              <w:rPr>
                <w:rFonts w:cs="Arial"/>
                <w:szCs w:val="24"/>
              </w:rPr>
              <w:t>1</w:t>
            </w:r>
          </w:p>
        </w:tc>
        <w:tc>
          <w:tcPr>
            <w:tcW w:w="1897" w:type="dxa"/>
          </w:tcPr>
          <w:p w14:paraId="6FB9D7AB" w14:textId="5F7DA00E" w:rsidR="00A20438" w:rsidRPr="003C7E62" w:rsidRDefault="00A20438" w:rsidP="00A20438">
            <w:pPr>
              <w:contextualSpacing/>
              <w:jc w:val="center"/>
              <w:rPr>
                <w:rFonts w:cs="Arial"/>
                <w:szCs w:val="24"/>
              </w:rPr>
            </w:pPr>
            <w:r>
              <w:rPr>
                <w:rFonts w:cs="Arial"/>
                <w:szCs w:val="24"/>
              </w:rPr>
              <w:t>0</w:t>
            </w:r>
          </w:p>
        </w:tc>
        <w:tc>
          <w:tcPr>
            <w:tcW w:w="1971" w:type="dxa"/>
          </w:tcPr>
          <w:p w14:paraId="04E9D5FF" w14:textId="71721D0A" w:rsidR="00A20438" w:rsidRPr="003C7E62" w:rsidRDefault="00A20438" w:rsidP="00A20438">
            <w:pPr>
              <w:contextualSpacing/>
              <w:jc w:val="center"/>
              <w:rPr>
                <w:rFonts w:cs="Arial"/>
                <w:szCs w:val="24"/>
              </w:rPr>
            </w:pPr>
            <w:r>
              <w:rPr>
                <w:rFonts w:cs="Arial"/>
                <w:szCs w:val="24"/>
              </w:rPr>
              <w:t>0</w:t>
            </w:r>
          </w:p>
        </w:tc>
        <w:tc>
          <w:tcPr>
            <w:tcW w:w="1711" w:type="dxa"/>
          </w:tcPr>
          <w:p w14:paraId="1949E75B" w14:textId="1B6ECE37" w:rsidR="00A20438" w:rsidRPr="003C7E62" w:rsidRDefault="00A20438" w:rsidP="00A20438">
            <w:pPr>
              <w:contextualSpacing/>
              <w:jc w:val="center"/>
              <w:rPr>
                <w:rFonts w:cs="Arial"/>
                <w:szCs w:val="24"/>
              </w:rPr>
            </w:pPr>
            <w:r w:rsidRPr="003C7E62">
              <w:rPr>
                <w:rFonts w:cs="Arial"/>
                <w:szCs w:val="24"/>
              </w:rPr>
              <w:t>9</w:t>
            </w:r>
          </w:p>
        </w:tc>
      </w:tr>
      <w:tr w:rsidR="00A20438" w:rsidRPr="003C7E62" w14:paraId="5513CE97" w14:textId="309CF2C1" w:rsidTr="00A20438">
        <w:trPr>
          <w:trHeight w:val="520"/>
        </w:trPr>
        <w:tc>
          <w:tcPr>
            <w:tcW w:w="1838" w:type="dxa"/>
          </w:tcPr>
          <w:p w14:paraId="53DF542A" w14:textId="77777777" w:rsidR="00A20438" w:rsidRPr="003C7E62" w:rsidRDefault="00A20438" w:rsidP="00A20438">
            <w:pPr>
              <w:contextualSpacing/>
              <w:rPr>
                <w:rFonts w:cs="Arial"/>
                <w:szCs w:val="24"/>
              </w:rPr>
            </w:pPr>
            <w:r w:rsidRPr="003C7E62">
              <w:rPr>
                <w:rFonts w:cs="Arial"/>
                <w:szCs w:val="24"/>
              </w:rPr>
              <w:t>2025 to 2030</w:t>
            </w:r>
          </w:p>
        </w:tc>
        <w:tc>
          <w:tcPr>
            <w:tcW w:w="2217" w:type="dxa"/>
          </w:tcPr>
          <w:p w14:paraId="39ACBADB"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05C8FC0B" w14:textId="41D0EE50" w:rsidR="00A20438" w:rsidRPr="003C7E62" w:rsidRDefault="00A20438" w:rsidP="00A20438">
            <w:pPr>
              <w:contextualSpacing/>
              <w:jc w:val="center"/>
              <w:rPr>
                <w:rFonts w:cs="Arial"/>
                <w:szCs w:val="24"/>
              </w:rPr>
            </w:pPr>
            <w:r>
              <w:rPr>
                <w:rFonts w:cs="Arial"/>
                <w:szCs w:val="24"/>
              </w:rPr>
              <w:t>1</w:t>
            </w:r>
          </w:p>
        </w:tc>
        <w:tc>
          <w:tcPr>
            <w:tcW w:w="1971" w:type="dxa"/>
          </w:tcPr>
          <w:p w14:paraId="744AC786" w14:textId="1D4B19E5" w:rsidR="00A20438" w:rsidRPr="003C7E62" w:rsidRDefault="00A20438" w:rsidP="00A20438">
            <w:pPr>
              <w:contextualSpacing/>
              <w:jc w:val="center"/>
              <w:rPr>
                <w:rFonts w:cs="Arial"/>
                <w:szCs w:val="24"/>
              </w:rPr>
            </w:pPr>
            <w:r>
              <w:rPr>
                <w:rFonts w:cs="Arial"/>
                <w:szCs w:val="24"/>
              </w:rPr>
              <w:t>1</w:t>
            </w:r>
          </w:p>
        </w:tc>
        <w:tc>
          <w:tcPr>
            <w:tcW w:w="1711" w:type="dxa"/>
          </w:tcPr>
          <w:p w14:paraId="2149E7F6" w14:textId="19C34C17" w:rsidR="00A20438" w:rsidRPr="003C7E62" w:rsidRDefault="00A20438" w:rsidP="00A20438">
            <w:pPr>
              <w:contextualSpacing/>
              <w:jc w:val="center"/>
              <w:rPr>
                <w:rFonts w:cs="Arial"/>
                <w:szCs w:val="24"/>
              </w:rPr>
            </w:pPr>
            <w:r w:rsidRPr="003C7E62">
              <w:rPr>
                <w:rFonts w:cs="Arial"/>
                <w:szCs w:val="24"/>
              </w:rPr>
              <w:t>2</w:t>
            </w:r>
          </w:p>
        </w:tc>
      </w:tr>
      <w:tr w:rsidR="00A20438" w:rsidRPr="003C7E62" w14:paraId="4F46C04B" w14:textId="432CC493" w:rsidTr="00A20438">
        <w:trPr>
          <w:trHeight w:val="627"/>
        </w:trPr>
        <w:tc>
          <w:tcPr>
            <w:tcW w:w="1838" w:type="dxa"/>
          </w:tcPr>
          <w:p w14:paraId="73E95124" w14:textId="77777777" w:rsidR="00A20438" w:rsidRPr="003C7E62" w:rsidRDefault="00A20438" w:rsidP="00A20438">
            <w:pPr>
              <w:contextualSpacing/>
              <w:rPr>
                <w:rFonts w:cs="Arial"/>
                <w:szCs w:val="24"/>
              </w:rPr>
            </w:pPr>
            <w:r w:rsidRPr="003C7E62">
              <w:rPr>
                <w:rFonts w:cs="Arial"/>
                <w:szCs w:val="24"/>
              </w:rPr>
              <w:t>2030 to 2035</w:t>
            </w:r>
          </w:p>
        </w:tc>
        <w:tc>
          <w:tcPr>
            <w:tcW w:w="2217" w:type="dxa"/>
          </w:tcPr>
          <w:p w14:paraId="58DACD8F"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021A3C7C" w14:textId="07533946" w:rsidR="00A20438" w:rsidRPr="003C7E62" w:rsidRDefault="00A20438" w:rsidP="00A20438">
            <w:pPr>
              <w:contextualSpacing/>
              <w:jc w:val="center"/>
              <w:rPr>
                <w:rFonts w:cs="Arial"/>
                <w:szCs w:val="24"/>
              </w:rPr>
            </w:pPr>
            <w:r>
              <w:rPr>
                <w:rFonts w:cs="Arial"/>
                <w:szCs w:val="24"/>
              </w:rPr>
              <w:t>1</w:t>
            </w:r>
          </w:p>
        </w:tc>
        <w:tc>
          <w:tcPr>
            <w:tcW w:w="1971" w:type="dxa"/>
          </w:tcPr>
          <w:p w14:paraId="59736DF3" w14:textId="652D1EFC" w:rsidR="00A20438" w:rsidRPr="003C7E62" w:rsidRDefault="00A20438" w:rsidP="00A20438">
            <w:pPr>
              <w:contextualSpacing/>
              <w:jc w:val="center"/>
              <w:rPr>
                <w:rFonts w:cs="Arial"/>
                <w:szCs w:val="24"/>
              </w:rPr>
            </w:pPr>
            <w:r>
              <w:rPr>
                <w:rFonts w:cs="Arial"/>
                <w:szCs w:val="24"/>
              </w:rPr>
              <w:t>1</w:t>
            </w:r>
          </w:p>
        </w:tc>
        <w:tc>
          <w:tcPr>
            <w:tcW w:w="1711" w:type="dxa"/>
          </w:tcPr>
          <w:p w14:paraId="62E0A1FC" w14:textId="73D55038" w:rsidR="00A20438" w:rsidRPr="003C7E62" w:rsidRDefault="00A20438" w:rsidP="00A20438">
            <w:pPr>
              <w:contextualSpacing/>
              <w:jc w:val="center"/>
              <w:rPr>
                <w:rFonts w:cs="Arial"/>
                <w:szCs w:val="24"/>
              </w:rPr>
            </w:pPr>
            <w:r w:rsidRPr="003C7E62">
              <w:rPr>
                <w:rFonts w:cs="Arial"/>
                <w:szCs w:val="24"/>
              </w:rPr>
              <w:t>2</w:t>
            </w:r>
          </w:p>
        </w:tc>
      </w:tr>
      <w:tr w:rsidR="00A20438" w:rsidRPr="003C7E62" w14:paraId="7958C78B" w14:textId="29135371" w:rsidTr="00A20438">
        <w:trPr>
          <w:trHeight w:val="627"/>
        </w:trPr>
        <w:tc>
          <w:tcPr>
            <w:tcW w:w="1838" w:type="dxa"/>
          </w:tcPr>
          <w:p w14:paraId="684BDA3B" w14:textId="77777777" w:rsidR="00A20438" w:rsidRPr="003C7E62" w:rsidRDefault="00A20438" w:rsidP="00A20438">
            <w:pPr>
              <w:contextualSpacing/>
              <w:rPr>
                <w:rFonts w:cs="Arial"/>
                <w:szCs w:val="24"/>
              </w:rPr>
            </w:pPr>
            <w:r w:rsidRPr="003C7E62">
              <w:rPr>
                <w:rFonts w:cs="Arial"/>
                <w:szCs w:val="24"/>
              </w:rPr>
              <w:t>2035 to 2038</w:t>
            </w:r>
          </w:p>
        </w:tc>
        <w:tc>
          <w:tcPr>
            <w:tcW w:w="2217" w:type="dxa"/>
          </w:tcPr>
          <w:p w14:paraId="40FFF33C"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6457FBBD" w14:textId="1EC8ED7A" w:rsidR="00A20438" w:rsidRPr="003C7E62" w:rsidRDefault="00A20438" w:rsidP="00A20438">
            <w:pPr>
              <w:contextualSpacing/>
              <w:jc w:val="center"/>
              <w:rPr>
                <w:rFonts w:cs="Arial"/>
                <w:szCs w:val="24"/>
              </w:rPr>
            </w:pPr>
            <w:r>
              <w:rPr>
                <w:rFonts w:cs="Arial"/>
                <w:szCs w:val="24"/>
              </w:rPr>
              <w:t>1</w:t>
            </w:r>
          </w:p>
        </w:tc>
        <w:tc>
          <w:tcPr>
            <w:tcW w:w="1971" w:type="dxa"/>
          </w:tcPr>
          <w:p w14:paraId="16C8E44A" w14:textId="0F0A9D9D" w:rsidR="00A20438" w:rsidRPr="003C7E62" w:rsidRDefault="00A20438" w:rsidP="00A20438">
            <w:pPr>
              <w:contextualSpacing/>
              <w:jc w:val="center"/>
              <w:rPr>
                <w:rFonts w:cs="Arial"/>
                <w:szCs w:val="24"/>
              </w:rPr>
            </w:pPr>
            <w:r>
              <w:rPr>
                <w:rFonts w:cs="Arial"/>
                <w:szCs w:val="24"/>
              </w:rPr>
              <w:t>1</w:t>
            </w:r>
          </w:p>
        </w:tc>
        <w:tc>
          <w:tcPr>
            <w:tcW w:w="1711" w:type="dxa"/>
          </w:tcPr>
          <w:p w14:paraId="1A0D825C" w14:textId="3C4DFBFD" w:rsidR="00A20438" w:rsidRPr="003C7E62" w:rsidRDefault="00A20438" w:rsidP="00A20438">
            <w:pPr>
              <w:contextualSpacing/>
              <w:jc w:val="center"/>
              <w:rPr>
                <w:rFonts w:cs="Arial"/>
                <w:szCs w:val="24"/>
              </w:rPr>
            </w:pPr>
            <w:r w:rsidRPr="003C7E62">
              <w:rPr>
                <w:rFonts w:cs="Arial"/>
                <w:szCs w:val="24"/>
              </w:rPr>
              <w:t>1</w:t>
            </w:r>
          </w:p>
        </w:tc>
      </w:tr>
      <w:tr w:rsidR="00A20438" w:rsidRPr="003C7E62" w14:paraId="1F6164E0" w14:textId="4F1032EF" w:rsidTr="00A20438">
        <w:trPr>
          <w:trHeight w:val="627"/>
        </w:trPr>
        <w:tc>
          <w:tcPr>
            <w:tcW w:w="1838" w:type="dxa"/>
          </w:tcPr>
          <w:p w14:paraId="5DEC1728" w14:textId="77777777" w:rsidR="00A20438" w:rsidRPr="003C7E62" w:rsidRDefault="00A20438" w:rsidP="00A20438">
            <w:pPr>
              <w:contextualSpacing/>
              <w:rPr>
                <w:rFonts w:cs="Arial"/>
                <w:b/>
                <w:bCs/>
                <w:color w:val="auto"/>
                <w:szCs w:val="24"/>
              </w:rPr>
            </w:pPr>
            <w:r w:rsidRPr="003C7E62">
              <w:rPr>
                <w:rFonts w:cs="Arial"/>
                <w:b/>
                <w:bCs/>
                <w:color w:val="auto"/>
                <w:szCs w:val="24"/>
              </w:rPr>
              <w:t>Total 2020 to 2038</w:t>
            </w:r>
          </w:p>
        </w:tc>
        <w:tc>
          <w:tcPr>
            <w:tcW w:w="2217" w:type="dxa"/>
          </w:tcPr>
          <w:p w14:paraId="45413684" w14:textId="6A5BD169" w:rsidR="00A20438" w:rsidRPr="003C7E62" w:rsidRDefault="00A20438" w:rsidP="00A20438">
            <w:pPr>
              <w:contextualSpacing/>
              <w:jc w:val="center"/>
              <w:rPr>
                <w:rFonts w:cs="Arial"/>
                <w:b/>
                <w:bCs/>
                <w:color w:val="auto"/>
                <w:szCs w:val="24"/>
              </w:rPr>
            </w:pPr>
            <w:r>
              <w:rPr>
                <w:rFonts w:cs="Arial"/>
                <w:b/>
                <w:bCs/>
                <w:color w:val="auto"/>
                <w:szCs w:val="24"/>
              </w:rPr>
              <w:t>4</w:t>
            </w:r>
          </w:p>
        </w:tc>
        <w:tc>
          <w:tcPr>
            <w:tcW w:w="1897" w:type="dxa"/>
          </w:tcPr>
          <w:p w14:paraId="1A95316E" w14:textId="254D5160" w:rsidR="00A20438" w:rsidRPr="003C7E62" w:rsidRDefault="00A20438" w:rsidP="00A20438">
            <w:pPr>
              <w:contextualSpacing/>
              <w:jc w:val="center"/>
              <w:rPr>
                <w:rFonts w:cs="Arial"/>
                <w:b/>
                <w:bCs/>
                <w:color w:val="auto"/>
                <w:szCs w:val="24"/>
              </w:rPr>
            </w:pPr>
            <w:r>
              <w:rPr>
                <w:rFonts w:cs="Arial"/>
                <w:b/>
                <w:bCs/>
                <w:color w:val="auto"/>
                <w:szCs w:val="24"/>
              </w:rPr>
              <w:t>3</w:t>
            </w:r>
          </w:p>
        </w:tc>
        <w:tc>
          <w:tcPr>
            <w:tcW w:w="1971" w:type="dxa"/>
          </w:tcPr>
          <w:p w14:paraId="4EFD10BA" w14:textId="22379257" w:rsidR="00A20438" w:rsidRPr="003C7E62" w:rsidRDefault="00A20438" w:rsidP="00A20438">
            <w:pPr>
              <w:contextualSpacing/>
              <w:jc w:val="center"/>
              <w:rPr>
                <w:rFonts w:cs="Arial"/>
                <w:b/>
                <w:bCs/>
                <w:color w:val="auto"/>
                <w:szCs w:val="24"/>
              </w:rPr>
            </w:pPr>
            <w:r>
              <w:rPr>
                <w:rFonts w:cs="Arial"/>
                <w:b/>
                <w:bCs/>
                <w:color w:val="auto"/>
                <w:szCs w:val="24"/>
              </w:rPr>
              <w:t>3</w:t>
            </w:r>
          </w:p>
        </w:tc>
        <w:tc>
          <w:tcPr>
            <w:tcW w:w="1711" w:type="dxa"/>
          </w:tcPr>
          <w:p w14:paraId="518B7C08" w14:textId="33EABA62" w:rsidR="00A20438" w:rsidRPr="003C7E62" w:rsidRDefault="00A20438" w:rsidP="00A20438">
            <w:pPr>
              <w:contextualSpacing/>
              <w:jc w:val="center"/>
              <w:rPr>
                <w:rFonts w:cs="Arial"/>
                <w:b/>
                <w:bCs/>
                <w:color w:val="auto"/>
                <w:szCs w:val="24"/>
              </w:rPr>
            </w:pPr>
            <w:r w:rsidRPr="003C7E62">
              <w:rPr>
                <w:rFonts w:cs="Arial"/>
                <w:b/>
                <w:bCs/>
                <w:color w:val="auto"/>
                <w:szCs w:val="24"/>
              </w:rPr>
              <w:t>14</w:t>
            </w:r>
          </w:p>
        </w:tc>
      </w:tr>
    </w:tbl>
    <w:p w14:paraId="35B3F11C" w14:textId="77777777" w:rsidR="00D959F8" w:rsidRPr="00D959F8" w:rsidRDefault="00D959F8" w:rsidP="00D959F8"/>
    <w:p w14:paraId="64C07739" w14:textId="260503E0" w:rsidR="007F1468" w:rsidRPr="00D959F8" w:rsidRDefault="00F753E0" w:rsidP="00D959F8">
      <w:pPr>
        <w:rPr>
          <w:rFonts w:eastAsia="Calibri"/>
        </w:rPr>
      </w:pPr>
      <w:r w:rsidRPr="00D959F8">
        <w:br w:type="page"/>
      </w:r>
    </w:p>
    <w:p w14:paraId="42F9B163" w14:textId="5C41158E" w:rsidR="00EF5ACB" w:rsidRDefault="0006394B" w:rsidP="0006394B">
      <w:pPr>
        <w:pStyle w:val="Heading4"/>
        <w:rPr>
          <w:rFonts w:eastAsia="Calibri"/>
          <w:lang w:eastAsia="en-US"/>
        </w:rPr>
      </w:pPr>
      <w:r>
        <w:rPr>
          <w:rFonts w:eastAsia="Calibri"/>
          <w:lang w:eastAsia="en-US"/>
        </w:rPr>
        <w:lastRenderedPageBreak/>
        <w:t>APPENDIX 1</w:t>
      </w:r>
      <w:r w:rsidR="005C255F">
        <w:rPr>
          <w:rFonts w:eastAsia="Calibri"/>
          <w:lang w:eastAsia="en-US"/>
        </w:rPr>
        <w:t xml:space="preserve"> – Delivery Rates on Large Sites 1</w:t>
      </w:r>
      <w:r w:rsidR="005C255F">
        <w:rPr>
          <w:rFonts w:eastAsia="Calibri"/>
          <w:vertAlign w:val="superscript"/>
          <w:lang w:eastAsia="en-US"/>
        </w:rPr>
        <w:t xml:space="preserve">st </w:t>
      </w:r>
      <w:r w:rsidR="005C255F">
        <w:rPr>
          <w:rFonts w:eastAsia="Calibri"/>
          <w:lang w:eastAsia="en-US"/>
        </w:rPr>
        <w:t>April 2013 to 31</w:t>
      </w:r>
      <w:r w:rsidR="005C255F" w:rsidRPr="005C255F">
        <w:rPr>
          <w:rFonts w:eastAsia="Calibri"/>
          <w:vertAlign w:val="superscript"/>
          <w:lang w:eastAsia="en-US"/>
        </w:rPr>
        <w:t>st</w:t>
      </w:r>
      <w:r w:rsidR="005C255F">
        <w:rPr>
          <w:rFonts w:eastAsia="Calibri"/>
          <w:lang w:eastAsia="en-US"/>
        </w:rPr>
        <w:t xml:space="preserve"> March 2016</w:t>
      </w:r>
    </w:p>
    <w:p w14:paraId="790FF794" w14:textId="77777777" w:rsidR="0006394B" w:rsidRPr="0006394B" w:rsidRDefault="0006394B" w:rsidP="0006394B">
      <w:pPr>
        <w:rPr>
          <w:rFonts w:eastAsia="Calibri"/>
          <w:lang w:eastAsia="en-US"/>
        </w:rPr>
      </w:pPr>
    </w:p>
    <w:p w14:paraId="727EAB3D" w14:textId="6E3E62AC" w:rsidR="00F27E51" w:rsidRPr="00063C83" w:rsidRDefault="00317223" w:rsidP="00D210FC">
      <w:pPr>
        <w:keepNext w:val="0"/>
        <w:autoSpaceDE w:val="0"/>
        <w:autoSpaceDN w:val="0"/>
        <w:adjustRightInd w:val="0"/>
        <w:spacing w:before="0"/>
        <w:rPr>
          <w:rFonts w:cs="Arial"/>
          <w:b/>
          <w:bCs/>
          <w:color w:val="FF0000"/>
          <w:szCs w:val="24"/>
        </w:rPr>
      </w:pPr>
      <w:r>
        <w:rPr>
          <w:rFonts w:cs="Arial"/>
          <w:b/>
          <w:bCs/>
          <w:noProof/>
          <w:color w:val="FF0000"/>
          <w:szCs w:val="24"/>
        </w:rPr>
        <w:drawing>
          <wp:inline distT="0" distB="0" distL="0" distR="0" wp14:anchorId="1A12B1BC" wp14:editId="00C36078">
            <wp:extent cx="6336665" cy="4353405"/>
            <wp:effectExtent l="0" t="0" r="6985" b="9525"/>
            <wp:docPr id="6" name="Picture 6" descr="Table sets out Housing Delivery Rates on Large Sites between 1st April 2013 and 31st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ets out Housing Delivery Rates on Large Sites between 1st April 2013 and 31st March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579" cy="4360903"/>
                    </a:xfrm>
                    <a:prstGeom prst="rect">
                      <a:avLst/>
                    </a:prstGeom>
                    <a:noFill/>
                  </pic:spPr>
                </pic:pic>
              </a:graphicData>
            </a:graphic>
          </wp:inline>
        </w:drawing>
      </w:r>
    </w:p>
    <w:p w14:paraId="3FC4B760" w14:textId="78BBB1DE" w:rsidR="00063C83" w:rsidRPr="00B3436D" w:rsidRDefault="00063C83" w:rsidP="00D210FC">
      <w:pPr>
        <w:keepNext w:val="0"/>
        <w:autoSpaceDE w:val="0"/>
        <w:autoSpaceDN w:val="0"/>
        <w:adjustRightInd w:val="0"/>
        <w:spacing w:before="0"/>
        <w:rPr>
          <w:rFonts w:cs="Arial"/>
          <w:b/>
          <w:bCs/>
          <w:color w:val="auto"/>
          <w:szCs w:val="24"/>
        </w:rPr>
      </w:pPr>
    </w:p>
    <w:p w14:paraId="53A3833D" w14:textId="77777777" w:rsidR="00063C83" w:rsidRPr="00B3436D" w:rsidRDefault="00063C83" w:rsidP="00D210FC">
      <w:pPr>
        <w:keepNext w:val="0"/>
        <w:autoSpaceDE w:val="0"/>
        <w:autoSpaceDN w:val="0"/>
        <w:adjustRightInd w:val="0"/>
        <w:spacing w:before="0"/>
        <w:rPr>
          <w:rFonts w:cs="Arial"/>
          <w:b/>
          <w:bCs/>
          <w:color w:val="auto"/>
          <w:szCs w:val="24"/>
        </w:rPr>
      </w:pPr>
    </w:p>
    <w:p w14:paraId="1BFF56A0" w14:textId="1EF9DC21" w:rsidR="00F27E51" w:rsidRDefault="00F27E51" w:rsidP="00D210FC">
      <w:pPr>
        <w:keepNext w:val="0"/>
        <w:autoSpaceDE w:val="0"/>
        <w:autoSpaceDN w:val="0"/>
        <w:adjustRightInd w:val="0"/>
        <w:spacing w:before="0"/>
        <w:rPr>
          <w:rFonts w:cs="Arial"/>
          <w:b/>
          <w:bCs/>
          <w:szCs w:val="24"/>
        </w:rPr>
        <w:sectPr w:rsidR="00F27E51" w:rsidSect="00EB69AD">
          <w:headerReference w:type="default" r:id="rId16"/>
          <w:footerReference w:type="default" r:id="rId17"/>
          <w:pgSz w:w="11906" w:h="16838"/>
          <w:pgMar w:top="1258" w:right="1134" w:bottom="1079" w:left="1134" w:header="709" w:footer="709" w:gutter="0"/>
          <w:pgNumType w:start="1"/>
          <w:cols w:space="708"/>
          <w:docGrid w:linePitch="360"/>
        </w:sectPr>
      </w:pPr>
    </w:p>
    <w:p w14:paraId="0D37E501" w14:textId="77777777" w:rsidR="00F237CE" w:rsidRPr="00BF4A3F" w:rsidRDefault="00F237CE" w:rsidP="00FE22F3">
      <w:pPr>
        <w:pStyle w:val="Heading3"/>
      </w:pPr>
    </w:p>
    <w:sectPr w:rsidR="00F237CE" w:rsidRPr="00BF4A3F" w:rsidSect="00EB69AD">
      <w:headerReference w:type="default" r:id="rId18"/>
      <w:footerReference w:type="default" r:id="rId19"/>
      <w:pgSz w:w="11906" w:h="16838"/>
      <w:pgMar w:top="1258" w:right="1134"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ABF34" w14:textId="77777777" w:rsidR="009214ED" w:rsidRDefault="009214ED">
      <w:r>
        <w:separator/>
      </w:r>
    </w:p>
  </w:endnote>
  <w:endnote w:type="continuationSeparator" w:id="0">
    <w:p w14:paraId="19014595" w14:textId="77777777" w:rsidR="009214ED" w:rsidRDefault="0092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6068A" w14:textId="77777777" w:rsidR="005D6EB3" w:rsidRDefault="005D6EB3">
    <w:pPr>
      <w:pStyle w:val="Footer"/>
      <w:jc w:val="center"/>
    </w:pPr>
  </w:p>
  <w:p w14:paraId="776597EC" w14:textId="77777777" w:rsidR="005D6EB3" w:rsidRDefault="005D6EB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1CE9" w14:textId="2BA9E97F" w:rsidR="005D6EB3" w:rsidRDefault="005D6EB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D0FA" w14:textId="77777777" w:rsidR="005D6EB3" w:rsidRDefault="005D6EB3" w:rsidP="002518C2">
    <w:pPr>
      <w:pStyle w:val="Footer"/>
      <w:pBdr>
        <w:top w:val="single" w:sz="4" w:space="0" w:color="D9D9D9" w:themeColor="background1" w:themeShade="D9"/>
      </w:pBdr>
    </w:pPr>
  </w:p>
  <w:p w14:paraId="7AC9E886" w14:textId="77777777" w:rsidR="005D6EB3" w:rsidRDefault="005D6E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206D" w14:textId="7FD59515" w:rsidR="005D6EB3" w:rsidRPr="001A3BFC" w:rsidRDefault="005D6EB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57728" behindDoc="0" locked="0" layoutInCell="1" allowOverlap="1" wp14:anchorId="2B4FF6F2" wp14:editId="2F2F314F">
              <wp:simplePos x="0" y="0"/>
              <wp:positionH relativeFrom="column">
                <wp:posOffset>3810</wp:posOffset>
              </wp:positionH>
              <wp:positionV relativeFrom="paragraph">
                <wp:posOffset>38735</wp:posOffset>
              </wp:positionV>
              <wp:extent cx="6046470" cy="5080"/>
              <wp:effectExtent l="9525" t="10160" r="11430" b="13335"/>
              <wp:wrapNone/>
              <wp:docPr id="1"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5CE913"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1AC85694" w14:textId="77777777" w:rsidR="005D6EB3" w:rsidRDefault="005D6EB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3797" w14:textId="251AAF53" w:rsidR="005D6EB3" w:rsidRDefault="005D6EB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58483" w14:textId="77777777" w:rsidR="009214ED" w:rsidRDefault="009214ED">
      <w:r>
        <w:separator/>
      </w:r>
    </w:p>
  </w:footnote>
  <w:footnote w:type="continuationSeparator" w:id="0">
    <w:p w14:paraId="1BB02AAC" w14:textId="77777777" w:rsidR="009214ED" w:rsidRDefault="009214ED">
      <w:r>
        <w:continuationSeparator/>
      </w:r>
    </w:p>
  </w:footnote>
  <w:footnote w:id="1">
    <w:p w14:paraId="5B22EA2F" w14:textId="1E774091" w:rsidR="005D6EB3" w:rsidRDefault="005D6EB3" w:rsidP="000818E3">
      <w:pPr>
        <w:pStyle w:val="FootnoteText"/>
        <w:rPr>
          <w:rFonts w:cs="Arial"/>
        </w:rPr>
      </w:pPr>
      <w:r>
        <w:rPr>
          <w:rStyle w:val="FootnoteReference"/>
        </w:rPr>
        <w:footnoteRef/>
      </w:r>
      <w:r>
        <w:t xml:space="preserve"> </w:t>
      </w:r>
      <w:r w:rsidRPr="007B0BD3">
        <w:t>https://www.ashfield.gov.uk/media/8d890976f713e6c/2020-11-10-greater-nottingham-and-ashfield_housing-needs-assessment_final.pdf</w:t>
      </w:r>
    </w:p>
  </w:footnote>
  <w:footnote w:id="2">
    <w:p w14:paraId="657EE137" w14:textId="77777777" w:rsidR="005D6EB3" w:rsidRDefault="005D6EB3" w:rsidP="000818E3">
      <w:pPr>
        <w:pStyle w:val="FootnoteText"/>
        <w:rPr>
          <w:rFonts w:cs="Arial"/>
        </w:rPr>
      </w:pPr>
      <w:r>
        <w:rPr>
          <w:rStyle w:val="FootnoteReference"/>
        </w:rPr>
        <w:footnoteRef/>
      </w:r>
      <w:r>
        <w:t xml:space="preserve"> </w:t>
      </w:r>
      <w:r>
        <w:rPr>
          <w:rFonts w:cs="Arial"/>
        </w:rPr>
        <w:t>Add link when published.</w:t>
      </w:r>
    </w:p>
  </w:footnote>
  <w:footnote w:id="3">
    <w:p w14:paraId="7308F2B8" w14:textId="77777777" w:rsidR="005D6EB3" w:rsidRDefault="005D6EB3" w:rsidP="00B24E61">
      <w:pPr>
        <w:pStyle w:val="FootnoteText"/>
      </w:pPr>
      <w:r>
        <w:rPr>
          <w:rStyle w:val="FootnoteReference"/>
        </w:rPr>
        <w:footnoteRef/>
      </w:r>
      <w:r>
        <w:t xml:space="preserve"> </w:t>
      </w:r>
      <w:hyperlink r:id="rId1" w:history="1">
        <w:r w:rsidRPr="00C16825">
          <w:rPr>
            <w:rStyle w:val="Hyperlink"/>
          </w:rPr>
          <w:t>https://www.gov.uk/government/publications/housing-delivery-test-measurement-rule-book</w:t>
        </w:r>
      </w:hyperlink>
    </w:p>
  </w:footnote>
  <w:footnote w:id="4">
    <w:p w14:paraId="5B386182" w14:textId="7C7C027A" w:rsidR="005D6EB3" w:rsidRDefault="005D6EB3" w:rsidP="00871F59">
      <w:pPr>
        <w:autoSpaceDE w:val="0"/>
        <w:autoSpaceDN w:val="0"/>
        <w:adjustRightInd w:val="0"/>
      </w:pPr>
      <w:r>
        <w:rPr>
          <w:rStyle w:val="FootnoteReference"/>
        </w:rPr>
        <w:footnoteRef/>
      </w:r>
      <w:r>
        <w:t xml:space="preserve"> </w:t>
      </w:r>
      <w:r w:rsidRPr="00871F59">
        <w:rPr>
          <w:rFonts w:cs="Arial"/>
          <w:sz w:val="20"/>
        </w:rPr>
        <w:t>Note: Supply from planning permissions is subject to a non-implementation rate</w:t>
      </w:r>
      <w:r w:rsidR="00FA22F8">
        <w:rPr>
          <w:rFonts w:cs="Arial"/>
          <w:sz w:val="20"/>
        </w:rPr>
        <w:t>.</w:t>
      </w:r>
    </w:p>
  </w:footnote>
  <w:footnote w:id="5">
    <w:p w14:paraId="62F172F1" w14:textId="65078AAB" w:rsidR="005D6EB3" w:rsidRDefault="005D6EB3">
      <w:pPr>
        <w:pStyle w:val="FootnoteText"/>
      </w:pPr>
      <w:r>
        <w:rPr>
          <w:rStyle w:val="FootnoteReference"/>
        </w:rPr>
        <w:footnoteRef/>
      </w:r>
      <w:r>
        <w:t xml:space="preserve"> Further information on site selection can be found in the </w:t>
      </w:r>
      <w:r w:rsidR="00C75CD3" w:rsidRPr="00C75CD3">
        <w:t>B</w:t>
      </w:r>
      <w:r w:rsidRPr="00C75CD3">
        <w:t>ackground Paper No. 1</w:t>
      </w:r>
    </w:p>
  </w:footnote>
  <w:footnote w:id="6">
    <w:p w14:paraId="480E0B95" w14:textId="4DD5DFE5" w:rsidR="005D6EB3" w:rsidRDefault="005D6EB3" w:rsidP="00063C83">
      <w:pPr>
        <w:pStyle w:val="FootnoteText"/>
      </w:pPr>
      <w:r>
        <w:rPr>
          <w:rStyle w:val="FootnoteReference"/>
        </w:rPr>
        <w:footnoteRef/>
      </w:r>
      <w:r>
        <w:t xml:space="preserve"> </w:t>
      </w:r>
      <w:r w:rsidRPr="002550D8">
        <w:t xml:space="preserve">Included in Appendix 2 of </w:t>
      </w:r>
      <w:r>
        <w:t xml:space="preserve">Draft </w:t>
      </w:r>
      <w:r w:rsidRPr="002550D8">
        <w:t>Ashfield Local Plan (20</w:t>
      </w:r>
      <w:r w:rsidR="00214E5A">
        <w:t>23</w:t>
      </w:r>
      <w:r w:rsidRPr="002550D8">
        <w:t>-20</w:t>
      </w:r>
      <w:r w:rsidR="00214E5A">
        <w:t>40</w:t>
      </w:r>
      <w:r w:rsidRPr="002550D8">
        <w:t>)</w:t>
      </w:r>
    </w:p>
  </w:footnote>
  <w:footnote w:id="7">
    <w:p w14:paraId="5DDF1B6F" w14:textId="77777777" w:rsidR="005D6EB3" w:rsidRDefault="005D6EB3" w:rsidP="00063C83">
      <w:pPr>
        <w:pStyle w:val="FootnoteText"/>
        <w:ind w:left="142" w:hanging="142"/>
      </w:pPr>
      <w:r>
        <w:rPr>
          <w:rStyle w:val="FootnoteReference"/>
        </w:rPr>
        <w:footnoteRef/>
      </w:r>
      <w:r>
        <w:t xml:space="preserve"> </w:t>
      </w:r>
      <w:r w:rsidRPr="002550D8">
        <w:t xml:space="preserve">HBF Policy Conference, 22nd March 2016 – Speaker: John Stewart, Director Economic Affairs </w:t>
      </w:r>
      <w:r>
        <w:t xml:space="preserve"> </w:t>
      </w:r>
      <w:hyperlink r:id="rId2" w:history="1">
        <w:r w:rsidRPr="00BE4A44">
          <w:rPr>
            <w:rStyle w:val="Hyperlink"/>
          </w:rPr>
          <w:t>http://www.house-builder.co.uk/UserFiles/File/JohnStewart-Policy16.pdf</w:t>
        </w:r>
      </w:hyperlink>
      <w:r>
        <w:t xml:space="preserve"> </w:t>
      </w:r>
    </w:p>
  </w:footnote>
  <w:footnote w:id="8">
    <w:p w14:paraId="532C5607" w14:textId="77777777" w:rsidR="005D6EB3" w:rsidRDefault="005D6EB3" w:rsidP="00063C83">
      <w:pPr>
        <w:pStyle w:val="EndnoteText"/>
      </w:pPr>
      <w:r>
        <w:rPr>
          <w:rStyle w:val="FootnoteReference"/>
        </w:rPr>
        <w:footnoteRef/>
      </w:r>
      <w:r>
        <w:t xml:space="preserve"> </w:t>
      </w:r>
      <w:hyperlink r:id="rId3" w:history="1">
        <w:r w:rsidRPr="00BE4A44">
          <w:rPr>
            <w:rStyle w:val="Hyperlink"/>
          </w:rPr>
          <w:t>http://nlpplanning.com/nlp-insight/start-to-finish-how-quickly-do-large-scale-housing-sites-deliver</w:t>
        </w:r>
      </w:hyperlink>
      <w:r>
        <w:t xml:space="preserve"> </w:t>
      </w:r>
    </w:p>
  </w:footnote>
  <w:footnote w:id="9">
    <w:p w14:paraId="66ED292D" w14:textId="77777777" w:rsidR="005D6EB3" w:rsidRDefault="005D6EB3" w:rsidP="00063C83">
      <w:pPr>
        <w:pStyle w:val="FootnoteText"/>
      </w:pPr>
      <w:r>
        <w:rPr>
          <w:rStyle w:val="FootnoteReference"/>
        </w:rPr>
        <w:footnoteRef/>
      </w:r>
      <w:r>
        <w:t xml:space="preserve"> </w:t>
      </w:r>
      <w:r w:rsidRPr="00E46083">
        <w:t>http://www.savills.co.uk/research_articles/141285/209239-0 Spotlight New Build Homes 2016/17</w:t>
      </w:r>
      <w:r>
        <w:t xml:space="preserve"> </w:t>
      </w:r>
    </w:p>
  </w:footnote>
  <w:footnote w:id="10">
    <w:p w14:paraId="688C5496" w14:textId="319EF790" w:rsidR="005D6EB3" w:rsidRDefault="005D6EB3">
      <w:pPr>
        <w:pStyle w:val="FootnoteText"/>
      </w:pPr>
      <w:r>
        <w:rPr>
          <w:rStyle w:val="FootnoteReference"/>
        </w:rPr>
        <w:footnoteRef/>
      </w:r>
      <w:hyperlink r:id="rId4" w:history="1">
        <w:r w:rsidRPr="00C33279">
          <w:rPr>
            <w:rStyle w:val="Hyperlink"/>
          </w:rPr>
          <w:t>https://assets.publishing.service.gov.uk/government/uploads/system/uploads/attachment_data/file/1005759/NPPF_July_2021.pdf</w:t>
        </w:r>
      </w:hyperlink>
    </w:p>
    <w:p w14:paraId="28C4807E" w14:textId="77777777" w:rsidR="005D6EB3" w:rsidRDefault="005D6EB3">
      <w:pPr>
        <w:pStyle w:val="FootnoteText"/>
      </w:pPr>
    </w:p>
  </w:footnote>
  <w:footnote w:id="11">
    <w:p w14:paraId="19323715" w14:textId="77777777" w:rsidR="005D6EB3" w:rsidRDefault="005D6EB3" w:rsidP="00063C83">
      <w:pPr>
        <w:pStyle w:val="FootnoteText"/>
        <w:ind w:left="142" w:hanging="142"/>
      </w:pPr>
      <w:r>
        <w:rPr>
          <w:rStyle w:val="FootnoteReference"/>
        </w:rPr>
        <w:footnoteRef/>
      </w:r>
      <w:r>
        <w:t xml:space="preserve"> </w:t>
      </w:r>
      <w:r w:rsidRPr="0012249D">
        <w:t>HBF Policy Conference, 22nd March 2016 – Speaker: John Stewart, Director Economic Affairs</w:t>
      </w:r>
      <w:r>
        <w:t xml:space="preserve"> </w:t>
      </w:r>
      <w:r w:rsidRPr="0012249D">
        <w:t xml:space="preserve"> </w:t>
      </w:r>
      <w:hyperlink r:id="rId5" w:history="1">
        <w:r w:rsidRPr="00BE4A44">
          <w:rPr>
            <w:rStyle w:val="Hyperlink"/>
          </w:rPr>
          <w:t>http://www.house-builder.co.uk/UserFiles/File/JohnStewart-Policy16.pdf</w:t>
        </w:r>
      </w:hyperlink>
      <w:r>
        <w:t xml:space="preserve"> </w:t>
      </w:r>
    </w:p>
  </w:footnote>
  <w:footnote w:id="12">
    <w:p w14:paraId="3677DFCB" w14:textId="77777777" w:rsidR="005D6EB3" w:rsidRDefault="005D6EB3" w:rsidP="00063C83">
      <w:pPr>
        <w:pStyle w:val="FootnoteText"/>
      </w:pPr>
      <w:r>
        <w:rPr>
          <w:rStyle w:val="FootnoteReference"/>
        </w:rPr>
        <w:footnoteRef/>
      </w:r>
      <w:hyperlink r:id="rId6" w:history="1">
        <w:r w:rsidRPr="00BE4A44">
          <w:rPr>
            <w:rStyle w:val="Hyperlink"/>
          </w:rPr>
          <w:t>http://lichfields.uk/media/2517/stock-and-flow-planning-permissions-and-housing-output.pdf</w:t>
        </w:r>
      </w:hyperlink>
      <w:r>
        <w:t xml:space="preserve">  </w:t>
      </w:r>
    </w:p>
  </w:footnote>
  <w:footnote w:id="13">
    <w:p w14:paraId="28AE4E3C" w14:textId="77777777" w:rsidR="005D6EB3" w:rsidRDefault="005D6EB3" w:rsidP="00C14BFC">
      <w:pPr>
        <w:pStyle w:val="FootnoteText"/>
      </w:pPr>
      <w:r>
        <w:rPr>
          <w:rStyle w:val="FootnoteReference"/>
        </w:rPr>
        <w:footnoteRef/>
      </w:r>
      <w:r>
        <w:t xml:space="preserve"> </w:t>
      </w:r>
      <w:r w:rsidRPr="00BB6439">
        <w:t>Town &amp; Country Planning (Use Classes) Order 1987, as amended</w:t>
      </w:r>
    </w:p>
  </w:footnote>
  <w:footnote w:id="14">
    <w:p w14:paraId="2A223A6B" w14:textId="76281ABF" w:rsidR="005D6EB3" w:rsidRDefault="005D6EB3">
      <w:pPr>
        <w:pStyle w:val="FootnoteText"/>
      </w:pPr>
      <w:r>
        <w:rPr>
          <w:rStyle w:val="FootnoteReference"/>
        </w:rPr>
        <w:footnoteRef/>
      </w:r>
      <w:r>
        <w:t xml:space="preserve"> </w:t>
      </w:r>
      <w:hyperlink r:id="rId7" w:history="1">
        <w:r w:rsidRPr="00CD5210">
          <w:rPr>
            <w:rStyle w:val="Hyperlink"/>
          </w:rPr>
          <w:t>https://www.ashfield.gov.uk/planning-building-control/development-management-documents/</w:t>
        </w:r>
      </w:hyperlink>
    </w:p>
    <w:p w14:paraId="0D112D80" w14:textId="77777777" w:rsidR="005D6EB3" w:rsidRDefault="005D6E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644D" w14:textId="64856E50" w:rsidR="005D6EB3" w:rsidRPr="00FD285F" w:rsidRDefault="005D6EB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9D71" w14:textId="5FEB5A63" w:rsidR="005D6EB3" w:rsidRDefault="005D6EB3" w:rsidP="002518C2">
    <w:pPr>
      <w:pStyle w:val="Header"/>
      <w:jc w:val="right"/>
    </w:pPr>
    <w:r>
      <w:t xml:space="preserve">Background Paper No 2: Housing </w:t>
    </w:r>
  </w:p>
  <w:p w14:paraId="4FE4C154" w14:textId="3F14137B" w:rsidR="005D6EB3" w:rsidRPr="00FD285F" w:rsidRDefault="005D6EB3" w:rsidP="002518C2">
    <w:pPr>
      <w:pStyle w:val="Header"/>
      <w:tabs>
        <w:tab w:val="clear" w:pos="4153"/>
        <w:tab w:val="clear" w:pos="8306"/>
        <w:tab w:val="left" w:pos="5459"/>
      </w:tabs>
    </w:pPr>
    <w:r>
      <w:rPr>
        <w:noProof/>
      </w:rPr>
      <mc:AlternateContent>
        <mc:Choice Requires="wps">
          <w:drawing>
            <wp:anchor distT="0" distB="0" distL="114300" distR="114300" simplePos="0" relativeHeight="251658752" behindDoc="0" locked="0" layoutInCell="1" allowOverlap="1" wp14:anchorId="5666BBD4" wp14:editId="3E827E2C">
              <wp:simplePos x="0" y="0"/>
              <wp:positionH relativeFrom="column">
                <wp:posOffset>22860</wp:posOffset>
              </wp:positionH>
              <wp:positionV relativeFrom="paragraph">
                <wp:posOffset>68580</wp:posOffset>
              </wp:positionV>
              <wp:extent cx="6179185" cy="635"/>
              <wp:effectExtent l="9525" t="12700" r="12065" b="5715"/>
              <wp:wrapNone/>
              <wp:docPr id="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19C17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7A/gEAAPg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GJiuwP4BAAD4AwAADgAAAAAAAAAAAAAA&#10;AAAuAgAAZHJzL2Uyb0RvYy54bWxQSwECLQAUAAYACAAAACEAL51OetwAAAAHAQAADwAAAAAAAAAA&#10;AAAAAABYBAAAZHJzL2Rvd25yZXYueG1sUEsFBgAAAAAEAAQA8wAAAGEFAAAAAA==&#10;"/>
          </w:pict>
        </mc:Fallback>
      </mc:AlternateContent>
    </w:r>
  </w:p>
  <w:p w14:paraId="674CF4A8" w14:textId="77777777" w:rsidR="005D6EB3" w:rsidRPr="00FD285F" w:rsidRDefault="005D6EB3"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698B" w14:textId="77777777" w:rsidR="005D6EB3" w:rsidRPr="001356B6" w:rsidRDefault="005D6EB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263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D2C3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FCD4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06AFDE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4C7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06E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F0B0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D246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0A3F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0C1E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A224A"/>
    <w:multiLevelType w:val="multilevel"/>
    <w:tmpl w:val="D4E61F14"/>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1" w15:restartNumberingAfterBreak="0">
    <w:nsid w:val="014D21E5"/>
    <w:multiLevelType w:val="hybridMultilevel"/>
    <w:tmpl w:val="1E64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CE4179"/>
    <w:multiLevelType w:val="hybridMultilevel"/>
    <w:tmpl w:val="08B0B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8D9290A"/>
    <w:multiLevelType w:val="hybridMultilevel"/>
    <w:tmpl w:val="2AA8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32F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1E3ABE"/>
    <w:multiLevelType w:val="hybridMultilevel"/>
    <w:tmpl w:val="B7AA706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6" w15:restartNumberingAfterBreak="0">
    <w:nsid w:val="1F7A4420"/>
    <w:multiLevelType w:val="hybridMultilevel"/>
    <w:tmpl w:val="673AB32E"/>
    <w:lvl w:ilvl="0" w:tplc="94ECAB6A">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D64189"/>
    <w:multiLevelType w:val="multilevel"/>
    <w:tmpl w:val="338AC1B6"/>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val="0"/>
        <w:bCs w:val="0"/>
        <w:i w:val="0"/>
        <w:iCs w:val="0"/>
        <w:color w:val="auto"/>
        <w:sz w:val="24"/>
        <w:szCs w:val="24"/>
      </w:rPr>
    </w:lvl>
    <w:lvl w:ilvl="2">
      <w:start w:val="1"/>
      <w:numFmt w:val="bullet"/>
      <w:lvlText w:val=""/>
      <w:lvlJc w:val="left"/>
      <w:pPr>
        <w:ind w:left="1080" w:hanging="36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31649BC"/>
    <w:multiLevelType w:val="hybridMultilevel"/>
    <w:tmpl w:val="CB643B72"/>
    <w:lvl w:ilvl="0" w:tplc="08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28947F7C"/>
    <w:multiLevelType w:val="hybridMultilevel"/>
    <w:tmpl w:val="2ED62CAA"/>
    <w:lvl w:ilvl="0" w:tplc="327C219E">
      <w:start w:val="6"/>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396879D8"/>
    <w:multiLevelType w:val="multilevel"/>
    <w:tmpl w:val="61D0C62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4726D1B"/>
    <w:multiLevelType w:val="hybridMultilevel"/>
    <w:tmpl w:val="67242E04"/>
    <w:lvl w:ilvl="0" w:tplc="08090001">
      <w:start w:val="1"/>
      <w:numFmt w:val="bullet"/>
      <w:lvlText w:val=""/>
      <w:lvlJc w:val="left"/>
      <w:pPr>
        <w:ind w:left="717" w:hanging="360"/>
      </w:pPr>
      <w:rPr>
        <w:rFonts w:ascii="Symbol" w:hAnsi="Symbol"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2"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B3934"/>
    <w:multiLevelType w:val="multilevel"/>
    <w:tmpl w:val="FAD8F46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ascii="Arial" w:hAnsi="Arial" w:cs="Arial"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0904C00"/>
    <w:multiLevelType w:val="multilevel"/>
    <w:tmpl w:val="029C7D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0C47F4F"/>
    <w:multiLevelType w:val="hybridMultilevel"/>
    <w:tmpl w:val="A4A4AE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177AD2"/>
    <w:multiLevelType w:val="hybridMultilevel"/>
    <w:tmpl w:val="9C2603E2"/>
    <w:lvl w:ilvl="0" w:tplc="3B243568">
      <w:start w:val="1"/>
      <w:numFmt w:val="bullet"/>
      <w:pStyle w:val="Heading5"/>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BE36FE"/>
    <w:multiLevelType w:val="hybridMultilevel"/>
    <w:tmpl w:val="BE58BE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837FF"/>
    <w:multiLevelType w:val="hybridMultilevel"/>
    <w:tmpl w:val="CB588A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1099B"/>
    <w:multiLevelType w:val="hybridMultilevel"/>
    <w:tmpl w:val="51BC0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9121D8"/>
    <w:multiLevelType w:val="hybridMultilevel"/>
    <w:tmpl w:val="204A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34057">
    <w:abstractNumId w:val="16"/>
  </w:num>
  <w:num w:numId="2" w16cid:durableId="237714063">
    <w:abstractNumId w:val="11"/>
  </w:num>
  <w:num w:numId="3" w16cid:durableId="94178521">
    <w:abstractNumId w:val="30"/>
  </w:num>
  <w:num w:numId="4" w16cid:durableId="1095247097">
    <w:abstractNumId w:val="14"/>
  </w:num>
  <w:num w:numId="5" w16cid:durableId="437216359">
    <w:abstractNumId w:val="24"/>
  </w:num>
  <w:num w:numId="6" w16cid:durableId="1081220878">
    <w:abstractNumId w:val="28"/>
  </w:num>
  <w:num w:numId="7" w16cid:durableId="1229221081">
    <w:abstractNumId w:val="27"/>
  </w:num>
  <w:num w:numId="8" w16cid:durableId="1171725040">
    <w:abstractNumId w:val="26"/>
  </w:num>
  <w:num w:numId="9" w16cid:durableId="532808449">
    <w:abstractNumId w:val="23"/>
  </w:num>
  <w:num w:numId="10" w16cid:durableId="1490362176">
    <w:abstractNumId w:val="22"/>
  </w:num>
  <w:num w:numId="11" w16cid:durableId="991905617">
    <w:abstractNumId w:val="21"/>
  </w:num>
  <w:num w:numId="12" w16cid:durableId="1890921926">
    <w:abstractNumId w:val="15"/>
  </w:num>
  <w:num w:numId="13" w16cid:durableId="1986012487">
    <w:abstractNumId w:val="31"/>
  </w:num>
  <w:num w:numId="14" w16cid:durableId="1310089719">
    <w:abstractNumId w:val="19"/>
  </w:num>
  <w:num w:numId="15" w16cid:durableId="674110598">
    <w:abstractNumId w:val="10"/>
  </w:num>
  <w:num w:numId="16" w16cid:durableId="1745834599">
    <w:abstractNumId w:val="12"/>
  </w:num>
  <w:num w:numId="17" w16cid:durableId="188880114">
    <w:abstractNumId w:val="20"/>
  </w:num>
  <w:num w:numId="18" w16cid:durableId="1825471421">
    <w:abstractNumId w:val="13"/>
  </w:num>
  <w:num w:numId="19" w16cid:durableId="1756323065">
    <w:abstractNumId w:val="18"/>
  </w:num>
  <w:num w:numId="20" w16cid:durableId="51082341">
    <w:abstractNumId w:val="25"/>
  </w:num>
  <w:num w:numId="21" w16cid:durableId="903561114">
    <w:abstractNumId w:val="9"/>
  </w:num>
  <w:num w:numId="22" w16cid:durableId="1305819621">
    <w:abstractNumId w:val="7"/>
  </w:num>
  <w:num w:numId="23" w16cid:durableId="124590557">
    <w:abstractNumId w:val="6"/>
  </w:num>
  <w:num w:numId="24" w16cid:durableId="520749220">
    <w:abstractNumId w:val="5"/>
  </w:num>
  <w:num w:numId="25" w16cid:durableId="1323318148">
    <w:abstractNumId w:val="4"/>
  </w:num>
  <w:num w:numId="26" w16cid:durableId="914776287">
    <w:abstractNumId w:val="8"/>
  </w:num>
  <w:num w:numId="27" w16cid:durableId="610017057">
    <w:abstractNumId w:val="3"/>
  </w:num>
  <w:num w:numId="28" w16cid:durableId="1745033358">
    <w:abstractNumId w:val="2"/>
  </w:num>
  <w:num w:numId="29" w16cid:durableId="150487294">
    <w:abstractNumId w:val="1"/>
  </w:num>
  <w:num w:numId="30" w16cid:durableId="167450129">
    <w:abstractNumId w:val="0"/>
  </w:num>
  <w:num w:numId="31" w16cid:durableId="2054037587">
    <w:abstractNumId w:val="29"/>
  </w:num>
  <w:num w:numId="32" w16cid:durableId="110468653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44D7"/>
    <w:rsid w:val="00007FDF"/>
    <w:rsid w:val="000109CC"/>
    <w:rsid w:val="00010E86"/>
    <w:rsid w:val="00011610"/>
    <w:rsid w:val="00012862"/>
    <w:rsid w:val="00014427"/>
    <w:rsid w:val="00015419"/>
    <w:rsid w:val="00020F6E"/>
    <w:rsid w:val="00021F6A"/>
    <w:rsid w:val="00022AAD"/>
    <w:rsid w:val="00022BF0"/>
    <w:rsid w:val="00023ED8"/>
    <w:rsid w:val="0002420A"/>
    <w:rsid w:val="0002609D"/>
    <w:rsid w:val="00026F5A"/>
    <w:rsid w:val="00030BC8"/>
    <w:rsid w:val="00032355"/>
    <w:rsid w:val="00033102"/>
    <w:rsid w:val="0003519B"/>
    <w:rsid w:val="000361B7"/>
    <w:rsid w:val="000367CE"/>
    <w:rsid w:val="0003711C"/>
    <w:rsid w:val="000375BB"/>
    <w:rsid w:val="00040A23"/>
    <w:rsid w:val="000411E8"/>
    <w:rsid w:val="00042AAB"/>
    <w:rsid w:val="000465DE"/>
    <w:rsid w:val="000471A5"/>
    <w:rsid w:val="0005284D"/>
    <w:rsid w:val="00056872"/>
    <w:rsid w:val="00056A42"/>
    <w:rsid w:val="00057C58"/>
    <w:rsid w:val="00060090"/>
    <w:rsid w:val="000607E8"/>
    <w:rsid w:val="00061E53"/>
    <w:rsid w:val="000620E0"/>
    <w:rsid w:val="0006394B"/>
    <w:rsid w:val="00063C83"/>
    <w:rsid w:val="00064C03"/>
    <w:rsid w:val="00064C82"/>
    <w:rsid w:val="00067832"/>
    <w:rsid w:val="00070A9C"/>
    <w:rsid w:val="000716EF"/>
    <w:rsid w:val="000735F1"/>
    <w:rsid w:val="000749A5"/>
    <w:rsid w:val="00074C15"/>
    <w:rsid w:val="000758D1"/>
    <w:rsid w:val="000759B0"/>
    <w:rsid w:val="000765F3"/>
    <w:rsid w:val="00076A3B"/>
    <w:rsid w:val="00077560"/>
    <w:rsid w:val="00081237"/>
    <w:rsid w:val="000812E9"/>
    <w:rsid w:val="000818E3"/>
    <w:rsid w:val="00081DDC"/>
    <w:rsid w:val="00082366"/>
    <w:rsid w:val="00082ECE"/>
    <w:rsid w:val="00083228"/>
    <w:rsid w:val="00083EF7"/>
    <w:rsid w:val="000841D7"/>
    <w:rsid w:val="00084362"/>
    <w:rsid w:val="00084E15"/>
    <w:rsid w:val="00084E5A"/>
    <w:rsid w:val="00085A0E"/>
    <w:rsid w:val="0008607A"/>
    <w:rsid w:val="00086B78"/>
    <w:rsid w:val="00086C68"/>
    <w:rsid w:val="00087474"/>
    <w:rsid w:val="00087E74"/>
    <w:rsid w:val="00090A96"/>
    <w:rsid w:val="00093B4D"/>
    <w:rsid w:val="00094886"/>
    <w:rsid w:val="000948F6"/>
    <w:rsid w:val="00094CAD"/>
    <w:rsid w:val="0009644F"/>
    <w:rsid w:val="0009718B"/>
    <w:rsid w:val="00097E77"/>
    <w:rsid w:val="000A01C2"/>
    <w:rsid w:val="000A069B"/>
    <w:rsid w:val="000A0BB9"/>
    <w:rsid w:val="000A2179"/>
    <w:rsid w:val="000A515A"/>
    <w:rsid w:val="000A5528"/>
    <w:rsid w:val="000A56D0"/>
    <w:rsid w:val="000B01B9"/>
    <w:rsid w:val="000B507F"/>
    <w:rsid w:val="000B5BF8"/>
    <w:rsid w:val="000B701C"/>
    <w:rsid w:val="000B75CD"/>
    <w:rsid w:val="000C237A"/>
    <w:rsid w:val="000C24DB"/>
    <w:rsid w:val="000C73E3"/>
    <w:rsid w:val="000C78A5"/>
    <w:rsid w:val="000D1F7E"/>
    <w:rsid w:val="000D2A18"/>
    <w:rsid w:val="000D2CBD"/>
    <w:rsid w:val="000D375C"/>
    <w:rsid w:val="000D50DA"/>
    <w:rsid w:val="000D534C"/>
    <w:rsid w:val="000D5B58"/>
    <w:rsid w:val="000D7D0F"/>
    <w:rsid w:val="000D7D2D"/>
    <w:rsid w:val="000E07F5"/>
    <w:rsid w:val="000E1B91"/>
    <w:rsid w:val="000E3B3D"/>
    <w:rsid w:val="000E4D46"/>
    <w:rsid w:val="000E658E"/>
    <w:rsid w:val="000E6D5F"/>
    <w:rsid w:val="000E7542"/>
    <w:rsid w:val="000F1B9B"/>
    <w:rsid w:val="000F1DDF"/>
    <w:rsid w:val="000F235A"/>
    <w:rsid w:val="000F32C5"/>
    <w:rsid w:val="000F3C65"/>
    <w:rsid w:val="000F3D91"/>
    <w:rsid w:val="000F3F4D"/>
    <w:rsid w:val="000F54F1"/>
    <w:rsid w:val="000F7520"/>
    <w:rsid w:val="000F7BB4"/>
    <w:rsid w:val="001015D1"/>
    <w:rsid w:val="001019CE"/>
    <w:rsid w:val="00101EC0"/>
    <w:rsid w:val="00102700"/>
    <w:rsid w:val="001037B6"/>
    <w:rsid w:val="00104919"/>
    <w:rsid w:val="001057AD"/>
    <w:rsid w:val="0010754D"/>
    <w:rsid w:val="0010799C"/>
    <w:rsid w:val="00107AE0"/>
    <w:rsid w:val="001106D6"/>
    <w:rsid w:val="001109C7"/>
    <w:rsid w:val="00112CB3"/>
    <w:rsid w:val="00120400"/>
    <w:rsid w:val="001220C2"/>
    <w:rsid w:val="001236E9"/>
    <w:rsid w:val="001257D7"/>
    <w:rsid w:val="00126838"/>
    <w:rsid w:val="00127654"/>
    <w:rsid w:val="00127DE4"/>
    <w:rsid w:val="00130CD7"/>
    <w:rsid w:val="00131EFC"/>
    <w:rsid w:val="001336FB"/>
    <w:rsid w:val="001338DE"/>
    <w:rsid w:val="001345A2"/>
    <w:rsid w:val="00134852"/>
    <w:rsid w:val="001356B6"/>
    <w:rsid w:val="00136628"/>
    <w:rsid w:val="00137873"/>
    <w:rsid w:val="00137890"/>
    <w:rsid w:val="00137A79"/>
    <w:rsid w:val="001409E8"/>
    <w:rsid w:val="00141603"/>
    <w:rsid w:val="001438A8"/>
    <w:rsid w:val="00143AB1"/>
    <w:rsid w:val="00145037"/>
    <w:rsid w:val="00145A4C"/>
    <w:rsid w:val="00146AEF"/>
    <w:rsid w:val="00147A09"/>
    <w:rsid w:val="00150C39"/>
    <w:rsid w:val="001512E7"/>
    <w:rsid w:val="001517E7"/>
    <w:rsid w:val="0015227A"/>
    <w:rsid w:val="00152609"/>
    <w:rsid w:val="001533DB"/>
    <w:rsid w:val="001543D2"/>
    <w:rsid w:val="001558D9"/>
    <w:rsid w:val="001564D7"/>
    <w:rsid w:val="001573A4"/>
    <w:rsid w:val="00157A7C"/>
    <w:rsid w:val="00160DC8"/>
    <w:rsid w:val="0016126C"/>
    <w:rsid w:val="00161EF5"/>
    <w:rsid w:val="00162658"/>
    <w:rsid w:val="001639D0"/>
    <w:rsid w:val="00164823"/>
    <w:rsid w:val="001674F3"/>
    <w:rsid w:val="001704B9"/>
    <w:rsid w:val="001739F1"/>
    <w:rsid w:val="00174872"/>
    <w:rsid w:val="00174DE4"/>
    <w:rsid w:val="00175C2F"/>
    <w:rsid w:val="00175D40"/>
    <w:rsid w:val="001760A7"/>
    <w:rsid w:val="00176BFC"/>
    <w:rsid w:val="00176CB7"/>
    <w:rsid w:val="001774D8"/>
    <w:rsid w:val="001779D6"/>
    <w:rsid w:val="00177A4E"/>
    <w:rsid w:val="0018075D"/>
    <w:rsid w:val="0018331B"/>
    <w:rsid w:val="00183721"/>
    <w:rsid w:val="00183BB2"/>
    <w:rsid w:val="00185783"/>
    <w:rsid w:val="00185F93"/>
    <w:rsid w:val="0018654F"/>
    <w:rsid w:val="001878A4"/>
    <w:rsid w:val="00190028"/>
    <w:rsid w:val="00190389"/>
    <w:rsid w:val="00191765"/>
    <w:rsid w:val="00193284"/>
    <w:rsid w:val="00193C63"/>
    <w:rsid w:val="001969B6"/>
    <w:rsid w:val="001A0C1E"/>
    <w:rsid w:val="001A11CA"/>
    <w:rsid w:val="001A1269"/>
    <w:rsid w:val="001A15ED"/>
    <w:rsid w:val="001A29F6"/>
    <w:rsid w:val="001A32F6"/>
    <w:rsid w:val="001A3BFC"/>
    <w:rsid w:val="001A47C5"/>
    <w:rsid w:val="001A5534"/>
    <w:rsid w:val="001A5A1F"/>
    <w:rsid w:val="001A5EDD"/>
    <w:rsid w:val="001A7A47"/>
    <w:rsid w:val="001B196B"/>
    <w:rsid w:val="001B2727"/>
    <w:rsid w:val="001B2940"/>
    <w:rsid w:val="001B36C6"/>
    <w:rsid w:val="001B4E15"/>
    <w:rsid w:val="001C0370"/>
    <w:rsid w:val="001C0D3B"/>
    <w:rsid w:val="001C2A13"/>
    <w:rsid w:val="001C2E57"/>
    <w:rsid w:val="001C52F4"/>
    <w:rsid w:val="001C5363"/>
    <w:rsid w:val="001C7579"/>
    <w:rsid w:val="001D42A5"/>
    <w:rsid w:val="001D4FB2"/>
    <w:rsid w:val="001D6782"/>
    <w:rsid w:val="001D681F"/>
    <w:rsid w:val="001D74D6"/>
    <w:rsid w:val="001E14C4"/>
    <w:rsid w:val="001E2B50"/>
    <w:rsid w:val="001E2E8B"/>
    <w:rsid w:val="001E49C4"/>
    <w:rsid w:val="001F00EE"/>
    <w:rsid w:val="001F0542"/>
    <w:rsid w:val="001F1C3E"/>
    <w:rsid w:val="001F29FB"/>
    <w:rsid w:val="001F39D3"/>
    <w:rsid w:val="001F4782"/>
    <w:rsid w:val="001F4B3D"/>
    <w:rsid w:val="001F4ECB"/>
    <w:rsid w:val="001F5295"/>
    <w:rsid w:val="001F5766"/>
    <w:rsid w:val="001F5B4D"/>
    <w:rsid w:val="001F5D6B"/>
    <w:rsid w:val="001F5E88"/>
    <w:rsid w:val="001F728F"/>
    <w:rsid w:val="001F7A05"/>
    <w:rsid w:val="001F7FA8"/>
    <w:rsid w:val="00200367"/>
    <w:rsid w:val="00203265"/>
    <w:rsid w:val="00203E92"/>
    <w:rsid w:val="0020406D"/>
    <w:rsid w:val="00205D98"/>
    <w:rsid w:val="002130E5"/>
    <w:rsid w:val="00214E5A"/>
    <w:rsid w:val="00216E2F"/>
    <w:rsid w:val="002171F8"/>
    <w:rsid w:val="002201FB"/>
    <w:rsid w:val="002208BE"/>
    <w:rsid w:val="00220B40"/>
    <w:rsid w:val="00221AE3"/>
    <w:rsid w:val="00222651"/>
    <w:rsid w:val="00223AEA"/>
    <w:rsid w:val="002250D8"/>
    <w:rsid w:val="00226A99"/>
    <w:rsid w:val="00226B94"/>
    <w:rsid w:val="00226EEC"/>
    <w:rsid w:val="002308D8"/>
    <w:rsid w:val="002314C0"/>
    <w:rsid w:val="00233EA4"/>
    <w:rsid w:val="0023416B"/>
    <w:rsid w:val="00234878"/>
    <w:rsid w:val="00235111"/>
    <w:rsid w:val="0023556C"/>
    <w:rsid w:val="002355BC"/>
    <w:rsid w:val="002419B2"/>
    <w:rsid w:val="0024215D"/>
    <w:rsid w:val="00244E0D"/>
    <w:rsid w:val="0024591C"/>
    <w:rsid w:val="00246796"/>
    <w:rsid w:val="00247030"/>
    <w:rsid w:val="00247318"/>
    <w:rsid w:val="00247F5A"/>
    <w:rsid w:val="002518C2"/>
    <w:rsid w:val="00252824"/>
    <w:rsid w:val="00254AD7"/>
    <w:rsid w:val="002575D9"/>
    <w:rsid w:val="00257D42"/>
    <w:rsid w:val="0026216D"/>
    <w:rsid w:val="00262A0A"/>
    <w:rsid w:val="00262B69"/>
    <w:rsid w:val="00263E28"/>
    <w:rsid w:val="00263EF4"/>
    <w:rsid w:val="00264261"/>
    <w:rsid w:val="002648B6"/>
    <w:rsid w:val="00264D69"/>
    <w:rsid w:val="0026700F"/>
    <w:rsid w:val="002711EB"/>
    <w:rsid w:val="00271AD9"/>
    <w:rsid w:val="002724E7"/>
    <w:rsid w:val="00272847"/>
    <w:rsid w:val="0027321B"/>
    <w:rsid w:val="002752F1"/>
    <w:rsid w:val="0027662E"/>
    <w:rsid w:val="00277C2E"/>
    <w:rsid w:val="00280BEB"/>
    <w:rsid w:val="00280E44"/>
    <w:rsid w:val="00281FEA"/>
    <w:rsid w:val="00283DFD"/>
    <w:rsid w:val="002846D7"/>
    <w:rsid w:val="002850DF"/>
    <w:rsid w:val="00286765"/>
    <w:rsid w:val="00291935"/>
    <w:rsid w:val="00291A31"/>
    <w:rsid w:val="00294349"/>
    <w:rsid w:val="002A39B7"/>
    <w:rsid w:val="002A43CA"/>
    <w:rsid w:val="002A4C84"/>
    <w:rsid w:val="002A52E4"/>
    <w:rsid w:val="002A646F"/>
    <w:rsid w:val="002A7830"/>
    <w:rsid w:val="002A7E73"/>
    <w:rsid w:val="002B1FE6"/>
    <w:rsid w:val="002B2015"/>
    <w:rsid w:val="002B2DB1"/>
    <w:rsid w:val="002B4292"/>
    <w:rsid w:val="002B4933"/>
    <w:rsid w:val="002B5518"/>
    <w:rsid w:val="002B7E66"/>
    <w:rsid w:val="002C09A3"/>
    <w:rsid w:val="002C0AA8"/>
    <w:rsid w:val="002C24E5"/>
    <w:rsid w:val="002C40F6"/>
    <w:rsid w:val="002C4B19"/>
    <w:rsid w:val="002C530D"/>
    <w:rsid w:val="002C5A19"/>
    <w:rsid w:val="002C75C3"/>
    <w:rsid w:val="002D0973"/>
    <w:rsid w:val="002D297D"/>
    <w:rsid w:val="002D2B91"/>
    <w:rsid w:val="002D41E0"/>
    <w:rsid w:val="002D51A6"/>
    <w:rsid w:val="002D5BAC"/>
    <w:rsid w:val="002D5F36"/>
    <w:rsid w:val="002D75F6"/>
    <w:rsid w:val="002E007F"/>
    <w:rsid w:val="002E0491"/>
    <w:rsid w:val="002E2D01"/>
    <w:rsid w:val="002E3A8E"/>
    <w:rsid w:val="002E456E"/>
    <w:rsid w:val="002E4628"/>
    <w:rsid w:val="002E5693"/>
    <w:rsid w:val="002E7409"/>
    <w:rsid w:val="002E79A6"/>
    <w:rsid w:val="002F01AC"/>
    <w:rsid w:val="002F0248"/>
    <w:rsid w:val="002F2F73"/>
    <w:rsid w:val="002F3798"/>
    <w:rsid w:val="002F4EC7"/>
    <w:rsid w:val="002F65C2"/>
    <w:rsid w:val="002F6B86"/>
    <w:rsid w:val="002F6C4C"/>
    <w:rsid w:val="002F7DD9"/>
    <w:rsid w:val="0030132D"/>
    <w:rsid w:val="00304258"/>
    <w:rsid w:val="00304477"/>
    <w:rsid w:val="00304960"/>
    <w:rsid w:val="003053B2"/>
    <w:rsid w:val="00306211"/>
    <w:rsid w:val="0030635A"/>
    <w:rsid w:val="00311F30"/>
    <w:rsid w:val="00312351"/>
    <w:rsid w:val="00313271"/>
    <w:rsid w:val="003168F6"/>
    <w:rsid w:val="00317223"/>
    <w:rsid w:val="00317D75"/>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177D"/>
    <w:rsid w:val="00333261"/>
    <w:rsid w:val="00335039"/>
    <w:rsid w:val="00335974"/>
    <w:rsid w:val="0033656F"/>
    <w:rsid w:val="00336787"/>
    <w:rsid w:val="0033742D"/>
    <w:rsid w:val="0033785B"/>
    <w:rsid w:val="003409BC"/>
    <w:rsid w:val="0034140D"/>
    <w:rsid w:val="0034194F"/>
    <w:rsid w:val="00342683"/>
    <w:rsid w:val="00343048"/>
    <w:rsid w:val="0034457C"/>
    <w:rsid w:val="00345155"/>
    <w:rsid w:val="00346060"/>
    <w:rsid w:val="00346F49"/>
    <w:rsid w:val="00347A20"/>
    <w:rsid w:val="00347EBC"/>
    <w:rsid w:val="003509F0"/>
    <w:rsid w:val="00350A6B"/>
    <w:rsid w:val="00350B39"/>
    <w:rsid w:val="00350C97"/>
    <w:rsid w:val="00350D6C"/>
    <w:rsid w:val="00353C19"/>
    <w:rsid w:val="0035415B"/>
    <w:rsid w:val="00354E25"/>
    <w:rsid w:val="00357037"/>
    <w:rsid w:val="003576A3"/>
    <w:rsid w:val="0036027E"/>
    <w:rsid w:val="00360A19"/>
    <w:rsid w:val="00365807"/>
    <w:rsid w:val="00367BE8"/>
    <w:rsid w:val="0037191F"/>
    <w:rsid w:val="00373187"/>
    <w:rsid w:val="00373DD1"/>
    <w:rsid w:val="00373EF9"/>
    <w:rsid w:val="00374281"/>
    <w:rsid w:val="00376157"/>
    <w:rsid w:val="00376D89"/>
    <w:rsid w:val="0038000B"/>
    <w:rsid w:val="003810AD"/>
    <w:rsid w:val="00381903"/>
    <w:rsid w:val="003823BC"/>
    <w:rsid w:val="00382C5F"/>
    <w:rsid w:val="00386465"/>
    <w:rsid w:val="00390AFE"/>
    <w:rsid w:val="0039208B"/>
    <w:rsid w:val="00392C38"/>
    <w:rsid w:val="0039305B"/>
    <w:rsid w:val="003942E7"/>
    <w:rsid w:val="003957DC"/>
    <w:rsid w:val="003A0A0F"/>
    <w:rsid w:val="003A0E21"/>
    <w:rsid w:val="003A144F"/>
    <w:rsid w:val="003A3EB6"/>
    <w:rsid w:val="003A4F9F"/>
    <w:rsid w:val="003A5812"/>
    <w:rsid w:val="003A5F20"/>
    <w:rsid w:val="003A7C04"/>
    <w:rsid w:val="003B0DE1"/>
    <w:rsid w:val="003B0F9E"/>
    <w:rsid w:val="003B14B5"/>
    <w:rsid w:val="003B24F2"/>
    <w:rsid w:val="003B2C6E"/>
    <w:rsid w:val="003B6211"/>
    <w:rsid w:val="003B66CD"/>
    <w:rsid w:val="003B714F"/>
    <w:rsid w:val="003C2C55"/>
    <w:rsid w:val="003C3EF2"/>
    <w:rsid w:val="003C4CA1"/>
    <w:rsid w:val="003D06DF"/>
    <w:rsid w:val="003D200C"/>
    <w:rsid w:val="003D4BD3"/>
    <w:rsid w:val="003D6096"/>
    <w:rsid w:val="003E0B72"/>
    <w:rsid w:val="003E1F5A"/>
    <w:rsid w:val="003E39CE"/>
    <w:rsid w:val="003E4B19"/>
    <w:rsid w:val="003E4BA7"/>
    <w:rsid w:val="003E63D9"/>
    <w:rsid w:val="003E70BC"/>
    <w:rsid w:val="003E77A2"/>
    <w:rsid w:val="003F28A4"/>
    <w:rsid w:val="003F515A"/>
    <w:rsid w:val="003F6D32"/>
    <w:rsid w:val="004001D4"/>
    <w:rsid w:val="00401534"/>
    <w:rsid w:val="004036E3"/>
    <w:rsid w:val="00406091"/>
    <w:rsid w:val="0040640F"/>
    <w:rsid w:val="0040699B"/>
    <w:rsid w:val="00407E37"/>
    <w:rsid w:val="00410153"/>
    <w:rsid w:val="004117D2"/>
    <w:rsid w:val="00412FA7"/>
    <w:rsid w:val="00413465"/>
    <w:rsid w:val="004139B4"/>
    <w:rsid w:val="00414046"/>
    <w:rsid w:val="00415285"/>
    <w:rsid w:val="004152DA"/>
    <w:rsid w:val="0041597C"/>
    <w:rsid w:val="004212F1"/>
    <w:rsid w:val="0042130F"/>
    <w:rsid w:val="00422B80"/>
    <w:rsid w:val="00422C17"/>
    <w:rsid w:val="00423167"/>
    <w:rsid w:val="00423CC3"/>
    <w:rsid w:val="0042611F"/>
    <w:rsid w:val="00426D81"/>
    <w:rsid w:val="00427115"/>
    <w:rsid w:val="004316BD"/>
    <w:rsid w:val="004317A5"/>
    <w:rsid w:val="00433F9D"/>
    <w:rsid w:val="00436218"/>
    <w:rsid w:val="0043791E"/>
    <w:rsid w:val="00437DFD"/>
    <w:rsid w:val="00440618"/>
    <w:rsid w:val="004422C5"/>
    <w:rsid w:val="00442C13"/>
    <w:rsid w:val="00444393"/>
    <w:rsid w:val="004453B1"/>
    <w:rsid w:val="004455A3"/>
    <w:rsid w:val="00446E92"/>
    <w:rsid w:val="0045070C"/>
    <w:rsid w:val="00451D75"/>
    <w:rsid w:val="00452FA6"/>
    <w:rsid w:val="00453114"/>
    <w:rsid w:val="00454E26"/>
    <w:rsid w:val="00456233"/>
    <w:rsid w:val="00456C52"/>
    <w:rsid w:val="004604D6"/>
    <w:rsid w:val="00460DF9"/>
    <w:rsid w:val="00460FA1"/>
    <w:rsid w:val="004610D7"/>
    <w:rsid w:val="00461654"/>
    <w:rsid w:val="00464313"/>
    <w:rsid w:val="00466CBB"/>
    <w:rsid w:val="00467705"/>
    <w:rsid w:val="004718B3"/>
    <w:rsid w:val="004720A5"/>
    <w:rsid w:val="004736BE"/>
    <w:rsid w:val="00476A55"/>
    <w:rsid w:val="004801F5"/>
    <w:rsid w:val="00480206"/>
    <w:rsid w:val="00480319"/>
    <w:rsid w:val="004804BE"/>
    <w:rsid w:val="004817C6"/>
    <w:rsid w:val="00483086"/>
    <w:rsid w:val="00483FDF"/>
    <w:rsid w:val="004843BE"/>
    <w:rsid w:val="0048768B"/>
    <w:rsid w:val="00487C78"/>
    <w:rsid w:val="00487F89"/>
    <w:rsid w:val="004907D7"/>
    <w:rsid w:val="004916B8"/>
    <w:rsid w:val="0049361A"/>
    <w:rsid w:val="0049508B"/>
    <w:rsid w:val="004960EA"/>
    <w:rsid w:val="004979B6"/>
    <w:rsid w:val="004A12CF"/>
    <w:rsid w:val="004A26D5"/>
    <w:rsid w:val="004A437E"/>
    <w:rsid w:val="004A4E8B"/>
    <w:rsid w:val="004A5697"/>
    <w:rsid w:val="004A6476"/>
    <w:rsid w:val="004A7B92"/>
    <w:rsid w:val="004B0C30"/>
    <w:rsid w:val="004B10EA"/>
    <w:rsid w:val="004B2AB0"/>
    <w:rsid w:val="004B3B57"/>
    <w:rsid w:val="004B3B75"/>
    <w:rsid w:val="004B3CCF"/>
    <w:rsid w:val="004C0391"/>
    <w:rsid w:val="004C1BFF"/>
    <w:rsid w:val="004C2FCD"/>
    <w:rsid w:val="004C46E3"/>
    <w:rsid w:val="004C50B3"/>
    <w:rsid w:val="004C5459"/>
    <w:rsid w:val="004C7B8E"/>
    <w:rsid w:val="004D2098"/>
    <w:rsid w:val="004D2644"/>
    <w:rsid w:val="004D74FC"/>
    <w:rsid w:val="004E2224"/>
    <w:rsid w:val="004E3752"/>
    <w:rsid w:val="004E4D65"/>
    <w:rsid w:val="004E519C"/>
    <w:rsid w:val="004E527E"/>
    <w:rsid w:val="004E5735"/>
    <w:rsid w:val="004E5A6E"/>
    <w:rsid w:val="004E6E6F"/>
    <w:rsid w:val="004F11F5"/>
    <w:rsid w:val="004F217B"/>
    <w:rsid w:val="004F2330"/>
    <w:rsid w:val="004F38C1"/>
    <w:rsid w:val="004F5A73"/>
    <w:rsid w:val="004F61C7"/>
    <w:rsid w:val="004F7994"/>
    <w:rsid w:val="00501094"/>
    <w:rsid w:val="00501527"/>
    <w:rsid w:val="00503675"/>
    <w:rsid w:val="005037CB"/>
    <w:rsid w:val="00504366"/>
    <w:rsid w:val="005043B5"/>
    <w:rsid w:val="005045D0"/>
    <w:rsid w:val="00505AF6"/>
    <w:rsid w:val="00505BA8"/>
    <w:rsid w:val="00506B27"/>
    <w:rsid w:val="005119B4"/>
    <w:rsid w:val="005125A9"/>
    <w:rsid w:val="00512E85"/>
    <w:rsid w:val="00513402"/>
    <w:rsid w:val="00516394"/>
    <w:rsid w:val="0051770A"/>
    <w:rsid w:val="00517EF8"/>
    <w:rsid w:val="0052177C"/>
    <w:rsid w:val="0052332D"/>
    <w:rsid w:val="00523987"/>
    <w:rsid w:val="00523EBA"/>
    <w:rsid w:val="00524752"/>
    <w:rsid w:val="00524C97"/>
    <w:rsid w:val="005267B6"/>
    <w:rsid w:val="00527BF8"/>
    <w:rsid w:val="005302AC"/>
    <w:rsid w:val="005302F5"/>
    <w:rsid w:val="00531652"/>
    <w:rsid w:val="005318B0"/>
    <w:rsid w:val="00532F6A"/>
    <w:rsid w:val="0053391E"/>
    <w:rsid w:val="0053424E"/>
    <w:rsid w:val="00534A13"/>
    <w:rsid w:val="00541DF5"/>
    <w:rsid w:val="00542233"/>
    <w:rsid w:val="00542840"/>
    <w:rsid w:val="005432DA"/>
    <w:rsid w:val="00543E6C"/>
    <w:rsid w:val="00547D6A"/>
    <w:rsid w:val="00550DB6"/>
    <w:rsid w:val="005516EF"/>
    <w:rsid w:val="005532BD"/>
    <w:rsid w:val="00554474"/>
    <w:rsid w:val="00554688"/>
    <w:rsid w:val="00557DC2"/>
    <w:rsid w:val="00560309"/>
    <w:rsid w:val="00561BED"/>
    <w:rsid w:val="00563592"/>
    <w:rsid w:val="00563F3F"/>
    <w:rsid w:val="005700F2"/>
    <w:rsid w:val="005702E9"/>
    <w:rsid w:val="00571EF3"/>
    <w:rsid w:val="00573E5A"/>
    <w:rsid w:val="005745EF"/>
    <w:rsid w:val="00575DF7"/>
    <w:rsid w:val="00576BE0"/>
    <w:rsid w:val="00577A3E"/>
    <w:rsid w:val="00577E6A"/>
    <w:rsid w:val="005800CE"/>
    <w:rsid w:val="00582E7C"/>
    <w:rsid w:val="00583E02"/>
    <w:rsid w:val="00584A67"/>
    <w:rsid w:val="005869A7"/>
    <w:rsid w:val="00587F20"/>
    <w:rsid w:val="005902AE"/>
    <w:rsid w:val="005903AA"/>
    <w:rsid w:val="00590473"/>
    <w:rsid w:val="005906FD"/>
    <w:rsid w:val="0059088F"/>
    <w:rsid w:val="00592917"/>
    <w:rsid w:val="00593C0C"/>
    <w:rsid w:val="00594337"/>
    <w:rsid w:val="005958D7"/>
    <w:rsid w:val="00595B84"/>
    <w:rsid w:val="00595DBB"/>
    <w:rsid w:val="005962B8"/>
    <w:rsid w:val="00597667"/>
    <w:rsid w:val="0059768E"/>
    <w:rsid w:val="00597F9C"/>
    <w:rsid w:val="005A0692"/>
    <w:rsid w:val="005A2211"/>
    <w:rsid w:val="005A24EA"/>
    <w:rsid w:val="005A30A8"/>
    <w:rsid w:val="005A33EB"/>
    <w:rsid w:val="005A49C7"/>
    <w:rsid w:val="005A7CFC"/>
    <w:rsid w:val="005B3164"/>
    <w:rsid w:val="005B3A3E"/>
    <w:rsid w:val="005B3E3B"/>
    <w:rsid w:val="005B40A0"/>
    <w:rsid w:val="005B5698"/>
    <w:rsid w:val="005B59A9"/>
    <w:rsid w:val="005B5AA3"/>
    <w:rsid w:val="005C05C0"/>
    <w:rsid w:val="005C05DD"/>
    <w:rsid w:val="005C05EC"/>
    <w:rsid w:val="005C061D"/>
    <w:rsid w:val="005C0D16"/>
    <w:rsid w:val="005C1E3E"/>
    <w:rsid w:val="005C2395"/>
    <w:rsid w:val="005C255F"/>
    <w:rsid w:val="005C3793"/>
    <w:rsid w:val="005C37A6"/>
    <w:rsid w:val="005C478A"/>
    <w:rsid w:val="005C4A2D"/>
    <w:rsid w:val="005C61E1"/>
    <w:rsid w:val="005C7A7B"/>
    <w:rsid w:val="005C7FE5"/>
    <w:rsid w:val="005D04C8"/>
    <w:rsid w:val="005D05E5"/>
    <w:rsid w:val="005D1A85"/>
    <w:rsid w:val="005D1A8A"/>
    <w:rsid w:val="005D1C5F"/>
    <w:rsid w:val="005D22E5"/>
    <w:rsid w:val="005D3851"/>
    <w:rsid w:val="005D4599"/>
    <w:rsid w:val="005D6EB3"/>
    <w:rsid w:val="005E01EF"/>
    <w:rsid w:val="005E0689"/>
    <w:rsid w:val="005E2DE2"/>
    <w:rsid w:val="005E3B87"/>
    <w:rsid w:val="005E3D0B"/>
    <w:rsid w:val="005E4008"/>
    <w:rsid w:val="005E4150"/>
    <w:rsid w:val="005F1C8E"/>
    <w:rsid w:val="005F4052"/>
    <w:rsid w:val="005F45F0"/>
    <w:rsid w:val="005F468B"/>
    <w:rsid w:val="005F4914"/>
    <w:rsid w:val="005F51A3"/>
    <w:rsid w:val="005F5270"/>
    <w:rsid w:val="005F5506"/>
    <w:rsid w:val="005F6E65"/>
    <w:rsid w:val="005F6F8B"/>
    <w:rsid w:val="006002AB"/>
    <w:rsid w:val="00600B93"/>
    <w:rsid w:val="00601F9E"/>
    <w:rsid w:val="0060204C"/>
    <w:rsid w:val="00603545"/>
    <w:rsid w:val="0060491B"/>
    <w:rsid w:val="00604AAE"/>
    <w:rsid w:val="00605667"/>
    <w:rsid w:val="00605A1B"/>
    <w:rsid w:val="00606471"/>
    <w:rsid w:val="0060670D"/>
    <w:rsid w:val="006074C0"/>
    <w:rsid w:val="00610B2B"/>
    <w:rsid w:val="00612A21"/>
    <w:rsid w:val="00612EF9"/>
    <w:rsid w:val="00613DA6"/>
    <w:rsid w:val="0061663C"/>
    <w:rsid w:val="006179DE"/>
    <w:rsid w:val="00620402"/>
    <w:rsid w:val="006236BA"/>
    <w:rsid w:val="006245F8"/>
    <w:rsid w:val="00624794"/>
    <w:rsid w:val="0062567E"/>
    <w:rsid w:val="00626CD5"/>
    <w:rsid w:val="00631C76"/>
    <w:rsid w:val="00632F33"/>
    <w:rsid w:val="00632F3E"/>
    <w:rsid w:val="00633F5C"/>
    <w:rsid w:val="00634B68"/>
    <w:rsid w:val="00635E3F"/>
    <w:rsid w:val="00637C6B"/>
    <w:rsid w:val="0064097A"/>
    <w:rsid w:val="00640F06"/>
    <w:rsid w:val="006413B0"/>
    <w:rsid w:val="00641CC6"/>
    <w:rsid w:val="0064223B"/>
    <w:rsid w:val="00642B11"/>
    <w:rsid w:val="006431BD"/>
    <w:rsid w:val="00643558"/>
    <w:rsid w:val="00644EC7"/>
    <w:rsid w:val="00645376"/>
    <w:rsid w:val="006460B0"/>
    <w:rsid w:val="006464B5"/>
    <w:rsid w:val="006474F4"/>
    <w:rsid w:val="00651EB2"/>
    <w:rsid w:val="00653236"/>
    <w:rsid w:val="00654961"/>
    <w:rsid w:val="0065529A"/>
    <w:rsid w:val="006556C9"/>
    <w:rsid w:val="00655AB8"/>
    <w:rsid w:val="00656007"/>
    <w:rsid w:val="00656648"/>
    <w:rsid w:val="00656893"/>
    <w:rsid w:val="006618AD"/>
    <w:rsid w:val="00664F4B"/>
    <w:rsid w:val="00666C7A"/>
    <w:rsid w:val="006704A7"/>
    <w:rsid w:val="00670770"/>
    <w:rsid w:val="006707D9"/>
    <w:rsid w:val="00670849"/>
    <w:rsid w:val="006708E8"/>
    <w:rsid w:val="00670CD6"/>
    <w:rsid w:val="00671CFC"/>
    <w:rsid w:val="006725D3"/>
    <w:rsid w:val="00676029"/>
    <w:rsid w:val="006766A0"/>
    <w:rsid w:val="00676CFD"/>
    <w:rsid w:val="006777E8"/>
    <w:rsid w:val="00680958"/>
    <w:rsid w:val="006810E3"/>
    <w:rsid w:val="00681BE7"/>
    <w:rsid w:val="00682D6E"/>
    <w:rsid w:val="00683812"/>
    <w:rsid w:val="00683A83"/>
    <w:rsid w:val="00684AC4"/>
    <w:rsid w:val="00686CDE"/>
    <w:rsid w:val="0068741D"/>
    <w:rsid w:val="006879AA"/>
    <w:rsid w:val="00691E1C"/>
    <w:rsid w:val="00692372"/>
    <w:rsid w:val="00692AA8"/>
    <w:rsid w:val="006933F6"/>
    <w:rsid w:val="006940B7"/>
    <w:rsid w:val="00696D0D"/>
    <w:rsid w:val="006A1312"/>
    <w:rsid w:val="006A1718"/>
    <w:rsid w:val="006A438A"/>
    <w:rsid w:val="006A4760"/>
    <w:rsid w:val="006A4FE0"/>
    <w:rsid w:val="006A5451"/>
    <w:rsid w:val="006A5E7E"/>
    <w:rsid w:val="006A68C0"/>
    <w:rsid w:val="006A6DC7"/>
    <w:rsid w:val="006B0683"/>
    <w:rsid w:val="006B690F"/>
    <w:rsid w:val="006C1D3F"/>
    <w:rsid w:val="006C2D86"/>
    <w:rsid w:val="006C3192"/>
    <w:rsid w:val="006C37A4"/>
    <w:rsid w:val="006C562B"/>
    <w:rsid w:val="006C6EB8"/>
    <w:rsid w:val="006C732F"/>
    <w:rsid w:val="006D1160"/>
    <w:rsid w:val="006D2AD9"/>
    <w:rsid w:val="006D3EC1"/>
    <w:rsid w:val="006D4520"/>
    <w:rsid w:val="006D578B"/>
    <w:rsid w:val="006D647D"/>
    <w:rsid w:val="006D7633"/>
    <w:rsid w:val="006D7F84"/>
    <w:rsid w:val="006E0F36"/>
    <w:rsid w:val="006E2180"/>
    <w:rsid w:val="006E221A"/>
    <w:rsid w:val="006E239B"/>
    <w:rsid w:val="006E2892"/>
    <w:rsid w:val="006E52A5"/>
    <w:rsid w:val="006E541C"/>
    <w:rsid w:val="006E6603"/>
    <w:rsid w:val="006E7585"/>
    <w:rsid w:val="006F0565"/>
    <w:rsid w:val="006F17BD"/>
    <w:rsid w:val="006F38E7"/>
    <w:rsid w:val="006F54EC"/>
    <w:rsid w:val="006F6328"/>
    <w:rsid w:val="0070142B"/>
    <w:rsid w:val="0070295B"/>
    <w:rsid w:val="00702A43"/>
    <w:rsid w:val="00703C16"/>
    <w:rsid w:val="00705B5B"/>
    <w:rsid w:val="007127BE"/>
    <w:rsid w:val="00715205"/>
    <w:rsid w:val="00715436"/>
    <w:rsid w:val="00715557"/>
    <w:rsid w:val="00716137"/>
    <w:rsid w:val="00717E21"/>
    <w:rsid w:val="00720413"/>
    <w:rsid w:val="00720FD2"/>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6660"/>
    <w:rsid w:val="00737587"/>
    <w:rsid w:val="00740BC5"/>
    <w:rsid w:val="00740EDD"/>
    <w:rsid w:val="00743C6B"/>
    <w:rsid w:val="0074570C"/>
    <w:rsid w:val="0074603F"/>
    <w:rsid w:val="00746A71"/>
    <w:rsid w:val="00746B95"/>
    <w:rsid w:val="00746F75"/>
    <w:rsid w:val="00750DB9"/>
    <w:rsid w:val="00751C12"/>
    <w:rsid w:val="007534A9"/>
    <w:rsid w:val="0075452A"/>
    <w:rsid w:val="007549A4"/>
    <w:rsid w:val="00756474"/>
    <w:rsid w:val="007576F1"/>
    <w:rsid w:val="00757C47"/>
    <w:rsid w:val="00764B4D"/>
    <w:rsid w:val="00764BA7"/>
    <w:rsid w:val="00764DC3"/>
    <w:rsid w:val="007658C4"/>
    <w:rsid w:val="00765D4E"/>
    <w:rsid w:val="007668B0"/>
    <w:rsid w:val="00766DE9"/>
    <w:rsid w:val="00770402"/>
    <w:rsid w:val="00770995"/>
    <w:rsid w:val="00771096"/>
    <w:rsid w:val="007716DB"/>
    <w:rsid w:val="00771BB1"/>
    <w:rsid w:val="007740F1"/>
    <w:rsid w:val="0077413C"/>
    <w:rsid w:val="00774E27"/>
    <w:rsid w:val="00775301"/>
    <w:rsid w:val="007756E7"/>
    <w:rsid w:val="00775875"/>
    <w:rsid w:val="00776166"/>
    <w:rsid w:val="007771BA"/>
    <w:rsid w:val="00777383"/>
    <w:rsid w:val="00781A02"/>
    <w:rsid w:val="00783B89"/>
    <w:rsid w:val="00784558"/>
    <w:rsid w:val="00784721"/>
    <w:rsid w:val="00784864"/>
    <w:rsid w:val="00787979"/>
    <w:rsid w:val="00787A8A"/>
    <w:rsid w:val="007905C4"/>
    <w:rsid w:val="00792004"/>
    <w:rsid w:val="00792ACB"/>
    <w:rsid w:val="00792C8B"/>
    <w:rsid w:val="00793093"/>
    <w:rsid w:val="00795EED"/>
    <w:rsid w:val="007A0A55"/>
    <w:rsid w:val="007A195A"/>
    <w:rsid w:val="007A31F1"/>
    <w:rsid w:val="007A4DCC"/>
    <w:rsid w:val="007A4E12"/>
    <w:rsid w:val="007A60AE"/>
    <w:rsid w:val="007A7C36"/>
    <w:rsid w:val="007B0B9B"/>
    <w:rsid w:val="007B0BD3"/>
    <w:rsid w:val="007B167F"/>
    <w:rsid w:val="007B18A4"/>
    <w:rsid w:val="007B5078"/>
    <w:rsid w:val="007B5733"/>
    <w:rsid w:val="007B64E3"/>
    <w:rsid w:val="007B6B09"/>
    <w:rsid w:val="007B7AEE"/>
    <w:rsid w:val="007B7FDD"/>
    <w:rsid w:val="007C1085"/>
    <w:rsid w:val="007C11F6"/>
    <w:rsid w:val="007C128E"/>
    <w:rsid w:val="007C169B"/>
    <w:rsid w:val="007C275D"/>
    <w:rsid w:val="007C4AB9"/>
    <w:rsid w:val="007C5A67"/>
    <w:rsid w:val="007D093C"/>
    <w:rsid w:val="007D19C3"/>
    <w:rsid w:val="007D1D7B"/>
    <w:rsid w:val="007D2025"/>
    <w:rsid w:val="007D2B47"/>
    <w:rsid w:val="007D3443"/>
    <w:rsid w:val="007D3964"/>
    <w:rsid w:val="007D3B54"/>
    <w:rsid w:val="007D4658"/>
    <w:rsid w:val="007D4782"/>
    <w:rsid w:val="007D6C96"/>
    <w:rsid w:val="007D6E49"/>
    <w:rsid w:val="007D703C"/>
    <w:rsid w:val="007D7267"/>
    <w:rsid w:val="007D7329"/>
    <w:rsid w:val="007D7849"/>
    <w:rsid w:val="007E04A4"/>
    <w:rsid w:val="007E08D6"/>
    <w:rsid w:val="007E29E7"/>
    <w:rsid w:val="007E2AE9"/>
    <w:rsid w:val="007E2E44"/>
    <w:rsid w:val="007E3047"/>
    <w:rsid w:val="007E3EB2"/>
    <w:rsid w:val="007E4BD0"/>
    <w:rsid w:val="007E543F"/>
    <w:rsid w:val="007F1468"/>
    <w:rsid w:val="007F14BB"/>
    <w:rsid w:val="007F1F69"/>
    <w:rsid w:val="007F27D8"/>
    <w:rsid w:val="007F35DE"/>
    <w:rsid w:val="007F38B2"/>
    <w:rsid w:val="007F3D96"/>
    <w:rsid w:val="007F445A"/>
    <w:rsid w:val="007F50FE"/>
    <w:rsid w:val="007F518D"/>
    <w:rsid w:val="007F5553"/>
    <w:rsid w:val="007F743C"/>
    <w:rsid w:val="008002A7"/>
    <w:rsid w:val="008005B1"/>
    <w:rsid w:val="00800842"/>
    <w:rsid w:val="008012F4"/>
    <w:rsid w:val="00802272"/>
    <w:rsid w:val="008025AD"/>
    <w:rsid w:val="00802D3A"/>
    <w:rsid w:val="00802E24"/>
    <w:rsid w:val="00804BE8"/>
    <w:rsid w:val="00805AEA"/>
    <w:rsid w:val="008119B0"/>
    <w:rsid w:val="00811D23"/>
    <w:rsid w:val="008131AD"/>
    <w:rsid w:val="00813254"/>
    <w:rsid w:val="00813501"/>
    <w:rsid w:val="00813CFB"/>
    <w:rsid w:val="00813D27"/>
    <w:rsid w:val="008175E3"/>
    <w:rsid w:val="008179DB"/>
    <w:rsid w:val="00817DED"/>
    <w:rsid w:val="008209C2"/>
    <w:rsid w:val="00822C43"/>
    <w:rsid w:val="0082341B"/>
    <w:rsid w:val="008238A7"/>
    <w:rsid w:val="0082604F"/>
    <w:rsid w:val="00827166"/>
    <w:rsid w:val="00827566"/>
    <w:rsid w:val="008301E0"/>
    <w:rsid w:val="00832465"/>
    <w:rsid w:val="00832855"/>
    <w:rsid w:val="00835BC0"/>
    <w:rsid w:val="00840790"/>
    <w:rsid w:val="00841B6C"/>
    <w:rsid w:val="00842651"/>
    <w:rsid w:val="008437F2"/>
    <w:rsid w:val="008439E4"/>
    <w:rsid w:val="00843B67"/>
    <w:rsid w:val="00843FA4"/>
    <w:rsid w:val="00844F1F"/>
    <w:rsid w:val="00846C66"/>
    <w:rsid w:val="0084774F"/>
    <w:rsid w:val="00850996"/>
    <w:rsid w:val="00850EC7"/>
    <w:rsid w:val="00851A7B"/>
    <w:rsid w:val="00851BA2"/>
    <w:rsid w:val="00852394"/>
    <w:rsid w:val="008524A9"/>
    <w:rsid w:val="008524CC"/>
    <w:rsid w:val="00853E30"/>
    <w:rsid w:val="00855820"/>
    <w:rsid w:val="00855C4A"/>
    <w:rsid w:val="00855CD8"/>
    <w:rsid w:val="00860AEB"/>
    <w:rsid w:val="00861A84"/>
    <w:rsid w:val="00862E44"/>
    <w:rsid w:val="00862F6B"/>
    <w:rsid w:val="00863C7D"/>
    <w:rsid w:val="00863FDE"/>
    <w:rsid w:val="00864554"/>
    <w:rsid w:val="008653C4"/>
    <w:rsid w:val="00865694"/>
    <w:rsid w:val="00865B3B"/>
    <w:rsid w:val="00865FDB"/>
    <w:rsid w:val="008714ED"/>
    <w:rsid w:val="00871F59"/>
    <w:rsid w:val="00871FB2"/>
    <w:rsid w:val="00872748"/>
    <w:rsid w:val="00873BF7"/>
    <w:rsid w:val="00873D24"/>
    <w:rsid w:val="008753C8"/>
    <w:rsid w:val="00875F18"/>
    <w:rsid w:val="00876232"/>
    <w:rsid w:val="00876A7B"/>
    <w:rsid w:val="008775DB"/>
    <w:rsid w:val="00881CDC"/>
    <w:rsid w:val="00882A00"/>
    <w:rsid w:val="0088399A"/>
    <w:rsid w:val="00883EA2"/>
    <w:rsid w:val="00887051"/>
    <w:rsid w:val="00887480"/>
    <w:rsid w:val="00887512"/>
    <w:rsid w:val="00887572"/>
    <w:rsid w:val="00887BBB"/>
    <w:rsid w:val="00890E0D"/>
    <w:rsid w:val="00891187"/>
    <w:rsid w:val="00891447"/>
    <w:rsid w:val="00891763"/>
    <w:rsid w:val="00891B31"/>
    <w:rsid w:val="008926B2"/>
    <w:rsid w:val="00892AC4"/>
    <w:rsid w:val="00893F8E"/>
    <w:rsid w:val="008952ED"/>
    <w:rsid w:val="0089667C"/>
    <w:rsid w:val="008A3620"/>
    <w:rsid w:val="008A4365"/>
    <w:rsid w:val="008A4B7C"/>
    <w:rsid w:val="008A58B9"/>
    <w:rsid w:val="008A6016"/>
    <w:rsid w:val="008A7FF6"/>
    <w:rsid w:val="008B0EF3"/>
    <w:rsid w:val="008B178A"/>
    <w:rsid w:val="008B4DAB"/>
    <w:rsid w:val="008B64DE"/>
    <w:rsid w:val="008B7347"/>
    <w:rsid w:val="008C1C97"/>
    <w:rsid w:val="008C3335"/>
    <w:rsid w:val="008C385C"/>
    <w:rsid w:val="008C3C62"/>
    <w:rsid w:val="008C4B45"/>
    <w:rsid w:val="008C4BBF"/>
    <w:rsid w:val="008C64EB"/>
    <w:rsid w:val="008C6959"/>
    <w:rsid w:val="008D1898"/>
    <w:rsid w:val="008D1CA5"/>
    <w:rsid w:val="008D2A27"/>
    <w:rsid w:val="008D2DCA"/>
    <w:rsid w:val="008D3167"/>
    <w:rsid w:val="008D5936"/>
    <w:rsid w:val="008D5E2E"/>
    <w:rsid w:val="008D6AC7"/>
    <w:rsid w:val="008D6DA9"/>
    <w:rsid w:val="008E084B"/>
    <w:rsid w:val="008E176D"/>
    <w:rsid w:val="008E221D"/>
    <w:rsid w:val="008E28C7"/>
    <w:rsid w:val="008E34E0"/>
    <w:rsid w:val="008E378E"/>
    <w:rsid w:val="008E5C5C"/>
    <w:rsid w:val="008E6AC8"/>
    <w:rsid w:val="008E7DFD"/>
    <w:rsid w:val="008F00B4"/>
    <w:rsid w:val="008F2AC1"/>
    <w:rsid w:val="008F2BD2"/>
    <w:rsid w:val="008F2DD7"/>
    <w:rsid w:val="008F38EC"/>
    <w:rsid w:val="008F43C1"/>
    <w:rsid w:val="008F56D3"/>
    <w:rsid w:val="00901B11"/>
    <w:rsid w:val="009025A4"/>
    <w:rsid w:val="00902DE5"/>
    <w:rsid w:val="00904356"/>
    <w:rsid w:val="00904A57"/>
    <w:rsid w:val="009050F5"/>
    <w:rsid w:val="00906D20"/>
    <w:rsid w:val="009073A0"/>
    <w:rsid w:val="00907A74"/>
    <w:rsid w:val="00907AAC"/>
    <w:rsid w:val="009106E2"/>
    <w:rsid w:val="00910DC0"/>
    <w:rsid w:val="0091398D"/>
    <w:rsid w:val="00913AE0"/>
    <w:rsid w:val="00914607"/>
    <w:rsid w:val="00914D55"/>
    <w:rsid w:val="009158F7"/>
    <w:rsid w:val="00916FFE"/>
    <w:rsid w:val="0092101E"/>
    <w:rsid w:val="009214ED"/>
    <w:rsid w:val="009215A2"/>
    <w:rsid w:val="00922B31"/>
    <w:rsid w:val="00922E01"/>
    <w:rsid w:val="0092346E"/>
    <w:rsid w:val="00923B24"/>
    <w:rsid w:val="009275E5"/>
    <w:rsid w:val="00927CA3"/>
    <w:rsid w:val="009301C9"/>
    <w:rsid w:val="00931BD5"/>
    <w:rsid w:val="00933E54"/>
    <w:rsid w:val="00934513"/>
    <w:rsid w:val="00934568"/>
    <w:rsid w:val="00934BCC"/>
    <w:rsid w:val="0093597C"/>
    <w:rsid w:val="00936DAE"/>
    <w:rsid w:val="0094043B"/>
    <w:rsid w:val="009408A8"/>
    <w:rsid w:val="00940913"/>
    <w:rsid w:val="0094095A"/>
    <w:rsid w:val="0094255F"/>
    <w:rsid w:val="00944A5F"/>
    <w:rsid w:val="00944D6B"/>
    <w:rsid w:val="0094758C"/>
    <w:rsid w:val="00951D22"/>
    <w:rsid w:val="00951D27"/>
    <w:rsid w:val="009529CD"/>
    <w:rsid w:val="00953461"/>
    <w:rsid w:val="0095386B"/>
    <w:rsid w:val="00953E70"/>
    <w:rsid w:val="00955B58"/>
    <w:rsid w:val="00956981"/>
    <w:rsid w:val="009573B0"/>
    <w:rsid w:val="009573B6"/>
    <w:rsid w:val="00960D14"/>
    <w:rsid w:val="0096164A"/>
    <w:rsid w:val="0096183A"/>
    <w:rsid w:val="00961CF0"/>
    <w:rsid w:val="009635D9"/>
    <w:rsid w:val="009644B8"/>
    <w:rsid w:val="009676B5"/>
    <w:rsid w:val="00970A98"/>
    <w:rsid w:val="00971F34"/>
    <w:rsid w:val="00972862"/>
    <w:rsid w:val="00973431"/>
    <w:rsid w:val="009753A4"/>
    <w:rsid w:val="00977572"/>
    <w:rsid w:val="009820B5"/>
    <w:rsid w:val="00984438"/>
    <w:rsid w:val="0098742F"/>
    <w:rsid w:val="00991626"/>
    <w:rsid w:val="00992672"/>
    <w:rsid w:val="009926BC"/>
    <w:rsid w:val="0099318A"/>
    <w:rsid w:val="0099389A"/>
    <w:rsid w:val="00994575"/>
    <w:rsid w:val="00994A1B"/>
    <w:rsid w:val="00995CE7"/>
    <w:rsid w:val="00996C1B"/>
    <w:rsid w:val="009A1580"/>
    <w:rsid w:val="009A2D67"/>
    <w:rsid w:val="009A3F02"/>
    <w:rsid w:val="009A4A9D"/>
    <w:rsid w:val="009A63D1"/>
    <w:rsid w:val="009A6738"/>
    <w:rsid w:val="009A72D2"/>
    <w:rsid w:val="009B0E03"/>
    <w:rsid w:val="009B32C8"/>
    <w:rsid w:val="009B3B07"/>
    <w:rsid w:val="009B412C"/>
    <w:rsid w:val="009B459C"/>
    <w:rsid w:val="009B500D"/>
    <w:rsid w:val="009B70E9"/>
    <w:rsid w:val="009B79AC"/>
    <w:rsid w:val="009B7B8D"/>
    <w:rsid w:val="009B7F9F"/>
    <w:rsid w:val="009C0062"/>
    <w:rsid w:val="009C0F17"/>
    <w:rsid w:val="009C1527"/>
    <w:rsid w:val="009C1A9B"/>
    <w:rsid w:val="009C1BFE"/>
    <w:rsid w:val="009C1CAA"/>
    <w:rsid w:val="009C213B"/>
    <w:rsid w:val="009C22FA"/>
    <w:rsid w:val="009C3143"/>
    <w:rsid w:val="009C48B2"/>
    <w:rsid w:val="009C4D57"/>
    <w:rsid w:val="009C55D9"/>
    <w:rsid w:val="009C7475"/>
    <w:rsid w:val="009C7B74"/>
    <w:rsid w:val="009D01CE"/>
    <w:rsid w:val="009D1797"/>
    <w:rsid w:val="009D20EC"/>
    <w:rsid w:val="009D5241"/>
    <w:rsid w:val="009D6270"/>
    <w:rsid w:val="009D720C"/>
    <w:rsid w:val="009D7670"/>
    <w:rsid w:val="009E0AE0"/>
    <w:rsid w:val="009E1189"/>
    <w:rsid w:val="009E1371"/>
    <w:rsid w:val="009E2A6C"/>
    <w:rsid w:val="009E2C7F"/>
    <w:rsid w:val="009E32FB"/>
    <w:rsid w:val="009E5676"/>
    <w:rsid w:val="009E5B8D"/>
    <w:rsid w:val="009E5FD4"/>
    <w:rsid w:val="009E7912"/>
    <w:rsid w:val="009F0ABD"/>
    <w:rsid w:val="009F23A3"/>
    <w:rsid w:val="009F2780"/>
    <w:rsid w:val="009F5403"/>
    <w:rsid w:val="009F56EA"/>
    <w:rsid w:val="009F6506"/>
    <w:rsid w:val="009F78A0"/>
    <w:rsid w:val="009F7B0F"/>
    <w:rsid w:val="00A00721"/>
    <w:rsid w:val="00A00D55"/>
    <w:rsid w:val="00A010AB"/>
    <w:rsid w:val="00A02452"/>
    <w:rsid w:val="00A03382"/>
    <w:rsid w:val="00A035F6"/>
    <w:rsid w:val="00A0601D"/>
    <w:rsid w:val="00A07DED"/>
    <w:rsid w:val="00A10C3E"/>
    <w:rsid w:val="00A11347"/>
    <w:rsid w:val="00A12210"/>
    <w:rsid w:val="00A1272D"/>
    <w:rsid w:val="00A142EB"/>
    <w:rsid w:val="00A14C75"/>
    <w:rsid w:val="00A15884"/>
    <w:rsid w:val="00A16BF2"/>
    <w:rsid w:val="00A179BA"/>
    <w:rsid w:val="00A17B9D"/>
    <w:rsid w:val="00A17D4A"/>
    <w:rsid w:val="00A20438"/>
    <w:rsid w:val="00A20CC5"/>
    <w:rsid w:val="00A22461"/>
    <w:rsid w:val="00A22F2A"/>
    <w:rsid w:val="00A23C02"/>
    <w:rsid w:val="00A26DE8"/>
    <w:rsid w:val="00A30262"/>
    <w:rsid w:val="00A30ED8"/>
    <w:rsid w:val="00A33703"/>
    <w:rsid w:val="00A36091"/>
    <w:rsid w:val="00A37985"/>
    <w:rsid w:val="00A411D5"/>
    <w:rsid w:val="00A418D1"/>
    <w:rsid w:val="00A42275"/>
    <w:rsid w:val="00A46149"/>
    <w:rsid w:val="00A50197"/>
    <w:rsid w:val="00A506AF"/>
    <w:rsid w:val="00A50725"/>
    <w:rsid w:val="00A50951"/>
    <w:rsid w:val="00A556DE"/>
    <w:rsid w:val="00A57000"/>
    <w:rsid w:val="00A57A64"/>
    <w:rsid w:val="00A60918"/>
    <w:rsid w:val="00A633A0"/>
    <w:rsid w:val="00A63507"/>
    <w:rsid w:val="00A638CC"/>
    <w:rsid w:val="00A644ED"/>
    <w:rsid w:val="00A646D1"/>
    <w:rsid w:val="00A66A8A"/>
    <w:rsid w:val="00A706EE"/>
    <w:rsid w:val="00A7070A"/>
    <w:rsid w:val="00A73078"/>
    <w:rsid w:val="00A74954"/>
    <w:rsid w:val="00A752DC"/>
    <w:rsid w:val="00A762BA"/>
    <w:rsid w:val="00A76F00"/>
    <w:rsid w:val="00A77588"/>
    <w:rsid w:val="00A77635"/>
    <w:rsid w:val="00A77DF5"/>
    <w:rsid w:val="00A806B4"/>
    <w:rsid w:val="00A82701"/>
    <w:rsid w:val="00A84C99"/>
    <w:rsid w:val="00A868E4"/>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3F44"/>
    <w:rsid w:val="00AA62F9"/>
    <w:rsid w:val="00AB0058"/>
    <w:rsid w:val="00AB2592"/>
    <w:rsid w:val="00AB35B3"/>
    <w:rsid w:val="00AB50E6"/>
    <w:rsid w:val="00AB58EE"/>
    <w:rsid w:val="00AB5B5B"/>
    <w:rsid w:val="00AB70D3"/>
    <w:rsid w:val="00AB7718"/>
    <w:rsid w:val="00AB791C"/>
    <w:rsid w:val="00AB7BDF"/>
    <w:rsid w:val="00AC1197"/>
    <w:rsid w:val="00AC20F4"/>
    <w:rsid w:val="00AC297F"/>
    <w:rsid w:val="00AC3011"/>
    <w:rsid w:val="00AC331B"/>
    <w:rsid w:val="00AC548D"/>
    <w:rsid w:val="00AC577D"/>
    <w:rsid w:val="00AC7379"/>
    <w:rsid w:val="00AD078B"/>
    <w:rsid w:val="00AD1208"/>
    <w:rsid w:val="00AD196D"/>
    <w:rsid w:val="00AD470D"/>
    <w:rsid w:val="00AD5423"/>
    <w:rsid w:val="00AE0914"/>
    <w:rsid w:val="00AE1E42"/>
    <w:rsid w:val="00AE2C0F"/>
    <w:rsid w:val="00AE4A0D"/>
    <w:rsid w:val="00AE5300"/>
    <w:rsid w:val="00AE66C8"/>
    <w:rsid w:val="00AF0802"/>
    <w:rsid w:val="00AF17A4"/>
    <w:rsid w:val="00AF3D45"/>
    <w:rsid w:val="00AF3F72"/>
    <w:rsid w:val="00AF492D"/>
    <w:rsid w:val="00B00577"/>
    <w:rsid w:val="00B10CB3"/>
    <w:rsid w:val="00B111F5"/>
    <w:rsid w:val="00B11660"/>
    <w:rsid w:val="00B11B14"/>
    <w:rsid w:val="00B122F0"/>
    <w:rsid w:val="00B14351"/>
    <w:rsid w:val="00B150C4"/>
    <w:rsid w:val="00B1560E"/>
    <w:rsid w:val="00B15D5E"/>
    <w:rsid w:val="00B15ECD"/>
    <w:rsid w:val="00B16090"/>
    <w:rsid w:val="00B1757A"/>
    <w:rsid w:val="00B17D6D"/>
    <w:rsid w:val="00B223B6"/>
    <w:rsid w:val="00B23C21"/>
    <w:rsid w:val="00B2468D"/>
    <w:rsid w:val="00B246B8"/>
    <w:rsid w:val="00B24E61"/>
    <w:rsid w:val="00B25806"/>
    <w:rsid w:val="00B25F85"/>
    <w:rsid w:val="00B30AC1"/>
    <w:rsid w:val="00B31BB5"/>
    <w:rsid w:val="00B31E67"/>
    <w:rsid w:val="00B31FC7"/>
    <w:rsid w:val="00B333C5"/>
    <w:rsid w:val="00B3436D"/>
    <w:rsid w:val="00B34655"/>
    <w:rsid w:val="00B36D98"/>
    <w:rsid w:val="00B37216"/>
    <w:rsid w:val="00B37E81"/>
    <w:rsid w:val="00B40716"/>
    <w:rsid w:val="00B428ED"/>
    <w:rsid w:val="00B42E2B"/>
    <w:rsid w:val="00B476AF"/>
    <w:rsid w:val="00B47CC7"/>
    <w:rsid w:val="00B51B51"/>
    <w:rsid w:val="00B535CA"/>
    <w:rsid w:val="00B54366"/>
    <w:rsid w:val="00B5590F"/>
    <w:rsid w:val="00B5593F"/>
    <w:rsid w:val="00B562A5"/>
    <w:rsid w:val="00B570EA"/>
    <w:rsid w:val="00B60425"/>
    <w:rsid w:val="00B626E7"/>
    <w:rsid w:val="00B6321D"/>
    <w:rsid w:val="00B63763"/>
    <w:rsid w:val="00B64D25"/>
    <w:rsid w:val="00B651E0"/>
    <w:rsid w:val="00B65E98"/>
    <w:rsid w:val="00B663FD"/>
    <w:rsid w:val="00B66EAC"/>
    <w:rsid w:val="00B67513"/>
    <w:rsid w:val="00B67CBD"/>
    <w:rsid w:val="00B71E80"/>
    <w:rsid w:val="00B72CFC"/>
    <w:rsid w:val="00B73E82"/>
    <w:rsid w:val="00B74357"/>
    <w:rsid w:val="00B765B2"/>
    <w:rsid w:val="00B77564"/>
    <w:rsid w:val="00B77E5E"/>
    <w:rsid w:val="00B77E9A"/>
    <w:rsid w:val="00B81972"/>
    <w:rsid w:val="00B823E7"/>
    <w:rsid w:val="00B824A9"/>
    <w:rsid w:val="00B83660"/>
    <w:rsid w:val="00B83892"/>
    <w:rsid w:val="00B83D8D"/>
    <w:rsid w:val="00B85F8C"/>
    <w:rsid w:val="00B90979"/>
    <w:rsid w:val="00B91E9C"/>
    <w:rsid w:val="00B92399"/>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4F37"/>
    <w:rsid w:val="00BB5053"/>
    <w:rsid w:val="00BB554C"/>
    <w:rsid w:val="00BB655D"/>
    <w:rsid w:val="00BB71A8"/>
    <w:rsid w:val="00BC0D75"/>
    <w:rsid w:val="00BC283D"/>
    <w:rsid w:val="00BC3207"/>
    <w:rsid w:val="00BC5B24"/>
    <w:rsid w:val="00BC5DE5"/>
    <w:rsid w:val="00BC685A"/>
    <w:rsid w:val="00BC68D6"/>
    <w:rsid w:val="00BC7733"/>
    <w:rsid w:val="00BD206D"/>
    <w:rsid w:val="00BD5E50"/>
    <w:rsid w:val="00BD64F1"/>
    <w:rsid w:val="00BD74F8"/>
    <w:rsid w:val="00BD7933"/>
    <w:rsid w:val="00BD7BE9"/>
    <w:rsid w:val="00BE0CBA"/>
    <w:rsid w:val="00BE1D63"/>
    <w:rsid w:val="00BE29FE"/>
    <w:rsid w:val="00BE49E7"/>
    <w:rsid w:val="00BE6768"/>
    <w:rsid w:val="00BF1DD6"/>
    <w:rsid w:val="00BF2230"/>
    <w:rsid w:val="00BF236E"/>
    <w:rsid w:val="00BF2720"/>
    <w:rsid w:val="00BF417D"/>
    <w:rsid w:val="00BF4A3F"/>
    <w:rsid w:val="00BF4C77"/>
    <w:rsid w:val="00BF4CA5"/>
    <w:rsid w:val="00BF54B3"/>
    <w:rsid w:val="00BF6B18"/>
    <w:rsid w:val="00BF7D7B"/>
    <w:rsid w:val="00C03130"/>
    <w:rsid w:val="00C03849"/>
    <w:rsid w:val="00C03A0A"/>
    <w:rsid w:val="00C04F5E"/>
    <w:rsid w:val="00C05337"/>
    <w:rsid w:val="00C05F80"/>
    <w:rsid w:val="00C072D3"/>
    <w:rsid w:val="00C10E12"/>
    <w:rsid w:val="00C11F5E"/>
    <w:rsid w:val="00C11F6F"/>
    <w:rsid w:val="00C13E9E"/>
    <w:rsid w:val="00C146D8"/>
    <w:rsid w:val="00C14BFC"/>
    <w:rsid w:val="00C15BF8"/>
    <w:rsid w:val="00C16899"/>
    <w:rsid w:val="00C16D95"/>
    <w:rsid w:val="00C176BA"/>
    <w:rsid w:val="00C22F5D"/>
    <w:rsid w:val="00C22FED"/>
    <w:rsid w:val="00C234DC"/>
    <w:rsid w:val="00C24AFA"/>
    <w:rsid w:val="00C24E42"/>
    <w:rsid w:val="00C24F6A"/>
    <w:rsid w:val="00C25A24"/>
    <w:rsid w:val="00C25A58"/>
    <w:rsid w:val="00C25ED4"/>
    <w:rsid w:val="00C2784D"/>
    <w:rsid w:val="00C3038E"/>
    <w:rsid w:val="00C30837"/>
    <w:rsid w:val="00C31FCB"/>
    <w:rsid w:val="00C33147"/>
    <w:rsid w:val="00C33507"/>
    <w:rsid w:val="00C33CA3"/>
    <w:rsid w:val="00C34874"/>
    <w:rsid w:val="00C3530A"/>
    <w:rsid w:val="00C3544F"/>
    <w:rsid w:val="00C35C6E"/>
    <w:rsid w:val="00C40811"/>
    <w:rsid w:val="00C40B42"/>
    <w:rsid w:val="00C42522"/>
    <w:rsid w:val="00C425DF"/>
    <w:rsid w:val="00C42609"/>
    <w:rsid w:val="00C42E7A"/>
    <w:rsid w:val="00C444E2"/>
    <w:rsid w:val="00C44E4D"/>
    <w:rsid w:val="00C44FB8"/>
    <w:rsid w:val="00C4609B"/>
    <w:rsid w:val="00C46756"/>
    <w:rsid w:val="00C47243"/>
    <w:rsid w:val="00C50A33"/>
    <w:rsid w:val="00C50BF3"/>
    <w:rsid w:val="00C50C83"/>
    <w:rsid w:val="00C52ABF"/>
    <w:rsid w:val="00C54CCD"/>
    <w:rsid w:val="00C55193"/>
    <w:rsid w:val="00C55639"/>
    <w:rsid w:val="00C55DF4"/>
    <w:rsid w:val="00C62955"/>
    <w:rsid w:val="00C633B2"/>
    <w:rsid w:val="00C63DAB"/>
    <w:rsid w:val="00C65432"/>
    <w:rsid w:val="00C657A0"/>
    <w:rsid w:val="00C65840"/>
    <w:rsid w:val="00C67DFC"/>
    <w:rsid w:val="00C70C88"/>
    <w:rsid w:val="00C71348"/>
    <w:rsid w:val="00C7289B"/>
    <w:rsid w:val="00C74EB6"/>
    <w:rsid w:val="00C75CD3"/>
    <w:rsid w:val="00C7657E"/>
    <w:rsid w:val="00C771AA"/>
    <w:rsid w:val="00C80195"/>
    <w:rsid w:val="00C80369"/>
    <w:rsid w:val="00C81035"/>
    <w:rsid w:val="00C83774"/>
    <w:rsid w:val="00C84C2A"/>
    <w:rsid w:val="00C85715"/>
    <w:rsid w:val="00C873EF"/>
    <w:rsid w:val="00C87422"/>
    <w:rsid w:val="00C87597"/>
    <w:rsid w:val="00C87826"/>
    <w:rsid w:val="00C8783F"/>
    <w:rsid w:val="00C90190"/>
    <w:rsid w:val="00C91A62"/>
    <w:rsid w:val="00C91AAA"/>
    <w:rsid w:val="00C9212A"/>
    <w:rsid w:val="00C92372"/>
    <w:rsid w:val="00C94A9A"/>
    <w:rsid w:val="00C94D01"/>
    <w:rsid w:val="00C95587"/>
    <w:rsid w:val="00C955B1"/>
    <w:rsid w:val="00C955B7"/>
    <w:rsid w:val="00C96DA0"/>
    <w:rsid w:val="00CA26C9"/>
    <w:rsid w:val="00CA26D5"/>
    <w:rsid w:val="00CA3362"/>
    <w:rsid w:val="00CA5B16"/>
    <w:rsid w:val="00CA6AB8"/>
    <w:rsid w:val="00CA6BAA"/>
    <w:rsid w:val="00CA7494"/>
    <w:rsid w:val="00CB0915"/>
    <w:rsid w:val="00CB0A12"/>
    <w:rsid w:val="00CB203B"/>
    <w:rsid w:val="00CB2C23"/>
    <w:rsid w:val="00CB3D8E"/>
    <w:rsid w:val="00CB5552"/>
    <w:rsid w:val="00CB73E4"/>
    <w:rsid w:val="00CB780D"/>
    <w:rsid w:val="00CC160C"/>
    <w:rsid w:val="00CC2EB5"/>
    <w:rsid w:val="00CC3C95"/>
    <w:rsid w:val="00CC4BC6"/>
    <w:rsid w:val="00CC4BF8"/>
    <w:rsid w:val="00CC502D"/>
    <w:rsid w:val="00CC7021"/>
    <w:rsid w:val="00CC7F22"/>
    <w:rsid w:val="00CD0084"/>
    <w:rsid w:val="00CD2F6E"/>
    <w:rsid w:val="00CD40CF"/>
    <w:rsid w:val="00CD518E"/>
    <w:rsid w:val="00CD6678"/>
    <w:rsid w:val="00CD7C43"/>
    <w:rsid w:val="00CE00BE"/>
    <w:rsid w:val="00CE0B9C"/>
    <w:rsid w:val="00CE17CB"/>
    <w:rsid w:val="00CE2ED6"/>
    <w:rsid w:val="00CE308E"/>
    <w:rsid w:val="00CE33EB"/>
    <w:rsid w:val="00CE3BE2"/>
    <w:rsid w:val="00CE5402"/>
    <w:rsid w:val="00CE5450"/>
    <w:rsid w:val="00CE68E7"/>
    <w:rsid w:val="00CE6C3C"/>
    <w:rsid w:val="00CF7407"/>
    <w:rsid w:val="00CF792A"/>
    <w:rsid w:val="00D054F9"/>
    <w:rsid w:val="00D064CA"/>
    <w:rsid w:val="00D10872"/>
    <w:rsid w:val="00D10933"/>
    <w:rsid w:val="00D130E9"/>
    <w:rsid w:val="00D1425C"/>
    <w:rsid w:val="00D14CD5"/>
    <w:rsid w:val="00D16DD1"/>
    <w:rsid w:val="00D173D4"/>
    <w:rsid w:val="00D17A6A"/>
    <w:rsid w:val="00D20E9D"/>
    <w:rsid w:val="00D20F34"/>
    <w:rsid w:val="00D210FC"/>
    <w:rsid w:val="00D217AF"/>
    <w:rsid w:val="00D22758"/>
    <w:rsid w:val="00D22E30"/>
    <w:rsid w:val="00D23A3A"/>
    <w:rsid w:val="00D23A89"/>
    <w:rsid w:val="00D23BAA"/>
    <w:rsid w:val="00D23E4E"/>
    <w:rsid w:val="00D243BF"/>
    <w:rsid w:val="00D25924"/>
    <w:rsid w:val="00D25D59"/>
    <w:rsid w:val="00D2679D"/>
    <w:rsid w:val="00D26CC4"/>
    <w:rsid w:val="00D3075C"/>
    <w:rsid w:val="00D32DA7"/>
    <w:rsid w:val="00D337CE"/>
    <w:rsid w:val="00D341FC"/>
    <w:rsid w:val="00D34450"/>
    <w:rsid w:val="00D34C8F"/>
    <w:rsid w:val="00D365D2"/>
    <w:rsid w:val="00D369A8"/>
    <w:rsid w:val="00D37011"/>
    <w:rsid w:val="00D40E16"/>
    <w:rsid w:val="00D41092"/>
    <w:rsid w:val="00D41A4C"/>
    <w:rsid w:val="00D41D18"/>
    <w:rsid w:val="00D4357F"/>
    <w:rsid w:val="00D44A22"/>
    <w:rsid w:val="00D459EC"/>
    <w:rsid w:val="00D461DC"/>
    <w:rsid w:val="00D4728E"/>
    <w:rsid w:val="00D5088D"/>
    <w:rsid w:val="00D50892"/>
    <w:rsid w:val="00D51F1B"/>
    <w:rsid w:val="00D5273E"/>
    <w:rsid w:val="00D528AE"/>
    <w:rsid w:val="00D528F1"/>
    <w:rsid w:val="00D53644"/>
    <w:rsid w:val="00D546E8"/>
    <w:rsid w:val="00D567A1"/>
    <w:rsid w:val="00D6041F"/>
    <w:rsid w:val="00D60EED"/>
    <w:rsid w:val="00D6131B"/>
    <w:rsid w:val="00D62C2B"/>
    <w:rsid w:val="00D631A4"/>
    <w:rsid w:val="00D63890"/>
    <w:rsid w:val="00D65AFB"/>
    <w:rsid w:val="00D6634A"/>
    <w:rsid w:val="00D66CBD"/>
    <w:rsid w:val="00D702A3"/>
    <w:rsid w:val="00D714F0"/>
    <w:rsid w:val="00D72ABA"/>
    <w:rsid w:val="00D73238"/>
    <w:rsid w:val="00D73438"/>
    <w:rsid w:val="00D7550F"/>
    <w:rsid w:val="00D76CDB"/>
    <w:rsid w:val="00D76E4E"/>
    <w:rsid w:val="00D772A1"/>
    <w:rsid w:val="00D77FD4"/>
    <w:rsid w:val="00D80274"/>
    <w:rsid w:val="00D80418"/>
    <w:rsid w:val="00D81391"/>
    <w:rsid w:val="00D83F60"/>
    <w:rsid w:val="00D843D6"/>
    <w:rsid w:val="00D846ED"/>
    <w:rsid w:val="00D84826"/>
    <w:rsid w:val="00D90053"/>
    <w:rsid w:val="00D905AF"/>
    <w:rsid w:val="00D90AAE"/>
    <w:rsid w:val="00D93B0E"/>
    <w:rsid w:val="00D93D9F"/>
    <w:rsid w:val="00D959F8"/>
    <w:rsid w:val="00DA0F09"/>
    <w:rsid w:val="00DA200B"/>
    <w:rsid w:val="00DA2785"/>
    <w:rsid w:val="00DA2EE2"/>
    <w:rsid w:val="00DA4E83"/>
    <w:rsid w:val="00DA5F50"/>
    <w:rsid w:val="00DA66BD"/>
    <w:rsid w:val="00DB03C6"/>
    <w:rsid w:val="00DB0E11"/>
    <w:rsid w:val="00DB3466"/>
    <w:rsid w:val="00DB3BBB"/>
    <w:rsid w:val="00DB5146"/>
    <w:rsid w:val="00DB7AA8"/>
    <w:rsid w:val="00DC0C53"/>
    <w:rsid w:val="00DC0E89"/>
    <w:rsid w:val="00DC218C"/>
    <w:rsid w:val="00DC2E34"/>
    <w:rsid w:val="00DC5A22"/>
    <w:rsid w:val="00DC5BDD"/>
    <w:rsid w:val="00DC6E14"/>
    <w:rsid w:val="00DC7087"/>
    <w:rsid w:val="00DC72B0"/>
    <w:rsid w:val="00DD006E"/>
    <w:rsid w:val="00DD171A"/>
    <w:rsid w:val="00DD3732"/>
    <w:rsid w:val="00DD500D"/>
    <w:rsid w:val="00DD5F40"/>
    <w:rsid w:val="00DD6F8C"/>
    <w:rsid w:val="00DE31F2"/>
    <w:rsid w:val="00DE3D60"/>
    <w:rsid w:val="00DE4B5A"/>
    <w:rsid w:val="00DE5C6F"/>
    <w:rsid w:val="00DE5F46"/>
    <w:rsid w:val="00DE7BDD"/>
    <w:rsid w:val="00DF046D"/>
    <w:rsid w:val="00DF1069"/>
    <w:rsid w:val="00DF39A6"/>
    <w:rsid w:val="00DF3ACF"/>
    <w:rsid w:val="00DF5728"/>
    <w:rsid w:val="00DF6B48"/>
    <w:rsid w:val="00DF7D31"/>
    <w:rsid w:val="00E00C6E"/>
    <w:rsid w:val="00E01079"/>
    <w:rsid w:val="00E0121B"/>
    <w:rsid w:val="00E0208B"/>
    <w:rsid w:val="00E03936"/>
    <w:rsid w:val="00E04046"/>
    <w:rsid w:val="00E05D2B"/>
    <w:rsid w:val="00E07307"/>
    <w:rsid w:val="00E075C8"/>
    <w:rsid w:val="00E07A2D"/>
    <w:rsid w:val="00E102C7"/>
    <w:rsid w:val="00E10775"/>
    <w:rsid w:val="00E114AC"/>
    <w:rsid w:val="00E11652"/>
    <w:rsid w:val="00E12D6C"/>
    <w:rsid w:val="00E14474"/>
    <w:rsid w:val="00E14577"/>
    <w:rsid w:val="00E14DE8"/>
    <w:rsid w:val="00E15350"/>
    <w:rsid w:val="00E17944"/>
    <w:rsid w:val="00E17EB0"/>
    <w:rsid w:val="00E202A7"/>
    <w:rsid w:val="00E21010"/>
    <w:rsid w:val="00E229CE"/>
    <w:rsid w:val="00E247F4"/>
    <w:rsid w:val="00E24F78"/>
    <w:rsid w:val="00E2742D"/>
    <w:rsid w:val="00E30044"/>
    <w:rsid w:val="00E308E9"/>
    <w:rsid w:val="00E314AA"/>
    <w:rsid w:val="00E31DDC"/>
    <w:rsid w:val="00E330B6"/>
    <w:rsid w:val="00E348D9"/>
    <w:rsid w:val="00E41E7C"/>
    <w:rsid w:val="00E42138"/>
    <w:rsid w:val="00E43B14"/>
    <w:rsid w:val="00E43B3F"/>
    <w:rsid w:val="00E447EC"/>
    <w:rsid w:val="00E45153"/>
    <w:rsid w:val="00E4575E"/>
    <w:rsid w:val="00E46D4A"/>
    <w:rsid w:val="00E50B69"/>
    <w:rsid w:val="00E51B02"/>
    <w:rsid w:val="00E53A43"/>
    <w:rsid w:val="00E579E7"/>
    <w:rsid w:val="00E601A9"/>
    <w:rsid w:val="00E603D5"/>
    <w:rsid w:val="00E62B9B"/>
    <w:rsid w:val="00E62CCD"/>
    <w:rsid w:val="00E631A5"/>
    <w:rsid w:val="00E64B7D"/>
    <w:rsid w:val="00E652D4"/>
    <w:rsid w:val="00E66FB8"/>
    <w:rsid w:val="00E679BA"/>
    <w:rsid w:val="00E67B4D"/>
    <w:rsid w:val="00E71331"/>
    <w:rsid w:val="00E71D8B"/>
    <w:rsid w:val="00E74157"/>
    <w:rsid w:val="00E76EDB"/>
    <w:rsid w:val="00E779B3"/>
    <w:rsid w:val="00E807FA"/>
    <w:rsid w:val="00E81033"/>
    <w:rsid w:val="00E821F3"/>
    <w:rsid w:val="00E825A6"/>
    <w:rsid w:val="00E832DE"/>
    <w:rsid w:val="00E83DE7"/>
    <w:rsid w:val="00E845CD"/>
    <w:rsid w:val="00E86376"/>
    <w:rsid w:val="00E91138"/>
    <w:rsid w:val="00E91262"/>
    <w:rsid w:val="00E9146C"/>
    <w:rsid w:val="00E91CDF"/>
    <w:rsid w:val="00E91D97"/>
    <w:rsid w:val="00E92BC9"/>
    <w:rsid w:val="00E9479B"/>
    <w:rsid w:val="00E97F77"/>
    <w:rsid w:val="00EA06F8"/>
    <w:rsid w:val="00EA0A26"/>
    <w:rsid w:val="00EA3D41"/>
    <w:rsid w:val="00EA51C1"/>
    <w:rsid w:val="00EA6573"/>
    <w:rsid w:val="00EA6642"/>
    <w:rsid w:val="00EA6DF3"/>
    <w:rsid w:val="00EB067E"/>
    <w:rsid w:val="00EB3456"/>
    <w:rsid w:val="00EB3507"/>
    <w:rsid w:val="00EB4144"/>
    <w:rsid w:val="00EB566A"/>
    <w:rsid w:val="00EB59F4"/>
    <w:rsid w:val="00EB5F11"/>
    <w:rsid w:val="00EB69AD"/>
    <w:rsid w:val="00EC032B"/>
    <w:rsid w:val="00EC2986"/>
    <w:rsid w:val="00EC54DB"/>
    <w:rsid w:val="00EC62DC"/>
    <w:rsid w:val="00EC6719"/>
    <w:rsid w:val="00EC6B75"/>
    <w:rsid w:val="00EC748C"/>
    <w:rsid w:val="00ED04E8"/>
    <w:rsid w:val="00ED0EC5"/>
    <w:rsid w:val="00ED1147"/>
    <w:rsid w:val="00ED1700"/>
    <w:rsid w:val="00ED28C8"/>
    <w:rsid w:val="00ED29BE"/>
    <w:rsid w:val="00ED340A"/>
    <w:rsid w:val="00ED37DE"/>
    <w:rsid w:val="00ED39FA"/>
    <w:rsid w:val="00ED5660"/>
    <w:rsid w:val="00ED5A17"/>
    <w:rsid w:val="00EE0366"/>
    <w:rsid w:val="00EE0CAA"/>
    <w:rsid w:val="00EE2288"/>
    <w:rsid w:val="00EE2E2F"/>
    <w:rsid w:val="00EE366F"/>
    <w:rsid w:val="00EE4294"/>
    <w:rsid w:val="00EE515D"/>
    <w:rsid w:val="00EE522A"/>
    <w:rsid w:val="00EE61EA"/>
    <w:rsid w:val="00EE6845"/>
    <w:rsid w:val="00EE7607"/>
    <w:rsid w:val="00EE7B51"/>
    <w:rsid w:val="00EF0189"/>
    <w:rsid w:val="00EF052D"/>
    <w:rsid w:val="00EF4CC3"/>
    <w:rsid w:val="00EF5ACB"/>
    <w:rsid w:val="00EF6432"/>
    <w:rsid w:val="00EF69CC"/>
    <w:rsid w:val="00F00B66"/>
    <w:rsid w:val="00F0167C"/>
    <w:rsid w:val="00F01893"/>
    <w:rsid w:val="00F01ACB"/>
    <w:rsid w:val="00F023D6"/>
    <w:rsid w:val="00F05DE3"/>
    <w:rsid w:val="00F06483"/>
    <w:rsid w:val="00F072C3"/>
    <w:rsid w:val="00F105D2"/>
    <w:rsid w:val="00F12280"/>
    <w:rsid w:val="00F1322C"/>
    <w:rsid w:val="00F1340D"/>
    <w:rsid w:val="00F13F35"/>
    <w:rsid w:val="00F17B02"/>
    <w:rsid w:val="00F20421"/>
    <w:rsid w:val="00F20B70"/>
    <w:rsid w:val="00F237CE"/>
    <w:rsid w:val="00F23C1C"/>
    <w:rsid w:val="00F24B53"/>
    <w:rsid w:val="00F24CBF"/>
    <w:rsid w:val="00F25DE9"/>
    <w:rsid w:val="00F262E9"/>
    <w:rsid w:val="00F26B55"/>
    <w:rsid w:val="00F27432"/>
    <w:rsid w:val="00F27690"/>
    <w:rsid w:val="00F27E51"/>
    <w:rsid w:val="00F3177F"/>
    <w:rsid w:val="00F31A1B"/>
    <w:rsid w:val="00F34DDF"/>
    <w:rsid w:val="00F358B4"/>
    <w:rsid w:val="00F35A8A"/>
    <w:rsid w:val="00F370B5"/>
    <w:rsid w:val="00F3715C"/>
    <w:rsid w:val="00F41CD5"/>
    <w:rsid w:val="00F42DBE"/>
    <w:rsid w:val="00F43607"/>
    <w:rsid w:val="00F44C34"/>
    <w:rsid w:val="00F46B4C"/>
    <w:rsid w:val="00F46EA1"/>
    <w:rsid w:val="00F5001B"/>
    <w:rsid w:val="00F51C0F"/>
    <w:rsid w:val="00F520D5"/>
    <w:rsid w:val="00F562CD"/>
    <w:rsid w:val="00F5686D"/>
    <w:rsid w:val="00F57BDC"/>
    <w:rsid w:val="00F602C1"/>
    <w:rsid w:val="00F608AC"/>
    <w:rsid w:val="00F61574"/>
    <w:rsid w:val="00F61844"/>
    <w:rsid w:val="00F61D88"/>
    <w:rsid w:val="00F63591"/>
    <w:rsid w:val="00F638E3"/>
    <w:rsid w:val="00F644BB"/>
    <w:rsid w:val="00F64D55"/>
    <w:rsid w:val="00F65AB6"/>
    <w:rsid w:val="00F6691C"/>
    <w:rsid w:val="00F67162"/>
    <w:rsid w:val="00F67F93"/>
    <w:rsid w:val="00F70171"/>
    <w:rsid w:val="00F70E15"/>
    <w:rsid w:val="00F70E52"/>
    <w:rsid w:val="00F71AB9"/>
    <w:rsid w:val="00F753E0"/>
    <w:rsid w:val="00F75DD9"/>
    <w:rsid w:val="00F77EF9"/>
    <w:rsid w:val="00F83FA9"/>
    <w:rsid w:val="00F84F04"/>
    <w:rsid w:val="00F85185"/>
    <w:rsid w:val="00F90D50"/>
    <w:rsid w:val="00F911EA"/>
    <w:rsid w:val="00F91EE8"/>
    <w:rsid w:val="00F92863"/>
    <w:rsid w:val="00F928F0"/>
    <w:rsid w:val="00F94D12"/>
    <w:rsid w:val="00F9575E"/>
    <w:rsid w:val="00F9609F"/>
    <w:rsid w:val="00F96564"/>
    <w:rsid w:val="00F96B4B"/>
    <w:rsid w:val="00F979AC"/>
    <w:rsid w:val="00FA0C6F"/>
    <w:rsid w:val="00FA1F11"/>
    <w:rsid w:val="00FA22F8"/>
    <w:rsid w:val="00FA2F70"/>
    <w:rsid w:val="00FA33B6"/>
    <w:rsid w:val="00FB0CAB"/>
    <w:rsid w:val="00FB1760"/>
    <w:rsid w:val="00FB1D2B"/>
    <w:rsid w:val="00FB200D"/>
    <w:rsid w:val="00FB5934"/>
    <w:rsid w:val="00FB59CD"/>
    <w:rsid w:val="00FB6510"/>
    <w:rsid w:val="00FB66BD"/>
    <w:rsid w:val="00FB7251"/>
    <w:rsid w:val="00FC07A8"/>
    <w:rsid w:val="00FC30E0"/>
    <w:rsid w:val="00FC31A8"/>
    <w:rsid w:val="00FC3377"/>
    <w:rsid w:val="00FC3BE6"/>
    <w:rsid w:val="00FC42E6"/>
    <w:rsid w:val="00FC44D3"/>
    <w:rsid w:val="00FC592E"/>
    <w:rsid w:val="00FC599D"/>
    <w:rsid w:val="00FC6353"/>
    <w:rsid w:val="00FC72D8"/>
    <w:rsid w:val="00FC79C8"/>
    <w:rsid w:val="00FD0024"/>
    <w:rsid w:val="00FD07D5"/>
    <w:rsid w:val="00FD0B77"/>
    <w:rsid w:val="00FD261F"/>
    <w:rsid w:val="00FD285F"/>
    <w:rsid w:val="00FD45D0"/>
    <w:rsid w:val="00FD45E8"/>
    <w:rsid w:val="00FD72B7"/>
    <w:rsid w:val="00FD7A7F"/>
    <w:rsid w:val="00FD7B6E"/>
    <w:rsid w:val="00FE15F1"/>
    <w:rsid w:val="00FE194A"/>
    <w:rsid w:val="00FE1EA9"/>
    <w:rsid w:val="00FE22F3"/>
    <w:rsid w:val="00FE2581"/>
    <w:rsid w:val="00FE25A6"/>
    <w:rsid w:val="00FE35C2"/>
    <w:rsid w:val="00FE5DB3"/>
    <w:rsid w:val="00FE720C"/>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6137"/>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1019CE"/>
    <w:pPr>
      <w:spacing w:before="0"/>
      <w:jc w:val="center"/>
      <w:outlineLvl w:val="0"/>
    </w:pPr>
    <w:rPr>
      <w:b/>
      <w:bCs/>
      <w:sz w:val="44"/>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FE22F3"/>
    <w:pPr>
      <w:ind w:left="315" w:hanging="360"/>
      <w:outlineLvl w:val="2"/>
    </w:pPr>
    <w:rPr>
      <w:rFonts w:eastAsia="Calibri" w:cs="Arial"/>
      <w:b/>
      <w:szCs w:val="24"/>
      <w:lang w:eastAsia="en-US"/>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D76CDB"/>
    <w:pPr>
      <w:numPr>
        <w:numId w:val="8"/>
      </w:numPr>
      <w:outlineLvl w:val="4"/>
    </w:pPr>
    <w:rPr>
      <w:rFonts w:eastAsia="Calibri"/>
      <w:szCs w:val="22"/>
      <w:lang w:val="en-US" w:eastAsia="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semiHidden/>
    <w:pPr>
      <w:keepNext w:val="0"/>
      <w:spacing w:before="0"/>
    </w:pPr>
    <w:rPr>
      <w:sz w:val="20"/>
      <w:lang w:eastAsia="en-US"/>
    </w:rPr>
  </w:style>
  <w:style w:type="character" w:styleId="FootnoteReference">
    <w:name w:val="footnote reference"/>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semiHidden/>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FE22F3"/>
    <w:rPr>
      <w:rFonts w:ascii="Arial" w:eastAsia="Calibri" w:hAnsi="Arial" w:cs="Arial"/>
      <w:b/>
      <w:color w:val="000000" w:themeColor="text1"/>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57D42"/>
    <w:rPr>
      <w:sz w:val="16"/>
      <w:szCs w:val="16"/>
    </w:rPr>
  </w:style>
  <w:style w:type="paragraph" w:styleId="CommentText">
    <w:name w:val="annotation text"/>
    <w:basedOn w:val="Normal"/>
    <w:link w:val="CommentTextChar"/>
    <w:rsid w:val="00257D42"/>
    <w:pPr>
      <w:keepNext w:val="0"/>
      <w:spacing w:before="0"/>
    </w:pPr>
    <w:rPr>
      <w:rFonts w:ascii="Times New Roman" w:hAnsi="Times New Roman"/>
      <w:color w:val="auto"/>
      <w:sz w:val="20"/>
    </w:rPr>
  </w:style>
  <w:style w:type="character" w:customStyle="1" w:styleId="CommentTextChar">
    <w:name w:val="Comment Text Char"/>
    <w:basedOn w:val="DefaultParagraphFont"/>
    <w:link w:val="CommentText"/>
    <w:rsid w:val="00257D42"/>
  </w:style>
  <w:style w:type="paragraph" w:styleId="EndnoteText">
    <w:name w:val="endnote text"/>
    <w:basedOn w:val="Normal"/>
    <w:link w:val="EndnoteTextChar"/>
    <w:rsid w:val="00063C83"/>
    <w:pPr>
      <w:keepNext w:val="0"/>
      <w:spacing w:before="0"/>
    </w:pPr>
    <w:rPr>
      <w:rFonts w:ascii="Times New Roman" w:hAnsi="Times New Roman"/>
      <w:color w:val="auto"/>
      <w:sz w:val="20"/>
    </w:rPr>
  </w:style>
  <w:style w:type="character" w:customStyle="1" w:styleId="EndnoteTextChar">
    <w:name w:val="Endnote Text Char"/>
    <w:basedOn w:val="DefaultParagraphFont"/>
    <w:link w:val="EndnoteText"/>
    <w:rsid w:val="00063C83"/>
  </w:style>
  <w:style w:type="paragraph" w:styleId="Title">
    <w:name w:val="Title"/>
    <w:basedOn w:val="Normal"/>
    <w:next w:val="Normal"/>
    <w:link w:val="TitleChar"/>
    <w:qFormat/>
    <w:rsid w:val="00F31A1B"/>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31A1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7657E"/>
    <w:rPr>
      <w:color w:val="605E5C"/>
      <w:shd w:val="clear" w:color="auto" w:fill="E1DFDD"/>
    </w:rPr>
  </w:style>
  <w:style w:type="table" w:customStyle="1" w:styleId="ReportTable1">
    <w:name w:val="Report Table1"/>
    <w:basedOn w:val="TableNormal"/>
    <w:next w:val="TableGrid"/>
    <w:rsid w:val="007D3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1 Char"/>
    <w:link w:val="ListParagraph"/>
    <w:uiPriority w:val="34"/>
    <w:locked/>
    <w:rsid w:val="000D7D0F"/>
    <w:rPr>
      <w:rFonts w:ascii="Calibri" w:hAnsi="Calibri"/>
      <w:color w:val="000000" w:themeColor="text1"/>
      <w:sz w:val="24"/>
      <w:szCs w:val="22"/>
      <w:lang w:eastAsia="en-US"/>
    </w:rPr>
  </w:style>
  <w:style w:type="paragraph" w:styleId="CommentSubject">
    <w:name w:val="annotation subject"/>
    <w:basedOn w:val="CommentText"/>
    <w:next w:val="CommentText"/>
    <w:link w:val="CommentSubjectChar"/>
    <w:rsid w:val="006413B0"/>
    <w:pPr>
      <w:keepNext/>
      <w:spacing w:before="120"/>
    </w:pPr>
    <w:rPr>
      <w:rFonts w:ascii="Arial" w:hAnsi="Arial"/>
      <w:b/>
      <w:bCs/>
      <w:color w:val="000000" w:themeColor="text1"/>
    </w:rPr>
  </w:style>
  <w:style w:type="character" w:customStyle="1" w:styleId="CommentSubjectChar">
    <w:name w:val="Comment Subject Char"/>
    <w:basedOn w:val="CommentTextChar"/>
    <w:link w:val="CommentSubject"/>
    <w:rsid w:val="006413B0"/>
    <w:rPr>
      <w:rFonts w:ascii="Arial" w:hAnsi="Arial"/>
      <w:b/>
      <w:bCs/>
      <w:color w:val="000000" w:themeColor="text1"/>
    </w:rPr>
  </w:style>
  <w:style w:type="paragraph" w:customStyle="1" w:styleId="Contentspageheading">
    <w:name w:val="Contents page heading"/>
    <w:basedOn w:val="Heading1"/>
    <w:next w:val="Normal"/>
    <w:link w:val="ContentspageheadingChar"/>
    <w:qFormat/>
    <w:rsid w:val="00B824A9"/>
    <w:pPr>
      <w:jc w:val="left"/>
    </w:pPr>
    <w:rPr>
      <w:sz w:val="36"/>
      <w:szCs w:val="36"/>
    </w:rPr>
  </w:style>
  <w:style w:type="paragraph" w:styleId="Bibliography">
    <w:name w:val="Bibliography"/>
    <w:basedOn w:val="Normal"/>
    <w:next w:val="Normal"/>
    <w:uiPriority w:val="37"/>
    <w:semiHidden/>
    <w:unhideWhenUsed/>
    <w:rsid w:val="00B824A9"/>
  </w:style>
  <w:style w:type="character" w:customStyle="1" w:styleId="Heading1Char">
    <w:name w:val="Heading 1 Char"/>
    <w:basedOn w:val="DefaultParagraphFont"/>
    <w:link w:val="Heading1"/>
    <w:rsid w:val="00B824A9"/>
    <w:rPr>
      <w:rFonts w:ascii="Arial" w:hAnsi="Arial"/>
      <w:b/>
      <w:bCs/>
      <w:color w:val="000000" w:themeColor="text1"/>
      <w:sz w:val="44"/>
      <w:lang w:eastAsia="en-US"/>
    </w:rPr>
  </w:style>
  <w:style w:type="character" w:customStyle="1" w:styleId="ContentspageheadingChar">
    <w:name w:val="Contents page heading Char"/>
    <w:basedOn w:val="Heading1Char"/>
    <w:link w:val="Contentspageheading"/>
    <w:rsid w:val="00B824A9"/>
    <w:rPr>
      <w:rFonts w:ascii="Arial" w:hAnsi="Arial"/>
      <w:b/>
      <w:bCs/>
      <w:color w:val="000000" w:themeColor="text1"/>
      <w:sz w:val="36"/>
      <w:szCs w:val="36"/>
      <w:lang w:eastAsia="en-US"/>
    </w:rPr>
  </w:style>
  <w:style w:type="paragraph" w:styleId="BlockText">
    <w:name w:val="Block Text"/>
    <w:basedOn w:val="Normal"/>
    <w:rsid w:val="00B824A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B824A9"/>
    <w:pPr>
      <w:ind w:firstLine="360"/>
      <w:jc w:val="left"/>
    </w:pPr>
  </w:style>
  <w:style w:type="character" w:customStyle="1" w:styleId="BodyTextChar">
    <w:name w:val="Body Text Char"/>
    <w:basedOn w:val="DefaultParagraphFont"/>
    <w:link w:val="BodyText"/>
    <w:rsid w:val="00B824A9"/>
    <w:rPr>
      <w:rFonts w:ascii="Arial" w:hAnsi="Arial"/>
      <w:color w:val="000000" w:themeColor="text1"/>
      <w:sz w:val="24"/>
    </w:rPr>
  </w:style>
  <w:style w:type="character" w:customStyle="1" w:styleId="BodyTextFirstIndentChar">
    <w:name w:val="Body Text First Indent Char"/>
    <w:basedOn w:val="BodyTextChar"/>
    <w:link w:val="BodyTextFirstIndent"/>
    <w:rsid w:val="00B824A9"/>
    <w:rPr>
      <w:rFonts w:ascii="Arial" w:hAnsi="Arial"/>
      <w:color w:val="000000" w:themeColor="text1"/>
      <w:sz w:val="24"/>
    </w:rPr>
  </w:style>
  <w:style w:type="paragraph" w:styleId="BodyTextFirstIndent2">
    <w:name w:val="Body Text First Indent 2"/>
    <w:basedOn w:val="BodyTextIndent"/>
    <w:link w:val="BodyTextFirstIndent2Char"/>
    <w:rsid w:val="00B824A9"/>
    <w:pPr>
      <w:ind w:left="360" w:firstLine="360"/>
    </w:pPr>
  </w:style>
  <w:style w:type="character" w:customStyle="1" w:styleId="BodyTextIndentChar">
    <w:name w:val="Body Text Indent Char"/>
    <w:basedOn w:val="DefaultParagraphFont"/>
    <w:link w:val="BodyTextIndent"/>
    <w:rsid w:val="00B824A9"/>
    <w:rPr>
      <w:rFonts w:ascii="Arial" w:hAnsi="Arial"/>
      <w:color w:val="000000" w:themeColor="text1"/>
      <w:sz w:val="24"/>
    </w:rPr>
  </w:style>
  <w:style w:type="character" w:customStyle="1" w:styleId="BodyTextFirstIndent2Char">
    <w:name w:val="Body Text First Indent 2 Char"/>
    <w:basedOn w:val="BodyTextIndentChar"/>
    <w:link w:val="BodyTextFirstIndent2"/>
    <w:rsid w:val="00B824A9"/>
    <w:rPr>
      <w:rFonts w:ascii="Arial" w:hAnsi="Arial"/>
      <w:color w:val="000000" w:themeColor="text1"/>
      <w:sz w:val="24"/>
    </w:rPr>
  </w:style>
  <w:style w:type="paragraph" w:styleId="Closing">
    <w:name w:val="Closing"/>
    <w:basedOn w:val="Normal"/>
    <w:link w:val="ClosingChar"/>
    <w:rsid w:val="00B824A9"/>
    <w:pPr>
      <w:spacing w:before="0"/>
      <w:ind w:left="4252"/>
    </w:pPr>
  </w:style>
  <w:style w:type="character" w:customStyle="1" w:styleId="ClosingChar">
    <w:name w:val="Closing Char"/>
    <w:basedOn w:val="DefaultParagraphFont"/>
    <w:link w:val="Closing"/>
    <w:rsid w:val="00B824A9"/>
    <w:rPr>
      <w:rFonts w:ascii="Arial" w:hAnsi="Arial"/>
      <w:color w:val="000000" w:themeColor="text1"/>
      <w:sz w:val="24"/>
    </w:rPr>
  </w:style>
  <w:style w:type="paragraph" w:styleId="Date">
    <w:name w:val="Date"/>
    <w:basedOn w:val="Normal"/>
    <w:next w:val="Normal"/>
    <w:link w:val="DateChar"/>
    <w:rsid w:val="00B824A9"/>
  </w:style>
  <w:style w:type="character" w:customStyle="1" w:styleId="DateChar">
    <w:name w:val="Date Char"/>
    <w:basedOn w:val="DefaultParagraphFont"/>
    <w:link w:val="Date"/>
    <w:rsid w:val="00B824A9"/>
    <w:rPr>
      <w:rFonts w:ascii="Arial" w:hAnsi="Arial"/>
      <w:color w:val="000000" w:themeColor="text1"/>
      <w:sz w:val="24"/>
    </w:rPr>
  </w:style>
  <w:style w:type="paragraph" w:styleId="E-mailSignature">
    <w:name w:val="E-mail Signature"/>
    <w:basedOn w:val="Normal"/>
    <w:link w:val="E-mailSignatureChar"/>
    <w:rsid w:val="00B824A9"/>
    <w:pPr>
      <w:spacing w:before="0"/>
    </w:pPr>
  </w:style>
  <w:style w:type="character" w:customStyle="1" w:styleId="E-mailSignatureChar">
    <w:name w:val="E-mail Signature Char"/>
    <w:basedOn w:val="DefaultParagraphFont"/>
    <w:link w:val="E-mailSignature"/>
    <w:rsid w:val="00B824A9"/>
    <w:rPr>
      <w:rFonts w:ascii="Arial" w:hAnsi="Arial"/>
      <w:color w:val="000000" w:themeColor="text1"/>
      <w:sz w:val="24"/>
    </w:rPr>
  </w:style>
  <w:style w:type="paragraph" w:styleId="EnvelopeAddress">
    <w:name w:val="envelope address"/>
    <w:basedOn w:val="Normal"/>
    <w:rsid w:val="00B824A9"/>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B824A9"/>
    <w:pPr>
      <w:spacing w:before="0"/>
    </w:pPr>
    <w:rPr>
      <w:rFonts w:asciiTheme="majorHAnsi" w:eastAsiaTheme="majorEastAsia" w:hAnsiTheme="majorHAnsi" w:cstheme="majorBidi"/>
      <w:sz w:val="20"/>
    </w:rPr>
  </w:style>
  <w:style w:type="paragraph" w:styleId="HTMLAddress">
    <w:name w:val="HTML Address"/>
    <w:basedOn w:val="Normal"/>
    <w:link w:val="HTMLAddressChar"/>
    <w:rsid w:val="00B824A9"/>
    <w:pPr>
      <w:spacing w:before="0"/>
    </w:pPr>
    <w:rPr>
      <w:i/>
      <w:iCs/>
    </w:rPr>
  </w:style>
  <w:style w:type="character" w:customStyle="1" w:styleId="HTMLAddressChar">
    <w:name w:val="HTML Address Char"/>
    <w:basedOn w:val="DefaultParagraphFont"/>
    <w:link w:val="HTMLAddress"/>
    <w:rsid w:val="00B824A9"/>
    <w:rPr>
      <w:rFonts w:ascii="Arial" w:hAnsi="Arial"/>
      <w:i/>
      <w:iCs/>
      <w:color w:val="000000" w:themeColor="text1"/>
      <w:sz w:val="24"/>
    </w:rPr>
  </w:style>
  <w:style w:type="paragraph" w:styleId="HTMLPreformatted">
    <w:name w:val="HTML Preformatted"/>
    <w:basedOn w:val="Normal"/>
    <w:link w:val="HTMLPreformattedChar"/>
    <w:rsid w:val="00B824A9"/>
    <w:pPr>
      <w:spacing w:before="0"/>
    </w:pPr>
    <w:rPr>
      <w:rFonts w:ascii="Consolas" w:hAnsi="Consolas"/>
      <w:sz w:val="20"/>
    </w:rPr>
  </w:style>
  <w:style w:type="character" w:customStyle="1" w:styleId="HTMLPreformattedChar">
    <w:name w:val="HTML Preformatted Char"/>
    <w:basedOn w:val="DefaultParagraphFont"/>
    <w:link w:val="HTMLPreformatted"/>
    <w:rsid w:val="00B824A9"/>
    <w:rPr>
      <w:rFonts w:ascii="Consolas" w:hAnsi="Consolas"/>
      <w:color w:val="000000" w:themeColor="text1"/>
    </w:rPr>
  </w:style>
  <w:style w:type="paragraph" w:styleId="Index1">
    <w:name w:val="index 1"/>
    <w:basedOn w:val="Normal"/>
    <w:next w:val="Normal"/>
    <w:autoRedefine/>
    <w:rsid w:val="00B824A9"/>
    <w:pPr>
      <w:spacing w:before="0"/>
      <w:ind w:left="240" w:hanging="240"/>
    </w:pPr>
  </w:style>
  <w:style w:type="paragraph" w:styleId="Index2">
    <w:name w:val="index 2"/>
    <w:basedOn w:val="Normal"/>
    <w:next w:val="Normal"/>
    <w:autoRedefine/>
    <w:rsid w:val="00B824A9"/>
    <w:pPr>
      <w:spacing w:before="0"/>
      <w:ind w:left="480" w:hanging="240"/>
    </w:pPr>
  </w:style>
  <w:style w:type="paragraph" w:styleId="Index3">
    <w:name w:val="index 3"/>
    <w:basedOn w:val="Normal"/>
    <w:next w:val="Normal"/>
    <w:autoRedefine/>
    <w:rsid w:val="00B824A9"/>
    <w:pPr>
      <w:spacing w:before="0"/>
      <w:ind w:left="720" w:hanging="240"/>
    </w:pPr>
  </w:style>
  <w:style w:type="paragraph" w:styleId="Index4">
    <w:name w:val="index 4"/>
    <w:basedOn w:val="Normal"/>
    <w:next w:val="Normal"/>
    <w:autoRedefine/>
    <w:rsid w:val="00B824A9"/>
    <w:pPr>
      <w:spacing w:before="0"/>
      <w:ind w:left="960" w:hanging="240"/>
    </w:pPr>
  </w:style>
  <w:style w:type="paragraph" w:styleId="Index5">
    <w:name w:val="index 5"/>
    <w:basedOn w:val="Normal"/>
    <w:next w:val="Normal"/>
    <w:autoRedefine/>
    <w:rsid w:val="00B824A9"/>
    <w:pPr>
      <w:spacing w:before="0"/>
      <w:ind w:left="1200" w:hanging="240"/>
    </w:pPr>
  </w:style>
  <w:style w:type="paragraph" w:styleId="Index6">
    <w:name w:val="index 6"/>
    <w:basedOn w:val="Normal"/>
    <w:next w:val="Normal"/>
    <w:autoRedefine/>
    <w:rsid w:val="00B824A9"/>
    <w:pPr>
      <w:spacing w:before="0"/>
      <w:ind w:left="1440" w:hanging="240"/>
    </w:pPr>
  </w:style>
  <w:style w:type="paragraph" w:styleId="Index7">
    <w:name w:val="index 7"/>
    <w:basedOn w:val="Normal"/>
    <w:next w:val="Normal"/>
    <w:autoRedefine/>
    <w:rsid w:val="00B824A9"/>
    <w:pPr>
      <w:spacing w:before="0"/>
      <w:ind w:left="1680" w:hanging="240"/>
    </w:pPr>
  </w:style>
  <w:style w:type="paragraph" w:styleId="Index8">
    <w:name w:val="index 8"/>
    <w:basedOn w:val="Normal"/>
    <w:next w:val="Normal"/>
    <w:autoRedefine/>
    <w:rsid w:val="00B824A9"/>
    <w:pPr>
      <w:spacing w:before="0"/>
      <w:ind w:left="1920" w:hanging="240"/>
    </w:pPr>
  </w:style>
  <w:style w:type="paragraph" w:styleId="Index9">
    <w:name w:val="index 9"/>
    <w:basedOn w:val="Normal"/>
    <w:next w:val="Normal"/>
    <w:autoRedefine/>
    <w:rsid w:val="00B824A9"/>
    <w:pPr>
      <w:spacing w:before="0"/>
      <w:ind w:left="2160" w:hanging="240"/>
    </w:pPr>
  </w:style>
  <w:style w:type="paragraph" w:styleId="IndexHeading">
    <w:name w:val="index heading"/>
    <w:basedOn w:val="Normal"/>
    <w:next w:val="Index1"/>
    <w:rsid w:val="00B824A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24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24A9"/>
    <w:rPr>
      <w:rFonts w:ascii="Arial" w:hAnsi="Arial"/>
      <w:i/>
      <w:iCs/>
      <w:color w:val="4472C4" w:themeColor="accent1"/>
      <w:sz w:val="24"/>
    </w:rPr>
  </w:style>
  <w:style w:type="paragraph" w:styleId="List">
    <w:name w:val="List"/>
    <w:basedOn w:val="Normal"/>
    <w:rsid w:val="00B824A9"/>
    <w:pPr>
      <w:ind w:left="283" w:hanging="283"/>
      <w:contextualSpacing/>
    </w:pPr>
  </w:style>
  <w:style w:type="paragraph" w:styleId="List2">
    <w:name w:val="List 2"/>
    <w:basedOn w:val="Normal"/>
    <w:rsid w:val="00B824A9"/>
    <w:pPr>
      <w:ind w:left="566" w:hanging="283"/>
      <w:contextualSpacing/>
    </w:pPr>
  </w:style>
  <w:style w:type="paragraph" w:styleId="List3">
    <w:name w:val="List 3"/>
    <w:basedOn w:val="Normal"/>
    <w:rsid w:val="00B824A9"/>
    <w:pPr>
      <w:ind w:left="849" w:hanging="283"/>
      <w:contextualSpacing/>
    </w:pPr>
  </w:style>
  <w:style w:type="paragraph" w:styleId="List4">
    <w:name w:val="List 4"/>
    <w:basedOn w:val="Normal"/>
    <w:rsid w:val="00B824A9"/>
    <w:pPr>
      <w:ind w:left="1132" w:hanging="283"/>
      <w:contextualSpacing/>
    </w:pPr>
  </w:style>
  <w:style w:type="paragraph" w:styleId="List5">
    <w:name w:val="List 5"/>
    <w:basedOn w:val="Normal"/>
    <w:rsid w:val="00B824A9"/>
    <w:pPr>
      <w:ind w:left="1415" w:hanging="283"/>
      <w:contextualSpacing/>
    </w:pPr>
  </w:style>
  <w:style w:type="paragraph" w:styleId="ListBullet">
    <w:name w:val="List Bullet"/>
    <w:basedOn w:val="Normal"/>
    <w:rsid w:val="00B824A9"/>
    <w:pPr>
      <w:numPr>
        <w:numId w:val="21"/>
      </w:numPr>
      <w:contextualSpacing/>
    </w:pPr>
  </w:style>
  <w:style w:type="paragraph" w:styleId="ListBullet2">
    <w:name w:val="List Bullet 2"/>
    <w:basedOn w:val="Normal"/>
    <w:rsid w:val="00B824A9"/>
    <w:pPr>
      <w:numPr>
        <w:numId w:val="22"/>
      </w:numPr>
      <w:contextualSpacing/>
    </w:pPr>
  </w:style>
  <w:style w:type="paragraph" w:styleId="ListBullet3">
    <w:name w:val="List Bullet 3"/>
    <w:basedOn w:val="Normal"/>
    <w:rsid w:val="00B824A9"/>
    <w:pPr>
      <w:numPr>
        <w:numId w:val="23"/>
      </w:numPr>
      <w:contextualSpacing/>
    </w:pPr>
  </w:style>
  <w:style w:type="paragraph" w:styleId="ListBullet4">
    <w:name w:val="List Bullet 4"/>
    <w:basedOn w:val="Normal"/>
    <w:rsid w:val="00B824A9"/>
    <w:pPr>
      <w:numPr>
        <w:numId w:val="24"/>
      </w:numPr>
      <w:contextualSpacing/>
    </w:pPr>
  </w:style>
  <w:style w:type="paragraph" w:styleId="ListBullet5">
    <w:name w:val="List Bullet 5"/>
    <w:basedOn w:val="Normal"/>
    <w:rsid w:val="00B824A9"/>
    <w:pPr>
      <w:numPr>
        <w:numId w:val="25"/>
      </w:numPr>
      <w:contextualSpacing/>
    </w:pPr>
  </w:style>
  <w:style w:type="paragraph" w:styleId="ListContinue">
    <w:name w:val="List Continue"/>
    <w:basedOn w:val="Normal"/>
    <w:rsid w:val="00B824A9"/>
    <w:pPr>
      <w:spacing w:after="120"/>
      <w:ind w:left="283"/>
      <w:contextualSpacing/>
    </w:pPr>
  </w:style>
  <w:style w:type="paragraph" w:styleId="ListContinue2">
    <w:name w:val="List Continue 2"/>
    <w:basedOn w:val="Normal"/>
    <w:rsid w:val="00B824A9"/>
    <w:pPr>
      <w:spacing w:after="120"/>
      <w:ind w:left="566"/>
      <w:contextualSpacing/>
    </w:pPr>
  </w:style>
  <w:style w:type="paragraph" w:styleId="ListContinue3">
    <w:name w:val="List Continue 3"/>
    <w:basedOn w:val="Normal"/>
    <w:rsid w:val="00B824A9"/>
    <w:pPr>
      <w:spacing w:after="120"/>
      <w:ind w:left="849"/>
      <w:contextualSpacing/>
    </w:pPr>
  </w:style>
  <w:style w:type="paragraph" w:styleId="ListContinue4">
    <w:name w:val="List Continue 4"/>
    <w:basedOn w:val="Normal"/>
    <w:rsid w:val="00B824A9"/>
    <w:pPr>
      <w:spacing w:after="120"/>
      <w:ind w:left="1132"/>
      <w:contextualSpacing/>
    </w:pPr>
  </w:style>
  <w:style w:type="paragraph" w:styleId="ListContinue5">
    <w:name w:val="List Continue 5"/>
    <w:basedOn w:val="Normal"/>
    <w:rsid w:val="00B824A9"/>
    <w:pPr>
      <w:spacing w:after="120"/>
      <w:ind w:left="1415"/>
      <w:contextualSpacing/>
    </w:pPr>
  </w:style>
  <w:style w:type="paragraph" w:styleId="ListNumber">
    <w:name w:val="List Number"/>
    <w:basedOn w:val="Normal"/>
    <w:rsid w:val="00B824A9"/>
    <w:pPr>
      <w:numPr>
        <w:numId w:val="26"/>
      </w:numPr>
      <w:contextualSpacing/>
    </w:pPr>
  </w:style>
  <w:style w:type="paragraph" w:styleId="ListNumber2">
    <w:name w:val="List Number 2"/>
    <w:basedOn w:val="Normal"/>
    <w:rsid w:val="00B824A9"/>
    <w:pPr>
      <w:numPr>
        <w:numId w:val="27"/>
      </w:numPr>
      <w:contextualSpacing/>
    </w:pPr>
  </w:style>
  <w:style w:type="paragraph" w:styleId="ListNumber3">
    <w:name w:val="List Number 3"/>
    <w:basedOn w:val="Normal"/>
    <w:rsid w:val="00B824A9"/>
    <w:pPr>
      <w:numPr>
        <w:numId w:val="28"/>
      </w:numPr>
      <w:contextualSpacing/>
    </w:pPr>
  </w:style>
  <w:style w:type="paragraph" w:styleId="ListNumber4">
    <w:name w:val="List Number 4"/>
    <w:basedOn w:val="Normal"/>
    <w:rsid w:val="00B824A9"/>
    <w:pPr>
      <w:numPr>
        <w:numId w:val="29"/>
      </w:numPr>
      <w:contextualSpacing/>
    </w:pPr>
  </w:style>
  <w:style w:type="paragraph" w:styleId="ListNumber5">
    <w:name w:val="List Number 5"/>
    <w:basedOn w:val="Normal"/>
    <w:rsid w:val="00B824A9"/>
    <w:pPr>
      <w:numPr>
        <w:numId w:val="30"/>
      </w:numPr>
      <w:contextualSpacing/>
    </w:pPr>
  </w:style>
  <w:style w:type="paragraph" w:styleId="MacroText">
    <w:name w:val="macro"/>
    <w:link w:val="MacroTextChar"/>
    <w:rsid w:val="00B824A9"/>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olor w:val="000000" w:themeColor="text1"/>
    </w:rPr>
  </w:style>
  <w:style w:type="character" w:customStyle="1" w:styleId="MacroTextChar">
    <w:name w:val="Macro Text Char"/>
    <w:basedOn w:val="DefaultParagraphFont"/>
    <w:link w:val="MacroText"/>
    <w:rsid w:val="00B824A9"/>
    <w:rPr>
      <w:rFonts w:ascii="Consolas" w:hAnsi="Consolas"/>
      <w:color w:val="000000" w:themeColor="text1"/>
    </w:rPr>
  </w:style>
  <w:style w:type="paragraph" w:styleId="MessageHeader">
    <w:name w:val="Message Header"/>
    <w:basedOn w:val="Normal"/>
    <w:link w:val="MessageHeaderChar"/>
    <w:rsid w:val="00B824A9"/>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B824A9"/>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B824A9"/>
    <w:pPr>
      <w:keepNext/>
    </w:pPr>
    <w:rPr>
      <w:rFonts w:ascii="Arial" w:hAnsi="Arial"/>
      <w:color w:val="000000" w:themeColor="text1"/>
      <w:sz w:val="24"/>
    </w:rPr>
  </w:style>
  <w:style w:type="paragraph" w:styleId="NormalIndent">
    <w:name w:val="Normal Indent"/>
    <w:basedOn w:val="Normal"/>
    <w:rsid w:val="00B824A9"/>
    <w:pPr>
      <w:ind w:left="720"/>
    </w:pPr>
  </w:style>
  <w:style w:type="paragraph" w:styleId="NoteHeading">
    <w:name w:val="Note Heading"/>
    <w:basedOn w:val="Normal"/>
    <w:next w:val="Normal"/>
    <w:link w:val="NoteHeadingChar"/>
    <w:rsid w:val="00B824A9"/>
    <w:pPr>
      <w:spacing w:before="0"/>
    </w:pPr>
  </w:style>
  <w:style w:type="character" w:customStyle="1" w:styleId="NoteHeadingChar">
    <w:name w:val="Note Heading Char"/>
    <w:basedOn w:val="DefaultParagraphFont"/>
    <w:link w:val="NoteHeading"/>
    <w:rsid w:val="00B824A9"/>
    <w:rPr>
      <w:rFonts w:ascii="Arial" w:hAnsi="Arial"/>
      <w:color w:val="000000" w:themeColor="text1"/>
      <w:sz w:val="24"/>
    </w:rPr>
  </w:style>
  <w:style w:type="paragraph" w:styleId="Quote">
    <w:name w:val="Quote"/>
    <w:basedOn w:val="Normal"/>
    <w:next w:val="Normal"/>
    <w:link w:val="QuoteChar"/>
    <w:uiPriority w:val="29"/>
    <w:qFormat/>
    <w:rsid w:val="00B824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24A9"/>
    <w:rPr>
      <w:rFonts w:ascii="Arial" w:hAnsi="Arial"/>
      <w:i/>
      <w:iCs/>
      <w:color w:val="404040" w:themeColor="text1" w:themeTint="BF"/>
      <w:sz w:val="24"/>
    </w:rPr>
  </w:style>
  <w:style w:type="paragraph" w:styleId="Salutation">
    <w:name w:val="Salutation"/>
    <w:basedOn w:val="Normal"/>
    <w:next w:val="Normal"/>
    <w:link w:val="SalutationChar"/>
    <w:rsid w:val="00B824A9"/>
  </w:style>
  <w:style w:type="character" w:customStyle="1" w:styleId="SalutationChar">
    <w:name w:val="Salutation Char"/>
    <w:basedOn w:val="DefaultParagraphFont"/>
    <w:link w:val="Salutation"/>
    <w:rsid w:val="00B824A9"/>
    <w:rPr>
      <w:rFonts w:ascii="Arial" w:hAnsi="Arial"/>
      <w:color w:val="000000" w:themeColor="text1"/>
      <w:sz w:val="24"/>
    </w:rPr>
  </w:style>
  <w:style w:type="paragraph" w:styleId="Signature">
    <w:name w:val="Signature"/>
    <w:basedOn w:val="Normal"/>
    <w:link w:val="SignatureChar"/>
    <w:rsid w:val="00B824A9"/>
    <w:pPr>
      <w:spacing w:before="0"/>
      <w:ind w:left="4252"/>
    </w:pPr>
  </w:style>
  <w:style w:type="character" w:customStyle="1" w:styleId="SignatureChar">
    <w:name w:val="Signature Char"/>
    <w:basedOn w:val="DefaultParagraphFont"/>
    <w:link w:val="Signature"/>
    <w:rsid w:val="00B824A9"/>
    <w:rPr>
      <w:rFonts w:ascii="Arial" w:hAnsi="Arial"/>
      <w:color w:val="000000" w:themeColor="text1"/>
      <w:sz w:val="24"/>
    </w:rPr>
  </w:style>
  <w:style w:type="paragraph" w:styleId="TableofAuthorities">
    <w:name w:val="table of authorities"/>
    <w:basedOn w:val="Normal"/>
    <w:next w:val="Normal"/>
    <w:rsid w:val="00B824A9"/>
    <w:pPr>
      <w:ind w:left="240" w:hanging="240"/>
    </w:pPr>
  </w:style>
  <w:style w:type="paragraph" w:styleId="TableofFigures">
    <w:name w:val="table of figures"/>
    <w:basedOn w:val="Normal"/>
    <w:next w:val="Normal"/>
    <w:rsid w:val="00B824A9"/>
  </w:style>
  <w:style w:type="paragraph" w:styleId="TOAHeading">
    <w:name w:val="toa heading"/>
    <w:basedOn w:val="Normal"/>
    <w:next w:val="Normal"/>
    <w:rsid w:val="00B824A9"/>
    <w:rPr>
      <w:rFonts w:asciiTheme="majorHAnsi" w:eastAsiaTheme="majorEastAsia" w:hAnsiTheme="majorHAnsi" w:cstheme="majorBidi"/>
      <w:b/>
      <w:bCs/>
      <w:szCs w:val="24"/>
    </w:rPr>
  </w:style>
  <w:style w:type="paragraph" w:styleId="TOC1">
    <w:name w:val="toc 1"/>
    <w:basedOn w:val="Normal"/>
    <w:next w:val="Normal"/>
    <w:autoRedefine/>
    <w:rsid w:val="00B824A9"/>
    <w:pPr>
      <w:spacing w:after="100"/>
    </w:pPr>
  </w:style>
  <w:style w:type="paragraph" w:styleId="TOC2">
    <w:name w:val="toc 2"/>
    <w:basedOn w:val="Normal"/>
    <w:next w:val="Normal"/>
    <w:autoRedefine/>
    <w:rsid w:val="00B824A9"/>
    <w:pPr>
      <w:spacing w:after="100"/>
      <w:ind w:left="240"/>
    </w:pPr>
  </w:style>
  <w:style w:type="paragraph" w:styleId="TOC4">
    <w:name w:val="toc 4"/>
    <w:basedOn w:val="Normal"/>
    <w:next w:val="Normal"/>
    <w:autoRedefine/>
    <w:rsid w:val="00B824A9"/>
    <w:pPr>
      <w:spacing w:after="100"/>
      <w:ind w:left="720"/>
    </w:pPr>
  </w:style>
  <w:style w:type="paragraph" w:styleId="TOC5">
    <w:name w:val="toc 5"/>
    <w:basedOn w:val="Normal"/>
    <w:next w:val="Normal"/>
    <w:autoRedefine/>
    <w:rsid w:val="00B824A9"/>
    <w:pPr>
      <w:spacing w:after="100"/>
      <w:ind w:left="960"/>
    </w:pPr>
  </w:style>
  <w:style w:type="paragraph" w:styleId="TOC6">
    <w:name w:val="toc 6"/>
    <w:basedOn w:val="Normal"/>
    <w:next w:val="Normal"/>
    <w:autoRedefine/>
    <w:rsid w:val="00B824A9"/>
    <w:pPr>
      <w:spacing w:after="100"/>
      <w:ind w:left="1200"/>
    </w:pPr>
  </w:style>
  <w:style w:type="paragraph" w:styleId="TOC7">
    <w:name w:val="toc 7"/>
    <w:basedOn w:val="Normal"/>
    <w:next w:val="Normal"/>
    <w:autoRedefine/>
    <w:rsid w:val="00B824A9"/>
    <w:pPr>
      <w:spacing w:after="100"/>
      <w:ind w:left="1440"/>
    </w:pPr>
  </w:style>
  <w:style w:type="paragraph" w:styleId="TOC8">
    <w:name w:val="toc 8"/>
    <w:basedOn w:val="Normal"/>
    <w:next w:val="Normal"/>
    <w:autoRedefine/>
    <w:rsid w:val="00B824A9"/>
    <w:pPr>
      <w:spacing w:after="100"/>
      <w:ind w:left="1680"/>
    </w:pPr>
  </w:style>
  <w:style w:type="paragraph" w:styleId="TOC9">
    <w:name w:val="toc 9"/>
    <w:basedOn w:val="Normal"/>
    <w:next w:val="Normal"/>
    <w:autoRedefine/>
    <w:rsid w:val="00B824A9"/>
    <w:pPr>
      <w:spacing w:after="100"/>
      <w:ind w:left="1920"/>
    </w:pPr>
  </w:style>
  <w:style w:type="paragraph" w:styleId="TOCHeading">
    <w:name w:val="TOC Heading"/>
    <w:basedOn w:val="Heading1"/>
    <w:next w:val="Normal"/>
    <w:uiPriority w:val="39"/>
    <w:semiHidden/>
    <w:unhideWhenUsed/>
    <w:qFormat/>
    <w:rsid w:val="00B824A9"/>
    <w:pPr>
      <w:keepLines/>
      <w:spacing w:before="240"/>
      <w:jc w:val="left"/>
      <w:outlineLvl w:val="9"/>
    </w:pPr>
    <w:rPr>
      <w:rFonts w:asciiTheme="majorHAnsi" w:eastAsiaTheme="majorEastAsia" w:hAnsiTheme="majorHAnsi" w:cstheme="majorBidi"/>
      <w:b w:val="0"/>
      <w:bCs w:val="0"/>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6508">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55755437">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423632">
      <w:bodyDiv w:val="1"/>
      <w:marLeft w:val="0"/>
      <w:marRight w:val="0"/>
      <w:marTop w:val="0"/>
      <w:marBottom w:val="0"/>
      <w:divBdr>
        <w:top w:val="none" w:sz="0" w:space="0" w:color="auto"/>
        <w:left w:val="none" w:sz="0" w:space="0" w:color="auto"/>
        <w:bottom w:val="none" w:sz="0" w:space="0" w:color="auto"/>
        <w:right w:val="none" w:sz="0" w:space="0" w:color="auto"/>
      </w:divBdr>
    </w:div>
    <w:div w:id="627320836">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6378781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95686">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58761">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249518">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27519">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997866">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nlpplanning.com/nlp-insight/start-to-finish-how-quickly-do-large-scale-housing-sites-deliver" TargetMode="External"/><Relationship Id="rId7" Type="http://schemas.openxmlformats.org/officeDocument/2006/relationships/hyperlink" Target="https://www.ashfield.gov.uk/planning-building-control/development-management-documents/" TargetMode="External"/><Relationship Id="rId2" Type="http://schemas.openxmlformats.org/officeDocument/2006/relationships/hyperlink" Target="http://www.house-builder.co.uk/UserFiles/File/JohnStewart-Policy16.pdf" TargetMode="External"/><Relationship Id="rId1" Type="http://schemas.openxmlformats.org/officeDocument/2006/relationships/hyperlink" Target="https://www.gov.uk/government/publications/housing-delivery-test-measurement-rule-book" TargetMode="External"/><Relationship Id="rId6" Type="http://schemas.openxmlformats.org/officeDocument/2006/relationships/hyperlink" Target="http://lichfields.uk/media/2517/stock-and-flow-planning-permissions-and-housing-output.pdf" TargetMode="External"/><Relationship Id="rId5" Type="http://schemas.openxmlformats.org/officeDocument/2006/relationships/hyperlink" Target="http://www.house-builder.co.uk/UserFiles/File/JohnStewart-Policy16.pdf" TargetMode="External"/><Relationship Id="rId4" Type="http://schemas.openxmlformats.org/officeDocument/2006/relationships/hyperlink" Target="https://assets.publishing.service.gov.uk/government/uploads/system/uploads/attachment_data/file/1005759/NPPF_July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6326</Words>
  <Characters>36064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Background Paper 2: Housing</vt:lpstr>
    </vt:vector>
  </TitlesOfParts>
  <Company>Hewlett-Packard</Company>
  <LinksUpToDate>false</LinksUpToDate>
  <CharactersWithSpaces>42306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2 : Housing</dc:title>
  <dc:subject/>
  <dc:creator>sedjn</dc:creator>
  <cp:keywords/>
  <cp:lastModifiedBy>Sharon.Simcox</cp:lastModifiedBy>
  <cp:revision>2</cp:revision>
  <cp:lastPrinted>2016-01-28T18:06:00Z</cp:lastPrinted>
  <dcterms:created xsi:type="dcterms:W3CDTF">2025-08-05T08:22:00Z</dcterms:created>
  <dcterms:modified xsi:type="dcterms:W3CDTF">2025-08-05T08:22:00Z</dcterms:modified>
</cp:coreProperties>
</file>