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8ED2" w14:textId="3E67EB5C" w:rsidR="00DE29B6" w:rsidRDefault="00DE29B6">
      <w:r>
        <w:rPr>
          <w:noProof/>
        </w:rPr>
        <w:drawing>
          <wp:inline distT="0" distB="0" distL="0" distR="0" wp14:anchorId="33BCEE42" wp14:editId="32B5BA77">
            <wp:extent cx="9633857" cy="6520543"/>
            <wp:effectExtent l="0" t="0" r="5715" b="13970"/>
            <wp:docPr id="1791001629" name="Chart 1" descr="Line graph - 2.2 stage one complaint comparison - number of complaints per month, compared by financial year">
              <a:extLst xmlns:a="http://schemas.openxmlformats.org/drawingml/2006/main">
                <a:ext uri="{FF2B5EF4-FFF2-40B4-BE49-F238E27FC236}">
                  <a16:creationId xmlns:a16="http://schemas.microsoft.com/office/drawing/2014/main" id="{A7809ABB-7F45-455D-A088-9BEE53DA177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E29B6" w:rsidSect="00DE29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9B6"/>
    <w:rsid w:val="004C0169"/>
    <w:rsid w:val="00D66417"/>
    <w:rsid w:val="00D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D374"/>
  <w15:chartTrackingRefBased/>
  <w15:docId w15:val="{233D936E-2249-4BA2-988D-05F4D712E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29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2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2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2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2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2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2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2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2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2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2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9B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29B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29B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29B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29B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29B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2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2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2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2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2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29B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29B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29B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2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29B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29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d60087\Documents\2.2%20Housing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Oxygen" panose="02000503000000090004" pitchFamily="50" charset="0"/>
                <a:ea typeface="+mn-ea"/>
                <a:cs typeface="+mn-cs"/>
              </a:defRPr>
            </a:pPr>
            <a:r>
              <a:rPr lang="en-GB" b="1">
                <a:solidFill>
                  <a:schemeClr val="tx1"/>
                </a:solidFill>
                <a:latin typeface="Oxygen" panose="02000503000000090004" pitchFamily="50" charset="0"/>
              </a:rPr>
              <a:t>2.2</a:t>
            </a:r>
            <a:r>
              <a:rPr lang="en-GB" b="1" baseline="0">
                <a:solidFill>
                  <a:schemeClr val="tx1"/>
                </a:solidFill>
                <a:latin typeface="Oxygen" panose="02000503000000090004" pitchFamily="50" charset="0"/>
              </a:rPr>
              <a:t> </a:t>
            </a:r>
            <a:r>
              <a:rPr lang="en-GB" b="1">
                <a:solidFill>
                  <a:schemeClr val="tx1"/>
                </a:solidFill>
                <a:latin typeface="Oxygen" panose="02000503000000090004" pitchFamily="50" charset="0"/>
              </a:rPr>
              <a:t>Stage one complaint comparison</a:t>
            </a:r>
          </a:p>
        </c:rich>
      </c:tx>
      <c:layout>
        <c:manualLayout>
          <c:xMode val="edge"/>
          <c:yMode val="edge"/>
          <c:x val="0.31547279647192605"/>
          <c:y val="1.998656478808867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Oxygen" panose="02000503000000090004" pitchFamily="50" charset="0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'S:\ahl_housing\Housing\COMPLAINTS JAN 22\[MAIN spreadsheet 010423.xlsx]performance'!$C$75</c:f>
              <c:strCache>
                <c:ptCount val="1"/>
                <c:pt idx="0">
                  <c:v>2021/22</c:v>
                </c:pt>
              </c:strCache>
            </c:strRef>
          </c:tx>
          <c:spPr>
            <a:ln w="28575" cap="rnd">
              <a:solidFill>
                <a:srgbClr val="E97132"/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6968074895652662E-3"/>
                  <c:y val="2.5131192198932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58B-4C0A-90F2-0252A5143C46}"/>
                </c:ext>
              </c:extLst>
            </c:dLbl>
            <c:dLbl>
              <c:idx val="1"/>
              <c:layout>
                <c:manualLayout>
                  <c:x val="0"/>
                  <c:y val="2.969371588527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58B-4C0A-90F2-0252A5143C4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E97132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'S:\ahl_housing\Housing\COMPLAINTS JAN 22\[MAIN spreadsheet 010423.xlsx]performance'!$B$76:$B$87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'S:\ahl_housing\Housing\COMPLAINTS JAN 22\[MAIN spreadsheet 010423.xlsx]performance'!$C$76:$C$87</c:f>
              <c:numCache>
                <c:formatCode>General</c:formatCode>
                <c:ptCount val="12"/>
                <c:pt idx="0">
                  <c:v>2</c:v>
                </c:pt>
                <c:pt idx="1">
                  <c:v>6</c:v>
                </c:pt>
                <c:pt idx="2">
                  <c:v>8</c:v>
                </c:pt>
                <c:pt idx="3">
                  <c:v>10</c:v>
                </c:pt>
                <c:pt idx="4">
                  <c:v>14</c:v>
                </c:pt>
                <c:pt idx="5">
                  <c:v>20</c:v>
                </c:pt>
                <c:pt idx="6">
                  <c:v>23</c:v>
                </c:pt>
                <c:pt idx="7">
                  <c:v>29</c:v>
                </c:pt>
                <c:pt idx="8">
                  <c:v>31</c:v>
                </c:pt>
                <c:pt idx="9">
                  <c:v>33</c:v>
                </c:pt>
                <c:pt idx="10">
                  <c:v>37</c:v>
                </c:pt>
                <c:pt idx="11">
                  <c:v>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58B-4C0A-90F2-0252A5143C46}"/>
            </c:ext>
          </c:extLst>
        </c:ser>
        <c:ser>
          <c:idx val="1"/>
          <c:order val="1"/>
          <c:tx>
            <c:strRef>
              <c:f>'S:\ahl_housing\Housing\COMPLAINTS JAN 22\[MAIN spreadsheet 010423.xlsx]performance'!$D$75</c:f>
              <c:strCache>
                <c:ptCount val="1"/>
                <c:pt idx="0">
                  <c:v>2022/23</c:v>
                </c:pt>
              </c:strCache>
            </c:strRef>
          </c:tx>
          <c:spPr>
            <a:ln w="28575" cap="rnd">
              <a:solidFill>
                <a:srgbClr val="0D8285"/>
              </a:solidFill>
              <a:prstDash val="sysDash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9664882385217927E-2"/>
                  <c:y val="-2.51311921989326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58B-4C0A-90F2-0252A5143C46}"/>
                </c:ext>
              </c:extLst>
            </c:dLbl>
            <c:dLbl>
              <c:idx val="1"/>
              <c:layout>
                <c:manualLayout>
                  <c:x val="-3.7755304853913728E-2"/>
                  <c:y val="-2.5131192198932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58B-4C0A-90F2-0252A5143C46}"/>
                </c:ext>
              </c:extLst>
            </c:dLbl>
            <c:dLbl>
              <c:idx val="2"/>
              <c:layout>
                <c:manualLayout>
                  <c:x val="-3.3710093619565853E-2"/>
                  <c:y val="-3.1985153707732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58B-4C0A-90F2-0252A5143C46}"/>
                </c:ext>
              </c:extLst>
            </c:dLbl>
            <c:dLbl>
              <c:idx val="3"/>
              <c:layout>
                <c:manualLayout>
                  <c:x val="-4.3148919833044308E-2"/>
                  <c:y val="-2.284653836266594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58B-4C0A-90F2-0252A5143C46}"/>
                </c:ext>
              </c:extLst>
            </c:dLbl>
            <c:dLbl>
              <c:idx val="4"/>
              <c:layout>
                <c:manualLayout>
                  <c:x val="-3.7755304853913728E-2"/>
                  <c:y val="-2.74158460351991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58B-4C0A-90F2-0252A5143C46}"/>
                </c:ext>
              </c:extLst>
            </c:dLbl>
            <c:dLbl>
              <c:idx val="5"/>
              <c:layout>
                <c:manualLayout>
                  <c:x val="-2.9664882385217927E-2"/>
                  <c:y val="-3.42698075439989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58B-4C0A-90F2-0252A5143C46}"/>
                </c:ext>
              </c:extLst>
            </c:dLbl>
            <c:dLbl>
              <c:idx val="6"/>
              <c:layout>
                <c:manualLayout>
                  <c:x val="-3.9103708598696357E-2"/>
                  <c:y val="-3.4269807543999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58B-4C0A-90F2-0252A5143C4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0D8285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'S:\ahl_housing\Housing\COMPLAINTS JAN 22\[MAIN spreadsheet 010423.xlsx]performance'!$B$76:$B$87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'S:\ahl_housing\Housing\COMPLAINTS JAN 22\[MAIN spreadsheet 010423.xlsx]performance'!$D$76:$D$87</c:f>
              <c:numCache>
                <c:formatCode>General</c:formatCode>
                <c:ptCount val="12"/>
                <c:pt idx="0">
                  <c:v>7</c:v>
                </c:pt>
                <c:pt idx="1">
                  <c:v>12</c:v>
                </c:pt>
                <c:pt idx="2">
                  <c:v>16</c:v>
                </c:pt>
                <c:pt idx="3">
                  <c:v>24</c:v>
                </c:pt>
                <c:pt idx="4">
                  <c:v>29</c:v>
                </c:pt>
                <c:pt idx="5">
                  <c:v>34</c:v>
                </c:pt>
                <c:pt idx="6">
                  <c:v>44</c:v>
                </c:pt>
                <c:pt idx="7">
                  <c:v>54</c:v>
                </c:pt>
                <c:pt idx="8">
                  <c:v>54</c:v>
                </c:pt>
                <c:pt idx="9">
                  <c:v>59</c:v>
                </c:pt>
                <c:pt idx="10">
                  <c:v>67</c:v>
                </c:pt>
                <c:pt idx="11">
                  <c:v>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158B-4C0A-90F2-0252A5143C46}"/>
            </c:ext>
          </c:extLst>
        </c:ser>
        <c:ser>
          <c:idx val="2"/>
          <c:order val="2"/>
          <c:tx>
            <c:strRef>
              <c:f>'S:\ahl_housing\Housing\COMPLAINTS JAN 22\[MAIN spreadsheet 010423.xlsx]performance'!$E$75</c:f>
              <c:strCache>
                <c:ptCount val="1"/>
                <c:pt idx="0">
                  <c:v>2023-24</c:v>
                </c:pt>
              </c:strCache>
            </c:strRef>
          </c:tx>
          <c:spPr>
            <a:ln w="28575" cap="rnd">
              <a:solidFill>
                <a:srgbClr val="C6307B"/>
              </a:solidFill>
              <a:prstDash val="dashDot"/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3.101328613000056E-2"/>
                  <c:y val="-8.376967294869822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58B-4C0A-90F2-0252A5143C46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rgbClr val="C6307B"/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strRef>
              <c:f>'S:\ahl_housing\Housing\COMPLAINTS JAN 22\[MAIN spreadsheet 010423.xlsx]performance'!$B$76:$B$87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'S:\ahl_housing\Housing\COMPLAINTS JAN 22\[MAIN spreadsheet 010423.xlsx]performance'!$E$76:$E$87</c:f>
              <c:numCache>
                <c:formatCode>General</c:formatCode>
                <c:ptCount val="12"/>
                <c:pt idx="0">
                  <c:v>4</c:v>
                </c:pt>
                <c:pt idx="1">
                  <c:v>10</c:v>
                </c:pt>
                <c:pt idx="2">
                  <c:v>15</c:v>
                </c:pt>
                <c:pt idx="3">
                  <c:v>21</c:v>
                </c:pt>
                <c:pt idx="4">
                  <c:v>25</c:v>
                </c:pt>
                <c:pt idx="5">
                  <c:v>29</c:v>
                </c:pt>
                <c:pt idx="6">
                  <c:v>32</c:v>
                </c:pt>
                <c:pt idx="7">
                  <c:v>35</c:v>
                </c:pt>
                <c:pt idx="8">
                  <c:v>41</c:v>
                </c:pt>
                <c:pt idx="9">
                  <c:v>45</c:v>
                </c:pt>
                <c:pt idx="10">
                  <c:v>51</c:v>
                </c:pt>
                <c:pt idx="11">
                  <c:v>54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158B-4C0A-90F2-0252A5143C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47455320"/>
        <c:axId val="751814656"/>
      </c:lineChart>
      <c:catAx>
        <c:axId val="347455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Oxygen" panose="02000503000000090004" pitchFamily="50" charset="0"/>
                <a:ea typeface="+mn-ea"/>
                <a:cs typeface="+mn-cs"/>
              </a:defRPr>
            </a:pPr>
            <a:endParaRPr lang="en-US"/>
          </a:p>
        </c:txPr>
        <c:crossAx val="751814656"/>
        <c:crosses val="autoZero"/>
        <c:auto val="1"/>
        <c:lblAlgn val="ctr"/>
        <c:lblOffset val="100"/>
        <c:noMultiLvlLbl val="0"/>
      </c:catAx>
      <c:valAx>
        <c:axId val="751814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/>
                </a:solidFill>
                <a:latin typeface="Oxygen" panose="02000503000000090004" pitchFamily="50" charset="0"/>
                <a:ea typeface="+mn-ea"/>
                <a:cs typeface="+mn-cs"/>
              </a:defRPr>
            </a:pPr>
            <a:endParaRPr lang="en-US"/>
          </a:p>
        </c:txPr>
        <c:crossAx val="347455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/>
              </a:solidFill>
              <a:latin typeface="Oxygen" panose="02000503000000090004" pitchFamily="50" charset="0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word/theme/themeOverride1.xml><?xml version="1.0" encoding="utf-8"?>
<a:themeOverride xmlns:a="http://schemas.openxmlformats.org/drawingml/2006/main">
  <a:clrScheme name="Office 2013 - 2022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 2013 - 2022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 2013 - 2022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1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2.2 Stage one complaint comparison chart</dc:title>
  <dc:subject/>
  <dc:creator>Sharon.Simcox</dc:creator>
  <cp:keywords/>
  <dc:description/>
  <cp:lastModifiedBy>Sharon.Simcox</cp:lastModifiedBy>
  <cp:revision>2</cp:revision>
  <dcterms:created xsi:type="dcterms:W3CDTF">2024-06-11T10:25:00Z</dcterms:created>
  <dcterms:modified xsi:type="dcterms:W3CDTF">2025-09-03T08:44:00Z</dcterms:modified>
</cp:coreProperties>
</file>