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73556" w14:textId="77777777" w:rsidR="0051691A" w:rsidRDefault="00000000">
      <w:pPr>
        <w:pStyle w:val="Title"/>
        <w:spacing w:line="254" w:lineRule="auto"/>
      </w:pPr>
      <w:bookmarkStart w:id="0" w:name="Delay_in_publishing_audited_Statement_of"/>
      <w:bookmarkEnd w:id="0"/>
      <w:r>
        <w:t>Delay</w:t>
      </w:r>
      <w:r>
        <w:rPr>
          <w:spacing w:val="80"/>
        </w:rPr>
        <w:t xml:space="preserve"> </w:t>
      </w:r>
      <w:r>
        <w:t>in</w:t>
      </w:r>
      <w:r>
        <w:rPr>
          <w:spacing w:val="80"/>
        </w:rPr>
        <w:t xml:space="preserve"> </w:t>
      </w:r>
      <w:r>
        <w:t>publishing</w:t>
      </w:r>
      <w:r>
        <w:rPr>
          <w:spacing w:val="80"/>
        </w:rPr>
        <w:t xml:space="preserve"> </w:t>
      </w:r>
      <w:r>
        <w:t>audited</w:t>
      </w:r>
      <w:r>
        <w:rPr>
          <w:spacing w:val="80"/>
        </w:rPr>
        <w:t xml:space="preserve"> </w:t>
      </w:r>
      <w:r>
        <w:t>Statement</w:t>
      </w:r>
      <w:r>
        <w:rPr>
          <w:spacing w:val="80"/>
        </w:rPr>
        <w:t xml:space="preserve"> </w:t>
      </w:r>
      <w:r>
        <w:t>of</w:t>
      </w:r>
      <w:r>
        <w:rPr>
          <w:spacing w:val="80"/>
        </w:rPr>
        <w:t xml:space="preserve"> </w:t>
      </w:r>
      <w:r>
        <w:t>Accounts:</w:t>
      </w:r>
      <w:r>
        <w:rPr>
          <w:spacing w:val="80"/>
        </w:rPr>
        <w:t xml:space="preserve"> </w:t>
      </w:r>
      <w:r>
        <w:t>Year</w:t>
      </w:r>
      <w:r>
        <w:rPr>
          <w:spacing w:val="80"/>
        </w:rPr>
        <w:t xml:space="preserve"> </w:t>
      </w:r>
      <w:r>
        <w:t>Ended</w:t>
      </w:r>
      <w:r>
        <w:rPr>
          <w:spacing w:val="80"/>
        </w:rPr>
        <w:t xml:space="preserve"> </w:t>
      </w:r>
      <w:r>
        <w:t>31 March 2021</w:t>
      </w:r>
    </w:p>
    <w:p w14:paraId="45F61024" w14:textId="77777777" w:rsidR="0051691A" w:rsidRDefault="0051691A">
      <w:pPr>
        <w:pStyle w:val="BodyText"/>
        <w:spacing w:before="87"/>
        <w:ind w:left="0"/>
        <w:rPr>
          <w:b/>
          <w:sz w:val="28"/>
        </w:rPr>
      </w:pPr>
    </w:p>
    <w:p w14:paraId="0BD61524" w14:textId="77777777" w:rsidR="0051691A" w:rsidRDefault="00000000">
      <w:pPr>
        <w:ind w:left="85"/>
        <w:rPr>
          <w:b/>
          <w:sz w:val="24"/>
        </w:rPr>
      </w:pPr>
      <w:bookmarkStart w:id="1" w:name="Publication_of_Ashfield_District_Council"/>
      <w:bookmarkEnd w:id="1"/>
      <w:r>
        <w:rPr>
          <w:b/>
          <w:sz w:val="24"/>
        </w:rPr>
        <w:t>Publication</w:t>
      </w:r>
      <w:r>
        <w:rPr>
          <w:b/>
          <w:spacing w:val="-6"/>
          <w:sz w:val="24"/>
        </w:rPr>
        <w:t xml:space="preserve"> </w:t>
      </w:r>
      <w:r>
        <w:rPr>
          <w:b/>
          <w:sz w:val="24"/>
        </w:rPr>
        <w:t>of</w:t>
      </w:r>
      <w:r>
        <w:rPr>
          <w:b/>
          <w:spacing w:val="-5"/>
          <w:sz w:val="24"/>
        </w:rPr>
        <w:t xml:space="preserve"> </w:t>
      </w:r>
      <w:r>
        <w:rPr>
          <w:b/>
          <w:sz w:val="24"/>
        </w:rPr>
        <w:t>Ashfield</w:t>
      </w:r>
      <w:r>
        <w:rPr>
          <w:b/>
          <w:spacing w:val="-3"/>
          <w:sz w:val="24"/>
        </w:rPr>
        <w:t xml:space="preserve"> </w:t>
      </w:r>
      <w:r>
        <w:rPr>
          <w:b/>
          <w:sz w:val="24"/>
        </w:rPr>
        <w:t>District</w:t>
      </w:r>
      <w:r>
        <w:rPr>
          <w:b/>
          <w:spacing w:val="-5"/>
          <w:sz w:val="24"/>
        </w:rPr>
        <w:t xml:space="preserve"> </w:t>
      </w:r>
      <w:r>
        <w:rPr>
          <w:b/>
          <w:sz w:val="24"/>
        </w:rPr>
        <w:t>Council</w:t>
      </w:r>
      <w:r>
        <w:rPr>
          <w:b/>
          <w:spacing w:val="-5"/>
          <w:sz w:val="24"/>
        </w:rPr>
        <w:t xml:space="preserve"> </w:t>
      </w:r>
      <w:r>
        <w:rPr>
          <w:b/>
          <w:sz w:val="24"/>
        </w:rPr>
        <w:t>Statement</w:t>
      </w:r>
      <w:r>
        <w:rPr>
          <w:b/>
          <w:spacing w:val="-4"/>
          <w:sz w:val="24"/>
        </w:rPr>
        <w:t xml:space="preserve"> </w:t>
      </w:r>
      <w:r>
        <w:rPr>
          <w:b/>
          <w:sz w:val="24"/>
        </w:rPr>
        <w:t>of</w:t>
      </w:r>
      <w:r>
        <w:rPr>
          <w:b/>
          <w:spacing w:val="-5"/>
          <w:sz w:val="24"/>
        </w:rPr>
        <w:t xml:space="preserve"> </w:t>
      </w:r>
      <w:r>
        <w:rPr>
          <w:b/>
          <w:sz w:val="24"/>
        </w:rPr>
        <w:t>Accounts</w:t>
      </w:r>
      <w:r>
        <w:rPr>
          <w:b/>
          <w:spacing w:val="-2"/>
          <w:sz w:val="24"/>
        </w:rPr>
        <w:t xml:space="preserve"> </w:t>
      </w:r>
      <w:r>
        <w:rPr>
          <w:b/>
          <w:sz w:val="24"/>
        </w:rPr>
        <w:t>and</w:t>
      </w:r>
      <w:r>
        <w:rPr>
          <w:b/>
          <w:spacing w:val="-4"/>
          <w:sz w:val="24"/>
        </w:rPr>
        <w:t xml:space="preserve"> </w:t>
      </w:r>
      <w:r>
        <w:rPr>
          <w:b/>
          <w:sz w:val="24"/>
        </w:rPr>
        <w:t>Audit</w:t>
      </w:r>
      <w:r>
        <w:rPr>
          <w:b/>
          <w:spacing w:val="-4"/>
          <w:sz w:val="24"/>
        </w:rPr>
        <w:t xml:space="preserve"> </w:t>
      </w:r>
      <w:r>
        <w:rPr>
          <w:b/>
          <w:spacing w:val="-2"/>
          <w:sz w:val="24"/>
        </w:rPr>
        <w:t>Opinion</w:t>
      </w:r>
    </w:p>
    <w:p w14:paraId="2EF5B44F" w14:textId="77777777" w:rsidR="0051691A" w:rsidRDefault="00000000">
      <w:pPr>
        <w:pStyle w:val="BodyText"/>
        <w:spacing w:before="266"/>
        <w:ind w:right="171"/>
      </w:pPr>
      <w:r>
        <w:t>The</w:t>
      </w:r>
      <w:r>
        <w:rPr>
          <w:spacing w:val="-2"/>
        </w:rPr>
        <w:t xml:space="preserve"> </w:t>
      </w:r>
      <w:r>
        <w:t>external</w:t>
      </w:r>
      <w:r>
        <w:rPr>
          <w:spacing w:val="-2"/>
        </w:rPr>
        <w:t xml:space="preserve"> </w:t>
      </w:r>
      <w:r>
        <w:t>audit</w:t>
      </w:r>
      <w:r>
        <w:rPr>
          <w:spacing w:val="-2"/>
        </w:rPr>
        <w:t xml:space="preserve"> </w:t>
      </w:r>
      <w:r>
        <w:t>of</w:t>
      </w:r>
      <w:r>
        <w:rPr>
          <w:spacing w:val="-2"/>
        </w:rPr>
        <w:t xml:space="preserve"> </w:t>
      </w:r>
      <w:r>
        <w:t>the</w:t>
      </w:r>
      <w:r>
        <w:rPr>
          <w:spacing w:val="-5"/>
        </w:rPr>
        <w:t xml:space="preserve"> </w:t>
      </w:r>
      <w:r>
        <w:t>draft Statement</w:t>
      </w:r>
      <w:r>
        <w:rPr>
          <w:spacing w:val="-2"/>
        </w:rPr>
        <w:t xml:space="preserve"> </w:t>
      </w:r>
      <w:r>
        <w:t>of</w:t>
      </w:r>
      <w:r>
        <w:rPr>
          <w:spacing w:val="-2"/>
        </w:rPr>
        <w:t xml:space="preserve"> </w:t>
      </w:r>
      <w:r>
        <w:t>Accounts</w:t>
      </w:r>
      <w:r>
        <w:rPr>
          <w:spacing w:val="-4"/>
        </w:rPr>
        <w:t xml:space="preserve"> </w:t>
      </w:r>
      <w:r>
        <w:t>for</w:t>
      </w:r>
      <w:r>
        <w:rPr>
          <w:spacing w:val="-3"/>
        </w:rPr>
        <w:t xml:space="preserve"> </w:t>
      </w:r>
      <w:r>
        <w:t>the</w:t>
      </w:r>
      <w:r>
        <w:rPr>
          <w:spacing w:val="-4"/>
        </w:rPr>
        <w:t xml:space="preserve"> </w:t>
      </w:r>
      <w:r>
        <w:t>year ended</w:t>
      </w:r>
      <w:r>
        <w:rPr>
          <w:spacing w:val="-4"/>
        </w:rPr>
        <w:t xml:space="preserve"> </w:t>
      </w:r>
      <w:r>
        <w:t>31</w:t>
      </w:r>
      <w:r>
        <w:rPr>
          <w:spacing w:val="-4"/>
        </w:rPr>
        <w:t xml:space="preserve"> </w:t>
      </w:r>
      <w:r>
        <w:t>March</w:t>
      </w:r>
      <w:r>
        <w:rPr>
          <w:spacing w:val="-2"/>
        </w:rPr>
        <w:t xml:space="preserve"> </w:t>
      </w:r>
      <w:r>
        <w:t>2021</w:t>
      </w:r>
      <w:r>
        <w:rPr>
          <w:spacing w:val="-4"/>
        </w:rPr>
        <w:t xml:space="preserve"> </w:t>
      </w:r>
      <w:r>
        <w:t>has</w:t>
      </w:r>
      <w:r>
        <w:rPr>
          <w:spacing w:val="-4"/>
        </w:rPr>
        <w:t xml:space="preserve"> </w:t>
      </w:r>
      <w:r>
        <w:t>not</w:t>
      </w:r>
      <w:r>
        <w:rPr>
          <w:spacing w:val="-2"/>
        </w:rPr>
        <w:t xml:space="preserve"> </w:t>
      </w:r>
      <w:r>
        <w:t>yet been completed by our external auditors, Mazars LLP, as they envisage giving their opinion in November</w:t>
      </w:r>
      <w:r>
        <w:rPr>
          <w:spacing w:val="-2"/>
        </w:rPr>
        <w:t xml:space="preserve"> </w:t>
      </w:r>
      <w:r>
        <w:t>2021</w:t>
      </w:r>
      <w:r>
        <w:rPr>
          <w:spacing w:val="-1"/>
        </w:rPr>
        <w:t xml:space="preserve"> </w:t>
      </w:r>
      <w:r>
        <w:t>in</w:t>
      </w:r>
      <w:r>
        <w:rPr>
          <w:spacing w:val="-1"/>
        </w:rPr>
        <w:t xml:space="preserve"> </w:t>
      </w:r>
      <w:r>
        <w:t>line</w:t>
      </w:r>
      <w:r>
        <w:rPr>
          <w:spacing w:val="-1"/>
        </w:rPr>
        <w:t xml:space="preserve"> </w:t>
      </w:r>
      <w:r>
        <w:t>with</w:t>
      </w:r>
      <w:r>
        <w:rPr>
          <w:spacing w:val="-1"/>
        </w:rPr>
        <w:t xml:space="preserve"> </w:t>
      </w:r>
      <w:r>
        <w:t>the</w:t>
      </w:r>
      <w:r>
        <w:rPr>
          <w:spacing w:val="-3"/>
        </w:rPr>
        <w:t xml:space="preserve"> </w:t>
      </w:r>
      <w:r>
        <w:t>proposed</w:t>
      </w:r>
      <w:r>
        <w:rPr>
          <w:spacing w:val="-3"/>
        </w:rPr>
        <w:t xml:space="preserve"> </w:t>
      </w:r>
      <w:r>
        <w:t>timeframe</w:t>
      </w:r>
      <w:r>
        <w:rPr>
          <w:spacing w:val="-3"/>
        </w:rPr>
        <w:t xml:space="preserve"> </w:t>
      </w:r>
      <w:r>
        <w:t>for</w:t>
      </w:r>
      <w:r>
        <w:rPr>
          <w:spacing w:val="-2"/>
        </w:rPr>
        <w:t xml:space="preserve"> </w:t>
      </w:r>
      <w:r>
        <w:t>issuing</w:t>
      </w:r>
      <w:r>
        <w:rPr>
          <w:spacing w:val="-1"/>
        </w:rPr>
        <w:t xml:space="preserve"> </w:t>
      </w:r>
      <w:r>
        <w:t>their audit</w:t>
      </w:r>
      <w:r>
        <w:rPr>
          <w:spacing w:val="-1"/>
        </w:rPr>
        <w:t xml:space="preserve"> </w:t>
      </w:r>
      <w:r>
        <w:t>report</w:t>
      </w:r>
      <w:r>
        <w:rPr>
          <w:spacing w:val="-1"/>
        </w:rPr>
        <w:t xml:space="preserve"> </w:t>
      </w:r>
      <w:r>
        <w:t>on</w:t>
      </w:r>
      <w:r>
        <w:rPr>
          <w:spacing w:val="-1"/>
        </w:rPr>
        <w:t xml:space="preserve"> </w:t>
      </w:r>
      <w:r>
        <w:t>Ashfield</w:t>
      </w:r>
      <w:r>
        <w:rPr>
          <w:spacing w:val="-1"/>
        </w:rPr>
        <w:t xml:space="preserve"> </w:t>
      </w:r>
      <w:r>
        <w:t>District Council financial statements.</w:t>
      </w:r>
    </w:p>
    <w:p w14:paraId="23131750" w14:textId="77777777" w:rsidR="0051691A" w:rsidRDefault="00000000">
      <w:pPr>
        <w:pStyle w:val="BodyText"/>
        <w:spacing w:before="253"/>
      </w:pPr>
      <w:r>
        <w:t>This situation is</w:t>
      </w:r>
      <w:r>
        <w:rPr>
          <w:spacing w:val="-1"/>
        </w:rPr>
        <w:t xml:space="preserve"> </w:t>
      </w:r>
      <w:r>
        <w:t>allowed for by</w:t>
      </w:r>
      <w:r>
        <w:rPr>
          <w:spacing w:val="-1"/>
        </w:rPr>
        <w:t xml:space="preserve"> </w:t>
      </w:r>
      <w:r>
        <w:t>Regulation 10, paragraph</w:t>
      </w:r>
      <w:r>
        <w:rPr>
          <w:spacing w:val="-1"/>
        </w:rPr>
        <w:t xml:space="preserve"> </w:t>
      </w:r>
      <w:r>
        <w:t>(2) of the</w:t>
      </w:r>
      <w:r>
        <w:rPr>
          <w:spacing w:val="-1"/>
        </w:rPr>
        <w:t xml:space="preserve"> </w:t>
      </w:r>
      <w:r>
        <w:t>Accounts and</w:t>
      </w:r>
      <w:r>
        <w:rPr>
          <w:spacing w:val="-1"/>
        </w:rPr>
        <w:t xml:space="preserve"> </w:t>
      </w:r>
      <w:r>
        <w:t>Audit Regulations 2015</w:t>
      </w:r>
      <w:r>
        <w:rPr>
          <w:spacing w:val="-4"/>
        </w:rPr>
        <w:t xml:space="preserve"> </w:t>
      </w:r>
      <w:r>
        <w:t>(SI</w:t>
      </w:r>
      <w:r>
        <w:rPr>
          <w:spacing w:val="-4"/>
        </w:rPr>
        <w:t xml:space="preserve"> </w:t>
      </w:r>
      <w:r>
        <w:t>2015/234)</w:t>
      </w:r>
      <w:r>
        <w:rPr>
          <w:spacing w:val="-7"/>
        </w:rPr>
        <w:t xml:space="preserve"> </w:t>
      </w:r>
      <w:hyperlink r:id="rId4">
        <w:r>
          <w:rPr>
            <w:color w:val="0563C1"/>
            <w:u w:val="single" w:color="0563C1"/>
          </w:rPr>
          <w:t>https://www.legislation.gov.uk/uksi/2015/234/regulation/10</w:t>
        </w:r>
      </w:hyperlink>
      <w:r>
        <w:rPr>
          <w:color w:val="0563C1"/>
          <w:spacing w:val="-4"/>
        </w:rPr>
        <w:t xml:space="preserve"> </w:t>
      </w:r>
      <w:r>
        <w:t>,</w:t>
      </w:r>
      <w:r>
        <w:rPr>
          <w:spacing w:val="-2"/>
        </w:rPr>
        <w:t xml:space="preserve"> </w:t>
      </w:r>
      <w:r>
        <w:t>as</w:t>
      </w:r>
      <w:r>
        <w:rPr>
          <w:spacing w:val="-6"/>
        </w:rPr>
        <w:t xml:space="preserve"> </w:t>
      </w:r>
      <w:r>
        <w:t>amended</w:t>
      </w:r>
      <w:r>
        <w:rPr>
          <w:spacing w:val="-4"/>
        </w:rPr>
        <w:t xml:space="preserve"> </w:t>
      </w:r>
      <w:r>
        <w:t>by</w:t>
      </w:r>
      <w:r>
        <w:rPr>
          <w:spacing w:val="-6"/>
        </w:rPr>
        <w:t xml:space="preserve"> </w:t>
      </w:r>
      <w:r>
        <w:t xml:space="preserve">the Accounts and Audit (Amendment) Regulations 2021 (SI 2021/263) </w:t>
      </w:r>
      <w:hyperlink r:id="rId5">
        <w:r>
          <w:rPr>
            <w:color w:val="0563C1"/>
            <w:u w:val="single" w:color="0563C1"/>
          </w:rPr>
          <w:t>https://www.legislation.gov.uk/uksi/2021/263/regul</w:t>
        </w:r>
      </w:hyperlink>
      <w:hyperlink r:id="rId6">
        <w:r>
          <w:rPr>
            <w:color w:val="0563C1"/>
            <w:u w:val="single" w:color="0563C1"/>
          </w:rPr>
          <w:t>ation/2/made</w:t>
        </w:r>
      </w:hyperlink>
      <w:r>
        <w:rPr>
          <w:color w:val="0563C1"/>
        </w:rPr>
        <w:t xml:space="preserve"> </w:t>
      </w:r>
      <w:r>
        <w:t>.</w:t>
      </w:r>
    </w:p>
    <w:p w14:paraId="2E721F05" w14:textId="77777777" w:rsidR="0051691A" w:rsidRDefault="0051691A">
      <w:pPr>
        <w:pStyle w:val="BodyText"/>
        <w:ind w:left="0"/>
      </w:pPr>
    </w:p>
    <w:p w14:paraId="6B1CDD2D" w14:textId="77777777" w:rsidR="0051691A" w:rsidRDefault="00000000">
      <w:pPr>
        <w:pStyle w:val="BodyText"/>
        <w:ind w:right="118"/>
      </w:pPr>
      <w:r>
        <w:t>This notification explains, as per Regulation 10 (2) (a), that we are not yet able to publish our audited 2020/21 Statement of Accounts in line with publication date of 30 September 2021, as per Regulation 10 (1). Ashfield District Council is continuing to work closely with the external auditor to ensure the required work is completed as soon as possible. In line with the Accounts and Audit Regulations 2015, Ashfield District Council published a draft Statement of</w:t>
      </w:r>
      <w:r>
        <w:rPr>
          <w:spacing w:val="-1"/>
        </w:rPr>
        <w:t xml:space="preserve"> </w:t>
      </w:r>
      <w:r>
        <w:t>Accounts subject to audit on</w:t>
      </w:r>
      <w:r>
        <w:rPr>
          <w:spacing w:val="-2"/>
        </w:rPr>
        <w:t xml:space="preserve"> </w:t>
      </w:r>
      <w:r>
        <w:t>31</w:t>
      </w:r>
      <w:r>
        <w:rPr>
          <w:vertAlign w:val="superscript"/>
        </w:rPr>
        <w:t>st</w:t>
      </w:r>
      <w:r>
        <w:rPr>
          <w:spacing w:val="-1"/>
        </w:rPr>
        <w:t xml:space="preserve"> </w:t>
      </w:r>
      <w:r>
        <w:t>July</w:t>
      </w:r>
      <w:r>
        <w:rPr>
          <w:spacing w:val="-1"/>
        </w:rPr>
        <w:t xml:space="preserve"> </w:t>
      </w:r>
      <w:r>
        <w:t>2021</w:t>
      </w:r>
      <w:r>
        <w:rPr>
          <w:spacing w:val="-2"/>
        </w:rPr>
        <w:t xml:space="preserve"> </w:t>
      </w:r>
      <w:r>
        <w:t>and</w:t>
      </w:r>
      <w:r>
        <w:rPr>
          <w:spacing w:val="-4"/>
        </w:rPr>
        <w:t xml:space="preserve"> </w:t>
      </w:r>
      <w:r>
        <w:t>the</w:t>
      </w:r>
      <w:r>
        <w:rPr>
          <w:spacing w:val="-2"/>
        </w:rPr>
        <w:t xml:space="preserve"> </w:t>
      </w:r>
      <w:r>
        <w:t>final</w:t>
      </w:r>
      <w:r>
        <w:rPr>
          <w:spacing w:val="-2"/>
        </w:rPr>
        <w:t xml:space="preserve"> </w:t>
      </w:r>
      <w:r>
        <w:t>audited</w:t>
      </w:r>
      <w:r>
        <w:rPr>
          <w:spacing w:val="-4"/>
        </w:rPr>
        <w:t xml:space="preserve"> </w:t>
      </w:r>
      <w:r>
        <w:t>Statement</w:t>
      </w:r>
      <w:r>
        <w:rPr>
          <w:spacing w:val="-2"/>
        </w:rPr>
        <w:t xml:space="preserve"> </w:t>
      </w:r>
      <w:r>
        <w:t>of</w:t>
      </w:r>
      <w:r>
        <w:rPr>
          <w:spacing w:val="-2"/>
        </w:rPr>
        <w:t xml:space="preserve"> </w:t>
      </w:r>
      <w:r>
        <w:t>Accounts</w:t>
      </w:r>
      <w:r>
        <w:rPr>
          <w:spacing w:val="-4"/>
        </w:rPr>
        <w:t xml:space="preserve"> </w:t>
      </w:r>
      <w:r>
        <w:t>for</w:t>
      </w:r>
      <w:r>
        <w:rPr>
          <w:spacing w:val="-3"/>
        </w:rPr>
        <w:t xml:space="preserve"> </w:t>
      </w:r>
      <w:r>
        <w:t>the</w:t>
      </w:r>
      <w:r>
        <w:rPr>
          <w:spacing w:val="-4"/>
        </w:rPr>
        <w:t xml:space="preserve"> </w:t>
      </w:r>
      <w:r>
        <w:t>year</w:t>
      </w:r>
      <w:r>
        <w:rPr>
          <w:spacing w:val="-5"/>
        </w:rPr>
        <w:t xml:space="preserve"> </w:t>
      </w:r>
      <w:r>
        <w:t>ended</w:t>
      </w:r>
      <w:r>
        <w:rPr>
          <w:spacing w:val="-2"/>
        </w:rPr>
        <w:t xml:space="preserve"> </w:t>
      </w:r>
      <w:r>
        <w:t>31</w:t>
      </w:r>
      <w:r>
        <w:rPr>
          <w:spacing w:val="-4"/>
        </w:rPr>
        <w:t xml:space="preserve"> </w:t>
      </w:r>
      <w:r>
        <w:t>March</w:t>
      </w:r>
      <w:r>
        <w:rPr>
          <w:spacing w:val="-4"/>
        </w:rPr>
        <w:t xml:space="preserve"> </w:t>
      </w:r>
      <w:r>
        <w:t>2021</w:t>
      </w:r>
      <w:r>
        <w:rPr>
          <w:spacing w:val="-4"/>
        </w:rPr>
        <w:t xml:space="preserve"> </w:t>
      </w:r>
      <w:r>
        <w:t>will be published as soon as the audit is concluded, and the Independent Auditor’s Report issued.</w:t>
      </w:r>
    </w:p>
    <w:p w14:paraId="4D5E09CC" w14:textId="77777777" w:rsidR="0051691A" w:rsidRDefault="0051691A">
      <w:pPr>
        <w:pStyle w:val="BodyText"/>
        <w:spacing w:before="1"/>
        <w:ind w:left="0"/>
      </w:pPr>
    </w:p>
    <w:p w14:paraId="2BAABA17" w14:textId="77777777" w:rsidR="0051691A" w:rsidRDefault="00000000">
      <w:pPr>
        <w:pStyle w:val="BodyText"/>
        <w:spacing w:line="252" w:lineRule="exact"/>
      </w:pPr>
      <w:r>
        <w:t xml:space="preserve">Peter </w:t>
      </w:r>
      <w:r>
        <w:rPr>
          <w:spacing w:val="-2"/>
        </w:rPr>
        <w:t>Hudson</w:t>
      </w:r>
    </w:p>
    <w:p w14:paraId="4FB1DC2C" w14:textId="77777777" w:rsidR="0051691A" w:rsidRDefault="00000000">
      <w:pPr>
        <w:pStyle w:val="BodyText"/>
        <w:spacing w:line="252" w:lineRule="exact"/>
      </w:pPr>
      <w:r>
        <w:t>Corporate</w:t>
      </w:r>
      <w:r>
        <w:rPr>
          <w:spacing w:val="-6"/>
        </w:rPr>
        <w:t xml:space="preserve"> </w:t>
      </w:r>
      <w:r>
        <w:t>Finance</w:t>
      </w:r>
      <w:r>
        <w:rPr>
          <w:spacing w:val="-6"/>
        </w:rPr>
        <w:t xml:space="preserve"> </w:t>
      </w:r>
      <w:r>
        <w:t>Manager</w:t>
      </w:r>
      <w:r>
        <w:rPr>
          <w:spacing w:val="-5"/>
        </w:rPr>
        <w:t xml:space="preserve"> </w:t>
      </w:r>
      <w:r>
        <w:t>(&amp;</w:t>
      </w:r>
      <w:r>
        <w:rPr>
          <w:spacing w:val="-5"/>
        </w:rPr>
        <w:t xml:space="preserve"> </w:t>
      </w:r>
      <w:r>
        <w:t>Section</w:t>
      </w:r>
      <w:r>
        <w:rPr>
          <w:spacing w:val="-6"/>
        </w:rPr>
        <w:t xml:space="preserve"> </w:t>
      </w:r>
      <w:r>
        <w:t>151</w:t>
      </w:r>
      <w:r>
        <w:rPr>
          <w:spacing w:val="-5"/>
        </w:rPr>
        <w:t xml:space="preserve"> </w:t>
      </w:r>
      <w:r>
        <w:rPr>
          <w:spacing w:val="-2"/>
        </w:rPr>
        <w:t>Officer)</w:t>
      </w:r>
    </w:p>
    <w:p w14:paraId="75585953" w14:textId="77777777" w:rsidR="0051691A" w:rsidRDefault="0051691A">
      <w:pPr>
        <w:pStyle w:val="BodyText"/>
        <w:spacing w:before="1"/>
        <w:ind w:left="0"/>
      </w:pPr>
    </w:p>
    <w:p w14:paraId="5967C115" w14:textId="77777777" w:rsidR="0051691A" w:rsidRDefault="00000000">
      <w:pPr>
        <w:pStyle w:val="BodyText"/>
        <w:ind w:right="6982"/>
      </w:pPr>
      <w:r>
        <w:t>Ashfield</w:t>
      </w:r>
      <w:r>
        <w:rPr>
          <w:spacing w:val="-16"/>
        </w:rPr>
        <w:t xml:space="preserve"> </w:t>
      </w:r>
      <w:r>
        <w:t>District</w:t>
      </w:r>
      <w:r>
        <w:rPr>
          <w:spacing w:val="-15"/>
        </w:rPr>
        <w:t xml:space="preserve"> </w:t>
      </w:r>
      <w:r>
        <w:t>Council Urban Road</w:t>
      </w:r>
    </w:p>
    <w:p w14:paraId="7C672D40" w14:textId="77777777" w:rsidR="0051691A" w:rsidRDefault="00000000">
      <w:pPr>
        <w:pStyle w:val="BodyText"/>
        <w:ind w:right="7714"/>
      </w:pPr>
      <w:r>
        <w:t>Kirkby</w:t>
      </w:r>
      <w:r>
        <w:rPr>
          <w:spacing w:val="-16"/>
        </w:rPr>
        <w:t xml:space="preserve"> </w:t>
      </w:r>
      <w:r>
        <w:t>in</w:t>
      </w:r>
      <w:r>
        <w:rPr>
          <w:spacing w:val="-15"/>
        </w:rPr>
        <w:t xml:space="preserve"> </w:t>
      </w:r>
      <w:r>
        <w:t xml:space="preserve">Ashfield </w:t>
      </w:r>
      <w:r>
        <w:rPr>
          <w:spacing w:val="-2"/>
        </w:rPr>
        <w:t xml:space="preserve">Nottinghamshire </w:t>
      </w:r>
      <w:r>
        <w:t>NG17 8DA</w:t>
      </w:r>
    </w:p>
    <w:p w14:paraId="1D3FDC4D" w14:textId="77777777" w:rsidR="0051691A" w:rsidRDefault="00000000">
      <w:pPr>
        <w:pStyle w:val="BodyText"/>
        <w:spacing w:before="251"/>
      </w:pPr>
      <w:r>
        <w:t>Date:</w:t>
      </w:r>
      <w:r>
        <w:rPr>
          <w:spacing w:val="-5"/>
        </w:rPr>
        <w:t xml:space="preserve"> </w:t>
      </w:r>
      <w:r>
        <w:t>30</w:t>
      </w:r>
      <w:r>
        <w:rPr>
          <w:spacing w:val="-6"/>
        </w:rPr>
        <w:t xml:space="preserve"> </w:t>
      </w:r>
      <w:r>
        <w:t>September</w:t>
      </w:r>
      <w:r>
        <w:rPr>
          <w:spacing w:val="-2"/>
        </w:rPr>
        <w:t xml:space="preserve"> </w:t>
      </w:r>
      <w:r>
        <w:rPr>
          <w:spacing w:val="-4"/>
        </w:rPr>
        <w:t>2021</w:t>
      </w:r>
    </w:p>
    <w:sectPr w:rsidR="0051691A">
      <w:type w:val="continuous"/>
      <w:pgSz w:w="11910" w:h="16840"/>
      <w:pgMar w:top="166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1A"/>
    <w:rsid w:val="0051691A"/>
    <w:rsid w:val="006C2430"/>
    <w:rsid w:val="00D70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1B1A"/>
  <w15:docId w15:val="{25066C19-B117-4161-8C30-F44FBA25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
    </w:pPr>
  </w:style>
  <w:style w:type="paragraph" w:styleId="Title">
    <w:name w:val="Title"/>
    <w:basedOn w:val="Normal"/>
    <w:uiPriority w:val="10"/>
    <w:qFormat/>
    <w:pPr>
      <w:spacing w:before="79"/>
      <w:ind w:left="85"/>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slation.gov.uk/uksi/2021/263/regulation/2/made" TargetMode="External"/><Relationship Id="rId5" Type="http://schemas.openxmlformats.org/officeDocument/2006/relationships/hyperlink" Target="https://www.legislation.gov.uk/uksi/2021/263/regulation/2/made" TargetMode="External"/><Relationship Id="rId4" Type="http://schemas.openxmlformats.org/officeDocument/2006/relationships/hyperlink" Target="https://www.legislation.gov.uk/uksi/2015/234/regulat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Delay in publishing audited Statement of Accounts: Year Ended 31 March 2021</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Delay in publishing audited Statement of Accounts: Year Ended 31 March 2021</dc:title>
  <dc:creator>Ashfield District Council</dc:creator>
  <cp:lastModifiedBy>Sharon.Simcox</cp:lastModifiedBy>
  <cp:revision>2</cp:revision>
  <dcterms:created xsi:type="dcterms:W3CDTF">2025-06-24T08:39:00Z</dcterms:created>
  <dcterms:modified xsi:type="dcterms:W3CDTF">2025-06-24T08:39:00Z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Creator">
    <vt:lpwstr>Acrobat PDFMaker 15 for Word</vt:lpwstr>
  </property>
  <property fmtid="{D5CDD505-2E9C-101B-9397-08002B2CF9AE}" pid="4" name="LastSaved">
    <vt:filetime>2025-06-24T00:00:00Z</vt:filetime>
  </property>
  <property fmtid="{D5CDD505-2E9C-101B-9397-08002B2CF9AE}" pid="5" name="Producer">
    <vt:lpwstr>Adobe PDF Library 15.0</vt:lpwstr>
  </property>
</Properties>
</file>