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DABA8" w14:textId="6BCE4033" w:rsidR="004500CC" w:rsidRPr="004500CC" w:rsidRDefault="004500CC" w:rsidP="00D6015B">
      <w:pPr>
        <w:spacing w:before="240" w:beforeAutospacing="1" w:after="100" w:afterAutospacing="1" w:line="240" w:lineRule="auto"/>
        <w:outlineLvl w:val="2"/>
        <w:rPr>
          <w:rFonts w:asciiTheme="majorHAnsi" w:eastAsia="Times New Roman" w:hAnsiTheme="majorHAnsi" w:cstheme="majorHAnsi"/>
          <w:b/>
          <w:bCs/>
          <w:kern w:val="0"/>
          <w:lang w:eastAsia="en-GB"/>
          <w14:ligatures w14:val="none"/>
        </w:rPr>
      </w:pPr>
      <w:r w:rsidRPr="004500CC">
        <w:rPr>
          <w:rFonts w:asciiTheme="majorHAnsi" w:eastAsia="Times New Roman" w:hAnsiTheme="majorHAnsi" w:cstheme="majorHAnsi"/>
          <w:b/>
          <w:bCs/>
          <w:kern w:val="0"/>
          <w:lang w:eastAsia="en-GB"/>
          <w14:ligatures w14:val="none"/>
        </w:rPr>
        <w:t>Matter 7 – Heritage and the Natural Environment</w:t>
      </w:r>
    </w:p>
    <w:p w14:paraId="5D2F3BD3" w14:textId="77777777" w:rsidR="004500CC" w:rsidRDefault="004500CC" w:rsidP="004500CC">
      <w:pPr>
        <w:spacing w:before="100" w:beforeAutospacing="1" w:after="100" w:afterAutospacing="1" w:line="240" w:lineRule="auto"/>
        <w:rPr>
          <w:rFonts w:asciiTheme="majorHAnsi" w:eastAsia="Times New Roman" w:hAnsiTheme="majorHAnsi" w:cstheme="majorHAnsi"/>
          <w:b/>
          <w:bCs/>
          <w:i/>
          <w:iCs/>
          <w:kern w:val="0"/>
          <w:lang w:eastAsia="en-GB"/>
          <w14:ligatures w14:val="none"/>
        </w:rPr>
      </w:pPr>
      <w:r w:rsidRPr="004500CC">
        <w:rPr>
          <w:rFonts w:asciiTheme="majorHAnsi" w:eastAsia="Times New Roman" w:hAnsiTheme="majorHAnsi" w:cstheme="majorHAnsi"/>
          <w:b/>
          <w:bCs/>
          <w:kern w:val="0"/>
          <w:lang w:eastAsia="en-GB"/>
          <w14:ligatures w14:val="none"/>
        </w:rPr>
        <w:t xml:space="preserve">7.3 </w:t>
      </w:r>
      <w:r w:rsidRPr="004500CC">
        <w:rPr>
          <w:rFonts w:asciiTheme="majorHAnsi" w:eastAsia="Times New Roman" w:hAnsiTheme="majorHAnsi" w:cstheme="majorHAnsi"/>
          <w:b/>
          <w:bCs/>
          <w:i/>
          <w:iCs/>
          <w:kern w:val="0"/>
          <w:lang w:eastAsia="en-GB"/>
          <w14:ligatures w14:val="none"/>
        </w:rPr>
        <w:t>Has Policy EV5 been shaped by engagement with all stakeholders, including infrastructure providers and statutory consultees regarding the loss of sporting facilities and its protection from flooding?</w:t>
      </w:r>
    </w:p>
    <w:p w14:paraId="39BC192F" w14:textId="08C3B428" w:rsidR="009B7E9A" w:rsidRDefault="00AC70DF" w:rsidP="004500CC">
      <w:pPr>
        <w:spacing w:before="100" w:beforeAutospacing="1" w:after="100" w:afterAutospacing="1" w:line="240" w:lineRule="auto"/>
        <w:rPr>
          <w:rFonts w:asciiTheme="majorHAnsi" w:eastAsia="Times New Roman" w:hAnsiTheme="majorHAnsi" w:cstheme="majorHAnsi"/>
          <w:b/>
          <w:bCs/>
          <w:kern w:val="0"/>
          <w:lang w:eastAsia="en-GB"/>
          <w14:ligatures w14:val="none"/>
        </w:rPr>
      </w:pPr>
      <w:r w:rsidRPr="009B7E9A">
        <w:rPr>
          <w:rFonts w:asciiTheme="majorHAnsi" w:eastAsia="Times New Roman" w:hAnsiTheme="majorHAnsi" w:cstheme="majorHAnsi"/>
          <w:b/>
          <w:bCs/>
          <w:kern w:val="0"/>
          <w:lang w:eastAsia="en-GB"/>
          <w14:ligatures w14:val="none"/>
        </w:rPr>
        <w:t>Policy EV5</w:t>
      </w:r>
      <w:r w:rsidR="009B7E9A">
        <w:rPr>
          <w:rFonts w:asciiTheme="majorHAnsi" w:eastAsia="Times New Roman" w:hAnsiTheme="majorHAnsi" w:cstheme="majorHAnsi"/>
          <w:b/>
          <w:bCs/>
          <w:kern w:val="0"/>
          <w:lang w:eastAsia="en-GB"/>
          <w14:ligatures w14:val="none"/>
        </w:rPr>
        <w:t xml:space="preserve"> is problematic in the </w:t>
      </w:r>
      <w:r w:rsidR="004E078F">
        <w:rPr>
          <w:rFonts w:asciiTheme="majorHAnsi" w:eastAsia="Times New Roman" w:hAnsiTheme="majorHAnsi" w:cstheme="majorHAnsi"/>
          <w:b/>
          <w:bCs/>
          <w:kern w:val="0"/>
          <w:lang w:eastAsia="en-GB"/>
          <w14:ligatures w14:val="none"/>
        </w:rPr>
        <w:t>exception</w:t>
      </w:r>
      <w:r w:rsidR="009B7E9A">
        <w:rPr>
          <w:rFonts w:asciiTheme="majorHAnsi" w:eastAsia="Times New Roman" w:hAnsiTheme="majorHAnsi" w:cstheme="majorHAnsi"/>
          <w:b/>
          <w:bCs/>
          <w:kern w:val="0"/>
          <w:lang w:eastAsia="en-GB"/>
          <w14:ligatures w14:val="none"/>
        </w:rPr>
        <w:t xml:space="preserve"> sections </w:t>
      </w:r>
      <w:proofErr w:type="gramStart"/>
      <w:r w:rsidR="009B7E9A">
        <w:rPr>
          <w:rFonts w:asciiTheme="majorHAnsi" w:eastAsia="Times New Roman" w:hAnsiTheme="majorHAnsi" w:cstheme="majorHAnsi"/>
          <w:b/>
          <w:bCs/>
          <w:kern w:val="0"/>
          <w:lang w:eastAsia="en-GB"/>
          <w14:ligatures w14:val="none"/>
        </w:rPr>
        <w:t>with regard to</w:t>
      </w:r>
      <w:proofErr w:type="gramEnd"/>
      <w:r w:rsidR="009B7E9A">
        <w:rPr>
          <w:rFonts w:asciiTheme="majorHAnsi" w:eastAsia="Times New Roman" w:hAnsiTheme="majorHAnsi" w:cstheme="majorHAnsi"/>
          <w:b/>
          <w:bCs/>
          <w:kern w:val="0"/>
          <w:lang w:eastAsia="en-GB"/>
          <w14:ligatures w14:val="none"/>
        </w:rPr>
        <w:t xml:space="preserve"> loss of sporting facilities.</w:t>
      </w:r>
    </w:p>
    <w:p w14:paraId="369C168F" w14:textId="77777777" w:rsidR="004E078F" w:rsidRPr="0000048A" w:rsidRDefault="004E078F" w:rsidP="004500CC">
      <w:pPr>
        <w:spacing w:before="100" w:beforeAutospacing="1" w:after="100" w:afterAutospacing="1" w:line="240" w:lineRule="auto"/>
        <w:rPr>
          <w:i/>
          <w:iCs/>
        </w:rPr>
      </w:pPr>
      <w:r w:rsidRPr="0000048A">
        <w:rPr>
          <w:i/>
          <w:iCs/>
        </w:rPr>
        <w:t xml:space="preserve">5.106 Existing green spaces and recreational facilities, including playing fields, should not be built on unless an assessment has been undertaken which clearly shows that the green space is surplus to requirement. </w:t>
      </w:r>
    </w:p>
    <w:p w14:paraId="0F3BFB71" w14:textId="1A75C8FF" w:rsidR="004E078F" w:rsidRDefault="00E338E0" w:rsidP="004500CC">
      <w:pPr>
        <w:spacing w:before="100" w:beforeAutospacing="1" w:after="100" w:afterAutospacing="1" w:line="240" w:lineRule="auto"/>
      </w:pPr>
      <w:r>
        <w:rPr>
          <w:highlight w:val="yellow"/>
        </w:rPr>
        <w:t>T</w:t>
      </w:r>
      <w:r w:rsidR="00FD7ED4">
        <w:rPr>
          <w:highlight w:val="yellow"/>
        </w:rPr>
        <w:t xml:space="preserve">his statement does not go far enough. </w:t>
      </w:r>
      <w:r w:rsidR="004E078F" w:rsidRPr="0000048A">
        <w:rPr>
          <w:highlight w:val="yellow"/>
        </w:rPr>
        <w:t xml:space="preserve">According to Sport England </w:t>
      </w:r>
      <w:r w:rsidR="00FD7ED4">
        <w:rPr>
          <w:highlight w:val="yellow"/>
        </w:rPr>
        <w:t xml:space="preserve">Playing Fields Policy </w:t>
      </w:r>
      <w:r w:rsidR="004E078F" w:rsidRPr="0000048A">
        <w:rPr>
          <w:highlight w:val="yellow"/>
        </w:rPr>
        <w:t xml:space="preserve">and Ashfield Playing Pitch Strategy (2023) the lack of use should not be seen as necessarily indicating an absence of need for playing fields in the locality and highlights that such land can retain the potential to provide playing pitches to meet current </w:t>
      </w:r>
      <w:r w:rsidR="004E078F" w:rsidRPr="0000048A">
        <w:rPr>
          <w:b/>
          <w:bCs/>
          <w:highlight w:val="yellow"/>
        </w:rPr>
        <w:t>or future needs</w:t>
      </w:r>
      <w:r w:rsidR="004E078F" w:rsidRPr="0000048A">
        <w:rPr>
          <w:highlight w:val="yellow"/>
        </w:rPr>
        <w:t>.</w:t>
      </w:r>
    </w:p>
    <w:p w14:paraId="00D8D42A" w14:textId="77777777" w:rsidR="009B7E9A" w:rsidRPr="006A1388" w:rsidRDefault="009B7E9A" w:rsidP="004500CC">
      <w:pPr>
        <w:spacing w:before="100" w:beforeAutospacing="1" w:after="100" w:afterAutospacing="1" w:line="240" w:lineRule="auto"/>
        <w:rPr>
          <w:i/>
          <w:iCs/>
        </w:rPr>
      </w:pPr>
      <w:r w:rsidRPr="006A1388">
        <w:rPr>
          <w:i/>
          <w:iCs/>
        </w:rPr>
        <w:t xml:space="preserve">5.107 In some circumstances the loss of an area may be acceptable where a replacement facility is provided in the immediate locality serving the same local resident population. This may include, for instance, cases where a site is required to enable the comprehensive development of an area. Where replacement formal sports facilities such as football pitches are to be provided these should be available for use prior to loss of the ground or pitch to be replaced. This will be negotiated and secured through a Section 106 Planning Agreement. </w:t>
      </w:r>
    </w:p>
    <w:p w14:paraId="671E2D8D" w14:textId="4E8638CA" w:rsidR="0000048A" w:rsidRDefault="00FD7ED4" w:rsidP="004500CC">
      <w:pPr>
        <w:spacing w:before="100" w:beforeAutospacing="1" w:after="100" w:afterAutospacing="1" w:line="240" w:lineRule="auto"/>
        <w:rPr>
          <w:rFonts w:ascii="Arial" w:hAnsi="Arial" w:cs="Arial"/>
          <w:color w:val="001D35"/>
          <w:sz w:val="27"/>
          <w:szCs w:val="27"/>
          <w:shd w:val="clear" w:color="auto" w:fill="FFFFFF"/>
        </w:rPr>
      </w:pPr>
      <w:r w:rsidRPr="00FD7ED4">
        <w:rPr>
          <w:highlight w:val="yellow"/>
        </w:rPr>
        <w:t xml:space="preserve">According to </w:t>
      </w:r>
      <w:r w:rsidR="008F71AA">
        <w:rPr>
          <w:highlight w:val="yellow"/>
        </w:rPr>
        <w:t>Except 4 of Sport England’s Playing Field Policy</w:t>
      </w:r>
      <w:r w:rsidRPr="00FD7ED4">
        <w:rPr>
          <w:highlight w:val="yellow"/>
        </w:rPr>
        <w:t xml:space="preserve">, a replacement facility must provide an area of playing field of </w:t>
      </w:r>
      <w:r w:rsidRPr="00D11576">
        <w:rPr>
          <w:b/>
          <w:bCs/>
          <w:highlight w:val="yellow"/>
        </w:rPr>
        <w:t xml:space="preserve">before </w:t>
      </w:r>
      <w:r w:rsidRPr="00FD7ED4">
        <w:rPr>
          <w:highlight w:val="yellow"/>
        </w:rPr>
        <w:t xml:space="preserve">the development begins. However, Section 106 payments are typically made in </w:t>
      </w:r>
      <w:r w:rsidR="00A9496F" w:rsidRPr="00FD7ED4">
        <w:rPr>
          <w:highlight w:val="yellow"/>
        </w:rPr>
        <w:t>instalments</w:t>
      </w:r>
      <w:r w:rsidRPr="00FD7ED4">
        <w:rPr>
          <w:highlight w:val="yellow"/>
        </w:rPr>
        <w:t xml:space="preserve"> tied to the construction and occupation stages of the development. How, then, will the replacement sporting facility be ready for use before the recreational land is lost?</w:t>
      </w:r>
      <w:r w:rsidR="0000048A">
        <w:rPr>
          <w:rFonts w:ascii="Arial" w:hAnsi="Arial" w:cs="Arial"/>
          <w:color w:val="001D35"/>
          <w:sz w:val="27"/>
          <w:szCs w:val="27"/>
          <w:shd w:val="clear" w:color="auto" w:fill="FFFFFF"/>
        </w:rPr>
        <w:t xml:space="preserve"> </w:t>
      </w:r>
    </w:p>
    <w:p w14:paraId="2451DE57" w14:textId="21ED59FF" w:rsidR="00E338E0" w:rsidRDefault="00E338E0" w:rsidP="00E338E0">
      <w:pPr>
        <w:spacing w:before="100" w:beforeAutospacing="1" w:after="100" w:afterAutospacing="1" w:line="240" w:lineRule="auto"/>
        <w:rPr>
          <w:highlight w:val="yellow"/>
        </w:rPr>
      </w:pPr>
      <w:r w:rsidRPr="00E338E0">
        <w:rPr>
          <w:highlight w:val="yellow"/>
        </w:rPr>
        <w:t xml:space="preserve">For the requirements of paragraph </w:t>
      </w:r>
      <w:r w:rsidR="00833034">
        <w:rPr>
          <w:highlight w:val="yellow"/>
        </w:rPr>
        <w:t>99</w:t>
      </w:r>
      <w:r w:rsidRPr="00E338E0">
        <w:rPr>
          <w:highlight w:val="yellow"/>
        </w:rPr>
        <w:t xml:space="preserve"> of the NPPF, to be met the playing field must </w:t>
      </w:r>
      <w:r>
        <w:rPr>
          <w:highlight w:val="yellow"/>
        </w:rPr>
        <w:t>b</w:t>
      </w:r>
      <w:r w:rsidRPr="00E338E0">
        <w:rPr>
          <w:highlight w:val="yellow"/>
        </w:rPr>
        <w:t xml:space="preserve">e replaced by </w:t>
      </w:r>
      <w:r>
        <w:rPr>
          <w:highlight w:val="yellow"/>
        </w:rPr>
        <w:t xml:space="preserve">an </w:t>
      </w:r>
      <w:r w:rsidRPr="00E338E0">
        <w:rPr>
          <w:highlight w:val="yellow"/>
        </w:rPr>
        <w:t>equivalent or better provision in terms of quantity and quality in a suitable location</w:t>
      </w:r>
      <w:r>
        <w:rPr>
          <w:highlight w:val="yellow"/>
        </w:rPr>
        <w:t>. Th</w:t>
      </w:r>
      <w:r w:rsidRPr="00E338E0">
        <w:rPr>
          <w:highlight w:val="yellow"/>
        </w:rPr>
        <w:t xml:space="preserve">e development </w:t>
      </w:r>
      <w:r>
        <w:rPr>
          <w:highlight w:val="yellow"/>
        </w:rPr>
        <w:t>can</w:t>
      </w:r>
      <w:r w:rsidRPr="00E338E0">
        <w:rPr>
          <w:highlight w:val="yellow"/>
        </w:rPr>
        <w:t xml:space="preserve">not </w:t>
      </w:r>
      <w:r>
        <w:rPr>
          <w:highlight w:val="yellow"/>
        </w:rPr>
        <w:t xml:space="preserve">be </w:t>
      </w:r>
      <w:r w:rsidRPr="00E338E0">
        <w:rPr>
          <w:highlight w:val="yellow"/>
        </w:rPr>
        <w:t xml:space="preserve">for alternative sports and recreational provision. It must be </w:t>
      </w:r>
      <w:r>
        <w:rPr>
          <w:highlight w:val="yellow"/>
        </w:rPr>
        <w:t xml:space="preserve">a </w:t>
      </w:r>
      <w:r w:rsidRPr="00833034">
        <w:rPr>
          <w:b/>
          <w:bCs/>
          <w:highlight w:val="yellow"/>
        </w:rPr>
        <w:t>new</w:t>
      </w:r>
      <w:r w:rsidRPr="00E338E0">
        <w:rPr>
          <w:highlight w:val="yellow"/>
        </w:rPr>
        <w:t xml:space="preserve"> playing field</w:t>
      </w:r>
      <w:r w:rsidRPr="00E338E0">
        <w:t>.</w:t>
      </w:r>
      <w:r>
        <w:t xml:space="preserve"> </w:t>
      </w:r>
      <w:r w:rsidRPr="00E338E0">
        <w:rPr>
          <w:highlight w:val="yellow"/>
        </w:rPr>
        <w:t>Paragraph 69 of Sport England’s Playing Fields Policy states that the intensification or increasing the use of existing areas of playing field does not m</w:t>
      </w:r>
      <w:r>
        <w:rPr>
          <w:highlight w:val="yellow"/>
        </w:rPr>
        <w:t>itigate against</w:t>
      </w:r>
      <w:r w:rsidRPr="00E338E0">
        <w:rPr>
          <w:highlight w:val="yellow"/>
        </w:rPr>
        <w:t xml:space="preserve"> the requirements of Exception 4. </w:t>
      </w:r>
    </w:p>
    <w:p w14:paraId="3D107294" w14:textId="3BD54C31" w:rsidR="009B7E9A" w:rsidRPr="006A1388" w:rsidRDefault="009B7E9A" w:rsidP="004500CC">
      <w:pPr>
        <w:spacing w:before="100" w:beforeAutospacing="1" w:after="100" w:afterAutospacing="1" w:line="240" w:lineRule="auto"/>
        <w:rPr>
          <w:i/>
          <w:iCs/>
        </w:rPr>
      </w:pPr>
      <w:r w:rsidRPr="006A1388">
        <w:rPr>
          <w:i/>
          <w:iCs/>
        </w:rPr>
        <w:t xml:space="preserve">5.108 Exceptionally, the loss of green space may also be acceptable where it is proposed to make a significant improvement in the type, quality and general availability of green space in the locality. This may include the loss of an area with restricted public access, or an area with no formal play provision and the subsequent improvement of an existing nearby area through the provision of formal sports facilities that are much needed in the locality and where </w:t>
      </w:r>
      <w:proofErr w:type="gramStart"/>
      <w:r w:rsidRPr="006A1388">
        <w:rPr>
          <w:i/>
          <w:iCs/>
        </w:rPr>
        <w:t>general public</w:t>
      </w:r>
      <w:proofErr w:type="gramEnd"/>
      <w:r w:rsidRPr="006A1388">
        <w:rPr>
          <w:i/>
          <w:iCs/>
        </w:rPr>
        <w:t xml:space="preserve"> access will be allowed. The loss of an existing area and subsequent provision of an off-site replacement or improvement of facilities will need to be negotiated with the Local Planning Authority and will be secured by a planning condition or developer contribution as appropriate.</w:t>
      </w:r>
    </w:p>
    <w:p w14:paraId="1C7FDC02" w14:textId="61B4647A" w:rsidR="00A9496F" w:rsidRDefault="00142AD4" w:rsidP="004500CC">
      <w:pPr>
        <w:spacing w:before="100" w:beforeAutospacing="1" w:after="100" w:afterAutospacing="1" w:line="240" w:lineRule="auto"/>
        <w:rPr>
          <w:rFonts w:asciiTheme="majorHAnsi" w:eastAsia="Times New Roman" w:hAnsiTheme="majorHAnsi" w:cstheme="majorHAnsi"/>
          <w:b/>
          <w:bCs/>
          <w:kern w:val="0"/>
          <w:lang w:eastAsia="en-GB"/>
          <w14:ligatures w14:val="none"/>
        </w:rPr>
      </w:pPr>
      <w:r>
        <w:rPr>
          <w:rFonts w:asciiTheme="majorHAnsi" w:eastAsia="Times New Roman" w:hAnsiTheme="majorHAnsi" w:cstheme="majorHAnsi"/>
          <w:b/>
          <w:bCs/>
          <w:kern w:val="0"/>
          <w:highlight w:val="yellow"/>
          <w:lang w:eastAsia="en-GB"/>
          <w14:ligatures w14:val="none"/>
        </w:rPr>
        <w:t>According to S</w:t>
      </w:r>
      <w:r w:rsidR="006919AA" w:rsidRPr="006919AA">
        <w:rPr>
          <w:rFonts w:asciiTheme="majorHAnsi" w:eastAsia="Times New Roman" w:hAnsiTheme="majorHAnsi" w:cstheme="majorHAnsi"/>
          <w:b/>
          <w:bCs/>
          <w:kern w:val="0"/>
          <w:highlight w:val="yellow"/>
          <w:lang w:eastAsia="en-GB"/>
          <w14:ligatures w14:val="none"/>
        </w:rPr>
        <w:t>port England policy</w:t>
      </w:r>
      <w:r>
        <w:rPr>
          <w:rFonts w:asciiTheme="majorHAnsi" w:eastAsia="Times New Roman" w:hAnsiTheme="majorHAnsi" w:cstheme="majorHAnsi"/>
          <w:b/>
          <w:bCs/>
          <w:kern w:val="0"/>
          <w:highlight w:val="yellow"/>
          <w:lang w:eastAsia="en-GB"/>
          <w14:ligatures w14:val="none"/>
        </w:rPr>
        <w:t>,</w:t>
      </w:r>
      <w:r w:rsidR="006919AA" w:rsidRPr="006919AA">
        <w:rPr>
          <w:rFonts w:asciiTheme="majorHAnsi" w:eastAsia="Times New Roman" w:hAnsiTheme="majorHAnsi" w:cstheme="majorHAnsi"/>
          <w:b/>
          <w:bCs/>
          <w:kern w:val="0"/>
          <w:highlight w:val="yellow"/>
          <w:lang w:eastAsia="en-GB"/>
          <w14:ligatures w14:val="none"/>
        </w:rPr>
        <w:t xml:space="preserve"> any land last used as a playing field and which remains undeveloped, irrespective of whether that use ceased more than five years ago. Lack of use should not be seen as necessarily indicating an absence of need for playing field in the locality. Such land can retain the potential to provide playing pitches to meet current or future needs.</w:t>
      </w:r>
    </w:p>
    <w:p w14:paraId="057B9736" w14:textId="520D17FD" w:rsidR="004500CC" w:rsidRPr="000B3584" w:rsidRDefault="00AC70DF" w:rsidP="00833034">
      <w:pPr>
        <w:spacing w:before="100" w:beforeAutospacing="1" w:after="100" w:afterAutospacing="1" w:line="240" w:lineRule="auto"/>
        <w:rPr>
          <w:rFonts w:asciiTheme="majorHAnsi" w:hAnsiTheme="majorHAnsi" w:cstheme="majorHAnsi"/>
        </w:rPr>
      </w:pPr>
      <w:r w:rsidRPr="009B7E9A">
        <w:rPr>
          <w:rFonts w:asciiTheme="majorHAnsi" w:eastAsia="Times New Roman" w:hAnsiTheme="majorHAnsi" w:cstheme="majorHAnsi"/>
          <w:b/>
          <w:bCs/>
          <w:kern w:val="0"/>
          <w:lang w:eastAsia="en-GB"/>
          <w14:ligatures w14:val="none"/>
        </w:rPr>
        <w:t xml:space="preserve"> </w:t>
      </w:r>
      <w:r w:rsidR="009C5D7E" w:rsidRPr="009C5D7E">
        <w:rPr>
          <w:rFonts w:asciiTheme="majorHAnsi" w:eastAsia="Times New Roman" w:hAnsiTheme="majorHAnsi" w:cstheme="majorHAnsi"/>
          <w:b/>
          <w:bCs/>
          <w:kern w:val="0"/>
          <w:lang w:eastAsia="en-GB"/>
          <w14:ligatures w14:val="none"/>
        </w:rPr>
        <w:t>Kerry Thornton</w:t>
      </w:r>
      <w:r w:rsidR="009C5D7E">
        <w:rPr>
          <w:rFonts w:asciiTheme="majorHAnsi" w:eastAsia="Times New Roman" w:hAnsiTheme="majorHAnsi" w:cstheme="majorHAnsi"/>
          <w:b/>
          <w:bCs/>
          <w:kern w:val="0"/>
          <w:lang w:eastAsia="en-GB"/>
          <w14:ligatures w14:val="none"/>
        </w:rPr>
        <w:t xml:space="preserve"> 7.12.24</w:t>
      </w:r>
    </w:p>
    <w:sectPr w:rsidR="004500CC" w:rsidRPr="000B35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31B06"/>
    <w:multiLevelType w:val="multilevel"/>
    <w:tmpl w:val="BC56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35BD8"/>
    <w:multiLevelType w:val="multilevel"/>
    <w:tmpl w:val="7276A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A717E"/>
    <w:multiLevelType w:val="hybridMultilevel"/>
    <w:tmpl w:val="D40EA746"/>
    <w:lvl w:ilvl="0" w:tplc="49DCEB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4D6B76"/>
    <w:multiLevelType w:val="hybridMultilevel"/>
    <w:tmpl w:val="263AE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0A1166"/>
    <w:multiLevelType w:val="multilevel"/>
    <w:tmpl w:val="5C6C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B94872"/>
    <w:multiLevelType w:val="multilevel"/>
    <w:tmpl w:val="E516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A0CCE"/>
    <w:multiLevelType w:val="multilevel"/>
    <w:tmpl w:val="BAEA39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655606"/>
    <w:multiLevelType w:val="multilevel"/>
    <w:tmpl w:val="BAEA39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E4347D"/>
    <w:multiLevelType w:val="hybridMultilevel"/>
    <w:tmpl w:val="BA40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C44296"/>
    <w:multiLevelType w:val="hybridMultilevel"/>
    <w:tmpl w:val="7D14D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1953010">
    <w:abstractNumId w:val="8"/>
  </w:num>
  <w:num w:numId="2" w16cid:durableId="45422677">
    <w:abstractNumId w:val="2"/>
  </w:num>
  <w:num w:numId="3" w16cid:durableId="1830486099">
    <w:abstractNumId w:val="6"/>
  </w:num>
  <w:num w:numId="4" w16cid:durableId="1645427063">
    <w:abstractNumId w:val="7"/>
  </w:num>
  <w:num w:numId="5" w16cid:durableId="1711415835">
    <w:abstractNumId w:val="3"/>
  </w:num>
  <w:num w:numId="6" w16cid:durableId="844976530">
    <w:abstractNumId w:val="9"/>
  </w:num>
  <w:num w:numId="7" w16cid:durableId="1391996885">
    <w:abstractNumId w:val="5"/>
  </w:num>
  <w:num w:numId="8" w16cid:durableId="686179169">
    <w:abstractNumId w:val="4"/>
  </w:num>
  <w:num w:numId="9" w16cid:durableId="1155220161">
    <w:abstractNumId w:val="0"/>
  </w:num>
  <w:num w:numId="10" w16cid:durableId="694890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14"/>
    <w:rsid w:val="0000048A"/>
    <w:rsid w:val="0007690B"/>
    <w:rsid w:val="000A0C96"/>
    <w:rsid w:val="000B3584"/>
    <w:rsid w:val="000D284A"/>
    <w:rsid w:val="00133E20"/>
    <w:rsid w:val="00142AD4"/>
    <w:rsid w:val="00152F33"/>
    <w:rsid w:val="001D65F9"/>
    <w:rsid w:val="001E5463"/>
    <w:rsid w:val="00207925"/>
    <w:rsid w:val="00247C38"/>
    <w:rsid w:val="002866A0"/>
    <w:rsid w:val="0028780C"/>
    <w:rsid w:val="002D2709"/>
    <w:rsid w:val="002F24A6"/>
    <w:rsid w:val="003307F0"/>
    <w:rsid w:val="00337D1E"/>
    <w:rsid w:val="003657DD"/>
    <w:rsid w:val="003A408A"/>
    <w:rsid w:val="003B7C67"/>
    <w:rsid w:val="003F3EBF"/>
    <w:rsid w:val="004065A2"/>
    <w:rsid w:val="004359EB"/>
    <w:rsid w:val="004500CC"/>
    <w:rsid w:val="004B4251"/>
    <w:rsid w:val="004D7E78"/>
    <w:rsid w:val="004E078F"/>
    <w:rsid w:val="004F2FD4"/>
    <w:rsid w:val="00592897"/>
    <w:rsid w:val="005A4D52"/>
    <w:rsid w:val="006806B7"/>
    <w:rsid w:val="006919AA"/>
    <w:rsid w:val="0069206E"/>
    <w:rsid w:val="006A1388"/>
    <w:rsid w:val="007312E7"/>
    <w:rsid w:val="007A2274"/>
    <w:rsid w:val="00801D87"/>
    <w:rsid w:val="00833034"/>
    <w:rsid w:val="008A5929"/>
    <w:rsid w:val="008F71AA"/>
    <w:rsid w:val="00931D5F"/>
    <w:rsid w:val="009B7E9A"/>
    <w:rsid w:val="009C5D7E"/>
    <w:rsid w:val="009E406F"/>
    <w:rsid w:val="009E656C"/>
    <w:rsid w:val="00A1093A"/>
    <w:rsid w:val="00A8410B"/>
    <w:rsid w:val="00A9496F"/>
    <w:rsid w:val="00AB3CDA"/>
    <w:rsid w:val="00AC70DF"/>
    <w:rsid w:val="00C47D14"/>
    <w:rsid w:val="00C73A5C"/>
    <w:rsid w:val="00C936CF"/>
    <w:rsid w:val="00D068DE"/>
    <w:rsid w:val="00D11576"/>
    <w:rsid w:val="00D2454B"/>
    <w:rsid w:val="00D6015B"/>
    <w:rsid w:val="00E10EE4"/>
    <w:rsid w:val="00E21F93"/>
    <w:rsid w:val="00E338E0"/>
    <w:rsid w:val="00E47C6E"/>
    <w:rsid w:val="00ED5A5D"/>
    <w:rsid w:val="00EE30D1"/>
    <w:rsid w:val="00EF2C21"/>
    <w:rsid w:val="00F41F09"/>
    <w:rsid w:val="00F43E82"/>
    <w:rsid w:val="00F75B93"/>
    <w:rsid w:val="00FA63F8"/>
    <w:rsid w:val="00FD7ED4"/>
    <w:rsid w:val="00FE2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C08A0"/>
  <w15:chartTrackingRefBased/>
  <w15:docId w15:val="{47362414-5078-4CDE-B680-38DFBD738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500C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link w:val="Heading4Char"/>
    <w:uiPriority w:val="9"/>
    <w:qFormat/>
    <w:rsid w:val="004500CC"/>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A5C"/>
    <w:pPr>
      <w:ind w:left="720"/>
      <w:contextualSpacing/>
    </w:pPr>
  </w:style>
  <w:style w:type="character" w:customStyle="1" w:styleId="Heading3Char">
    <w:name w:val="Heading 3 Char"/>
    <w:basedOn w:val="DefaultParagraphFont"/>
    <w:link w:val="Heading3"/>
    <w:uiPriority w:val="9"/>
    <w:rsid w:val="004500CC"/>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4500CC"/>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semiHidden/>
    <w:unhideWhenUsed/>
    <w:rsid w:val="004500C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500CC"/>
    <w:rPr>
      <w:b/>
      <w:bCs/>
    </w:rPr>
  </w:style>
  <w:style w:type="character" w:styleId="Emphasis">
    <w:name w:val="Emphasis"/>
    <w:basedOn w:val="DefaultParagraphFont"/>
    <w:uiPriority w:val="20"/>
    <w:qFormat/>
    <w:rsid w:val="004500CC"/>
    <w:rPr>
      <w:i/>
      <w:iCs/>
    </w:rPr>
  </w:style>
  <w:style w:type="character" w:customStyle="1" w:styleId="overflow-hidden">
    <w:name w:val="overflow-hidden"/>
    <w:basedOn w:val="DefaultParagraphFont"/>
    <w:rsid w:val="00152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481684">
      <w:bodyDiv w:val="1"/>
      <w:marLeft w:val="0"/>
      <w:marRight w:val="0"/>
      <w:marTop w:val="0"/>
      <w:marBottom w:val="0"/>
      <w:divBdr>
        <w:top w:val="none" w:sz="0" w:space="0" w:color="auto"/>
        <w:left w:val="none" w:sz="0" w:space="0" w:color="auto"/>
        <w:bottom w:val="none" w:sz="0" w:space="0" w:color="auto"/>
        <w:right w:val="none" w:sz="0" w:space="0" w:color="auto"/>
      </w:divBdr>
    </w:div>
    <w:div w:id="1314142667">
      <w:bodyDiv w:val="1"/>
      <w:marLeft w:val="0"/>
      <w:marRight w:val="0"/>
      <w:marTop w:val="0"/>
      <w:marBottom w:val="0"/>
      <w:divBdr>
        <w:top w:val="none" w:sz="0" w:space="0" w:color="auto"/>
        <w:left w:val="none" w:sz="0" w:space="0" w:color="auto"/>
        <w:bottom w:val="none" w:sz="0" w:space="0" w:color="auto"/>
        <w:right w:val="none" w:sz="0" w:space="0" w:color="auto"/>
      </w:divBdr>
      <w:divsChild>
        <w:div w:id="1908295870">
          <w:marLeft w:val="0"/>
          <w:marRight w:val="0"/>
          <w:marTop w:val="0"/>
          <w:marBottom w:val="0"/>
          <w:divBdr>
            <w:top w:val="none" w:sz="0" w:space="0" w:color="auto"/>
            <w:left w:val="none" w:sz="0" w:space="0" w:color="auto"/>
            <w:bottom w:val="none" w:sz="0" w:space="0" w:color="auto"/>
            <w:right w:val="none" w:sz="0" w:space="0" w:color="auto"/>
          </w:divBdr>
          <w:divsChild>
            <w:div w:id="1561791455">
              <w:marLeft w:val="0"/>
              <w:marRight w:val="0"/>
              <w:marTop w:val="0"/>
              <w:marBottom w:val="0"/>
              <w:divBdr>
                <w:top w:val="none" w:sz="0" w:space="0" w:color="auto"/>
                <w:left w:val="none" w:sz="0" w:space="0" w:color="auto"/>
                <w:bottom w:val="none" w:sz="0" w:space="0" w:color="auto"/>
                <w:right w:val="none" w:sz="0" w:space="0" w:color="auto"/>
              </w:divBdr>
              <w:divsChild>
                <w:div w:id="791677355">
                  <w:marLeft w:val="0"/>
                  <w:marRight w:val="0"/>
                  <w:marTop w:val="0"/>
                  <w:marBottom w:val="0"/>
                  <w:divBdr>
                    <w:top w:val="none" w:sz="0" w:space="0" w:color="auto"/>
                    <w:left w:val="none" w:sz="0" w:space="0" w:color="auto"/>
                    <w:bottom w:val="none" w:sz="0" w:space="0" w:color="auto"/>
                    <w:right w:val="none" w:sz="0" w:space="0" w:color="auto"/>
                  </w:divBdr>
                  <w:divsChild>
                    <w:div w:id="2060548656">
                      <w:marLeft w:val="0"/>
                      <w:marRight w:val="0"/>
                      <w:marTop w:val="0"/>
                      <w:marBottom w:val="0"/>
                      <w:divBdr>
                        <w:top w:val="none" w:sz="0" w:space="0" w:color="auto"/>
                        <w:left w:val="none" w:sz="0" w:space="0" w:color="auto"/>
                        <w:bottom w:val="none" w:sz="0" w:space="0" w:color="auto"/>
                        <w:right w:val="none" w:sz="0" w:space="0" w:color="auto"/>
                      </w:divBdr>
                      <w:divsChild>
                        <w:div w:id="1450853954">
                          <w:marLeft w:val="0"/>
                          <w:marRight w:val="0"/>
                          <w:marTop w:val="0"/>
                          <w:marBottom w:val="0"/>
                          <w:divBdr>
                            <w:top w:val="none" w:sz="0" w:space="0" w:color="auto"/>
                            <w:left w:val="none" w:sz="0" w:space="0" w:color="auto"/>
                            <w:bottom w:val="none" w:sz="0" w:space="0" w:color="auto"/>
                            <w:right w:val="none" w:sz="0" w:space="0" w:color="auto"/>
                          </w:divBdr>
                          <w:divsChild>
                            <w:div w:id="1841046856">
                              <w:marLeft w:val="0"/>
                              <w:marRight w:val="0"/>
                              <w:marTop w:val="0"/>
                              <w:marBottom w:val="0"/>
                              <w:divBdr>
                                <w:top w:val="none" w:sz="0" w:space="0" w:color="auto"/>
                                <w:left w:val="none" w:sz="0" w:space="0" w:color="auto"/>
                                <w:bottom w:val="none" w:sz="0" w:space="0" w:color="auto"/>
                                <w:right w:val="none" w:sz="0" w:space="0" w:color="auto"/>
                              </w:divBdr>
                              <w:divsChild>
                                <w:div w:id="523204736">
                                  <w:marLeft w:val="0"/>
                                  <w:marRight w:val="0"/>
                                  <w:marTop w:val="0"/>
                                  <w:marBottom w:val="0"/>
                                  <w:divBdr>
                                    <w:top w:val="none" w:sz="0" w:space="0" w:color="auto"/>
                                    <w:left w:val="none" w:sz="0" w:space="0" w:color="auto"/>
                                    <w:bottom w:val="none" w:sz="0" w:space="0" w:color="auto"/>
                                    <w:right w:val="none" w:sz="0" w:space="0" w:color="auto"/>
                                  </w:divBdr>
                                  <w:divsChild>
                                    <w:div w:id="803933933">
                                      <w:marLeft w:val="0"/>
                                      <w:marRight w:val="0"/>
                                      <w:marTop w:val="0"/>
                                      <w:marBottom w:val="0"/>
                                      <w:divBdr>
                                        <w:top w:val="none" w:sz="0" w:space="0" w:color="auto"/>
                                        <w:left w:val="none" w:sz="0" w:space="0" w:color="auto"/>
                                        <w:bottom w:val="none" w:sz="0" w:space="0" w:color="auto"/>
                                        <w:right w:val="none" w:sz="0" w:space="0" w:color="auto"/>
                                      </w:divBdr>
                                      <w:divsChild>
                                        <w:div w:id="928270799">
                                          <w:marLeft w:val="0"/>
                                          <w:marRight w:val="0"/>
                                          <w:marTop w:val="0"/>
                                          <w:marBottom w:val="0"/>
                                          <w:divBdr>
                                            <w:top w:val="none" w:sz="0" w:space="0" w:color="auto"/>
                                            <w:left w:val="none" w:sz="0" w:space="0" w:color="auto"/>
                                            <w:bottom w:val="none" w:sz="0" w:space="0" w:color="auto"/>
                                            <w:right w:val="none" w:sz="0" w:space="0" w:color="auto"/>
                                          </w:divBdr>
                                          <w:divsChild>
                                            <w:div w:id="1109619938">
                                              <w:marLeft w:val="0"/>
                                              <w:marRight w:val="0"/>
                                              <w:marTop w:val="0"/>
                                              <w:marBottom w:val="0"/>
                                              <w:divBdr>
                                                <w:top w:val="none" w:sz="0" w:space="0" w:color="auto"/>
                                                <w:left w:val="none" w:sz="0" w:space="0" w:color="auto"/>
                                                <w:bottom w:val="none" w:sz="0" w:space="0" w:color="auto"/>
                                                <w:right w:val="none" w:sz="0" w:space="0" w:color="auto"/>
                                              </w:divBdr>
                                              <w:divsChild>
                                                <w:div w:id="942686277">
                                                  <w:marLeft w:val="0"/>
                                                  <w:marRight w:val="0"/>
                                                  <w:marTop w:val="0"/>
                                                  <w:marBottom w:val="0"/>
                                                  <w:divBdr>
                                                    <w:top w:val="none" w:sz="0" w:space="0" w:color="auto"/>
                                                    <w:left w:val="none" w:sz="0" w:space="0" w:color="auto"/>
                                                    <w:bottom w:val="none" w:sz="0" w:space="0" w:color="auto"/>
                                                    <w:right w:val="none" w:sz="0" w:space="0" w:color="auto"/>
                                                  </w:divBdr>
                                                  <w:divsChild>
                                                    <w:div w:id="491065723">
                                                      <w:marLeft w:val="0"/>
                                                      <w:marRight w:val="0"/>
                                                      <w:marTop w:val="0"/>
                                                      <w:marBottom w:val="0"/>
                                                      <w:divBdr>
                                                        <w:top w:val="none" w:sz="0" w:space="0" w:color="auto"/>
                                                        <w:left w:val="none" w:sz="0" w:space="0" w:color="auto"/>
                                                        <w:bottom w:val="none" w:sz="0" w:space="0" w:color="auto"/>
                                                        <w:right w:val="none" w:sz="0" w:space="0" w:color="auto"/>
                                                      </w:divBdr>
                                                      <w:divsChild>
                                                        <w:div w:id="138263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742864">
                                              <w:marLeft w:val="0"/>
                                              <w:marRight w:val="0"/>
                                              <w:marTop w:val="0"/>
                                              <w:marBottom w:val="0"/>
                                              <w:divBdr>
                                                <w:top w:val="none" w:sz="0" w:space="0" w:color="auto"/>
                                                <w:left w:val="none" w:sz="0" w:space="0" w:color="auto"/>
                                                <w:bottom w:val="none" w:sz="0" w:space="0" w:color="auto"/>
                                                <w:right w:val="none" w:sz="0" w:space="0" w:color="auto"/>
                                              </w:divBdr>
                                              <w:divsChild>
                                                <w:div w:id="627784552">
                                                  <w:marLeft w:val="0"/>
                                                  <w:marRight w:val="0"/>
                                                  <w:marTop w:val="0"/>
                                                  <w:marBottom w:val="0"/>
                                                  <w:divBdr>
                                                    <w:top w:val="none" w:sz="0" w:space="0" w:color="auto"/>
                                                    <w:left w:val="none" w:sz="0" w:space="0" w:color="auto"/>
                                                    <w:bottom w:val="none" w:sz="0" w:space="0" w:color="auto"/>
                                                    <w:right w:val="none" w:sz="0" w:space="0" w:color="auto"/>
                                                  </w:divBdr>
                                                  <w:divsChild>
                                                    <w:div w:id="37514015">
                                                      <w:marLeft w:val="0"/>
                                                      <w:marRight w:val="0"/>
                                                      <w:marTop w:val="0"/>
                                                      <w:marBottom w:val="0"/>
                                                      <w:divBdr>
                                                        <w:top w:val="none" w:sz="0" w:space="0" w:color="auto"/>
                                                        <w:left w:val="none" w:sz="0" w:space="0" w:color="auto"/>
                                                        <w:bottom w:val="none" w:sz="0" w:space="0" w:color="auto"/>
                                                        <w:right w:val="none" w:sz="0" w:space="0" w:color="auto"/>
                                                      </w:divBdr>
                                                      <w:divsChild>
                                                        <w:div w:id="9337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Thornton</dc:creator>
  <cp:keywords/>
  <dc:description/>
  <cp:lastModifiedBy>Sharon.Simcox</cp:lastModifiedBy>
  <cp:revision>2</cp:revision>
  <cp:lastPrinted>2024-12-09T13:46:00Z</cp:lastPrinted>
  <dcterms:created xsi:type="dcterms:W3CDTF">2024-12-13T09:30:00Z</dcterms:created>
  <dcterms:modified xsi:type="dcterms:W3CDTF">2024-12-13T09:30:00Z</dcterms:modified>
</cp:coreProperties>
</file>