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EE73" w14:textId="136CA195" w:rsidR="00AB2790" w:rsidRPr="00A76B3E" w:rsidRDefault="00AB2790" w:rsidP="00AB2790">
      <w:pPr>
        <w:pStyle w:val="Heading1"/>
        <w:rPr>
          <w:rFonts w:eastAsia="Times New Roman"/>
        </w:rPr>
      </w:pPr>
      <w:r w:rsidRPr="00A76B3E">
        <w:rPr>
          <w:rFonts w:eastAsia="Times New Roman"/>
        </w:rPr>
        <w:t>Complaints by type</w:t>
      </w:r>
    </w:p>
    <w:p w14:paraId="45FFBDE9" w14:textId="716DA517" w:rsidR="00841163" w:rsidRPr="00A27051" w:rsidRDefault="00841163" w:rsidP="00A27051">
      <w:pPr>
        <w:pStyle w:val="Heading1"/>
        <w:rPr>
          <w:rFonts w:eastAsia="Times New Roman"/>
        </w:rPr>
      </w:pPr>
    </w:p>
    <w:p w14:paraId="29D5ED20" w14:textId="24D63F2B" w:rsidR="00733ABD" w:rsidRDefault="00AB2790" w:rsidP="00AB2790">
      <w:pPr>
        <w:jc w:val="center"/>
      </w:pPr>
      <w:r w:rsidRPr="0026012E">
        <w:rPr>
          <w:rFonts w:eastAsia="Times New Roman" w:cs="Arial"/>
          <w:noProof/>
          <w:color w:val="FF0000"/>
          <w:szCs w:val="24"/>
        </w:rPr>
        <w:drawing>
          <wp:inline distT="0" distB="0" distL="0" distR="0" wp14:anchorId="4A42227D" wp14:editId="65B19E48">
            <wp:extent cx="9053942" cy="2880000"/>
            <wp:effectExtent l="0" t="0" r="0" b="0"/>
            <wp:docPr id="457628406" name="Picture 1" descr="A chart containing 8 segments in order of the volumes of specific complaint type category for the 2024-2025 financial year.&#10;&#10;Complaint types in order by volume are ‘length of time taken’ (30.53%), ‘attitude or conduct of employee’ (23.16%), 'unhappy with decision' (20%), 'state of property' (14.74%), 'accuracy of information' (5.26%) 'poor communication' (3.16%, 'poor workmanship' (2.11%), 'appointment not kept' (1.05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28406" name="Picture 1" descr="A chart containing 8 segments in order of the volumes of specific complaint type category for the 2024-2025 financial year.&#10;&#10;Complaint types in order by volume are ‘length of time taken’ (30.53%), ‘attitude or conduct of employee’ (23.16%), 'unhappy with decision' (20%), 'state of property' (14.74%), 'accuracy of information' (5.26%) 'poor communication' (3.16%, 'poor workmanship' (2.11%), 'appointment not kept' (1.05%)"/>
                    <pic:cNvPicPr/>
                  </pic:nvPicPr>
                  <pic:blipFill>
                    <a:blip r:embed="rId4"/>
                    <a:srcRect t="10513" r="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942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54BDB" w14:textId="77777777" w:rsidR="00971ED6" w:rsidRDefault="00971ED6" w:rsidP="00AB2790">
      <w:pPr>
        <w:jc w:val="center"/>
      </w:pPr>
    </w:p>
    <w:p w14:paraId="5131A067" w14:textId="609EA3A7" w:rsidR="00971ED6" w:rsidRDefault="00971ED6" w:rsidP="00AB2790">
      <w:pPr>
        <w:jc w:val="center"/>
      </w:pPr>
      <w:r>
        <w:t>Data table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40"/>
        <w:gridCol w:w="5246"/>
        <w:gridCol w:w="5548"/>
      </w:tblGrid>
      <w:tr w:rsidR="00971ED6" w14:paraId="0DFF3923" w14:textId="77777777" w:rsidTr="00971ED6">
        <w:trPr>
          <w:jc w:val="center"/>
        </w:trPr>
        <w:tc>
          <w:tcPr>
            <w:tcW w:w="1634" w:type="pct"/>
            <w:shd w:val="clear" w:color="auto" w:fill="A6A6A6" w:themeFill="background1" w:themeFillShade="A6"/>
            <w:vAlign w:val="center"/>
          </w:tcPr>
          <w:p w14:paraId="24872006" w14:textId="77777777" w:rsidR="00971ED6" w:rsidRPr="0087458A" w:rsidRDefault="00971ED6" w:rsidP="00971ED6">
            <w:pPr>
              <w:jc w:val="center"/>
              <w:rPr>
                <w:rFonts w:eastAsia="Times New Roman" w:cs="Arial"/>
                <w:szCs w:val="24"/>
              </w:rPr>
            </w:pPr>
            <w:r w:rsidRPr="0087458A">
              <w:rPr>
                <w:rFonts w:eastAsia="Times New Roman" w:cs="Arial"/>
                <w:szCs w:val="24"/>
              </w:rPr>
              <w:t>Complaint Type</w:t>
            </w:r>
          </w:p>
        </w:tc>
        <w:tc>
          <w:tcPr>
            <w:tcW w:w="1636" w:type="pct"/>
            <w:shd w:val="clear" w:color="auto" w:fill="A6A6A6" w:themeFill="background1" w:themeFillShade="A6"/>
            <w:vAlign w:val="center"/>
          </w:tcPr>
          <w:p w14:paraId="6EE44D49" w14:textId="277E0579" w:rsidR="00971ED6" w:rsidRPr="0087458A" w:rsidRDefault="00971ED6" w:rsidP="00971ED6">
            <w:pPr>
              <w:jc w:val="center"/>
              <w:rPr>
                <w:rFonts w:eastAsia="Times New Roman" w:cs="Arial"/>
                <w:szCs w:val="24"/>
              </w:rPr>
            </w:pPr>
            <w:r w:rsidRPr="0087458A">
              <w:rPr>
                <w:rFonts w:eastAsia="Times New Roman" w:cs="Arial"/>
                <w:szCs w:val="24"/>
              </w:rPr>
              <w:t>2023</w:t>
            </w:r>
            <w:r>
              <w:rPr>
                <w:rFonts w:eastAsia="Times New Roman" w:cs="Arial"/>
                <w:szCs w:val="24"/>
              </w:rPr>
              <w:t xml:space="preserve"> to 20</w:t>
            </w:r>
            <w:r w:rsidRPr="0087458A">
              <w:rPr>
                <w:rFonts w:eastAsia="Times New Roman" w:cs="Arial"/>
                <w:szCs w:val="24"/>
              </w:rPr>
              <w:t>24</w:t>
            </w:r>
          </w:p>
        </w:tc>
        <w:tc>
          <w:tcPr>
            <w:tcW w:w="1730" w:type="pct"/>
            <w:shd w:val="clear" w:color="auto" w:fill="A6A6A6" w:themeFill="background1" w:themeFillShade="A6"/>
            <w:vAlign w:val="center"/>
          </w:tcPr>
          <w:p w14:paraId="4775D1D2" w14:textId="13AD4275" w:rsidR="00971ED6" w:rsidRPr="0087458A" w:rsidRDefault="00971ED6" w:rsidP="00971ED6">
            <w:pPr>
              <w:jc w:val="center"/>
              <w:rPr>
                <w:rFonts w:eastAsia="Times New Roman" w:cs="Arial"/>
                <w:szCs w:val="24"/>
              </w:rPr>
            </w:pPr>
            <w:r w:rsidRPr="0087458A">
              <w:rPr>
                <w:rFonts w:eastAsia="Times New Roman" w:cs="Arial"/>
                <w:szCs w:val="24"/>
              </w:rPr>
              <w:t>2024</w:t>
            </w:r>
            <w:r>
              <w:rPr>
                <w:rFonts w:eastAsia="Times New Roman" w:cs="Arial"/>
                <w:szCs w:val="24"/>
              </w:rPr>
              <w:t xml:space="preserve"> to 20</w:t>
            </w:r>
            <w:r w:rsidRPr="0087458A">
              <w:rPr>
                <w:rFonts w:eastAsia="Times New Roman" w:cs="Arial"/>
                <w:szCs w:val="24"/>
              </w:rPr>
              <w:t>25</w:t>
            </w:r>
          </w:p>
        </w:tc>
      </w:tr>
      <w:tr w:rsidR="00971ED6" w14:paraId="3A79D21F" w14:textId="77777777" w:rsidTr="00971ED6">
        <w:trPr>
          <w:jc w:val="center"/>
        </w:trPr>
        <w:tc>
          <w:tcPr>
            <w:tcW w:w="1634" w:type="pct"/>
          </w:tcPr>
          <w:p w14:paraId="133FB102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Attitude or conduct of employee</w:t>
            </w:r>
          </w:p>
        </w:tc>
        <w:tc>
          <w:tcPr>
            <w:tcW w:w="1636" w:type="pct"/>
          </w:tcPr>
          <w:p w14:paraId="0D766389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22.22%</w:t>
            </w:r>
          </w:p>
        </w:tc>
        <w:tc>
          <w:tcPr>
            <w:tcW w:w="1730" w:type="pct"/>
          </w:tcPr>
          <w:p w14:paraId="11D52F07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 w:rsidRPr="00FE375C">
              <w:rPr>
                <w:rFonts w:eastAsia="Times New Roman" w:cs="Arial"/>
                <w:color w:val="ED0000"/>
                <w:szCs w:val="24"/>
              </w:rPr>
              <w:t>23.16%</w:t>
            </w:r>
          </w:p>
        </w:tc>
      </w:tr>
      <w:tr w:rsidR="00971ED6" w14:paraId="6D496038" w14:textId="77777777" w:rsidTr="00971ED6">
        <w:trPr>
          <w:jc w:val="center"/>
        </w:trPr>
        <w:tc>
          <w:tcPr>
            <w:tcW w:w="1634" w:type="pct"/>
            <w:shd w:val="clear" w:color="auto" w:fill="D9D9D9" w:themeFill="background1" w:themeFillShade="D9"/>
          </w:tcPr>
          <w:p w14:paraId="6E7EBA0A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Length of time taken</w:t>
            </w:r>
          </w:p>
        </w:tc>
        <w:tc>
          <w:tcPr>
            <w:tcW w:w="1636" w:type="pct"/>
            <w:shd w:val="clear" w:color="auto" w:fill="D9D9D9" w:themeFill="background1" w:themeFillShade="D9"/>
          </w:tcPr>
          <w:p w14:paraId="0EB3F61D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20.37%</w:t>
            </w:r>
          </w:p>
        </w:tc>
        <w:tc>
          <w:tcPr>
            <w:tcW w:w="1730" w:type="pct"/>
          </w:tcPr>
          <w:p w14:paraId="28F58057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 w:rsidRPr="00FE375C">
              <w:rPr>
                <w:rFonts w:eastAsia="Times New Roman" w:cs="Arial"/>
                <w:color w:val="ED0000"/>
                <w:szCs w:val="24"/>
              </w:rPr>
              <w:t>30.53%</w:t>
            </w:r>
          </w:p>
        </w:tc>
      </w:tr>
      <w:tr w:rsidR="00971ED6" w14:paraId="08C399CC" w14:textId="77777777" w:rsidTr="00971ED6">
        <w:trPr>
          <w:jc w:val="center"/>
        </w:trPr>
        <w:tc>
          <w:tcPr>
            <w:tcW w:w="1634" w:type="pct"/>
          </w:tcPr>
          <w:p w14:paraId="32FD43A6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State of property</w:t>
            </w:r>
          </w:p>
        </w:tc>
        <w:tc>
          <w:tcPr>
            <w:tcW w:w="1636" w:type="pct"/>
          </w:tcPr>
          <w:p w14:paraId="39190229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16.67%</w:t>
            </w:r>
          </w:p>
        </w:tc>
        <w:tc>
          <w:tcPr>
            <w:tcW w:w="1730" w:type="pct"/>
          </w:tcPr>
          <w:p w14:paraId="0F74A3FB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 w:rsidRPr="00117347">
              <w:rPr>
                <w:rFonts w:eastAsia="Times New Roman" w:cs="Arial"/>
                <w:color w:val="538135" w:themeColor="accent6" w:themeShade="BF"/>
                <w:szCs w:val="24"/>
              </w:rPr>
              <w:t>14.74%</w:t>
            </w:r>
          </w:p>
        </w:tc>
      </w:tr>
      <w:tr w:rsidR="00971ED6" w14:paraId="5936A5F7" w14:textId="77777777" w:rsidTr="00971ED6">
        <w:trPr>
          <w:jc w:val="center"/>
        </w:trPr>
        <w:tc>
          <w:tcPr>
            <w:tcW w:w="1634" w:type="pct"/>
            <w:shd w:val="clear" w:color="auto" w:fill="D9D9D9" w:themeFill="background1" w:themeFillShade="D9"/>
          </w:tcPr>
          <w:p w14:paraId="52EFD0C5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Poor workmanship</w:t>
            </w:r>
          </w:p>
        </w:tc>
        <w:tc>
          <w:tcPr>
            <w:tcW w:w="1636" w:type="pct"/>
            <w:shd w:val="clear" w:color="auto" w:fill="D9D9D9" w:themeFill="background1" w:themeFillShade="D9"/>
          </w:tcPr>
          <w:p w14:paraId="5528EF1B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3.70%</w:t>
            </w:r>
          </w:p>
        </w:tc>
        <w:tc>
          <w:tcPr>
            <w:tcW w:w="1730" w:type="pct"/>
          </w:tcPr>
          <w:p w14:paraId="1E69BAF9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 w:rsidRPr="00117347">
              <w:rPr>
                <w:rFonts w:eastAsia="Times New Roman" w:cs="Arial"/>
                <w:color w:val="538135" w:themeColor="accent6" w:themeShade="BF"/>
                <w:szCs w:val="24"/>
              </w:rPr>
              <w:t>2.11%</w:t>
            </w:r>
          </w:p>
        </w:tc>
      </w:tr>
      <w:tr w:rsidR="00971ED6" w14:paraId="140BE8C9" w14:textId="77777777" w:rsidTr="00971ED6">
        <w:trPr>
          <w:jc w:val="center"/>
        </w:trPr>
        <w:tc>
          <w:tcPr>
            <w:tcW w:w="1634" w:type="pct"/>
          </w:tcPr>
          <w:p w14:paraId="2089E7D3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Poor communication</w:t>
            </w:r>
          </w:p>
        </w:tc>
        <w:tc>
          <w:tcPr>
            <w:tcW w:w="1636" w:type="pct"/>
          </w:tcPr>
          <w:p w14:paraId="658F3D20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1.85%</w:t>
            </w:r>
          </w:p>
        </w:tc>
        <w:tc>
          <w:tcPr>
            <w:tcW w:w="1730" w:type="pct"/>
          </w:tcPr>
          <w:p w14:paraId="4328ECA9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 w:rsidRPr="00FE375C">
              <w:rPr>
                <w:rFonts w:eastAsia="Times New Roman" w:cs="Arial"/>
                <w:color w:val="ED0000"/>
                <w:szCs w:val="24"/>
              </w:rPr>
              <w:t>3.16%</w:t>
            </w:r>
          </w:p>
        </w:tc>
      </w:tr>
      <w:tr w:rsidR="00971ED6" w14:paraId="069FD09F" w14:textId="77777777" w:rsidTr="00971ED6">
        <w:trPr>
          <w:jc w:val="center"/>
        </w:trPr>
        <w:tc>
          <w:tcPr>
            <w:tcW w:w="1634" w:type="pct"/>
            <w:shd w:val="clear" w:color="auto" w:fill="D9D9D9" w:themeFill="background1" w:themeFillShade="D9"/>
          </w:tcPr>
          <w:p w14:paraId="27EE353F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Accuracy of information</w:t>
            </w:r>
          </w:p>
        </w:tc>
        <w:tc>
          <w:tcPr>
            <w:tcW w:w="1636" w:type="pct"/>
            <w:shd w:val="clear" w:color="auto" w:fill="D9D9D9" w:themeFill="background1" w:themeFillShade="D9"/>
          </w:tcPr>
          <w:p w14:paraId="787D7DA3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5.56%</w:t>
            </w:r>
          </w:p>
        </w:tc>
        <w:tc>
          <w:tcPr>
            <w:tcW w:w="1730" w:type="pct"/>
          </w:tcPr>
          <w:p w14:paraId="0149C88F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5.26%</w:t>
            </w:r>
          </w:p>
        </w:tc>
      </w:tr>
      <w:tr w:rsidR="00971ED6" w14:paraId="03985CAC" w14:textId="77777777" w:rsidTr="00971ED6">
        <w:trPr>
          <w:jc w:val="center"/>
        </w:trPr>
        <w:tc>
          <w:tcPr>
            <w:tcW w:w="1634" w:type="pct"/>
          </w:tcPr>
          <w:p w14:paraId="3C131FDB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Unhappy with decision</w:t>
            </w:r>
          </w:p>
        </w:tc>
        <w:tc>
          <w:tcPr>
            <w:tcW w:w="1636" w:type="pct"/>
          </w:tcPr>
          <w:p w14:paraId="44B9ED75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22.22%</w:t>
            </w:r>
          </w:p>
        </w:tc>
        <w:tc>
          <w:tcPr>
            <w:tcW w:w="1730" w:type="pct"/>
          </w:tcPr>
          <w:p w14:paraId="2BD77460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20.0%</w:t>
            </w:r>
          </w:p>
        </w:tc>
      </w:tr>
      <w:tr w:rsidR="00971ED6" w14:paraId="1317772D" w14:textId="77777777" w:rsidTr="00971ED6">
        <w:trPr>
          <w:jc w:val="center"/>
        </w:trPr>
        <w:tc>
          <w:tcPr>
            <w:tcW w:w="1634" w:type="pct"/>
            <w:shd w:val="clear" w:color="auto" w:fill="D9D9D9" w:themeFill="background1" w:themeFillShade="D9"/>
          </w:tcPr>
          <w:p w14:paraId="0727E524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 w:rsidRPr="00C31138">
              <w:rPr>
                <w:rFonts w:eastAsia="Times New Roman" w:cs="Arial"/>
                <w:szCs w:val="24"/>
              </w:rPr>
              <w:t>Conduct of neighbour</w:t>
            </w:r>
          </w:p>
        </w:tc>
        <w:tc>
          <w:tcPr>
            <w:tcW w:w="1636" w:type="pct"/>
            <w:shd w:val="clear" w:color="auto" w:fill="D9D9D9" w:themeFill="background1" w:themeFillShade="D9"/>
          </w:tcPr>
          <w:p w14:paraId="208E4177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5.56%</w:t>
            </w:r>
          </w:p>
        </w:tc>
        <w:tc>
          <w:tcPr>
            <w:tcW w:w="1730" w:type="pct"/>
          </w:tcPr>
          <w:p w14:paraId="0C722C3A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 w:rsidRPr="00117347">
              <w:rPr>
                <w:rFonts w:eastAsia="Times New Roman" w:cs="Arial"/>
                <w:color w:val="538135" w:themeColor="accent6" w:themeShade="BF"/>
                <w:szCs w:val="24"/>
              </w:rPr>
              <w:t>0.00%</w:t>
            </w:r>
          </w:p>
        </w:tc>
      </w:tr>
      <w:tr w:rsidR="00971ED6" w14:paraId="67808694" w14:textId="77777777" w:rsidTr="00971ED6">
        <w:trPr>
          <w:jc w:val="center"/>
        </w:trPr>
        <w:tc>
          <w:tcPr>
            <w:tcW w:w="1634" w:type="pct"/>
          </w:tcPr>
          <w:p w14:paraId="0643C57B" w14:textId="77777777" w:rsidR="00971ED6" w:rsidRPr="0087458A" w:rsidRDefault="00971ED6" w:rsidP="00BD02A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Appointment not kept </w:t>
            </w:r>
          </w:p>
        </w:tc>
        <w:tc>
          <w:tcPr>
            <w:tcW w:w="1636" w:type="pct"/>
          </w:tcPr>
          <w:p w14:paraId="70FBA1C6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1.85%</w:t>
            </w:r>
          </w:p>
        </w:tc>
        <w:tc>
          <w:tcPr>
            <w:tcW w:w="1730" w:type="pct"/>
          </w:tcPr>
          <w:p w14:paraId="007A1B93" w14:textId="77777777" w:rsidR="00971ED6" w:rsidRPr="00117347" w:rsidRDefault="00971ED6" w:rsidP="00BD02A3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1.05%</w:t>
            </w:r>
          </w:p>
        </w:tc>
      </w:tr>
    </w:tbl>
    <w:p w14:paraId="2ED10A5B" w14:textId="77777777" w:rsidR="00971ED6" w:rsidRDefault="00971ED6" w:rsidP="00AB2790">
      <w:pPr>
        <w:jc w:val="center"/>
      </w:pPr>
    </w:p>
    <w:p w14:paraId="7F9EFB1C" w14:textId="77777777" w:rsidR="007A7C3A" w:rsidRDefault="007A7C3A"/>
    <w:sectPr w:rsidR="007A7C3A" w:rsidSect="00A27051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667B3"/>
    <w:rsid w:val="004E2CD9"/>
    <w:rsid w:val="00733ABD"/>
    <w:rsid w:val="007A7C3A"/>
    <w:rsid w:val="00836643"/>
    <w:rsid w:val="00841163"/>
    <w:rsid w:val="008574B6"/>
    <w:rsid w:val="00971ED6"/>
    <w:rsid w:val="00A27051"/>
    <w:rsid w:val="00AB2790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  <w:style w:type="table" w:styleId="TableGrid">
    <w:name w:val="Table Grid"/>
    <w:basedOn w:val="TableNormal"/>
    <w:uiPriority w:val="39"/>
    <w:rsid w:val="0097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2.4	Breakdown by stage of complaint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by type Pie chart and data table</dc:title>
  <dc:subject/>
  <dc:creator>Sharon.Simcox</dc:creator>
  <cp:keywords/>
  <dc:description/>
  <cp:lastModifiedBy>Sharon.Simcox</cp:lastModifiedBy>
  <cp:revision>2</cp:revision>
  <dcterms:created xsi:type="dcterms:W3CDTF">2025-09-18T08:54:00Z</dcterms:created>
  <dcterms:modified xsi:type="dcterms:W3CDTF">2025-09-18T08:54:00Z</dcterms:modified>
</cp:coreProperties>
</file>